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55"/>
        <w:gridCol w:w="4605"/>
      </w:tblGrid>
      <w:tr w:rsidR="007E2D1D" w14:paraId="48104AC3" w14:textId="77777777" w:rsidTr="00596C33">
        <w:tc>
          <w:tcPr>
            <w:tcW w:w="4788" w:type="dxa"/>
          </w:tcPr>
          <w:p w14:paraId="2D81A8A3" w14:textId="77777777" w:rsidR="007E2D1D" w:rsidRDefault="007E2D1D" w:rsidP="00596C33">
            <w:pPr>
              <w:tabs>
                <w:tab w:val="left" w:pos="-1440"/>
                <w:tab w:val="left" w:pos="-720"/>
                <w:tab w:val="left" w:pos="1"/>
              </w:tabs>
              <w:jc w:val="both"/>
              <w:rPr>
                <w:rFonts w:ascii="Arial" w:hAnsi="Arial"/>
                <w:b/>
                <w:sz w:val="24"/>
              </w:rPr>
            </w:pPr>
            <w:r w:rsidRPr="00521B55">
              <w:rPr>
                <w:rFonts w:ascii="Arial" w:hAnsi="Arial"/>
                <w:b/>
                <w:noProof/>
                <w:sz w:val="24"/>
                <w:lang w:val="en-GB" w:eastAsia="en-GB"/>
              </w:rPr>
              <w:drawing>
                <wp:inline distT="0" distB="0" distL="0" distR="0" wp14:anchorId="341102EB" wp14:editId="0BA9B050">
                  <wp:extent cx="2613804" cy="551245"/>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tc>
        <w:tc>
          <w:tcPr>
            <w:tcW w:w="4788" w:type="dxa"/>
          </w:tcPr>
          <w:p w14:paraId="622F34FA" w14:textId="77777777" w:rsidR="007E2D1D" w:rsidRDefault="007E2D1D" w:rsidP="00596C33">
            <w:pPr>
              <w:tabs>
                <w:tab w:val="left" w:pos="-1440"/>
                <w:tab w:val="left" w:pos="-720"/>
                <w:tab w:val="left" w:pos="1"/>
              </w:tabs>
              <w:jc w:val="both"/>
              <w:rPr>
                <w:rFonts w:ascii="Arial" w:hAnsi="Arial"/>
                <w:b/>
                <w:sz w:val="24"/>
              </w:rPr>
            </w:pPr>
            <w:r>
              <w:rPr>
                <w:rFonts w:ascii="Arial" w:hAnsi="Arial"/>
                <w:b/>
                <w:noProof/>
                <w:sz w:val="24"/>
                <w:lang w:val="en-GB" w:eastAsia="en-GB"/>
              </w:rPr>
              <w:drawing>
                <wp:anchor distT="0" distB="0" distL="114300" distR="114300" simplePos="0" relativeHeight="251659264" behindDoc="1" locked="0" layoutInCell="1" allowOverlap="1" wp14:anchorId="07DDB6B9" wp14:editId="5FB77986">
                  <wp:simplePos x="0" y="0"/>
                  <wp:positionH relativeFrom="column">
                    <wp:posOffset>1651635</wp:posOffset>
                  </wp:positionH>
                  <wp:positionV relativeFrom="paragraph">
                    <wp:posOffset>20320</wp:posOffset>
                  </wp:positionV>
                  <wp:extent cx="1304290" cy="548640"/>
                  <wp:effectExtent l="0" t="0" r="0" b="3810"/>
                  <wp:wrapTight wrapText="bothSides">
                    <wp:wrapPolygon edited="0">
                      <wp:start x="0" y="0"/>
                      <wp:lineTo x="0" y="21000"/>
                      <wp:lineTo x="21137" y="21000"/>
                      <wp:lineTo x="21137" y="0"/>
                      <wp:lineTo x="0" y="0"/>
                    </wp:wrapPolygon>
                  </wp:wrapTight>
                  <wp:docPr id="6" name="Picture 6" descr="logo_greysca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_greyscale"/>
                          <pic:cNvPicPr>
                            <a:picLocks noChangeAspect="1" noChangeArrowheads="1"/>
                          </pic:cNvPicPr>
                        </pic:nvPicPr>
                        <pic:blipFill>
                          <a:blip r:embed="rId9" cstate="print">
                            <a:extLst>
                              <a:ext uri="{28A0092B-C50C-407E-A947-70E740481C1C}">
                                <a14:useLocalDpi xmlns:a14="http://schemas.microsoft.com/office/drawing/2010/main" val="0"/>
                              </a:ext>
                            </a:extLst>
                          </a:blip>
                          <a:srcRect t="13083" b="16718"/>
                          <a:stretch>
                            <a:fillRect/>
                          </a:stretch>
                        </pic:blipFill>
                        <pic:spPr bwMode="auto">
                          <a:xfrm>
                            <a:off x="0" y="0"/>
                            <a:ext cx="1304290" cy="548640"/>
                          </a:xfrm>
                          <a:prstGeom prst="rect">
                            <a:avLst/>
                          </a:prstGeom>
                          <a:noFill/>
                          <a:ln>
                            <a:noFill/>
                          </a:ln>
                        </pic:spPr>
                      </pic:pic>
                    </a:graphicData>
                  </a:graphic>
                  <wp14:sizeRelH relativeFrom="page">
                    <wp14:pctWidth>0</wp14:pctWidth>
                  </wp14:sizeRelH>
                  <wp14:sizeRelV relativeFrom="page">
                    <wp14:pctHeight>0</wp14:pctHeight>
                  </wp14:sizeRelV>
                </wp:anchor>
              </w:drawing>
            </w:r>
          </w:p>
        </w:tc>
      </w:tr>
    </w:tbl>
    <w:p w14:paraId="6C12E76A" w14:textId="4600D562" w:rsidR="0037240D" w:rsidRPr="00E95317" w:rsidRDefault="0037240D" w:rsidP="00CC47EF">
      <w:pPr>
        <w:tabs>
          <w:tab w:val="right" w:pos="9360"/>
        </w:tabs>
        <w:autoSpaceDE w:val="0"/>
        <w:autoSpaceDN w:val="0"/>
        <w:adjustRightInd w:val="0"/>
        <w:jc w:val="both"/>
        <w:textAlignment w:val="center"/>
        <w:rPr>
          <w:rFonts w:ascii="Arial" w:hAnsi="Arial"/>
          <w:i/>
          <w:iCs/>
          <w:color w:val="000000"/>
          <w:sz w:val="2"/>
          <w:lang w:val="en-GB"/>
        </w:rPr>
      </w:pPr>
    </w:p>
    <w:p w14:paraId="79A647C7" w14:textId="77777777" w:rsidR="00856D9F" w:rsidRPr="00EA029D" w:rsidRDefault="00856D9F" w:rsidP="008467D5">
      <w:pPr>
        <w:pBdr>
          <w:bottom w:val="single" w:sz="18" w:space="1" w:color="auto"/>
        </w:pBdr>
        <w:tabs>
          <w:tab w:val="left" w:pos="-1440"/>
          <w:tab w:val="left" w:pos="-720"/>
          <w:tab w:val="left" w:pos="1"/>
        </w:tabs>
        <w:jc w:val="both"/>
        <w:rPr>
          <w:rFonts w:ascii="Arial" w:hAnsi="Arial"/>
          <w:b/>
          <w:sz w:val="2"/>
          <w:lang w:val="en-GB"/>
        </w:rPr>
      </w:pPr>
    </w:p>
    <w:p w14:paraId="7B1C9A1F" w14:textId="4BD9B28A" w:rsidR="00D75295" w:rsidRPr="00103DDB" w:rsidRDefault="007E2D1D" w:rsidP="00F105B7">
      <w:pPr>
        <w:pStyle w:val="ProductNumber"/>
        <w:rPr>
          <w:lang w:val="en-GB"/>
        </w:rPr>
      </w:pPr>
      <w:r>
        <w:rPr>
          <w:lang w:val="en-GB"/>
        </w:rPr>
        <w:t>9B18M078</w:t>
      </w:r>
    </w:p>
    <w:p w14:paraId="135188C8" w14:textId="77777777" w:rsidR="00D75295" w:rsidRPr="00103DDB" w:rsidRDefault="00D75295" w:rsidP="00D75295">
      <w:pPr>
        <w:jc w:val="right"/>
        <w:rPr>
          <w:rFonts w:ascii="Arial" w:hAnsi="Arial"/>
          <w:b/>
          <w:sz w:val="28"/>
          <w:szCs w:val="28"/>
          <w:lang w:val="en-GB"/>
        </w:rPr>
      </w:pPr>
    </w:p>
    <w:p w14:paraId="249A219C" w14:textId="435DE825" w:rsidR="00013360" w:rsidRPr="00103DDB" w:rsidRDefault="00322612" w:rsidP="00013360">
      <w:pPr>
        <w:pStyle w:val="CaseTitle"/>
        <w:spacing w:after="0" w:line="240" w:lineRule="auto"/>
        <w:rPr>
          <w:lang w:val="en-GB"/>
        </w:rPr>
      </w:pPr>
      <w:r>
        <w:rPr>
          <w:lang w:val="en-GB"/>
        </w:rPr>
        <w:t xml:space="preserve">MEKONG CAPITAL and </w:t>
      </w:r>
      <w:r w:rsidR="00DF20F0" w:rsidRPr="00103DDB">
        <w:rPr>
          <w:lang w:val="en-GB"/>
        </w:rPr>
        <w:t>Mobile World</w:t>
      </w:r>
      <w:r w:rsidR="003C0286" w:rsidRPr="00103DDB">
        <w:rPr>
          <w:lang w:val="en-GB"/>
        </w:rPr>
        <w:t xml:space="preserve"> (A): growing a </w:t>
      </w:r>
      <w:r w:rsidR="008D6313" w:rsidRPr="00103DDB">
        <w:rPr>
          <w:lang w:val="en-GB"/>
        </w:rPr>
        <w:t>US</w:t>
      </w:r>
      <w:r w:rsidR="003C0286" w:rsidRPr="00103DDB">
        <w:rPr>
          <w:lang w:val="en-GB"/>
        </w:rPr>
        <w:t>$100 Million company in vietnam</w:t>
      </w:r>
    </w:p>
    <w:p w14:paraId="7C6943BA" w14:textId="77777777" w:rsidR="00CA3976" w:rsidRPr="00103DDB" w:rsidRDefault="00CA3976" w:rsidP="00013360">
      <w:pPr>
        <w:pStyle w:val="CaseTitle"/>
        <w:spacing w:after="0" w:line="240" w:lineRule="auto"/>
        <w:rPr>
          <w:sz w:val="20"/>
          <w:szCs w:val="20"/>
          <w:lang w:val="en-GB"/>
        </w:rPr>
      </w:pPr>
    </w:p>
    <w:p w14:paraId="6D582FE0" w14:textId="77777777" w:rsidR="00013360" w:rsidRPr="00103DDB" w:rsidRDefault="00013360" w:rsidP="00013360">
      <w:pPr>
        <w:pStyle w:val="CaseTitle"/>
        <w:spacing w:after="0" w:line="240" w:lineRule="auto"/>
        <w:rPr>
          <w:sz w:val="20"/>
          <w:szCs w:val="20"/>
          <w:lang w:val="en-GB"/>
        </w:rPr>
      </w:pPr>
    </w:p>
    <w:p w14:paraId="6B31A792" w14:textId="4F5CDA2A" w:rsidR="00013360" w:rsidRPr="00103DDB" w:rsidRDefault="003C0286" w:rsidP="00104567">
      <w:pPr>
        <w:pStyle w:val="StyleCopyrightStatementAfter0ptBottomSinglesolidline1"/>
        <w:rPr>
          <w:lang w:val="en-GB"/>
        </w:rPr>
      </w:pPr>
      <w:r w:rsidRPr="00103DDB">
        <w:rPr>
          <w:lang w:val="en-GB"/>
        </w:rPr>
        <w:t xml:space="preserve">Andrew Delios and Markus </w:t>
      </w:r>
      <w:proofErr w:type="spellStart"/>
      <w:r w:rsidRPr="00103DDB">
        <w:rPr>
          <w:lang w:val="en-GB"/>
        </w:rPr>
        <w:t>Taussig</w:t>
      </w:r>
      <w:proofErr w:type="spellEnd"/>
      <w:r w:rsidR="007E5921" w:rsidRPr="00103DDB">
        <w:rPr>
          <w:lang w:val="en-GB"/>
        </w:rPr>
        <w:t xml:space="preserve"> wrote this case sol</w:t>
      </w:r>
      <w:r w:rsidR="00D75295" w:rsidRPr="00103DDB">
        <w:rPr>
          <w:lang w:val="en-GB"/>
        </w:rPr>
        <w:t>ely to provide material for class discussion.</w:t>
      </w:r>
      <w:r w:rsidR="00366BB3" w:rsidRPr="00103DDB">
        <w:rPr>
          <w:lang w:val="en-GB"/>
        </w:rPr>
        <w:t xml:space="preserve"> </w:t>
      </w:r>
      <w:r w:rsidR="00D75295" w:rsidRPr="00103DDB">
        <w:rPr>
          <w:lang w:val="en-GB"/>
        </w:rPr>
        <w:t>The authors do not intend to illustrate either effective or ineffective handling of a managerial situation. The authors may have disguised certain names and other identifying information to protect confidentiality.</w:t>
      </w:r>
    </w:p>
    <w:p w14:paraId="209AA748" w14:textId="77777777" w:rsidR="0037240D" w:rsidRPr="00103DDB" w:rsidRDefault="0037240D" w:rsidP="0037240D">
      <w:pPr>
        <w:pStyle w:val="StyleCopyrightStatementAfter0ptBottomSinglesolidline1"/>
        <w:rPr>
          <w:lang w:val="en-GB"/>
        </w:rPr>
      </w:pPr>
    </w:p>
    <w:p w14:paraId="68102D20" w14:textId="77777777" w:rsidR="0037240D" w:rsidRPr="00103DDB" w:rsidRDefault="0037240D" w:rsidP="0037240D">
      <w:pPr>
        <w:pBdr>
          <w:top w:val="single" w:sz="8" w:space="4" w:color="auto"/>
        </w:pBdr>
        <w:tabs>
          <w:tab w:val="right" w:pos="9360"/>
        </w:tabs>
        <w:autoSpaceDE w:val="0"/>
        <w:autoSpaceDN w:val="0"/>
        <w:adjustRightInd w:val="0"/>
        <w:jc w:val="both"/>
        <w:textAlignment w:val="center"/>
        <w:rPr>
          <w:rFonts w:ascii="Arial" w:hAnsi="Arial"/>
          <w:i/>
          <w:iCs/>
          <w:color w:val="000000"/>
          <w:sz w:val="16"/>
          <w:lang w:val="en-GB"/>
        </w:rPr>
      </w:pPr>
      <w:r w:rsidRPr="00103DDB">
        <w:rPr>
          <w:rFonts w:ascii="Arial" w:hAnsi="Arial"/>
          <w:i/>
          <w:iCs/>
          <w:color w:val="000000"/>
          <w:sz w:val="16"/>
          <w:lang w:val="en-GB"/>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w:t>
      </w:r>
      <w:hyperlink r:id="rId10" w:history="1">
        <w:r w:rsidRPr="00103DDB">
          <w:rPr>
            <w:rFonts w:ascii="Arial" w:hAnsi="Arial"/>
            <w:i/>
            <w:iCs/>
            <w:color w:val="000000"/>
            <w:sz w:val="16"/>
            <w:lang w:val="en-GB"/>
          </w:rPr>
          <w:t>cases@ivey.ca</w:t>
        </w:r>
      </w:hyperlink>
      <w:r w:rsidRPr="00103DDB">
        <w:rPr>
          <w:rFonts w:ascii="Arial" w:hAnsi="Arial"/>
          <w:i/>
          <w:iCs/>
          <w:color w:val="000000"/>
          <w:sz w:val="16"/>
          <w:lang w:val="en-GB"/>
        </w:rPr>
        <w:t xml:space="preserve">; </w:t>
      </w:r>
      <w:hyperlink r:id="rId11" w:history="1">
        <w:r w:rsidRPr="00103DDB">
          <w:rPr>
            <w:rFonts w:ascii="Arial" w:hAnsi="Arial"/>
            <w:i/>
            <w:iCs/>
            <w:color w:val="000000"/>
            <w:sz w:val="16"/>
            <w:lang w:val="en-GB"/>
          </w:rPr>
          <w:t>www.iveycases.com</w:t>
        </w:r>
      </w:hyperlink>
      <w:r w:rsidRPr="00103DDB">
        <w:rPr>
          <w:rFonts w:ascii="Arial" w:hAnsi="Arial"/>
          <w:i/>
          <w:iCs/>
          <w:color w:val="000000"/>
          <w:sz w:val="16"/>
          <w:lang w:val="en-GB"/>
        </w:rPr>
        <w:t>.</w:t>
      </w:r>
    </w:p>
    <w:p w14:paraId="4FA018C3" w14:textId="77777777" w:rsidR="0037240D" w:rsidRPr="00103DDB" w:rsidRDefault="0037240D" w:rsidP="0037240D">
      <w:pPr>
        <w:pBdr>
          <w:top w:val="single" w:sz="8" w:space="4" w:color="auto"/>
        </w:pBdr>
        <w:tabs>
          <w:tab w:val="right" w:pos="9360"/>
        </w:tabs>
        <w:autoSpaceDE w:val="0"/>
        <w:autoSpaceDN w:val="0"/>
        <w:adjustRightInd w:val="0"/>
        <w:jc w:val="both"/>
        <w:textAlignment w:val="center"/>
        <w:rPr>
          <w:rFonts w:ascii="Arial" w:hAnsi="Arial"/>
          <w:i/>
          <w:iCs/>
          <w:color w:val="000000"/>
          <w:sz w:val="16"/>
          <w:lang w:val="en-GB"/>
        </w:rPr>
      </w:pPr>
    </w:p>
    <w:p w14:paraId="4BE2DF82" w14:textId="42DD4F4B" w:rsidR="0037240D" w:rsidRPr="00103DDB" w:rsidRDefault="0037240D" w:rsidP="0037240D">
      <w:pPr>
        <w:pStyle w:val="StyleStyleCopyrightStatementAfter0ptBottomSinglesolid"/>
        <w:rPr>
          <w:lang w:val="en-GB"/>
        </w:rPr>
      </w:pPr>
      <w:r w:rsidRPr="00103DDB">
        <w:rPr>
          <w:rFonts w:cs="Arial"/>
          <w:szCs w:val="16"/>
          <w:lang w:val="en-GB"/>
        </w:rPr>
        <w:t xml:space="preserve">Copyright © 2018, </w:t>
      </w:r>
      <w:r w:rsidR="00D268C4">
        <w:rPr>
          <w:rFonts w:cs="Arial"/>
          <w:szCs w:val="16"/>
          <w:lang w:val="en-GB"/>
        </w:rPr>
        <w:t xml:space="preserve">National University of Singapore and </w:t>
      </w:r>
      <w:r w:rsidRPr="00103DDB">
        <w:rPr>
          <w:rFonts w:cs="Arial"/>
          <w:szCs w:val="16"/>
          <w:lang w:val="en-GB"/>
        </w:rPr>
        <w:t>Ivey Business School Foundation</w:t>
      </w:r>
      <w:r w:rsidRPr="00103DDB">
        <w:rPr>
          <w:rFonts w:cs="Arial"/>
          <w:szCs w:val="16"/>
          <w:lang w:val="en-GB"/>
        </w:rPr>
        <w:tab/>
      </w:r>
      <w:r w:rsidR="00A74758">
        <w:rPr>
          <w:lang w:val="en-GB"/>
        </w:rPr>
        <w:t>Version: 2018-05-04</w:t>
      </w:r>
    </w:p>
    <w:p w14:paraId="3BA2BD7A" w14:textId="77777777" w:rsidR="003B7EF2" w:rsidRPr="00103DDB" w:rsidRDefault="003B7EF2" w:rsidP="00104567">
      <w:pPr>
        <w:pStyle w:val="StyleCopyrightStatementAfter0ptBottomSinglesolidline1"/>
        <w:rPr>
          <w:rFonts w:ascii="Times New Roman" w:hAnsi="Times New Roman"/>
          <w:sz w:val="20"/>
          <w:lang w:val="en-GB"/>
        </w:rPr>
      </w:pPr>
    </w:p>
    <w:p w14:paraId="6D4BB6C7" w14:textId="77777777" w:rsidR="003B7EF2" w:rsidRPr="00103DDB" w:rsidRDefault="003B7EF2" w:rsidP="006B7F7A">
      <w:pPr>
        <w:pStyle w:val="BodyTextMain"/>
        <w:rPr>
          <w:lang w:val="en-GB"/>
        </w:rPr>
      </w:pPr>
    </w:p>
    <w:p w14:paraId="0E504BD0" w14:textId="71A7E412" w:rsidR="00366BB3" w:rsidRPr="00103DDB" w:rsidRDefault="003C0286" w:rsidP="007B5486">
      <w:pPr>
        <w:ind w:left="720"/>
        <w:jc w:val="both"/>
        <w:rPr>
          <w:sz w:val="22"/>
          <w:szCs w:val="22"/>
          <w:lang w:val="en-GB"/>
        </w:rPr>
      </w:pPr>
      <w:r w:rsidRPr="00103DDB">
        <w:rPr>
          <w:sz w:val="22"/>
          <w:szCs w:val="22"/>
          <w:lang w:val="en-GB"/>
        </w:rPr>
        <w:t xml:space="preserve">Mr. </w:t>
      </w:r>
      <w:proofErr w:type="spellStart"/>
      <w:r w:rsidRPr="00103DDB">
        <w:rPr>
          <w:sz w:val="22"/>
          <w:szCs w:val="22"/>
          <w:lang w:val="en-GB"/>
        </w:rPr>
        <w:t>Quan</w:t>
      </w:r>
      <w:proofErr w:type="spellEnd"/>
      <w:r w:rsidRPr="00103DDB">
        <w:rPr>
          <w:sz w:val="22"/>
          <w:szCs w:val="22"/>
          <w:lang w:val="en-GB"/>
        </w:rPr>
        <w:t xml:space="preserve"> and I are different types of people. He is very careful, very deliberate. He prefers for a child to develop step by step: first to sit up, then stand, then learn to walk. But, no, I don’t like that. I want the child to </w:t>
      </w:r>
      <w:r w:rsidR="00B567DB" w:rsidRPr="00103DDB">
        <w:rPr>
          <w:sz w:val="22"/>
          <w:szCs w:val="22"/>
          <w:lang w:val="en-GB"/>
        </w:rPr>
        <w:t>“</w:t>
      </w:r>
      <w:r w:rsidRPr="00103DDB">
        <w:rPr>
          <w:sz w:val="22"/>
          <w:szCs w:val="22"/>
          <w:lang w:val="en-GB"/>
        </w:rPr>
        <w:t xml:space="preserve">go </w:t>
      </w:r>
      <w:proofErr w:type="spellStart"/>
      <w:r w:rsidRPr="00103DDB">
        <w:rPr>
          <w:sz w:val="22"/>
          <w:szCs w:val="22"/>
          <w:lang w:val="en-GB"/>
        </w:rPr>
        <w:t>go</w:t>
      </w:r>
      <w:proofErr w:type="spellEnd"/>
      <w:r w:rsidRPr="00103DDB">
        <w:rPr>
          <w:sz w:val="22"/>
          <w:szCs w:val="22"/>
          <w:lang w:val="en-GB"/>
        </w:rPr>
        <w:t xml:space="preserve"> go!</w:t>
      </w:r>
      <w:r w:rsidR="00B567DB" w:rsidRPr="00103DDB">
        <w:rPr>
          <w:sz w:val="22"/>
          <w:szCs w:val="22"/>
          <w:lang w:val="en-GB"/>
        </w:rPr>
        <w:t>”</w:t>
      </w:r>
      <w:r w:rsidR="00684CC2" w:rsidRPr="00103DDB">
        <w:rPr>
          <w:sz w:val="22"/>
          <w:szCs w:val="22"/>
          <w:lang w:val="en-GB"/>
        </w:rPr>
        <w:t>—</w:t>
      </w:r>
      <w:r w:rsidRPr="00103DDB">
        <w:rPr>
          <w:sz w:val="22"/>
          <w:szCs w:val="22"/>
          <w:lang w:val="en-GB"/>
        </w:rPr>
        <w:t>even though it may f</w:t>
      </w:r>
      <w:r w:rsidR="00EA029D">
        <w:rPr>
          <w:sz w:val="22"/>
          <w:szCs w:val="22"/>
          <w:lang w:val="en-GB"/>
        </w:rPr>
        <w:t xml:space="preserve">all down a lot along the way . . . </w:t>
      </w:r>
      <w:r w:rsidRPr="00103DDB">
        <w:rPr>
          <w:sz w:val="22"/>
          <w:szCs w:val="22"/>
          <w:lang w:val="en-GB"/>
        </w:rPr>
        <w:t xml:space="preserve">and need to figure out how to stand up again. </w:t>
      </w:r>
    </w:p>
    <w:p w14:paraId="75A4ECC3" w14:textId="77777777" w:rsidR="00366BB3" w:rsidRPr="00103DDB" w:rsidRDefault="00366BB3" w:rsidP="003C0286">
      <w:pPr>
        <w:ind w:left="840"/>
        <w:jc w:val="both"/>
        <w:rPr>
          <w:sz w:val="22"/>
          <w:szCs w:val="22"/>
          <w:lang w:val="en-GB"/>
        </w:rPr>
      </w:pPr>
    </w:p>
    <w:p w14:paraId="0CAFD8BF" w14:textId="1BE79139" w:rsidR="003C0286" w:rsidRPr="00103DDB" w:rsidRDefault="003C0286" w:rsidP="007B5486">
      <w:pPr>
        <w:ind w:left="840"/>
        <w:jc w:val="right"/>
        <w:rPr>
          <w:sz w:val="22"/>
          <w:szCs w:val="22"/>
          <w:lang w:val="en-GB"/>
        </w:rPr>
      </w:pPr>
      <w:r w:rsidRPr="00103DDB">
        <w:rPr>
          <w:sz w:val="22"/>
          <w:szCs w:val="22"/>
          <w:lang w:val="en-GB"/>
        </w:rPr>
        <w:t xml:space="preserve">Nguyen </w:t>
      </w:r>
      <w:proofErr w:type="spellStart"/>
      <w:r w:rsidRPr="00103DDB">
        <w:rPr>
          <w:sz w:val="22"/>
          <w:szCs w:val="22"/>
          <w:lang w:val="en-GB"/>
        </w:rPr>
        <w:t>Duc</w:t>
      </w:r>
      <w:proofErr w:type="spellEnd"/>
      <w:r w:rsidRPr="00103DDB">
        <w:rPr>
          <w:sz w:val="22"/>
          <w:szCs w:val="22"/>
          <w:lang w:val="en-GB"/>
        </w:rPr>
        <w:t xml:space="preserve"> Tai, </w:t>
      </w:r>
      <w:r w:rsidR="0022707B" w:rsidRPr="00103DDB">
        <w:rPr>
          <w:sz w:val="22"/>
          <w:szCs w:val="22"/>
          <w:lang w:val="en-GB"/>
        </w:rPr>
        <w:t>c</w:t>
      </w:r>
      <w:r w:rsidRPr="00103DDB">
        <w:rPr>
          <w:sz w:val="22"/>
          <w:szCs w:val="22"/>
          <w:lang w:val="en-GB"/>
        </w:rPr>
        <w:t>o-</w:t>
      </w:r>
      <w:r w:rsidR="0022707B" w:rsidRPr="00103DDB">
        <w:rPr>
          <w:sz w:val="22"/>
          <w:szCs w:val="22"/>
          <w:lang w:val="en-GB"/>
        </w:rPr>
        <w:t>f</w:t>
      </w:r>
      <w:r w:rsidRPr="00103DDB">
        <w:rPr>
          <w:sz w:val="22"/>
          <w:szCs w:val="22"/>
          <w:lang w:val="en-GB"/>
        </w:rPr>
        <w:t xml:space="preserve">ounder of </w:t>
      </w:r>
      <w:r w:rsidR="00DF20F0" w:rsidRPr="00103DDB">
        <w:rPr>
          <w:sz w:val="22"/>
          <w:szCs w:val="22"/>
          <w:lang w:val="en-GB"/>
        </w:rPr>
        <w:t>Mobile World</w:t>
      </w:r>
    </w:p>
    <w:p w14:paraId="511AD2F4" w14:textId="77777777" w:rsidR="003C0286" w:rsidRPr="00103DDB" w:rsidRDefault="003C0286" w:rsidP="003C0286">
      <w:pPr>
        <w:ind w:left="900"/>
        <w:jc w:val="both"/>
        <w:rPr>
          <w:sz w:val="22"/>
          <w:szCs w:val="22"/>
          <w:lang w:val="en-GB"/>
        </w:rPr>
      </w:pPr>
    </w:p>
    <w:p w14:paraId="0D1BC3FE" w14:textId="1A0D9A87" w:rsidR="003C0286" w:rsidRPr="00103DDB" w:rsidRDefault="003C0286" w:rsidP="00366BB3">
      <w:pPr>
        <w:ind w:left="720"/>
        <w:jc w:val="both"/>
        <w:rPr>
          <w:sz w:val="22"/>
          <w:szCs w:val="22"/>
          <w:lang w:val="en-GB"/>
        </w:rPr>
      </w:pPr>
      <w:r w:rsidRPr="00103DDB">
        <w:rPr>
          <w:sz w:val="22"/>
          <w:szCs w:val="22"/>
          <w:lang w:val="en-GB"/>
        </w:rPr>
        <w:t>In the beginning, we had our differences, but the challenge was so big, so we made things work. But as our business grew, the contr</w:t>
      </w:r>
      <w:r w:rsidR="00EA029D">
        <w:rPr>
          <w:sz w:val="22"/>
          <w:szCs w:val="22"/>
          <w:lang w:val="en-GB"/>
        </w:rPr>
        <w:t>adictions began to grow as well . . .</w:t>
      </w:r>
      <w:r w:rsidRPr="00103DDB">
        <w:rPr>
          <w:sz w:val="22"/>
          <w:szCs w:val="22"/>
          <w:lang w:val="en-GB"/>
        </w:rPr>
        <w:t xml:space="preserve"> I wanted to go slowly, Tai wanted to attack the market, because—if we didn’t—someone else would and we would lose the opportunity. </w:t>
      </w:r>
    </w:p>
    <w:p w14:paraId="531BE754" w14:textId="77777777" w:rsidR="00366BB3" w:rsidRPr="00103DDB" w:rsidRDefault="00366BB3" w:rsidP="00366BB3">
      <w:pPr>
        <w:ind w:left="720"/>
        <w:jc w:val="both"/>
        <w:rPr>
          <w:sz w:val="22"/>
          <w:szCs w:val="22"/>
          <w:lang w:val="en-GB"/>
        </w:rPr>
      </w:pPr>
    </w:p>
    <w:p w14:paraId="7D3AA995" w14:textId="1DBAF214" w:rsidR="003C0286" w:rsidRPr="00103DDB" w:rsidRDefault="003C0286" w:rsidP="007B5486">
      <w:pPr>
        <w:ind w:left="900"/>
        <w:jc w:val="right"/>
        <w:rPr>
          <w:sz w:val="22"/>
          <w:szCs w:val="22"/>
          <w:lang w:val="en-GB"/>
        </w:rPr>
      </w:pPr>
      <w:r w:rsidRPr="00103DDB">
        <w:rPr>
          <w:sz w:val="22"/>
          <w:szCs w:val="22"/>
          <w:lang w:val="en-GB"/>
        </w:rPr>
        <w:t xml:space="preserve">Tran Le </w:t>
      </w:r>
      <w:proofErr w:type="spellStart"/>
      <w:r w:rsidRPr="00103DDB">
        <w:rPr>
          <w:sz w:val="22"/>
          <w:szCs w:val="22"/>
          <w:lang w:val="en-GB"/>
        </w:rPr>
        <w:t>Quan</w:t>
      </w:r>
      <w:proofErr w:type="spellEnd"/>
      <w:r w:rsidRPr="00103DDB">
        <w:rPr>
          <w:sz w:val="22"/>
          <w:szCs w:val="22"/>
          <w:lang w:val="en-GB"/>
        </w:rPr>
        <w:t xml:space="preserve">, </w:t>
      </w:r>
      <w:r w:rsidR="0022707B" w:rsidRPr="00103DDB">
        <w:rPr>
          <w:sz w:val="22"/>
          <w:szCs w:val="22"/>
          <w:lang w:val="en-GB"/>
        </w:rPr>
        <w:t>c</w:t>
      </w:r>
      <w:r w:rsidRPr="00103DDB">
        <w:rPr>
          <w:sz w:val="22"/>
          <w:szCs w:val="22"/>
          <w:lang w:val="en-GB"/>
        </w:rPr>
        <w:t>o-</w:t>
      </w:r>
      <w:r w:rsidR="0022707B" w:rsidRPr="00103DDB">
        <w:rPr>
          <w:sz w:val="22"/>
          <w:szCs w:val="22"/>
          <w:lang w:val="en-GB"/>
        </w:rPr>
        <w:t>f</w:t>
      </w:r>
      <w:r w:rsidRPr="00103DDB">
        <w:rPr>
          <w:sz w:val="22"/>
          <w:szCs w:val="22"/>
          <w:lang w:val="en-GB"/>
        </w:rPr>
        <w:t xml:space="preserve">ounder of </w:t>
      </w:r>
      <w:r w:rsidR="00DF20F0" w:rsidRPr="00103DDB">
        <w:rPr>
          <w:sz w:val="22"/>
          <w:szCs w:val="22"/>
          <w:lang w:val="en-GB"/>
        </w:rPr>
        <w:t>Mobile World</w:t>
      </w:r>
    </w:p>
    <w:p w14:paraId="4E88AFD1" w14:textId="77777777" w:rsidR="003C0286" w:rsidRPr="00103DDB" w:rsidRDefault="003C0286" w:rsidP="003C0286">
      <w:pPr>
        <w:ind w:left="840"/>
        <w:jc w:val="both"/>
        <w:rPr>
          <w:sz w:val="22"/>
          <w:szCs w:val="22"/>
          <w:lang w:val="en-GB"/>
        </w:rPr>
      </w:pPr>
    </w:p>
    <w:p w14:paraId="621CACFD" w14:textId="219A67C5" w:rsidR="00366BB3" w:rsidRPr="00103DDB" w:rsidRDefault="003C0286" w:rsidP="00366BB3">
      <w:pPr>
        <w:ind w:left="720"/>
        <w:jc w:val="both"/>
        <w:rPr>
          <w:color w:val="000000" w:themeColor="text1"/>
          <w:sz w:val="22"/>
          <w:szCs w:val="22"/>
          <w:lang w:val="en-GB"/>
        </w:rPr>
      </w:pPr>
      <w:r w:rsidRPr="00103DDB">
        <w:rPr>
          <w:color w:val="000000" w:themeColor="text1"/>
          <w:sz w:val="22"/>
          <w:szCs w:val="22"/>
          <w:lang w:val="en-GB"/>
        </w:rPr>
        <w:t>The two largest of the five co-founders each brought something different to the table. They did not always agree, but they pushed each other to achieve through their competitive tension, like John Lennon and Paul McCartney of the Beatles.</w:t>
      </w:r>
    </w:p>
    <w:p w14:paraId="70867055" w14:textId="77777777" w:rsidR="00366BB3" w:rsidRPr="00103DDB" w:rsidRDefault="00366BB3" w:rsidP="00366BB3">
      <w:pPr>
        <w:ind w:left="720"/>
        <w:jc w:val="both"/>
        <w:rPr>
          <w:color w:val="000000" w:themeColor="text1"/>
          <w:sz w:val="22"/>
          <w:szCs w:val="22"/>
          <w:lang w:val="en-GB"/>
        </w:rPr>
      </w:pPr>
    </w:p>
    <w:p w14:paraId="6CCDB3F9" w14:textId="02478E8B" w:rsidR="003C0286" w:rsidRPr="00103DDB" w:rsidRDefault="003C0286" w:rsidP="007B5486">
      <w:pPr>
        <w:ind w:left="840"/>
        <w:jc w:val="right"/>
        <w:rPr>
          <w:color w:val="000000" w:themeColor="text1"/>
          <w:sz w:val="22"/>
          <w:szCs w:val="22"/>
          <w:lang w:val="en-GB"/>
        </w:rPr>
      </w:pPr>
      <w:r w:rsidRPr="00103DDB">
        <w:rPr>
          <w:color w:val="000000" w:themeColor="text1"/>
          <w:sz w:val="22"/>
          <w:szCs w:val="22"/>
          <w:lang w:val="en-GB"/>
        </w:rPr>
        <w:t xml:space="preserve">Chris Freund, </w:t>
      </w:r>
      <w:r w:rsidR="0022707B" w:rsidRPr="00103DDB">
        <w:rPr>
          <w:color w:val="000000" w:themeColor="text1"/>
          <w:sz w:val="22"/>
          <w:szCs w:val="22"/>
          <w:lang w:val="en-GB"/>
        </w:rPr>
        <w:t>f</w:t>
      </w:r>
      <w:r w:rsidRPr="00103DDB">
        <w:rPr>
          <w:color w:val="000000" w:themeColor="text1"/>
          <w:sz w:val="22"/>
          <w:szCs w:val="22"/>
          <w:lang w:val="en-GB"/>
        </w:rPr>
        <w:t xml:space="preserve">ounding </w:t>
      </w:r>
      <w:r w:rsidR="0022707B" w:rsidRPr="00103DDB">
        <w:rPr>
          <w:color w:val="000000" w:themeColor="text1"/>
          <w:sz w:val="22"/>
          <w:szCs w:val="22"/>
          <w:lang w:val="en-GB"/>
        </w:rPr>
        <w:t>p</w:t>
      </w:r>
      <w:r w:rsidRPr="00103DDB">
        <w:rPr>
          <w:color w:val="000000" w:themeColor="text1"/>
          <w:sz w:val="22"/>
          <w:szCs w:val="22"/>
          <w:lang w:val="en-GB"/>
        </w:rPr>
        <w:t>artner of Mekong Capital</w:t>
      </w:r>
    </w:p>
    <w:p w14:paraId="2A7E4980" w14:textId="77777777" w:rsidR="003C0286" w:rsidRPr="00103DDB" w:rsidRDefault="003C0286" w:rsidP="003C0286">
      <w:pPr>
        <w:rPr>
          <w:color w:val="FF0000"/>
          <w:sz w:val="22"/>
          <w:szCs w:val="22"/>
          <w:lang w:val="en-GB"/>
        </w:rPr>
      </w:pPr>
    </w:p>
    <w:p w14:paraId="49D678A9" w14:textId="77777777" w:rsidR="003C0286" w:rsidRPr="00103DDB" w:rsidRDefault="003C0286" w:rsidP="003C0286">
      <w:pPr>
        <w:rPr>
          <w:sz w:val="22"/>
          <w:szCs w:val="22"/>
          <w:lang w:val="en-GB"/>
        </w:rPr>
      </w:pPr>
    </w:p>
    <w:p w14:paraId="43DFB7F9" w14:textId="4E42007E" w:rsidR="0013576C" w:rsidRPr="00103DDB" w:rsidRDefault="003C0286" w:rsidP="003C0286">
      <w:pPr>
        <w:pStyle w:val="BodyTextMain"/>
        <w:rPr>
          <w:lang w:val="en-GB"/>
        </w:rPr>
      </w:pPr>
      <w:r w:rsidRPr="00103DDB">
        <w:rPr>
          <w:lang w:val="en-GB"/>
        </w:rPr>
        <w:t>In June 2009, the co-owners of Vietnamese mobile phone retailer Mobile</w:t>
      </w:r>
      <w:r w:rsidR="00DF20F0" w:rsidRPr="00103DDB">
        <w:rPr>
          <w:lang w:val="en-GB"/>
        </w:rPr>
        <w:t xml:space="preserve"> </w:t>
      </w:r>
      <w:r w:rsidRPr="00103DDB">
        <w:rPr>
          <w:lang w:val="en-GB"/>
        </w:rPr>
        <w:t>World</w:t>
      </w:r>
      <w:r w:rsidR="00E949FD" w:rsidRPr="00103DDB">
        <w:rPr>
          <w:lang w:val="en-GB"/>
        </w:rPr>
        <w:t xml:space="preserve"> Joint Stock Company</w:t>
      </w:r>
      <w:r w:rsidRPr="00103DDB">
        <w:rPr>
          <w:lang w:val="en-GB"/>
        </w:rPr>
        <w:t xml:space="preserve"> (</w:t>
      </w:r>
      <w:r w:rsidR="00EA029D">
        <w:rPr>
          <w:lang w:val="en-GB"/>
        </w:rPr>
        <w:t>Mobile World)</w:t>
      </w:r>
      <w:r w:rsidR="00EA029D">
        <w:rPr>
          <w:rStyle w:val="FootnoteReference"/>
          <w:lang w:val="en-GB"/>
        </w:rPr>
        <w:footnoteReference w:id="1"/>
      </w:r>
      <w:r w:rsidRPr="00103DDB">
        <w:rPr>
          <w:lang w:val="en-GB"/>
        </w:rPr>
        <w:t xml:space="preserve"> were in heated discussions. </w:t>
      </w:r>
      <w:r w:rsidR="00DF20F0" w:rsidRPr="00103DDB">
        <w:rPr>
          <w:lang w:val="en-GB"/>
        </w:rPr>
        <w:t>Mobile World</w:t>
      </w:r>
      <w:r w:rsidRPr="00103DDB">
        <w:rPr>
          <w:lang w:val="en-GB"/>
        </w:rPr>
        <w:t xml:space="preserve"> </w:t>
      </w:r>
      <w:r w:rsidR="00684CC2" w:rsidRPr="00103DDB">
        <w:rPr>
          <w:lang w:val="en-GB"/>
        </w:rPr>
        <w:t xml:space="preserve">chief executive officer (CEO) </w:t>
      </w:r>
      <w:r w:rsidRPr="00103DDB">
        <w:rPr>
          <w:lang w:val="en-GB"/>
        </w:rPr>
        <w:t xml:space="preserve">Nguyen </w:t>
      </w:r>
      <w:proofErr w:type="spellStart"/>
      <w:r w:rsidRPr="00103DDB">
        <w:rPr>
          <w:lang w:val="en-GB"/>
        </w:rPr>
        <w:t>Duc</w:t>
      </w:r>
      <w:proofErr w:type="spellEnd"/>
      <w:r w:rsidRPr="00103DDB">
        <w:rPr>
          <w:lang w:val="en-GB"/>
        </w:rPr>
        <w:t xml:space="preserve"> Tai </w:t>
      </w:r>
      <w:r w:rsidR="0013576C" w:rsidRPr="00103DDB">
        <w:rPr>
          <w:lang w:val="en-GB"/>
        </w:rPr>
        <w:t xml:space="preserve">was making an impassioned </w:t>
      </w:r>
      <w:r w:rsidR="00C96E20" w:rsidRPr="00103DDB">
        <w:rPr>
          <w:lang w:val="en-GB"/>
        </w:rPr>
        <w:t xml:space="preserve">point </w:t>
      </w:r>
      <w:r w:rsidR="0013576C" w:rsidRPr="00103DDB">
        <w:rPr>
          <w:lang w:val="en-GB"/>
        </w:rPr>
        <w:t>to Chris Freund, the founding partner of the Vietnam-focused private equity (PE) firm Mekong Capital (Mekong). “There was a lot of yelling, which was not normal</w:t>
      </w:r>
      <w:r w:rsidR="00684CC2" w:rsidRPr="00103DDB">
        <w:rPr>
          <w:lang w:val="en-GB"/>
        </w:rPr>
        <w:t>,</w:t>
      </w:r>
      <w:r w:rsidR="0013576C" w:rsidRPr="00103DDB">
        <w:rPr>
          <w:lang w:val="en-GB"/>
        </w:rPr>
        <w:t xml:space="preserve">” said </w:t>
      </w:r>
      <w:r w:rsidR="00684CC2" w:rsidRPr="00103DDB">
        <w:rPr>
          <w:lang w:val="en-GB"/>
        </w:rPr>
        <w:t xml:space="preserve">Freund. </w:t>
      </w:r>
      <w:r w:rsidR="0013576C" w:rsidRPr="00103DDB">
        <w:rPr>
          <w:lang w:val="en-GB"/>
        </w:rPr>
        <w:t xml:space="preserve">“It was the only board meeting I’ve ever had in Vietnam like that.” Freund had pushed back against an aggressive new human resources incentive initiative proposed by Tai. Freund feared the plan would give away too much of the owners’ future earnings to store managers and middle managers. </w:t>
      </w:r>
      <w:r w:rsidR="00684CC2" w:rsidRPr="00103DDB">
        <w:rPr>
          <w:lang w:val="en-GB"/>
        </w:rPr>
        <w:t>T</w:t>
      </w:r>
      <w:r w:rsidR="0013576C" w:rsidRPr="00103DDB">
        <w:rPr>
          <w:lang w:val="en-GB"/>
        </w:rPr>
        <w:t>his resistance was frustrating to Tai, who</w:t>
      </w:r>
      <w:r w:rsidR="00684CC2" w:rsidRPr="00103DDB">
        <w:rPr>
          <w:lang w:val="en-GB"/>
        </w:rPr>
        <w:t xml:space="preserve"> </w:t>
      </w:r>
      <w:r w:rsidR="0013576C" w:rsidRPr="00103DDB">
        <w:rPr>
          <w:lang w:val="en-GB"/>
        </w:rPr>
        <w:t>had spent the previous months carefully working through the logic of his vision with Mekong’s board representative</w:t>
      </w:r>
      <w:r w:rsidR="00684CC2" w:rsidRPr="00103DDB">
        <w:rPr>
          <w:lang w:val="en-GB"/>
        </w:rPr>
        <w:t xml:space="preserve"> </w:t>
      </w:r>
      <w:r w:rsidR="0013576C" w:rsidRPr="00103DDB">
        <w:rPr>
          <w:lang w:val="en-GB"/>
        </w:rPr>
        <w:t xml:space="preserve">Mai Hoang Phuong. </w:t>
      </w:r>
    </w:p>
    <w:p w14:paraId="6A387E55" w14:textId="0E3F60C2" w:rsidR="0013576C" w:rsidRPr="00103DDB" w:rsidRDefault="00684CC2" w:rsidP="003C0286">
      <w:pPr>
        <w:pStyle w:val="BodyTextMain"/>
        <w:rPr>
          <w:lang w:val="en-GB"/>
        </w:rPr>
      </w:pPr>
      <w:r w:rsidRPr="00103DDB">
        <w:rPr>
          <w:lang w:val="en-GB"/>
        </w:rPr>
        <w:lastRenderedPageBreak/>
        <w:t xml:space="preserve">However, </w:t>
      </w:r>
      <w:r w:rsidR="0013576C" w:rsidRPr="00103DDB">
        <w:rPr>
          <w:lang w:val="en-GB"/>
        </w:rPr>
        <w:t xml:space="preserve">tensions </w:t>
      </w:r>
      <w:r w:rsidR="00103DDB" w:rsidRPr="00103DDB">
        <w:rPr>
          <w:lang w:val="en-GB"/>
        </w:rPr>
        <w:t>did</w:t>
      </w:r>
      <w:r w:rsidR="0013576C" w:rsidRPr="00103DDB">
        <w:rPr>
          <w:lang w:val="en-GB"/>
        </w:rPr>
        <w:t xml:space="preserve"> not just </w:t>
      </w:r>
      <w:r w:rsidR="00103DDB" w:rsidRPr="00103DDB">
        <w:rPr>
          <w:lang w:val="en-GB"/>
        </w:rPr>
        <w:t xml:space="preserve">exist </w:t>
      </w:r>
      <w:r w:rsidR="0013576C" w:rsidRPr="00103DDB">
        <w:rPr>
          <w:lang w:val="en-GB"/>
        </w:rPr>
        <w:t xml:space="preserve">between the Vietnamese founders and foreign PE investors. </w:t>
      </w:r>
      <w:r w:rsidR="00103DDB" w:rsidRPr="00103DDB">
        <w:rPr>
          <w:lang w:val="en-GB"/>
        </w:rPr>
        <w:t>In fact, w</w:t>
      </w:r>
      <w:r w:rsidR="0013576C" w:rsidRPr="00103DDB">
        <w:rPr>
          <w:lang w:val="en-GB"/>
        </w:rPr>
        <w:t xml:space="preserve">hen </w:t>
      </w:r>
      <w:r w:rsidR="00DF20F0" w:rsidRPr="00103DDB">
        <w:rPr>
          <w:lang w:val="en-GB"/>
        </w:rPr>
        <w:t>Mobile World</w:t>
      </w:r>
      <w:r w:rsidR="0013576C" w:rsidRPr="00103DDB">
        <w:rPr>
          <w:lang w:val="en-GB"/>
        </w:rPr>
        <w:t xml:space="preserve">’s </w:t>
      </w:r>
      <w:r w:rsidRPr="00103DDB">
        <w:rPr>
          <w:lang w:val="en-GB"/>
        </w:rPr>
        <w:t>c</w:t>
      </w:r>
      <w:r w:rsidR="0013576C" w:rsidRPr="00103DDB">
        <w:rPr>
          <w:lang w:val="en-GB"/>
        </w:rPr>
        <w:t xml:space="preserve">hair of the </w:t>
      </w:r>
      <w:r w:rsidRPr="00103DDB">
        <w:rPr>
          <w:lang w:val="en-GB"/>
        </w:rPr>
        <w:t>b</w:t>
      </w:r>
      <w:r w:rsidR="0013576C" w:rsidRPr="00103DDB">
        <w:rPr>
          <w:lang w:val="en-GB"/>
        </w:rPr>
        <w:t xml:space="preserve">oard Tran Le </w:t>
      </w:r>
      <w:proofErr w:type="spellStart"/>
      <w:r w:rsidR="0013576C" w:rsidRPr="00103DDB">
        <w:rPr>
          <w:lang w:val="en-GB"/>
        </w:rPr>
        <w:t>Quan</w:t>
      </w:r>
      <w:proofErr w:type="spellEnd"/>
      <w:r w:rsidR="0013576C" w:rsidRPr="00103DDB">
        <w:rPr>
          <w:lang w:val="en-GB"/>
        </w:rPr>
        <w:t xml:space="preserve"> (</w:t>
      </w:r>
      <w:proofErr w:type="spellStart"/>
      <w:r w:rsidR="0013576C" w:rsidRPr="00103DDB">
        <w:rPr>
          <w:lang w:val="en-GB"/>
        </w:rPr>
        <w:t>Quan</w:t>
      </w:r>
      <w:proofErr w:type="spellEnd"/>
      <w:r w:rsidR="0013576C" w:rsidRPr="00103DDB">
        <w:rPr>
          <w:lang w:val="en-GB"/>
        </w:rPr>
        <w:t xml:space="preserve">) stood with Tai on the incentives plan, it represented a rare moment of unity between the two. The brothers-in-law, who were </w:t>
      </w:r>
      <w:r w:rsidR="00DF20F0" w:rsidRPr="00103DDB">
        <w:rPr>
          <w:lang w:val="en-GB"/>
        </w:rPr>
        <w:t>Mobile World</w:t>
      </w:r>
      <w:r w:rsidR="0013576C" w:rsidRPr="00103DDB">
        <w:rPr>
          <w:lang w:val="en-GB"/>
        </w:rPr>
        <w:t>’s primary two co</w:t>
      </w:r>
      <w:r w:rsidR="00D44643" w:rsidRPr="00103DDB">
        <w:rPr>
          <w:lang w:val="en-GB"/>
        </w:rPr>
        <w:noBreakHyphen/>
      </w:r>
      <w:r w:rsidR="0013576C" w:rsidRPr="00103DDB">
        <w:rPr>
          <w:lang w:val="en-GB"/>
        </w:rPr>
        <w:t xml:space="preserve">founders, had differing views about how aggressively to expand the business. </w:t>
      </w:r>
      <w:r w:rsidR="00C96E20" w:rsidRPr="00103DDB">
        <w:rPr>
          <w:lang w:val="en-GB"/>
        </w:rPr>
        <w:t xml:space="preserve">For example, </w:t>
      </w:r>
      <w:r w:rsidR="0013576C" w:rsidRPr="00103DDB">
        <w:rPr>
          <w:lang w:val="en-GB"/>
        </w:rPr>
        <w:t>Tai</w:t>
      </w:r>
      <w:r w:rsidR="00C96E20" w:rsidRPr="00103DDB">
        <w:rPr>
          <w:lang w:val="en-GB"/>
        </w:rPr>
        <w:t xml:space="preserve"> </w:t>
      </w:r>
      <w:r w:rsidR="0013576C" w:rsidRPr="00103DDB">
        <w:rPr>
          <w:lang w:val="en-GB"/>
        </w:rPr>
        <w:t>pref</w:t>
      </w:r>
      <w:r w:rsidR="00C96E20" w:rsidRPr="00103DDB">
        <w:rPr>
          <w:lang w:val="en-GB"/>
        </w:rPr>
        <w:t>erred</w:t>
      </w:r>
      <w:r w:rsidR="0013576C" w:rsidRPr="00103DDB">
        <w:rPr>
          <w:lang w:val="en-GB"/>
        </w:rPr>
        <w:t xml:space="preserve"> to u</w:t>
      </w:r>
      <w:r w:rsidR="0047571D" w:rsidRPr="00103DDB">
        <w:rPr>
          <w:lang w:val="en-GB"/>
        </w:rPr>
        <w:t>se</w:t>
      </w:r>
      <w:r w:rsidR="0013576C" w:rsidRPr="00103DDB">
        <w:rPr>
          <w:lang w:val="en-GB"/>
        </w:rPr>
        <w:t xml:space="preserve"> Mekong’s May 2007 injection of US$3.5 million</w:t>
      </w:r>
      <w:r w:rsidR="003E2559" w:rsidRPr="00103DDB">
        <w:rPr>
          <w:rStyle w:val="FootnoteReference"/>
          <w:lang w:val="en-GB"/>
        </w:rPr>
        <w:footnoteReference w:id="2"/>
      </w:r>
      <w:r w:rsidR="0013576C" w:rsidRPr="00103DDB">
        <w:rPr>
          <w:lang w:val="en-GB"/>
        </w:rPr>
        <w:t xml:space="preserve">—for a minority stake of 35 per cent—to finance a rollout of new stores that took the company from </w:t>
      </w:r>
      <w:r w:rsidR="0047571D" w:rsidRPr="00103DDB">
        <w:rPr>
          <w:lang w:val="en-GB"/>
        </w:rPr>
        <w:t>seven</w:t>
      </w:r>
      <w:r w:rsidR="0013576C" w:rsidRPr="00103DDB">
        <w:rPr>
          <w:lang w:val="en-GB"/>
        </w:rPr>
        <w:t xml:space="preserve"> stores to 32 in just over a year. </w:t>
      </w:r>
    </w:p>
    <w:p w14:paraId="145381E3" w14:textId="77777777" w:rsidR="0013576C" w:rsidRPr="00103DDB" w:rsidRDefault="0013576C" w:rsidP="003C0286">
      <w:pPr>
        <w:pStyle w:val="BodyTextMain"/>
        <w:rPr>
          <w:lang w:val="en-GB"/>
        </w:rPr>
      </w:pPr>
    </w:p>
    <w:p w14:paraId="62AA905E" w14:textId="70A7F72B" w:rsidR="0013576C" w:rsidRPr="00103DDB" w:rsidRDefault="0047571D" w:rsidP="003C0286">
      <w:pPr>
        <w:pStyle w:val="BodyTextMain"/>
        <w:rPr>
          <w:lang w:val="en-GB"/>
        </w:rPr>
      </w:pPr>
      <w:r w:rsidRPr="00103DDB">
        <w:rPr>
          <w:lang w:val="en-GB"/>
        </w:rPr>
        <w:t>The n</w:t>
      </w:r>
      <w:r w:rsidR="0013576C" w:rsidRPr="00103DDB">
        <w:rPr>
          <w:lang w:val="en-GB"/>
        </w:rPr>
        <w:t>ew store openings were abruptly halted at the end of 2008 amid a brutal combination of difficult domestic economic conditions and the natural trials of a fast-changing, hyper-competitive industry (see Exhibit</w:t>
      </w:r>
      <w:r w:rsidR="00DB02B8">
        <w:rPr>
          <w:lang w:val="en-GB"/>
        </w:rPr>
        <w:t xml:space="preserve"> 1 and Exhibit</w:t>
      </w:r>
      <w:r w:rsidR="0013576C" w:rsidRPr="00103DDB">
        <w:rPr>
          <w:lang w:val="en-GB"/>
        </w:rPr>
        <w:t xml:space="preserve"> 2). At the same time, </w:t>
      </w:r>
      <w:r w:rsidR="00DF20F0" w:rsidRPr="00103DDB">
        <w:rPr>
          <w:lang w:val="en-GB"/>
        </w:rPr>
        <w:t>Mobile World</w:t>
      </w:r>
      <w:r w:rsidR="0013576C" w:rsidRPr="00103DDB">
        <w:rPr>
          <w:lang w:val="en-GB"/>
        </w:rPr>
        <w:t xml:space="preserve">’s management was struggling to keep pace with </w:t>
      </w:r>
      <w:r w:rsidR="00DF20F0" w:rsidRPr="00103DDB">
        <w:rPr>
          <w:lang w:val="en-GB"/>
        </w:rPr>
        <w:t>Mobile World</w:t>
      </w:r>
      <w:r w:rsidR="0013576C" w:rsidRPr="00103DDB">
        <w:rPr>
          <w:lang w:val="en-GB"/>
        </w:rPr>
        <w:t>’s own rapid growth</w:t>
      </w:r>
      <w:r w:rsidR="00D44643" w:rsidRPr="00103DDB">
        <w:rPr>
          <w:lang w:val="en-GB"/>
        </w:rPr>
        <w:t xml:space="preserve"> </w:t>
      </w:r>
      <w:r w:rsidR="0013576C" w:rsidRPr="00103DDB">
        <w:rPr>
          <w:lang w:val="en-GB"/>
        </w:rPr>
        <w:t xml:space="preserve">while still experimenting with </w:t>
      </w:r>
      <w:r w:rsidRPr="00103DDB">
        <w:rPr>
          <w:lang w:val="en-GB"/>
        </w:rPr>
        <w:t>its</w:t>
      </w:r>
      <w:r w:rsidR="0013576C" w:rsidRPr="00103DDB">
        <w:rPr>
          <w:lang w:val="en-GB"/>
        </w:rPr>
        <w:t xml:space="preserve"> core business model. Consequently, 2008 was the first year the company ended</w:t>
      </w:r>
      <w:r w:rsidRPr="00103DDB">
        <w:rPr>
          <w:lang w:val="en-GB"/>
        </w:rPr>
        <w:t xml:space="preserve"> </w:t>
      </w:r>
      <w:r w:rsidR="0013576C" w:rsidRPr="00103DDB">
        <w:rPr>
          <w:lang w:val="en-GB"/>
        </w:rPr>
        <w:t xml:space="preserve">up </w:t>
      </w:r>
      <w:r w:rsidRPr="00103DDB">
        <w:rPr>
          <w:lang w:val="en-GB"/>
        </w:rPr>
        <w:t>“</w:t>
      </w:r>
      <w:r w:rsidR="0013576C" w:rsidRPr="00103DDB">
        <w:rPr>
          <w:lang w:val="en-GB"/>
        </w:rPr>
        <w:t>in the red.</w:t>
      </w:r>
      <w:r w:rsidRPr="00103DDB">
        <w:rPr>
          <w:lang w:val="en-GB"/>
        </w:rPr>
        <w:t>”</w:t>
      </w:r>
      <w:r w:rsidR="0013576C" w:rsidRPr="00103DDB">
        <w:rPr>
          <w:lang w:val="en-GB"/>
        </w:rPr>
        <w:t xml:space="preserve"> To his chagrin, Tai had to shut down </w:t>
      </w:r>
      <w:r w:rsidRPr="00103DDB">
        <w:rPr>
          <w:lang w:val="en-GB"/>
        </w:rPr>
        <w:t>seven</w:t>
      </w:r>
      <w:r w:rsidR="0013576C" w:rsidRPr="00103DDB">
        <w:rPr>
          <w:lang w:val="en-GB"/>
        </w:rPr>
        <w:t xml:space="preserve"> stores and, just before the 2009 Lunar New Year, order</w:t>
      </w:r>
      <w:r w:rsidR="00DB02B8">
        <w:rPr>
          <w:lang w:val="en-GB"/>
        </w:rPr>
        <w:t>ed</w:t>
      </w:r>
      <w:r w:rsidR="0013576C" w:rsidRPr="00103DDB">
        <w:rPr>
          <w:lang w:val="en-GB"/>
        </w:rPr>
        <w:t xml:space="preserve"> his deputies to carry out across-the-board layoffs. In Vietnam, this </w:t>
      </w:r>
      <w:r w:rsidRPr="00103DDB">
        <w:rPr>
          <w:lang w:val="en-GB"/>
        </w:rPr>
        <w:t xml:space="preserve">action </w:t>
      </w:r>
      <w:r w:rsidR="0013576C" w:rsidRPr="00103DDB">
        <w:rPr>
          <w:lang w:val="en-GB"/>
        </w:rPr>
        <w:t>was akin to a round of firings at Christmas</w:t>
      </w:r>
      <w:r w:rsidR="00DB02B8">
        <w:rPr>
          <w:lang w:val="en-GB"/>
        </w:rPr>
        <w:t xml:space="preserve"> in the West</w:t>
      </w:r>
      <w:r w:rsidR="0013576C" w:rsidRPr="00103DDB">
        <w:rPr>
          <w:lang w:val="en-GB"/>
        </w:rPr>
        <w:t>.</w:t>
      </w:r>
    </w:p>
    <w:p w14:paraId="44715B1D" w14:textId="77777777" w:rsidR="0013576C" w:rsidRPr="00103DDB" w:rsidRDefault="0013576C" w:rsidP="003C0286">
      <w:pPr>
        <w:pStyle w:val="BodyTextMain"/>
        <w:rPr>
          <w:lang w:val="en-GB"/>
        </w:rPr>
      </w:pPr>
    </w:p>
    <w:p w14:paraId="4BC12FC4" w14:textId="124ED23C" w:rsidR="0013576C" w:rsidRPr="00103DDB" w:rsidRDefault="0013576C" w:rsidP="003C0286">
      <w:pPr>
        <w:pStyle w:val="BodyTextMain"/>
        <w:rPr>
          <w:lang w:val="en-GB"/>
        </w:rPr>
      </w:pPr>
      <w:r w:rsidRPr="00103DDB">
        <w:rPr>
          <w:lang w:val="en-GB"/>
        </w:rPr>
        <w:t xml:space="preserve">A silver lining to the dissention between </w:t>
      </w:r>
      <w:r w:rsidR="00DF20F0" w:rsidRPr="00103DDB">
        <w:rPr>
          <w:lang w:val="en-GB"/>
        </w:rPr>
        <w:t>Mobile World</w:t>
      </w:r>
      <w:r w:rsidRPr="00103DDB">
        <w:rPr>
          <w:lang w:val="en-GB"/>
        </w:rPr>
        <w:t>’s owners was that it was borne from a shared belief in the company’s enormous potential. Freund was confident in the core team and in the exciting commercial opportunity</w:t>
      </w:r>
      <w:r w:rsidR="00DB02B8">
        <w:rPr>
          <w:lang w:val="en-GB"/>
        </w:rPr>
        <w:t xml:space="preserve"> </w:t>
      </w:r>
      <w:r w:rsidR="00DB02B8" w:rsidRPr="00103DDB">
        <w:rPr>
          <w:lang w:val="en-GB"/>
        </w:rPr>
        <w:t>(see Exhibit 3)</w:t>
      </w:r>
      <w:r w:rsidRPr="00103DDB">
        <w:rPr>
          <w:lang w:val="en-GB"/>
        </w:rPr>
        <w:t xml:space="preserve">. </w:t>
      </w:r>
      <w:r w:rsidR="0047571D" w:rsidRPr="00103DDB">
        <w:rPr>
          <w:lang w:val="en-GB"/>
        </w:rPr>
        <w:t>However, w</w:t>
      </w:r>
      <w:r w:rsidRPr="00103DDB">
        <w:rPr>
          <w:lang w:val="en-GB"/>
        </w:rPr>
        <w:t>hat could he and his team do to add value</w:t>
      </w:r>
      <w:r w:rsidR="00D44643" w:rsidRPr="00103DDB">
        <w:rPr>
          <w:lang w:val="en-GB"/>
        </w:rPr>
        <w:t xml:space="preserve"> in the face of</w:t>
      </w:r>
      <w:r w:rsidRPr="00103DDB">
        <w:rPr>
          <w:lang w:val="en-GB"/>
        </w:rPr>
        <w:t xml:space="preserve"> these internal and external challenges?</w:t>
      </w:r>
    </w:p>
    <w:p w14:paraId="4D524FF0" w14:textId="77777777" w:rsidR="0013576C" w:rsidRPr="00103DDB" w:rsidRDefault="0013576C" w:rsidP="003C0286">
      <w:pPr>
        <w:rPr>
          <w:lang w:val="en-GB"/>
        </w:rPr>
      </w:pPr>
    </w:p>
    <w:p w14:paraId="69D18CF1" w14:textId="77777777" w:rsidR="0013576C" w:rsidRPr="00103DDB" w:rsidRDefault="0013576C" w:rsidP="003C0286">
      <w:pPr>
        <w:rPr>
          <w:lang w:val="en-GB"/>
        </w:rPr>
      </w:pPr>
    </w:p>
    <w:p w14:paraId="2718E2D4" w14:textId="203F4E4B" w:rsidR="0013576C" w:rsidRPr="00103DDB" w:rsidRDefault="00DB02B8" w:rsidP="003C0286">
      <w:pPr>
        <w:pStyle w:val="Casehead1"/>
        <w:rPr>
          <w:lang w:val="en-GB"/>
        </w:rPr>
      </w:pPr>
      <w:r>
        <w:rPr>
          <w:lang w:val="en-GB"/>
        </w:rPr>
        <w:t xml:space="preserve">the </w:t>
      </w:r>
      <w:r w:rsidR="0013576C" w:rsidRPr="00103DDB">
        <w:rPr>
          <w:lang w:val="en-GB"/>
        </w:rPr>
        <w:t>Vietnamese Economy in 2009</w:t>
      </w:r>
    </w:p>
    <w:p w14:paraId="00C29A5D" w14:textId="77777777" w:rsidR="0013576C" w:rsidRPr="00103DDB" w:rsidRDefault="0013576C" w:rsidP="003C0286">
      <w:pPr>
        <w:pStyle w:val="BodyTextMain"/>
        <w:rPr>
          <w:lang w:val="en-GB"/>
        </w:rPr>
      </w:pPr>
    </w:p>
    <w:p w14:paraId="44A88FDE" w14:textId="449214CF" w:rsidR="0013576C" w:rsidRPr="00103DDB" w:rsidRDefault="0013576C" w:rsidP="003C0286">
      <w:pPr>
        <w:pStyle w:val="BodyTextMain"/>
        <w:rPr>
          <w:color w:val="222222"/>
          <w:lang w:val="en-GB"/>
        </w:rPr>
      </w:pPr>
      <w:r w:rsidRPr="00103DDB">
        <w:rPr>
          <w:lang w:val="en-GB"/>
        </w:rPr>
        <w:t xml:space="preserve">In the 1980s, Vietnam was one of the poorest countries in the world. Its military forces occupied Cambodia to </w:t>
      </w:r>
      <w:r w:rsidR="00103DDB" w:rsidRPr="00103DDB">
        <w:rPr>
          <w:lang w:val="en-GB"/>
        </w:rPr>
        <w:t>the</w:t>
      </w:r>
      <w:r w:rsidRPr="00103DDB">
        <w:rPr>
          <w:lang w:val="en-GB"/>
        </w:rPr>
        <w:t xml:space="preserve"> </w:t>
      </w:r>
      <w:r w:rsidR="00B34E90" w:rsidRPr="00103DDB">
        <w:rPr>
          <w:lang w:val="en-GB"/>
        </w:rPr>
        <w:t>w</w:t>
      </w:r>
      <w:r w:rsidRPr="00103DDB">
        <w:rPr>
          <w:lang w:val="en-GB"/>
        </w:rPr>
        <w:t>est and were engaged in hostilities with China, its giant neighbo</w:t>
      </w:r>
      <w:r w:rsidR="002074F1">
        <w:rPr>
          <w:lang w:val="en-GB"/>
        </w:rPr>
        <w:t>u</w:t>
      </w:r>
      <w:r w:rsidRPr="00103DDB">
        <w:rPr>
          <w:lang w:val="en-GB"/>
        </w:rPr>
        <w:t xml:space="preserve">r to the north. As a remnant of the </w:t>
      </w:r>
      <w:r w:rsidR="00267B43" w:rsidRPr="00103DDB">
        <w:rPr>
          <w:lang w:val="en-GB"/>
        </w:rPr>
        <w:t>U.S.</w:t>
      </w:r>
      <w:r w:rsidRPr="00103DDB">
        <w:rPr>
          <w:lang w:val="en-GB"/>
        </w:rPr>
        <w:t xml:space="preserve"> involvement in the Vietnamese civil war</w:t>
      </w:r>
      <w:r w:rsidR="00B34E90" w:rsidRPr="00103DDB">
        <w:rPr>
          <w:lang w:val="en-GB"/>
        </w:rPr>
        <w:t>, which</w:t>
      </w:r>
      <w:r w:rsidRPr="00103DDB">
        <w:rPr>
          <w:lang w:val="en-GB"/>
        </w:rPr>
        <w:t xml:space="preserve"> ended in 1975, </w:t>
      </w:r>
      <w:r w:rsidR="00B34E90" w:rsidRPr="00103DDB">
        <w:rPr>
          <w:lang w:val="en-GB"/>
        </w:rPr>
        <w:t>Vietnam</w:t>
      </w:r>
      <w:r w:rsidRPr="00103DDB">
        <w:rPr>
          <w:lang w:val="en-GB"/>
        </w:rPr>
        <w:t xml:space="preserve"> was still under a trade embargo </w:t>
      </w:r>
      <w:r w:rsidR="00267B43" w:rsidRPr="00103DDB">
        <w:rPr>
          <w:lang w:val="en-GB"/>
        </w:rPr>
        <w:t xml:space="preserve">with </w:t>
      </w:r>
      <w:r w:rsidRPr="00103DDB">
        <w:rPr>
          <w:lang w:val="en-GB"/>
        </w:rPr>
        <w:t>most advanced countries in the world. In 1988</w:t>
      </w:r>
      <w:r w:rsidR="00B34E90" w:rsidRPr="00103DDB">
        <w:rPr>
          <w:lang w:val="en-GB"/>
        </w:rPr>
        <w:t>–</w:t>
      </w:r>
      <w:r w:rsidRPr="00103DDB">
        <w:rPr>
          <w:lang w:val="en-GB"/>
        </w:rPr>
        <w:t xml:space="preserve">89, widespread famine led tens of thousands of “boat people” to escape to camps in other </w:t>
      </w:r>
      <w:r w:rsidR="00E25A80" w:rsidRPr="00103DDB">
        <w:rPr>
          <w:lang w:val="en-GB"/>
        </w:rPr>
        <w:t>S</w:t>
      </w:r>
      <w:r w:rsidRPr="00103DDB">
        <w:rPr>
          <w:lang w:val="en-GB"/>
        </w:rPr>
        <w:t xml:space="preserve">outheast </w:t>
      </w:r>
      <w:r w:rsidR="00B34E90" w:rsidRPr="00103DDB">
        <w:rPr>
          <w:lang w:val="en-GB"/>
        </w:rPr>
        <w:t xml:space="preserve">Asian </w:t>
      </w:r>
      <w:r w:rsidRPr="00103DDB">
        <w:rPr>
          <w:lang w:val="en-GB"/>
        </w:rPr>
        <w:t>countries</w:t>
      </w:r>
      <w:r w:rsidR="00267B43" w:rsidRPr="00103DDB">
        <w:rPr>
          <w:lang w:val="en-GB"/>
        </w:rPr>
        <w:t>. M</w:t>
      </w:r>
      <w:r w:rsidRPr="00103DDB">
        <w:rPr>
          <w:lang w:val="en-GB"/>
        </w:rPr>
        <w:t>any who left represent</w:t>
      </w:r>
      <w:r w:rsidR="00267B43" w:rsidRPr="00103DDB">
        <w:rPr>
          <w:lang w:val="en-GB"/>
        </w:rPr>
        <w:t>ed</w:t>
      </w:r>
      <w:r w:rsidRPr="00103DDB">
        <w:rPr>
          <w:lang w:val="en-GB"/>
        </w:rPr>
        <w:t xml:space="preserve"> the country’s scarce remaining educated and entrepreneurial elite. At the same time, the beginning of the end</w:t>
      </w:r>
      <w:r w:rsidR="00267B43" w:rsidRPr="00103DDB">
        <w:rPr>
          <w:lang w:val="en-GB"/>
        </w:rPr>
        <w:t xml:space="preserve"> of</w:t>
      </w:r>
      <w:r w:rsidRPr="00103DDB">
        <w:rPr>
          <w:lang w:val="en-GB"/>
        </w:rPr>
        <w:t xml:space="preserve"> the Soviet bloc meant dwindling support from old political friend</w:t>
      </w:r>
      <w:r w:rsidR="00267B43" w:rsidRPr="00103DDB">
        <w:rPr>
          <w:lang w:val="en-GB"/>
        </w:rPr>
        <w:t>s. The e</w:t>
      </w:r>
      <w:r w:rsidRPr="00103DDB">
        <w:rPr>
          <w:lang w:val="en-GB"/>
        </w:rPr>
        <w:t>vents in Tiananmen Square further compound</w:t>
      </w:r>
      <w:r w:rsidR="00267B43" w:rsidRPr="00103DDB">
        <w:rPr>
          <w:lang w:val="en-GB"/>
        </w:rPr>
        <w:t>ed</w:t>
      </w:r>
      <w:r w:rsidRPr="00103DDB">
        <w:rPr>
          <w:lang w:val="en-GB"/>
        </w:rPr>
        <w:t xml:space="preserve"> stress in Hanoi. In response, the country’s leadership initiated its </w:t>
      </w:r>
      <w:proofErr w:type="spellStart"/>
      <w:r w:rsidR="00267B43" w:rsidRPr="00103DDB">
        <w:rPr>
          <w:lang w:val="en-GB"/>
        </w:rPr>
        <w:t>Doi</w:t>
      </w:r>
      <w:proofErr w:type="spellEnd"/>
      <w:r w:rsidR="00267B43" w:rsidRPr="00103DDB">
        <w:rPr>
          <w:lang w:val="en-GB"/>
        </w:rPr>
        <w:t xml:space="preserve"> </w:t>
      </w:r>
      <w:proofErr w:type="spellStart"/>
      <w:r w:rsidR="00267B43" w:rsidRPr="00103DDB">
        <w:rPr>
          <w:lang w:val="en-GB"/>
        </w:rPr>
        <w:t>Moi</w:t>
      </w:r>
      <w:proofErr w:type="spellEnd"/>
      <w:r w:rsidR="00267B43" w:rsidRPr="00103DDB">
        <w:rPr>
          <w:lang w:val="en-GB"/>
        </w:rPr>
        <w:t xml:space="preserve"> </w:t>
      </w:r>
      <w:r w:rsidRPr="00103DDB">
        <w:rPr>
          <w:lang w:val="en-GB"/>
        </w:rPr>
        <w:t xml:space="preserve">transition from Marxist-Leninist central planning to a market economy. </w:t>
      </w:r>
    </w:p>
    <w:p w14:paraId="11A40654" w14:textId="77777777" w:rsidR="0013576C" w:rsidRPr="00103DDB" w:rsidRDefault="0013576C" w:rsidP="003C0286">
      <w:pPr>
        <w:pStyle w:val="BodyTextMain"/>
        <w:rPr>
          <w:rFonts w:eastAsiaTheme="minorHAnsi"/>
          <w:lang w:val="en-GB"/>
        </w:rPr>
      </w:pPr>
    </w:p>
    <w:p w14:paraId="5C9378D0" w14:textId="0047E00E" w:rsidR="0013576C" w:rsidRDefault="0013576C" w:rsidP="003C0286">
      <w:pPr>
        <w:pStyle w:val="BodyTextMain"/>
        <w:rPr>
          <w:lang w:val="en-GB"/>
        </w:rPr>
      </w:pPr>
      <w:r w:rsidRPr="00103DDB">
        <w:rPr>
          <w:lang w:val="en-GB"/>
        </w:rPr>
        <w:t>Although still governed by the same authoritarian and nominally communist government, Vietnam had become a middle-income country by 2009.</w:t>
      </w:r>
      <w:r w:rsidR="004D2B55" w:rsidRPr="00103DDB">
        <w:rPr>
          <w:rStyle w:val="FootnoteReference"/>
          <w:lang w:val="en-GB"/>
        </w:rPr>
        <w:footnoteReference w:id="3"/>
      </w:r>
      <w:r w:rsidRPr="00103DDB">
        <w:rPr>
          <w:lang w:val="en-GB"/>
        </w:rPr>
        <w:t xml:space="preserve"> A significant marker of economic progress was the country’s January 2007 ascension to the World Trade Organization (WTO). Joining the WTO underscored </w:t>
      </w:r>
      <w:r w:rsidR="00F204B8" w:rsidRPr="00103DDB">
        <w:rPr>
          <w:lang w:val="en-GB"/>
        </w:rPr>
        <w:t>Vietnam’</w:t>
      </w:r>
      <w:r w:rsidRPr="00103DDB">
        <w:rPr>
          <w:lang w:val="en-GB"/>
        </w:rPr>
        <w:t>s potential to follow the path of other export-oriented East Asian Tigers such as Singapore, Hong Kong, Taiwan</w:t>
      </w:r>
      <w:r w:rsidR="00267B43" w:rsidRPr="00103DDB">
        <w:rPr>
          <w:lang w:val="en-GB"/>
        </w:rPr>
        <w:t>,</w:t>
      </w:r>
      <w:r w:rsidRPr="00103DDB">
        <w:rPr>
          <w:lang w:val="en-GB"/>
        </w:rPr>
        <w:t xml:space="preserve"> and South Korea</w:t>
      </w:r>
      <w:r w:rsidR="00C96E20" w:rsidRPr="00103DDB">
        <w:rPr>
          <w:lang w:val="en-GB"/>
        </w:rPr>
        <w:t>,</w:t>
      </w:r>
      <w:r w:rsidRPr="00103DDB">
        <w:rPr>
          <w:lang w:val="en-GB"/>
        </w:rPr>
        <w:t xml:space="preserve"> and thereby improve both domestic and foreign investor sentiment. Even before this move, Vietnam’s stable environment and youthful and educated demographics had made it a leading global source for labo</w:t>
      </w:r>
      <w:r w:rsidR="002074F1">
        <w:rPr>
          <w:lang w:val="en-GB"/>
        </w:rPr>
        <w:t>u</w:t>
      </w:r>
      <w:r w:rsidRPr="00103DDB">
        <w:rPr>
          <w:lang w:val="en-GB"/>
        </w:rPr>
        <w:t>r-intensive manufactured goods like shoes and garments, as well as key agricultural commodities like rice, coffee, and rubber. The country was emerging as a core production hub for major brands such as Nike, Levis, and IKEA. A new law implemented in 2000 drastically reduced the costs of setting up a company</w:t>
      </w:r>
      <w:r w:rsidR="00C96E20" w:rsidRPr="00103DDB">
        <w:rPr>
          <w:lang w:val="en-GB"/>
        </w:rPr>
        <w:t>. The law r</w:t>
      </w:r>
      <w:r w:rsidRPr="00103DDB">
        <w:rPr>
          <w:lang w:val="en-GB"/>
        </w:rPr>
        <w:t>esult</w:t>
      </w:r>
      <w:r w:rsidR="00C96E20" w:rsidRPr="00103DDB">
        <w:rPr>
          <w:lang w:val="en-GB"/>
        </w:rPr>
        <w:t>ed</w:t>
      </w:r>
      <w:r w:rsidRPr="00103DDB">
        <w:rPr>
          <w:lang w:val="en-GB"/>
        </w:rPr>
        <w:t xml:space="preserve"> in a quarter million new domestic firms.</w:t>
      </w:r>
    </w:p>
    <w:p w14:paraId="606B3853" w14:textId="77777777" w:rsidR="00596C33" w:rsidRPr="00103DDB" w:rsidRDefault="00596C33" w:rsidP="003C0286">
      <w:pPr>
        <w:pStyle w:val="BodyTextMain"/>
        <w:rPr>
          <w:lang w:val="en-GB"/>
        </w:rPr>
      </w:pPr>
    </w:p>
    <w:p w14:paraId="1EBCD61A" w14:textId="15302412" w:rsidR="0013576C" w:rsidRPr="00103DDB" w:rsidRDefault="0013576C" w:rsidP="003C0286">
      <w:pPr>
        <w:pStyle w:val="BodyTextMain"/>
        <w:rPr>
          <w:lang w:val="en-GB"/>
        </w:rPr>
      </w:pPr>
      <w:r w:rsidRPr="00103DDB">
        <w:rPr>
          <w:lang w:val="en-GB"/>
        </w:rPr>
        <w:t xml:space="preserve">These factors contributed to </w:t>
      </w:r>
      <w:r w:rsidR="00565BF1" w:rsidRPr="00103DDB">
        <w:rPr>
          <w:lang w:val="en-GB"/>
        </w:rPr>
        <w:t xml:space="preserve">the </w:t>
      </w:r>
      <w:r w:rsidRPr="00103DDB">
        <w:rPr>
          <w:lang w:val="en-GB"/>
        </w:rPr>
        <w:t xml:space="preserve">rapid growth of Vietnam’s stock market. Formed in 2002, the stock market’s valuation grew from less than </w:t>
      </w:r>
      <w:r w:rsidR="00C96E20" w:rsidRPr="00103DDB">
        <w:rPr>
          <w:lang w:val="en-GB"/>
        </w:rPr>
        <w:t>one</w:t>
      </w:r>
      <w:r w:rsidRPr="00103DDB">
        <w:rPr>
          <w:lang w:val="en-GB"/>
        </w:rPr>
        <w:t xml:space="preserve"> per cent of </w:t>
      </w:r>
      <w:r w:rsidR="00267B43" w:rsidRPr="00103DDB">
        <w:rPr>
          <w:lang w:val="en-GB"/>
        </w:rPr>
        <w:t>gross domestic product (</w:t>
      </w:r>
      <w:r w:rsidRPr="00103DDB">
        <w:rPr>
          <w:lang w:val="en-GB"/>
        </w:rPr>
        <w:t>GDP</w:t>
      </w:r>
      <w:r w:rsidR="00267B43" w:rsidRPr="00103DDB">
        <w:rPr>
          <w:lang w:val="en-GB"/>
        </w:rPr>
        <w:t>)</w:t>
      </w:r>
      <w:r w:rsidRPr="00103DDB">
        <w:rPr>
          <w:lang w:val="en-GB"/>
        </w:rPr>
        <w:t xml:space="preserve"> in 2005 to a peak of </w:t>
      </w:r>
      <w:r w:rsidRPr="00103DDB">
        <w:rPr>
          <w:lang w:val="en-GB"/>
        </w:rPr>
        <w:lastRenderedPageBreak/>
        <w:t>30 per cent of GDP in May 2007. This strong performance facilitated a long-awaited first round sell-off by the government of its shares in state-owned enterprises to private investors. Vietnam’s banking sector was also experiencing unprecedented economic development. I</w:t>
      </w:r>
      <w:r w:rsidR="00704061" w:rsidRPr="00103DDB">
        <w:rPr>
          <w:lang w:val="en-GB"/>
        </w:rPr>
        <w:t>t was characterized by</w:t>
      </w:r>
      <w:r w:rsidRPr="00103DDB">
        <w:rPr>
          <w:lang w:val="en-GB"/>
        </w:rPr>
        <w:t xml:space="preserve"> rising foreign direct investment, the emergence of privately owned domestic banks like </w:t>
      </w:r>
      <w:r w:rsidR="00DB02B8">
        <w:rPr>
          <w:lang w:val="en-GB"/>
        </w:rPr>
        <w:t>Asia Commercial Bank (</w:t>
      </w:r>
      <w:r w:rsidRPr="00103DDB">
        <w:rPr>
          <w:lang w:val="en-GB"/>
        </w:rPr>
        <w:t>ACB</w:t>
      </w:r>
      <w:r w:rsidR="00DB02B8">
        <w:rPr>
          <w:lang w:val="en-GB"/>
        </w:rPr>
        <w:t>)</w:t>
      </w:r>
      <w:r w:rsidRPr="00103DDB">
        <w:rPr>
          <w:lang w:val="en-GB"/>
        </w:rPr>
        <w:t xml:space="preserve"> and </w:t>
      </w:r>
      <w:proofErr w:type="spellStart"/>
      <w:r w:rsidRPr="00103DDB">
        <w:rPr>
          <w:lang w:val="en-GB"/>
        </w:rPr>
        <w:t>Sacombank</w:t>
      </w:r>
      <w:proofErr w:type="spellEnd"/>
      <w:r w:rsidR="00704061" w:rsidRPr="00103DDB">
        <w:rPr>
          <w:lang w:val="en-GB"/>
        </w:rPr>
        <w:t>,</w:t>
      </w:r>
      <w:r w:rsidRPr="00103DDB">
        <w:rPr>
          <w:lang w:val="en-GB"/>
        </w:rPr>
        <w:t xml:space="preserve"> and rapid growth of bank lending to the domestic private sector.</w:t>
      </w:r>
    </w:p>
    <w:p w14:paraId="677FE50F" w14:textId="77777777" w:rsidR="00565BF1" w:rsidRPr="00103DDB" w:rsidRDefault="00565BF1" w:rsidP="003C0286">
      <w:pPr>
        <w:pStyle w:val="BodyTextMain"/>
        <w:rPr>
          <w:lang w:val="en-GB"/>
        </w:rPr>
      </w:pPr>
    </w:p>
    <w:p w14:paraId="21A9B820" w14:textId="480E31B7" w:rsidR="0013576C" w:rsidRPr="00103DDB" w:rsidRDefault="00565BF1" w:rsidP="003C0286">
      <w:pPr>
        <w:pStyle w:val="BodyTextMain"/>
        <w:rPr>
          <w:lang w:val="en-GB"/>
        </w:rPr>
      </w:pPr>
      <w:r w:rsidRPr="00103DDB">
        <w:rPr>
          <w:lang w:val="en-GB"/>
        </w:rPr>
        <w:t>However</w:t>
      </w:r>
      <w:r w:rsidR="0013576C" w:rsidRPr="00103DDB">
        <w:rPr>
          <w:lang w:val="en-GB"/>
        </w:rPr>
        <w:t>, as with the financial crisis that</w:t>
      </w:r>
      <w:r w:rsidRPr="00103DDB">
        <w:rPr>
          <w:lang w:val="en-GB"/>
        </w:rPr>
        <w:t xml:space="preserve"> had</w:t>
      </w:r>
      <w:r w:rsidR="0013576C" w:rsidRPr="00103DDB">
        <w:rPr>
          <w:lang w:val="en-GB"/>
        </w:rPr>
        <w:t xml:space="preserve"> hit Thailand a decade earlier, cracks beg</w:t>
      </w:r>
      <w:r w:rsidRPr="00103DDB">
        <w:rPr>
          <w:lang w:val="en-GB"/>
        </w:rPr>
        <w:t>an</w:t>
      </w:r>
      <w:r w:rsidR="0013576C" w:rsidRPr="00103DDB">
        <w:rPr>
          <w:lang w:val="en-GB"/>
        </w:rPr>
        <w:t xml:space="preserve"> to emerge. There were concerns about government controls on the currency, a ballooning trade deficit, massive investments i</w:t>
      </w:r>
      <w:r w:rsidRPr="00103DDB">
        <w:rPr>
          <w:lang w:val="en-GB"/>
        </w:rPr>
        <w:t>n</w:t>
      </w:r>
      <w:r w:rsidR="0013576C" w:rsidRPr="00103DDB">
        <w:rPr>
          <w:lang w:val="en-GB"/>
        </w:rPr>
        <w:t xml:space="preserve"> real estate, and a spike in inflation. Inflation, especially on food prices, put pressure on wages that led to worker strife and strikes, even though strikes were still illegal. </w:t>
      </w:r>
    </w:p>
    <w:p w14:paraId="07097321" w14:textId="77777777" w:rsidR="0013576C" w:rsidRPr="00103DDB" w:rsidRDefault="0013576C" w:rsidP="003C0286">
      <w:pPr>
        <w:pStyle w:val="BodyTextMain"/>
        <w:rPr>
          <w:lang w:val="en-GB"/>
        </w:rPr>
      </w:pPr>
    </w:p>
    <w:p w14:paraId="109261C1" w14:textId="1255AF7C" w:rsidR="0013576C" w:rsidRPr="00103DDB" w:rsidRDefault="0013576C" w:rsidP="003C0286">
      <w:pPr>
        <w:pStyle w:val="BodyTextMain"/>
        <w:rPr>
          <w:lang w:val="en-GB"/>
        </w:rPr>
      </w:pPr>
      <w:r w:rsidRPr="00103DDB">
        <w:rPr>
          <w:lang w:val="en-GB"/>
        </w:rPr>
        <w:t xml:space="preserve">These social and economic pressures caused major concerns for the government. </w:t>
      </w:r>
      <w:r w:rsidR="00704061" w:rsidRPr="00103DDB">
        <w:rPr>
          <w:lang w:val="en-GB"/>
        </w:rPr>
        <w:t>T</w:t>
      </w:r>
      <w:r w:rsidRPr="00103DDB">
        <w:rPr>
          <w:lang w:val="en-GB"/>
        </w:rPr>
        <w:t>o ease growth pressures, Vietnam’s central bank sent out strict instructions in early 2008 for all banks to significantly curtail their lending, especially to the domestic private sector. At the same time, even with the global financial crisis not yet at full strength, the stock market rapidly lost value. By mid-2008, stock market capitalization had fallen back down to less than 10 per cent of GDP.</w:t>
      </w:r>
    </w:p>
    <w:p w14:paraId="5ABCD565" w14:textId="77777777" w:rsidR="0013576C" w:rsidRPr="00103DDB" w:rsidRDefault="0013576C" w:rsidP="003C0286">
      <w:pPr>
        <w:pStyle w:val="BodyTextMain"/>
        <w:rPr>
          <w:lang w:val="en-GB"/>
        </w:rPr>
      </w:pPr>
    </w:p>
    <w:p w14:paraId="19536AF2" w14:textId="77777777" w:rsidR="0013576C" w:rsidRPr="00103DDB" w:rsidRDefault="0013576C" w:rsidP="003C0286">
      <w:pPr>
        <w:pStyle w:val="BodyTextMain"/>
        <w:rPr>
          <w:lang w:val="en-GB"/>
        </w:rPr>
      </w:pPr>
    </w:p>
    <w:p w14:paraId="303A84EE" w14:textId="7C39E137" w:rsidR="0013576C" w:rsidRPr="00103DDB" w:rsidRDefault="0013576C" w:rsidP="003C0286">
      <w:pPr>
        <w:pStyle w:val="Casehead1"/>
        <w:rPr>
          <w:lang w:val="en-GB"/>
        </w:rPr>
      </w:pPr>
      <w:r w:rsidRPr="00103DDB">
        <w:rPr>
          <w:lang w:val="en-GB"/>
        </w:rPr>
        <w:t>FOREIGN PRIVATE EQUITY PERSPECTIVE</w:t>
      </w:r>
    </w:p>
    <w:p w14:paraId="500A6F15" w14:textId="77777777" w:rsidR="0013576C" w:rsidRPr="00103DDB" w:rsidRDefault="0013576C" w:rsidP="003C0286">
      <w:pPr>
        <w:rPr>
          <w:lang w:val="en-GB"/>
        </w:rPr>
      </w:pPr>
    </w:p>
    <w:p w14:paraId="3B54638D" w14:textId="77777777" w:rsidR="0013576C" w:rsidRPr="00103DDB" w:rsidRDefault="0013576C" w:rsidP="003C0286">
      <w:pPr>
        <w:pStyle w:val="Casehead2"/>
        <w:rPr>
          <w:lang w:val="en-GB"/>
        </w:rPr>
      </w:pPr>
      <w:r w:rsidRPr="00103DDB">
        <w:rPr>
          <w:lang w:val="en-GB"/>
        </w:rPr>
        <w:t>Vietnam’s Private Equity Industry in 2009</w:t>
      </w:r>
    </w:p>
    <w:p w14:paraId="2F7BF9C8" w14:textId="77777777" w:rsidR="0013576C" w:rsidRPr="00103DDB" w:rsidRDefault="0013576C" w:rsidP="003C0286">
      <w:pPr>
        <w:pStyle w:val="BodyTextMain"/>
        <w:rPr>
          <w:lang w:val="en-GB"/>
        </w:rPr>
      </w:pPr>
    </w:p>
    <w:p w14:paraId="422A342A" w14:textId="07DD2F8D" w:rsidR="0013576C" w:rsidRPr="00DB02B8" w:rsidRDefault="0013576C" w:rsidP="003C0286">
      <w:pPr>
        <w:pStyle w:val="BodyTextMain"/>
        <w:rPr>
          <w:spacing w:val="-2"/>
          <w:kern w:val="22"/>
          <w:lang w:val="en-GB"/>
        </w:rPr>
      </w:pPr>
      <w:r w:rsidRPr="00DB02B8">
        <w:rPr>
          <w:spacing w:val="-2"/>
          <w:kern w:val="22"/>
          <w:lang w:val="en-GB"/>
        </w:rPr>
        <w:t xml:space="preserve">In late July 2008, after months of negotiations, Vietnam-based Indochina Capital was stripped of control over its </w:t>
      </w:r>
      <w:r w:rsidR="00C96E20" w:rsidRPr="00DB02B8">
        <w:rPr>
          <w:spacing w:val="-2"/>
          <w:kern w:val="22"/>
          <w:lang w:val="en-GB"/>
        </w:rPr>
        <w:t xml:space="preserve">PE </w:t>
      </w:r>
      <w:r w:rsidRPr="00DB02B8">
        <w:rPr>
          <w:spacing w:val="-2"/>
          <w:kern w:val="22"/>
          <w:lang w:val="en-GB"/>
        </w:rPr>
        <w:t>fund due to poor performance.</w:t>
      </w:r>
      <w:r w:rsidRPr="00DB02B8">
        <w:rPr>
          <w:rStyle w:val="FootnoteReference"/>
          <w:spacing w:val="-2"/>
          <w:kern w:val="22"/>
          <w:lang w:val="en-GB"/>
        </w:rPr>
        <w:footnoteReference w:id="4"/>
      </w:r>
      <w:r w:rsidRPr="00DB02B8">
        <w:rPr>
          <w:spacing w:val="-2"/>
          <w:kern w:val="22"/>
          <w:lang w:val="en-GB"/>
        </w:rPr>
        <w:t xml:space="preserve"> With the global economy now in a full crisis of its own, the </w:t>
      </w:r>
      <w:r w:rsidR="002074F1" w:rsidRPr="00DB02B8">
        <w:rPr>
          <w:spacing w:val="-2"/>
          <w:kern w:val="22"/>
          <w:lang w:val="en-GB"/>
        </w:rPr>
        <w:t>favourable view</w:t>
      </w:r>
      <w:r w:rsidRPr="00DB02B8">
        <w:rPr>
          <w:spacing w:val="-2"/>
          <w:kern w:val="22"/>
          <w:lang w:val="en-GB"/>
        </w:rPr>
        <w:t xml:space="preserve"> investors had </w:t>
      </w:r>
      <w:r w:rsidR="002074F1" w:rsidRPr="00DB02B8">
        <w:rPr>
          <w:spacing w:val="-2"/>
          <w:kern w:val="22"/>
          <w:lang w:val="en-GB"/>
        </w:rPr>
        <w:t>of</w:t>
      </w:r>
      <w:r w:rsidRPr="00DB02B8">
        <w:rPr>
          <w:spacing w:val="-2"/>
          <w:kern w:val="22"/>
          <w:lang w:val="en-GB"/>
        </w:rPr>
        <w:t xml:space="preserve"> Vietnam w</w:t>
      </w:r>
      <w:r w:rsidR="002074F1" w:rsidRPr="00DB02B8">
        <w:rPr>
          <w:spacing w:val="-2"/>
          <w:kern w:val="22"/>
          <w:lang w:val="en-GB"/>
        </w:rPr>
        <w:t>as</w:t>
      </w:r>
      <w:r w:rsidRPr="00DB02B8">
        <w:rPr>
          <w:spacing w:val="-2"/>
          <w:kern w:val="22"/>
          <w:lang w:val="en-GB"/>
        </w:rPr>
        <w:t xml:space="preserve"> clearly </w:t>
      </w:r>
      <w:r w:rsidR="002074F1" w:rsidRPr="00DB02B8">
        <w:rPr>
          <w:spacing w:val="-2"/>
          <w:kern w:val="22"/>
          <w:lang w:val="en-GB"/>
        </w:rPr>
        <w:t>fading</w:t>
      </w:r>
      <w:r w:rsidRPr="00DB02B8">
        <w:rPr>
          <w:spacing w:val="-2"/>
          <w:kern w:val="22"/>
          <w:lang w:val="en-GB"/>
        </w:rPr>
        <w:t>. They now recognized what had been true all along: Vietnam was a tumultuous emerging market. It had an authoritarian and corrupt government, unpredictable property rights, a lack of contract enforcement, and an abundance of culturally justified, non-transparent, and short-sighted business practices in its leading local companies, many of which were family owned.</w:t>
      </w:r>
      <w:r w:rsidR="00417BF6" w:rsidRPr="00DB02B8">
        <w:rPr>
          <w:rStyle w:val="FootnoteReference"/>
          <w:spacing w:val="-2"/>
          <w:kern w:val="22"/>
          <w:lang w:val="en-GB"/>
        </w:rPr>
        <w:footnoteReference w:id="5"/>
      </w:r>
    </w:p>
    <w:p w14:paraId="6820062C" w14:textId="77777777" w:rsidR="0013576C" w:rsidRPr="00103DDB" w:rsidRDefault="0013576C" w:rsidP="003C0286">
      <w:pPr>
        <w:pStyle w:val="BodyTextMain"/>
        <w:rPr>
          <w:lang w:val="en-GB"/>
        </w:rPr>
      </w:pPr>
    </w:p>
    <w:p w14:paraId="2F99BACD" w14:textId="4B75F78C" w:rsidR="0013576C" w:rsidRPr="00103DDB" w:rsidRDefault="0013576C" w:rsidP="003C0286">
      <w:pPr>
        <w:pStyle w:val="BodyTextMain"/>
        <w:rPr>
          <w:lang w:val="en-GB"/>
        </w:rPr>
      </w:pPr>
      <w:r w:rsidRPr="00103DDB">
        <w:rPr>
          <w:lang w:val="en-GB"/>
        </w:rPr>
        <w:t>None of this was new</w:t>
      </w:r>
      <w:r w:rsidR="002074F1">
        <w:rPr>
          <w:lang w:val="en-GB"/>
        </w:rPr>
        <w:t>s</w:t>
      </w:r>
      <w:r w:rsidRPr="00103DDB">
        <w:rPr>
          <w:lang w:val="en-GB"/>
        </w:rPr>
        <w:t xml:space="preserve"> to Freund, who was a grizzled veteran of Vietnam’s business environment. For him, these market flaws had always been central to the core value proposition of emerging market PE and the Vietnam opportunity</w:t>
      </w:r>
      <w:r w:rsidR="006022F0" w:rsidRPr="00103DDB">
        <w:rPr>
          <w:lang w:val="en-GB"/>
        </w:rPr>
        <w:t>.</w:t>
      </w:r>
      <w:r w:rsidRPr="00103DDB">
        <w:rPr>
          <w:rStyle w:val="FootnoteReference"/>
          <w:lang w:val="en-GB"/>
        </w:rPr>
        <w:footnoteReference w:id="6"/>
      </w:r>
      <w:r w:rsidRPr="00103DDB">
        <w:rPr>
          <w:lang w:val="en-GB"/>
        </w:rPr>
        <w:t xml:space="preserve"> PE firms in emerging markets added value to their investees through their superior abilities to overcome inefficient local markets for resources such as investment capital for growth, working capital</w:t>
      </w:r>
      <w:r w:rsidR="008F63C0" w:rsidRPr="00103DDB">
        <w:rPr>
          <w:lang w:val="en-GB"/>
        </w:rPr>
        <w:t>,</w:t>
      </w:r>
      <w:r w:rsidRPr="00103DDB">
        <w:rPr>
          <w:lang w:val="en-GB"/>
        </w:rPr>
        <w:t xml:space="preserve"> and niche technical expertise. Based on this rationale, PE investment in emerging markets had grown to over $60 billion in 2007 (see Exhibit 4). </w:t>
      </w:r>
    </w:p>
    <w:p w14:paraId="37A004C5" w14:textId="77777777" w:rsidR="0013576C" w:rsidRPr="00103DDB" w:rsidRDefault="0013576C" w:rsidP="003C0286">
      <w:pPr>
        <w:pStyle w:val="BodyTextMain"/>
        <w:rPr>
          <w:lang w:val="en-GB"/>
        </w:rPr>
      </w:pPr>
    </w:p>
    <w:p w14:paraId="10E3B92F" w14:textId="33090BD4" w:rsidR="0013576C" w:rsidRPr="00103DDB" w:rsidRDefault="0013576C" w:rsidP="003C0286">
      <w:pPr>
        <w:pStyle w:val="BodyTextMain"/>
        <w:rPr>
          <w:lang w:val="en-GB"/>
        </w:rPr>
      </w:pPr>
      <w:r w:rsidRPr="00103DDB">
        <w:rPr>
          <w:lang w:val="en-GB"/>
        </w:rPr>
        <w:t xml:space="preserve">Still, there were many </w:t>
      </w:r>
      <w:proofErr w:type="spellStart"/>
      <w:r w:rsidRPr="00103DDB">
        <w:rPr>
          <w:lang w:val="en-GB"/>
        </w:rPr>
        <w:t>skeptics</w:t>
      </w:r>
      <w:proofErr w:type="spellEnd"/>
      <w:r w:rsidRPr="00103DDB">
        <w:rPr>
          <w:lang w:val="en-GB"/>
        </w:rPr>
        <w:t xml:space="preserve"> about emerging market PE. To them, the overlapping global and domestic market crashes spelled doom for PE firms like Mekong and its investments in companies like </w:t>
      </w:r>
      <w:r w:rsidR="00DF20F0" w:rsidRPr="00103DDB">
        <w:rPr>
          <w:lang w:val="en-GB"/>
        </w:rPr>
        <w:t>Mobile World</w:t>
      </w:r>
      <w:r w:rsidRPr="00103DDB">
        <w:rPr>
          <w:lang w:val="en-GB"/>
        </w:rPr>
        <w:t>. The cynic’s ideal model for emerging market PE was a Vietnam</w:t>
      </w:r>
      <w:r w:rsidR="00620BA8" w:rsidRPr="00103DDB">
        <w:rPr>
          <w:lang w:val="en-GB"/>
        </w:rPr>
        <w:t>ese</w:t>
      </w:r>
      <w:r w:rsidRPr="00103DDB">
        <w:rPr>
          <w:lang w:val="en-GB"/>
        </w:rPr>
        <w:t xml:space="preserve"> deal signed in October 2006. PE giants </w:t>
      </w:r>
      <w:r w:rsidR="00CE7E21" w:rsidRPr="00103DDB">
        <w:rPr>
          <w:lang w:val="en-GB"/>
        </w:rPr>
        <w:t xml:space="preserve">Texas Pacific Group </w:t>
      </w:r>
      <w:r w:rsidRPr="00103DDB">
        <w:rPr>
          <w:lang w:val="en-GB"/>
        </w:rPr>
        <w:t xml:space="preserve">and Intel </w:t>
      </w:r>
      <w:r w:rsidR="00A65C8C" w:rsidRPr="00103DDB">
        <w:rPr>
          <w:lang w:val="en-GB"/>
        </w:rPr>
        <w:t xml:space="preserve">Capital </w:t>
      </w:r>
      <w:r w:rsidRPr="00103DDB">
        <w:rPr>
          <w:lang w:val="en-GB"/>
        </w:rPr>
        <w:t xml:space="preserve">made a global splash with their $36 million co-investment in Vietnam’s partially state-owned </w:t>
      </w:r>
      <w:r w:rsidR="00A65C8C" w:rsidRPr="00103DDB">
        <w:rPr>
          <w:lang w:val="en-GB"/>
        </w:rPr>
        <w:t>telecommunications company</w:t>
      </w:r>
      <w:r w:rsidRPr="00103DDB">
        <w:rPr>
          <w:lang w:val="en-GB"/>
        </w:rPr>
        <w:t xml:space="preserve"> </w:t>
      </w:r>
      <w:r w:rsidR="00F33DF9" w:rsidRPr="00103DDB">
        <w:rPr>
          <w:lang w:val="en-GB"/>
        </w:rPr>
        <w:t xml:space="preserve">(telecom) </w:t>
      </w:r>
      <w:r w:rsidRPr="00103DDB">
        <w:rPr>
          <w:lang w:val="en-GB"/>
        </w:rPr>
        <w:t xml:space="preserve">Corporation for Financing and Promoting of Technology, more commonly known as FPT. After listing FPT on the local stock market in August 2007, they rushed to cash in on a terrific </w:t>
      </w:r>
      <w:r w:rsidR="00620BA8" w:rsidRPr="00103DDB">
        <w:rPr>
          <w:lang w:val="en-GB"/>
        </w:rPr>
        <w:t xml:space="preserve">four </w:t>
      </w:r>
      <w:r w:rsidR="00A65C8C" w:rsidRPr="00103DDB">
        <w:rPr>
          <w:lang w:val="en-GB"/>
        </w:rPr>
        <w:t>times</w:t>
      </w:r>
      <w:r w:rsidRPr="00103DDB">
        <w:rPr>
          <w:lang w:val="en-GB"/>
        </w:rPr>
        <w:t xml:space="preserve"> return on their investment. </w:t>
      </w:r>
      <w:r w:rsidR="00A65C8C" w:rsidRPr="00103DDB">
        <w:rPr>
          <w:lang w:val="en-GB"/>
        </w:rPr>
        <w:t>Thus, t</w:t>
      </w:r>
      <w:r w:rsidRPr="00103DDB">
        <w:rPr>
          <w:lang w:val="en-GB"/>
        </w:rPr>
        <w:t xml:space="preserve">hey avoided the crash that began at year’s end. Local critics lamented that these strategic investors had simply cashed </w:t>
      </w:r>
      <w:r w:rsidRPr="00103DDB">
        <w:rPr>
          <w:lang w:val="en-GB"/>
        </w:rPr>
        <w:lastRenderedPageBreak/>
        <w:t>in on their global reputations with over-exuberant investors, while doing nothing to fundamentally improve FPT’s strategy or its operations.</w:t>
      </w:r>
      <w:r w:rsidRPr="00103DDB">
        <w:rPr>
          <w:rStyle w:val="FootnoteReference"/>
          <w:lang w:val="en-GB"/>
        </w:rPr>
        <w:footnoteReference w:id="7"/>
      </w:r>
    </w:p>
    <w:p w14:paraId="03D672B3" w14:textId="77777777" w:rsidR="00FA1496" w:rsidRPr="00103DDB" w:rsidRDefault="00FA1496" w:rsidP="003C0286">
      <w:pPr>
        <w:pStyle w:val="Casehead2"/>
        <w:rPr>
          <w:lang w:val="en-GB"/>
        </w:rPr>
      </w:pPr>
    </w:p>
    <w:p w14:paraId="54FAFD04" w14:textId="77777777" w:rsidR="00FA1496" w:rsidRPr="00103DDB" w:rsidRDefault="00FA1496" w:rsidP="003C0286">
      <w:pPr>
        <w:pStyle w:val="Casehead2"/>
        <w:rPr>
          <w:lang w:val="en-GB"/>
        </w:rPr>
      </w:pPr>
    </w:p>
    <w:p w14:paraId="0B43FBB8" w14:textId="77777777" w:rsidR="0013576C" w:rsidRPr="00103DDB" w:rsidRDefault="0013576C" w:rsidP="003C0286">
      <w:pPr>
        <w:pStyle w:val="Casehead2"/>
        <w:rPr>
          <w:lang w:val="en-GB"/>
        </w:rPr>
      </w:pPr>
      <w:r w:rsidRPr="00103DDB">
        <w:rPr>
          <w:lang w:val="en-GB"/>
        </w:rPr>
        <w:t>Mekong Capital</w:t>
      </w:r>
    </w:p>
    <w:p w14:paraId="4A1C8BCC" w14:textId="77777777" w:rsidR="0013576C" w:rsidRPr="00103DDB" w:rsidRDefault="0013576C" w:rsidP="003C0286">
      <w:pPr>
        <w:pStyle w:val="BodyTextMain"/>
        <w:rPr>
          <w:lang w:val="en-GB"/>
        </w:rPr>
      </w:pPr>
    </w:p>
    <w:p w14:paraId="442BF5AA" w14:textId="7557227B" w:rsidR="0013576C" w:rsidRPr="00103DDB" w:rsidRDefault="0013576C" w:rsidP="003C0286">
      <w:pPr>
        <w:pStyle w:val="BodyTextMain"/>
        <w:rPr>
          <w:lang w:val="en-GB"/>
        </w:rPr>
      </w:pPr>
      <w:r w:rsidRPr="00103DDB">
        <w:rPr>
          <w:lang w:val="en-GB"/>
        </w:rPr>
        <w:t xml:space="preserve">Mekong Capital was headquartered in </w:t>
      </w:r>
      <w:proofErr w:type="spellStart"/>
      <w:r w:rsidRPr="00103DDB">
        <w:rPr>
          <w:lang w:val="en-GB"/>
        </w:rPr>
        <w:t>Ho</w:t>
      </w:r>
      <w:proofErr w:type="spellEnd"/>
      <w:r w:rsidRPr="00103DDB">
        <w:rPr>
          <w:lang w:val="en-GB"/>
        </w:rPr>
        <w:t xml:space="preserve"> Chi Minh City (HCMC). Its strategy was to grow with the fast</w:t>
      </w:r>
      <w:r w:rsidR="002C227B" w:rsidRPr="00103DDB">
        <w:rPr>
          <w:lang w:val="en-GB"/>
        </w:rPr>
        <w:t>-</w:t>
      </w:r>
      <w:r w:rsidRPr="00103DDB">
        <w:rPr>
          <w:lang w:val="en-GB"/>
        </w:rPr>
        <w:t xml:space="preserve"> growing Vietnamese economy by investing in companies that were committed to developing strong management teams founded on best practices. These companies needed clear plans to expand quickly. Most Vietnamese industries were characterized by considerable fragmentation, offering opportunities for growth by becoming a market leader that consolidated markets. Mekong sought to facilitate the expansion of its investees by building the strength of the management team, introducing best practices, u</w:t>
      </w:r>
      <w:r w:rsidR="009919FD" w:rsidRPr="00103DDB">
        <w:rPr>
          <w:lang w:val="en-GB"/>
        </w:rPr>
        <w:t>sing</w:t>
      </w:r>
      <w:r w:rsidRPr="00103DDB">
        <w:rPr>
          <w:lang w:val="en-GB"/>
        </w:rPr>
        <w:t xml:space="preserve"> outside experts to introduce best practices</w:t>
      </w:r>
      <w:r w:rsidR="009919FD" w:rsidRPr="00103DDB">
        <w:rPr>
          <w:lang w:val="en-GB"/>
        </w:rPr>
        <w:t>,</w:t>
      </w:r>
      <w:r w:rsidRPr="00103DDB">
        <w:rPr>
          <w:lang w:val="en-GB"/>
        </w:rPr>
        <w:t xml:space="preserve"> and improving competitiveness through improvements in operational efficiency.</w:t>
      </w:r>
    </w:p>
    <w:p w14:paraId="657C4B74" w14:textId="77777777" w:rsidR="0013576C" w:rsidRPr="00103DDB" w:rsidRDefault="0013576C" w:rsidP="003C0286">
      <w:pPr>
        <w:pStyle w:val="BodyTextMain"/>
        <w:rPr>
          <w:lang w:val="en-GB"/>
        </w:rPr>
      </w:pPr>
    </w:p>
    <w:p w14:paraId="6C679307" w14:textId="712158DA" w:rsidR="0013576C" w:rsidRPr="00103DDB" w:rsidRDefault="0013576C" w:rsidP="003C0286">
      <w:pPr>
        <w:pStyle w:val="BodyTextMain"/>
        <w:rPr>
          <w:lang w:val="en-GB"/>
        </w:rPr>
      </w:pPr>
      <w:r w:rsidRPr="00103DDB">
        <w:rPr>
          <w:lang w:val="en-GB"/>
        </w:rPr>
        <w:t>Mekong’s sole founding partner was Freund. He first came to Vietnam in 1994. In February 1994, the U</w:t>
      </w:r>
      <w:r w:rsidR="009919FD" w:rsidRPr="00103DDB">
        <w:rPr>
          <w:lang w:val="en-GB"/>
        </w:rPr>
        <w:t>nited States</w:t>
      </w:r>
      <w:r w:rsidRPr="00103DDB">
        <w:rPr>
          <w:lang w:val="en-GB"/>
        </w:rPr>
        <w:t xml:space="preserve"> ended its trade embargo</w:t>
      </w:r>
      <w:r w:rsidR="00620BA8" w:rsidRPr="00103DDB">
        <w:rPr>
          <w:lang w:val="en-GB"/>
        </w:rPr>
        <w:t xml:space="preserve"> with Vietnam</w:t>
      </w:r>
      <w:r w:rsidR="009919FD" w:rsidRPr="00103DDB">
        <w:rPr>
          <w:lang w:val="en-GB"/>
        </w:rPr>
        <w:t>, which</w:t>
      </w:r>
      <w:r w:rsidRPr="00103DDB">
        <w:rPr>
          <w:lang w:val="en-GB"/>
        </w:rPr>
        <w:t xml:space="preserve"> had run since the end of the war in April 1975. Freund arrived as the first employee of Templeton Asset Management </w:t>
      </w:r>
      <w:r w:rsidR="009919FD" w:rsidRPr="00103DDB">
        <w:rPr>
          <w:lang w:val="en-GB"/>
        </w:rPr>
        <w:t xml:space="preserve">Ltd. (Templeton) </w:t>
      </w:r>
      <w:r w:rsidRPr="00103DDB">
        <w:rPr>
          <w:lang w:val="en-GB"/>
        </w:rPr>
        <w:t>in Vietnam, working under the famous emerging markets investments guru, Mark Mobius. His work with Templeton ultimately covered Vietnam, South Korea, Taiwan</w:t>
      </w:r>
      <w:r w:rsidR="009919FD" w:rsidRPr="00103DDB">
        <w:rPr>
          <w:lang w:val="en-GB"/>
        </w:rPr>
        <w:t>,</w:t>
      </w:r>
      <w:r w:rsidRPr="00103DDB">
        <w:rPr>
          <w:lang w:val="en-GB"/>
        </w:rPr>
        <w:t xml:space="preserve"> and Israel. </w:t>
      </w:r>
    </w:p>
    <w:p w14:paraId="5C807757" w14:textId="77777777" w:rsidR="0013576C" w:rsidRPr="00103DDB" w:rsidRDefault="0013576C" w:rsidP="003C0286">
      <w:pPr>
        <w:pStyle w:val="BodyTextMain"/>
        <w:rPr>
          <w:lang w:val="en-GB"/>
        </w:rPr>
      </w:pPr>
    </w:p>
    <w:p w14:paraId="476F31ED" w14:textId="0474BB71" w:rsidR="0013576C" w:rsidRPr="006B076B" w:rsidRDefault="0013576C" w:rsidP="003C0286">
      <w:pPr>
        <w:pStyle w:val="BodyTextMain"/>
        <w:rPr>
          <w:spacing w:val="-2"/>
          <w:kern w:val="22"/>
          <w:lang w:val="en-GB"/>
        </w:rPr>
      </w:pPr>
      <w:r w:rsidRPr="006B076B">
        <w:rPr>
          <w:spacing w:val="-2"/>
          <w:kern w:val="22"/>
          <w:lang w:val="en-GB"/>
        </w:rPr>
        <w:t>In 1999, Freund started co</w:t>
      </w:r>
      <w:r w:rsidR="003319F5" w:rsidRPr="006B076B">
        <w:rPr>
          <w:spacing w:val="-2"/>
          <w:kern w:val="22"/>
          <w:lang w:val="en-GB"/>
        </w:rPr>
        <w:t>-</w:t>
      </w:r>
      <w:r w:rsidRPr="006B076B">
        <w:rPr>
          <w:spacing w:val="-2"/>
          <w:kern w:val="22"/>
          <w:lang w:val="en-GB"/>
        </w:rPr>
        <w:t>operating with a World Bank Group program called the Mekong Private Sector Development Facility</w:t>
      </w:r>
      <w:r w:rsidR="00620BA8" w:rsidRPr="006B076B">
        <w:rPr>
          <w:spacing w:val="-2"/>
          <w:kern w:val="22"/>
          <w:lang w:val="en-GB"/>
        </w:rPr>
        <w:t>,</w:t>
      </w:r>
      <w:r w:rsidRPr="006B076B">
        <w:rPr>
          <w:spacing w:val="-2"/>
          <w:kern w:val="22"/>
          <w:lang w:val="en-GB"/>
        </w:rPr>
        <w:t xml:space="preserve"> and the Asian Development Bank</w:t>
      </w:r>
      <w:r w:rsidR="009919FD" w:rsidRPr="006B076B">
        <w:rPr>
          <w:spacing w:val="-2"/>
          <w:kern w:val="22"/>
          <w:lang w:val="en-GB"/>
        </w:rPr>
        <w:t xml:space="preserve">. Together, they worked </w:t>
      </w:r>
      <w:r w:rsidRPr="006B076B">
        <w:rPr>
          <w:spacing w:val="-2"/>
          <w:kern w:val="22"/>
          <w:lang w:val="en-GB"/>
        </w:rPr>
        <w:t xml:space="preserve">on a study of the feasibility of a PE fund aimed at providing growth capital to high-potential firms in Vietnam and neighbouring countries. </w:t>
      </w:r>
    </w:p>
    <w:p w14:paraId="0FDB2B77" w14:textId="77777777" w:rsidR="0013576C" w:rsidRPr="00103DDB" w:rsidRDefault="0013576C" w:rsidP="003C0286">
      <w:pPr>
        <w:pStyle w:val="BodyTextMain"/>
        <w:rPr>
          <w:lang w:val="en-GB"/>
        </w:rPr>
      </w:pPr>
    </w:p>
    <w:p w14:paraId="661F29F4" w14:textId="1D43B981" w:rsidR="0013576C" w:rsidRPr="00103DDB" w:rsidRDefault="0013576C" w:rsidP="003C0286">
      <w:pPr>
        <w:pStyle w:val="BodyTextMain"/>
        <w:rPr>
          <w:lang w:val="en-GB"/>
        </w:rPr>
      </w:pPr>
      <w:r w:rsidRPr="00103DDB">
        <w:rPr>
          <w:lang w:val="en-GB"/>
        </w:rPr>
        <w:t>Freund incorporated Mekong Capital in March 2001. Its first fund was the Mekong Enterprise Fund (MEF), which was launched in April 2002 at a value of</w:t>
      </w:r>
      <w:r w:rsidR="00620BA8" w:rsidRPr="00103DDB">
        <w:rPr>
          <w:lang w:val="en-GB"/>
        </w:rPr>
        <w:t xml:space="preserve"> </w:t>
      </w:r>
      <w:r w:rsidR="009919FD" w:rsidRPr="00103DDB">
        <w:rPr>
          <w:lang w:val="en-GB"/>
        </w:rPr>
        <w:t>$</w:t>
      </w:r>
      <w:r w:rsidRPr="00103DDB">
        <w:rPr>
          <w:lang w:val="en-GB"/>
        </w:rPr>
        <w:t>18.5 million. MEF made 10 investments in the 2003</w:t>
      </w:r>
      <w:r w:rsidR="009919FD" w:rsidRPr="00103DDB">
        <w:rPr>
          <w:lang w:val="en-GB"/>
        </w:rPr>
        <w:t>–</w:t>
      </w:r>
      <w:r w:rsidRPr="00103DDB">
        <w:rPr>
          <w:lang w:val="en-GB"/>
        </w:rPr>
        <w:t>2005 period. The investments targeted export-oriented manufacturers founded by first generation entrepreneurs and run as family businesses. Examples included furniture and garments exporters, such as AA Corporation and Minh Hoang, as well as Saigon Gas</w:t>
      </w:r>
      <w:r w:rsidR="00CE7E21" w:rsidRPr="00103DDB">
        <w:rPr>
          <w:lang w:val="en-GB"/>
        </w:rPr>
        <w:t xml:space="preserve"> Holdings Corp.</w:t>
      </w:r>
      <w:r w:rsidRPr="00103DDB">
        <w:rPr>
          <w:lang w:val="en-GB"/>
        </w:rPr>
        <w:t xml:space="preserve">, which provided liquefied petroleum gas to commercial and residential users. </w:t>
      </w:r>
    </w:p>
    <w:p w14:paraId="5499588C" w14:textId="77777777" w:rsidR="0013576C" w:rsidRPr="00103DDB" w:rsidRDefault="0013576C" w:rsidP="003C0286">
      <w:pPr>
        <w:pStyle w:val="BodyTextMain"/>
        <w:rPr>
          <w:lang w:val="en-GB"/>
        </w:rPr>
      </w:pPr>
    </w:p>
    <w:p w14:paraId="19E6C3B6" w14:textId="0BFBDA3F" w:rsidR="0013576C" w:rsidRPr="006B076B" w:rsidRDefault="0013576C" w:rsidP="003C0286">
      <w:pPr>
        <w:pStyle w:val="BodyTextMain"/>
        <w:rPr>
          <w:spacing w:val="-4"/>
          <w:kern w:val="22"/>
          <w:lang w:val="en-GB"/>
        </w:rPr>
      </w:pPr>
      <w:r w:rsidRPr="006B076B">
        <w:rPr>
          <w:spacing w:val="-4"/>
          <w:kern w:val="22"/>
          <w:lang w:val="en-GB"/>
        </w:rPr>
        <w:t xml:space="preserve">A major challenge for Mekong </w:t>
      </w:r>
      <w:r w:rsidR="002C7BF6" w:rsidRPr="006B076B">
        <w:rPr>
          <w:spacing w:val="-4"/>
          <w:kern w:val="22"/>
          <w:lang w:val="en-GB"/>
        </w:rPr>
        <w:t>with</w:t>
      </w:r>
      <w:r w:rsidRPr="006B076B">
        <w:rPr>
          <w:spacing w:val="-4"/>
          <w:kern w:val="22"/>
          <w:lang w:val="en-GB"/>
        </w:rPr>
        <w:t xml:space="preserve"> its investees was that the family managers in investees often made key decisions based on short-term considerations without consulting Freund and his team. Even agreed-on changes were implemented slowly, with key management positions being reserved for trusted family members. These aspects of </w:t>
      </w:r>
      <w:r w:rsidR="002C7BF6" w:rsidRPr="006B076B">
        <w:rPr>
          <w:spacing w:val="-4"/>
          <w:kern w:val="22"/>
          <w:lang w:val="en-GB"/>
        </w:rPr>
        <w:t xml:space="preserve">company </w:t>
      </w:r>
      <w:r w:rsidRPr="006B076B">
        <w:rPr>
          <w:spacing w:val="-4"/>
          <w:kern w:val="22"/>
          <w:lang w:val="en-GB"/>
        </w:rPr>
        <w:t xml:space="preserve">management </w:t>
      </w:r>
      <w:r w:rsidR="002C7BF6" w:rsidRPr="006B076B">
        <w:rPr>
          <w:spacing w:val="-4"/>
          <w:kern w:val="22"/>
          <w:lang w:val="en-GB"/>
        </w:rPr>
        <w:t>s</w:t>
      </w:r>
      <w:r w:rsidRPr="006B076B">
        <w:rPr>
          <w:spacing w:val="-4"/>
          <w:kern w:val="22"/>
          <w:lang w:val="en-GB"/>
        </w:rPr>
        <w:t xml:space="preserve">temmed from their reluctance to fully share internal information with non-family shareholders. The problems persisted </w:t>
      </w:r>
      <w:r w:rsidR="002C7BF6" w:rsidRPr="006B076B">
        <w:rPr>
          <w:spacing w:val="-4"/>
          <w:kern w:val="22"/>
          <w:lang w:val="en-GB"/>
        </w:rPr>
        <w:t>for</w:t>
      </w:r>
      <w:r w:rsidRPr="006B076B">
        <w:rPr>
          <w:spacing w:val="-4"/>
          <w:kern w:val="22"/>
          <w:lang w:val="en-GB"/>
        </w:rPr>
        <w:t xml:space="preserve"> long-term planning for growth. </w:t>
      </w:r>
      <w:proofErr w:type="gramStart"/>
      <w:r w:rsidRPr="006B076B">
        <w:rPr>
          <w:spacing w:val="-4"/>
          <w:kern w:val="22"/>
          <w:lang w:val="en-GB"/>
        </w:rPr>
        <w:t>Investees</w:t>
      </w:r>
      <w:proofErr w:type="gramEnd"/>
      <w:r w:rsidRPr="006B076B">
        <w:rPr>
          <w:spacing w:val="-4"/>
          <w:kern w:val="22"/>
          <w:lang w:val="en-GB"/>
        </w:rPr>
        <w:t xml:space="preserve"> resisted pressure </w:t>
      </w:r>
      <w:r w:rsidR="00620BA8" w:rsidRPr="006B076B">
        <w:rPr>
          <w:spacing w:val="-4"/>
          <w:kern w:val="22"/>
          <w:lang w:val="en-GB"/>
        </w:rPr>
        <w:t xml:space="preserve">to </w:t>
      </w:r>
      <w:r w:rsidRPr="006B076B">
        <w:rPr>
          <w:spacing w:val="-4"/>
          <w:kern w:val="22"/>
          <w:lang w:val="en-GB"/>
        </w:rPr>
        <w:t>formaliz</w:t>
      </w:r>
      <w:r w:rsidR="00620BA8" w:rsidRPr="006B076B">
        <w:rPr>
          <w:spacing w:val="-4"/>
          <w:kern w:val="22"/>
          <w:lang w:val="en-GB"/>
        </w:rPr>
        <w:t xml:space="preserve">e </w:t>
      </w:r>
      <w:r w:rsidRPr="006B076B">
        <w:rPr>
          <w:spacing w:val="-4"/>
          <w:kern w:val="22"/>
          <w:lang w:val="en-GB"/>
        </w:rPr>
        <w:t xml:space="preserve">a strategy process aimed at setting ambitious annual and long-term targets. </w:t>
      </w:r>
    </w:p>
    <w:p w14:paraId="712784F7" w14:textId="77777777" w:rsidR="00620BA8" w:rsidRPr="00103DDB" w:rsidRDefault="00620BA8" w:rsidP="003C0286">
      <w:pPr>
        <w:pStyle w:val="BodyTextMain"/>
        <w:rPr>
          <w:lang w:val="en-GB"/>
        </w:rPr>
      </w:pPr>
    </w:p>
    <w:p w14:paraId="18B6C98A" w14:textId="296E99F3" w:rsidR="0013576C" w:rsidRDefault="00620BA8" w:rsidP="003C0286">
      <w:pPr>
        <w:pStyle w:val="BodyTextMain"/>
        <w:rPr>
          <w:lang w:val="en-GB"/>
        </w:rPr>
      </w:pPr>
      <w:r w:rsidRPr="00103DDB">
        <w:rPr>
          <w:lang w:val="en-GB"/>
        </w:rPr>
        <w:t xml:space="preserve">This environment did not </w:t>
      </w:r>
      <w:r w:rsidR="0013576C" w:rsidRPr="00103DDB">
        <w:rPr>
          <w:lang w:val="en-GB"/>
        </w:rPr>
        <w:t>bode well for the standard PE goal of making returns though an exit on the stock market or a trade sale.</w:t>
      </w:r>
      <w:r w:rsidR="002C7BF6" w:rsidRPr="00103DDB">
        <w:rPr>
          <w:lang w:val="en-GB"/>
        </w:rPr>
        <w:t xml:space="preserve"> However, it </w:t>
      </w:r>
      <w:r w:rsidR="0013576C" w:rsidRPr="00103DDB">
        <w:rPr>
          <w:lang w:val="en-GB"/>
        </w:rPr>
        <w:t>was fine for most founders, who still had visions of keeping the company within the family. As a result of these challenges</w:t>
      </w:r>
      <w:r w:rsidR="002C7BF6" w:rsidRPr="00103DDB">
        <w:rPr>
          <w:lang w:val="en-GB"/>
        </w:rPr>
        <w:t xml:space="preserve"> and </w:t>
      </w:r>
      <w:r w:rsidR="0013576C" w:rsidRPr="00103DDB">
        <w:rPr>
          <w:lang w:val="en-GB"/>
        </w:rPr>
        <w:t>the difficult global conditions, it was not until December 2008 that Mekong exited its first investment, selling its shares in Saigon Gas to Total</w:t>
      </w:r>
      <w:r w:rsidR="002C7BF6" w:rsidRPr="00103DDB">
        <w:rPr>
          <w:lang w:val="en-GB"/>
        </w:rPr>
        <w:t xml:space="preserve"> Group</w:t>
      </w:r>
      <w:r w:rsidR="0013576C" w:rsidRPr="00103DDB">
        <w:rPr>
          <w:lang w:val="en-GB"/>
        </w:rPr>
        <w:t>, the French oil and gas giant.</w:t>
      </w:r>
      <w:r w:rsidR="0013576C" w:rsidRPr="00103DDB">
        <w:rPr>
          <w:rStyle w:val="FootnoteReference"/>
          <w:lang w:val="en-GB"/>
        </w:rPr>
        <w:footnoteReference w:id="8"/>
      </w:r>
    </w:p>
    <w:p w14:paraId="1314C4F7" w14:textId="77777777" w:rsidR="00D431D4" w:rsidRPr="00103DDB" w:rsidRDefault="00D431D4" w:rsidP="003C0286">
      <w:pPr>
        <w:pStyle w:val="BodyTextMain"/>
        <w:rPr>
          <w:lang w:val="en-GB"/>
        </w:rPr>
      </w:pPr>
    </w:p>
    <w:p w14:paraId="3E987D8E" w14:textId="7D179A68" w:rsidR="0013576C" w:rsidRPr="00103DDB" w:rsidRDefault="0013576C" w:rsidP="003C0286">
      <w:pPr>
        <w:pStyle w:val="BodyTextMain"/>
        <w:rPr>
          <w:lang w:val="en-GB"/>
        </w:rPr>
      </w:pPr>
      <w:r w:rsidRPr="00103DDB">
        <w:rPr>
          <w:lang w:val="en-GB"/>
        </w:rPr>
        <w:t>Mekong raised two additional funds during this period. The first was the Mekong Enterprise Fund II, a $50</w:t>
      </w:r>
      <w:r w:rsidR="00785A3D" w:rsidRPr="00103DDB">
        <w:rPr>
          <w:lang w:val="en-GB"/>
        </w:rPr>
        <w:t> </w:t>
      </w:r>
      <w:r w:rsidRPr="00103DDB">
        <w:rPr>
          <w:lang w:val="en-GB"/>
        </w:rPr>
        <w:t xml:space="preserve">million fund launched in 2006. It was through this fund that Mekong invested in </w:t>
      </w:r>
      <w:r w:rsidR="00DF20F0" w:rsidRPr="00103DDB">
        <w:rPr>
          <w:lang w:val="en-GB"/>
        </w:rPr>
        <w:t>Mobile World</w:t>
      </w:r>
      <w:r w:rsidRPr="00103DDB">
        <w:rPr>
          <w:lang w:val="en-GB"/>
        </w:rPr>
        <w:t xml:space="preserve">, </w:t>
      </w:r>
      <w:r w:rsidRPr="00103DDB">
        <w:rPr>
          <w:lang w:val="en-GB"/>
        </w:rPr>
        <w:lastRenderedPageBreak/>
        <w:t xml:space="preserve">alongside its investments in nine other Vietnamese firms. The </w:t>
      </w:r>
      <w:r w:rsidR="00896474" w:rsidRPr="00103DDB">
        <w:rPr>
          <w:lang w:val="en-GB"/>
        </w:rPr>
        <w:t>idea behind</w:t>
      </w:r>
      <w:r w:rsidRPr="00103DDB">
        <w:rPr>
          <w:lang w:val="en-GB"/>
        </w:rPr>
        <w:t xml:space="preserve"> the fund was a strategic shift toward domestically-oriented, consumer-driven businesses. This</w:t>
      </w:r>
      <w:r w:rsidR="00896474" w:rsidRPr="00103DDB">
        <w:rPr>
          <w:lang w:val="en-GB"/>
        </w:rPr>
        <w:t xml:space="preserve"> shift</w:t>
      </w:r>
      <w:r w:rsidRPr="00103DDB">
        <w:rPr>
          <w:lang w:val="en-GB"/>
        </w:rPr>
        <w:t xml:space="preserve"> involved consciously turning to the young generation of local entrepreneurs who had grown up under Vietnam’s market reforms. This new generation had a modern and transparent perspective on business management and strategy. </w:t>
      </w:r>
    </w:p>
    <w:p w14:paraId="78494323" w14:textId="77777777" w:rsidR="002C227B" w:rsidRPr="00103DDB" w:rsidRDefault="002C227B" w:rsidP="003C0286">
      <w:pPr>
        <w:pStyle w:val="BodyTextMain"/>
        <w:rPr>
          <w:lang w:val="en-GB"/>
        </w:rPr>
      </w:pPr>
    </w:p>
    <w:p w14:paraId="7B158DF1" w14:textId="0DD1EE12" w:rsidR="0013576C" w:rsidRPr="00103DDB" w:rsidRDefault="0013576C" w:rsidP="003C0286">
      <w:pPr>
        <w:pStyle w:val="BodyTextMain"/>
        <w:rPr>
          <w:lang w:val="en-GB"/>
        </w:rPr>
      </w:pPr>
      <w:r w:rsidRPr="00103DDB">
        <w:rPr>
          <w:lang w:val="en-GB"/>
        </w:rPr>
        <w:t>In mid-2007, with the stock market at its apex, Mekong launched a</w:t>
      </w:r>
      <w:r w:rsidR="00620BA8" w:rsidRPr="00103DDB">
        <w:rPr>
          <w:lang w:val="en-GB"/>
        </w:rPr>
        <w:t xml:space="preserve"> </w:t>
      </w:r>
      <w:r w:rsidR="002C7BF6" w:rsidRPr="00103DDB">
        <w:rPr>
          <w:lang w:val="en-GB"/>
        </w:rPr>
        <w:t>$</w:t>
      </w:r>
      <w:r w:rsidRPr="00103DDB">
        <w:rPr>
          <w:lang w:val="en-GB"/>
        </w:rPr>
        <w:t>64 million fund</w:t>
      </w:r>
      <w:r w:rsidR="00620BA8" w:rsidRPr="00103DDB">
        <w:rPr>
          <w:lang w:val="en-GB"/>
        </w:rPr>
        <w:t>—</w:t>
      </w:r>
      <w:r w:rsidRPr="00103DDB">
        <w:rPr>
          <w:lang w:val="en-GB"/>
        </w:rPr>
        <w:t xml:space="preserve">the Vietnam Azalea Fund. This fund targeted firms with plans for a public listing within the next two years. </w:t>
      </w:r>
      <w:r w:rsidR="00620BA8" w:rsidRPr="00103DDB">
        <w:rPr>
          <w:lang w:val="en-GB"/>
        </w:rPr>
        <w:t xml:space="preserve">The fund </w:t>
      </w:r>
      <w:r w:rsidRPr="00103DDB">
        <w:rPr>
          <w:lang w:val="en-GB"/>
        </w:rPr>
        <w:t xml:space="preserve">comprised </w:t>
      </w:r>
      <w:r w:rsidR="00620BA8" w:rsidRPr="00103DDB">
        <w:rPr>
          <w:lang w:val="en-GB"/>
        </w:rPr>
        <w:t>10 deals,</w:t>
      </w:r>
      <w:r w:rsidRPr="00103DDB">
        <w:rPr>
          <w:lang w:val="en-GB"/>
        </w:rPr>
        <w:t xml:space="preserve"> including a May 2009 investment in Masan Food</w:t>
      </w:r>
      <w:r w:rsidR="00896474" w:rsidRPr="00103DDB">
        <w:rPr>
          <w:lang w:val="en-GB"/>
        </w:rPr>
        <w:t xml:space="preserve"> Corporation</w:t>
      </w:r>
      <w:r w:rsidRPr="00103DDB">
        <w:rPr>
          <w:lang w:val="en-GB"/>
        </w:rPr>
        <w:t>, a leading domestic producer of sauces, seasonings, and instant noodles.</w:t>
      </w:r>
    </w:p>
    <w:p w14:paraId="04F36332" w14:textId="77777777" w:rsidR="0013576C" w:rsidRPr="00103DDB" w:rsidRDefault="0013576C" w:rsidP="003C0286">
      <w:pPr>
        <w:pStyle w:val="BodyTextMain"/>
        <w:rPr>
          <w:lang w:val="en-GB"/>
        </w:rPr>
      </w:pPr>
    </w:p>
    <w:p w14:paraId="08312665" w14:textId="468208EF" w:rsidR="0013576C" w:rsidRPr="00103DDB" w:rsidRDefault="0013576C" w:rsidP="003C0286">
      <w:pPr>
        <w:pStyle w:val="BodyTextMain"/>
        <w:rPr>
          <w:lang w:val="en-GB"/>
        </w:rPr>
      </w:pPr>
      <w:r w:rsidRPr="00103DDB">
        <w:rPr>
          <w:lang w:val="en-GB"/>
        </w:rPr>
        <w:t>With these three funds, Mekong became a larger and more complex organization. Problems soon arose with an organization</w:t>
      </w:r>
      <w:r w:rsidR="00896474" w:rsidRPr="00103DDB">
        <w:rPr>
          <w:lang w:val="en-GB"/>
        </w:rPr>
        <w:t>al</w:t>
      </w:r>
      <w:r w:rsidRPr="00103DDB">
        <w:rPr>
          <w:lang w:val="en-GB"/>
        </w:rPr>
        <w:t xml:space="preserve"> structure that relied on </w:t>
      </w:r>
      <w:r w:rsidR="00896474" w:rsidRPr="00103DDB">
        <w:rPr>
          <w:lang w:val="en-GB"/>
        </w:rPr>
        <w:t>Freund</w:t>
      </w:r>
      <w:r w:rsidRPr="00103DDB">
        <w:rPr>
          <w:lang w:val="en-GB"/>
        </w:rPr>
        <w:t xml:space="preserve">, as the sole partner, to micro-manage everything in a top-down manner. After taking leadership courses in 2007, </w:t>
      </w:r>
      <w:r w:rsidR="00896474" w:rsidRPr="00103DDB">
        <w:rPr>
          <w:lang w:val="en-GB"/>
        </w:rPr>
        <w:t>Freund</w:t>
      </w:r>
      <w:r w:rsidRPr="00103DDB">
        <w:rPr>
          <w:lang w:val="en-GB"/>
        </w:rPr>
        <w:t xml:space="preserve"> enacted a major organizational restructuring in 2008. He brought in additional management</w:t>
      </w:r>
      <w:r w:rsidR="00896474" w:rsidRPr="00103DDB">
        <w:rPr>
          <w:lang w:val="en-GB"/>
        </w:rPr>
        <w:t>-</w:t>
      </w:r>
      <w:r w:rsidRPr="00103DDB">
        <w:rPr>
          <w:lang w:val="en-GB"/>
        </w:rPr>
        <w:t>level talent and used training to cultivate leadership capabilities in key employees. In Freund’s own words: “It’s like executive coaching. You don’t tell people what to do, you want them to set their own goals</w:t>
      </w:r>
      <w:r w:rsidR="00896474" w:rsidRPr="00103DDB">
        <w:rPr>
          <w:lang w:val="en-GB"/>
        </w:rPr>
        <w:t>. Y</w:t>
      </w:r>
      <w:r w:rsidRPr="00103DDB">
        <w:rPr>
          <w:lang w:val="en-GB"/>
        </w:rPr>
        <w:t>ou want them to generate what actions they’re going to take. But you want to choose coachable clients.”</w:t>
      </w:r>
    </w:p>
    <w:p w14:paraId="609AB121" w14:textId="77777777" w:rsidR="0013576C" w:rsidRPr="00103DDB" w:rsidRDefault="0013576C" w:rsidP="003C0286">
      <w:pPr>
        <w:pStyle w:val="BodyTextMain"/>
        <w:rPr>
          <w:lang w:val="en-GB"/>
        </w:rPr>
      </w:pPr>
    </w:p>
    <w:p w14:paraId="298A20EC" w14:textId="06A3715E" w:rsidR="0013576C" w:rsidRPr="00103DDB" w:rsidRDefault="0013576C" w:rsidP="003C0286">
      <w:pPr>
        <w:pStyle w:val="BodyTextMain"/>
        <w:rPr>
          <w:lang w:val="en-GB"/>
        </w:rPr>
      </w:pPr>
      <w:r w:rsidRPr="00103DDB">
        <w:rPr>
          <w:lang w:val="en-GB"/>
        </w:rPr>
        <w:t>The goal was to better manage Mekong’s rapid growth by ensuring that its representatives were competent</w:t>
      </w:r>
      <w:r w:rsidR="00896474" w:rsidRPr="00103DDB">
        <w:rPr>
          <w:lang w:val="en-GB"/>
        </w:rPr>
        <w:t>,</w:t>
      </w:r>
      <w:r w:rsidRPr="00103DDB">
        <w:rPr>
          <w:lang w:val="en-GB"/>
        </w:rPr>
        <w:t xml:space="preserve"> and empowered to work directly with portfolio companies to make and take personal responsibility for key strategic decisions. This process was far from easy, with multiple managers deciding to leave Mekong amid the changes. </w:t>
      </w:r>
    </w:p>
    <w:p w14:paraId="331DC0B9" w14:textId="77777777" w:rsidR="0013576C" w:rsidRPr="00103DDB" w:rsidRDefault="0013576C" w:rsidP="003C0286">
      <w:pPr>
        <w:pStyle w:val="BodyTextMain"/>
        <w:rPr>
          <w:lang w:val="en-GB"/>
        </w:rPr>
      </w:pPr>
    </w:p>
    <w:p w14:paraId="17773B85" w14:textId="77777777" w:rsidR="0013576C" w:rsidRPr="00103DDB" w:rsidRDefault="0013576C" w:rsidP="003C0286">
      <w:pPr>
        <w:pStyle w:val="BodyTextMain"/>
        <w:rPr>
          <w:lang w:val="en-GB"/>
        </w:rPr>
      </w:pPr>
    </w:p>
    <w:p w14:paraId="54332DA3" w14:textId="4740DDF8" w:rsidR="0013576C" w:rsidRPr="00103DDB" w:rsidRDefault="0013576C" w:rsidP="003C0286">
      <w:pPr>
        <w:pStyle w:val="Casehead1"/>
        <w:rPr>
          <w:lang w:val="en-GB"/>
        </w:rPr>
      </w:pPr>
      <w:r w:rsidRPr="00103DDB">
        <w:rPr>
          <w:lang w:val="en-GB"/>
        </w:rPr>
        <w:t>BUSINESS OPPORTUNITY</w:t>
      </w:r>
    </w:p>
    <w:p w14:paraId="4A6ABBA1" w14:textId="77777777" w:rsidR="0013576C" w:rsidRPr="00103DDB" w:rsidRDefault="0013576C" w:rsidP="003C0286">
      <w:pPr>
        <w:outlineLvl w:val="0"/>
        <w:rPr>
          <w:b/>
          <w:lang w:val="en-GB"/>
        </w:rPr>
      </w:pPr>
    </w:p>
    <w:p w14:paraId="7BACDB2A" w14:textId="77777777" w:rsidR="0013576C" w:rsidRPr="00103DDB" w:rsidRDefault="0013576C" w:rsidP="007B5486">
      <w:pPr>
        <w:pStyle w:val="Casehead1"/>
        <w:rPr>
          <w:lang w:val="en-GB"/>
        </w:rPr>
      </w:pPr>
      <w:r w:rsidRPr="00103DDB">
        <w:rPr>
          <w:caps w:val="0"/>
          <w:lang w:val="en-GB"/>
        </w:rPr>
        <w:t>Mobile Phones in Vietnam</w:t>
      </w:r>
    </w:p>
    <w:p w14:paraId="3160C5A2" w14:textId="77777777" w:rsidR="0013576C" w:rsidRPr="00103DDB" w:rsidRDefault="0013576C" w:rsidP="003C0286">
      <w:pPr>
        <w:pStyle w:val="BodyTextMain"/>
        <w:rPr>
          <w:lang w:val="en-GB"/>
        </w:rPr>
      </w:pPr>
    </w:p>
    <w:p w14:paraId="688A9690" w14:textId="1E903D20" w:rsidR="0013576C" w:rsidRPr="00103DDB" w:rsidRDefault="0013576C" w:rsidP="003C0286">
      <w:pPr>
        <w:pStyle w:val="BodyTextMain"/>
        <w:rPr>
          <w:lang w:val="en-GB"/>
        </w:rPr>
      </w:pPr>
      <w:r w:rsidRPr="00103DDB">
        <w:rPr>
          <w:lang w:val="en-GB"/>
        </w:rPr>
        <w:t>Mobile phones were as popular in Vietnam as in other major South</w:t>
      </w:r>
      <w:r w:rsidR="006907E8" w:rsidRPr="00103DDB">
        <w:rPr>
          <w:lang w:val="en-GB"/>
        </w:rPr>
        <w:t>e</w:t>
      </w:r>
      <w:r w:rsidRPr="00103DDB">
        <w:rPr>
          <w:lang w:val="en-GB"/>
        </w:rPr>
        <w:t xml:space="preserve">ast Asian economies, Year-on-year growth was strong (see Exhibit 2). Much of this growth was in rural areas, where traditional telephone infrastructure was poor. A surprising number of Vietnamese owned multiple mobile phones. </w:t>
      </w:r>
    </w:p>
    <w:p w14:paraId="27BF13CA" w14:textId="77777777" w:rsidR="0013576C" w:rsidRPr="00103DDB" w:rsidRDefault="0013576C" w:rsidP="003C0286">
      <w:pPr>
        <w:pStyle w:val="BodyTextMain"/>
        <w:rPr>
          <w:lang w:val="en-GB"/>
        </w:rPr>
      </w:pPr>
    </w:p>
    <w:p w14:paraId="6867016D" w14:textId="0D8B722F" w:rsidR="0013576C" w:rsidRPr="00103DDB" w:rsidRDefault="0013576C" w:rsidP="003C0286">
      <w:pPr>
        <w:pStyle w:val="BodyTextMain"/>
        <w:rPr>
          <w:lang w:val="en-GB"/>
        </w:rPr>
      </w:pPr>
      <w:r w:rsidRPr="00103DDB">
        <w:rPr>
          <w:lang w:val="en-GB"/>
        </w:rPr>
        <w:t xml:space="preserve">That said, the 33 per cent growth in 2008 represented a fourth consecutive year of slowing growth in mobile phone sales. Furthermore, per unit prices were sliding, having fallen 32 per cent since 2004. The market leader was Nokia, which had approximately two thirds of the market at that time. Nokia used </w:t>
      </w:r>
      <w:r w:rsidR="006907E8" w:rsidRPr="00103DDB">
        <w:rPr>
          <w:lang w:val="en-GB"/>
        </w:rPr>
        <w:t xml:space="preserve">its </w:t>
      </w:r>
      <w:r w:rsidRPr="00103DDB">
        <w:rPr>
          <w:lang w:val="en-GB"/>
        </w:rPr>
        <w:t>market power to distribute benefits across the value chain. After paying intermediaries, only 7</w:t>
      </w:r>
      <w:r w:rsidR="006907E8" w:rsidRPr="00103DDB">
        <w:rPr>
          <w:lang w:val="en-GB"/>
        </w:rPr>
        <w:t>–</w:t>
      </w:r>
      <w:r w:rsidRPr="00103DDB">
        <w:rPr>
          <w:lang w:val="en-GB"/>
        </w:rPr>
        <w:t xml:space="preserve">8 per cent of the price of a phone went to retailers like </w:t>
      </w:r>
      <w:r w:rsidR="00DF20F0" w:rsidRPr="00103DDB">
        <w:rPr>
          <w:lang w:val="en-GB"/>
        </w:rPr>
        <w:t>Mobile World</w:t>
      </w:r>
      <w:r w:rsidRPr="00103DDB">
        <w:rPr>
          <w:lang w:val="en-GB"/>
        </w:rPr>
        <w:t xml:space="preserve">. </w:t>
      </w:r>
    </w:p>
    <w:p w14:paraId="67B3C4C6" w14:textId="77777777" w:rsidR="006907E8" w:rsidRPr="00103DDB" w:rsidRDefault="006907E8" w:rsidP="003C0286">
      <w:pPr>
        <w:pStyle w:val="BodyTextMain"/>
        <w:rPr>
          <w:lang w:val="en-GB"/>
        </w:rPr>
      </w:pPr>
    </w:p>
    <w:p w14:paraId="0E3D0BA1" w14:textId="607D5AFE" w:rsidR="003C0286" w:rsidRPr="00103DDB" w:rsidRDefault="006907E8" w:rsidP="003C0286">
      <w:pPr>
        <w:pStyle w:val="BodyTextMain"/>
        <w:rPr>
          <w:lang w:val="en-GB"/>
        </w:rPr>
      </w:pPr>
      <w:r w:rsidRPr="00103DDB">
        <w:rPr>
          <w:lang w:val="en-GB"/>
        </w:rPr>
        <w:t>However,</w:t>
      </w:r>
      <w:r w:rsidR="0013576C" w:rsidRPr="00103DDB">
        <w:rPr>
          <w:lang w:val="en-GB"/>
        </w:rPr>
        <w:t xml:space="preserve"> Nokia was coming under pressure from new competitors and innovation. Th</w:t>
      </w:r>
      <w:r w:rsidRPr="00103DDB">
        <w:rPr>
          <w:lang w:val="en-GB"/>
        </w:rPr>
        <w:t>ere was</w:t>
      </w:r>
      <w:r w:rsidR="0013576C" w:rsidRPr="00103DDB">
        <w:rPr>
          <w:lang w:val="en-GB"/>
        </w:rPr>
        <w:t xml:space="preserve"> a relentless flow of new models, even as customers were slowing the speed with which they replaced their old phones. These new models did not yet include smartphones, as the Vietnamese government had announced in early 2008 that it would be granting a license for the country’s first 3G service sometime in 2009.</w:t>
      </w:r>
      <w:r w:rsidR="0013576C" w:rsidRPr="00103DDB">
        <w:rPr>
          <w:rStyle w:val="FootnoteReference"/>
          <w:lang w:val="en-GB"/>
        </w:rPr>
        <w:footnoteReference w:id="9"/>
      </w:r>
      <w:r w:rsidR="0013576C" w:rsidRPr="00103DDB">
        <w:rPr>
          <w:lang w:val="en-GB"/>
        </w:rPr>
        <w:t xml:space="preserve"> </w:t>
      </w:r>
      <w:r w:rsidR="003C0286" w:rsidRPr="00103DDB">
        <w:rPr>
          <w:lang w:val="en-GB"/>
        </w:rPr>
        <w:t xml:space="preserve">Furthermore, smartphones were expensive. Due to limited supply, the typical retail price in Vietnam for Apple’s first iPhone approximated the country’s average annual per capita income. </w:t>
      </w:r>
    </w:p>
    <w:p w14:paraId="56F3D5BC" w14:textId="77777777" w:rsidR="003C0286" w:rsidRPr="00103DDB" w:rsidRDefault="003C0286" w:rsidP="003C0286">
      <w:pPr>
        <w:pStyle w:val="BodyTextMain"/>
        <w:rPr>
          <w:lang w:val="en-GB"/>
        </w:rPr>
      </w:pPr>
    </w:p>
    <w:p w14:paraId="635B7A9E" w14:textId="5568E15B" w:rsidR="003C0286" w:rsidRPr="00103DDB" w:rsidRDefault="003C0286" w:rsidP="003C0286">
      <w:pPr>
        <w:pStyle w:val="BodyTextMain"/>
        <w:rPr>
          <w:lang w:val="en-GB"/>
        </w:rPr>
      </w:pPr>
      <w:r w:rsidRPr="00103DDB">
        <w:rPr>
          <w:lang w:val="en-GB"/>
        </w:rPr>
        <w:t xml:space="preserve">Demand for mobile phones was primarily met by a retail network of </w:t>
      </w:r>
      <w:r w:rsidR="00A6217E">
        <w:rPr>
          <w:lang w:val="en-GB"/>
        </w:rPr>
        <w:t xml:space="preserve">small local stores, commonly referred to as </w:t>
      </w:r>
      <w:r w:rsidRPr="00103DDB">
        <w:rPr>
          <w:lang w:val="en-GB"/>
        </w:rPr>
        <w:t>mom-and-pop shops</w:t>
      </w:r>
      <w:r w:rsidR="00A6217E">
        <w:rPr>
          <w:lang w:val="en-GB"/>
        </w:rPr>
        <w:t>,</w:t>
      </w:r>
      <w:r w:rsidRPr="00103DDB">
        <w:rPr>
          <w:lang w:val="en-GB"/>
        </w:rPr>
        <w:t xml:space="preserve"> run out of the sidewalk-f</w:t>
      </w:r>
      <w:r w:rsidR="00D04895" w:rsidRPr="00103DDB">
        <w:rPr>
          <w:lang w:val="en-GB"/>
        </w:rPr>
        <w:t>acing fronts of people’s homes</w:t>
      </w:r>
      <w:r w:rsidRPr="00103DDB">
        <w:rPr>
          <w:lang w:val="en-GB"/>
        </w:rPr>
        <w:t xml:space="preserve">. HCMC had 10,000 such </w:t>
      </w:r>
      <w:r w:rsidRPr="00103DDB">
        <w:rPr>
          <w:lang w:val="en-GB"/>
        </w:rPr>
        <w:lastRenderedPageBreak/>
        <w:t xml:space="preserve">shops in 2004, or one shop for every thousand residents. Mom-and-pop shops accounted for essentially all </w:t>
      </w:r>
      <w:r w:rsidR="00F33DF9" w:rsidRPr="00103DDB">
        <w:rPr>
          <w:lang w:val="en-GB"/>
        </w:rPr>
        <w:t xml:space="preserve">the </w:t>
      </w:r>
      <w:r w:rsidRPr="00103DDB">
        <w:rPr>
          <w:lang w:val="en-GB"/>
        </w:rPr>
        <w:t>demand in Vietnam’s expansive countryside. This system emphasized convenience</w:t>
      </w:r>
      <w:r w:rsidR="00F33DF9" w:rsidRPr="00103DDB">
        <w:rPr>
          <w:lang w:val="en-GB"/>
        </w:rPr>
        <w:t>,</w:t>
      </w:r>
      <w:r w:rsidRPr="00103DDB">
        <w:rPr>
          <w:lang w:val="en-GB"/>
        </w:rPr>
        <w:t xml:space="preserve"> but competition was intense. The shops ran on low margins</w:t>
      </w:r>
      <w:r w:rsidR="00F33DF9" w:rsidRPr="00103DDB">
        <w:rPr>
          <w:lang w:val="en-GB"/>
        </w:rPr>
        <w:t>, and s</w:t>
      </w:r>
      <w:r w:rsidRPr="00103DDB">
        <w:rPr>
          <w:lang w:val="en-GB"/>
        </w:rPr>
        <w:t xml:space="preserve">ervice was secondary to price leadership. The typical shop was a small family business led by a stay-at-home parent. Fake products, especially for batteries, proliferated in this market. </w:t>
      </w:r>
    </w:p>
    <w:p w14:paraId="4A0C0A41" w14:textId="77777777" w:rsidR="00A43707" w:rsidRPr="00103DDB" w:rsidRDefault="00A43707" w:rsidP="003C0286">
      <w:pPr>
        <w:pStyle w:val="BodyTextMain"/>
        <w:rPr>
          <w:lang w:val="en-GB"/>
        </w:rPr>
      </w:pPr>
    </w:p>
    <w:p w14:paraId="477BD9C3" w14:textId="07A6845A" w:rsidR="003C0286" w:rsidRPr="00103DDB" w:rsidRDefault="00DF20F0" w:rsidP="003C0286">
      <w:pPr>
        <w:pStyle w:val="BodyTextMain"/>
        <w:rPr>
          <w:lang w:val="en-GB"/>
        </w:rPr>
      </w:pPr>
      <w:r w:rsidRPr="00103DDB">
        <w:rPr>
          <w:lang w:val="en-GB"/>
        </w:rPr>
        <w:t>Mobile World</w:t>
      </w:r>
      <w:r w:rsidR="003C0286" w:rsidRPr="00103DDB">
        <w:rPr>
          <w:lang w:val="en-GB"/>
        </w:rPr>
        <w:t xml:space="preserve"> was one of four mobile phone retail chains in the country. One of the others was the more experienced</w:t>
      </w:r>
      <w:r w:rsidR="00F33DF9" w:rsidRPr="00103DDB">
        <w:rPr>
          <w:lang w:val="en-GB"/>
        </w:rPr>
        <w:t xml:space="preserve"> and</w:t>
      </w:r>
      <w:r w:rsidR="003C0286" w:rsidRPr="00103DDB">
        <w:rPr>
          <w:lang w:val="en-GB"/>
        </w:rPr>
        <w:t xml:space="preserve"> family-owned </w:t>
      </w:r>
      <w:proofErr w:type="spellStart"/>
      <w:r w:rsidR="003C0286" w:rsidRPr="00103DDB">
        <w:rPr>
          <w:lang w:val="en-GB"/>
        </w:rPr>
        <w:t>Vien</w:t>
      </w:r>
      <w:proofErr w:type="spellEnd"/>
      <w:r w:rsidR="003C0286" w:rsidRPr="00103DDB">
        <w:rPr>
          <w:lang w:val="en-GB"/>
        </w:rPr>
        <w:t xml:space="preserve"> Thong A</w:t>
      </w:r>
      <w:r w:rsidR="008E4DD7" w:rsidRPr="00103DDB">
        <w:rPr>
          <w:lang w:val="en-GB"/>
        </w:rPr>
        <w:t xml:space="preserve"> Import Export Trading Production Corporation</w:t>
      </w:r>
      <w:r w:rsidR="003C0286" w:rsidRPr="00103DDB">
        <w:rPr>
          <w:lang w:val="en-GB"/>
        </w:rPr>
        <w:t>, which had approximately 50 stores in 2009. The remaining two competitors were both affiliated with the state. One was the deep-pocketed, partially state-owned, and highly diversified FPT. The other was</w:t>
      </w:r>
      <w:r w:rsidR="000034D0" w:rsidRPr="00103DDB">
        <w:rPr>
          <w:lang w:val="en-GB"/>
        </w:rPr>
        <w:t xml:space="preserve"> </w:t>
      </w:r>
      <w:proofErr w:type="spellStart"/>
      <w:r w:rsidR="000034D0" w:rsidRPr="00103DDB">
        <w:rPr>
          <w:lang w:val="en-GB"/>
        </w:rPr>
        <w:t>Viettel</w:t>
      </w:r>
      <w:proofErr w:type="spellEnd"/>
      <w:r w:rsidR="000034D0" w:rsidRPr="00103DDB">
        <w:rPr>
          <w:lang w:val="en-GB"/>
        </w:rPr>
        <w:t>, owned by</w:t>
      </w:r>
      <w:r w:rsidR="003C0286" w:rsidRPr="00103DDB">
        <w:rPr>
          <w:lang w:val="en-GB"/>
        </w:rPr>
        <w:t xml:space="preserve"> the Ministry of Defen</w:t>
      </w:r>
      <w:r w:rsidR="00455E4A">
        <w:rPr>
          <w:lang w:val="en-GB"/>
        </w:rPr>
        <w:t>c</w:t>
      </w:r>
      <w:r w:rsidR="003C0286" w:rsidRPr="00103DDB">
        <w:rPr>
          <w:lang w:val="en-GB"/>
        </w:rPr>
        <w:t xml:space="preserve">e. Their political connections gave them a major advantage in Vietnam’s murky real estate market, which enabled them to take the lead in the number of mobile phone stores. </w:t>
      </w:r>
    </w:p>
    <w:p w14:paraId="755DE9EC" w14:textId="77777777" w:rsidR="003C0286" w:rsidRPr="00103DDB" w:rsidRDefault="003C0286" w:rsidP="003C0286">
      <w:pPr>
        <w:pStyle w:val="BodyTextMain"/>
        <w:rPr>
          <w:lang w:val="en-GB"/>
        </w:rPr>
      </w:pPr>
    </w:p>
    <w:p w14:paraId="2EE40C01" w14:textId="591BA364" w:rsidR="003C0286" w:rsidRPr="00103DDB" w:rsidRDefault="003C0286" w:rsidP="003C0286">
      <w:pPr>
        <w:pStyle w:val="BodyTextMain"/>
        <w:rPr>
          <w:lang w:val="en-GB"/>
        </w:rPr>
      </w:pPr>
      <w:proofErr w:type="spellStart"/>
      <w:r w:rsidRPr="00103DDB">
        <w:rPr>
          <w:lang w:val="en-GB"/>
        </w:rPr>
        <w:t>Viettel</w:t>
      </w:r>
      <w:proofErr w:type="spellEnd"/>
      <w:r w:rsidRPr="00103DDB">
        <w:rPr>
          <w:lang w:val="en-GB"/>
        </w:rPr>
        <w:t xml:space="preserve"> had </w:t>
      </w:r>
      <w:r w:rsidR="00F33DF9" w:rsidRPr="00103DDB">
        <w:rPr>
          <w:lang w:val="en-GB"/>
        </w:rPr>
        <w:t>its</w:t>
      </w:r>
      <w:r w:rsidRPr="00103DDB">
        <w:rPr>
          <w:lang w:val="en-GB"/>
        </w:rPr>
        <w:t xml:space="preserve"> own chain of shops but </w:t>
      </w:r>
      <w:r w:rsidR="00F33DF9" w:rsidRPr="00103DDB">
        <w:rPr>
          <w:lang w:val="en-GB"/>
        </w:rPr>
        <w:t>was</w:t>
      </w:r>
      <w:r w:rsidRPr="00103DDB">
        <w:rPr>
          <w:lang w:val="en-GB"/>
        </w:rPr>
        <w:t xml:space="preserve"> notorious for under-management of the</w:t>
      </w:r>
      <w:r w:rsidR="00F33DF9" w:rsidRPr="00103DDB">
        <w:rPr>
          <w:lang w:val="en-GB"/>
        </w:rPr>
        <w:t>se</w:t>
      </w:r>
      <w:r w:rsidRPr="00103DDB">
        <w:rPr>
          <w:lang w:val="en-GB"/>
        </w:rPr>
        <w:t xml:space="preserve"> shops. The chain had proprietary rights for Apple in Vietnam but rarely</w:t>
      </w:r>
      <w:r w:rsidR="00455E4A">
        <w:rPr>
          <w:lang w:val="en-GB"/>
        </w:rPr>
        <w:t>,</w:t>
      </w:r>
      <w:r w:rsidRPr="00103DDB">
        <w:rPr>
          <w:lang w:val="en-GB"/>
        </w:rPr>
        <w:t xml:space="preserve"> if ever</w:t>
      </w:r>
      <w:r w:rsidR="00455E4A">
        <w:rPr>
          <w:lang w:val="en-GB"/>
        </w:rPr>
        <w:t>,</w:t>
      </w:r>
      <w:r w:rsidRPr="00103DDB">
        <w:rPr>
          <w:lang w:val="en-GB"/>
        </w:rPr>
        <w:t xml:space="preserve"> had </w:t>
      </w:r>
      <w:r w:rsidR="00455E4A">
        <w:rPr>
          <w:lang w:val="en-GB"/>
        </w:rPr>
        <w:t xml:space="preserve">any </w:t>
      </w:r>
      <w:r w:rsidRPr="00103DDB">
        <w:rPr>
          <w:lang w:val="en-GB"/>
        </w:rPr>
        <w:t>Apple products on display. The stores often had their lights out, presumably to save electricity cost</w:t>
      </w:r>
      <w:r w:rsidR="000034D0" w:rsidRPr="00103DDB">
        <w:rPr>
          <w:lang w:val="en-GB"/>
        </w:rPr>
        <w:t>s. C</w:t>
      </w:r>
      <w:r w:rsidRPr="00103DDB">
        <w:rPr>
          <w:lang w:val="en-GB"/>
        </w:rPr>
        <w:t xml:space="preserve">ustomers would be greeted by brand-specific promotional girls rather than sales staff from the store who could give objective advice. Decision making was slow in these types of government-owned companies. Management set low growth targets, with a stronger focus on job security and personal gain than on corporate gain. </w:t>
      </w:r>
    </w:p>
    <w:p w14:paraId="7DAD5335" w14:textId="77777777" w:rsidR="003C0286" w:rsidRPr="00103DDB" w:rsidRDefault="003C0286" w:rsidP="003C0286">
      <w:pPr>
        <w:pStyle w:val="BodyTextMain"/>
        <w:rPr>
          <w:lang w:val="en-GB"/>
        </w:rPr>
      </w:pPr>
    </w:p>
    <w:p w14:paraId="7D5E1814" w14:textId="77777777" w:rsidR="003C0286" w:rsidRPr="00103DDB" w:rsidRDefault="003C0286" w:rsidP="003C0286">
      <w:pPr>
        <w:pStyle w:val="BodyTextMain"/>
        <w:rPr>
          <w:lang w:val="en-GB"/>
        </w:rPr>
      </w:pPr>
    </w:p>
    <w:p w14:paraId="1DCEB2FA" w14:textId="02C0FF8E" w:rsidR="003C0286" w:rsidRPr="00103DDB" w:rsidRDefault="00DF20F0" w:rsidP="003C0286">
      <w:pPr>
        <w:pStyle w:val="Casehead2"/>
        <w:rPr>
          <w:lang w:val="en-GB"/>
        </w:rPr>
      </w:pPr>
      <w:r w:rsidRPr="00103DDB">
        <w:rPr>
          <w:lang w:val="en-GB"/>
        </w:rPr>
        <w:t>Mobile World</w:t>
      </w:r>
    </w:p>
    <w:p w14:paraId="1DB4D01A" w14:textId="77777777" w:rsidR="003C0286" w:rsidRPr="00103DDB" w:rsidRDefault="003C0286" w:rsidP="003C0286">
      <w:pPr>
        <w:pStyle w:val="BodyTextMain"/>
        <w:rPr>
          <w:lang w:val="en-GB"/>
        </w:rPr>
      </w:pPr>
    </w:p>
    <w:p w14:paraId="3CA04086" w14:textId="6018C396" w:rsidR="003C0286" w:rsidRPr="00103DDB" w:rsidRDefault="00DF20F0" w:rsidP="003C0286">
      <w:pPr>
        <w:pStyle w:val="BodyTextMain"/>
        <w:rPr>
          <w:lang w:val="en-GB"/>
        </w:rPr>
      </w:pPr>
      <w:r w:rsidRPr="00103DDB">
        <w:rPr>
          <w:lang w:val="en-GB"/>
        </w:rPr>
        <w:t>Mobile World</w:t>
      </w:r>
      <w:r w:rsidR="003C0286" w:rsidRPr="00103DDB">
        <w:rPr>
          <w:lang w:val="en-GB"/>
        </w:rPr>
        <w:t xml:space="preserve"> was founded in March 2004 </w:t>
      </w:r>
      <w:r w:rsidR="004E7A37" w:rsidRPr="00103DDB">
        <w:rPr>
          <w:lang w:val="en-GB"/>
        </w:rPr>
        <w:t xml:space="preserve">as </w:t>
      </w:r>
      <w:proofErr w:type="spellStart"/>
      <w:r w:rsidR="003C0286" w:rsidRPr="00103DDB">
        <w:rPr>
          <w:lang w:val="en-GB"/>
        </w:rPr>
        <w:t>Mobi</w:t>
      </w:r>
      <w:proofErr w:type="spellEnd"/>
      <w:r w:rsidR="003C0286" w:rsidRPr="00103DDB">
        <w:rPr>
          <w:lang w:val="en-GB"/>
        </w:rPr>
        <w:t xml:space="preserve"> World</w:t>
      </w:r>
      <w:r w:rsidR="00596C33">
        <w:rPr>
          <w:lang w:val="en-GB"/>
        </w:rPr>
        <w:t>.</w:t>
      </w:r>
      <w:r w:rsidR="00C55178">
        <w:rPr>
          <w:rStyle w:val="FootnoteReference"/>
          <w:lang w:val="en-GB"/>
        </w:rPr>
        <w:footnoteReference w:id="10"/>
      </w:r>
      <w:r w:rsidR="003C0286" w:rsidRPr="00103DDB">
        <w:rPr>
          <w:lang w:val="en-GB"/>
        </w:rPr>
        <w:t xml:space="preserve"> The core business concept was developed in a series of discussions between </w:t>
      </w:r>
      <w:proofErr w:type="spellStart"/>
      <w:r w:rsidR="003C0286" w:rsidRPr="00103DDB">
        <w:rPr>
          <w:lang w:val="en-GB"/>
        </w:rPr>
        <w:t>Quan</w:t>
      </w:r>
      <w:proofErr w:type="spellEnd"/>
      <w:r w:rsidR="003C0286" w:rsidRPr="00103DDB">
        <w:rPr>
          <w:lang w:val="en-GB"/>
        </w:rPr>
        <w:t xml:space="preserve"> and Tai in </w:t>
      </w:r>
      <w:r w:rsidR="00A81C15" w:rsidRPr="00103DDB">
        <w:rPr>
          <w:lang w:val="en-GB"/>
        </w:rPr>
        <w:t xml:space="preserve">a central </w:t>
      </w:r>
      <w:r w:rsidR="003C0286" w:rsidRPr="00103DDB">
        <w:rPr>
          <w:lang w:val="en-GB"/>
        </w:rPr>
        <w:t>upscale coffee shop</w:t>
      </w:r>
      <w:r w:rsidR="0063030F" w:rsidRPr="00103DDB">
        <w:rPr>
          <w:lang w:val="en-GB"/>
        </w:rPr>
        <w:t xml:space="preserve"> </w:t>
      </w:r>
      <w:r w:rsidR="003C0286" w:rsidRPr="00103DDB">
        <w:rPr>
          <w:lang w:val="en-GB"/>
        </w:rPr>
        <w:t xml:space="preserve">beside </w:t>
      </w:r>
      <w:r w:rsidR="0063030F" w:rsidRPr="00103DDB">
        <w:rPr>
          <w:lang w:val="en-GB"/>
        </w:rPr>
        <w:t>HCMC’s</w:t>
      </w:r>
      <w:r w:rsidR="003C0286" w:rsidRPr="00103DDB">
        <w:rPr>
          <w:lang w:val="en-GB"/>
        </w:rPr>
        <w:t xml:space="preserve"> famous opera house. According to </w:t>
      </w:r>
      <w:proofErr w:type="spellStart"/>
      <w:r w:rsidR="003C0286" w:rsidRPr="00103DDB">
        <w:rPr>
          <w:lang w:val="en-GB"/>
        </w:rPr>
        <w:t>Quan</w:t>
      </w:r>
      <w:proofErr w:type="spellEnd"/>
      <w:r w:rsidR="003C0286" w:rsidRPr="00103DDB">
        <w:rPr>
          <w:lang w:val="en-GB"/>
        </w:rPr>
        <w:t xml:space="preserve">, the original idea was to build an e-commerce business, financed by the sale of mobile phones. The two brothers-in-law had both worked with foreign multinationals in HCMC. Characterizing the partnership, Tai said, </w:t>
      </w:r>
    </w:p>
    <w:p w14:paraId="6AD82EAB" w14:textId="77777777" w:rsidR="003C0286" w:rsidRPr="00103DDB" w:rsidRDefault="003C0286" w:rsidP="003C0286">
      <w:pPr>
        <w:pStyle w:val="BodyTextMain"/>
        <w:rPr>
          <w:lang w:val="en-GB"/>
        </w:rPr>
      </w:pPr>
    </w:p>
    <w:p w14:paraId="028335BC" w14:textId="0B4C45B4" w:rsidR="003C0286" w:rsidRPr="006B076B" w:rsidRDefault="003C0286" w:rsidP="003C0286">
      <w:pPr>
        <w:pStyle w:val="BodyTextMain"/>
        <w:ind w:left="720"/>
        <w:rPr>
          <w:spacing w:val="-2"/>
          <w:kern w:val="22"/>
          <w:lang w:val="en-GB"/>
        </w:rPr>
      </w:pPr>
      <w:proofErr w:type="spellStart"/>
      <w:r w:rsidRPr="006B076B">
        <w:rPr>
          <w:spacing w:val="-2"/>
          <w:kern w:val="22"/>
          <w:lang w:val="en-GB"/>
        </w:rPr>
        <w:t>Quan</w:t>
      </w:r>
      <w:proofErr w:type="spellEnd"/>
      <w:r w:rsidRPr="006B076B">
        <w:rPr>
          <w:spacing w:val="-2"/>
          <w:kern w:val="22"/>
          <w:lang w:val="en-GB"/>
        </w:rPr>
        <w:t xml:space="preserve"> was the one who kept the customers happy. Thinking about how to stop their anger. </w:t>
      </w:r>
      <w:r w:rsidR="00596C33">
        <w:rPr>
          <w:spacing w:val="-2"/>
          <w:kern w:val="22"/>
          <w:lang w:val="en-GB"/>
        </w:rPr>
        <w:t xml:space="preserve">You know, you buy a phone for </w:t>
      </w:r>
      <w:r w:rsidR="006B076B" w:rsidRPr="006B076B">
        <w:rPr>
          <w:spacing w:val="-2"/>
          <w:kern w:val="22"/>
          <w:lang w:val="en-GB"/>
        </w:rPr>
        <w:t>$1,000 and something goes wrong. . . .</w:t>
      </w:r>
      <w:r w:rsidRPr="006B076B">
        <w:rPr>
          <w:spacing w:val="-2"/>
          <w:kern w:val="22"/>
          <w:lang w:val="en-GB"/>
        </w:rPr>
        <w:t xml:space="preserve"> to take that kind of customer and turn them from angry to a happy customer, this is a difficult th</w:t>
      </w:r>
      <w:r w:rsidR="006B076B" w:rsidRPr="006B076B">
        <w:rPr>
          <w:spacing w:val="-2"/>
          <w:kern w:val="22"/>
          <w:lang w:val="en-GB"/>
        </w:rPr>
        <w:t xml:space="preserve">ing. He’s the one who did this. . . . </w:t>
      </w:r>
      <w:r w:rsidRPr="006B076B">
        <w:rPr>
          <w:spacing w:val="-2"/>
          <w:kern w:val="22"/>
          <w:lang w:val="en-GB"/>
        </w:rPr>
        <w:t>I was the finance, sales, and marketing guy, paying attention to buying and selling.</w:t>
      </w:r>
    </w:p>
    <w:p w14:paraId="7EB11814" w14:textId="77777777" w:rsidR="003C0286" w:rsidRPr="00103DDB" w:rsidRDefault="003C0286" w:rsidP="003C0286">
      <w:pPr>
        <w:pStyle w:val="BodyTextMain"/>
        <w:rPr>
          <w:lang w:val="en-GB"/>
        </w:rPr>
      </w:pPr>
    </w:p>
    <w:p w14:paraId="6AF5AC9A" w14:textId="361DFA83" w:rsidR="003C0286" w:rsidRPr="00103DDB" w:rsidRDefault="003C0286" w:rsidP="003C0286">
      <w:pPr>
        <w:pStyle w:val="BodyTextMain"/>
        <w:rPr>
          <w:lang w:val="en-GB"/>
        </w:rPr>
      </w:pPr>
      <w:proofErr w:type="spellStart"/>
      <w:r w:rsidRPr="00103DDB">
        <w:rPr>
          <w:lang w:val="en-GB"/>
        </w:rPr>
        <w:t>Dinh</w:t>
      </w:r>
      <w:proofErr w:type="spellEnd"/>
      <w:r w:rsidRPr="00103DDB">
        <w:rPr>
          <w:lang w:val="en-GB"/>
        </w:rPr>
        <w:t xml:space="preserve"> </w:t>
      </w:r>
      <w:proofErr w:type="spellStart"/>
      <w:r w:rsidRPr="00103DDB">
        <w:rPr>
          <w:lang w:val="en-GB"/>
        </w:rPr>
        <w:t>Anh</w:t>
      </w:r>
      <w:proofErr w:type="spellEnd"/>
      <w:r w:rsidRPr="00103DDB">
        <w:rPr>
          <w:lang w:val="en-GB"/>
        </w:rPr>
        <w:t xml:space="preserve"> </w:t>
      </w:r>
      <w:proofErr w:type="spellStart"/>
      <w:r w:rsidRPr="00103DDB">
        <w:rPr>
          <w:lang w:val="en-GB"/>
        </w:rPr>
        <w:t>Huan</w:t>
      </w:r>
      <w:proofErr w:type="spellEnd"/>
      <w:r w:rsidRPr="00103DDB">
        <w:rPr>
          <w:lang w:val="en-GB"/>
        </w:rPr>
        <w:t xml:space="preserve"> (</w:t>
      </w:r>
      <w:proofErr w:type="spellStart"/>
      <w:r w:rsidRPr="00103DDB">
        <w:rPr>
          <w:lang w:val="en-GB"/>
        </w:rPr>
        <w:t>Huan</w:t>
      </w:r>
      <w:proofErr w:type="spellEnd"/>
      <w:r w:rsidRPr="00103DDB">
        <w:rPr>
          <w:lang w:val="en-GB"/>
        </w:rPr>
        <w:t xml:space="preserve">) was brought in to help with technology issues. “He was very high energy, willing to do whatever you want him to do,” said Tai, describing </w:t>
      </w:r>
      <w:proofErr w:type="spellStart"/>
      <w:r w:rsidRPr="00103DDB">
        <w:rPr>
          <w:lang w:val="en-GB"/>
        </w:rPr>
        <w:t>Huan</w:t>
      </w:r>
      <w:proofErr w:type="spellEnd"/>
      <w:r w:rsidRPr="00103DDB">
        <w:rPr>
          <w:lang w:val="en-GB"/>
        </w:rPr>
        <w:t xml:space="preserve"> in the early days. “I considered him a bit of a deputy for me.” Like Tai, </w:t>
      </w:r>
      <w:proofErr w:type="spellStart"/>
      <w:r w:rsidRPr="00103DDB">
        <w:rPr>
          <w:lang w:val="en-GB"/>
        </w:rPr>
        <w:t>Huan</w:t>
      </w:r>
      <w:proofErr w:type="spellEnd"/>
      <w:r w:rsidRPr="00103DDB">
        <w:rPr>
          <w:lang w:val="en-GB"/>
        </w:rPr>
        <w:t xml:space="preserve"> proved to be most interested in the business side, so the team next added </w:t>
      </w:r>
      <w:proofErr w:type="spellStart"/>
      <w:r w:rsidRPr="00103DDB">
        <w:rPr>
          <w:lang w:val="en-GB"/>
        </w:rPr>
        <w:t>Dieu</w:t>
      </w:r>
      <w:proofErr w:type="spellEnd"/>
      <w:r w:rsidRPr="00103DDB">
        <w:rPr>
          <w:lang w:val="en-GB"/>
        </w:rPr>
        <w:t xml:space="preserve"> </w:t>
      </w:r>
      <w:proofErr w:type="spellStart"/>
      <w:r w:rsidRPr="00103DDB">
        <w:rPr>
          <w:lang w:val="en-GB"/>
        </w:rPr>
        <w:t>Chinh</w:t>
      </w:r>
      <w:proofErr w:type="spellEnd"/>
      <w:r w:rsidRPr="00103DDB">
        <w:rPr>
          <w:lang w:val="en-GB"/>
        </w:rPr>
        <w:t xml:space="preserve"> Hai Trieu, another young acquaintance who had recently graduated </w:t>
      </w:r>
      <w:r w:rsidR="004E7A37" w:rsidRPr="00103DDB">
        <w:rPr>
          <w:lang w:val="en-GB"/>
        </w:rPr>
        <w:t xml:space="preserve">from </w:t>
      </w:r>
      <w:r w:rsidRPr="00103DDB">
        <w:rPr>
          <w:lang w:val="en-GB"/>
        </w:rPr>
        <w:t xml:space="preserve">college with an </w:t>
      </w:r>
      <w:r w:rsidR="00A81C15" w:rsidRPr="00103DDB">
        <w:rPr>
          <w:lang w:val="en-GB"/>
        </w:rPr>
        <w:t>information technology</w:t>
      </w:r>
      <w:r w:rsidRPr="00103DDB">
        <w:rPr>
          <w:lang w:val="en-GB"/>
        </w:rPr>
        <w:t xml:space="preserve"> degree. The final founder was Tai’s old classmate Tran </w:t>
      </w:r>
      <w:proofErr w:type="spellStart"/>
      <w:r w:rsidRPr="00103DDB">
        <w:rPr>
          <w:lang w:val="en-GB"/>
        </w:rPr>
        <w:t>Huy</w:t>
      </w:r>
      <w:proofErr w:type="spellEnd"/>
      <w:r w:rsidRPr="00103DDB">
        <w:rPr>
          <w:lang w:val="en-GB"/>
        </w:rPr>
        <w:t xml:space="preserve"> Tung (Tung), who was brought in toward the end of 2004 to straighten out the firm’s finances. Tai had wanted to bring Tung in earlier, but the latter was hesitant to give up the nearly $700</w:t>
      </w:r>
      <w:r w:rsidR="004E7A37" w:rsidRPr="00103DDB">
        <w:rPr>
          <w:lang w:val="en-GB"/>
        </w:rPr>
        <w:t xml:space="preserve"> per </w:t>
      </w:r>
      <w:r w:rsidRPr="00103DDB">
        <w:rPr>
          <w:lang w:val="en-GB"/>
        </w:rPr>
        <w:t>month he received in his director position with Japanese multinational</w:t>
      </w:r>
      <w:r w:rsidR="004E7A37" w:rsidRPr="00103DDB">
        <w:rPr>
          <w:lang w:val="en-GB"/>
        </w:rPr>
        <w:t xml:space="preserve"> </w:t>
      </w:r>
      <w:r w:rsidRPr="00103DDB">
        <w:rPr>
          <w:lang w:val="en-GB"/>
        </w:rPr>
        <w:t>Mabuchi for the approximately $150</w:t>
      </w:r>
      <w:r w:rsidR="004E7A37" w:rsidRPr="00103DDB">
        <w:rPr>
          <w:lang w:val="en-GB"/>
        </w:rPr>
        <w:t xml:space="preserve"> per </w:t>
      </w:r>
      <w:r w:rsidRPr="00103DDB">
        <w:rPr>
          <w:lang w:val="en-GB"/>
        </w:rPr>
        <w:t xml:space="preserve">month Tai was offering him for an executive position with his start-up. </w:t>
      </w:r>
    </w:p>
    <w:p w14:paraId="6DEB9218" w14:textId="77777777" w:rsidR="003C0286" w:rsidRPr="00103DDB" w:rsidRDefault="003C0286" w:rsidP="003C0286">
      <w:pPr>
        <w:pStyle w:val="BodyTextMain"/>
        <w:rPr>
          <w:lang w:val="en-GB"/>
        </w:rPr>
      </w:pPr>
    </w:p>
    <w:p w14:paraId="01509031" w14:textId="1C046022" w:rsidR="003C0286" w:rsidRPr="00103DDB" w:rsidRDefault="003C0286" w:rsidP="003C0286">
      <w:pPr>
        <w:pStyle w:val="BodyTextMain"/>
        <w:rPr>
          <w:lang w:val="en-GB"/>
        </w:rPr>
      </w:pPr>
      <w:r w:rsidRPr="00103DDB">
        <w:rPr>
          <w:lang w:val="en-GB"/>
        </w:rPr>
        <w:t>The firm’s operations began in June 2004. The initial start involved three modestly sized (20 square met</w:t>
      </w:r>
      <w:r w:rsidR="0063030F" w:rsidRPr="00103DDB">
        <w:rPr>
          <w:lang w:val="en-GB"/>
        </w:rPr>
        <w:t>re</w:t>
      </w:r>
      <w:r w:rsidRPr="00103DDB">
        <w:rPr>
          <w:lang w:val="en-GB"/>
        </w:rPr>
        <w:t>) stores. They were situated on small side streets</w:t>
      </w:r>
      <w:r w:rsidR="0063030F" w:rsidRPr="00103DDB">
        <w:rPr>
          <w:lang w:val="en-GB"/>
        </w:rPr>
        <w:t xml:space="preserve"> in </w:t>
      </w:r>
      <w:r w:rsidRPr="00103DDB">
        <w:rPr>
          <w:lang w:val="en-GB"/>
        </w:rPr>
        <w:t>equal</w:t>
      </w:r>
      <w:r w:rsidR="0063030F" w:rsidRPr="00103DDB">
        <w:rPr>
          <w:lang w:val="en-GB"/>
        </w:rPr>
        <w:t xml:space="preserve"> </w:t>
      </w:r>
      <w:r w:rsidRPr="00103DDB">
        <w:rPr>
          <w:lang w:val="en-GB"/>
        </w:rPr>
        <w:t xml:space="preserve">distance from one another in a triangle meant to </w:t>
      </w:r>
      <w:r w:rsidR="0063030F" w:rsidRPr="00103DDB">
        <w:rPr>
          <w:lang w:val="en-GB"/>
        </w:rPr>
        <w:t xml:space="preserve">strategically </w:t>
      </w:r>
      <w:r w:rsidRPr="00103DDB">
        <w:rPr>
          <w:lang w:val="en-GB"/>
        </w:rPr>
        <w:t xml:space="preserve">optimize proximity for relatively well-to-do downtown HCMC consumers. </w:t>
      </w:r>
      <w:r w:rsidR="0063030F" w:rsidRPr="00103DDB">
        <w:rPr>
          <w:lang w:val="en-GB"/>
        </w:rPr>
        <w:t xml:space="preserve">The firm also had an </w:t>
      </w:r>
      <w:r w:rsidRPr="00103DDB">
        <w:rPr>
          <w:lang w:val="en-GB"/>
        </w:rPr>
        <w:t>advertising website (</w:t>
      </w:r>
      <w:hyperlink r:id="rId12" w:history="1">
        <w:r w:rsidRPr="00103DDB">
          <w:rPr>
            <w:rStyle w:val="Hyperlink"/>
            <w:color w:val="auto"/>
            <w:u w:val="none"/>
            <w:lang w:val="en-GB"/>
          </w:rPr>
          <w:t>www.thegioimobi.com)</w:t>
        </w:r>
      </w:hyperlink>
      <w:r w:rsidRPr="00103DDB">
        <w:rPr>
          <w:lang w:val="en-GB"/>
        </w:rPr>
        <w:t>. As Tai describe</w:t>
      </w:r>
      <w:r w:rsidR="0063030F" w:rsidRPr="00103DDB">
        <w:rPr>
          <w:lang w:val="en-GB"/>
        </w:rPr>
        <w:t>d</w:t>
      </w:r>
      <w:r w:rsidRPr="00103DDB">
        <w:rPr>
          <w:lang w:val="en-GB"/>
        </w:rPr>
        <w:t xml:space="preserve"> it, “online was the cheapest wa</w:t>
      </w:r>
      <w:r w:rsidR="00D431D4">
        <w:rPr>
          <w:lang w:val="en-GB"/>
        </w:rPr>
        <w:t xml:space="preserve">y for us to reach our customer. . . . </w:t>
      </w:r>
      <w:bookmarkStart w:id="0" w:name="_GoBack"/>
      <w:bookmarkEnd w:id="0"/>
      <w:r w:rsidRPr="00103DDB">
        <w:rPr>
          <w:lang w:val="en-GB"/>
        </w:rPr>
        <w:t xml:space="preserve">We didn’t have the money to put advertisements in the newspaper.” The website reported up-to-date prices so that consumers </w:t>
      </w:r>
      <w:r w:rsidR="0063030F" w:rsidRPr="00103DDB">
        <w:rPr>
          <w:lang w:val="en-GB"/>
        </w:rPr>
        <w:t>k</w:t>
      </w:r>
      <w:r w:rsidRPr="00103DDB">
        <w:rPr>
          <w:lang w:val="en-GB"/>
        </w:rPr>
        <w:t>new the price they would encounter when they went to any of the three stores. The website also provided substantial information about products to help consumers make more informed decisions about their purchases. These features were popular, leading to significant online traffic, even in these relatively early days of Vietnam’s Internet.</w:t>
      </w:r>
    </w:p>
    <w:p w14:paraId="0AB869D1" w14:textId="77777777" w:rsidR="003C0286" w:rsidRPr="00103DDB" w:rsidRDefault="003C0286" w:rsidP="003C0286">
      <w:pPr>
        <w:pStyle w:val="BodyTextMain"/>
        <w:rPr>
          <w:lang w:val="en-GB"/>
        </w:rPr>
      </w:pPr>
    </w:p>
    <w:p w14:paraId="5FC02B60" w14:textId="0B99B830" w:rsidR="003C0286" w:rsidRPr="00103DDB" w:rsidRDefault="0063030F" w:rsidP="003C0286">
      <w:pPr>
        <w:pStyle w:val="BodyTextMain"/>
        <w:rPr>
          <w:lang w:val="en-GB"/>
        </w:rPr>
      </w:pPr>
      <w:r w:rsidRPr="00103DDB">
        <w:rPr>
          <w:lang w:val="en-GB"/>
        </w:rPr>
        <w:t xml:space="preserve">However, </w:t>
      </w:r>
      <w:r w:rsidR="003C0286" w:rsidRPr="00103DDB">
        <w:rPr>
          <w:lang w:val="en-GB"/>
        </w:rPr>
        <w:t>website traffic did not convert to brick-and-mortar sales. Tai remembers seeing people pull up on motorcycles, eye the store</w:t>
      </w:r>
      <w:r w:rsidR="00214C57" w:rsidRPr="00103DDB">
        <w:rPr>
          <w:lang w:val="en-GB"/>
        </w:rPr>
        <w:t>,</w:t>
      </w:r>
      <w:r w:rsidR="003C0286" w:rsidRPr="00103DDB">
        <w:rPr>
          <w:lang w:val="en-GB"/>
        </w:rPr>
        <w:t xml:space="preserve"> and then ride off. The founders soon figured out that customers drawn in by their website came with an expectation of a unique retail experience but were disappointed to encounter stores that looked too similar to the mom-and-pop shops they could find on any street in the city. “On the website, you look so professional!” Tai remembers a man telling him outside one of the first stores.</w:t>
      </w:r>
    </w:p>
    <w:p w14:paraId="6A4CECE8" w14:textId="77777777" w:rsidR="003C0286" w:rsidRPr="00103DDB" w:rsidRDefault="003C0286" w:rsidP="003C0286">
      <w:pPr>
        <w:pStyle w:val="BodyTextMain"/>
        <w:rPr>
          <w:lang w:val="en-GB"/>
        </w:rPr>
      </w:pPr>
    </w:p>
    <w:p w14:paraId="24297F83" w14:textId="19745642" w:rsidR="003C0286" w:rsidRPr="00103DDB" w:rsidRDefault="003C0286" w:rsidP="003C0286">
      <w:pPr>
        <w:pStyle w:val="BodyTextMain"/>
        <w:rPr>
          <w:lang w:val="en-GB"/>
        </w:rPr>
      </w:pPr>
      <w:r w:rsidRPr="00103DDB">
        <w:rPr>
          <w:lang w:val="en-GB"/>
        </w:rPr>
        <w:t>In response, the founders closed the three stores down, forfeiting their initial investment capital of</w:t>
      </w:r>
      <w:r w:rsidR="00A81C15" w:rsidRPr="00103DDB">
        <w:rPr>
          <w:lang w:val="en-GB"/>
        </w:rPr>
        <w:t xml:space="preserve"> </w:t>
      </w:r>
      <w:r w:rsidRPr="00103DDB">
        <w:rPr>
          <w:lang w:val="en-GB"/>
        </w:rPr>
        <w:t>$13,000. A month later, in October 2004, they pooled their remaining savings of nearly $50,000 to open a single, modern-looking store on a major shopping street in downtown HCMC. To be able to afford this</w:t>
      </w:r>
      <w:r w:rsidR="007B570A" w:rsidRPr="00103DDB">
        <w:rPr>
          <w:lang w:val="en-GB"/>
        </w:rPr>
        <w:t xml:space="preserve"> price</w:t>
      </w:r>
      <w:r w:rsidRPr="00103DDB">
        <w:rPr>
          <w:lang w:val="en-GB"/>
        </w:rPr>
        <w:t>, the</w:t>
      </w:r>
      <w:r w:rsidR="00600623" w:rsidRPr="00103DDB">
        <w:rPr>
          <w:lang w:val="en-GB"/>
        </w:rPr>
        <w:t>y</w:t>
      </w:r>
      <w:r w:rsidRPr="00103DDB">
        <w:rPr>
          <w:lang w:val="en-GB"/>
        </w:rPr>
        <w:t xml:space="preserve"> situated</w:t>
      </w:r>
      <w:r w:rsidR="00600623" w:rsidRPr="00103DDB">
        <w:rPr>
          <w:lang w:val="en-GB"/>
        </w:rPr>
        <w:t xml:space="preserve"> the store</w:t>
      </w:r>
      <w:r w:rsidRPr="00103DDB">
        <w:rPr>
          <w:lang w:val="en-GB"/>
        </w:rPr>
        <w:t xml:space="preserve"> on the cheaper left side of the street, which required motorcycles to squeeze past cars and trucks to park on their sidewalk. The new store was 15 times the size of the original three stores at nearly 300 square met</w:t>
      </w:r>
      <w:r w:rsidR="00A81C15" w:rsidRPr="00103DDB">
        <w:rPr>
          <w:lang w:val="en-GB"/>
        </w:rPr>
        <w:t>re</w:t>
      </w:r>
      <w:r w:rsidR="005960E7">
        <w:rPr>
          <w:lang w:val="en-GB"/>
        </w:rPr>
        <w:t>s</w:t>
      </w:r>
      <w:r w:rsidRPr="00103DDB">
        <w:rPr>
          <w:lang w:val="en-GB"/>
        </w:rPr>
        <w:t>. To further differentiate from mom-and-pop shops, the founders engaged in a variety of ostentatious but inexpensive marketing campaigns, including lotteries and free flowers on Women’s Day.</w:t>
      </w:r>
    </w:p>
    <w:p w14:paraId="670D8866" w14:textId="77777777" w:rsidR="003C0286" w:rsidRPr="00103DDB" w:rsidRDefault="003C0286" w:rsidP="003C0286">
      <w:pPr>
        <w:pStyle w:val="BodyTextMain"/>
        <w:rPr>
          <w:lang w:val="en-GB"/>
        </w:rPr>
      </w:pPr>
    </w:p>
    <w:p w14:paraId="0D3699A8" w14:textId="491D6606" w:rsidR="003C0286" w:rsidRPr="00103DDB" w:rsidRDefault="003C0286" w:rsidP="003C0286">
      <w:pPr>
        <w:pStyle w:val="BodyTextMain"/>
        <w:rPr>
          <w:lang w:val="en-GB"/>
        </w:rPr>
      </w:pPr>
      <w:r w:rsidRPr="00103DDB">
        <w:rPr>
          <w:lang w:val="en-GB"/>
        </w:rPr>
        <w:t xml:space="preserve">In late 2006, the business was renamed </w:t>
      </w:r>
      <w:r w:rsidR="00DF20F0" w:rsidRPr="00103DDB">
        <w:rPr>
          <w:lang w:val="en-GB"/>
        </w:rPr>
        <w:t>Mobile World</w:t>
      </w:r>
      <w:r w:rsidRPr="00103DDB">
        <w:rPr>
          <w:lang w:val="en-GB"/>
        </w:rPr>
        <w:t xml:space="preserve">. By 2007, on the eve of Mekong’s investment, the firm had grown to become a </w:t>
      </w:r>
      <w:r w:rsidR="007B570A" w:rsidRPr="00103DDB">
        <w:rPr>
          <w:lang w:val="en-GB"/>
        </w:rPr>
        <w:t>seven</w:t>
      </w:r>
      <w:r w:rsidRPr="00103DDB">
        <w:rPr>
          <w:lang w:val="en-GB"/>
        </w:rPr>
        <w:t xml:space="preserve">-store chain operating in HCMC and Hanoi, the country’s capital. Some of the stores had diversified into selling laptops, MP3 players, and other related consumer electronics. After </w:t>
      </w:r>
      <w:r w:rsidR="007B570A" w:rsidRPr="00103DDB">
        <w:rPr>
          <w:lang w:val="en-GB"/>
        </w:rPr>
        <w:t xml:space="preserve">a </w:t>
      </w:r>
      <w:r w:rsidRPr="00103DDB">
        <w:rPr>
          <w:lang w:val="en-GB"/>
        </w:rPr>
        <w:t xml:space="preserve">half year of negotiations and due diligence, the founders and Mekong agreed on a generous post-investment valuation of </w:t>
      </w:r>
      <w:r w:rsidR="00A81C15" w:rsidRPr="00103DDB">
        <w:rPr>
          <w:lang w:val="en-GB"/>
        </w:rPr>
        <w:t>$</w:t>
      </w:r>
      <w:r w:rsidRPr="00103DDB">
        <w:rPr>
          <w:lang w:val="en-GB"/>
        </w:rPr>
        <w:t>10 million (pre-investment valuation was $6.5 million) for the company. With the rapid expansion to nearly 40 stories that followed, total revenue reached</w:t>
      </w:r>
      <w:r w:rsidR="00060B19" w:rsidRPr="00103DDB">
        <w:rPr>
          <w:lang w:val="en-GB"/>
        </w:rPr>
        <w:t xml:space="preserve"> </w:t>
      </w:r>
      <w:r w:rsidRPr="00103DDB">
        <w:rPr>
          <w:lang w:val="en-GB"/>
        </w:rPr>
        <w:t>$92</w:t>
      </w:r>
      <w:r w:rsidR="006B076B">
        <w:rPr>
          <w:lang w:val="en-GB"/>
        </w:rPr>
        <w:t xml:space="preserve"> </w:t>
      </w:r>
      <w:r w:rsidRPr="00103DDB">
        <w:rPr>
          <w:lang w:val="en-GB"/>
        </w:rPr>
        <w:t>million</w:t>
      </w:r>
      <w:r w:rsidR="006B076B">
        <w:rPr>
          <w:lang w:val="en-GB"/>
        </w:rPr>
        <w:t xml:space="preserve"> </w:t>
      </w:r>
      <w:r w:rsidRPr="00103DDB">
        <w:rPr>
          <w:lang w:val="en-GB"/>
        </w:rPr>
        <w:t>in 2008, having tripled in 2006, and doubled in 2007 and 2008 (see Exh</w:t>
      </w:r>
      <w:r w:rsidR="00B64CD2" w:rsidRPr="00103DDB">
        <w:rPr>
          <w:lang w:val="en-GB"/>
        </w:rPr>
        <w:t>ibits 6 and 7</w:t>
      </w:r>
      <w:r w:rsidRPr="00103DDB">
        <w:rPr>
          <w:lang w:val="en-GB"/>
        </w:rPr>
        <w:t xml:space="preserve">). </w:t>
      </w:r>
    </w:p>
    <w:p w14:paraId="02B18B64" w14:textId="77777777" w:rsidR="003C0286" w:rsidRPr="00103DDB" w:rsidRDefault="003C0286" w:rsidP="003C0286">
      <w:pPr>
        <w:pStyle w:val="BodyTextMain"/>
        <w:rPr>
          <w:lang w:val="en-GB"/>
        </w:rPr>
      </w:pPr>
    </w:p>
    <w:p w14:paraId="703D2822" w14:textId="55330A4D" w:rsidR="003C0286" w:rsidRPr="00103DDB" w:rsidRDefault="003C0286" w:rsidP="003C0286">
      <w:pPr>
        <w:pStyle w:val="BodyTextMain"/>
        <w:rPr>
          <w:lang w:val="en-GB"/>
        </w:rPr>
      </w:pPr>
      <w:r w:rsidRPr="00103DDB">
        <w:rPr>
          <w:lang w:val="en-GB"/>
        </w:rPr>
        <w:t>Tai described how a crucial factor in his original decision to select Mekong from the multiple PE firms looking to invest back in 2007 was Freund’s commitment that it would not seek to usurp his leadership</w:t>
      </w:r>
      <w:r w:rsidR="007B570A" w:rsidRPr="00103DDB">
        <w:rPr>
          <w:lang w:val="en-GB"/>
        </w:rPr>
        <w:t>:</w:t>
      </w:r>
      <w:r w:rsidRPr="00103DDB">
        <w:rPr>
          <w:lang w:val="en-GB"/>
        </w:rPr>
        <w:t xml:space="preserve"> </w:t>
      </w:r>
    </w:p>
    <w:p w14:paraId="75399204" w14:textId="77777777" w:rsidR="003C0286" w:rsidRPr="00103DDB" w:rsidRDefault="003C0286" w:rsidP="003C0286">
      <w:pPr>
        <w:pStyle w:val="BodyTextMain"/>
        <w:rPr>
          <w:lang w:val="en-GB"/>
        </w:rPr>
      </w:pPr>
    </w:p>
    <w:p w14:paraId="3CA3A95A" w14:textId="492C70C5" w:rsidR="003C0286" w:rsidRPr="00103DDB" w:rsidRDefault="003C0286" w:rsidP="0013576C">
      <w:pPr>
        <w:pStyle w:val="BodyTextMain"/>
        <w:ind w:left="720"/>
        <w:rPr>
          <w:lang w:val="en-GB"/>
        </w:rPr>
      </w:pPr>
      <w:r w:rsidRPr="00103DDB">
        <w:rPr>
          <w:lang w:val="en-GB"/>
        </w:rPr>
        <w:t xml:space="preserve">Other people said, </w:t>
      </w:r>
      <w:r w:rsidR="00A81C15" w:rsidRPr="00103DDB">
        <w:rPr>
          <w:lang w:val="en-GB"/>
        </w:rPr>
        <w:t>“</w:t>
      </w:r>
      <w:r w:rsidR="006B076B">
        <w:rPr>
          <w:lang w:val="en-GB"/>
        </w:rPr>
        <w:t>Okay</w:t>
      </w:r>
      <w:r w:rsidRPr="00103DDB">
        <w:rPr>
          <w:lang w:val="en-GB"/>
        </w:rPr>
        <w:t>, I’m going to put my guy in and they are going to work with you.</w:t>
      </w:r>
      <w:r w:rsidR="00A81C15" w:rsidRPr="00103DDB">
        <w:rPr>
          <w:lang w:val="en-GB"/>
        </w:rPr>
        <w:t>”</w:t>
      </w:r>
      <w:r w:rsidRPr="00103DDB">
        <w:rPr>
          <w:lang w:val="en-GB"/>
        </w:rPr>
        <w:t xml:space="preserve"> But I feel like, what do they know about how to open a new store in Vietnam? How can we work together</w:t>
      </w:r>
      <w:r w:rsidR="00600623" w:rsidRPr="00103DDB">
        <w:rPr>
          <w:lang w:val="en-GB"/>
        </w:rPr>
        <w:t>?</w:t>
      </w:r>
      <w:r w:rsidRPr="00103DDB">
        <w:rPr>
          <w:lang w:val="en-GB"/>
        </w:rPr>
        <w:t xml:space="preserve"> With Mekong, I got that they were willing to help in whatever way we needed</w:t>
      </w:r>
      <w:r w:rsidR="007B570A" w:rsidRPr="00103DDB">
        <w:rPr>
          <w:lang w:val="en-GB"/>
        </w:rPr>
        <w:t>;</w:t>
      </w:r>
      <w:r w:rsidRPr="00103DDB">
        <w:rPr>
          <w:lang w:val="en-GB"/>
        </w:rPr>
        <w:t xml:space="preserve"> othe</w:t>
      </w:r>
      <w:r w:rsidR="0013576C" w:rsidRPr="00103DDB">
        <w:rPr>
          <w:lang w:val="en-GB"/>
        </w:rPr>
        <w:t>rwise they would not interfere.</w:t>
      </w:r>
    </w:p>
    <w:p w14:paraId="6DA4ABF2" w14:textId="77777777" w:rsidR="003C0286" w:rsidRPr="00103DDB" w:rsidRDefault="003C0286" w:rsidP="003C0286">
      <w:pPr>
        <w:pStyle w:val="BodyTextMain"/>
        <w:rPr>
          <w:lang w:val="en-GB"/>
        </w:rPr>
      </w:pPr>
    </w:p>
    <w:p w14:paraId="37F30229" w14:textId="77777777" w:rsidR="00600623" w:rsidRPr="00103DDB" w:rsidRDefault="003C0286" w:rsidP="003C0286">
      <w:pPr>
        <w:pStyle w:val="BodyTextMain"/>
        <w:rPr>
          <w:lang w:val="en-GB"/>
        </w:rPr>
      </w:pPr>
      <w:r w:rsidRPr="00103DDB">
        <w:rPr>
          <w:lang w:val="en-GB"/>
        </w:rPr>
        <w:t xml:space="preserve">This perception of Mekong’s contribution aligned with Freund’s evolving perspective on how PE firms could aid their investee firms to grow. </w:t>
      </w:r>
    </w:p>
    <w:p w14:paraId="137A9EF8" w14:textId="77777777" w:rsidR="00600623" w:rsidRPr="00103DDB" w:rsidRDefault="00600623" w:rsidP="003C0286">
      <w:pPr>
        <w:pStyle w:val="BodyTextMain"/>
        <w:rPr>
          <w:lang w:val="en-GB"/>
        </w:rPr>
      </w:pPr>
    </w:p>
    <w:p w14:paraId="61656357" w14:textId="366E13C3" w:rsidR="003C0286" w:rsidRPr="00103DDB" w:rsidRDefault="003C0286" w:rsidP="003C0286">
      <w:pPr>
        <w:pStyle w:val="BodyTextMain"/>
        <w:rPr>
          <w:lang w:val="en-GB"/>
        </w:rPr>
      </w:pPr>
      <w:r w:rsidRPr="00103DDB">
        <w:rPr>
          <w:lang w:val="en-GB"/>
        </w:rPr>
        <w:t>Freund commented</w:t>
      </w:r>
      <w:r w:rsidR="007B570A" w:rsidRPr="00103DDB">
        <w:rPr>
          <w:lang w:val="en-GB"/>
        </w:rPr>
        <w:t>:</w:t>
      </w:r>
    </w:p>
    <w:p w14:paraId="09A0E756" w14:textId="77777777" w:rsidR="003C0286" w:rsidRPr="00103DDB" w:rsidRDefault="003C0286" w:rsidP="003C0286">
      <w:pPr>
        <w:pStyle w:val="BodyTextMain"/>
        <w:rPr>
          <w:lang w:val="en-GB"/>
        </w:rPr>
      </w:pPr>
    </w:p>
    <w:p w14:paraId="7CD782D7" w14:textId="48815278" w:rsidR="003C0286" w:rsidRPr="00103DDB" w:rsidRDefault="003C0286" w:rsidP="0013576C">
      <w:pPr>
        <w:pStyle w:val="BodyTextMain"/>
        <w:ind w:left="720"/>
        <w:rPr>
          <w:lang w:val="en-GB"/>
        </w:rPr>
      </w:pPr>
      <w:r w:rsidRPr="00103DDB">
        <w:rPr>
          <w:lang w:val="en-GB"/>
        </w:rPr>
        <w:t xml:space="preserve">When we first worked with investee companies, we gave explicit advice, which the founders seldom followed. By 2007, we had learned how to do this better. We adopted the tactic of asking the founders questions that led them to the solution, which we could have provided to them directly. For Mekong, one example was to have them create a five-year vision. Instead of giving them our own ideas of what is possible for their future and trying to persuade them, we encouraged them to spend a lot of thought and effort to develop a </w:t>
      </w:r>
      <w:r w:rsidR="006E2D67" w:rsidRPr="00103DDB">
        <w:rPr>
          <w:lang w:val="en-GB"/>
        </w:rPr>
        <w:t>five</w:t>
      </w:r>
      <w:r w:rsidRPr="00103DDB">
        <w:rPr>
          <w:lang w:val="en-GB"/>
        </w:rPr>
        <w:t xml:space="preserve">-year vision that they truly owned and were aligned around delivering. This helped to give the founders a sense of there they needed to go, with </w:t>
      </w:r>
      <w:r w:rsidRPr="00103DDB">
        <w:rPr>
          <w:lang w:val="en-GB"/>
        </w:rPr>
        <w:lastRenderedPageBreak/>
        <w:t>a shared idea of their long-term goals. We weren’t interfering directly in the process</w:t>
      </w:r>
      <w:r w:rsidR="007B570A" w:rsidRPr="00103DDB">
        <w:rPr>
          <w:lang w:val="en-GB"/>
        </w:rPr>
        <w:t>;</w:t>
      </w:r>
      <w:r w:rsidRPr="00103DDB">
        <w:rPr>
          <w:lang w:val="en-GB"/>
        </w:rPr>
        <w:t xml:space="preserve"> rather</w:t>
      </w:r>
      <w:r w:rsidR="007B570A" w:rsidRPr="00103DDB">
        <w:rPr>
          <w:lang w:val="en-GB"/>
        </w:rPr>
        <w:t>,</w:t>
      </w:r>
      <w:r w:rsidRPr="00103DDB">
        <w:rPr>
          <w:lang w:val="en-GB"/>
        </w:rPr>
        <w:t xml:space="preserve"> we created a structure and coaching</w:t>
      </w:r>
      <w:r w:rsidR="00600623" w:rsidRPr="00103DDB">
        <w:rPr>
          <w:lang w:val="en-GB"/>
        </w:rPr>
        <w:t xml:space="preserve"> that </w:t>
      </w:r>
      <w:r w:rsidRPr="00103DDB">
        <w:rPr>
          <w:lang w:val="en-GB"/>
        </w:rPr>
        <w:t>enabled the</w:t>
      </w:r>
      <w:r w:rsidR="0013576C" w:rsidRPr="00103DDB">
        <w:rPr>
          <w:lang w:val="en-GB"/>
        </w:rPr>
        <w:t>m to do this themselves.</w:t>
      </w:r>
    </w:p>
    <w:p w14:paraId="72C35F93" w14:textId="77777777" w:rsidR="006F5F39" w:rsidRPr="00103DDB" w:rsidRDefault="006F5F39" w:rsidP="0013576C">
      <w:pPr>
        <w:pStyle w:val="BodyTextMain"/>
        <w:ind w:left="720"/>
        <w:rPr>
          <w:lang w:val="en-GB"/>
        </w:rPr>
      </w:pPr>
    </w:p>
    <w:p w14:paraId="4C3672C7" w14:textId="1EE08667" w:rsidR="003C0286" w:rsidRPr="00103DDB" w:rsidRDefault="003C0286" w:rsidP="003C0286">
      <w:pPr>
        <w:pStyle w:val="BodyTextMain"/>
        <w:rPr>
          <w:lang w:val="en-GB"/>
        </w:rPr>
      </w:pPr>
      <w:r w:rsidRPr="00103DDB">
        <w:rPr>
          <w:lang w:val="en-GB"/>
        </w:rPr>
        <w:t xml:space="preserve">Under Tai’s leadership and Mekong’s guidance, </w:t>
      </w:r>
      <w:r w:rsidR="00DF20F0" w:rsidRPr="00103DDB">
        <w:rPr>
          <w:lang w:val="en-GB"/>
        </w:rPr>
        <w:t>Mobile World</w:t>
      </w:r>
      <w:r w:rsidRPr="00103DDB">
        <w:rPr>
          <w:lang w:val="en-GB"/>
        </w:rPr>
        <w:t xml:space="preserve"> made good progress on the key components Mekong had identified for determining its portfolio companies’ ability to achieve their long</w:t>
      </w:r>
      <w:r w:rsidR="006E2D67" w:rsidRPr="00103DDB">
        <w:rPr>
          <w:lang w:val="en-GB"/>
        </w:rPr>
        <w:t>-</w:t>
      </w:r>
      <w:r w:rsidRPr="00103DDB">
        <w:rPr>
          <w:lang w:val="en-GB"/>
        </w:rPr>
        <w:t>term goals (</w:t>
      </w:r>
      <w:r w:rsidR="0013576C" w:rsidRPr="00103DDB">
        <w:rPr>
          <w:lang w:val="en-GB"/>
        </w:rPr>
        <w:t xml:space="preserve">see </w:t>
      </w:r>
      <w:r w:rsidRPr="00103DDB">
        <w:rPr>
          <w:lang w:val="en-GB"/>
        </w:rPr>
        <w:t>Exh</w:t>
      </w:r>
      <w:r w:rsidR="005960E7">
        <w:rPr>
          <w:lang w:val="en-GB"/>
        </w:rPr>
        <w:t>ibits 5, 6, and 7</w:t>
      </w:r>
      <w:r w:rsidRPr="00103DDB">
        <w:rPr>
          <w:lang w:val="en-GB"/>
        </w:rPr>
        <w:t>). Its founders accepted Mekong’s assistance in identifying three new managers</w:t>
      </w:r>
      <w:r w:rsidR="00622DD6" w:rsidRPr="00103DDB">
        <w:rPr>
          <w:lang w:val="en-GB"/>
        </w:rPr>
        <w:t xml:space="preserve">. These managers </w:t>
      </w:r>
      <w:r w:rsidRPr="00103DDB">
        <w:rPr>
          <w:lang w:val="en-GB"/>
        </w:rPr>
        <w:t>helped the firm</w:t>
      </w:r>
      <w:r w:rsidR="00622DD6" w:rsidRPr="00103DDB">
        <w:rPr>
          <w:lang w:val="en-GB"/>
        </w:rPr>
        <w:t xml:space="preserve"> </w:t>
      </w:r>
      <w:r w:rsidRPr="00103DDB">
        <w:rPr>
          <w:lang w:val="en-GB"/>
        </w:rPr>
        <w:t>professionalize its handling of sales, marketing</w:t>
      </w:r>
      <w:r w:rsidR="00622DD6" w:rsidRPr="00103DDB">
        <w:rPr>
          <w:lang w:val="en-GB"/>
        </w:rPr>
        <w:t>,</w:t>
      </w:r>
      <w:r w:rsidRPr="00103DDB">
        <w:rPr>
          <w:lang w:val="en-GB"/>
        </w:rPr>
        <w:t xml:space="preserve"> and human resources, and thereby contributed fundamentally to the </w:t>
      </w:r>
      <w:r w:rsidR="006E2D67" w:rsidRPr="00103DDB">
        <w:rPr>
          <w:lang w:val="en-GB"/>
        </w:rPr>
        <w:t xml:space="preserve">company’s </w:t>
      </w:r>
      <w:r w:rsidRPr="00103DDB">
        <w:rPr>
          <w:lang w:val="en-GB"/>
        </w:rPr>
        <w:t>development. Two of the managers progressed to the most senior leadership positions in the company and eventually joined the</w:t>
      </w:r>
      <w:r w:rsidR="00622DD6" w:rsidRPr="00103DDB">
        <w:rPr>
          <w:lang w:val="en-GB"/>
        </w:rPr>
        <w:t xml:space="preserve"> b</w:t>
      </w:r>
      <w:r w:rsidRPr="00103DDB">
        <w:rPr>
          <w:lang w:val="en-GB"/>
        </w:rPr>
        <w:t xml:space="preserve">oard of </w:t>
      </w:r>
      <w:r w:rsidR="00622DD6" w:rsidRPr="00103DDB">
        <w:rPr>
          <w:lang w:val="en-GB"/>
        </w:rPr>
        <w:t>d</w:t>
      </w:r>
      <w:r w:rsidRPr="00103DDB">
        <w:rPr>
          <w:lang w:val="en-GB"/>
        </w:rPr>
        <w:t>irectors</w:t>
      </w:r>
      <w:r w:rsidR="006E2D67" w:rsidRPr="00103DDB">
        <w:rPr>
          <w:lang w:val="en-GB"/>
        </w:rPr>
        <w:t>. T</w:t>
      </w:r>
      <w:r w:rsidRPr="00103DDB">
        <w:rPr>
          <w:lang w:val="en-GB"/>
        </w:rPr>
        <w:t>he third serv</w:t>
      </w:r>
      <w:r w:rsidR="006E2D67" w:rsidRPr="00103DDB">
        <w:rPr>
          <w:lang w:val="en-GB"/>
        </w:rPr>
        <w:t>ed</w:t>
      </w:r>
      <w:r w:rsidRPr="00103DDB">
        <w:rPr>
          <w:lang w:val="en-GB"/>
        </w:rPr>
        <w:t xml:space="preserve"> as the </w:t>
      </w:r>
      <w:r w:rsidR="00622DD6" w:rsidRPr="00103DDB">
        <w:rPr>
          <w:lang w:val="en-GB"/>
        </w:rPr>
        <w:t>m</w:t>
      </w:r>
      <w:r w:rsidRPr="00103DDB">
        <w:rPr>
          <w:lang w:val="en-GB"/>
        </w:rPr>
        <w:t xml:space="preserve">arketing </w:t>
      </w:r>
      <w:r w:rsidR="00622DD6" w:rsidRPr="00103DDB">
        <w:rPr>
          <w:lang w:val="en-GB"/>
        </w:rPr>
        <w:t>d</w:t>
      </w:r>
      <w:r w:rsidRPr="00103DDB">
        <w:rPr>
          <w:lang w:val="en-GB"/>
        </w:rPr>
        <w:t xml:space="preserve">irector. </w:t>
      </w:r>
    </w:p>
    <w:p w14:paraId="5FDE172E" w14:textId="77777777" w:rsidR="003C0286" w:rsidRPr="00103DDB" w:rsidRDefault="003C0286" w:rsidP="003C0286">
      <w:pPr>
        <w:pStyle w:val="BodyTextMain"/>
        <w:rPr>
          <w:lang w:val="en-GB"/>
        </w:rPr>
      </w:pPr>
    </w:p>
    <w:p w14:paraId="662C2636" w14:textId="51770D87" w:rsidR="003C0286" w:rsidRPr="00103DDB" w:rsidRDefault="003C0286" w:rsidP="003C0286">
      <w:pPr>
        <w:pStyle w:val="BodyTextMain"/>
        <w:rPr>
          <w:lang w:val="en-GB"/>
        </w:rPr>
      </w:pPr>
      <w:r w:rsidRPr="00103DDB">
        <w:rPr>
          <w:lang w:val="en-GB"/>
        </w:rPr>
        <w:t xml:space="preserve">Most important to Freund was the degree to which the </w:t>
      </w:r>
      <w:r w:rsidR="00DF20F0" w:rsidRPr="00103DDB">
        <w:rPr>
          <w:lang w:val="en-GB"/>
        </w:rPr>
        <w:t>Mobile World</w:t>
      </w:r>
      <w:r w:rsidRPr="00103DDB">
        <w:rPr>
          <w:lang w:val="en-GB"/>
        </w:rPr>
        <w:t xml:space="preserve"> entrepreneurial team, led by Tai, showed ambition. Mekong was pushing each of its portfolio companies to think big. Tai had announced “the 10,000</w:t>
      </w:r>
      <w:r w:rsidR="006E2D67" w:rsidRPr="00103DDB">
        <w:rPr>
          <w:lang w:val="en-GB"/>
        </w:rPr>
        <w:t>–</w:t>
      </w:r>
      <w:r w:rsidRPr="00103DDB">
        <w:rPr>
          <w:lang w:val="en-GB"/>
        </w:rPr>
        <w:t xml:space="preserve">500 dream”—a commitment to become a company of </w:t>
      </w:r>
      <w:r w:rsidR="006B076B">
        <w:rPr>
          <w:lang w:val="en-GB"/>
        </w:rPr>
        <w:t>VND</w:t>
      </w:r>
      <w:r w:rsidRPr="00103DDB">
        <w:rPr>
          <w:lang w:val="en-GB"/>
        </w:rPr>
        <w:t>10</w:t>
      </w:r>
      <w:proofErr w:type="gramStart"/>
      <w:r w:rsidRPr="00103DDB">
        <w:rPr>
          <w:lang w:val="en-GB"/>
        </w:rPr>
        <w:t>,000</w:t>
      </w:r>
      <w:proofErr w:type="gramEnd"/>
      <w:r w:rsidRPr="00103DDB">
        <w:rPr>
          <w:lang w:val="en-GB"/>
        </w:rPr>
        <w:t xml:space="preserve"> billion in revenue and</w:t>
      </w:r>
      <w:r w:rsidR="006B076B">
        <w:rPr>
          <w:lang w:val="en-GB"/>
        </w:rPr>
        <w:t xml:space="preserve"> VND</w:t>
      </w:r>
      <w:r w:rsidRPr="00103DDB">
        <w:rPr>
          <w:lang w:val="en-GB"/>
        </w:rPr>
        <w:t xml:space="preserve">500 billion in profit within </w:t>
      </w:r>
      <w:r w:rsidR="00622DD6" w:rsidRPr="00103DDB">
        <w:rPr>
          <w:lang w:val="en-GB"/>
        </w:rPr>
        <w:t>five</w:t>
      </w:r>
      <w:r w:rsidRPr="00103DDB">
        <w:rPr>
          <w:lang w:val="en-GB"/>
        </w:rPr>
        <w:t xml:space="preserve"> years (i.e.</w:t>
      </w:r>
      <w:r w:rsidR="00622DD6" w:rsidRPr="00103DDB">
        <w:rPr>
          <w:lang w:val="en-GB"/>
        </w:rPr>
        <w:t>,</w:t>
      </w:r>
      <w:r w:rsidRPr="00103DDB">
        <w:rPr>
          <w:lang w:val="en-GB"/>
        </w:rPr>
        <w:t xml:space="preserve"> by 2014).</w:t>
      </w:r>
      <w:r w:rsidR="00E15716" w:rsidRPr="00103DDB">
        <w:rPr>
          <w:rStyle w:val="FootnoteReference"/>
          <w:lang w:val="en-GB"/>
        </w:rPr>
        <w:footnoteReference w:id="11"/>
      </w:r>
    </w:p>
    <w:p w14:paraId="46C2D20A" w14:textId="77777777" w:rsidR="003C0286" w:rsidRPr="00103DDB" w:rsidRDefault="003C0286" w:rsidP="003C0286">
      <w:pPr>
        <w:pStyle w:val="BodyTextMain"/>
        <w:rPr>
          <w:lang w:val="en-GB"/>
        </w:rPr>
      </w:pPr>
    </w:p>
    <w:p w14:paraId="3B009D1B" w14:textId="4AF884F6" w:rsidR="003C0286" w:rsidRPr="00103DDB" w:rsidRDefault="003C0286" w:rsidP="003C0286">
      <w:pPr>
        <w:pStyle w:val="BodyTextMain"/>
        <w:rPr>
          <w:lang w:val="en-GB"/>
        </w:rPr>
      </w:pPr>
      <w:r w:rsidRPr="00103DDB">
        <w:rPr>
          <w:lang w:val="en-GB"/>
        </w:rPr>
        <w:t xml:space="preserve">Nevertheless, </w:t>
      </w:r>
      <w:r w:rsidR="00622DD6" w:rsidRPr="00103DDB">
        <w:rPr>
          <w:lang w:val="en-GB"/>
        </w:rPr>
        <w:t xml:space="preserve">in </w:t>
      </w:r>
      <w:r w:rsidRPr="00103DDB">
        <w:rPr>
          <w:lang w:val="en-GB"/>
        </w:rPr>
        <w:t>realit</w:t>
      </w:r>
      <w:r w:rsidR="00622DD6" w:rsidRPr="00103DDB">
        <w:rPr>
          <w:lang w:val="en-GB"/>
        </w:rPr>
        <w:t>y,</w:t>
      </w:r>
      <w:r w:rsidRPr="00103DDB">
        <w:rPr>
          <w:lang w:val="en-GB"/>
        </w:rPr>
        <w:t xml:space="preserve"> times were tough for </w:t>
      </w:r>
      <w:r w:rsidR="00DF20F0" w:rsidRPr="00103DDB">
        <w:rPr>
          <w:lang w:val="en-GB"/>
        </w:rPr>
        <w:t>Mobile World</w:t>
      </w:r>
      <w:r w:rsidRPr="00103DDB">
        <w:rPr>
          <w:lang w:val="en-GB"/>
        </w:rPr>
        <w:t xml:space="preserve"> in 2009. Tai believed this was </w:t>
      </w:r>
      <w:r w:rsidR="00622DD6" w:rsidRPr="00103DDB">
        <w:rPr>
          <w:lang w:val="en-GB"/>
        </w:rPr>
        <w:t>largely</w:t>
      </w:r>
      <w:r w:rsidRPr="00103DDB">
        <w:rPr>
          <w:lang w:val="en-GB"/>
        </w:rPr>
        <w:t xml:space="preserve"> due to the broad economic slowdown. According to </w:t>
      </w:r>
      <w:r w:rsidR="00622DD6" w:rsidRPr="00103DDB">
        <w:rPr>
          <w:lang w:val="en-GB"/>
        </w:rPr>
        <w:t>Tai</w:t>
      </w:r>
      <w:r w:rsidRPr="00103DDB">
        <w:rPr>
          <w:lang w:val="en-GB"/>
        </w:rPr>
        <w:t xml:space="preserve">, “the whole market was affected. In the bad times, customers keep their phones for a longer time.” Freund disagreed that this should influence company plans, saying, “I mean, sure, asset valuations go up and down, like the stock market and real estate, but consumer spending never had a bad year since I’ve been here. It’s always grown every year.” </w:t>
      </w:r>
      <w:r w:rsidR="00622DD6" w:rsidRPr="00103DDB">
        <w:rPr>
          <w:lang w:val="en-GB"/>
        </w:rPr>
        <w:t>U</w:t>
      </w:r>
      <w:r w:rsidRPr="00103DDB">
        <w:rPr>
          <w:lang w:val="en-GB"/>
        </w:rPr>
        <w:t>ltimately</w:t>
      </w:r>
      <w:r w:rsidR="00622DD6" w:rsidRPr="00103DDB">
        <w:rPr>
          <w:lang w:val="en-GB"/>
        </w:rPr>
        <w:t>,</w:t>
      </w:r>
      <w:r w:rsidRPr="00103DDB">
        <w:rPr>
          <w:lang w:val="en-GB"/>
        </w:rPr>
        <w:t xml:space="preserve"> Freund went along with the founders’ plan </w:t>
      </w:r>
      <w:r w:rsidR="006E2D67" w:rsidRPr="00103DDB">
        <w:rPr>
          <w:lang w:val="en-GB"/>
        </w:rPr>
        <w:t xml:space="preserve">to </w:t>
      </w:r>
      <w:r w:rsidRPr="00103DDB">
        <w:rPr>
          <w:lang w:val="en-GB"/>
        </w:rPr>
        <w:t xml:space="preserve">retrench. </w:t>
      </w:r>
    </w:p>
    <w:p w14:paraId="2197D5A0" w14:textId="77777777" w:rsidR="003C0286" w:rsidRPr="00103DDB" w:rsidRDefault="003C0286" w:rsidP="003C0286">
      <w:pPr>
        <w:pStyle w:val="BodyTextMain"/>
        <w:rPr>
          <w:lang w:val="en-GB"/>
        </w:rPr>
      </w:pPr>
    </w:p>
    <w:p w14:paraId="58EB132C" w14:textId="5EAE5B5B" w:rsidR="003C0286" w:rsidRPr="00103DDB" w:rsidRDefault="003C0286" w:rsidP="003C0286">
      <w:pPr>
        <w:pStyle w:val="BodyTextMain"/>
        <w:rPr>
          <w:lang w:val="en-GB"/>
        </w:rPr>
      </w:pPr>
      <w:r w:rsidRPr="00103DDB">
        <w:rPr>
          <w:lang w:val="en-GB"/>
        </w:rPr>
        <w:t xml:space="preserve">All parties agreed that </w:t>
      </w:r>
      <w:r w:rsidR="00DF20F0" w:rsidRPr="00103DDB">
        <w:rPr>
          <w:lang w:val="en-GB"/>
        </w:rPr>
        <w:t>Mobile World</w:t>
      </w:r>
      <w:r w:rsidRPr="00103DDB">
        <w:rPr>
          <w:lang w:val="en-GB"/>
        </w:rPr>
        <w:t>’s struggles were also due to company-specific factors. “Frankly speaking,” admitted Tai, “managing 30 plus stores was much more challenging than managing just several, especially since some were now far away, no longer in the same city. So</w:t>
      </w:r>
      <w:r w:rsidR="00DA2F9F">
        <w:rPr>
          <w:lang w:val="en-GB"/>
        </w:rPr>
        <w:t>,</w:t>
      </w:r>
      <w:r w:rsidRPr="00103DDB">
        <w:rPr>
          <w:lang w:val="en-GB"/>
        </w:rPr>
        <w:t xml:space="preserve"> these were new problems that we had to build solutions for.” Although the firm </w:t>
      </w:r>
      <w:r w:rsidR="006E2D67" w:rsidRPr="00103DDB">
        <w:rPr>
          <w:lang w:val="en-GB"/>
        </w:rPr>
        <w:t xml:space="preserve">had </w:t>
      </w:r>
      <w:r w:rsidRPr="00103DDB">
        <w:rPr>
          <w:lang w:val="en-GB"/>
        </w:rPr>
        <w:t>invested early</w:t>
      </w:r>
      <w:r w:rsidR="00622DD6" w:rsidRPr="00103DDB">
        <w:rPr>
          <w:lang w:val="en-GB"/>
        </w:rPr>
        <w:t xml:space="preserve">, </w:t>
      </w:r>
      <w:r w:rsidRPr="00103DDB">
        <w:rPr>
          <w:lang w:val="en-GB"/>
        </w:rPr>
        <w:t xml:space="preserve">in terms of time, money, and effort, in the development of an </w:t>
      </w:r>
      <w:r w:rsidR="00622DD6" w:rsidRPr="00103DDB">
        <w:rPr>
          <w:lang w:val="en-GB"/>
        </w:rPr>
        <w:t>e</w:t>
      </w:r>
      <w:r w:rsidRPr="00103DDB">
        <w:rPr>
          <w:lang w:val="en-GB"/>
        </w:rPr>
        <w:t xml:space="preserve">nterprise </w:t>
      </w:r>
      <w:r w:rsidR="00622DD6" w:rsidRPr="00103DDB">
        <w:rPr>
          <w:lang w:val="en-GB"/>
        </w:rPr>
        <w:t>r</w:t>
      </w:r>
      <w:r w:rsidRPr="00103DDB">
        <w:rPr>
          <w:lang w:val="en-GB"/>
        </w:rPr>
        <w:t xml:space="preserve">esource </w:t>
      </w:r>
      <w:r w:rsidR="00622DD6" w:rsidRPr="00103DDB">
        <w:rPr>
          <w:lang w:val="en-GB"/>
        </w:rPr>
        <w:t>p</w:t>
      </w:r>
      <w:r w:rsidRPr="00103DDB">
        <w:rPr>
          <w:lang w:val="en-GB"/>
        </w:rPr>
        <w:t>lanning system, there was a need to strengthen the company’s backend technology solutions.</w:t>
      </w:r>
    </w:p>
    <w:p w14:paraId="4D4B53BA" w14:textId="77777777" w:rsidR="003C0286" w:rsidRPr="00103DDB" w:rsidRDefault="003C0286" w:rsidP="003C0286">
      <w:pPr>
        <w:pStyle w:val="BodyTextMain"/>
        <w:rPr>
          <w:lang w:val="en-GB"/>
        </w:rPr>
      </w:pPr>
    </w:p>
    <w:p w14:paraId="5DD7F11E" w14:textId="324D9056" w:rsidR="003C0286" w:rsidRPr="00103DDB" w:rsidRDefault="003C0286" w:rsidP="003C0286">
      <w:pPr>
        <w:pStyle w:val="BodyTextMain"/>
        <w:rPr>
          <w:lang w:val="en-GB"/>
        </w:rPr>
      </w:pPr>
      <w:r w:rsidRPr="00103DDB">
        <w:rPr>
          <w:lang w:val="en-GB"/>
        </w:rPr>
        <w:t>Furthermore, even as it gr</w:t>
      </w:r>
      <w:r w:rsidR="006E2D67" w:rsidRPr="00103DDB">
        <w:rPr>
          <w:lang w:val="en-GB"/>
        </w:rPr>
        <w:t>ew</w:t>
      </w:r>
      <w:r w:rsidRPr="00103DDB">
        <w:rPr>
          <w:lang w:val="en-GB"/>
        </w:rPr>
        <w:t>, the firm’s margins remained extremely tight. Th</w:t>
      </w:r>
      <w:r w:rsidR="00622DD6" w:rsidRPr="00103DDB">
        <w:rPr>
          <w:lang w:val="en-GB"/>
        </w:rPr>
        <w:t xml:space="preserve">ese tight margins were </w:t>
      </w:r>
      <w:r w:rsidRPr="00103DDB">
        <w:rPr>
          <w:lang w:val="en-GB"/>
        </w:rPr>
        <w:t xml:space="preserve">the result not only of the earlier-mentioned distribution of margins to intermediaries across the distribution chain, but also the constant inflow of new models, which led to rapid depreciation of the value consumers put on in-stock models. </w:t>
      </w:r>
    </w:p>
    <w:p w14:paraId="4049F0FA" w14:textId="77777777" w:rsidR="003C0286" w:rsidRPr="00103DDB" w:rsidRDefault="003C0286" w:rsidP="003C0286">
      <w:pPr>
        <w:pStyle w:val="BodyTextMain"/>
        <w:rPr>
          <w:lang w:val="en-GB"/>
        </w:rPr>
      </w:pPr>
    </w:p>
    <w:p w14:paraId="6FAE81EE" w14:textId="45B81EA1" w:rsidR="003C0286" w:rsidRPr="00103DDB" w:rsidRDefault="003C0286" w:rsidP="0013576C">
      <w:pPr>
        <w:pStyle w:val="BodyTextMain"/>
        <w:rPr>
          <w:lang w:val="en-GB"/>
        </w:rPr>
      </w:pPr>
      <w:r w:rsidRPr="00103DDB">
        <w:rPr>
          <w:lang w:val="en-GB"/>
        </w:rPr>
        <w:t xml:space="preserve">A natural consequence of tight margins was that </w:t>
      </w:r>
      <w:r w:rsidR="00DF20F0" w:rsidRPr="00103DDB">
        <w:rPr>
          <w:lang w:val="en-GB"/>
        </w:rPr>
        <w:t>Mobile World</w:t>
      </w:r>
      <w:r w:rsidRPr="00103DDB">
        <w:rPr>
          <w:lang w:val="en-GB"/>
        </w:rPr>
        <w:t>, under Tai’s continued leadership, moved toward increased hard</w:t>
      </w:r>
      <w:r w:rsidR="00622DD6" w:rsidRPr="00103DDB">
        <w:rPr>
          <w:lang w:val="en-GB"/>
        </w:rPr>
        <w:t xml:space="preserve"> </w:t>
      </w:r>
      <w:r w:rsidRPr="00103DDB">
        <w:rPr>
          <w:lang w:val="en-GB"/>
        </w:rPr>
        <w:t>selling to consumers of products that were over-represented in the firm’s inventory. Th</w:t>
      </w:r>
      <w:r w:rsidR="00622DD6" w:rsidRPr="00103DDB">
        <w:rPr>
          <w:lang w:val="en-GB"/>
        </w:rPr>
        <w:t>ese products</w:t>
      </w:r>
      <w:r w:rsidRPr="00103DDB">
        <w:rPr>
          <w:lang w:val="en-GB"/>
        </w:rPr>
        <w:t xml:space="preserve"> included higher margin but lower quality Chinese phones. </w:t>
      </w:r>
      <w:proofErr w:type="spellStart"/>
      <w:r w:rsidRPr="00103DDB">
        <w:rPr>
          <w:lang w:val="en-GB"/>
        </w:rPr>
        <w:t>Quan</w:t>
      </w:r>
      <w:proofErr w:type="spellEnd"/>
      <w:r w:rsidRPr="00103DDB">
        <w:rPr>
          <w:lang w:val="en-GB"/>
        </w:rPr>
        <w:t xml:space="preserve">, the former customer service manager, saw this </w:t>
      </w:r>
      <w:r w:rsidR="00622DD6" w:rsidRPr="00103DDB">
        <w:rPr>
          <w:lang w:val="en-GB"/>
        </w:rPr>
        <w:t xml:space="preserve">practice </w:t>
      </w:r>
      <w:r w:rsidRPr="00103DDB">
        <w:rPr>
          <w:lang w:val="en-GB"/>
        </w:rPr>
        <w:t xml:space="preserve">as a dangerous </w:t>
      </w:r>
      <w:r w:rsidR="0013576C" w:rsidRPr="00103DDB">
        <w:rPr>
          <w:lang w:val="en-GB"/>
        </w:rPr>
        <w:t>threat to the firm’s reputation: “Whenever</w:t>
      </w:r>
      <w:r w:rsidRPr="00103DDB">
        <w:rPr>
          <w:lang w:val="en-GB"/>
        </w:rPr>
        <w:t xml:space="preserve"> there was a new product, our salespeople had targets to meet. That led to hard</w:t>
      </w:r>
      <w:r w:rsidR="00622DD6" w:rsidRPr="00103DDB">
        <w:rPr>
          <w:lang w:val="en-GB"/>
        </w:rPr>
        <w:t xml:space="preserve"> </w:t>
      </w:r>
      <w:r w:rsidRPr="00103DDB">
        <w:rPr>
          <w:lang w:val="en-GB"/>
        </w:rPr>
        <w:t>selling customers to buy particular types of products</w:t>
      </w:r>
      <w:r w:rsidR="00622DD6" w:rsidRPr="00103DDB">
        <w:rPr>
          <w:lang w:val="en-GB"/>
        </w:rPr>
        <w:t>,</w:t>
      </w:r>
      <w:r w:rsidRPr="00103DDB">
        <w:rPr>
          <w:lang w:val="en-GB"/>
        </w:rPr>
        <w:t xml:space="preserve"> and</w:t>
      </w:r>
      <w:r w:rsidR="00622DD6" w:rsidRPr="00103DDB">
        <w:rPr>
          <w:lang w:val="en-GB"/>
        </w:rPr>
        <w:t xml:space="preserve"> </w:t>
      </w:r>
      <w:r w:rsidRPr="00103DDB">
        <w:rPr>
          <w:lang w:val="en-GB"/>
        </w:rPr>
        <w:t>as competition gre</w:t>
      </w:r>
      <w:r w:rsidR="000C4618">
        <w:rPr>
          <w:lang w:val="en-GB"/>
        </w:rPr>
        <w:t>w, we started to lose customers. . . .</w:t>
      </w:r>
      <w:r w:rsidRPr="00103DDB">
        <w:rPr>
          <w:lang w:val="en-GB"/>
        </w:rPr>
        <w:t xml:space="preserve"> This was part of what forced us to suspend our exp</w:t>
      </w:r>
      <w:r w:rsidR="0013576C" w:rsidRPr="00103DDB">
        <w:rPr>
          <w:lang w:val="en-GB"/>
        </w:rPr>
        <w:t>ansion toward</w:t>
      </w:r>
      <w:r w:rsidR="00622DD6" w:rsidRPr="00103DDB">
        <w:rPr>
          <w:lang w:val="en-GB"/>
        </w:rPr>
        <w:t xml:space="preserve"> </w:t>
      </w:r>
      <w:r w:rsidR="0013576C" w:rsidRPr="00103DDB">
        <w:rPr>
          <w:lang w:val="en-GB"/>
        </w:rPr>
        <w:t>the end of 2008.”</w:t>
      </w:r>
    </w:p>
    <w:p w14:paraId="17367280" w14:textId="77777777" w:rsidR="00600623" w:rsidRPr="00103DDB" w:rsidRDefault="00600623" w:rsidP="003C0286">
      <w:pPr>
        <w:pStyle w:val="BodyTextMain"/>
        <w:rPr>
          <w:lang w:val="en-GB"/>
        </w:rPr>
      </w:pPr>
    </w:p>
    <w:p w14:paraId="78985EC7" w14:textId="002AC4F3" w:rsidR="003C0286" w:rsidRPr="00103DDB" w:rsidRDefault="003C0286" w:rsidP="003C0286">
      <w:pPr>
        <w:pStyle w:val="BodyTextMain"/>
        <w:rPr>
          <w:lang w:val="en-GB"/>
        </w:rPr>
      </w:pPr>
      <w:r w:rsidRPr="00103DDB">
        <w:rPr>
          <w:lang w:val="en-GB"/>
        </w:rPr>
        <w:t xml:space="preserve">Losses and layoffs added to ownership tensions, but differing opinions had existed nearly from the start. An early conflict occurred around the legality of the firm’s human resource policies. Tai had realized that the norm of allowing sales employees to close shop when they went out to lunch for an hour or when they returned home for dinner with their family meant that the shops were closed at prime shopping times for their target market of young professionals. In response, he mandated that all stores would stay open over </w:t>
      </w:r>
      <w:r w:rsidRPr="00103DDB">
        <w:rPr>
          <w:lang w:val="en-GB"/>
        </w:rPr>
        <w:lastRenderedPageBreak/>
        <w:t>lunch and stay open until 8</w:t>
      </w:r>
      <w:r w:rsidR="00593C73" w:rsidRPr="00103DDB">
        <w:rPr>
          <w:lang w:val="en-GB"/>
        </w:rPr>
        <w:t xml:space="preserve">:00 </w:t>
      </w:r>
      <w:r w:rsidRPr="00103DDB">
        <w:rPr>
          <w:lang w:val="en-GB"/>
        </w:rPr>
        <w:t>p</w:t>
      </w:r>
      <w:r w:rsidR="00593C73" w:rsidRPr="00103DDB">
        <w:rPr>
          <w:lang w:val="en-GB"/>
        </w:rPr>
        <w:t>.</w:t>
      </w:r>
      <w:r w:rsidRPr="00103DDB">
        <w:rPr>
          <w:lang w:val="en-GB"/>
        </w:rPr>
        <w:t>m. There were no shifts. Tai noted:</w:t>
      </w:r>
      <w:r w:rsidR="0013576C" w:rsidRPr="00103DDB">
        <w:rPr>
          <w:lang w:val="en-GB"/>
        </w:rPr>
        <w:t xml:space="preserve"> </w:t>
      </w:r>
      <w:r w:rsidRPr="00103DDB">
        <w:rPr>
          <w:lang w:val="en-GB"/>
        </w:rPr>
        <w:t xml:space="preserve">“I was requiring our workers to work longer than the law allowed. </w:t>
      </w:r>
      <w:proofErr w:type="spellStart"/>
      <w:r w:rsidRPr="00103DDB">
        <w:rPr>
          <w:lang w:val="en-GB"/>
        </w:rPr>
        <w:t>Quan</w:t>
      </w:r>
      <w:proofErr w:type="spellEnd"/>
      <w:r w:rsidRPr="00103DDB">
        <w:rPr>
          <w:lang w:val="en-GB"/>
        </w:rPr>
        <w:t xml:space="preserve"> was not happy with these decisions</w:t>
      </w:r>
      <w:r w:rsidR="00622DD6" w:rsidRPr="00103DDB">
        <w:rPr>
          <w:lang w:val="en-GB"/>
        </w:rPr>
        <w:t>,</w:t>
      </w:r>
      <w:r w:rsidRPr="00103DDB">
        <w:rPr>
          <w:lang w:val="en-GB"/>
        </w:rPr>
        <w:t xml:space="preserve"> and as CEO at the time, he was the one who was legally most exposed. As the sales and marketing guy, I made so many decisions so that we would grow the business in the right way.”</w:t>
      </w:r>
    </w:p>
    <w:p w14:paraId="0878FA39" w14:textId="77777777" w:rsidR="006F5F39" w:rsidRPr="00103DDB" w:rsidRDefault="006F5F39" w:rsidP="003C0286">
      <w:pPr>
        <w:pStyle w:val="BodyTextMain"/>
        <w:rPr>
          <w:lang w:val="en-GB"/>
        </w:rPr>
      </w:pPr>
    </w:p>
    <w:p w14:paraId="24240EFC" w14:textId="33FC48CB" w:rsidR="003C0286" w:rsidRPr="00103DDB" w:rsidRDefault="003C0286" w:rsidP="003C0286">
      <w:pPr>
        <w:pStyle w:val="BodyTextMain"/>
        <w:rPr>
          <w:lang w:val="en-GB"/>
        </w:rPr>
      </w:pPr>
      <w:r w:rsidRPr="00103DDB">
        <w:rPr>
          <w:lang w:val="en-GB"/>
        </w:rPr>
        <w:t xml:space="preserve">Finally, there was the conflict between the co-founders and Freund over Tai’s plan for incentivizing middle managers, including </w:t>
      </w:r>
      <w:r w:rsidR="006E2D67" w:rsidRPr="00103DDB">
        <w:rPr>
          <w:lang w:val="en-GB"/>
        </w:rPr>
        <w:t xml:space="preserve">individual store </w:t>
      </w:r>
      <w:r w:rsidRPr="00103DDB">
        <w:rPr>
          <w:lang w:val="en-GB"/>
        </w:rPr>
        <w:t>managers. According to Tai:</w:t>
      </w:r>
    </w:p>
    <w:p w14:paraId="165FAED1" w14:textId="77777777" w:rsidR="003C0286" w:rsidRPr="00103DDB" w:rsidRDefault="003C0286" w:rsidP="003C0286">
      <w:pPr>
        <w:pStyle w:val="BodyTextMain"/>
        <w:rPr>
          <w:lang w:val="en-GB"/>
        </w:rPr>
      </w:pPr>
    </w:p>
    <w:p w14:paraId="6FC25686" w14:textId="0D319DC3" w:rsidR="003C0286" w:rsidRPr="00103DDB" w:rsidRDefault="003C0286" w:rsidP="0013576C">
      <w:pPr>
        <w:pStyle w:val="BodyTextMain"/>
        <w:ind w:left="720"/>
        <w:rPr>
          <w:lang w:val="en-GB"/>
        </w:rPr>
      </w:pPr>
      <w:r w:rsidRPr="00103DDB">
        <w:rPr>
          <w:lang w:val="en-GB"/>
        </w:rPr>
        <w:t>I struggled to understand, why do only a few people at the top work very hard to make this company very big in the future? For us, the company is the future, but for many managers it was just a job. There is a very big difference between a future and a job. So</w:t>
      </w:r>
      <w:r w:rsidR="00142C3E">
        <w:rPr>
          <w:lang w:val="en-GB"/>
        </w:rPr>
        <w:t>,</w:t>
      </w:r>
      <w:r w:rsidRPr="00103DDB">
        <w:rPr>
          <w:lang w:val="en-GB"/>
        </w:rPr>
        <w:t xml:space="preserve"> I asked myself, how can I change things in this company? If only the other owners and I are really trying to grow the company, it’s not as powerful as a few hundred people working together to grow the company. We needed to do something, I needed to change myself and the</w:t>
      </w:r>
      <w:r w:rsidR="0013576C" w:rsidRPr="00103DDB">
        <w:rPr>
          <w:lang w:val="en-GB"/>
        </w:rPr>
        <w:t xml:space="preserve"> way the company was operating.</w:t>
      </w:r>
    </w:p>
    <w:p w14:paraId="0D7E4147" w14:textId="77777777" w:rsidR="003C0286" w:rsidRPr="00103DDB" w:rsidRDefault="003C0286" w:rsidP="003C0286">
      <w:pPr>
        <w:pStyle w:val="BodyTextMain"/>
        <w:rPr>
          <w:lang w:val="en-GB"/>
        </w:rPr>
      </w:pPr>
    </w:p>
    <w:p w14:paraId="3F9AF82A" w14:textId="73690EC7" w:rsidR="003C0286" w:rsidRPr="00103DDB" w:rsidRDefault="003C0286" w:rsidP="003C0286">
      <w:pPr>
        <w:pStyle w:val="BodyTextMain"/>
        <w:rPr>
          <w:lang w:val="en-GB"/>
        </w:rPr>
      </w:pPr>
      <w:r w:rsidRPr="00103DDB">
        <w:rPr>
          <w:lang w:val="en-GB"/>
        </w:rPr>
        <w:t xml:space="preserve">Freund was </w:t>
      </w:r>
      <w:r w:rsidR="00622DD6" w:rsidRPr="00103DDB">
        <w:rPr>
          <w:lang w:val="en-GB"/>
        </w:rPr>
        <w:t xml:space="preserve">also </w:t>
      </w:r>
      <w:r w:rsidRPr="00103DDB">
        <w:rPr>
          <w:lang w:val="en-GB"/>
        </w:rPr>
        <w:t xml:space="preserve">looking farther ahead. He was bullish about </w:t>
      </w:r>
      <w:r w:rsidR="00DF20F0" w:rsidRPr="00103DDB">
        <w:rPr>
          <w:lang w:val="en-GB"/>
        </w:rPr>
        <w:t>Mobile World</w:t>
      </w:r>
      <w:r w:rsidRPr="00103DDB">
        <w:rPr>
          <w:lang w:val="en-GB"/>
        </w:rPr>
        <w:t>’s potential, despite its rough patch. As a result, he worried about introducing a profit-sharing scheme that shareholders might regret as being too generous once profits returned.</w:t>
      </w:r>
    </w:p>
    <w:p w14:paraId="372F4604" w14:textId="77777777" w:rsidR="003C0286" w:rsidRPr="00103DDB" w:rsidRDefault="003C0286" w:rsidP="003C0286">
      <w:pPr>
        <w:outlineLvl w:val="0"/>
        <w:rPr>
          <w:b/>
          <w:lang w:val="en-GB"/>
        </w:rPr>
      </w:pPr>
    </w:p>
    <w:p w14:paraId="2B9DCA5E" w14:textId="77777777" w:rsidR="0013576C" w:rsidRPr="00103DDB" w:rsidRDefault="0013576C" w:rsidP="003C0286">
      <w:pPr>
        <w:outlineLvl w:val="0"/>
        <w:rPr>
          <w:b/>
          <w:lang w:val="en-GB"/>
        </w:rPr>
      </w:pPr>
    </w:p>
    <w:p w14:paraId="5F69337D" w14:textId="0A5A7F79" w:rsidR="003C0286" w:rsidRPr="00103DDB" w:rsidRDefault="003C0286" w:rsidP="0013576C">
      <w:pPr>
        <w:pStyle w:val="Casehead1"/>
        <w:rPr>
          <w:lang w:val="en-GB"/>
        </w:rPr>
      </w:pPr>
      <w:r w:rsidRPr="00103DDB">
        <w:rPr>
          <w:lang w:val="en-GB"/>
        </w:rPr>
        <w:t>Decision</w:t>
      </w:r>
    </w:p>
    <w:p w14:paraId="61E93D37" w14:textId="77777777" w:rsidR="0013576C" w:rsidRPr="00103DDB" w:rsidRDefault="0013576C" w:rsidP="0013576C">
      <w:pPr>
        <w:pStyle w:val="BodyTextMain"/>
        <w:rPr>
          <w:lang w:val="en-GB"/>
        </w:rPr>
      </w:pPr>
    </w:p>
    <w:p w14:paraId="4BDE5C05" w14:textId="70F76120" w:rsidR="003C0286" w:rsidRPr="00103DDB" w:rsidRDefault="003C0286" w:rsidP="0013576C">
      <w:pPr>
        <w:pStyle w:val="BodyTextMain"/>
        <w:rPr>
          <w:lang w:val="en-GB"/>
        </w:rPr>
      </w:pPr>
      <w:r w:rsidRPr="00103DDB">
        <w:rPr>
          <w:lang w:val="en-GB"/>
        </w:rPr>
        <w:t xml:space="preserve">As 2009 passed its midpoint, </w:t>
      </w:r>
      <w:r w:rsidR="00DF20F0" w:rsidRPr="00103DDB">
        <w:rPr>
          <w:lang w:val="en-GB"/>
        </w:rPr>
        <w:t>Mobile World</w:t>
      </w:r>
      <w:r w:rsidRPr="00103DDB">
        <w:rPr>
          <w:lang w:val="en-GB"/>
        </w:rPr>
        <w:t xml:space="preserve"> and Mekong were both struggling to manage the challenges of rapid internal growth amid difficult external headwinds. Tensions were boiling over around how to manage the firm’s growth. Furthermore, nearly two years into the </w:t>
      </w:r>
      <w:r w:rsidR="00DF20F0" w:rsidRPr="00103DDB">
        <w:rPr>
          <w:lang w:val="en-GB"/>
        </w:rPr>
        <w:t>Mobile World</w:t>
      </w:r>
      <w:r w:rsidRPr="00103DDB">
        <w:rPr>
          <w:lang w:val="en-GB"/>
        </w:rPr>
        <w:t xml:space="preserve"> deal, the clock was ticking on taking further action to maximize the company’s value before Mekong exited and returned money to the fund’s investors. </w:t>
      </w:r>
    </w:p>
    <w:p w14:paraId="2C7CFB04" w14:textId="77777777" w:rsidR="003C0286" w:rsidRPr="00103DDB" w:rsidRDefault="003C0286" w:rsidP="0013576C">
      <w:pPr>
        <w:pStyle w:val="BodyTextMain"/>
        <w:rPr>
          <w:lang w:val="en-GB"/>
        </w:rPr>
      </w:pPr>
    </w:p>
    <w:p w14:paraId="51B6A211" w14:textId="4C18D79A" w:rsidR="003C0286" w:rsidRPr="00103DDB" w:rsidRDefault="003C0286" w:rsidP="0013576C">
      <w:pPr>
        <w:pStyle w:val="BodyTextMain"/>
        <w:rPr>
          <w:lang w:val="en-GB"/>
        </w:rPr>
      </w:pPr>
      <w:r w:rsidRPr="00103DDB">
        <w:rPr>
          <w:lang w:val="en-GB"/>
        </w:rPr>
        <w:t xml:space="preserve">Could Mekong, a foreign PE firm, find a way to smooth relations between the feuding </w:t>
      </w:r>
      <w:r w:rsidR="00DF20F0" w:rsidRPr="00103DDB">
        <w:rPr>
          <w:lang w:val="en-GB"/>
        </w:rPr>
        <w:t>Mobile World</w:t>
      </w:r>
      <w:r w:rsidRPr="00103DDB">
        <w:rPr>
          <w:lang w:val="en-GB"/>
        </w:rPr>
        <w:t xml:space="preserve"> founders and mobilize them behind a common focus on company goals? What advantages would </w:t>
      </w:r>
      <w:r w:rsidR="00DF20F0" w:rsidRPr="00103DDB">
        <w:rPr>
          <w:lang w:val="en-GB"/>
        </w:rPr>
        <w:t>Mobile World</w:t>
      </w:r>
      <w:r w:rsidRPr="00103DDB">
        <w:rPr>
          <w:lang w:val="en-GB"/>
        </w:rPr>
        <w:t xml:space="preserve"> need to develop to be able to grow successfully </w:t>
      </w:r>
      <w:r w:rsidR="0019638D" w:rsidRPr="00103DDB">
        <w:rPr>
          <w:lang w:val="en-GB"/>
        </w:rPr>
        <w:t>and</w:t>
      </w:r>
      <w:r w:rsidRPr="00103DDB">
        <w:rPr>
          <w:lang w:val="en-GB"/>
        </w:rPr>
        <w:t xml:space="preserve"> match its vision to become the country’s largest chain retailer of mobile phones and consumer electronics? What competitive advantages, beyond the capital it had already supplied, could Mekong help</w:t>
      </w:r>
      <w:r w:rsidR="006E2D67" w:rsidRPr="00103DDB">
        <w:rPr>
          <w:lang w:val="en-GB"/>
        </w:rPr>
        <w:t xml:space="preserve"> </w:t>
      </w:r>
      <w:r w:rsidRPr="00103DDB">
        <w:rPr>
          <w:lang w:val="en-GB"/>
        </w:rPr>
        <w:t xml:space="preserve">grow in </w:t>
      </w:r>
      <w:r w:rsidR="00DF20F0" w:rsidRPr="00103DDB">
        <w:rPr>
          <w:lang w:val="en-GB"/>
        </w:rPr>
        <w:t>Mobile World</w:t>
      </w:r>
      <w:r w:rsidRPr="00103DDB">
        <w:rPr>
          <w:lang w:val="en-GB"/>
        </w:rPr>
        <w:t xml:space="preserve"> to reignite rapid growth? </w:t>
      </w:r>
      <w:r w:rsidR="0019638D" w:rsidRPr="00103DDB">
        <w:rPr>
          <w:lang w:val="en-GB"/>
        </w:rPr>
        <w:t xml:space="preserve">Alternatively, </w:t>
      </w:r>
      <w:r w:rsidRPr="00103DDB">
        <w:rPr>
          <w:lang w:val="en-GB"/>
        </w:rPr>
        <w:t>was it time for Freund to quietly shift his attention to maximizing returns on the investments that Mekong had made after Vietnam’s market collapse?</w:t>
      </w:r>
    </w:p>
    <w:p w14:paraId="6674494E" w14:textId="31B946AE" w:rsidR="000E2A53" w:rsidRPr="00103DDB" w:rsidRDefault="000E2A53">
      <w:pPr>
        <w:spacing w:after="200" w:line="276" w:lineRule="auto"/>
        <w:rPr>
          <w:sz w:val="22"/>
          <w:szCs w:val="22"/>
          <w:lang w:val="en-GB"/>
        </w:rPr>
      </w:pPr>
      <w:r w:rsidRPr="00103DDB">
        <w:rPr>
          <w:lang w:val="en-GB"/>
        </w:rPr>
        <w:br w:type="page"/>
      </w:r>
    </w:p>
    <w:p w14:paraId="2BD9574E" w14:textId="77777777" w:rsidR="0013576C" w:rsidRPr="00103DDB" w:rsidRDefault="0013576C" w:rsidP="0013576C">
      <w:pPr>
        <w:pStyle w:val="BodyTextMain"/>
        <w:rPr>
          <w:lang w:val="en-GB"/>
        </w:rPr>
        <w:sectPr w:rsidR="0013576C" w:rsidRPr="00103DDB" w:rsidSect="00EB5410">
          <w:headerReference w:type="default" r:id="rId13"/>
          <w:endnotePr>
            <w:numFmt w:val="decimal"/>
          </w:endnotePr>
          <w:pgSz w:w="12240" w:h="15840"/>
          <w:pgMar w:top="1080" w:right="1440" w:bottom="1440" w:left="1440" w:header="1080" w:footer="720" w:gutter="0"/>
          <w:cols w:space="720"/>
          <w:titlePg/>
          <w:docGrid w:linePitch="360"/>
        </w:sectPr>
      </w:pPr>
    </w:p>
    <w:p w14:paraId="162D1B17" w14:textId="71EB9BE3" w:rsidR="0013576C" w:rsidRPr="00103DDB" w:rsidRDefault="0013576C" w:rsidP="0013576C">
      <w:pPr>
        <w:pStyle w:val="ExhibitHeading"/>
        <w:rPr>
          <w:lang w:val="en-GB"/>
        </w:rPr>
      </w:pPr>
      <w:r w:rsidRPr="00103DDB">
        <w:rPr>
          <w:lang w:val="en-GB"/>
        </w:rPr>
        <w:lastRenderedPageBreak/>
        <w:t>Exhibit 1: Vietnam’s Economy (1999</w:t>
      </w:r>
      <w:r w:rsidR="00D44643" w:rsidRPr="00103DDB">
        <w:rPr>
          <w:lang w:val="en-GB"/>
        </w:rPr>
        <w:t>–</w:t>
      </w:r>
      <w:r w:rsidRPr="00103DDB">
        <w:rPr>
          <w:lang w:val="en-GB"/>
        </w:rPr>
        <w:t>2008)</w:t>
      </w:r>
    </w:p>
    <w:p w14:paraId="5B750E75" w14:textId="77777777" w:rsidR="0013576C" w:rsidRPr="00103DDB" w:rsidRDefault="0013576C" w:rsidP="0013576C">
      <w:pPr>
        <w:pStyle w:val="ExhibitHeading"/>
        <w:rPr>
          <w:lang w:val="en-GB"/>
        </w:rPr>
      </w:pPr>
    </w:p>
    <w:tbl>
      <w:tblPr>
        <w:tblStyle w:val="TableGrid"/>
        <w:tblW w:w="0" w:type="auto"/>
        <w:jc w:val="center"/>
        <w:tblLook w:val="04A0" w:firstRow="1" w:lastRow="0" w:firstColumn="1" w:lastColumn="0" w:noHBand="0" w:noVBand="1"/>
      </w:tblPr>
      <w:tblGrid>
        <w:gridCol w:w="5007"/>
        <w:gridCol w:w="717"/>
        <w:gridCol w:w="717"/>
        <w:gridCol w:w="717"/>
        <w:gridCol w:w="717"/>
        <w:gridCol w:w="717"/>
        <w:gridCol w:w="717"/>
        <w:gridCol w:w="717"/>
        <w:gridCol w:w="884"/>
        <w:gridCol w:w="884"/>
        <w:gridCol w:w="884"/>
      </w:tblGrid>
      <w:tr w:rsidR="0013576C" w:rsidRPr="00103DDB" w14:paraId="055140E6" w14:textId="77777777" w:rsidTr="005D3D57">
        <w:trPr>
          <w:trHeight w:val="113"/>
          <w:jc w:val="center"/>
        </w:trPr>
        <w:tc>
          <w:tcPr>
            <w:tcW w:w="0" w:type="auto"/>
            <w:tcBorders>
              <w:top w:val="nil"/>
              <w:left w:val="nil"/>
            </w:tcBorders>
            <w:noWrap/>
            <w:vAlign w:val="center"/>
            <w:hideMark/>
          </w:tcPr>
          <w:p w14:paraId="34B874D3" w14:textId="77777777" w:rsidR="0013576C" w:rsidRPr="00103DDB" w:rsidRDefault="0013576C">
            <w:pPr>
              <w:rPr>
                <w:rFonts w:ascii="Arial" w:hAnsi="Arial" w:cs="Arial"/>
                <w:b/>
                <w:lang w:val="en-GB"/>
              </w:rPr>
            </w:pPr>
          </w:p>
        </w:tc>
        <w:tc>
          <w:tcPr>
            <w:tcW w:w="0" w:type="auto"/>
            <w:noWrap/>
            <w:vAlign w:val="center"/>
            <w:hideMark/>
          </w:tcPr>
          <w:p w14:paraId="23667FB9" w14:textId="77777777" w:rsidR="0013576C" w:rsidRPr="00103DDB" w:rsidRDefault="0013576C" w:rsidP="007B5486">
            <w:pPr>
              <w:jc w:val="center"/>
              <w:rPr>
                <w:rFonts w:ascii="Arial" w:hAnsi="Arial" w:cs="Arial"/>
                <w:b/>
                <w:color w:val="000000"/>
                <w:lang w:val="en-GB" w:eastAsia="en-US"/>
              </w:rPr>
            </w:pPr>
            <w:r w:rsidRPr="00103DDB">
              <w:rPr>
                <w:rFonts w:ascii="Arial" w:hAnsi="Arial" w:cs="Arial"/>
                <w:b/>
                <w:color w:val="000000"/>
                <w:lang w:val="en-GB"/>
              </w:rPr>
              <w:t>1999</w:t>
            </w:r>
          </w:p>
        </w:tc>
        <w:tc>
          <w:tcPr>
            <w:tcW w:w="0" w:type="auto"/>
            <w:noWrap/>
            <w:vAlign w:val="center"/>
            <w:hideMark/>
          </w:tcPr>
          <w:p w14:paraId="2E3E911C" w14:textId="77777777" w:rsidR="0013576C" w:rsidRPr="00103DDB" w:rsidRDefault="0013576C" w:rsidP="007B5486">
            <w:pPr>
              <w:jc w:val="center"/>
              <w:rPr>
                <w:rFonts w:ascii="Arial" w:hAnsi="Arial" w:cs="Arial"/>
                <w:b/>
                <w:color w:val="000000"/>
                <w:lang w:val="en-GB"/>
              </w:rPr>
            </w:pPr>
            <w:r w:rsidRPr="00103DDB">
              <w:rPr>
                <w:rFonts w:ascii="Arial" w:hAnsi="Arial" w:cs="Arial"/>
                <w:b/>
                <w:color w:val="000000"/>
                <w:lang w:val="en-GB"/>
              </w:rPr>
              <w:t>2000</w:t>
            </w:r>
          </w:p>
        </w:tc>
        <w:tc>
          <w:tcPr>
            <w:tcW w:w="0" w:type="auto"/>
            <w:noWrap/>
            <w:vAlign w:val="center"/>
            <w:hideMark/>
          </w:tcPr>
          <w:p w14:paraId="31519BCA" w14:textId="77777777" w:rsidR="0013576C" w:rsidRPr="00103DDB" w:rsidRDefault="0013576C" w:rsidP="007B5486">
            <w:pPr>
              <w:jc w:val="center"/>
              <w:rPr>
                <w:rFonts w:ascii="Arial" w:hAnsi="Arial" w:cs="Arial"/>
                <w:b/>
                <w:color w:val="000000"/>
                <w:lang w:val="en-GB"/>
              </w:rPr>
            </w:pPr>
            <w:r w:rsidRPr="00103DDB">
              <w:rPr>
                <w:rFonts w:ascii="Arial" w:hAnsi="Arial" w:cs="Arial"/>
                <w:b/>
                <w:color w:val="000000"/>
                <w:lang w:val="en-GB"/>
              </w:rPr>
              <w:t>2001</w:t>
            </w:r>
          </w:p>
        </w:tc>
        <w:tc>
          <w:tcPr>
            <w:tcW w:w="0" w:type="auto"/>
            <w:noWrap/>
            <w:vAlign w:val="center"/>
            <w:hideMark/>
          </w:tcPr>
          <w:p w14:paraId="22D26C33" w14:textId="77777777" w:rsidR="0013576C" w:rsidRPr="00103DDB" w:rsidRDefault="0013576C" w:rsidP="007B5486">
            <w:pPr>
              <w:jc w:val="center"/>
              <w:rPr>
                <w:rFonts w:ascii="Arial" w:hAnsi="Arial" w:cs="Arial"/>
                <w:b/>
                <w:color w:val="000000"/>
                <w:lang w:val="en-GB"/>
              </w:rPr>
            </w:pPr>
            <w:r w:rsidRPr="00103DDB">
              <w:rPr>
                <w:rFonts w:ascii="Arial" w:hAnsi="Arial" w:cs="Arial"/>
                <w:b/>
                <w:color w:val="000000"/>
                <w:lang w:val="en-GB"/>
              </w:rPr>
              <w:t>2002</w:t>
            </w:r>
          </w:p>
        </w:tc>
        <w:tc>
          <w:tcPr>
            <w:tcW w:w="0" w:type="auto"/>
            <w:noWrap/>
            <w:vAlign w:val="center"/>
            <w:hideMark/>
          </w:tcPr>
          <w:p w14:paraId="7D8DB5DE" w14:textId="77777777" w:rsidR="0013576C" w:rsidRPr="00103DDB" w:rsidRDefault="0013576C" w:rsidP="007B5486">
            <w:pPr>
              <w:jc w:val="center"/>
              <w:rPr>
                <w:rFonts w:ascii="Arial" w:hAnsi="Arial" w:cs="Arial"/>
                <w:b/>
                <w:color w:val="000000"/>
                <w:lang w:val="en-GB"/>
              </w:rPr>
            </w:pPr>
            <w:r w:rsidRPr="00103DDB">
              <w:rPr>
                <w:rFonts w:ascii="Arial" w:hAnsi="Arial" w:cs="Arial"/>
                <w:b/>
                <w:color w:val="000000"/>
                <w:lang w:val="en-GB"/>
              </w:rPr>
              <w:t>2003</w:t>
            </w:r>
          </w:p>
        </w:tc>
        <w:tc>
          <w:tcPr>
            <w:tcW w:w="0" w:type="auto"/>
            <w:noWrap/>
            <w:vAlign w:val="center"/>
            <w:hideMark/>
          </w:tcPr>
          <w:p w14:paraId="40870195" w14:textId="77777777" w:rsidR="0013576C" w:rsidRPr="00103DDB" w:rsidRDefault="0013576C" w:rsidP="007B5486">
            <w:pPr>
              <w:jc w:val="center"/>
              <w:rPr>
                <w:rFonts w:ascii="Arial" w:hAnsi="Arial" w:cs="Arial"/>
                <w:b/>
                <w:color w:val="000000"/>
                <w:lang w:val="en-GB"/>
              </w:rPr>
            </w:pPr>
            <w:r w:rsidRPr="00103DDB">
              <w:rPr>
                <w:rFonts w:ascii="Arial" w:hAnsi="Arial" w:cs="Arial"/>
                <w:b/>
                <w:color w:val="000000"/>
                <w:lang w:val="en-GB"/>
              </w:rPr>
              <w:t>2004</w:t>
            </w:r>
          </w:p>
        </w:tc>
        <w:tc>
          <w:tcPr>
            <w:tcW w:w="0" w:type="auto"/>
            <w:noWrap/>
            <w:vAlign w:val="center"/>
            <w:hideMark/>
          </w:tcPr>
          <w:p w14:paraId="16547564" w14:textId="77777777" w:rsidR="0013576C" w:rsidRPr="00103DDB" w:rsidRDefault="0013576C" w:rsidP="007B5486">
            <w:pPr>
              <w:jc w:val="center"/>
              <w:rPr>
                <w:rFonts w:ascii="Arial" w:hAnsi="Arial" w:cs="Arial"/>
                <w:b/>
                <w:color w:val="000000"/>
                <w:lang w:val="en-GB"/>
              </w:rPr>
            </w:pPr>
            <w:r w:rsidRPr="00103DDB">
              <w:rPr>
                <w:rFonts w:ascii="Arial" w:hAnsi="Arial" w:cs="Arial"/>
                <w:b/>
                <w:color w:val="000000"/>
                <w:lang w:val="en-GB"/>
              </w:rPr>
              <w:t>2005</w:t>
            </w:r>
          </w:p>
        </w:tc>
        <w:tc>
          <w:tcPr>
            <w:tcW w:w="0" w:type="auto"/>
            <w:noWrap/>
            <w:vAlign w:val="center"/>
            <w:hideMark/>
          </w:tcPr>
          <w:p w14:paraId="41284303" w14:textId="77777777" w:rsidR="0013576C" w:rsidRPr="00103DDB" w:rsidRDefault="0013576C" w:rsidP="007B5486">
            <w:pPr>
              <w:jc w:val="center"/>
              <w:rPr>
                <w:rFonts w:ascii="Arial" w:hAnsi="Arial" w:cs="Arial"/>
                <w:b/>
                <w:color w:val="000000"/>
                <w:lang w:val="en-GB"/>
              </w:rPr>
            </w:pPr>
            <w:r w:rsidRPr="00103DDB">
              <w:rPr>
                <w:rFonts w:ascii="Arial" w:hAnsi="Arial" w:cs="Arial"/>
                <w:b/>
                <w:color w:val="000000"/>
                <w:lang w:val="en-GB"/>
              </w:rPr>
              <w:t>2006</w:t>
            </w:r>
          </w:p>
        </w:tc>
        <w:tc>
          <w:tcPr>
            <w:tcW w:w="0" w:type="auto"/>
            <w:noWrap/>
            <w:vAlign w:val="center"/>
            <w:hideMark/>
          </w:tcPr>
          <w:p w14:paraId="409FA115" w14:textId="77777777" w:rsidR="0013576C" w:rsidRPr="00103DDB" w:rsidRDefault="0013576C" w:rsidP="007B5486">
            <w:pPr>
              <w:jc w:val="center"/>
              <w:rPr>
                <w:rFonts w:ascii="Arial" w:hAnsi="Arial" w:cs="Arial"/>
                <w:b/>
                <w:color w:val="000000"/>
                <w:lang w:val="en-GB"/>
              </w:rPr>
            </w:pPr>
            <w:r w:rsidRPr="00103DDB">
              <w:rPr>
                <w:rFonts w:ascii="Arial" w:hAnsi="Arial" w:cs="Arial"/>
                <w:b/>
                <w:color w:val="000000"/>
                <w:lang w:val="en-GB"/>
              </w:rPr>
              <w:t>2007</w:t>
            </w:r>
          </w:p>
        </w:tc>
        <w:tc>
          <w:tcPr>
            <w:tcW w:w="0" w:type="auto"/>
            <w:noWrap/>
            <w:vAlign w:val="center"/>
            <w:hideMark/>
          </w:tcPr>
          <w:p w14:paraId="46F3780C" w14:textId="77777777" w:rsidR="0013576C" w:rsidRPr="00103DDB" w:rsidRDefault="0013576C" w:rsidP="007B5486">
            <w:pPr>
              <w:jc w:val="center"/>
              <w:rPr>
                <w:rFonts w:ascii="Arial" w:hAnsi="Arial" w:cs="Arial"/>
                <w:b/>
                <w:color w:val="000000"/>
                <w:lang w:val="en-GB"/>
              </w:rPr>
            </w:pPr>
            <w:r w:rsidRPr="00103DDB">
              <w:rPr>
                <w:rFonts w:ascii="Arial" w:hAnsi="Arial" w:cs="Arial"/>
                <w:b/>
                <w:color w:val="000000"/>
                <w:lang w:val="en-GB"/>
              </w:rPr>
              <w:t>2008</w:t>
            </w:r>
          </w:p>
        </w:tc>
      </w:tr>
      <w:tr w:rsidR="00A74758" w:rsidRPr="00103DDB" w14:paraId="6E442F7D" w14:textId="77777777" w:rsidTr="00D6020A">
        <w:trPr>
          <w:trHeight w:val="386"/>
          <w:jc w:val="center"/>
        </w:trPr>
        <w:tc>
          <w:tcPr>
            <w:tcW w:w="0" w:type="auto"/>
            <w:gridSpan w:val="11"/>
            <w:noWrap/>
            <w:vAlign w:val="center"/>
            <w:hideMark/>
          </w:tcPr>
          <w:p w14:paraId="5891D924" w14:textId="528C494D" w:rsidR="00A74758" w:rsidRPr="00103DDB" w:rsidRDefault="00A74758">
            <w:pPr>
              <w:rPr>
                <w:rFonts w:ascii="Arial" w:hAnsi="Arial" w:cs="Arial"/>
                <w:color w:val="000000"/>
                <w:lang w:val="en-GB"/>
              </w:rPr>
            </w:pPr>
            <w:r w:rsidRPr="00103DDB">
              <w:rPr>
                <w:rFonts w:ascii="Arial" w:hAnsi="Arial" w:cs="Arial"/>
                <w:b/>
                <w:lang w:val="en-GB"/>
              </w:rPr>
              <w:t>Population Statistics</w:t>
            </w:r>
          </w:p>
        </w:tc>
      </w:tr>
      <w:tr w:rsidR="0013576C" w:rsidRPr="00103DDB" w14:paraId="1D63404C" w14:textId="77777777" w:rsidTr="005D3D57">
        <w:trPr>
          <w:trHeight w:val="113"/>
          <w:jc w:val="center"/>
        </w:trPr>
        <w:tc>
          <w:tcPr>
            <w:tcW w:w="0" w:type="auto"/>
            <w:noWrap/>
            <w:vAlign w:val="center"/>
            <w:hideMark/>
          </w:tcPr>
          <w:p w14:paraId="48DEC073" w14:textId="17281627" w:rsidR="0013576C" w:rsidRPr="00103DDB" w:rsidRDefault="0013576C">
            <w:pPr>
              <w:rPr>
                <w:rFonts w:ascii="Arial" w:hAnsi="Arial" w:cs="Arial"/>
                <w:color w:val="000000"/>
                <w:lang w:val="en-GB"/>
              </w:rPr>
            </w:pPr>
            <w:r w:rsidRPr="00103DDB">
              <w:rPr>
                <w:rFonts w:ascii="Arial" w:hAnsi="Arial" w:cs="Arial"/>
                <w:color w:val="000000"/>
                <w:lang w:val="en-GB"/>
              </w:rPr>
              <w:t>Population (million</w:t>
            </w:r>
            <w:r w:rsidR="00EB7D0B" w:rsidRPr="00103DDB">
              <w:rPr>
                <w:rFonts w:ascii="Arial" w:hAnsi="Arial" w:cs="Arial"/>
                <w:color w:val="000000"/>
                <w:lang w:val="en-GB"/>
              </w:rPr>
              <w:t>s</w:t>
            </w:r>
            <w:r w:rsidRPr="00103DDB">
              <w:rPr>
                <w:rFonts w:ascii="Arial" w:hAnsi="Arial" w:cs="Arial"/>
                <w:color w:val="000000"/>
                <w:lang w:val="en-GB"/>
              </w:rPr>
              <w:t>)</w:t>
            </w:r>
          </w:p>
        </w:tc>
        <w:tc>
          <w:tcPr>
            <w:tcW w:w="0" w:type="auto"/>
            <w:noWrap/>
            <w:vAlign w:val="center"/>
            <w:hideMark/>
          </w:tcPr>
          <w:p w14:paraId="2489E74D" w14:textId="77777777" w:rsidR="0013576C" w:rsidRPr="00103DDB" w:rsidRDefault="0013576C">
            <w:pPr>
              <w:jc w:val="right"/>
              <w:rPr>
                <w:rFonts w:ascii="Arial" w:hAnsi="Arial" w:cs="Arial"/>
                <w:color w:val="000000"/>
                <w:lang w:val="en-GB"/>
              </w:rPr>
            </w:pPr>
            <w:r w:rsidRPr="00103DDB">
              <w:rPr>
                <w:rFonts w:ascii="Arial" w:hAnsi="Arial" w:cs="Arial"/>
                <w:color w:val="000000"/>
                <w:lang w:val="en-GB"/>
              </w:rPr>
              <w:t>76.6</w:t>
            </w:r>
          </w:p>
        </w:tc>
        <w:tc>
          <w:tcPr>
            <w:tcW w:w="0" w:type="auto"/>
            <w:noWrap/>
            <w:vAlign w:val="center"/>
            <w:hideMark/>
          </w:tcPr>
          <w:p w14:paraId="597B418C" w14:textId="77777777" w:rsidR="0013576C" w:rsidRPr="00103DDB" w:rsidRDefault="0013576C">
            <w:pPr>
              <w:jc w:val="right"/>
              <w:rPr>
                <w:rFonts w:ascii="Arial" w:hAnsi="Arial" w:cs="Arial"/>
                <w:color w:val="000000"/>
                <w:lang w:val="en-GB"/>
              </w:rPr>
            </w:pPr>
            <w:r w:rsidRPr="00103DDB">
              <w:rPr>
                <w:rFonts w:ascii="Arial" w:hAnsi="Arial" w:cs="Arial"/>
                <w:color w:val="000000"/>
                <w:lang w:val="en-GB"/>
              </w:rPr>
              <w:t>77.6</w:t>
            </w:r>
          </w:p>
        </w:tc>
        <w:tc>
          <w:tcPr>
            <w:tcW w:w="0" w:type="auto"/>
            <w:noWrap/>
            <w:vAlign w:val="center"/>
            <w:hideMark/>
          </w:tcPr>
          <w:p w14:paraId="688E8A1F" w14:textId="77777777" w:rsidR="0013576C" w:rsidRPr="00103DDB" w:rsidRDefault="0013576C">
            <w:pPr>
              <w:jc w:val="right"/>
              <w:rPr>
                <w:rFonts w:ascii="Arial" w:hAnsi="Arial" w:cs="Arial"/>
                <w:color w:val="000000"/>
                <w:lang w:val="en-GB"/>
              </w:rPr>
            </w:pPr>
            <w:r w:rsidRPr="00103DDB">
              <w:rPr>
                <w:rFonts w:ascii="Arial" w:hAnsi="Arial" w:cs="Arial"/>
                <w:color w:val="000000"/>
                <w:lang w:val="en-GB"/>
              </w:rPr>
              <w:t>78.6</w:t>
            </w:r>
          </w:p>
        </w:tc>
        <w:tc>
          <w:tcPr>
            <w:tcW w:w="0" w:type="auto"/>
            <w:noWrap/>
            <w:vAlign w:val="center"/>
            <w:hideMark/>
          </w:tcPr>
          <w:p w14:paraId="3F55C78A" w14:textId="77777777" w:rsidR="0013576C" w:rsidRPr="00103DDB" w:rsidRDefault="0013576C">
            <w:pPr>
              <w:jc w:val="right"/>
              <w:rPr>
                <w:rFonts w:ascii="Arial" w:hAnsi="Arial" w:cs="Arial"/>
                <w:color w:val="000000"/>
                <w:lang w:val="en-GB"/>
              </w:rPr>
            </w:pPr>
            <w:r w:rsidRPr="00103DDB">
              <w:rPr>
                <w:rFonts w:ascii="Arial" w:hAnsi="Arial" w:cs="Arial"/>
                <w:color w:val="000000"/>
                <w:lang w:val="en-GB"/>
              </w:rPr>
              <w:t>79.5</w:t>
            </w:r>
          </w:p>
        </w:tc>
        <w:tc>
          <w:tcPr>
            <w:tcW w:w="0" w:type="auto"/>
            <w:noWrap/>
            <w:vAlign w:val="center"/>
            <w:hideMark/>
          </w:tcPr>
          <w:p w14:paraId="58D4D1C6" w14:textId="77777777" w:rsidR="0013576C" w:rsidRPr="00103DDB" w:rsidRDefault="0013576C">
            <w:pPr>
              <w:jc w:val="right"/>
              <w:rPr>
                <w:rFonts w:ascii="Arial" w:hAnsi="Arial" w:cs="Arial"/>
                <w:color w:val="000000"/>
                <w:lang w:val="en-GB"/>
              </w:rPr>
            </w:pPr>
            <w:r w:rsidRPr="00103DDB">
              <w:rPr>
                <w:rFonts w:ascii="Arial" w:hAnsi="Arial" w:cs="Arial"/>
                <w:color w:val="000000"/>
                <w:lang w:val="en-GB"/>
              </w:rPr>
              <w:t>80.5</w:t>
            </w:r>
          </w:p>
        </w:tc>
        <w:tc>
          <w:tcPr>
            <w:tcW w:w="0" w:type="auto"/>
            <w:noWrap/>
            <w:vAlign w:val="center"/>
            <w:hideMark/>
          </w:tcPr>
          <w:p w14:paraId="77806E32" w14:textId="77777777" w:rsidR="0013576C" w:rsidRPr="00103DDB" w:rsidRDefault="0013576C">
            <w:pPr>
              <w:jc w:val="right"/>
              <w:rPr>
                <w:rFonts w:ascii="Arial" w:hAnsi="Arial" w:cs="Arial"/>
                <w:color w:val="000000"/>
                <w:lang w:val="en-GB"/>
              </w:rPr>
            </w:pPr>
            <w:r w:rsidRPr="00103DDB">
              <w:rPr>
                <w:rFonts w:ascii="Arial" w:hAnsi="Arial" w:cs="Arial"/>
                <w:color w:val="000000"/>
                <w:lang w:val="en-GB"/>
              </w:rPr>
              <w:t>81.4</w:t>
            </w:r>
          </w:p>
        </w:tc>
        <w:tc>
          <w:tcPr>
            <w:tcW w:w="0" w:type="auto"/>
            <w:noWrap/>
            <w:vAlign w:val="center"/>
            <w:hideMark/>
          </w:tcPr>
          <w:p w14:paraId="15106921" w14:textId="77777777" w:rsidR="0013576C" w:rsidRPr="00103DDB" w:rsidRDefault="0013576C">
            <w:pPr>
              <w:jc w:val="right"/>
              <w:rPr>
                <w:rFonts w:ascii="Arial" w:hAnsi="Arial" w:cs="Arial"/>
                <w:color w:val="000000"/>
                <w:lang w:val="en-GB"/>
              </w:rPr>
            </w:pPr>
            <w:r w:rsidRPr="00103DDB">
              <w:rPr>
                <w:rFonts w:ascii="Arial" w:hAnsi="Arial" w:cs="Arial"/>
                <w:color w:val="000000"/>
                <w:lang w:val="en-GB"/>
              </w:rPr>
              <w:t>82.4</w:t>
            </w:r>
          </w:p>
        </w:tc>
        <w:tc>
          <w:tcPr>
            <w:tcW w:w="0" w:type="auto"/>
            <w:noWrap/>
            <w:vAlign w:val="center"/>
            <w:hideMark/>
          </w:tcPr>
          <w:p w14:paraId="319DDF4C" w14:textId="77777777" w:rsidR="0013576C" w:rsidRPr="00103DDB" w:rsidRDefault="0013576C">
            <w:pPr>
              <w:jc w:val="right"/>
              <w:rPr>
                <w:rFonts w:ascii="Arial" w:hAnsi="Arial" w:cs="Arial"/>
                <w:color w:val="000000"/>
                <w:lang w:val="en-GB"/>
              </w:rPr>
            </w:pPr>
            <w:r w:rsidRPr="00103DDB">
              <w:rPr>
                <w:rFonts w:ascii="Arial" w:hAnsi="Arial" w:cs="Arial"/>
                <w:color w:val="000000"/>
                <w:lang w:val="en-GB"/>
              </w:rPr>
              <w:t>83.3</w:t>
            </w:r>
          </w:p>
        </w:tc>
        <w:tc>
          <w:tcPr>
            <w:tcW w:w="0" w:type="auto"/>
            <w:noWrap/>
            <w:vAlign w:val="center"/>
            <w:hideMark/>
          </w:tcPr>
          <w:p w14:paraId="108C24F4" w14:textId="77777777" w:rsidR="0013576C" w:rsidRPr="00103DDB" w:rsidRDefault="0013576C">
            <w:pPr>
              <w:jc w:val="right"/>
              <w:rPr>
                <w:rFonts w:ascii="Arial" w:hAnsi="Arial" w:cs="Arial"/>
                <w:color w:val="000000"/>
                <w:lang w:val="en-GB"/>
              </w:rPr>
            </w:pPr>
            <w:r w:rsidRPr="00103DDB">
              <w:rPr>
                <w:rFonts w:ascii="Arial" w:hAnsi="Arial" w:cs="Arial"/>
                <w:color w:val="000000"/>
                <w:lang w:val="en-GB"/>
              </w:rPr>
              <w:t>84.2</w:t>
            </w:r>
          </w:p>
        </w:tc>
        <w:tc>
          <w:tcPr>
            <w:tcW w:w="0" w:type="auto"/>
            <w:noWrap/>
            <w:vAlign w:val="center"/>
            <w:hideMark/>
          </w:tcPr>
          <w:p w14:paraId="6B725CE9" w14:textId="77777777" w:rsidR="0013576C" w:rsidRPr="00103DDB" w:rsidRDefault="0013576C">
            <w:pPr>
              <w:jc w:val="right"/>
              <w:rPr>
                <w:rFonts w:ascii="Arial" w:hAnsi="Arial" w:cs="Arial"/>
                <w:color w:val="000000"/>
                <w:lang w:val="en-GB"/>
              </w:rPr>
            </w:pPr>
            <w:r w:rsidRPr="00103DDB">
              <w:rPr>
                <w:rFonts w:ascii="Arial" w:hAnsi="Arial" w:cs="Arial"/>
                <w:color w:val="000000"/>
                <w:lang w:val="en-GB"/>
              </w:rPr>
              <w:t>85.1</w:t>
            </w:r>
          </w:p>
        </w:tc>
      </w:tr>
      <w:tr w:rsidR="0013576C" w:rsidRPr="00103DDB" w14:paraId="09D97AB9" w14:textId="77777777" w:rsidTr="005D3D57">
        <w:trPr>
          <w:trHeight w:val="113"/>
          <w:jc w:val="center"/>
        </w:trPr>
        <w:tc>
          <w:tcPr>
            <w:tcW w:w="0" w:type="auto"/>
            <w:noWrap/>
            <w:vAlign w:val="center"/>
            <w:hideMark/>
          </w:tcPr>
          <w:p w14:paraId="03A65B96" w14:textId="40F3588C" w:rsidR="0013576C" w:rsidRPr="00103DDB" w:rsidRDefault="0013576C">
            <w:pPr>
              <w:rPr>
                <w:rFonts w:ascii="Arial" w:hAnsi="Arial" w:cs="Arial"/>
                <w:color w:val="000000"/>
                <w:lang w:val="en-GB"/>
              </w:rPr>
            </w:pPr>
            <w:r w:rsidRPr="00103DDB">
              <w:rPr>
                <w:rFonts w:ascii="Arial" w:hAnsi="Arial" w:cs="Arial"/>
                <w:color w:val="000000"/>
                <w:lang w:val="en-GB"/>
              </w:rPr>
              <w:t>Labo</w:t>
            </w:r>
            <w:r w:rsidR="00D7401B" w:rsidRPr="00103DDB">
              <w:rPr>
                <w:rFonts w:ascii="Arial" w:hAnsi="Arial" w:cs="Arial"/>
                <w:color w:val="000000"/>
                <w:lang w:val="en-GB"/>
              </w:rPr>
              <w:t>u</w:t>
            </w:r>
            <w:r w:rsidRPr="00103DDB">
              <w:rPr>
                <w:rFonts w:ascii="Arial" w:hAnsi="Arial" w:cs="Arial"/>
                <w:color w:val="000000"/>
                <w:lang w:val="en-GB"/>
              </w:rPr>
              <w:t>r force (millions)</w:t>
            </w:r>
          </w:p>
        </w:tc>
        <w:tc>
          <w:tcPr>
            <w:tcW w:w="0" w:type="auto"/>
            <w:noWrap/>
            <w:vAlign w:val="center"/>
            <w:hideMark/>
          </w:tcPr>
          <w:p w14:paraId="201430E8" w14:textId="77777777" w:rsidR="0013576C" w:rsidRPr="00103DDB" w:rsidRDefault="0013576C">
            <w:pPr>
              <w:jc w:val="right"/>
              <w:rPr>
                <w:rFonts w:ascii="Arial" w:hAnsi="Arial" w:cs="Arial"/>
                <w:color w:val="000000"/>
                <w:lang w:val="en-GB"/>
              </w:rPr>
            </w:pPr>
            <w:r w:rsidRPr="00103DDB">
              <w:rPr>
                <w:rFonts w:ascii="Arial" w:hAnsi="Arial" w:cs="Arial"/>
                <w:color w:val="000000"/>
                <w:lang w:val="en-GB"/>
              </w:rPr>
              <w:t>40.3</w:t>
            </w:r>
          </w:p>
        </w:tc>
        <w:tc>
          <w:tcPr>
            <w:tcW w:w="0" w:type="auto"/>
            <w:noWrap/>
            <w:vAlign w:val="center"/>
            <w:hideMark/>
          </w:tcPr>
          <w:p w14:paraId="41A4FC96" w14:textId="77777777" w:rsidR="0013576C" w:rsidRPr="00103DDB" w:rsidRDefault="0013576C">
            <w:pPr>
              <w:jc w:val="right"/>
              <w:rPr>
                <w:rFonts w:ascii="Arial" w:hAnsi="Arial" w:cs="Arial"/>
                <w:color w:val="000000"/>
                <w:lang w:val="en-GB"/>
              </w:rPr>
            </w:pPr>
            <w:r w:rsidRPr="00103DDB">
              <w:rPr>
                <w:rFonts w:ascii="Arial" w:hAnsi="Arial" w:cs="Arial"/>
                <w:color w:val="000000"/>
                <w:lang w:val="en-GB"/>
              </w:rPr>
              <w:t>41.3</w:t>
            </w:r>
          </w:p>
        </w:tc>
        <w:tc>
          <w:tcPr>
            <w:tcW w:w="0" w:type="auto"/>
            <w:noWrap/>
            <w:vAlign w:val="center"/>
            <w:hideMark/>
          </w:tcPr>
          <w:p w14:paraId="717AEB31" w14:textId="77777777" w:rsidR="0013576C" w:rsidRPr="00103DDB" w:rsidRDefault="0013576C">
            <w:pPr>
              <w:jc w:val="right"/>
              <w:rPr>
                <w:rFonts w:ascii="Arial" w:hAnsi="Arial" w:cs="Arial"/>
                <w:color w:val="000000"/>
                <w:lang w:val="en-GB"/>
              </w:rPr>
            </w:pPr>
            <w:r w:rsidRPr="00103DDB">
              <w:rPr>
                <w:rFonts w:ascii="Arial" w:hAnsi="Arial" w:cs="Arial"/>
                <w:color w:val="000000"/>
                <w:lang w:val="en-GB"/>
              </w:rPr>
              <w:t>42.4</w:t>
            </w:r>
          </w:p>
        </w:tc>
        <w:tc>
          <w:tcPr>
            <w:tcW w:w="0" w:type="auto"/>
            <w:noWrap/>
            <w:vAlign w:val="center"/>
            <w:hideMark/>
          </w:tcPr>
          <w:p w14:paraId="139DBBCD" w14:textId="77777777" w:rsidR="0013576C" w:rsidRPr="00103DDB" w:rsidRDefault="0013576C">
            <w:pPr>
              <w:jc w:val="right"/>
              <w:rPr>
                <w:rFonts w:ascii="Arial" w:hAnsi="Arial" w:cs="Arial"/>
                <w:color w:val="000000"/>
                <w:lang w:val="en-GB"/>
              </w:rPr>
            </w:pPr>
            <w:r w:rsidRPr="00103DDB">
              <w:rPr>
                <w:rFonts w:ascii="Arial" w:hAnsi="Arial" w:cs="Arial"/>
                <w:color w:val="000000"/>
                <w:lang w:val="en-GB"/>
              </w:rPr>
              <w:t>43.3</w:t>
            </w:r>
          </w:p>
        </w:tc>
        <w:tc>
          <w:tcPr>
            <w:tcW w:w="0" w:type="auto"/>
            <w:noWrap/>
            <w:vAlign w:val="center"/>
            <w:hideMark/>
          </w:tcPr>
          <w:p w14:paraId="253A6AD6" w14:textId="77777777" w:rsidR="0013576C" w:rsidRPr="00103DDB" w:rsidRDefault="0013576C">
            <w:pPr>
              <w:jc w:val="right"/>
              <w:rPr>
                <w:rFonts w:ascii="Arial" w:hAnsi="Arial" w:cs="Arial"/>
                <w:color w:val="000000"/>
                <w:lang w:val="en-GB"/>
              </w:rPr>
            </w:pPr>
            <w:r w:rsidRPr="00103DDB">
              <w:rPr>
                <w:rFonts w:ascii="Arial" w:hAnsi="Arial" w:cs="Arial"/>
                <w:color w:val="000000"/>
                <w:lang w:val="en-GB"/>
              </w:rPr>
              <w:t>44.3</w:t>
            </w:r>
          </w:p>
        </w:tc>
        <w:tc>
          <w:tcPr>
            <w:tcW w:w="0" w:type="auto"/>
            <w:noWrap/>
            <w:vAlign w:val="center"/>
            <w:hideMark/>
          </w:tcPr>
          <w:p w14:paraId="4D215288" w14:textId="77777777" w:rsidR="0013576C" w:rsidRPr="00103DDB" w:rsidRDefault="0013576C">
            <w:pPr>
              <w:jc w:val="right"/>
              <w:rPr>
                <w:rFonts w:ascii="Arial" w:hAnsi="Arial" w:cs="Arial"/>
                <w:color w:val="000000"/>
                <w:lang w:val="en-GB"/>
              </w:rPr>
            </w:pPr>
            <w:r w:rsidRPr="00103DDB">
              <w:rPr>
                <w:rFonts w:ascii="Arial" w:hAnsi="Arial" w:cs="Arial"/>
                <w:color w:val="000000"/>
                <w:lang w:val="en-GB"/>
              </w:rPr>
              <w:t>45.3</w:t>
            </w:r>
          </w:p>
        </w:tc>
        <w:tc>
          <w:tcPr>
            <w:tcW w:w="0" w:type="auto"/>
            <w:noWrap/>
            <w:vAlign w:val="center"/>
            <w:hideMark/>
          </w:tcPr>
          <w:p w14:paraId="12680D7E" w14:textId="77777777" w:rsidR="0013576C" w:rsidRPr="00103DDB" w:rsidRDefault="0013576C">
            <w:pPr>
              <w:jc w:val="right"/>
              <w:rPr>
                <w:rFonts w:ascii="Arial" w:hAnsi="Arial" w:cs="Arial"/>
                <w:color w:val="000000"/>
                <w:lang w:val="en-GB"/>
              </w:rPr>
            </w:pPr>
            <w:r w:rsidRPr="00103DDB">
              <w:rPr>
                <w:rFonts w:ascii="Arial" w:hAnsi="Arial" w:cs="Arial"/>
                <w:color w:val="000000"/>
                <w:lang w:val="en-GB"/>
              </w:rPr>
              <w:t>46.3</w:t>
            </w:r>
          </w:p>
        </w:tc>
        <w:tc>
          <w:tcPr>
            <w:tcW w:w="0" w:type="auto"/>
            <w:noWrap/>
            <w:vAlign w:val="center"/>
            <w:hideMark/>
          </w:tcPr>
          <w:p w14:paraId="3CDA4555" w14:textId="77777777" w:rsidR="0013576C" w:rsidRPr="00103DDB" w:rsidRDefault="0013576C">
            <w:pPr>
              <w:jc w:val="right"/>
              <w:rPr>
                <w:rFonts w:ascii="Arial" w:hAnsi="Arial" w:cs="Arial"/>
                <w:color w:val="000000"/>
                <w:lang w:val="en-GB"/>
              </w:rPr>
            </w:pPr>
            <w:r w:rsidRPr="00103DDB">
              <w:rPr>
                <w:rFonts w:ascii="Arial" w:hAnsi="Arial" w:cs="Arial"/>
                <w:color w:val="000000"/>
                <w:lang w:val="en-GB"/>
              </w:rPr>
              <w:t>47.1</w:t>
            </w:r>
          </w:p>
        </w:tc>
        <w:tc>
          <w:tcPr>
            <w:tcW w:w="0" w:type="auto"/>
            <w:noWrap/>
            <w:vAlign w:val="center"/>
            <w:hideMark/>
          </w:tcPr>
          <w:p w14:paraId="1CA2AE50" w14:textId="77777777" w:rsidR="0013576C" w:rsidRPr="00103DDB" w:rsidRDefault="0013576C">
            <w:pPr>
              <w:jc w:val="right"/>
              <w:rPr>
                <w:rFonts w:ascii="Arial" w:hAnsi="Arial" w:cs="Arial"/>
                <w:color w:val="000000"/>
                <w:lang w:val="en-GB"/>
              </w:rPr>
            </w:pPr>
            <w:r w:rsidRPr="00103DDB">
              <w:rPr>
                <w:rFonts w:ascii="Arial" w:hAnsi="Arial" w:cs="Arial"/>
                <w:color w:val="000000"/>
                <w:lang w:val="en-GB"/>
              </w:rPr>
              <w:t>48.0</w:t>
            </w:r>
          </w:p>
        </w:tc>
        <w:tc>
          <w:tcPr>
            <w:tcW w:w="0" w:type="auto"/>
            <w:noWrap/>
            <w:vAlign w:val="center"/>
            <w:hideMark/>
          </w:tcPr>
          <w:p w14:paraId="28060423" w14:textId="77777777" w:rsidR="0013576C" w:rsidRPr="00103DDB" w:rsidRDefault="0013576C">
            <w:pPr>
              <w:jc w:val="right"/>
              <w:rPr>
                <w:rFonts w:ascii="Arial" w:hAnsi="Arial" w:cs="Arial"/>
                <w:color w:val="000000"/>
                <w:lang w:val="en-GB"/>
              </w:rPr>
            </w:pPr>
            <w:r w:rsidRPr="00103DDB">
              <w:rPr>
                <w:rFonts w:ascii="Arial" w:hAnsi="Arial" w:cs="Arial"/>
                <w:color w:val="000000"/>
                <w:lang w:val="en-GB"/>
              </w:rPr>
              <w:t>49.0</w:t>
            </w:r>
          </w:p>
        </w:tc>
      </w:tr>
      <w:tr w:rsidR="0013576C" w:rsidRPr="00103DDB" w14:paraId="1677F96A" w14:textId="77777777" w:rsidTr="005D3D57">
        <w:trPr>
          <w:trHeight w:val="113"/>
          <w:jc w:val="center"/>
        </w:trPr>
        <w:tc>
          <w:tcPr>
            <w:tcW w:w="0" w:type="auto"/>
            <w:noWrap/>
            <w:vAlign w:val="center"/>
            <w:hideMark/>
          </w:tcPr>
          <w:p w14:paraId="7745D409" w14:textId="77777777" w:rsidR="0013576C" w:rsidRPr="00103DDB" w:rsidRDefault="0013576C">
            <w:pPr>
              <w:rPr>
                <w:rFonts w:ascii="Arial" w:hAnsi="Arial" w:cs="Arial"/>
                <w:color w:val="000000"/>
                <w:lang w:val="en-GB"/>
              </w:rPr>
            </w:pPr>
            <w:r w:rsidRPr="00103DDB">
              <w:rPr>
                <w:rFonts w:ascii="Arial" w:hAnsi="Arial" w:cs="Arial"/>
                <w:color w:val="000000"/>
                <w:lang w:val="en-GB"/>
              </w:rPr>
              <w:t xml:space="preserve">Population in urban areas of 1 million+ </w:t>
            </w:r>
          </w:p>
          <w:p w14:paraId="4CE44C63" w14:textId="77777777" w:rsidR="0013576C" w:rsidRPr="00103DDB" w:rsidRDefault="0013576C">
            <w:pPr>
              <w:rPr>
                <w:rFonts w:ascii="Arial" w:hAnsi="Arial" w:cs="Arial"/>
                <w:color w:val="000000"/>
                <w:lang w:val="en-GB"/>
              </w:rPr>
            </w:pPr>
            <w:r w:rsidRPr="00103DDB">
              <w:rPr>
                <w:rFonts w:ascii="Arial" w:hAnsi="Arial" w:cs="Arial"/>
                <w:color w:val="000000"/>
                <w:lang w:val="en-GB"/>
              </w:rPr>
              <w:t>(% of total population)</w:t>
            </w:r>
          </w:p>
        </w:tc>
        <w:tc>
          <w:tcPr>
            <w:tcW w:w="0" w:type="auto"/>
            <w:noWrap/>
            <w:vAlign w:val="center"/>
            <w:hideMark/>
          </w:tcPr>
          <w:p w14:paraId="6D535A30" w14:textId="77777777" w:rsidR="0013576C" w:rsidRPr="00103DDB" w:rsidRDefault="0013576C">
            <w:pPr>
              <w:jc w:val="right"/>
              <w:rPr>
                <w:rFonts w:ascii="Arial" w:hAnsi="Arial" w:cs="Arial"/>
                <w:color w:val="000000"/>
                <w:lang w:val="en-GB"/>
              </w:rPr>
            </w:pPr>
            <w:r w:rsidRPr="00103DDB">
              <w:rPr>
                <w:rFonts w:ascii="Arial" w:hAnsi="Arial" w:cs="Arial"/>
                <w:color w:val="000000"/>
                <w:lang w:val="en-GB"/>
              </w:rPr>
              <w:t>8.9</w:t>
            </w:r>
          </w:p>
        </w:tc>
        <w:tc>
          <w:tcPr>
            <w:tcW w:w="0" w:type="auto"/>
            <w:noWrap/>
            <w:vAlign w:val="center"/>
            <w:hideMark/>
          </w:tcPr>
          <w:p w14:paraId="31B7D6AE" w14:textId="77777777" w:rsidR="0013576C" w:rsidRPr="00103DDB" w:rsidRDefault="0013576C">
            <w:pPr>
              <w:jc w:val="right"/>
              <w:rPr>
                <w:rFonts w:ascii="Arial" w:hAnsi="Arial" w:cs="Arial"/>
                <w:color w:val="000000"/>
                <w:lang w:val="en-GB"/>
              </w:rPr>
            </w:pPr>
            <w:r w:rsidRPr="00103DDB">
              <w:rPr>
                <w:rFonts w:ascii="Arial" w:hAnsi="Arial" w:cs="Arial"/>
                <w:color w:val="000000"/>
                <w:lang w:val="en-GB"/>
              </w:rPr>
              <w:t>9.1</w:t>
            </w:r>
          </w:p>
        </w:tc>
        <w:tc>
          <w:tcPr>
            <w:tcW w:w="0" w:type="auto"/>
            <w:noWrap/>
            <w:vAlign w:val="center"/>
            <w:hideMark/>
          </w:tcPr>
          <w:p w14:paraId="74B392C5" w14:textId="77777777" w:rsidR="0013576C" w:rsidRPr="00103DDB" w:rsidRDefault="0013576C">
            <w:pPr>
              <w:jc w:val="right"/>
              <w:rPr>
                <w:rFonts w:ascii="Arial" w:hAnsi="Arial" w:cs="Arial"/>
                <w:color w:val="000000"/>
                <w:lang w:val="en-GB"/>
              </w:rPr>
            </w:pPr>
            <w:r w:rsidRPr="00103DDB">
              <w:rPr>
                <w:rFonts w:ascii="Arial" w:hAnsi="Arial" w:cs="Arial"/>
                <w:color w:val="000000"/>
                <w:lang w:val="en-GB"/>
              </w:rPr>
              <w:t>9.4</w:t>
            </w:r>
          </w:p>
        </w:tc>
        <w:tc>
          <w:tcPr>
            <w:tcW w:w="0" w:type="auto"/>
            <w:noWrap/>
            <w:vAlign w:val="center"/>
            <w:hideMark/>
          </w:tcPr>
          <w:p w14:paraId="28128D4C" w14:textId="77777777" w:rsidR="0013576C" w:rsidRPr="00103DDB" w:rsidRDefault="0013576C">
            <w:pPr>
              <w:jc w:val="right"/>
              <w:rPr>
                <w:rFonts w:ascii="Arial" w:hAnsi="Arial" w:cs="Arial"/>
                <w:color w:val="000000"/>
                <w:lang w:val="en-GB"/>
              </w:rPr>
            </w:pPr>
            <w:r w:rsidRPr="00103DDB">
              <w:rPr>
                <w:rFonts w:ascii="Arial" w:hAnsi="Arial" w:cs="Arial"/>
                <w:color w:val="000000"/>
                <w:lang w:val="en-GB"/>
              </w:rPr>
              <w:t>9.7</w:t>
            </w:r>
          </w:p>
        </w:tc>
        <w:tc>
          <w:tcPr>
            <w:tcW w:w="0" w:type="auto"/>
            <w:noWrap/>
            <w:vAlign w:val="center"/>
            <w:hideMark/>
          </w:tcPr>
          <w:p w14:paraId="6AC36EA7" w14:textId="77777777" w:rsidR="0013576C" w:rsidRPr="00103DDB" w:rsidRDefault="0013576C">
            <w:pPr>
              <w:jc w:val="right"/>
              <w:rPr>
                <w:rFonts w:ascii="Arial" w:hAnsi="Arial" w:cs="Arial"/>
                <w:color w:val="000000"/>
                <w:lang w:val="en-GB"/>
              </w:rPr>
            </w:pPr>
            <w:r w:rsidRPr="00103DDB">
              <w:rPr>
                <w:rFonts w:ascii="Arial" w:hAnsi="Arial" w:cs="Arial"/>
                <w:color w:val="000000"/>
                <w:lang w:val="en-GB"/>
              </w:rPr>
              <w:t>10.0</w:t>
            </w:r>
          </w:p>
        </w:tc>
        <w:tc>
          <w:tcPr>
            <w:tcW w:w="0" w:type="auto"/>
            <w:noWrap/>
            <w:vAlign w:val="center"/>
            <w:hideMark/>
          </w:tcPr>
          <w:p w14:paraId="6678F8E6" w14:textId="77777777" w:rsidR="0013576C" w:rsidRPr="00103DDB" w:rsidRDefault="0013576C">
            <w:pPr>
              <w:jc w:val="right"/>
              <w:rPr>
                <w:rFonts w:ascii="Arial" w:hAnsi="Arial" w:cs="Arial"/>
                <w:color w:val="000000"/>
                <w:lang w:val="en-GB"/>
              </w:rPr>
            </w:pPr>
            <w:r w:rsidRPr="00103DDB">
              <w:rPr>
                <w:rFonts w:ascii="Arial" w:hAnsi="Arial" w:cs="Arial"/>
                <w:color w:val="000000"/>
                <w:lang w:val="en-GB"/>
              </w:rPr>
              <w:t>10.3</w:t>
            </w:r>
          </w:p>
        </w:tc>
        <w:tc>
          <w:tcPr>
            <w:tcW w:w="0" w:type="auto"/>
            <w:noWrap/>
            <w:vAlign w:val="center"/>
            <w:hideMark/>
          </w:tcPr>
          <w:p w14:paraId="49F16F8A" w14:textId="77777777" w:rsidR="0013576C" w:rsidRPr="00103DDB" w:rsidRDefault="0013576C">
            <w:pPr>
              <w:jc w:val="right"/>
              <w:rPr>
                <w:rFonts w:ascii="Arial" w:hAnsi="Arial" w:cs="Arial"/>
                <w:color w:val="000000"/>
                <w:lang w:val="en-GB"/>
              </w:rPr>
            </w:pPr>
            <w:r w:rsidRPr="00103DDB">
              <w:rPr>
                <w:rFonts w:ascii="Arial" w:hAnsi="Arial" w:cs="Arial"/>
                <w:color w:val="000000"/>
                <w:lang w:val="en-GB"/>
              </w:rPr>
              <w:t>10.6</w:t>
            </w:r>
          </w:p>
        </w:tc>
        <w:tc>
          <w:tcPr>
            <w:tcW w:w="0" w:type="auto"/>
            <w:noWrap/>
            <w:vAlign w:val="center"/>
            <w:hideMark/>
          </w:tcPr>
          <w:p w14:paraId="4E50CEC2" w14:textId="77777777" w:rsidR="0013576C" w:rsidRPr="00103DDB" w:rsidRDefault="0013576C">
            <w:pPr>
              <w:jc w:val="right"/>
              <w:rPr>
                <w:rFonts w:ascii="Arial" w:hAnsi="Arial" w:cs="Arial"/>
                <w:color w:val="000000"/>
                <w:lang w:val="en-GB"/>
              </w:rPr>
            </w:pPr>
            <w:r w:rsidRPr="00103DDB">
              <w:rPr>
                <w:rFonts w:ascii="Arial" w:hAnsi="Arial" w:cs="Arial"/>
                <w:color w:val="000000"/>
                <w:lang w:val="en-GB"/>
              </w:rPr>
              <w:t>10.9</w:t>
            </w:r>
          </w:p>
        </w:tc>
        <w:tc>
          <w:tcPr>
            <w:tcW w:w="0" w:type="auto"/>
            <w:noWrap/>
            <w:vAlign w:val="center"/>
            <w:hideMark/>
          </w:tcPr>
          <w:p w14:paraId="0D18C936" w14:textId="77777777" w:rsidR="0013576C" w:rsidRPr="00103DDB" w:rsidRDefault="0013576C">
            <w:pPr>
              <w:jc w:val="right"/>
              <w:rPr>
                <w:rFonts w:ascii="Arial" w:hAnsi="Arial" w:cs="Arial"/>
                <w:color w:val="000000"/>
                <w:lang w:val="en-GB"/>
              </w:rPr>
            </w:pPr>
            <w:r w:rsidRPr="00103DDB">
              <w:rPr>
                <w:rFonts w:ascii="Arial" w:hAnsi="Arial" w:cs="Arial"/>
                <w:color w:val="000000"/>
                <w:lang w:val="en-GB"/>
              </w:rPr>
              <w:t>11.2</w:t>
            </w:r>
          </w:p>
        </w:tc>
        <w:tc>
          <w:tcPr>
            <w:tcW w:w="0" w:type="auto"/>
            <w:noWrap/>
            <w:vAlign w:val="center"/>
            <w:hideMark/>
          </w:tcPr>
          <w:p w14:paraId="0AEBE334" w14:textId="77777777" w:rsidR="0013576C" w:rsidRPr="00103DDB" w:rsidRDefault="0013576C">
            <w:pPr>
              <w:jc w:val="right"/>
              <w:rPr>
                <w:rFonts w:ascii="Arial" w:hAnsi="Arial" w:cs="Arial"/>
                <w:color w:val="000000"/>
                <w:lang w:val="en-GB"/>
              </w:rPr>
            </w:pPr>
            <w:r w:rsidRPr="00103DDB">
              <w:rPr>
                <w:rFonts w:ascii="Arial" w:hAnsi="Arial" w:cs="Arial"/>
                <w:color w:val="000000"/>
                <w:lang w:val="en-GB"/>
              </w:rPr>
              <w:t>11.6</w:t>
            </w:r>
          </w:p>
        </w:tc>
      </w:tr>
      <w:tr w:rsidR="0013576C" w:rsidRPr="00103DDB" w14:paraId="7E1A5F68" w14:textId="77777777" w:rsidTr="005D3D57">
        <w:trPr>
          <w:trHeight w:val="113"/>
          <w:jc w:val="center"/>
        </w:trPr>
        <w:tc>
          <w:tcPr>
            <w:tcW w:w="0" w:type="auto"/>
            <w:noWrap/>
            <w:vAlign w:val="center"/>
            <w:hideMark/>
          </w:tcPr>
          <w:p w14:paraId="13A821D7" w14:textId="77777777" w:rsidR="0013576C" w:rsidRPr="00103DDB" w:rsidRDefault="0013576C">
            <w:pPr>
              <w:rPr>
                <w:rFonts w:ascii="Arial" w:hAnsi="Arial" w:cs="Arial"/>
                <w:color w:val="000000"/>
                <w:lang w:val="en-GB"/>
              </w:rPr>
            </w:pPr>
            <w:r w:rsidRPr="00103DDB">
              <w:rPr>
                <w:rFonts w:ascii="Arial" w:hAnsi="Arial" w:cs="Arial"/>
                <w:color w:val="000000"/>
                <w:lang w:val="en-GB"/>
              </w:rPr>
              <w:t>Life expectancy at birth, total (years)</w:t>
            </w:r>
          </w:p>
        </w:tc>
        <w:tc>
          <w:tcPr>
            <w:tcW w:w="0" w:type="auto"/>
            <w:noWrap/>
            <w:vAlign w:val="center"/>
            <w:hideMark/>
          </w:tcPr>
          <w:p w14:paraId="3426EFC6" w14:textId="77777777" w:rsidR="0013576C" w:rsidRPr="00103DDB" w:rsidRDefault="0013576C">
            <w:pPr>
              <w:jc w:val="right"/>
              <w:rPr>
                <w:rFonts w:ascii="Arial" w:hAnsi="Arial" w:cs="Arial"/>
                <w:color w:val="000000"/>
                <w:lang w:val="en-GB"/>
              </w:rPr>
            </w:pPr>
            <w:r w:rsidRPr="00103DDB">
              <w:rPr>
                <w:rFonts w:ascii="Arial" w:hAnsi="Arial" w:cs="Arial"/>
                <w:color w:val="000000"/>
                <w:lang w:val="en-GB"/>
              </w:rPr>
              <w:t>72.9</w:t>
            </w:r>
          </w:p>
        </w:tc>
        <w:tc>
          <w:tcPr>
            <w:tcW w:w="0" w:type="auto"/>
            <w:noWrap/>
            <w:vAlign w:val="center"/>
            <w:hideMark/>
          </w:tcPr>
          <w:p w14:paraId="54C96162" w14:textId="77777777" w:rsidR="0013576C" w:rsidRPr="00103DDB" w:rsidRDefault="0013576C">
            <w:pPr>
              <w:jc w:val="right"/>
              <w:rPr>
                <w:rFonts w:ascii="Arial" w:hAnsi="Arial" w:cs="Arial"/>
                <w:color w:val="000000"/>
                <w:lang w:val="en-GB"/>
              </w:rPr>
            </w:pPr>
            <w:r w:rsidRPr="00103DDB">
              <w:rPr>
                <w:rFonts w:ascii="Arial" w:hAnsi="Arial" w:cs="Arial"/>
                <w:color w:val="000000"/>
                <w:lang w:val="en-GB"/>
              </w:rPr>
              <w:t>73.1</w:t>
            </w:r>
          </w:p>
        </w:tc>
        <w:tc>
          <w:tcPr>
            <w:tcW w:w="0" w:type="auto"/>
            <w:noWrap/>
            <w:vAlign w:val="center"/>
            <w:hideMark/>
          </w:tcPr>
          <w:p w14:paraId="4CA9E05E" w14:textId="77777777" w:rsidR="0013576C" w:rsidRPr="00103DDB" w:rsidRDefault="0013576C">
            <w:pPr>
              <w:jc w:val="right"/>
              <w:rPr>
                <w:rFonts w:ascii="Arial" w:hAnsi="Arial" w:cs="Arial"/>
                <w:color w:val="000000"/>
                <w:lang w:val="en-GB"/>
              </w:rPr>
            </w:pPr>
            <w:r w:rsidRPr="00103DDB">
              <w:rPr>
                <w:rFonts w:ascii="Arial" w:hAnsi="Arial" w:cs="Arial"/>
                <w:color w:val="000000"/>
                <w:lang w:val="en-GB"/>
              </w:rPr>
              <w:t>73.4</w:t>
            </w:r>
          </w:p>
        </w:tc>
        <w:tc>
          <w:tcPr>
            <w:tcW w:w="0" w:type="auto"/>
            <w:noWrap/>
            <w:vAlign w:val="center"/>
            <w:hideMark/>
          </w:tcPr>
          <w:p w14:paraId="2C1141FA" w14:textId="77777777" w:rsidR="0013576C" w:rsidRPr="00103DDB" w:rsidRDefault="0013576C">
            <w:pPr>
              <w:jc w:val="right"/>
              <w:rPr>
                <w:rFonts w:ascii="Arial" w:hAnsi="Arial" w:cs="Arial"/>
                <w:color w:val="000000"/>
                <w:lang w:val="en-GB"/>
              </w:rPr>
            </w:pPr>
            <w:r w:rsidRPr="00103DDB">
              <w:rPr>
                <w:rFonts w:ascii="Arial" w:hAnsi="Arial" w:cs="Arial"/>
                <w:color w:val="000000"/>
                <w:lang w:val="en-GB"/>
              </w:rPr>
              <w:t>73.6</w:t>
            </w:r>
          </w:p>
        </w:tc>
        <w:tc>
          <w:tcPr>
            <w:tcW w:w="0" w:type="auto"/>
            <w:noWrap/>
            <w:vAlign w:val="center"/>
            <w:hideMark/>
          </w:tcPr>
          <w:p w14:paraId="2D1CE6C4" w14:textId="77777777" w:rsidR="0013576C" w:rsidRPr="00103DDB" w:rsidRDefault="0013576C">
            <w:pPr>
              <w:jc w:val="right"/>
              <w:rPr>
                <w:rFonts w:ascii="Arial" w:hAnsi="Arial" w:cs="Arial"/>
                <w:color w:val="000000"/>
                <w:lang w:val="en-GB"/>
              </w:rPr>
            </w:pPr>
            <w:r w:rsidRPr="00103DDB">
              <w:rPr>
                <w:rFonts w:ascii="Arial" w:hAnsi="Arial" w:cs="Arial"/>
                <w:color w:val="000000"/>
                <w:lang w:val="en-GB"/>
              </w:rPr>
              <w:t>73.8</w:t>
            </w:r>
          </w:p>
        </w:tc>
        <w:tc>
          <w:tcPr>
            <w:tcW w:w="0" w:type="auto"/>
            <w:noWrap/>
            <w:vAlign w:val="center"/>
            <w:hideMark/>
          </w:tcPr>
          <w:p w14:paraId="48CDC9F7" w14:textId="77777777" w:rsidR="0013576C" w:rsidRPr="00103DDB" w:rsidRDefault="0013576C">
            <w:pPr>
              <w:jc w:val="right"/>
              <w:rPr>
                <w:rFonts w:ascii="Arial" w:hAnsi="Arial" w:cs="Arial"/>
                <w:color w:val="000000"/>
                <w:lang w:val="en-GB"/>
              </w:rPr>
            </w:pPr>
            <w:r w:rsidRPr="00103DDB">
              <w:rPr>
                <w:rFonts w:ascii="Arial" w:hAnsi="Arial" w:cs="Arial"/>
                <w:color w:val="000000"/>
                <w:lang w:val="en-GB"/>
              </w:rPr>
              <w:t>74.0</w:t>
            </w:r>
          </w:p>
        </w:tc>
        <w:tc>
          <w:tcPr>
            <w:tcW w:w="0" w:type="auto"/>
            <w:noWrap/>
            <w:vAlign w:val="center"/>
            <w:hideMark/>
          </w:tcPr>
          <w:p w14:paraId="19C9DDA0" w14:textId="77777777" w:rsidR="0013576C" w:rsidRPr="00103DDB" w:rsidRDefault="0013576C">
            <w:pPr>
              <w:jc w:val="right"/>
              <w:rPr>
                <w:rFonts w:ascii="Arial" w:hAnsi="Arial" w:cs="Arial"/>
                <w:color w:val="000000"/>
                <w:lang w:val="en-GB"/>
              </w:rPr>
            </w:pPr>
            <w:r w:rsidRPr="00103DDB">
              <w:rPr>
                <w:rFonts w:ascii="Arial" w:hAnsi="Arial" w:cs="Arial"/>
                <w:color w:val="000000"/>
                <w:lang w:val="en-GB"/>
              </w:rPr>
              <w:t>74.1</w:t>
            </w:r>
          </w:p>
        </w:tc>
        <w:tc>
          <w:tcPr>
            <w:tcW w:w="0" w:type="auto"/>
            <w:noWrap/>
            <w:vAlign w:val="center"/>
            <w:hideMark/>
          </w:tcPr>
          <w:p w14:paraId="7048153E" w14:textId="77777777" w:rsidR="0013576C" w:rsidRPr="00103DDB" w:rsidRDefault="0013576C">
            <w:pPr>
              <w:jc w:val="right"/>
              <w:rPr>
                <w:rFonts w:ascii="Arial" w:hAnsi="Arial" w:cs="Arial"/>
                <w:color w:val="000000"/>
                <w:lang w:val="en-GB"/>
              </w:rPr>
            </w:pPr>
            <w:r w:rsidRPr="00103DDB">
              <w:rPr>
                <w:rFonts w:ascii="Arial" w:hAnsi="Arial" w:cs="Arial"/>
                <w:color w:val="000000"/>
                <w:lang w:val="en-GB"/>
              </w:rPr>
              <w:t>74.3</w:t>
            </w:r>
          </w:p>
        </w:tc>
        <w:tc>
          <w:tcPr>
            <w:tcW w:w="0" w:type="auto"/>
            <w:noWrap/>
            <w:vAlign w:val="center"/>
            <w:hideMark/>
          </w:tcPr>
          <w:p w14:paraId="1863EEBA" w14:textId="77777777" w:rsidR="0013576C" w:rsidRPr="00103DDB" w:rsidRDefault="0013576C">
            <w:pPr>
              <w:jc w:val="right"/>
              <w:rPr>
                <w:rFonts w:ascii="Arial" w:hAnsi="Arial" w:cs="Arial"/>
                <w:color w:val="000000"/>
                <w:lang w:val="en-GB"/>
              </w:rPr>
            </w:pPr>
            <w:r w:rsidRPr="00103DDB">
              <w:rPr>
                <w:rFonts w:ascii="Arial" w:hAnsi="Arial" w:cs="Arial"/>
                <w:color w:val="000000"/>
                <w:lang w:val="en-GB"/>
              </w:rPr>
              <w:t>74.5</w:t>
            </w:r>
          </w:p>
        </w:tc>
        <w:tc>
          <w:tcPr>
            <w:tcW w:w="0" w:type="auto"/>
            <w:noWrap/>
            <w:vAlign w:val="center"/>
            <w:hideMark/>
          </w:tcPr>
          <w:p w14:paraId="4CCA0B25" w14:textId="77777777" w:rsidR="0013576C" w:rsidRPr="00103DDB" w:rsidRDefault="0013576C">
            <w:pPr>
              <w:jc w:val="right"/>
              <w:rPr>
                <w:rFonts w:ascii="Arial" w:hAnsi="Arial" w:cs="Arial"/>
                <w:color w:val="000000"/>
                <w:lang w:val="en-GB"/>
              </w:rPr>
            </w:pPr>
            <w:r w:rsidRPr="00103DDB">
              <w:rPr>
                <w:rFonts w:ascii="Arial" w:hAnsi="Arial" w:cs="Arial"/>
                <w:color w:val="000000"/>
                <w:lang w:val="en-GB"/>
              </w:rPr>
              <w:t>74.7</w:t>
            </w:r>
          </w:p>
        </w:tc>
      </w:tr>
      <w:tr w:rsidR="0013576C" w:rsidRPr="00103DDB" w14:paraId="6FE40F9A" w14:textId="77777777" w:rsidTr="005D3D57">
        <w:trPr>
          <w:trHeight w:val="113"/>
          <w:jc w:val="center"/>
        </w:trPr>
        <w:tc>
          <w:tcPr>
            <w:tcW w:w="0" w:type="auto"/>
            <w:noWrap/>
            <w:vAlign w:val="center"/>
            <w:hideMark/>
          </w:tcPr>
          <w:p w14:paraId="54CB183C" w14:textId="77777777" w:rsidR="0013576C" w:rsidRPr="00103DDB" w:rsidRDefault="0013576C">
            <w:pPr>
              <w:rPr>
                <w:rFonts w:ascii="Arial" w:hAnsi="Arial" w:cs="Arial"/>
                <w:color w:val="000000"/>
                <w:lang w:val="en-GB"/>
              </w:rPr>
            </w:pPr>
            <w:r w:rsidRPr="00103DDB">
              <w:rPr>
                <w:rFonts w:ascii="Arial" w:hAnsi="Arial" w:cs="Arial"/>
                <w:color w:val="000000"/>
                <w:lang w:val="en-GB"/>
              </w:rPr>
              <w:t>Female literacy rate (ages 15+)</w:t>
            </w:r>
          </w:p>
        </w:tc>
        <w:tc>
          <w:tcPr>
            <w:tcW w:w="0" w:type="auto"/>
            <w:noWrap/>
            <w:vAlign w:val="center"/>
            <w:hideMark/>
          </w:tcPr>
          <w:p w14:paraId="0E6D8E97" w14:textId="77777777" w:rsidR="0013576C" w:rsidRPr="00103DDB" w:rsidRDefault="0013576C">
            <w:pPr>
              <w:jc w:val="right"/>
              <w:rPr>
                <w:rFonts w:ascii="Arial" w:hAnsi="Arial" w:cs="Arial"/>
                <w:color w:val="000000"/>
                <w:lang w:val="en-GB"/>
              </w:rPr>
            </w:pPr>
            <w:r w:rsidRPr="00103DDB">
              <w:rPr>
                <w:rFonts w:ascii="Arial" w:hAnsi="Arial" w:cs="Arial"/>
                <w:color w:val="000000"/>
                <w:lang w:val="en-GB"/>
              </w:rPr>
              <w:t>86.9</w:t>
            </w:r>
          </w:p>
        </w:tc>
        <w:tc>
          <w:tcPr>
            <w:tcW w:w="0" w:type="auto"/>
            <w:noWrap/>
            <w:vAlign w:val="center"/>
            <w:hideMark/>
          </w:tcPr>
          <w:p w14:paraId="1C03F3B3" w14:textId="77777777" w:rsidR="0013576C" w:rsidRPr="00103DDB" w:rsidRDefault="0013576C">
            <w:pPr>
              <w:jc w:val="right"/>
              <w:rPr>
                <w:rFonts w:ascii="Arial" w:hAnsi="Arial" w:cs="Arial"/>
                <w:color w:val="000000"/>
                <w:lang w:val="en-GB"/>
              </w:rPr>
            </w:pPr>
            <w:r w:rsidRPr="00103DDB">
              <w:rPr>
                <w:rFonts w:ascii="Arial" w:hAnsi="Arial" w:cs="Arial"/>
                <w:color w:val="000000"/>
                <w:lang w:val="en-GB"/>
              </w:rPr>
              <w:t>86.6</w:t>
            </w:r>
          </w:p>
        </w:tc>
        <w:tc>
          <w:tcPr>
            <w:tcW w:w="0" w:type="auto"/>
            <w:noWrap/>
            <w:vAlign w:val="center"/>
            <w:hideMark/>
          </w:tcPr>
          <w:p w14:paraId="5EA8E062" w14:textId="77777777" w:rsidR="0013576C" w:rsidRPr="00103DDB" w:rsidRDefault="0013576C">
            <w:pPr>
              <w:rPr>
                <w:rFonts w:ascii="Arial" w:hAnsi="Arial" w:cs="Arial"/>
                <w:color w:val="000000"/>
                <w:lang w:val="en-GB"/>
              </w:rPr>
            </w:pPr>
          </w:p>
        </w:tc>
        <w:tc>
          <w:tcPr>
            <w:tcW w:w="0" w:type="auto"/>
            <w:noWrap/>
            <w:vAlign w:val="center"/>
            <w:hideMark/>
          </w:tcPr>
          <w:p w14:paraId="0FB4FEF3" w14:textId="77777777" w:rsidR="0013576C" w:rsidRPr="00103DDB" w:rsidRDefault="0013576C">
            <w:pPr>
              <w:rPr>
                <w:rFonts w:ascii="Arial" w:hAnsi="Arial" w:cs="Arial"/>
                <w:lang w:val="en-GB" w:eastAsia="en-CA"/>
              </w:rPr>
            </w:pPr>
          </w:p>
        </w:tc>
        <w:tc>
          <w:tcPr>
            <w:tcW w:w="0" w:type="auto"/>
            <w:noWrap/>
            <w:vAlign w:val="center"/>
            <w:hideMark/>
          </w:tcPr>
          <w:p w14:paraId="2DA5609C" w14:textId="77777777" w:rsidR="0013576C" w:rsidRPr="00103DDB" w:rsidRDefault="0013576C">
            <w:pPr>
              <w:rPr>
                <w:rFonts w:ascii="Arial" w:hAnsi="Arial" w:cs="Arial"/>
                <w:lang w:val="en-GB" w:eastAsia="en-CA"/>
              </w:rPr>
            </w:pPr>
          </w:p>
        </w:tc>
        <w:tc>
          <w:tcPr>
            <w:tcW w:w="0" w:type="auto"/>
            <w:noWrap/>
            <w:vAlign w:val="center"/>
            <w:hideMark/>
          </w:tcPr>
          <w:p w14:paraId="3C77FA38" w14:textId="77777777" w:rsidR="0013576C" w:rsidRPr="00103DDB" w:rsidRDefault="0013576C">
            <w:pPr>
              <w:rPr>
                <w:rFonts w:ascii="Arial" w:hAnsi="Arial" w:cs="Arial"/>
                <w:lang w:val="en-GB" w:eastAsia="en-CA"/>
              </w:rPr>
            </w:pPr>
          </w:p>
        </w:tc>
        <w:tc>
          <w:tcPr>
            <w:tcW w:w="0" w:type="auto"/>
            <w:noWrap/>
            <w:vAlign w:val="center"/>
            <w:hideMark/>
          </w:tcPr>
          <w:p w14:paraId="61C6FD00" w14:textId="77777777" w:rsidR="0013576C" w:rsidRPr="00103DDB" w:rsidRDefault="0013576C">
            <w:pPr>
              <w:rPr>
                <w:rFonts w:ascii="Arial" w:hAnsi="Arial" w:cs="Arial"/>
                <w:lang w:val="en-GB" w:eastAsia="en-CA"/>
              </w:rPr>
            </w:pPr>
          </w:p>
        </w:tc>
        <w:tc>
          <w:tcPr>
            <w:tcW w:w="0" w:type="auto"/>
            <w:noWrap/>
            <w:vAlign w:val="center"/>
            <w:hideMark/>
          </w:tcPr>
          <w:p w14:paraId="29E4CDDB" w14:textId="77777777" w:rsidR="0013576C" w:rsidRPr="00103DDB" w:rsidRDefault="0013576C">
            <w:pPr>
              <w:rPr>
                <w:rFonts w:ascii="Arial" w:hAnsi="Arial" w:cs="Arial"/>
                <w:lang w:val="en-GB" w:eastAsia="en-CA"/>
              </w:rPr>
            </w:pPr>
          </w:p>
        </w:tc>
        <w:tc>
          <w:tcPr>
            <w:tcW w:w="0" w:type="auto"/>
            <w:noWrap/>
            <w:vAlign w:val="center"/>
            <w:hideMark/>
          </w:tcPr>
          <w:p w14:paraId="49BA10C4" w14:textId="77777777" w:rsidR="0013576C" w:rsidRPr="00103DDB" w:rsidRDefault="0013576C">
            <w:pPr>
              <w:rPr>
                <w:rFonts w:ascii="Arial" w:hAnsi="Arial" w:cs="Arial"/>
                <w:lang w:val="en-GB" w:eastAsia="en-CA"/>
              </w:rPr>
            </w:pPr>
          </w:p>
        </w:tc>
        <w:tc>
          <w:tcPr>
            <w:tcW w:w="0" w:type="auto"/>
            <w:noWrap/>
            <w:vAlign w:val="center"/>
            <w:hideMark/>
          </w:tcPr>
          <w:p w14:paraId="0222109D" w14:textId="77777777" w:rsidR="0013576C" w:rsidRPr="00103DDB" w:rsidRDefault="0013576C">
            <w:pPr>
              <w:rPr>
                <w:rFonts w:ascii="Arial" w:hAnsi="Arial" w:cs="Arial"/>
                <w:lang w:val="en-GB" w:eastAsia="en-CA"/>
              </w:rPr>
            </w:pPr>
          </w:p>
        </w:tc>
      </w:tr>
      <w:tr w:rsidR="0013576C" w:rsidRPr="00103DDB" w14:paraId="23D6546A" w14:textId="77777777" w:rsidTr="005D3D57">
        <w:trPr>
          <w:trHeight w:val="113"/>
          <w:jc w:val="center"/>
        </w:trPr>
        <w:tc>
          <w:tcPr>
            <w:tcW w:w="0" w:type="auto"/>
            <w:noWrap/>
            <w:vAlign w:val="center"/>
            <w:hideMark/>
          </w:tcPr>
          <w:p w14:paraId="1B378C79" w14:textId="77777777" w:rsidR="0013576C" w:rsidRPr="00103DDB" w:rsidRDefault="0013576C">
            <w:pPr>
              <w:rPr>
                <w:rFonts w:ascii="Arial" w:hAnsi="Arial" w:cs="Arial"/>
                <w:color w:val="000000"/>
                <w:lang w:val="en-GB" w:eastAsia="en-US"/>
              </w:rPr>
            </w:pPr>
            <w:r w:rsidRPr="00103DDB">
              <w:rPr>
                <w:rFonts w:ascii="Arial" w:hAnsi="Arial" w:cs="Arial"/>
                <w:color w:val="000000"/>
                <w:lang w:val="en-GB"/>
              </w:rPr>
              <w:t>Male literacy rate (ages 15+)</w:t>
            </w:r>
          </w:p>
        </w:tc>
        <w:tc>
          <w:tcPr>
            <w:tcW w:w="0" w:type="auto"/>
            <w:noWrap/>
            <w:vAlign w:val="center"/>
            <w:hideMark/>
          </w:tcPr>
          <w:p w14:paraId="3D14BC5F" w14:textId="77777777" w:rsidR="0013576C" w:rsidRPr="00103DDB" w:rsidRDefault="0013576C">
            <w:pPr>
              <w:jc w:val="right"/>
              <w:rPr>
                <w:rFonts w:ascii="Arial" w:hAnsi="Arial" w:cs="Arial"/>
                <w:color w:val="000000"/>
                <w:lang w:val="en-GB"/>
              </w:rPr>
            </w:pPr>
            <w:r w:rsidRPr="00103DDB">
              <w:rPr>
                <w:rFonts w:ascii="Arial" w:hAnsi="Arial" w:cs="Arial"/>
                <w:color w:val="000000"/>
                <w:lang w:val="en-GB"/>
              </w:rPr>
              <w:t>93.9</w:t>
            </w:r>
          </w:p>
        </w:tc>
        <w:tc>
          <w:tcPr>
            <w:tcW w:w="0" w:type="auto"/>
            <w:noWrap/>
            <w:vAlign w:val="center"/>
            <w:hideMark/>
          </w:tcPr>
          <w:p w14:paraId="5F8B6E1D" w14:textId="77777777" w:rsidR="0013576C" w:rsidRPr="00103DDB" w:rsidRDefault="0013576C">
            <w:pPr>
              <w:jc w:val="right"/>
              <w:rPr>
                <w:rFonts w:ascii="Arial" w:hAnsi="Arial" w:cs="Arial"/>
                <w:color w:val="000000"/>
                <w:lang w:val="en-GB"/>
              </w:rPr>
            </w:pPr>
            <w:r w:rsidRPr="00103DDB">
              <w:rPr>
                <w:rFonts w:ascii="Arial" w:hAnsi="Arial" w:cs="Arial"/>
                <w:color w:val="000000"/>
                <w:lang w:val="en-GB"/>
              </w:rPr>
              <w:t>93.9</w:t>
            </w:r>
          </w:p>
        </w:tc>
        <w:tc>
          <w:tcPr>
            <w:tcW w:w="0" w:type="auto"/>
            <w:noWrap/>
            <w:vAlign w:val="center"/>
            <w:hideMark/>
          </w:tcPr>
          <w:p w14:paraId="030C3411" w14:textId="77777777" w:rsidR="0013576C" w:rsidRPr="00103DDB" w:rsidRDefault="0013576C">
            <w:pPr>
              <w:rPr>
                <w:rFonts w:ascii="Arial" w:hAnsi="Arial" w:cs="Arial"/>
                <w:color w:val="000000"/>
                <w:lang w:val="en-GB"/>
              </w:rPr>
            </w:pPr>
          </w:p>
        </w:tc>
        <w:tc>
          <w:tcPr>
            <w:tcW w:w="0" w:type="auto"/>
            <w:noWrap/>
            <w:vAlign w:val="center"/>
            <w:hideMark/>
          </w:tcPr>
          <w:p w14:paraId="06362860" w14:textId="77777777" w:rsidR="0013576C" w:rsidRPr="00103DDB" w:rsidRDefault="0013576C">
            <w:pPr>
              <w:rPr>
                <w:rFonts w:ascii="Arial" w:hAnsi="Arial" w:cs="Arial"/>
                <w:lang w:val="en-GB" w:eastAsia="en-CA"/>
              </w:rPr>
            </w:pPr>
          </w:p>
        </w:tc>
        <w:tc>
          <w:tcPr>
            <w:tcW w:w="0" w:type="auto"/>
            <w:noWrap/>
            <w:vAlign w:val="center"/>
            <w:hideMark/>
          </w:tcPr>
          <w:p w14:paraId="66B7A731" w14:textId="77777777" w:rsidR="0013576C" w:rsidRPr="00103DDB" w:rsidRDefault="0013576C">
            <w:pPr>
              <w:rPr>
                <w:rFonts w:ascii="Arial" w:hAnsi="Arial" w:cs="Arial"/>
                <w:lang w:val="en-GB" w:eastAsia="en-CA"/>
              </w:rPr>
            </w:pPr>
          </w:p>
        </w:tc>
        <w:tc>
          <w:tcPr>
            <w:tcW w:w="0" w:type="auto"/>
            <w:noWrap/>
            <w:vAlign w:val="center"/>
            <w:hideMark/>
          </w:tcPr>
          <w:p w14:paraId="2E95FC1A" w14:textId="77777777" w:rsidR="0013576C" w:rsidRPr="00103DDB" w:rsidRDefault="0013576C">
            <w:pPr>
              <w:rPr>
                <w:rFonts w:ascii="Arial" w:hAnsi="Arial" w:cs="Arial"/>
                <w:lang w:val="en-GB" w:eastAsia="en-CA"/>
              </w:rPr>
            </w:pPr>
          </w:p>
        </w:tc>
        <w:tc>
          <w:tcPr>
            <w:tcW w:w="0" w:type="auto"/>
            <w:noWrap/>
            <w:vAlign w:val="center"/>
            <w:hideMark/>
          </w:tcPr>
          <w:p w14:paraId="4AF53EEC" w14:textId="77777777" w:rsidR="0013576C" w:rsidRPr="00103DDB" w:rsidRDefault="0013576C">
            <w:pPr>
              <w:rPr>
                <w:rFonts w:ascii="Arial" w:hAnsi="Arial" w:cs="Arial"/>
                <w:lang w:val="en-GB" w:eastAsia="en-CA"/>
              </w:rPr>
            </w:pPr>
          </w:p>
        </w:tc>
        <w:tc>
          <w:tcPr>
            <w:tcW w:w="0" w:type="auto"/>
            <w:noWrap/>
            <w:vAlign w:val="center"/>
            <w:hideMark/>
          </w:tcPr>
          <w:p w14:paraId="3D7BB688" w14:textId="77777777" w:rsidR="0013576C" w:rsidRPr="00103DDB" w:rsidRDefault="0013576C">
            <w:pPr>
              <w:rPr>
                <w:rFonts w:ascii="Arial" w:hAnsi="Arial" w:cs="Arial"/>
                <w:lang w:val="en-GB" w:eastAsia="en-CA"/>
              </w:rPr>
            </w:pPr>
          </w:p>
        </w:tc>
        <w:tc>
          <w:tcPr>
            <w:tcW w:w="0" w:type="auto"/>
            <w:noWrap/>
            <w:vAlign w:val="center"/>
            <w:hideMark/>
          </w:tcPr>
          <w:p w14:paraId="4E164E3B" w14:textId="77777777" w:rsidR="0013576C" w:rsidRPr="00103DDB" w:rsidRDefault="0013576C">
            <w:pPr>
              <w:rPr>
                <w:rFonts w:ascii="Arial" w:hAnsi="Arial" w:cs="Arial"/>
                <w:lang w:val="en-GB" w:eastAsia="en-CA"/>
              </w:rPr>
            </w:pPr>
          </w:p>
        </w:tc>
        <w:tc>
          <w:tcPr>
            <w:tcW w:w="0" w:type="auto"/>
            <w:noWrap/>
            <w:vAlign w:val="center"/>
            <w:hideMark/>
          </w:tcPr>
          <w:p w14:paraId="48C40A92" w14:textId="77777777" w:rsidR="0013576C" w:rsidRPr="00103DDB" w:rsidRDefault="0013576C">
            <w:pPr>
              <w:rPr>
                <w:rFonts w:ascii="Arial" w:hAnsi="Arial" w:cs="Arial"/>
                <w:lang w:val="en-GB" w:eastAsia="en-CA"/>
              </w:rPr>
            </w:pPr>
          </w:p>
        </w:tc>
      </w:tr>
      <w:tr w:rsidR="00A74758" w:rsidRPr="00103DDB" w14:paraId="2853994A" w14:textId="77777777" w:rsidTr="00F14CF9">
        <w:trPr>
          <w:trHeight w:val="386"/>
          <w:jc w:val="center"/>
        </w:trPr>
        <w:tc>
          <w:tcPr>
            <w:tcW w:w="0" w:type="auto"/>
            <w:gridSpan w:val="11"/>
            <w:noWrap/>
            <w:vAlign w:val="center"/>
            <w:hideMark/>
          </w:tcPr>
          <w:p w14:paraId="6D31BE04" w14:textId="3CAC47C8" w:rsidR="00A74758" w:rsidRPr="00103DDB" w:rsidRDefault="00A74758">
            <w:pPr>
              <w:rPr>
                <w:rFonts w:ascii="Arial" w:hAnsi="Arial" w:cs="Arial"/>
                <w:lang w:val="en-GB"/>
              </w:rPr>
            </w:pPr>
            <w:r w:rsidRPr="00103DDB">
              <w:rPr>
                <w:rFonts w:ascii="Arial" w:hAnsi="Arial" w:cs="Arial"/>
                <w:b/>
                <w:lang w:val="en-GB"/>
              </w:rPr>
              <w:t>GDP Statistics</w:t>
            </w:r>
          </w:p>
        </w:tc>
      </w:tr>
      <w:tr w:rsidR="0013576C" w:rsidRPr="00103DDB" w14:paraId="5EC4DCD4" w14:textId="77777777" w:rsidTr="005D3D57">
        <w:trPr>
          <w:trHeight w:val="113"/>
          <w:jc w:val="center"/>
        </w:trPr>
        <w:tc>
          <w:tcPr>
            <w:tcW w:w="0" w:type="auto"/>
            <w:noWrap/>
            <w:vAlign w:val="center"/>
            <w:hideMark/>
          </w:tcPr>
          <w:p w14:paraId="2A2C6CD9" w14:textId="77777777" w:rsidR="0013576C" w:rsidRPr="00103DDB" w:rsidRDefault="0013576C">
            <w:pPr>
              <w:rPr>
                <w:rFonts w:ascii="Arial" w:hAnsi="Arial" w:cs="Arial"/>
                <w:color w:val="000000"/>
                <w:lang w:val="en-GB"/>
              </w:rPr>
            </w:pPr>
            <w:r w:rsidRPr="00103DDB">
              <w:rPr>
                <w:rFonts w:ascii="Arial" w:hAnsi="Arial" w:cs="Arial"/>
                <w:color w:val="000000"/>
                <w:lang w:val="en-GB"/>
              </w:rPr>
              <w:t>GDP (current US$ billion)</w:t>
            </w:r>
          </w:p>
        </w:tc>
        <w:tc>
          <w:tcPr>
            <w:tcW w:w="0" w:type="auto"/>
            <w:noWrap/>
            <w:vAlign w:val="center"/>
            <w:hideMark/>
          </w:tcPr>
          <w:p w14:paraId="055886D2" w14:textId="77777777" w:rsidR="0013576C" w:rsidRPr="00103DDB" w:rsidRDefault="0013576C">
            <w:pPr>
              <w:jc w:val="right"/>
              <w:rPr>
                <w:rFonts w:ascii="Arial" w:hAnsi="Arial" w:cs="Arial"/>
                <w:color w:val="000000"/>
                <w:lang w:val="en-GB"/>
              </w:rPr>
            </w:pPr>
            <w:r w:rsidRPr="00103DDB">
              <w:rPr>
                <w:rFonts w:ascii="Arial" w:hAnsi="Arial" w:cs="Arial"/>
                <w:color w:val="000000"/>
                <w:lang w:val="en-GB"/>
              </w:rPr>
              <w:t>28.6</w:t>
            </w:r>
          </w:p>
        </w:tc>
        <w:tc>
          <w:tcPr>
            <w:tcW w:w="0" w:type="auto"/>
            <w:noWrap/>
            <w:vAlign w:val="center"/>
            <w:hideMark/>
          </w:tcPr>
          <w:p w14:paraId="3038CC6E" w14:textId="77777777" w:rsidR="0013576C" w:rsidRPr="00103DDB" w:rsidRDefault="0013576C">
            <w:pPr>
              <w:jc w:val="right"/>
              <w:rPr>
                <w:rFonts w:ascii="Arial" w:hAnsi="Arial" w:cs="Arial"/>
                <w:color w:val="000000"/>
                <w:lang w:val="en-GB"/>
              </w:rPr>
            </w:pPr>
            <w:r w:rsidRPr="00103DDB">
              <w:rPr>
                <w:rFonts w:ascii="Arial" w:hAnsi="Arial" w:cs="Arial"/>
                <w:color w:val="000000"/>
                <w:lang w:val="en-GB"/>
              </w:rPr>
              <w:t>33.6</w:t>
            </w:r>
          </w:p>
        </w:tc>
        <w:tc>
          <w:tcPr>
            <w:tcW w:w="0" w:type="auto"/>
            <w:noWrap/>
            <w:vAlign w:val="center"/>
            <w:hideMark/>
          </w:tcPr>
          <w:p w14:paraId="0E075CE6" w14:textId="77777777" w:rsidR="0013576C" w:rsidRPr="00103DDB" w:rsidRDefault="0013576C">
            <w:pPr>
              <w:jc w:val="right"/>
              <w:rPr>
                <w:rFonts w:ascii="Arial" w:hAnsi="Arial" w:cs="Arial"/>
                <w:color w:val="000000"/>
                <w:lang w:val="en-GB"/>
              </w:rPr>
            </w:pPr>
            <w:r w:rsidRPr="00103DDB">
              <w:rPr>
                <w:rFonts w:ascii="Arial" w:hAnsi="Arial" w:cs="Arial"/>
                <w:color w:val="000000"/>
                <w:lang w:val="en-GB"/>
              </w:rPr>
              <w:t>35.3</w:t>
            </w:r>
          </w:p>
        </w:tc>
        <w:tc>
          <w:tcPr>
            <w:tcW w:w="0" w:type="auto"/>
            <w:noWrap/>
            <w:vAlign w:val="center"/>
            <w:hideMark/>
          </w:tcPr>
          <w:p w14:paraId="4B839B3A" w14:textId="77777777" w:rsidR="0013576C" w:rsidRPr="00103DDB" w:rsidRDefault="0013576C">
            <w:pPr>
              <w:jc w:val="right"/>
              <w:rPr>
                <w:rFonts w:ascii="Arial" w:hAnsi="Arial" w:cs="Arial"/>
                <w:color w:val="000000"/>
                <w:lang w:val="en-GB"/>
              </w:rPr>
            </w:pPr>
            <w:r w:rsidRPr="00103DDB">
              <w:rPr>
                <w:rFonts w:ascii="Arial" w:hAnsi="Arial" w:cs="Arial"/>
                <w:color w:val="000000"/>
                <w:lang w:val="en-GB"/>
              </w:rPr>
              <w:t>37.9</w:t>
            </w:r>
          </w:p>
        </w:tc>
        <w:tc>
          <w:tcPr>
            <w:tcW w:w="0" w:type="auto"/>
            <w:noWrap/>
            <w:vAlign w:val="center"/>
            <w:hideMark/>
          </w:tcPr>
          <w:p w14:paraId="12E6D857" w14:textId="77777777" w:rsidR="0013576C" w:rsidRPr="00103DDB" w:rsidRDefault="0013576C">
            <w:pPr>
              <w:jc w:val="right"/>
              <w:rPr>
                <w:rFonts w:ascii="Arial" w:hAnsi="Arial" w:cs="Arial"/>
                <w:color w:val="000000"/>
                <w:lang w:val="en-GB"/>
              </w:rPr>
            </w:pPr>
            <w:r w:rsidRPr="00103DDB">
              <w:rPr>
                <w:rFonts w:ascii="Arial" w:hAnsi="Arial" w:cs="Arial"/>
                <w:color w:val="000000"/>
                <w:lang w:val="en-GB"/>
              </w:rPr>
              <w:t>42.7</w:t>
            </w:r>
          </w:p>
        </w:tc>
        <w:tc>
          <w:tcPr>
            <w:tcW w:w="0" w:type="auto"/>
            <w:noWrap/>
            <w:vAlign w:val="center"/>
            <w:hideMark/>
          </w:tcPr>
          <w:p w14:paraId="3D063408" w14:textId="77777777" w:rsidR="0013576C" w:rsidRPr="00103DDB" w:rsidRDefault="0013576C">
            <w:pPr>
              <w:jc w:val="right"/>
              <w:rPr>
                <w:rFonts w:ascii="Arial" w:hAnsi="Arial" w:cs="Arial"/>
                <w:color w:val="000000"/>
                <w:lang w:val="en-GB"/>
              </w:rPr>
            </w:pPr>
            <w:r w:rsidRPr="00103DDB">
              <w:rPr>
                <w:rFonts w:ascii="Arial" w:hAnsi="Arial" w:cs="Arial"/>
                <w:color w:val="000000"/>
                <w:lang w:val="en-GB"/>
              </w:rPr>
              <w:t>49.4</w:t>
            </w:r>
          </w:p>
        </w:tc>
        <w:tc>
          <w:tcPr>
            <w:tcW w:w="0" w:type="auto"/>
            <w:noWrap/>
            <w:vAlign w:val="center"/>
            <w:hideMark/>
          </w:tcPr>
          <w:p w14:paraId="3206FA1D" w14:textId="77777777" w:rsidR="0013576C" w:rsidRPr="00103DDB" w:rsidRDefault="0013576C">
            <w:pPr>
              <w:jc w:val="right"/>
              <w:rPr>
                <w:rFonts w:ascii="Arial" w:hAnsi="Arial" w:cs="Arial"/>
                <w:color w:val="000000"/>
                <w:lang w:val="en-GB"/>
              </w:rPr>
            </w:pPr>
            <w:r w:rsidRPr="00103DDB">
              <w:rPr>
                <w:rFonts w:ascii="Arial" w:hAnsi="Arial" w:cs="Arial"/>
                <w:color w:val="000000"/>
                <w:lang w:val="en-GB"/>
              </w:rPr>
              <w:t>57.6</w:t>
            </w:r>
          </w:p>
        </w:tc>
        <w:tc>
          <w:tcPr>
            <w:tcW w:w="0" w:type="auto"/>
            <w:noWrap/>
            <w:vAlign w:val="center"/>
            <w:hideMark/>
          </w:tcPr>
          <w:p w14:paraId="50B5F0E4" w14:textId="77777777" w:rsidR="0013576C" w:rsidRPr="00103DDB" w:rsidRDefault="0013576C">
            <w:pPr>
              <w:jc w:val="right"/>
              <w:rPr>
                <w:rFonts w:ascii="Arial" w:hAnsi="Arial" w:cs="Arial"/>
                <w:color w:val="000000"/>
                <w:lang w:val="en-GB"/>
              </w:rPr>
            </w:pPr>
            <w:r w:rsidRPr="00103DDB">
              <w:rPr>
                <w:rFonts w:ascii="Arial" w:hAnsi="Arial" w:cs="Arial"/>
                <w:color w:val="000000"/>
                <w:lang w:val="en-GB"/>
              </w:rPr>
              <w:t>66.4</w:t>
            </w:r>
          </w:p>
        </w:tc>
        <w:tc>
          <w:tcPr>
            <w:tcW w:w="0" w:type="auto"/>
            <w:noWrap/>
            <w:vAlign w:val="center"/>
            <w:hideMark/>
          </w:tcPr>
          <w:p w14:paraId="6EE74A2B" w14:textId="77777777" w:rsidR="0013576C" w:rsidRPr="00103DDB" w:rsidRDefault="0013576C">
            <w:pPr>
              <w:jc w:val="right"/>
              <w:rPr>
                <w:rFonts w:ascii="Arial" w:hAnsi="Arial" w:cs="Arial"/>
                <w:color w:val="000000"/>
                <w:lang w:val="en-GB"/>
              </w:rPr>
            </w:pPr>
            <w:r w:rsidRPr="00103DDB">
              <w:rPr>
                <w:rFonts w:ascii="Arial" w:hAnsi="Arial" w:cs="Arial"/>
                <w:color w:val="000000"/>
                <w:lang w:val="en-GB"/>
              </w:rPr>
              <w:t>77.4</w:t>
            </w:r>
          </w:p>
        </w:tc>
        <w:tc>
          <w:tcPr>
            <w:tcW w:w="0" w:type="auto"/>
            <w:noWrap/>
            <w:vAlign w:val="center"/>
            <w:hideMark/>
          </w:tcPr>
          <w:p w14:paraId="3A1550AD" w14:textId="77777777" w:rsidR="0013576C" w:rsidRPr="00103DDB" w:rsidRDefault="0013576C">
            <w:pPr>
              <w:jc w:val="right"/>
              <w:rPr>
                <w:rFonts w:ascii="Arial" w:hAnsi="Arial" w:cs="Arial"/>
                <w:color w:val="000000"/>
                <w:lang w:val="en-GB"/>
              </w:rPr>
            </w:pPr>
            <w:r w:rsidRPr="00103DDB">
              <w:rPr>
                <w:rFonts w:ascii="Arial" w:hAnsi="Arial" w:cs="Arial"/>
                <w:color w:val="000000"/>
                <w:lang w:val="en-GB"/>
              </w:rPr>
              <w:t>99.1</w:t>
            </w:r>
          </w:p>
        </w:tc>
      </w:tr>
      <w:tr w:rsidR="0013576C" w:rsidRPr="00103DDB" w14:paraId="0315EE08" w14:textId="77777777" w:rsidTr="005D3D57">
        <w:trPr>
          <w:trHeight w:val="113"/>
          <w:jc w:val="center"/>
        </w:trPr>
        <w:tc>
          <w:tcPr>
            <w:tcW w:w="0" w:type="auto"/>
            <w:noWrap/>
            <w:vAlign w:val="center"/>
            <w:hideMark/>
          </w:tcPr>
          <w:p w14:paraId="4158A501" w14:textId="77777777" w:rsidR="0013576C" w:rsidRPr="00103DDB" w:rsidRDefault="0013576C">
            <w:pPr>
              <w:rPr>
                <w:rFonts w:ascii="Arial" w:hAnsi="Arial" w:cs="Arial"/>
                <w:color w:val="000000"/>
                <w:lang w:val="en-GB"/>
              </w:rPr>
            </w:pPr>
            <w:r w:rsidRPr="00103DDB">
              <w:rPr>
                <w:rFonts w:ascii="Arial" w:hAnsi="Arial" w:cs="Arial"/>
                <w:color w:val="000000"/>
                <w:lang w:val="en-GB"/>
              </w:rPr>
              <w:t>GDP growth (annual %)</w:t>
            </w:r>
          </w:p>
        </w:tc>
        <w:tc>
          <w:tcPr>
            <w:tcW w:w="0" w:type="auto"/>
            <w:noWrap/>
            <w:vAlign w:val="center"/>
            <w:hideMark/>
          </w:tcPr>
          <w:p w14:paraId="00BEF81A" w14:textId="77777777" w:rsidR="0013576C" w:rsidRPr="00103DDB" w:rsidRDefault="0013576C">
            <w:pPr>
              <w:jc w:val="right"/>
              <w:rPr>
                <w:rFonts w:ascii="Arial" w:hAnsi="Arial" w:cs="Arial"/>
                <w:color w:val="000000"/>
                <w:lang w:val="en-GB"/>
              </w:rPr>
            </w:pPr>
            <w:r w:rsidRPr="00103DDB">
              <w:rPr>
                <w:rFonts w:ascii="Arial" w:hAnsi="Arial" w:cs="Arial"/>
                <w:color w:val="000000"/>
                <w:lang w:val="en-GB"/>
              </w:rPr>
              <w:t>4.8</w:t>
            </w:r>
          </w:p>
        </w:tc>
        <w:tc>
          <w:tcPr>
            <w:tcW w:w="0" w:type="auto"/>
            <w:noWrap/>
            <w:vAlign w:val="center"/>
            <w:hideMark/>
          </w:tcPr>
          <w:p w14:paraId="39409DAA" w14:textId="77777777" w:rsidR="0013576C" w:rsidRPr="00103DDB" w:rsidRDefault="0013576C">
            <w:pPr>
              <w:jc w:val="right"/>
              <w:rPr>
                <w:rFonts w:ascii="Arial" w:hAnsi="Arial" w:cs="Arial"/>
                <w:color w:val="000000"/>
                <w:lang w:val="en-GB"/>
              </w:rPr>
            </w:pPr>
            <w:r w:rsidRPr="00103DDB">
              <w:rPr>
                <w:rFonts w:ascii="Arial" w:hAnsi="Arial" w:cs="Arial"/>
                <w:color w:val="000000"/>
                <w:lang w:val="en-GB"/>
              </w:rPr>
              <w:t>6.8</w:t>
            </w:r>
          </w:p>
        </w:tc>
        <w:tc>
          <w:tcPr>
            <w:tcW w:w="0" w:type="auto"/>
            <w:noWrap/>
            <w:vAlign w:val="center"/>
            <w:hideMark/>
          </w:tcPr>
          <w:p w14:paraId="7EED60A4" w14:textId="77777777" w:rsidR="0013576C" w:rsidRPr="00103DDB" w:rsidRDefault="0013576C">
            <w:pPr>
              <w:jc w:val="right"/>
              <w:rPr>
                <w:rFonts w:ascii="Arial" w:hAnsi="Arial" w:cs="Arial"/>
                <w:color w:val="000000"/>
                <w:lang w:val="en-GB"/>
              </w:rPr>
            </w:pPr>
            <w:r w:rsidRPr="00103DDB">
              <w:rPr>
                <w:rFonts w:ascii="Arial" w:hAnsi="Arial" w:cs="Arial"/>
                <w:color w:val="000000"/>
                <w:lang w:val="en-GB"/>
              </w:rPr>
              <w:t>6.2</w:t>
            </w:r>
          </w:p>
        </w:tc>
        <w:tc>
          <w:tcPr>
            <w:tcW w:w="0" w:type="auto"/>
            <w:noWrap/>
            <w:vAlign w:val="center"/>
            <w:hideMark/>
          </w:tcPr>
          <w:p w14:paraId="73A16FBB" w14:textId="77777777" w:rsidR="0013576C" w:rsidRPr="00103DDB" w:rsidRDefault="0013576C">
            <w:pPr>
              <w:jc w:val="right"/>
              <w:rPr>
                <w:rFonts w:ascii="Arial" w:hAnsi="Arial" w:cs="Arial"/>
                <w:color w:val="000000"/>
                <w:lang w:val="en-GB"/>
              </w:rPr>
            </w:pPr>
            <w:r w:rsidRPr="00103DDB">
              <w:rPr>
                <w:rFonts w:ascii="Arial" w:hAnsi="Arial" w:cs="Arial"/>
                <w:color w:val="000000"/>
                <w:lang w:val="en-GB"/>
              </w:rPr>
              <w:t>6.3</w:t>
            </w:r>
          </w:p>
        </w:tc>
        <w:tc>
          <w:tcPr>
            <w:tcW w:w="0" w:type="auto"/>
            <w:noWrap/>
            <w:vAlign w:val="center"/>
            <w:hideMark/>
          </w:tcPr>
          <w:p w14:paraId="13485864" w14:textId="77777777" w:rsidR="0013576C" w:rsidRPr="00103DDB" w:rsidRDefault="0013576C">
            <w:pPr>
              <w:jc w:val="right"/>
              <w:rPr>
                <w:rFonts w:ascii="Arial" w:hAnsi="Arial" w:cs="Arial"/>
                <w:color w:val="000000"/>
                <w:lang w:val="en-GB"/>
              </w:rPr>
            </w:pPr>
            <w:r w:rsidRPr="00103DDB">
              <w:rPr>
                <w:rFonts w:ascii="Arial" w:hAnsi="Arial" w:cs="Arial"/>
                <w:color w:val="000000"/>
                <w:lang w:val="en-GB"/>
              </w:rPr>
              <w:t>6.9</w:t>
            </w:r>
          </w:p>
        </w:tc>
        <w:tc>
          <w:tcPr>
            <w:tcW w:w="0" w:type="auto"/>
            <w:noWrap/>
            <w:vAlign w:val="center"/>
            <w:hideMark/>
          </w:tcPr>
          <w:p w14:paraId="5973A6C1" w14:textId="77777777" w:rsidR="0013576C" w:rsidRPr="00103DDB" w:rsidRDefault="0013576C">
            <w:pPr>
              <w:jc w:val="right"/>
              <w:rPr>
                <w:rFonts w:ascii="Arial" w:hAnsi="Arial" w:cs="Arial"/>
                <w:color w:val="000000"/>
                <w:lang w:val="en-GB"/>
              </w:rPr>
            </w:pPr>
            <w:r w:rsidRPr="00103DDB">
              <w:rPr>
                <w:rFonts w:ascii="Arial" w:hAnsi="Arial" w:cs="Arial"/>
                <w:color w:val="000000"/>
                <w:lang w:val="en-GB"/>
              </w:rPr>
              <w:t>7.5</w:t>
            </w:r>
          </w:p>
        </w:tc>
        <w:tc>
          <w:tcPr>
            <w:tcW w:w="0" w:type="auto"/>
            <w:noWrap/>
            <w:vAlign w:val="center"/>
            <w:hideMark/>
          </w:tcPr>
          <w:p w14:paraId="44D11D52" w14:textId="77777777" w:rsidR="0013576C" w:rsidRPr="00103DDB" w:rsidRDefault="0013576C">
            <w:pPr>
              <w:jc w:val="right"/>
              <w:rPr>
                <w:rFonts w:ascii="Arial" w:hAnsi="Arial" w:cs="Arial"/>
                <w:color w:val="000000"/>
                <w:lang w:val="en-GB"/>
              </w:rPr>
            </w:pPr>
            <w:r w:rsidRPr="00103DDB">
              <w:rPr>
                <w:rFonts w:ascii="Arial" w:hAnsi="Arial" w:cs="Arial"/>
                <w:color w:val="000000"/>
                <w:lang w:val="en-GB"/>
              </w:rPr>
              <w:t>7.5</w:t>
            </w:r>
          </w:p>
        </w:tc>
        <w:tc>
          <w:tcPr>
            <w:tcW w:w="0" w:type="auto"/>
            <w:noWrap/>
            <w:vAlign w:val="center"/>
            <w:hideMark/>
          </w:tcPr>
          <w:p w14:paraId="255E9926" w14:textId="77777777" w:rsidR="0013576C" w:rsidRPr="00103DDB" w:rsidRDefault="0013576C">
            <w:pPr>
              <w:jc w:val="right"/>
              <w:rPr>
                <w:rFonts w:ascii="Arial" w:hAnsi="Arial" w:cs="Arial"/>
                <w:color w:val="000000"/>
                <w:lang w:val="en-GB"/>
              </w:rPr>
            </w:pPr>
            <w:r w:rsidRPr="00103DDB">
              <w:rPr>
                <w:rFonts w:ascii="Arial" w:hAnsi="Arial" w:cs="Arial"/>
                <w:color w:val="000000"/>
                <w:lang w:val="en-GB"/>
              </w:rPr>
              <w:t>7.0</w:t>
            </w:r>
          </w:p>
        </w:tc>
        <w:tc>
          <w:tcPr>
            <w:tcW w:w="0" w:type="auto"/>
            <w:noWrap/>
            <w:vAlign w:val="center"/>
            <w:hideMark/>
          </w:tcPr>
          <w:p w14:paraId="39260FC9" w14:textId="77777777" w:rsidR="0013576C" w:rsidRPr="00103DDB" w:rsidRDefault="0013576C">
            <w:pPr>
              <w:jc w:val="right"/>
              <w:rPr>
                <w:rFonts w:ascii="Arial" w:hAnsi="Arial" w:cs="Arial"/>
                <w:color w:val="000000"/>
                <w:lang w:val="en-GB"/>
              </w:rPr>
            </w:pPr>
            <w:r w:rsidRPr="00103DDB">
              <w:rPr>
                <w:rFonts w:ascii="Arial" w:hAnsi="Arial" w:cs="Arial"/>
                <w:color w:val="000000"/>
                <w:lang w:val="en-GB"/>
              </w:rPr>
              <w:t>7.1</w:t>
            </w:r>
          </w:p>
        </w:tc>
        <w:tc>
          <w:tcPr>
            <w:tcW w:w="0" w:type="auto"/>
            <w:noWrap/>
            <w:vAlign w:val="center"/>
            <w:hideMark/>
          </w:tcPr>
          <w:p w14:paraId="043868B7" w14:textId="77777777" w:rsidR="0013576C" w:rsidRPr="00103DDB" w:rsidRDefault="0013576C">
            <w:pPr>
              <w:jc w:val="right"/>
              <w:rPr>
                <w:rFonts w:ascii="Arial" w:hAnsi="Arial" w:cs="Arial"/>
                <w:color w:val="000000"/>
                <w:lang w:val="en-GB"/>
              </w:rPr>
            </w:pPr>
            <w:r w:rsidRPr="00103DDB">
              <w:rPr>
                <w:rFonts w:ascii="Arial" w:hAnsi="Arial" w:cs="Arial"/>
                <w:color w:val="000000"/>
                <w:lang w:val="en-GB"/>
              </w:rPr>
              <w:t>5.7</w:t>
            </w:r>
          </w:p>
        </w:tc>
      </w:tr>
      <w:tr w:rsidR="0013576C" w:rsidRPr="00103DDB" w14:paraId="1DAE14EE" w14:textId="77777777" w:rsidTr="005D3D57">
        <w:trPr>
          <w:trHeight w:val="113"/>
          <w:jc w:val="center"/>
        </w:trPr>
        <w:tc>
          <w:tcPr>
            <w:tcW w:w="0" w:type="auto"/>
            <w:noWrap/>
            <w:vAlign w:val="center"/>
            <w:hideMark/>
          </w:tcPr>
          <w:p w14:paraId="7B594932" w14:textId="77777777" w:rsidR="0013576C" w:rsidRPr="00103DDB" w:rsidRDefault="0013576C">
            <w:pPr>
              <w:rPr>
                <w:rFonts w:ascii="Arial" w:hAnsi="Arial" w:cs="Arial"/>
                <w:color w:val="000000"/>
                <w:lang w:val="en-GB"/>
              </w:rPr>
            </w:pPr>
            <w:r w:rsidRPr="00103DDB">
              <w:rPr>
                <w:rFonts w:ascii="Arial" w:hAnsi="Arial" w:cs="Arial"/>
                <w:color w:val="000000"/>
                <w:lang w:val="en-GB"/>
              </w:rPr>
              <w:t>GDP per capita (current US$)</w:t>
            </w:r>
          </w:p>
        </w:tc>
        <w:tc>
          <w:tcPr>
            <w:tcW w:w="0" w:type="auto"/>
            <w:noWrap/>
            <w:vAlign w:val="center"/>
            <w:hideMark/>
          </w:tcPr>
          <w:p w14:paraId="2B5A0E62" w14:textId="1D99D79D" w:rsidR="0013576C" w:rsidRPr="00103DDB" w:rsidRDefault="0013576C">
            <w:pPr>
              <w:jc w:val="right"/>
              <w:rPr>
                <w:rFonts w:ascii="Arial" w:hAnsi="Arial" w:cs="Arial"/>
                <w:color w:val="000000"/>
                <w:lang w:val="en-GB"/>
              </w:rPr>
            </w:pPr>
            <w:r w:rsidRPr="00103DDB">
              <w:rPr>
                <w:rFonts w:ascii="Arial" w:hAnsi="Arial" w:cs="Arial"/>
                <w:color w:val="000000"/>
                <w:lang w:val="en-GB"/>
              </w:rPr>
              <w:t>374</w:t>
            </w:r>
            <w:r w:rsidR="00D73AD1" w:rsidRPr="00103DDB">
              <w:rPr>
                <w:rFonts w:ascii="Arial" w:hAnsi="Arial" w:cs="Arial"/>
                <w:color w:val="000000"/>
                <w:lang w:val="en-GB"/>
              </w:rPr>
              <w:t>.0</w:t>
            </w:r>
          </w:p>
        </w:tc>
        <w:tc>
          <w:tcPr>
            <w:tcW w:w="0" w:type="auto"/>
            <w:noWrap/>
            <w:vAlign w:val="center"/>
            <w:hideMark/>
          </w:tcPr>
          <w:p w14:paraId="38E6A2E3" w14:textId="31F174FB" w:rsidR="0013576C" w:rsidRPr="00103DDB" w:rsidRDefault="0013576C">
            <w:pPr>
              <w:jc w:val="right"/>
              <w:rPr>
                <w:rFonts w:ascii="Arial" w:hAnsi="Arial" w:cs="Arial"/>
                <w:color w:val="000000"/>
                <w:lang w:val="en-GB"/>
              </w:rPr>
            </w:pPr>
            <w:r w:rsidRPr="00103DDB">
              <w:rPr>
                <w:rFonts w:ascii="Arial" w:hAnsi="Arial" w:cs="Arial"/>
                <w:color w:val="000000"/>
                <w:lang w:val="en-GB"/>
              </w:rPr>
              <w:t>433</w:t>
            </w:r>
            <w:r w:rsidR="00D73AD1" w:rsidRPr="00103DDB">
              <w:rPr>
                <w:rFonts w:ascii="Arial" w:hAnsi="Arial" w:cs="Arial"/>
                <w:color w:val="000000"/>
                <w:lang w:val="en-GB"/>
              </w:rPr>
              <w:t>.0</w:t>
            </w:r>
          </w:p>
        </w:tc>
        <w:tc>
          <w:tcPr>
            <w:tcW w:w="0" w:type="auto"/>
            <w:noWrap/>
            <w:vAlign w:val="center"/>
            <w:hideMark/>
          </w:tcPr>
          <w:p w14:paraId="0303BDC7" w14:textId="17219DF3" w:rsidR="0013576C" w:rsidRPr="00103DDB" w:rsidRDefault="0013576C">
            <w:pPr>
              <w:jc w:val="right"/>
              <w:rPr>
                <w:rFonts w:ascii="Arial" w:hAnsi="Arial" w:cs="Arial"/>
                <w:color w:val="000000"/>
                <w:lang w:val="en-GB"/>
              </w:rPr>
            </w:pPr>
            <w:r w:rsidRPr="00103DDB">
              <w:rPr>
                <w:rFonts w:ascii="Arial" w:hAnsi="Arial" w:cs="Arial"/>
                <w:color w:val="000000"/>
                <w:lang w:val="en-GB"/>
              </w:rPr>
              <w:t>449</w:t>
            </w:r>
            <w:r w:rsidR="00D73AD1" w:rsidRPr="00103DDB">
              <w:rPr>
                <w:rFonts w:ascii="Arial" w:hAnsi="Arial" w:cs="Arial"/>
                <w:color w:val="000000"/>
                <w:lang w:val="en-GB"/>
              </w:rPr>
              <w:t>.0</w:t>
            </w:r>
          </w:p>
        </w:tc>
        <w:tc>
          <w:tcPr>
            <w:tcW w:w="0" w:type="auto"/>
            <w:noWrap/>
            <w:vAlign w:val="center"/>
            <w:hideMark/>
          </w:tcPr>
          <w:p w14:paraId="41943091" w14:textId="7FB521CE" w:rsidR="0013576C" w:rsidRPr="00103DDB" w:rsidRDefault="0013576C">
            <w:pPr>
              <w:jc w:val="right"/>
              <w:rPr>
                <w:rFonts w:ascii="Arial" w:hAnsi="Arial" w:cs="Arial"/>
                <w:color w:val="000000"/>
                <w:lang w:val="en-GB"/>
              </w:rPr>
            </w:pPr>
            <w:r w:rsidRPr="00103DDB">
              <w:rPr>
                <w:rFonts w:ascii="Arial" w:hAnsi="Arial" w:cs="Arial"/>
                <w:color w:val="000000"/>
                <w:lang w:val="en-GB"/>
              </w:rPr>
              <w:t>477</w:t>
            </w:r>
            <w:r w:rsidR="00D73AD1" w:rsidRPr="00103DDB">
              <w:rPr>
                <w:rFonts w:ascii="Arial" w:hAnsi="Arial" w:cs="Arial"/>
                <w:color w:val="000000"/>
                <w:lang w:val="en-GB"/>
              </w:rPr>
              <w:t>.0</w:t>
            </w:r>
          </w:p>
        </w:tc>
        <w:tc>
          <w:tcPr>
            <w:tcW w:w="0" w:type="auto"/>
            <w:noWrap/>
            <w:vAlign w:val="center"/>
            <w:hideMark/>
          </w:tcPr>
          <w:p w14:paraId="6D180A22" w14:textId="62DED452" w:rsidR="0013576C" w:rsidRPr="00103DDB" w:rsidRDefault="0013576C">
            <w:pPr>
              <w:jc w:val="right"/>
              <w:rPr>
                <w:rFonts w:ascii="Arial" w:hAnsi="Arial" w:cs="Arial"/>
                <w:color w:val="000000"/>
                <w:lang w:val="en-GB"/>
              </w:rPr>
            </w:pPr>
            <w:r w:rsidRPr="00103DDB">
              <w:rPr>
                <w:rFonts w:ascii="Arial" w:hAnsi="Arial" w:cs="Arial"/>
                <w:color w:val="000000"/>
                <w:lang w:val="en-GB"/>
              </w:rPr>
              <w:t>531</w:t>
            </w:r>
            <w:r w:rsidR="00D73AD1" w:rsidRPr="00103DDB">
              <w:rPr>
                <w:rFonts w:ascii="Arial" w:hAnsi="Arial" w:cs="Arial"/>
                <w:color w:val="000000"/>
                <w:lang w:val="en-GB"/>
              </w:rPr>
              <w:t>.0</w:t>
            </w:r>
          </w:p>
        </w:tc>
        <w:tc>
          <w:tcPr>
            <w:tcW w:w="0" w:type="auto"/>
            <w:noWrap/>
            <w:vAlign w:val="center"/>
            <w:hideMark/>
          </w:tcPr>
          <w:p w14:paraId="4E49BAEE" w14:textId="19842AA1" w:rsidR="0013576C" w:rsidRPr="00103DDB" w:rsidRDefault="0013576C">
            <w:pPr>
              <w:jc w:val="right"/>
              <w:rPr>
                <w:rFonts w:ascii="Arial" w:hAnsi="Arial" w:cs="Arial"/>
                <w:color w:val="000000"/>
                <w:lang w:val="en-GB"/>
              </w:rPr>
            </w:pPr>
            <w:r w:rsidRPr="00103DDB">
              <w:rPr>
                <w:rFonts w:ascii="Arial" w:hAnsi="Arial" w:cs="Arial"/>
                <w:color w:val="000000"/>
                <w:lang w:val="en-GB"/>
              </w:rPr>
              <w:t>607</w:t>
            </w:r>
            <w:r w:rsidR="00D73AD1" w:rsidRPr="00103DDB">
              <w:rPr>
                <w:rFonts w:ascii="Arial" w:hAnsi="Arial" w:cs="Arial"/>
                <w:color w:val="000000"/>
                <w:lang w:val="en-GB"/>
              </w:rPr>
              <w:t>.0</w:t>
            </w:r>
          </w:p>
        </w:tc>
        <w:tc>
          <w:tcPr>
            <w:tcW w:w="0" w:type="auto"/>
            <w:noWrap/>
            <w:vAlign w:val="center"/>
            <w:hideMark/>
          </w:tcPr>
          <w:p w14:paraId="7D950A9C" w14:textId="7E6417FC" w:rsidR="0013576C" w:rsidRPr="00103DDB" w:rsidRDefault="0013576C">
            <w:pPr>
              <w:jc w:val="right"/>
              <w:rPr>
                <w:rFonts w:ascii="Arial" w:hAnsi="Arial" w:cs="Arial"/>
                <w:color w:val="000000"/>
                <w:lang w:val="en-GB"/>
              </w:rPr>
            </w:pPr>
            <w:r w:rsidRPr="00103DDB">
              <w:rPr>
                <w:rFonts w:ascii="Arial" w:hAnsi="Arial" w:cs="Arial"/>
                <w:color w:val="000000"/>
                <w:lang w:val="en-GB"/>
              </w:rPr>
              <w:t>699</w:t>
            </w:r>
            <w:r w:rsidR="00D73AD1" w:rsidRPr="00103DDB">
              <w:rPr>
                <w:rFonts w:ascii="Arial" w:hAnsi="Arial" w:cs="Arial"/>
                <w:color w:val="000000"/>
                <w:lang w:val="en-GB"/>
              </w:rPr>
              <w:t>.0</w:t>
            </w:r>
          </w:p>
        </w:tc>
        <w:tc>
          <w:tcPr>
            <w:tcW w:w="0" w:type="auto"/>
            <w:noWrap/>
            <w:vAlign w:val="center"/>
            <w:hideMark/>
          </w:tcPr>
          <w:p w14:paraId="59C4EDD1" w14:textId="60F912E9" w:rsidR="0013576C" w:rsidRPr="00103DDB" w:rsidRDefault="0013576C">
            <w:pPr>
              <w:jc w:val="right"/>
              <w:rPr>
                <w:rFonts w:ascii="Arial" w:hAnsi="Arial" w:cs="Arial"/>
                <w:color w:val="000000"/>
                <w:lang w:val="en-GB"/>
              </w:rPr>
            </w:pPr>
            <w:r w:rsidRPr="00103DDB">
              <w:rPr>
                <w:rFonts w:ascii="Arial" w:hAnsi="Arial" w:cs="Arial"/>
                <w:color w:val="000000"/>
                <w:lang w:val="en-GB"/>
              </w:rPr>
              <w:t>797</w:t>
            </w:r>
            <w:r w:rsidR="00D73AD1" w:rsidRPr="00103DDB">
              <w:rPr>
                <w:rFonts w:ascii="Arial" w:hAnsi="Arial" w:cs="Arial"/>
                <w:color w:val="000000"/>
                <w:lang w:val="en-GB"/>
              </w:rPr>
              <w:t>.0</w:t>
            </w:r>
          </w:p>
        </w:tc>
        <w:tc>
          <w:tcPr>
            <w:tcW w:w="0" w:type="auto"/>
            <w:noWrap/>
            <w:vAlign w:val="center"/>
            <w:hideMark/>
          </w:tcPr>
          <w:p w14:paraId="72E46189" w14:textId="4E5751EE" w:rsidR="0013576C" w:rsidRPr="00103DDB" w:rsidRDefault="0013576C">
            <w:pPr>
              <w:jc w:val="right"/>
              <w:rPr>
                <w:rFonts w:ascii="Arial" w:hAnsi="Arial" w:cs="Arial"/>
                <w:color w:val="000000"/>
                <w:lang w:val="en-GB"/>
              </w:rPr>
            </w:pPr>
            <w:r w:rsidRPr="00103DDB">
              <w:rPr>
                <w:rFonts w:ascii="Arial" w:hAnsi="Arial" w:cs="Arial"/>
                <w:color w:val="000000"/>
                <w:lang w:val="en-GB"/>
              </w:rPr>
              <w:t>919</w:t>
            </w:r>
            <w:r w:rsidR="00D73AD1" w:rsidRPr="00103DDB">
              <w:rPr>
                <w:rFonts w:ascii="Arial" w:hAnsi="Arial" w:cs="Arial"/>
                <w:color w:val="000000"/>
                <w:lang w:val="en-GB"/>
              </w:rPr>
              <w:t>.0</w:t>
            </w:r>
          </w:p>
        </w:tc>
        <w:tc>
          <w:tcPr>
            <w:tcW w:w="0" w:type="auto"/>
            <w:noWrap/>
            <w:vAlign w:val="center"/>
            <w:hideMark/>
          </w:tcPr>
          <w:p w14:paraId="3E7EB337" w14:textId="06EEF6C6" w:rsidR="0013576C" w:rsidRPr="00103DDB" w:rsidRDefault="0013576C">
            <w:pPr>
              <w:jc w:val="right"/>
              <w:rPr>
                <w:rFonts w:ascii="Arial" w:hAnsi="Arial" w:cs="Arial"/>
                <w:color w:val="000000"/>
                <w:lang w:val="en-GB"/>
              </w:rPr>
            </w:pPr>
            <w:r w:rsidRPr="00103DDB">
              <w:rPr>
                <w:rFonts w:ascii="Arial" w:hAnsi="Arial" w:cs="Arial"/>
                <w:color w:val="000000"/>
                <w:lang w:val="en-GB"/>
              </w:rPr>
              <w:t>1,165</w:t>
            </w:r>
            <w:r w:rsidR="00D73AD1" w:rsidRPr="00103DDB">
              <w:rPr>
                <w:rFonts w:ascii="Arial" w:hAnsi="Arial" w:cs="Arial"/>
                <w:color w:val="000000"/>
                <w:lang w:val="en-GB"/>
              </w:rPr>
              <w:t>.0</w:t>
            </w:r>
          </w:p>
        </w:tc>
      </w:tr>
      <w:tr w:rsidR="0013576C" w:rsidRPr="00103DDB" w14:paraId="3885B985" w14:textId="77777777" w:rsidTr="005D3D57">
        <w:trPr>
          <w:trHeight w:val="113"/>
          <w:jc w:val="center"/>
        </w:trPr>
        <w:tc>
          <w:tcPr>
            <w:tcW w:w="0" w:type="auto"/>
            <w:noWrap/>
            <w:vAlign w:val="center"/>
            <w:hideMark/>
          </w:tcPr>
          <w:p w14:paraId="3A65C108" w14:textId="77777777" w:rsidR="0013576C" w:rsidRPr="00103DDB" w:rsidRDefault="0013576C">
            <w:pPr>
              <w:rPr>
                <w:rFonts w:ascii="Arial" w:hAnsi="Arial" w:cs="Arial"/>
                <w:color w:val="000000"/>
                <w:lang w:val="en-GB"/>
              </w:rPr>
            </w:pPr>
            <w:r w:rsidRPr="00103DDB">
              <w:rPr>
                <w:rFonts w:ascii="Arial" w:hAnsi="Arial" w:cs="Arial"/>
                <w:color w:val="000000"/>
                <w:lang w:val="en-GB"/>
              </w:rPr>
              <w:t>GDP per capita growth (annual %)</w:t>
            </w:r>
          </w:p>
        </w:tc>
        <w:tc>
          <w:tcPr>
            <w:tcW w:w="0" w:type="auto"/>
            <w:noWrap/>
            <w:vAlign w:val="center"/>
            <w:hideMark/>
          </w:tcPr>
          <w:p w14:paraId="6CAB3030" w14:textId="77777777" w:rsidR="0013576C" w:rsidRPr="00103DDB" w:rsidRDefault="0013576C">
            <w:pPr>
              <w:jc w:val="right"/>
              <w:rPr>
                <w:rFonts w:ascii="Arial" w:hAnsi="Arial" w:cs="Arial"/>
                <w:color w:val="000000"/>
                <w:lang w:val="en-GB"/>
              </w:rPr>
            </w:pPr>
            <w:r w:rsidRPr="00103DDB">
              <w:rPr>
                <w:rFonts w:ascii="Arial" w:hAnsi="Arial" w:cs="Arial"/>
                <w:color w:val="000000"/>
                <w:lang w:val="en-GB"/>
              </w:rPr>
              <w:t>3.2</w:t>
            </w:r>
          </w:p>
        </w:tc>
        <w:tc>
          <w:tcPr>
            <w:tcW w:w="0" w:type="auto"/>
            <w:noWrap/>
            <w:vAlign w:val="center"/>
            <w:hideMark/>
          </w:tcPr>
          <w:p w14:paraId="7E648AEF" w14:textId="77777777" w:rsidR="0013576C" w:rsidRPr="00103DDB" w:rsidRDefault="0013576C">
            <w:pPr>
              <w:jc w:val="right"/>
              <w:rPr>
                <w:rFonts w:ascii="Arial" w:hAnsi="Arial" w:cs="Arial"/>
                <w:color w:val="000000"/>
                <w:lang w:val="en-GB"/>
              </w:rPr>
            </w:pPr>
            <w:r w:rsidRPr="00103DDB">
              <w:rPr>
                <w:rFonts w:ascii="Arial" w:hAnsi="Arial" w:cs="Arial"/>
                <w:color w:val="000000"/>
                <w:lang w:val="en-GB"/>
              </w:rPr>
              <w:t>5.4</w:t>
            </w:r>
          </w:p>
        </w:tc>
        <w:tc>
          <w:tcPr>
            <w:tcW w:w="0" w:type="auto"/>
            <w:noWrap/>
            <w:vAlign w:val="center"/>
            <w:hideMark/>
          </w:tcPr>
          <w:p w14:paraId="7232E96F" w14:textId="77777777" w:rsidR="0013576C" w:rsidRPr="00103DDB" w:rsidRDefault="0013576C">
            <w:pPr>
              <w:jc w:val="right"/>
              <w:rPr>
                <w:rFonts w:ascii="Arial" w:hAnsi="Arial" w:cs="Arial"/>
                <w:color w:val="000000"/>
                <w:lang w:val="en-GB"/>
              </w:rPr>
            </w:pPr>
            <w:r w:rsidRPr="00103DDB">
              <w:rPr>
                <w:rFonts w:ascii="Arial" w:hAnsi="Arial" w:cs="Arial"/>
                <w:color w:val="000000"/>
                <w:lang w:val="en-GB"/>
              </w:rPr>
              <w:t>4.9</w:t>
            </w:r>
          </w:p>
        </w:tc>
        <w:tc>
          <w:tcPr>
            <w:tcW w:w="0" w:type="auto"/>
            <w:noWrap/>
            <w:vAlign w:val="center"/>
            <w:hideMark/>
          </w:tcPr>
          <w:p w14:paraId="263235D8" w14:textId="77777777" w:rsidR="0013576C" w:rsidRPr="00103DDB" w:rsidRDefault="0013576C">
            <w:pPr>
              <w:jc w:val="right"/>
              <w:rPr>
                <w:rFonts w:ascii="Arial" w:hAnsi="Arial" w:cs="Arial"/>
                <w:color w:val="000000"/>
                <w:lang w:val="en-GB"/>
              </w:rPr>
            </w:pPr>
            <w:r w:rsidRPr="00103DDB">
              <w:rPr>
                <w:rFonts w:ascii="Arial" w:hAnsi="Arial" w:cs="Arial"/>
                <w:color w:val="000000"/>
                <w:lang w:val="en-GB"/>
              </w:rPr>
              <w:t>5.1</w:t>
            </w:r>
          </w:p>
        </w:tc>
        <w:tc>
          <w:tcPr>
            <w:tcW w:w="0" w:type="auto"/>
            <w:noWrap/>
            <w:vAlign w:val="center"/>
            <w:hideMark/>
          </w:tcPr>
          <w:p w14:paraId="6F48764F" w14:textId="77777777" w:rsidR="0013576C" w:rsidRPr="00103DDB" w:rsidRDefault="0013576C">
            <w:pPr>
              <w:jc w:val="right"/>
              <w:rPr>
                <w:rFonts w:ascii="Arial" w:hAnsi="Arial" w:cs="Arial"/>
                <w:color w:val="000000"/>
                <w:lang w:val="en-GB"/>
              </w:rPr>
            </w:pPr>
            <w:r w:rsidRPr="00103DDB">
              <w:rPr>
                <w:rFonts w:ascii="Arial" w:hAnsi="Arial" w:cs="Arial"/>
                <w:color w:val="000000"/>
                <w:lang w:val="en-GB"/>
              </w:rPr>
              <w:t>5.7</w:t>
            </w:r>
          </w:p>
        </w:tc>
        <w:tc>
          <w:tcPr>
            <w:tcW w:w="0" w:type="auto"/>
            <w:noWrap/>
            <w:vAlign w:val="center"/>
            <w:hideMark/>
          </w:tcPr>
          <w:p w14:paraId="49EFA28B" w14:textId="77777777" w:rsidR="0013576C" w:rsidRPr="00103DDB" w:rsidRDefault="0013576C">
            <w:pPr>
              <w:jc w:val="right"/>
              <w:rPr>
                <w:rFonts w:ascii="Arial" w:hAnsi="Arial" w:cs="Arial"/>
                <w:color w:val="000000"/>
                <w:lang w:val="en-GB"/>
              </w:rPr>
            </w:pPr>
            <w:r w:rsidRPr="00103DDB">
              <w:rPr>
                <w:rFonts w:ascii="Arial" w:hAnsi="Arial" w:cs="Arial"/>
                <w:color w:val="000000"/>
                <w:lang w:val="en-GB"/>
              </w:rPr>
              <w:t>6.3</w:t>
            </w:r>
          </w:p>
        </w:tc>
        <w:tc>
          <w:tcPr>
            <w:tcW w:w="0" w:type="auto"/>
            <w:noWrap/>
            <w:vAlign w:val="center"/>
            <w:hideMark/>
          </w:tcPr>
          <w:p w14:paraId="093B936E" w14:textId="77777777" w:rsidR="0013576C" w:rsidRPr="00103DDB" w:rsidRDefault="0013576C">
            <w:pPr>
              <w:jc w:val="right"/>
              <w:rPr>
                <w:rFonts w:ascii="Arial" w:hAnsi="Arial" w:cs="Arial"/>
                <w:color w:val="000000"/>
                <w:lang w:val="en-GB"/>
              </w:rPr>
            </w:pPr>
            <w:r w:rsidRPr="00103DDB">
              <w:rPr>
                <w:rFonts w:ascii="Arial" w:hAnsi="Arial" w:cs="Arial"/>
                <w:color w:val="000000"/>
                <w:lang w:val="en-GB"/>
              </w:rPr>
              <w:t>6.3</w:t>
            </w:r>
          </w:p>
        </w:tc>
        <w:tc>
          <w:tcPr>
            <w:tcW w:w="0" w:type="auto"/>
            <w:noWrap/>
            <w:vAlign w:val="center"/>
            <w:hideMark/>
          </w:tcPr>
          <w:p w14:paraId="4D9389C6" w14:textId="77777777" w:rsidR="0013576C" w:rsidRPr="00103DDB" w:rsidRDefault="0013576C">
            <w:pPr>
              <w:jc w:val="right"/>
              <w:rPr>
                <w:rFonts w:ascii="Arial" w:hAnsi="Arial" w:cs="Arial"/>
                <w:color w:val="000000"/>
                <w:lang w:val="en-GB"/>
              </w:rPr>
            </w:pPr>
            <w:r w:rsidRPr="00103DDB">
              <w:rPr>
                <w:rFonts w:ascii="Arial" w:hAnsi="Arial" w:cs="Arial"/>
                <w:color w:val="000000"/>
                <w:lang w:val="en-GB"/>
              </w:rPr>
              <w:t>5.8</w:t>
            </w:r>
          </w:p>
        </w:tc>
        <w:tc>
          <w:tcPr>
            <w:tcW w:w="0" w:type="auto"/>
            <w:noWrap/>
            <w:vAlign w:val="center"/>
            <w:hideMark/>
          </w:tcPr>
          <w:p w14:paraId="30194E37" w14:textId="77777777" w:rsidR="0013576C" w:rsidRPr="00103DDB" w:rsidRDefault="0013576C">
            <w:pPr>
              <w:jc w:val="right"/>
              <w:rPr>
                <w:rFonts w:ascii="Arial" w:hAnsi="Arial" w:cs="Arial"/>
                <w:color w:val="000000"/>
                <w:lang w:val="en-GB"/>
              </w:rPr>
            </w:pPr>
            <w:r w:rsidRPr="00103DDB">
              <w:rPr>
                <w:rFonts w:ascii="Arial" w:hAnsi="Arial" w:cs="Arial"/>
                <w:color w:val="000000"/>
                <w:lang w:val="en-GB"/>
              </w:rPr>
              <w:t>6.0</w:t>
            </w:r>
          </w:p>
        </w:tc>
        <w:tc>
          <w:tcPr>
            <w:tcW w:w="0" w:type="auto"/>
            <w:noWrap/>
            <w:vAlign w:val="center"/>
            <w:hideMark/>
          </w:tcPr>
          <w:p w14:paraId="55DA734A" w14:textId="77777777" w:rsidR="0013576C" w:rsidRPr="00103DDB" w:rsidRDefault="0013576C">
            <w:pPr>
              <w:jc w:val="right"/>
              <w:rPr>
                <w:rFonts w:ascii="Arial" w:hAnsi="Arial" w:cs="Arial"/>
                <w:color w:val="000000"/>
                <w:lang w:val="en-GB"/>
              </w:rPr>
            </w:pPr>
            <w:r w:rsidRPr="00103DDB">
              <w:rPr>
                <w:rFonts w:ascii="Arial" w:hAnsi="Arial" w:cs="Arial"/>
                <w:color w:val="000000"/>
                <w:lang w:val="en-GB"/>
              </w:rPr>
              <w:t>4.5</w:t>
            </w:r>
          </w:p>
        </w:tc>
      </w:tr>
      <w:tr w:rsidR="00A74758" w:rsidRPr="00103DDB" w14:paraId="47016A1B" w14:textId="77777777" w:rsidTr="00007EE1">
        <w:trPr>
          <w:trHeight w:val="377"/>
          <w:jc w:val="center"/>
        </w:trPr>
        <w:tc>
          <w:tcPr>
            <w:tcW w:w="0" w:type="auto"/>
            <w:gridSpan w:val="11"/>
            <w:noWrap/>
            <w:vAlign w:val="center"/>
            <w:hideMark/>
          </w:tcPr>
          <w:p w14:paraId="4F6A95CB" w14:textId="4A44FA64" w:rsidR="00A74758" w:rsidRPr="00103DDB" w:rsidRDefault="00A74758" w:rsidP="00A74758">
            <w:pPr>
              <w:rPr>
                <w:rFonts w:ascii="Arial" w:hAnsi="Arial" w:cs="Arial"/>
                <w:color w:val="000000"/>
                <w:lang w:val="en-GB"/>
              </w:rPr>
            </w:pPr>
            <w:r w:rsidRPr="00103DDB">
              <w:rPr>
                <w:rFonts w:ascii="Arial" w:hAnsi="Arial" w:cs="Arial"/>
                <w:b/>
                <w:lang w:val="en-GB"/>
              </w:rPr>
              <w:t>Monetary and Finance Statistics</w:t>
            </w:r>
          </w:p>
        </w:tc>
      </w:tr>
      <w:tr w:rsidR="0013576C" w:rsidRPr="00103DDB" w14:paraId="0F4E4A4D" w14:textId="77777777" w:rsidTr="005D3D57">
        <w:trPr>
          <w:trHeight w:val="113"/>
          <w:jc w:val="center"/>
        </w:trPr>
        <w:tc>
          <w:tcPr>
            <w:tcW w:w="0" w:type="auto"/>
            <w:noWrap/>
            <w:vAlign w:val="center"/>
            <w:hideMark/>
          </w:tcPr>
          <w:p w14:paraId="1C507417" w14:textId="77777777" w:rsidR="0013576C" w:rsidRPr="00103DDB" w:rsidRDefault="0013576C">
            <w:pPr>
              <w:rPr>
                <w:rFonts w:ascii="Arial" w:hAnsi="Arial" w:cs="Arial"/>
                <w:color w:val="000000"/>
                <w:lang w:val="en-GB"/>
              </w:rPr>
            </w:pPr>
            <w:r w:rsidRPr="00103DDB">
              <w:rPr>
                <w:rFonts w:ascii="Arial" w:hAnsi="Arial" w:cs="Arial"/>
                <w:color w:val="000000"/>
                <w:lang w:val="en-GB"/>
              </w:rPr>
              <w:t>Inflation, consumer prices (annual %)</w:t>
            </w:r>
          </w:p>
        </w:tc>
        <w:tc>
          <w:tcPr>
            <w:tcW w:w="0" w:type="auto"/>
            <w:noWrap/>
            <w:vAlign w:val="center"/>
            <w:hideMark/>
          </w:tcPr>
          <w:p w14:paraId="55824782" w14:textId="77777777" w:rsidR="0013576C" w:rsidRPr="00103DDB" w:rsidRDefault="0013576C">
            <w:pPr>
              <w:jc w:val="right"/>
              <w:rPr>
                <w:rFonts w:ascii="Arial" w:hAnsi="Arial" w:cs="Arial"/>
                <w:color w:val="000000"/>
                <w:lang w:val="en-GB"/>
              </w:rPr>
            </w:pPr>
            <w:r w:rsidRPr="00103DDB">
              <w:rPr>
                <w:rFonts w:ascii="Arial" w:hAnsi="Arial" w:cs="Arial"/>
                <w:color w:val="000000"/>
                <w:lang w:val="en-GB"/>
              </w:rPr>
              <w:t>4.1</w:t>
            </w:r>
          </w:p>
        </w:tc>
        <w:tc>
          <w:tcPr>
            <w:tcW w:w="0" w:type="auto"/>
            <w:noWrap/>
            <w:vAlign w:val="center"/>
            <w:hideMark/>
          </w:tcPr>
          <w:p w14:paraId="01FE2610" w14:textId="76C83CF6" w:rsidR="0013576C" w:rsidRPr="00103DDB" w:rsidRDefault="00D44643">
            <w:pPr>
              <w:jc w:val="right"/>
              <w:rPr>
                <w:rFonts w:ascii="Arial" w:hAnsi="Arial" w:cs="Arial"/>
                <w:color w:val="000000"/>
                <w:lang w:val="en-GB"/>
              </w:rPr>
            </w:pPr>
            <w:r w:rsidRPr="00103DDB">
              <w:rPr>
                <w:rFonts w:ascii="Arial" w:hAnsi="Arial" w:cs="Arial"/>
                <w:color w:val="000000"/>
                <w:lang w:val="en-GB"/>
              </w:rPr>
              <w:t>–</w:t>
            </w:r>
            <w:r w:rsidR="0013576C" w:rsidRPr="00103DDB">
              <w:rPr>
                <w:rFonts w:ascii="Arial" w:hAnsi="Arial" w:cs="Arial"/>
                <w:color w:val="000000"/>
                <w:lang w:val="en-GB"/>
              </w:rPr>
              <w:t>1.7</w:t>
            </w:r>
          </w:p>
        </w:tc>
        <w:tc>
          <w:tcPr>
            <w:tcW w:w="0" w:type="auto"/>
            <w:noWrap/>
            <w:vAlign w:val="center"/>
            <w:hideMark/>
          </w:tcPr>
          <w:p w14:paraId="0E06F381" w14:textId="7AD79FFA" w:rsidR="0013576C" w:rsidRPr="00103DDB" w:rsidRDefault="00D44643">
            <w:pPr>
              <w:jc w:val="right"/>
              <w:rPr>
                <w:rFonts w:ascii="Arial" w:hAnsi="Arial" w:cs="Arial"/>
                <w:color w:val="000000"/>
                <w:lang w:val="en-GB"/>
              </w:rPr>
            </w:pPr>
            <w:r w:rsidRPr="00103DDB">
              <w:rPr>
                <w:rFonts w:ascii="Arial" w:hAnsi="Arial" w:cs="Arial"/>
                <w:color w:val="000000"/>
                <w:lang w:val="en-GB"/>
              </w:rPr>
              <w:t>–</w:t>
            </w:r>
            <w:r w:rsidR="0013576C" w:rsidRPr="00103DDB">
              <w:rPr>
                <w:rFonts w:ascii="Arial" w:hAnsi="Arial" w:cs="Arial"/>
                <w:color w:val="000000"/>
                <w:lang w:val="en-GB"/>
              </w:rPr>
              <w:t>0.4</w:t>
            </w:r>
          </w:p>
        </w:tc>
        <w:tc>
          <w:tcPr>
            <w:tcW w:w="0" w:type="auto"/>
            <w:noWrap/>
            <w:vAlign w:val="center"/>
            <w:hideMark/>
          </w:tcPr>
          <w:p w14:paraId="3BB85E7A" w14:textId="77777777" w:rsidR="0013576C" w:rsidRPr="00103DDB" w:rsidRDefault="0013576C">
            <w:pPr>
              <w:jc w:val="right"/>
              <w:rPr>
                <w:rFonts w:ascii="Arial" w:hAnsi="Arial" w:cs="Arial"/>
                <w:color w:val="000000"/>
                <w:lang w:val="en-GB"/>
              </w:rPr>
            </w:pPr>
            <w:r w:rsidRPr="00103DDB">
              <w:rPr>
                <w:rFonts w:ascii="Arial" w:hAnsi="Arial" w:cs="Arial"/>
                <w:color w:val="000000"/>
                <w:lang w:val="en-GB"/>
              </w:rPr>
              <w:t>3.8</w:t>
            </w:r>
          </w:p>
        </w:tc>
        <w:tc>
          <w:tcPr>
            <w:tcW w:w="0" w:type="auto"/>
            <w:noWrap/>
            <w:vAlign w:val="center"/>
            <w:hideMark/>
          </w:tcPr>
          <w:p w14:paraId="2B0D4B28" w14:textId="77777777" w:rsidR="0013576C" w:rsidRPr="00103DDB" w:rsidRDefault="0013576C">
            <w:pPr>
              <w:jc w:val="right"/>
              <w:rPr>
                <w:rFonts w:ascii="Arial" w:hAnsi="Arial" w:cs="Arial"/>
                <w:color w:val="000000"/>
                <w:lang w:val="en-GB"/>
              </w:rPr>
            </w:pPr>
            <w:r w:rsidRPr="00103DDB">
              <w:rPr>
                <w:rFonts w:ascii="Arial" w:hAnsi="Arial" w:cs="Arial"/>
                <w:color w:val="000000"/>
                <w:lang w:val="en-GB"/>
              </w:rPr>
              <w:t>3.2</w:t>
            </w:r>
          </w:p>
        </w:tc>
        <w:tc>
          <w:tcPr>
            <w:tcW w:w="0" w:type="auto"/>
            <w:noWrap/>
            <w:vAlign w:val="center"/>
            <w:hideMark/>
          </w:tcPr>
          <w:p w14:paraId="38091965" w14:textId="77777777" w:rsidR="0013576C" w:rsidRPr="00103DDB" w:rsidRDefault="0013576C">
            <w:pPr>
              <w:jc w:val="right"/>
              <w:rPr>
                <w:rFonts w:ascii="Arial" w:hAnsi="Arial" w:cs="Arial"/>
                <w:color w:val="000000"/>
                <w:lang w:val="en-GB"/>
              </w:rPr>
            </w:pPr>
            <w:r w:rsidRPr="00103DDB">
              <w:rPr>
                <w:rFonts w:ascii="Arial" w:hAnsi="Arial" w:cs="Arial"/>
                <w:color w:val="000000"/>
                <w:lang w:val="en-GB"/>
              </w:rPr>
              <w:t>7.8</w:t>
            </w:r>
          </w:p>
        </w:tc>
        <w:tc>
          <w:tcPr>
            <w:tcW w:w="0" w:type="auto"/>
            <w:noWrap/>
            <w:vAlign w:val="center"/>
            <w:hideMark/>
          </w:tcPr>
          <w:p w14:paraId="502005B1" w14:textId="77777777" w:rsidR="0013576C" w:rsidRPr="00103DDB" w:rsidRDefault="0013576C">
            <w:pPr>
              <w:jc w:val="right"/>
              <w:rPr>
                <w:rFonts w:ascii="Arial" w:hAnsi="Arial" w:cs="Arial"/>
                <w:color w:val="000000"/>
                <w:lang w:val="en-GB"/>
              </w:rPr>
            </w:pPr>
            <w:r w:rsidRPr="00103DDB">
              <w:rPr>
                <w:rFonts w:ascii="Arial" w:hAnsi="Arial" w:cs="Arial"/>
                <w:color w:val="000000"/>
                <w:lang w:val="en-GB"/>
              </w:rPr>
              <w:t>8.3</w:t>
            </w:r>
          </w:p>
        </w:tc>
        <w:tc>
          <w:tcPr>
            <w:tcW w:w="0" w:type="auto"/>
            <w:noWrap/>
            <w:vAlign w:val="center"/>
            <w:hideMark/>
          </w:tcPr>
          <w:p w14:paraId="77873482" w14:textId="77777777" w:rsidR="0013576C" w:rsidRPr="00103DDB" w:rsidRDefault="0013576C">
            <w:pPr>
              <w:jc w:val="right"/>
              <w:rPr>
                <w:rFonts w:ascii="Arial" w:hAnsi="Arial" w:cs="Arial"/>
                <w:color w:val="000000"/>
                <w:lang w:val="en-GB"/>
              </w:rPr>
            </w:pPr>
            <w:r w:rsidRPr="00103DDB">
              <w:rPr>
                <w:rFonts w:ascii="Arial" w:hAnsi="Arial" w:cs="Arial"/>
                <w:color w:val="000000"/>
                <w:lang w:val="en-GB"/>
              </w:rPr>
              <w:t>7.4</w:t>
            </w:r>
          </w:p>
        </w:tc>
        <w:tc>
          <w:tcPr>
            <w:tcW w:w="0" w:type="auto"/>
            <w:noWrap/>
            <w:vAlign w:val="center"/>
            <w:hideMark/>
          </w:tcPr>
          <w:p w14:paraId="18F65DEF" w14:textId="77777777" w:rsidR="0013576C" w:rsidRPr="00103DDB" w:rsidRDefault="0013576C">
            <w:pPr>
              <w:jc w:val="right"/>
              <w:rPr>
                <w:rFonts w:ascii="Arial" w:hAnsi="Arial" w:cs="Arial"/>
                <w:color w:val="000000"/>
                <w:lang w:val="en-GB"/>
              </w:rPr>
            </w:pPr>
            <w:r w:rsidRPr="00103DDB">
              <w:rPr>
                <w:rFonts w:ascii="Arial" w:hAnsi="Arial" w:cs="Arial"/>
                <w:color w:val="000000"/>
                <w:lang w:val="en-GB"/>
              </w:rPr>
              <w:t>8.3</w:t>
            </w:r>
          </w:p>
        </w:tc>
        <w:tc>
          <w:tcPr>
            <w:tcW w:w="0" w:type="auto"/>
            <w:noWrap/>
            <w:vAlign w:val="center"/>
            <w:hideMark/>
          </w:tcPr>
          <w:p w14:paraId="3E7E534B" w14:textId="77777777" w:rsidR="0013576C" w:rsidRPr="00103DDB" w:rsidRDefault="0013576C">
            <w:pPr>
              <w:jc w:val="right"/>
              <w:rPr>
                <w:rFonts w:ascii="Arial" w:hAnsi="Arial" w:cs="Arial"/>
                <w:color w:val="000000"/>
                <w:lang w:val="en-GB"/>
              </w:rPr>
            </w:pPr>
            <w:r w:rsidRPr="00103DDB">
              <w:rPr>
                <w:rFonts w:ascii="Arial" w:hAnsi="Arial" w:cs="Arial"/>
                <w:color w:val="000000"/>
                <w:lang w:val="en-GB"/>
              </w:rPr>
              <w:t>23.1</w:t>
            </w:r>
          </w:p>
        </w:tc>
      </w:tr>
      <w:tr w:rsidR="0013576C" w:rsidRPr="00103DDB" w14:paraId="25E16223" w14:textId="77777777" w:rsidTr="005D3D57">
        <w:trPr>
          <w:trHeight w:val="113"/>
          <w:jc w:val="center"/>
        </w:trPr>
        <w:tc>
          <w:tcPr>
            <w:tcW w:w="0" w:type="auto"/>
            <w:noWrap/>
            <w:vAlign w:val="center"/>
            <w:hideMark/>
          </w:tcPr>
          <w:p w14:paraId="49852E95" w14:textId="77777777" w:rsidR="0013576C" w:rsidRPr="00103DDB" w:rsidRDefault="0013576C">
            <w:pPr>
              <w:rPr>
                <w:rFonts w:ascii="Arial" w:hAnsi="Arial" w:cs="Arial"/>
                <w:color w:val="000000"/>
                <w:lang w:val="en-GB"/>
              </w:rPr>
            </w:pPr>
            <w:r w:rsidRPr="00103DDB">
              <w:rPr>
                <w:rFonts w:ascii="Arial" w:hAnsi="Arial" w:cs="Arial"/>
                <w:color w:val="000000"/>
                <w:lang w:val="en-GB"/>
              </w:rPr>
              <w:t>Deposit interest rate (%)</w:t>
            </w:r>
          </w:p>
        </w:tc>
        <w:tc>
          <w:tcPr>
            <w:tcW w:w="0" w:type="auto"/>
            <w:noWrap/>
            <w:vAlign w:val="center"/>
            <w:hideMark/>
          </w:tcPr>
          <w:p w14:paraId="1558F654" w14:textId="77777777" w:rsidR="0013576C" w:rsidRPr="00103DDB" w:rsidRDefault="0013576C">
            <w:pPr>
              <w:jc w:val="right"/>
              <w:rPr>
                <w:rFonts w:ascii="Arial" w:hAnsi="Arial" w:cs="Arial"/>
                <w:color w:val="000000"/>
                <w:lang w:val="en-GB"/>
              </w:rPr>
            </w:pPr>
            <w:r w:rsidRPr="00103DDB">
              <w:rPr>
                <w:rFonts w:ascii="Arial" w:hAnsi="Arial" w:cs="Arial"/>
                <w:color w:val="000000"/>
                <w:lang w:val="en-GB"/>
              </w:rPr>
              <w:t>7.4</w:t>
            </w:r>
          </w:p>
        </w:tc>
        <w:tc>
          <w:tcPr>
            <w:tcW w:w="0" w:type="auto"/>
            <w:noWrap/>
            <w:vAlign w:val="center"/>
            <w:hideMark/>
          </w:tcPr>
          <w:p w14:paraId="10EEB315" w14:textId="77777777" w:rsidR="0013576C" w:rsidRPr="00103DDB" w:rsidRDefault="0013576C">
            <w:pPr>
              <w:jc w:val="right"/>
              <w:rPr>
                <w:rFonts w:ascii="Arial" w:hAnsi="Arial" w:cs="Arial"/>
                <w:color w:val="000000"/>
                <w:lang w:val="en-GB"/>
              </w:rPr>
            </w:pPr>
            <w:r w:rsidRPr="00103DDB">
              <w:rPr>
                <w:rFonts w:ascii="Arial" w:hAnsi="Arial" w:cs="Arial"/>
                <w:color w:val="000000"/>
                <w:lang w:val="en-GB"/>
              </w:rPr>
              <w:t>3.7</w:t>
            </w:r>
          </w:p>
        </w:tc>
        <w:tc>
          <w:tcPr>
            <w:tcW w:w="0" w:type="auto"/>
            <w:noWrap/>
            <w:vAlign w:val="center"/>
            <w:hideMark/>
          </w:tcPr>
          <w:p w14:paraId="3058F9CE" w14:textId="77777777" w:rsidR="0013576C" w:rsidRPr="00103DDB" w:rsidRDefault="0013576C">
            <w:pPr>
              <w:jc w:val="right"/>
              <w:rPr>
                <w:rFonts w:ascii="Arial" w:hAnsi="Arial" w:cs="Arial"/>
                <w:color w:val="000000"/>
                <w:lang w:val="en-GB"/>
              </w:rPr>
            </w:pPr>
            <w:r w:rsidRPr="00103DDB">
              <w:rPr>
                <w:rFonts w:ascii="Arial" w:hAnsi="Arial" w:cs="Arial"/>
                <w:color w:val="000000"/>
                <w:lang w:val="en-GB"/>
              </w:rPr>
              <w:t>5.3</w:t>
            </w:r>
          </w:p>
        </w:tc>
        <w:tc>
          <w:tcPr>
            <w:tcW w:w="0" w:type="auto"/>
            <w:noWrap/>
            <w:vAlign w:val="center"/>
            <w:hideMark/>
          </w:tcPr>
          <w:p w14:paraId="6074311F" w14:textId="77777777" w:rsidR="0013576C" w:rsidRPr="00103DDB" w:rsidRDefault="0013576C">
            <w:pPr>
              <w:jc w:val="right"/>
              <w:rPr>
                <w:rFonts w:ascii="Arial" w:hAnsi="Arial" w:cs="Arial"/>
                <w:color w:val="000000"/>
                <w:lang w:val="en-GB"/>
              </w:rPr>
            </w:pPr>
            <w:r w:rsidRPr="00103DDB">
              <w:rPr>
                <w:rFonts w:ascii="Arial" w:hAnsi="Arial" w:cs="Arial"/>
                <w:color w:val="000000"/>
                <w:lang w:val="en-GB"/>
              </w:rPr>
              <w:t>6.4</w:t>
            </w:r>
          </w:p>
        </w:tc>
        <w:tc>
          <w:tcPr>
            <w:tcW w:w="0" w:type="auto"/>
            <w:noWrap/>
            <w:vAlign w:val="center"/>
            <w:hideMark/>
          </w:tcPr>
          <w:p w14:paraId="648D5192" w14:textId="77777777" w:rsidR="0013576C" w:rsidRPr="00103DDB" w:rsidRDefault="0013576C">
            <w:pPr>
              <w:jc w:val="right"/>
              <w:rPr>
                <w:rFonts w:ascii="Arial" w:hAnsi="Arial" w:cs="Arial"/>
                <w:color w:val="000000"/>
                <w:lang w:val="en-GB"/>
              </w:rPr>
            </w:pPr>
            <w:r w:rsidRPr="00103DDB">
              <w:rPr>
                <w:rFonts w:ascii="Arial" w:hAnsi="Arial" w:cs="Arial"/>
                <w:color w:val="000000"/>
                <w:lang w:val="en-GB"/>
              </w:rPr>
              <w:t>6.6</w:t>
            </w:r>
          </w:p>
        </w:tc>
        <w:tc>
          <w:tcPr>
            <w:tcW w:w="0" w:type="auto"/>
            <w:noWrap/>
            <w:vAlign w:val="center"/>
            <w:hideMark/>
          </w:tcPr>
          <w:p w14:paraId="1C7F29AE" w14:textId="77777777" w:rsidR="0013576C" w:rsidRPr="00103DDB" w:rsidRDefault="0013576C">
            <w:pPr>
              <w:jc w:val="right"/>
              <w:rPr>
                <w:rFonts w:ascii="Arial" w:hAnsi="Arial" w:cs="Arial"/>
                <w:color w:val="000000"/>
                <w:lang w:val="en-GB"/>
              </w:rPr>
            </w:pPr>
            <w:r w:rsidRPr="00103DDB">
              <w:rPr>
                <w:rFonts w:ascii="Arial" w:hAnsi="Arial" w:cs="Arial"/>
                <w:color w:val="000000"/>
                <w:lang w:val="en-GB"/>
              </w:rPr>
              <w:t>6.2</w:t>
            </w:r>
          </w:p>
        </w:tc>
        <w:tc>
          <w:tcPr>
            <w:tcW w:w="0" w:type="auto"/>
            <w:noWrap/>
            <w:vAlign w:val="center"/>
            <w:hideMark/>
          </w:tcPr>
          <w:p w14:paraId="556EB14E" w14:textId="77777777" w:rsidR="0013576C" w:rsidRPr="00103DDB" w:rsidRDefault="0013576C">
            <w:pPr>
              <w:jc w:val="right"/>
              <w:rPr>
                <w:rFonts w:ascii="Arial" w:hAnsi="Arial" w:cs="Arial"/>
                <w:color w:val="000000"/>
                <w:lang w:val="en-GB"/>
              </w:rPr>
            </w:pPr>
            <w:r w:rsidRPr="00103DDB">
              <w:rPr>
                <w:rFonts w:ascii="Arial" w:hAnsi="Arial" w:cs="Arial"/>
                <w:color w:val="000000"/>
                <w:lang w:val="en-GB"/>
              </w:rPr>
              <w:t>7.1</w:t>
            </w:r>
          </w:p>
        </w:tc>
        <w:tc>
          <w:tcPr>
            <w:tcW w:w="0" w:type="auto"/>
            <w:noWrap/>
            <w:vAlign w:val="center"/>
            <w:hideMark/>
          </w:tcPr>
          <w:p w14:paraId="1294E6EA" w14:textId="77777777" w:rsidR="0013576C" w:rsidRPr="00103DDB" w:rsidRDefault="0013576C">
            <w:pPr>
              <w:jc w:val="right"/>
              <w:rPr>
                <w:rFonts w:ascii="Arial" w:hAnsi="Arial" w:cs="Arial"/>
                <w:color w:val="000000"/>
                <w:lang w:val="en-GB"/>
              </w:rPr>
            </w:pPr>
            <w:r w:rsidRPr="00103DDB">
              <w:rPr>
                <w:rFonts w:ascii="Arial" w:hAnsi="Arial" w:cs="Arial"/>
                <w:color w:val="000000"/>
                <w:lang w:val="en-GB"/>
              </w:rPr>
              <w:t>7.6</w:t>
            </w:r>
          </w:p>
        </w:tc>
        <w:tc>
          <w:tcPr>
            <w:tcW w:w="0" w:type="auto"/>
            <w:noWrap/>
            <w:vAlign w:val="center"/>
            <w:hideMark/>
          </w:tcPr>
          <w:p w14:paraId="756B4FDC" w14:textId="77777777" w:rsidR="0013576C" w:rsidRPr="00103DDB" w:rsidRDefault="0013576C">
            <w:pPr>
              <w:jc w:val="right"/>
              <w:rPr>
                <w:rFonts w:ascii="Arial" w:hAnsi="Arial" w:cs="Arial"/>
                <w:color w:val="000000"/>
                <w:lang w:val="en-GB"/>
              </w:rPr>
            </w:pPr>
            <w:r w:rsidRPr="00103DDB">
              <w:rPr>
                <w:rFonts w:ascii="Arial" w:hAnsi="Arial" w:cs="Arial"/>
                <w:color w:val="000000"/>
                <w:lang w:val="en-GB"/>
              </w:rPr>
              <w:t>7.5</w:t>
            </w:r>
          </w:p>
        </w:tc>
        <w:tc>
          <w:tcPr>
            <w:tcW w:w="0" w:type="auto"/>
            <w:noWrap/>
            <w:vAlign w:val="center"/>
            <w:hideMark/>
          </w:tcPr>
          <w:p w14:paraId="30E3953F" w14:textId="77777777" w:rsidR="0013576C" w:rsidRPr="00103DDB" w:rsidRDefault="0013576C">
            <w:pPr>
              <w:jc w:val="right"/>
              <w:rPr>
                <w:rFonts w:ascii="Arial" w:hAnsi="Arial" w:cs="Arial"/>
                <w:color w:val="000000"/>
                <w:lang w:val="en-GB"/>
              </w:rPr>
            </w:pPr>
            <w:r w:rsidRPr="00103DDB">
              <w:rPr>
                <w:rFonts w:ascii="Arial" w:hAnsi="Arial" w:cs="Arial"/>
                <w:color w:val="000000"/>
                <w:lang w:val="en-GB"/>
              </w:rPr>
              <w:t>12.7</w:t>
            </w:r>
          </w:p>
        </w:tc>
      </w:tr>
      <w:tr w:rsidR="0013576C" w:rsidRPr="00103DDB" w14:paraId="2981A38E" w14:textId="77777777" w:rsidTr="005D3D57">
        <w:trPr>
          <w:trHeight w:val="113"/>
          <w:jc w:val="center"/>
        </w:trPr>
        <w:tc>
          <w:tcPr>
            <w:tcW w:w="0" w:type="auto"/>
            <w:noWrap/>
            <w:vAlign w:val="center"/>
            <w:hideMark/>
          </w:tcPr>
          <w:p w14:paraId="527EA0CC" w14:textId="77777777" w:rsidR="0013576C" w:rsidRPr="00103DDB" w:rsidRDefault="0013576C">
            <w:pPr>
              <w:rPr>
                <w:rFonts w:ascii="Arial" w:hAnsi="Arial" w:cs="Arial"/>
                <w:color w:val="000000"/>
                <w:lang w:val="en-GB"/>
              </w:rPr>
            </w:pPr>
            <w:r w:rsidRPr="00103DDB">
              <w:rPr>
                <w:rFonts w:ascii="Arial" w:hAnsi="Arial" w:cs="Arial"/>
                <w:color w:val="000000"/>
                <w:lang w:val="en-GB"/>
              </w:rPr>
              <w:t>Domestic credit to private sector by banks (% of GDP)</w:t>
            </w:r>
          </w:p>
        </w:tc>
        <w:tc>
          <w:tcPr>
            <w:tcW w:w="0" w:type="auto"/>
            <w:noWrap/>
            <w:vAlign w:val="center"/>
            <w:hideMark/>
          </w:tcPr>
          <w:p w14:paraId="5EEB81E8" w14:textId="77777777" w:rsidR="0013576C" w:rsidRPr="00103DDB" w:rsidRDefault="0013576C">
            <w:pPr>
              <w:jc w:val="right"/>
              <w:rPr>
                <w:rFonts w:ascii="Arial" w:hAnsi="Arial" w:cs="Arial"/>
                <w:color w:val="000000"/>
                <w:lang w:val="en-GB"/>
              </w:rPr>
            </w:pPr>
            <w:r w:rsidRPr="00103DDB">
              <w:rPr>
                <w:rFonts w:ascii="Arial" w:hAnsi="Arial" w:cs="Arial"/>
                <w:color w:val="000000"/>
                <w:lang w:val="en-GB"/>
              </w:rPr>
              <w:t>28.2</w:t>
            </w:r>
          </w:p>
        </w:tc>
        <w:tc>
          <w:tcPr>
            <w:tcW w:w="0" w:type="auto"/>
            <w:noWrap/>
            <w:vAlign w:val="center"/>
            <w:hideMark/>
          </w:tcPr>
          <w:p w14:paraId="0BE38C48" w14:textId="77777777" w:rsidR="0013576C" w:rsidRPr="00103DDB" w:rsidRDefault="0013576C">
            <w:pPr>
              <w:jc w:val="right"/>
              <w:rPr>
                <w:rFonts w:ascii="Arial" w:hAnsi="Arial" w:cs="Arial"/>
                <w:color w:val="000000"/>
                <w:lang w:val="en-GB"/>
              </w:rPr>
            </w:pPr>
            <w:r w:rsidRPr="00103DDB">
              <w:rPr>
                <w:rFonts w:ascii="Arial" w:hAnsi="Arial" w:cs="Arial"/>
                <w:color w:val="000000"/>
                <w:lang w:val="en-GB"/>
              </w:rPr>
              <w:t>32.7</w:t>
            </w:r>
          </w:p>
        </w:tc>
        <w:tc>
          <w:tcPr>
            <w:tcW w:w="0" w:type="auto"/>
            <w:noWrap/>
            <w:vAlign w:val="center"/>
            <w:hideMark/>
          </w:tcPr>
          <w:p w14:paraId="33896852" w14:textId="77777777" w:rsidR="0013576C" w:rsidRPr="00103DDB" w:rsidRDefault="0013576C">
            <w:pPr>
              <w:jc w:val="right"/>
              <w:rPr>
                <w:rFonts w:ascii="Arial" w:hAnsi="Arial" w:cs="Arial"/>
                <w:color w:val="000000"/>
                <w:lang w:val="en-GB"/>
              </w:rPr>
            </w:pPr>
            <w:r w:rsidRPr="00103DDB">
              <w:rPr>
                <w:rFonts w:ascii="Arial" w:hAnsi="Arial" w:cs="Arial"/>
                <w:color w:val="000000"/>
                <w:lang w:val="en-GB"/>
              </w:rPr>
              <w:t>36.4</w:t>
            </w:r>
          </w:p>
        </w:tc>
        <w:tc>
          <w:tcPr>
            <w:tcW w:w="0" w:type="auto"/>
            <w:noWrap/>
            <w:vAlign w:val="center"/>
            <w:hideMark/>
          </w:tcPr>
          <w:p w14:paraId="3973D42D" w14:textId="77777777" w:rsidR="0013576C" w:rsidRPr="00103DDB" w:rsidRDefault="0013576C">
            <w:pPr>
              <w:jc w:val="right"/>
              <w:rPr>
                <w:rFonts w:ascii="Arial" w:hAnsi="Arial" w:cs="Arial"/>
                <w:color w:val="000000"/>
                <w:lang w:val="en-GB"/>
              </w:rPr>
            </w:pPr>
            <w:r w:rsidRPr="00103DDB">
              <w:rPr>
                <w:rFonts w:ascii="Arial" w:hAnsi="Arial" w:cs="Arial"/>
                <w:color w:val="000000"/>
                <w:lang w:val="en-GB"/>
              </w:rPr>
              <w:t>39.9</w:t>
            </w:r>
          </w:p>
        </w:tc>
        <w:tc>
          <w:tcPr>
            <w:tcW w:w="0" w:type="auto"/>
            <w:noWrap/>
            <w:vAlign w:val="center"/>
            <w:hideMark/>
          </w:tcPr>
          <w:p w14:paraId="2B9F99A4" w14:textId="77777777" w:rsidR="0013576C" w:rsidRPr="00103DDB" w:rsidRDefault="0013576C">
            <w:pPr>
              <w:jc w:val="right"/>
              <w:rPr>
                <w:rFonts w:ascii="Arial" w:hAnsi="Arial" w:cs="Arial"/>
                <w:color w:val="000000"/>
                <w:lang w:val="en-GB"/>
              </w:rPr>
            </w:pPr>
            <w:r w:rsidRPr="00103DDB">
              <w:rPr>
                <w:rFonts w:ascii="Arial" w:hAnsi="Arial" w:cs="Arial"/>
                <w:color w:val="000000"/>
                <w:lang w:val="en-GB"/>
              </w:rPr>
              <w:t>44.8</w:t>
            </w:r>
          </w:p>
        </w:tc>
        <w:tc>
          <w:tcPr>
            <w:tcW w:w="0" w:type="auto"/>
            <w:noWrap/>
            <w:vAlign w:val="center"/>
            <w:hideMark/>
          </w:tcPr>
          <w:p w14:paraId="24D5F382" w14:textId="77777777" w:rsidR="0013576C" w:rsidRPr="00103DDB" w:rsidRDefault="0013576C">
            <w:pPr>
              <w:jc w:val="right"/>
              <w:rPr>
                <w:rFonts w:ascii="Arial" w:hAnsi="Arial" w:cs="Arial"/>
                <w:color w:val="000000"/>
                <w:lang w:val="en-GB"/>
              </w:rPr>
            </w:pPr>
            <w:r w:rsidRPr="00103DDB">
              <w:rPr>
                <w:rFonts w:ascii="Arial" w:hAnsi="Arial" w:cs="Arial"/>
                <w:color w:val="000000"/>
                <w:lang w:val="en-GB"/>
              </w:rPr>
              <w:t>54.0</w:t>
            </w:r>
          </w:p>
        </w:tc>
        <w:tc>
          <w:tcPr>
            <w:tcW w:w="0" w:type="auto"/>
            <w:noWrap/>
            <w:vAlign w:val="center"/>
            <w:hideMark/>
          </w:tcPr>
          <w:p w14:paraId="3EEB8E47" w14:textId="77777777" w:rsidR="0013576C" w:rsidRPr="00103DDB" w:rsidRDefault="0013576C">
            <w:pPr>
              <w:jc w:val="right"/>
              <w:rPr>
                <w:rFonts w:ascii="Arial" w:hAnsi="Arial" w:cs="Arial"/>
                <w:color w:val="000000"/>
                <w:lang w:val="en-GB"/>
              </w:rPr>
            </w:pPr>
            <w:r w:rsidRPr="00103DDB">
              <w:rPr>
                <w:rFonts w:ascii="Arial" w:hAnsi="Arial" w:cs="Arial"/>
                <w:color w:val="000000"/>
                <w:lang w:val="en-GB"/>
              </w:rPr>
              <w:t>60.5</w:t>
            </w:r>
          </w:p>
        </w:tc>
        <w:tc>
          <w:tcPr>
            <w:tcW w:w="0" w:type="auto"/>
            <w:noWrap/>
            <w:vAlign w:val="center"/>
            <w:hideMark/>
          </w:tcPr>
          <w:p w14:paraId="6DBE21A4" w14:textId="77777777" w:rsidR="0013576C" w:rsidRPr="00103DDB" w:rsidRDefault="0013576C">
            <w:pPr>
              <w:jc w:val="right"/>
              <w:rPr>
                <w:rFonts w:ascii="Arial" w:hAnsi="Arial" w:cs="Arial"/>
                <w:color w:val="000000"/>
                <w:lang w:val="en-GB"/>
              </w:rPr>
            </w:pPr>
            <w:r w:rsidRPr="00103DDB">
              <w:rPr>
                <w:rFonts w:ascii="Arial" w:hAnsi="Arial" w:cs="Arial"/>
                <w:color w:val="000000"/>
                <w:lang w:val="en-GB"/>
              </w:rPr>
              <w:t>65.4</w:t>
            </w:r>
          </w:p>
        </w:tc>
        <w:tc>
          <w:tcPr>
            <w:tcW w:w="0" w:type="auto"/>
            <w:noWrap/>
            <w:vAlign w:val="center"/>
            <w:hideMark/>
          </w:tcPr>
          <w:p w14:paraId="321D8757" w14:textId="77777777" w:rsidR="0013576C" w:rsidRPr="00103DDB" w:rsidRDefault="0013576C">
            <w:pPr>
              <w:jc w:val="right"/>
              <w:rPr>
                <w:rFonts w:ascii="Arial" w:hAnsi="Arial" w:cs="Arial"/>
                <w:color w:val="000000"/>
                <w:lang w:val="en-GB"/>
              </w:rPr>
            </w:pPr>
            <w:r w:rsidRPr="00103DDB">
              <w:rPr>
                <w:rFonts w:ascii="Arial" w:hAnsi="Arial" w:cs="Arial"/>
                <w:color w:val="000000"/>
                <w:lang w:val="en-GB"/>
              </w:rPr>
              <w:t>85.6</w:t>
            </w:r>
          </w:p>
        </w:tc>
        <w:tc>
          <w:tcPr>
            <w:tcW w:w="0" w:type="auto"/>
            <w:noWrap/>
            <w:vAlign w:val="center"/>
            <w:hideMark/>
          </w:tcPr>
          <w:p w14:paraId="31DDEAB3" w14:textId="77777777" w:rsidR="0013576C" w:rsidRPr="00103DDB" w:rsidRDefault="0013576C">
            <w:pPr>
              <w:jc w:val="right"/>
              <w:rPr>
                <w:rFonts w:ascii="Arial" w:hAnsi="Arial" w:cs="Arial"/>
                <w:color w:val="000000"/>
                <w:lang w:val="en-GB"/>
              </w:rPr>
            </w:pPr>
            <w:r w:rsidRPr="00103DDB">
              <w:rPr>
                <w:rFonts w:ascii="Arial" w:hAnsi="Arial" w:cs="Arial"/>
                <w:color w:val="000000"/>
                <w:lang w:val="en-GB"/>
              </w:rPr>
              <w:t>82.9</w:t>
            </w:r>
          </w:p>
        </w:tc>
      </w:tr>
      <w:tr w:rsidR="00A74758" w:rsidRPr="00103DDB" w14:paraId="632930CA" w14:textId="77777777" w:rsidTr="002A0906">
        <w:trPr>
          <w:trHeight w:val="350"/>
          <w:jc w:val="center"/>
        </w:trPr>
        <w:tc>
          <w:tcPr>
            <w:tcW w:w="0" w:type="auto"/>
            <w:gridSpan w:val="11"/>
            <w:noWrap/>
            <w:vAlign w:val="center"/>
            <w:hideMark/>
          </w:tcPr>
          <w:p w14:paraId="43BA750C" w14:textId="5A59D623" w:rsidR="00A74758" w:rsidRPr="00103DDB" w:rsidRDefault="00A74758" w:rsidP="00A74758">
            <w:pPr>
              <w:rPr>
                <w:rFonts w:ascii="Arial" w:hAnsi="Arial" w:cs="Arial"/>
                <w:color w:val="000000"/>
                <w:lang w:val="en-GB"/>
              </w:rPr>
            </w:pPr>
            <w:r w:rsidRPr="00103DDB">
              <w:rPr>
                <w:rFonts w:ascii="Arial" w:hAnsi="Arial" w:cs="Arial"/>
                <w:b/>
                <w:lang w:val="en-GB"/>
              </w:rPr>
              <w:t>Trade Statistics</w:t>
            </w:r>
          </w:p>
        </w:tc>
      </w:tr>
      <w:tr w:rsidR="0013576C" w:rsidRPr="00103DDB" w14:paraId="792A3210" w14:textId="77777777" w:rsidTr="005D3D57">
        <w:trPr>
          <w:trHeight w:val="113"/>
          <w:jc w:val="center"/>
        </w:trPr>
        <w:tc>
          <w:tcPr>
            <w:tcW w:w="0" w:type="auto"/>
            <w:noWrap/>
            <w:vAlign w:val="center"/>
            <w:hideMark/>
          </w:tcPr>
          <w:p w14:paraId="3E4190A5" w14:textId="77777777" w:rsidR="0013576C" w:rsidRPr="00103DDB" w:rsidRDefault="0013576C">
            <w:pPr>
              <w:rPr>
                <w:rFonts w:ascii="Arial" w:hAnsi="Arial" w:cs="Arial"/>
                <w:color w:val="000000"/>
                <w:lang w:val="en-GB"/>
              </w:rPr>
            </w:pPr>
            <w:r w:rsidRPr="00103DDB">
              <w:rPr>
                <w:rFonts w:ascii="Arial" w:hAnsi="Arial" w:cs="Arial"/>
                <w:color w:val="000000"/>
                <w:lang w:val="en-GB"/>
              </w:rPr>
              <w:t>Current account balance (% of GDP)</w:t>
            </w:r>
          </w:p>
        </w:tc>
        <w:tc>
          <w:tcPr>
            <w:tcW w:w="0" w:type="auto"/>
            <w:noWrap/>
            <w:vAlign w:val="center"/>
            <w:hideMark/>
          </w:tcPr>
          <w:p w14:paraId="7456ECEB" w14:textId="77777777" w:rsidR="0013576C" w:rsidRPr="00103DDB" w:rsidRDefault="0013576C">
            <w:pPr>
              <w:jc w:val="right"/>
              <w:rPr>
                <w:rFonts w:ascii="Arial" w:hAnsi="Arial" w:cs="Arial"/>
                <w:color w:val="000000"/>
                <w:lang w:val="en-GB"/>
              </w:rPr>
            </w:pPr>
            <w:r w:rsidRPr="00103DDB">
              <w:rPr>
                <w:rFonts w:ascii="Arial" w:hAnsi="Arial" w:cs="Arial"/>
                <w:color w:val="000000"/>
                <w:lang w:val="en-GB"/>
              </w:rPr>
              <w:t>4.1</w:t>
            </w:r>
          </w:p>
        </w:tc>
        <w:tc>
          <w:tcPr>
            <w:tcW w:w="0" w:type="auto"/>
            <w:noWrap/>
            <w:vAlign w:val="center"/>
            <w:hideMark/>
          </w:tcPr>
          <w:p w14:paraId="45CBF18D" w14:textId="77777777" w:rsidR="0013576C" w:rsidRPr="00103DDB" w:rsidRDefault="0013576C">
            <w:pPr>
              <w:jc w:val="right"/>
              <w:rPr>
                <w:rFonts w:ascii="Arial" w:hAnsi="Arial" w:cs="Arial"/>
                <w:color w:val="000000"/>
                <w:lang w:val="en-GB"/>
              </w:rPr>
            </w:pPr>
            <w:r w:rsidRPr="00103DDB">
              <w:rPr>
                <w:rFonts w:ascii="Arial" w:hAnsi="Arial" w:cs="Arial"/>
                <w:color w:val="000000"/>
                <w:lang w:val="en-GB"/>
              </w:rPr>
              <w:t>3.3</w:t>
            </w:r>
          </w:p>
        </w:tc>
        <w:tc>
          <w:tcPr>
            <w:tcW w:w="0" w:type="auto"/>
            <w:noWrap/>
            <w:vAlign w:val="center"/>
            <w:hideMark/>
          </w:tcPr>
          <w:p w14:paraId="3BFE8391" w14:textId="77777777" w:rsidR="0013576C" w:rsidRPr="00103DDB" w:rsidRDefault="0013576C">
            <w:pPr>
              <w:jc w:val="right"/>
              <w:rPr>
                <w:rFonts w:ascii="Arial" w:hAnsi="Arial" w:cs="Arial"/>
                <w:color w:val="000000"/>
                <w:lang w:val="en-GB"/>
              </w:rPr>
            </w:pPr>
            <w:r w:rsidRPr="00103DDB">
              <w:rPr>
                <w:rFonts w:ascii="Arial" w:hAnsi="Arial" w:cs="Arial"/>
                <w:color w:val="000000"/>
                <w:lang w:val="en-GB"/>
              </w:rPr>
              <w:t>1.9</w:t>
            </w:r>
          </w:p>
        </w:tc>
        <w:tc>
          <w:tcPr>
            <w:tcW w:w="0" w:type="auto"/>
            <w:noWrap/>
            <w:vAlign w:val="center"/>
            <w:hideMark/>
          </w:tcPr>
          <w:p w14:paraId="2E0A273F" w14:textId="3D212857" w:rsidR="0013576C" w:rsidRPr="00103DDB" w:rsidRDefault="00D44643">
            <w:pPr>
              <w:jc w:val="right"/>
              <w:rPr>
                <w:rFonts w:ascii="Arial" w:hAnsi="Arial" w:cs="Arial"/>
                <w:color w:val="000000"/>
                <w:lang w:val="en-GB"/>
              </w:rPr>
            </w:pPr>
            <w:r w:rsidRPr="00103DDB">
              <w:rPr>
                <w:rFonts w:ascii="Arial" w:hAnsi="Arial" w:cs="Arial"/>
                <w:color w:val="000000"/>
                <w:lang w:val="en-GB"/>
              </w:rPr>
              <w:t>–</w:t>
            </w:r>
            <w:r w:rsidR="0013576C" w:rsidRPr="00103DDB">
              <w:rPr>
                <w:rFonts w:ascii="Arial" w:hAnsi="Arial" w:cs="Arial"/>
                <w:color w:val="000000"/>
                <w:lang w:val="en-GB"/>
              </w:rPr>
              <w:t>1.6</w:t>
            </w:r>
          </w:p>
        </w:tc>
        <w:tc>
          <w:tcPr>
            <w:tcW w:w="0" w:type="auto"/>
            <w:noWrap/>
            <w:vAlign w:val="center"/>
            <w:hideMark/>
          </w:tcPr>
          <w:p w14:paraId="56905FFF" w14:textId="3C156873" w:rsidR="0013576C" w:rsidRPr="00103DDB" w:rsidRDefault="0066396D">
            <w:pPr>
              <w:jc w:val="right"/>
              <w:rPr>
                <w:rFonts w:ascii="Arial" w:hAnsi="Arial" w:cs="Arial"/>
                <w:color w:val="000000"/>
                <w:lang w:val="en-GB"/>
              </w:rPr>
            </w:pPr>
            <w:r w:rsidRPr="00103DDB">
              <w:rPr>
                <w:rFonts w:ascii="Arial" w:hAnsi="Arial" w:cs="Arial"/>
                <w:color w:val="000000"/>
                <w:lang w:val="en-GB"/>
              </w:rPr>
              <w:t>–</w:t>
            </w:r>
            <w:r w:rsidR="0013576C" w:rsidRPr="00103DDB">
              <w:rPr>
                <w:rFonts w:ascii="Arial" w:hAnsi="Arial" w:cs="Arial"/>
                <w:color w:val="000000"/>
                <w:lang w:val="en-GB"/>
              </w:rPr>
              <w:t>4.5</w:t>
            </w:r>
          </w:p>
        </w:tc>
        <w:tc>
          <w:tcPr>
            <w:tcW w:w="0" w:type="auto"/>
            <w:noWrap/>
            <w:vAlign w:val="center"/>
            <w:hideMark/>
          </w:tcPr>
          <w:p w14:paraId="7BBF97BE" w14:textId="1C54CB43" w:rsidR="0013576C" w:rsidRPr="00103DDB" w:rsidRDefault="00D44643">
            <w:pPr>
              <w:jc w:val="right"/>
              <w:rPr>
                <w:rFonts w:ascii="Arial" w:hAnsi="Arial" w:cs="Arial"/>
                <w:color w:val="000000"/>
                <w:lang w:val="en-GB"/>
              </w:rPr>
            </w:pPr>
            <w:r w:rsidRPr="00103DDB">
              <w:rPr>
                <w:rFonts w:ascii="Arial" w:hAnsi="Arial" w:cs="Arial"/>
                <w:color w:val="000000"/>
                <w:lang w:val="en-GB"/>
              </w:rPr>
              <w:t>–</w:t>
            </w:r>
            <w:r w:rsidR="0013576C" w:rsidRPr="00103DDB">
              <w:rPr>
                <w:rFonts w:ascii="Arial" w:hAnsi="Arial" w:cs="Arial"/>
                <w:color w:val="000000"/>
                <w:lang w:val="en-GB"/>
              </w:rPr>
              <w:t>1.9</w:t>
            </w:r>
          </w:p>
        </w:tc>
        <w:tc>
          <w:tcPr>
            <w:tcW w:w="0" w:type="auto"/>
            <w:noWrap/>
            <w:vAlign w:val="center"/>
            <w:hideMark/>
          </w:tcPr>
          <w:p w14:paraId="002D59A0" w14:textId="7C0687C0" w:rsidR="0013576C" w:rsidRPr="00103DDB" w:rsidRDefault="00D44643">
            <w:pPr>
              <w:jc w:val="right"/>
              <w:rPr>
                <w:rFonts w:ascii="Arial" w:hAnsi="Arial" w:cs="Arial"/>
                <w:color w:val="000000"/>
                <w:lang w:val="en-GB"/>
              </w:rPr>
            </w:pPr>
            <w:r w:rsidRPr="00103DDB">
              <w:rPr>
                <w:rFonts w:ascii="Arial" w:hAnsi="Arial" w:cs="Arial"/>
                <w:color w:val="000000"/>
                <w:lang w:val="en-GB"/>
              </w:rPr>
              <w:t>–</w:t>
            </w:r>
            <w:r w:rsidR="0013576C" w:rsidRPr="00103DDB">
              <w:rPr>
                <w:rFonts w:ascii="Arial" w:hAnsi="Arial" w:cs="Arial"/>
                <w:color w:val="000000"/>
                <w:lang w:val="en-GB"/>
              </w:rPr>
              <w:t>1.0</w:t>
            </w:r>
          </w:p>
        </w:tc>
        <w:tc>
          <w:tcPr>
            <w:tcW w:w="0" w:type="auto"/>
            <w:noWrap/>
            <w:vAlign w:val="center"/>
            <w:hideMark/>
          </w:tcPr>
          <w:p w14:paraId="66D3FD81" w14:textId="2192DCB8" w:rsidR="0013576C" w:rsidRPr="00103DDB" w:rsidRDefault="00D44643">
            <w:pPr>
              <w:jc w:val="right"/>
              <w:rPr>
                <w:rFonts w:ascii="Arial" w:hAnsi="Arial" w:cs="Arial"/>
                <w:color w:val="000000"/>
                <w:lang w:val="en-GB"/>
              </w:rPr>
            </w:pPr>
            <w:r w:rsidRPr="00103DDB">
              <w:rPr>
                <w:rFonts w:ascii="Arial" w:hAnsi="Arial" w:cs="Arial"/>
                <w:color w:val="000000"/>
                <w:lang w:val="en-GB"/>
              </w:rPr>
              <w:t>–</w:t>
            </w:r>
            <w:r w:rsidR="0013576C" w:rsidRPr="00103DDB">
              <w:rPr>
                <w:rFonts w:ascii="Arial" w:hAnsi="Arial" w:cs="Arial"/>
                <w:color w:val="000000"/>
                <w:lang w:val="en-GB"/>
              </w:rPr>
              <w:t>0.2</w:t>
            </w:r>
          </w:p>
        </w:tc>
        <w:tc>
          <w:tcPr>
            <w:tcW w:w="0" w:type="auto"/>
            <w:noWrap/>
            <w:vAlign w:val="center"/>
            <w:hideMark/>
          </w:tcPr>
          <w:p w14:paraId="6DB12869" w14:textId="1A2A3E03" w:rsidR="0013576C" w:rsidRPr="00103DDB" w:rsidRDefault="00D44643">
            <w:pPr>
              <w:jc w:val="right"/>
              <w:rPr>
                <w:rFonts w:ascii="Arial" w:hAnsi="Arial" w:cs="Arial"/>
                <w:color w:val="000000"/>
                <w:lang w:val="en-GB"/>
              </w:rPr>
            </w:pPr>
            <w:r w:rsidRPr="00103DDB">
              <w:rPr>
                <w:rFonts w:ascii="Arial" w:hAnsi="Arial" w:cs="Arial"/>
                <w:color w:val="000000"/>
                <w:lang w:val="en-GB"/>
              </w:rPr>
              <w:t>–</w:t>
            </w:r>
            <w:r w:rsidR="0013576C" w:rsidRPr="00103DDB">
              <w:rPr>
                <w:rFonts w:ascii="Arial" w:hAnsi="Arial" w:cs="Arial"/>
                <w:color w:val="000000"/>
                <w:lang w:val="en-GB"/>
              </w:rPr>
              <w:t>9.0</w:t>
            </w:r>
          </w:p>
        </w:tc>
        <w:tc>
          <w:tcPr>
            <w:tcW w:w="0" w:type="auto"/>
            <w:noWrap/>
            <w:vAlign w:val="center"/>
            <w:hideMark/>
          </w:tcPr>
          <w:p w14:paraId="4068379C" w14:textId="6199B149" w:rsidR="0013576C" w:rsidRPr="00103DDB" w:rsidRDefault="00D44643">
            <w:pPr>
              <w:jc w:val="right"/>
              <w:rPr>
                <w:rFonts w:ascii="Arial" w:hAnsi="Arial" w:cs="Arial"/>
                <w:color w:val="000000"/>
                <w:lang w:val="en-GB"/>
              </w:rPr>
            </w:pPr>
            <w:r w:rsidRPr="00103DDB">
              <w:rPr>
                <w:rFonts w:ascii="Arial" w:hAnsi="Arial" w:cs="Arial"/>
                <w:color w:val="000000"/>
                <w:lang w:val="en-GB"/>
              </w:rPr>
              <w:t>–</w:t>
            </w:r>
            <w:r w:rsidR="0013576C" w:rsidRPr="00103DDB">
              <w:rPr>
                <w:rFonts w:ascii="Arial" w:hAnsi="Arial" w:cs="Arial"/>
                <w:color w:val="000000"/>
                <w:lang w:val="en-GB"/>
              </w:rPr>
              <w:t>10.9</w:t>
            </w:r>
          </w:p>
        </w:tc>
      </w:tr>
      <w:tr w:rsidR="0013576C" w:rsidRPr="00103DDB" w14:paraId="611680C0" w14:textId="77777777" w:rsidTr="005D3D57">
        <w:trPr>
          <w:trHeight w:val="113"/>
          <w:jc w:val="center"/>
        </w:trPr>
        <w:tc>
          <w:tcPr>
            <w:tcW w:w="0" w:type="auto"/>
            <w:noWrap/>
            <w:vAlign w:val="center"/>
            <w:hideMark/>
          </w:tcPr>
          <w:p w14:paraId="62CF7A35" w14:textId="77777777" w:rsidR="0013576C" w:rsidRPr="00103DDB" w:rsidRDefault="0013576C">
            <w:pPr>
              <w:rPr>
                <w:rFonts w:ascii="Arial" w:hAnsi="Arial" w:cs="Arial"/>
                <w:color w:val="000000"/>
                <w:lang w:val="en-GB"/>
              </w:rPr>
            </w:pPr>
            <w:r w:rsidRPr="00103DDB">
              <w:rPr>
                <w:rFonts w:ascii="Arial" w:hAnsi="Arial" w:cs="Arial"/>
                <w:color w:val="000000"/>
                <w:lang w:val="en-GB"/>
              </w:rPr>
              <w:t>Exports of goods and services (% of GDP)</w:t>
            </w:r>
          </w:p>
        </w:tc>
        <w:tc>
          <w:tcPr>
            <w:tcW w:w="0" w:type="auto"/>
            <w:noWrap/>
            <w:vAlign w:val="center"/>
            <w:hideMark/>
          </w:tcPr>
          <w:p w14:paraId="4C9040C2" w14:textId="77777777" w:rsidR="0013576C" w:rsidRPr="00103DDB" w:rsidRDefault="0013576C">
            <w:pPr>
              <w:jc w:val="right"/>
              <w:rPr>
                <w:rFonts w:ascii="Arial" w:hAnsi="Arial" w:cs="Arial"/>
                <w:color w:val="000000"/>
                <w:lang w:val="en-GB"/>
              </w:rPr>
            </w:pPr>
            <w:r w:rsidRPr="00103DDB">
              <w:rPr>
                <w:rFonts w:ascii="Arial" w:hAnsi="Arial" w:cs="Arial"/>
                <w:color w:val="000000"/>
                <w:lang w:val="en-GB"/>
              </w:rPr>
              <w:t>50.0</w:t>
            </w:r>
          </w:p>
        </w:tc>
        <w:tc>
          <w:tcPr>
            <w:tcW w:w="0" w:type="auto"/>
            <w:noWrap/>
            <w:vAlign w:val="center"/>
            <w:hideMark/>
          </w:tcPr>
          <w:p w14:paraId="551135D5" w14:textId="77777777" w:rsidR="0013576C" w:rsidRPr="00103DDB" w:rsidRDefault="0013576C">
            <w:pPr>
              <w:jc w:val="right"/>
              <w:rPr>
                <w:rFonts w:ascii="Arial" w:hAnsi="Arial" w:cs="Arial"/>
                <w:color w:val="000000"/>
                <w:lang w:val="en-GB"/>
              </w:rPr>
            </w:pPr>
            <w:r w:rsidRPr="00103DDB">
              <w:rPr>
                <w:rFonts w:ascii="Arial" w:hAnsi="Arial" w:cs="Arial"/>
                <w:color w:val="000000"/>
                <w:lang w:val="en-GB"/>
              </w:rPr>
              <w:t>50.0</w:t>
            </w:r>
          </w:p>
        </w:tc>
        <w:tc>
          <w:tcPr>
            <w:tcW w:w="0" w:type="auto"/>
            <w:noWrap/>
            <w:vAlign w:val="center"/>
            <w:hideMark/>
          </w:tcPr>
          <w:p w14:paraId="104B00AD" w14:textId="77777777" w:rsidR="0013576C" w:rsidRPr="00103DDB" w:rsidRDefault="0013576C">
            <w:pPr>
              <w:jc w:val="right"/>
              <w:rPr>
                <w:rFonts w:ascii="Arial" w:hAnsi="Arial" w:cs="Arial"/>
                <w:color w:val="000000"/>
                <w:lang w:val="en-GB"/>
              </w:rPr>
            </w:pPr>
            <w:r w:rsidRPr="00103DDB">
              <w:rPr>
                <w:rFonts w:ascii="Arial" w:hAnsi="Arial" w:cs="Arial"/>
                <w:color w:val="000000"/>
                <w:lang w:val="en-GB"/>
              </w:rPr>
              <w:t>51.0</w:t>
            </w:r>
          </w:p>
        </w:tc>
        <w:tc>
          <w:tcPr>
            <w:tcW w:w="0" w:type="auto"/>
            <w:noWrap/>
            <w:vAlign w:val="center"/>
            <w:hideMark/>
          </w:tcPr>
          <w:p w14:paraId="2865AD96" w14:textId="77777777" w:rsidR="0013576C" w:rsidRPr="00103DDB" w:rsidRDefault="0013576C">
            <w:pPr>
              <w:jc w:val="right"/>
              <w:rPr>
                <w:rFonts w:ascii="Arial" w:hAnsi="Arial" w:cs="Arial"/>
                <w:color w:val="000000"/>
                <w:lang w:val="en-GB"/>
              </w:rPr>
            </w:pPr>
            <w:r w:rsidRPr="00103DDB">
              <w:rPr>
                <w:rFonts w:ascii="Arial" w:hAnsi="Arial" w:cs="Arial"/>
                <w:color w:val="000000"/>
                <w:lang w:val="en-GB"/>
              </w:rPr>
              <w:t>50.6</w:t>
            </w:r>
          </w:p>
        </w:tc>
        <w:tc>
          <w:tcPr>
            <w:tcW w:w="0" w:type="auto"/>
            <w:noWrap/>
            <w:vAlign w:val="center"/>
            <w:hideMark/>
          </w:tcPr>
          <w:p w14:paraId="5FC12AEF" w14:textId="77777777" w:rsidR="0013576C" w:rsidRPr="00103DDB" w:rsidRDefault="0013576C">
            <w:pPr>
              <w:jc w:val="right"/>
              <w:rPr>
                <w:rFonts w:ascii="Arial" w:hAnsi="Arial" w:cs="Arial"/>
                <w:color w:val="000000"/>
                <w:lang w:val="en-GB"/>
              </w:rPr>
            </w:pPr>
            <w:r w:rsidRPr="00103DDB">
              <w:rPr>
                <w:rFonts w:ascii="Arial" w:hAnsi="Arial" w:cs="Arial"/>
                <w:color w:val="000000"/>
                <w:lang w:val="en-GB"/>
              </w:rPr>
              <w:t>52.5</w:t>
            </w:r>
          </w:p>
        </w:tc>
        <w:tc>
          <w:tcPr>
            <w:tcW w:w="0" w:type="auto"/>
            <w:noWrap/>
            <w:vAlign w:val="center"/>
            <w:hideMark/>
          </w:tcPr>
          <w:p w14:paraId="1098EBB1" w14:textId="77777777" w:rsidR="0013576C" w:rsidRPr="00103DDB" w:rsidRDefault="0013576C">
            <w:pPr>
              <w:jc w:val="right"/>
              <w:rPr>
                <w:rFonts w:ascii="Arial" w:hAnsi="Arial" w:cs="Arial"/>
                <w:color w:val="000000"/>
                <w:lang w:val="en-GB"/>
              </w:rPr>
            </w:pPr>
            <w:r w:rsidRPr="00103DDB">
              <w:rPr>
                <w:rFonts w:ascii="Arial" w:hAnsi="Arial" w:cs="Arial"/>
                <w:color w:val="000000"/>
                <w:lang w:val="en-GB"/>
              </w:rPr>
              <w:t>54.9</w:t>
            </w:r>
          </w:p>
        </w:tc>
        <w:tc>
          <w:tcPr>
            <w:tcW w:w="0" w:type="auto"/>
            <w:noWrap/>
            <w:vAlign w:val="center"/>
            <w:hideMark/>
          </w:tcPr>
          <w:p w14:paraId="5596A91C" w14:textId="77777777" w:rsidR="0013576C" w:rsidRPr="00103DDB" w:rsidRDefault="0013576C">
            <w:pPr>
              <w:jc w:val="right"/>
              <w:rPr>
                <w:rFonts w:ascii="Arial" w:hAnsi="Arial" w:cs="Arial"/>
                <w:color w:val="000000"/>
                <w:lang w:val="en-GB"/>
              </w:rPr>
            </w:pPr>
            <w:r w:rsidRPr="00103DDB">
              <w:rPr>
                <w:rFonts w:ascii="Arial" w:hAnsi="Arial" w:cs="Arial"/>
                <w:color w:val="000000"/>
                <w:lang w:val="en-GB"/>
              </w:rPr>
              <w:t>63.7</w:t>
            </w:r>
          </w:p>
        </w:tc>
        <w:tc>
          <w:tcPr>
            <w:tcW w:w="0" w:type="auto"/>
            <w:noWrap/>
            <w:vAlign w:val="center"/>
            <w:hideMark/>
          </w:tcPr>
          <w:p w14:paraId="0FE27FC6" w14:textId="77777777" w:rsidR="0013576C" w:rsidRPr="00103DDB" w:rsidRDefault="0013576C">
            <w:pPr>
              <w:jc w:val="right"/>
              <w:rPr>
                <w:rFonts w:ascii="Arial" w:hAnsi="Arial" w:cs="Arial"/>
                <w:color w:val="000000"/>
                <w:lang w:val="en-GB"/>
              </w:rPr>
            </w:pPr>
            <w:r w:rsidRPr="00103DDB">
              <w:rPr>
                <w:rFonts w:ascii="Arial" w:hAnsi="Arial" w:cs="Arial"/>
                <w:color w:val="000000"/>
                <w:lang w:val="en-GB"/>
              </w:rPr>
              <w:t>67.7</w:t>
            </w:r>
          </w:p>
        </w:tc>
        <w:tc>
          <w:tcPr>
            <w:tcW w:w="0" w:type="auto"/>
            <w:noWrap/>
            <w:vAlign w:val="center"/>
            <w:hideMark/>
          </w:tcPr>
          <w:p w14:paraId="7F4C9848" w14:textId="77777777" w:rsidR="0013576C" w:rsidRPr="00103DDB" w:rsidRDefault="0013576C">
            <w:pPr>
              <w:jc w:val="right"/>
              <w:rPr>
                <w:rFonts w:ascii="Arial" w:hAnsi="Arial" w:cs="Arial"/>
                <w:color w:val="000000"/>
                <w:lang w:val="en-GB"/>
              </w:rPr>
            </w:pPr>
            <w:r w:rsidRPr="00103DDB">
              <w:rPr>
                <w:rFonts w:ascii="Arial" w:hAnsi="Arial" w:cs="Arial"/>
                <w:color w:val="000000"/>
                <w:lang w:val="en-GB"/>
              </w:rPr>
              <w:t>70.5</w:t>
            </w:r>
          </w:p>
        </w:tc>
        <w:tc>
          <w:tcPr>
            <w:tcW w:w="0" w:type="auto"/>
            <w:noWrap/>
            <w:vAlign w:val="center"/>
            <w:hideMark/>
          </w:tcPr>
          <w:p w14:paraId="387AFBB1" w14:textId="77777777" w:rsidR="0013576C" w:rsidRPr="00103DDB" w:rsidRDefault="0013576C">
            <w:pPr>
              <w:jc w:val="right"/>
              <w:rPr>
                <w:rFonts w:ascii="Arial" w:hAnsi="Arial" w:cs="Arial"/>
                <w:color w:val="000000"/>
                <w:lang w:val="en-GB"/>
              </w:rPr>
            </w:pPr>
            <w:r w:rsidRPr="00103DDB">
              <w:rPr>
                <w:rFonts w:ascii="Arial" w:hAnsi="Arial" w:cs="Arial"/>
                <w:color w:val="000000"/>
                <w:lang w:val="en-GB"/>
              </w:rPr>
              <w:t>70.3</w:t>
            </w:r>
          </w:p>
        </w:tc>
      </w:tr>
      <w:tr w:rsidR="0013576C" w:rsidRPr="00103DDB" w14:paraId="652DDEA4" w14:textId="77777777" w:rsidTr="005D3D57">
        <w:trPr>
          <w:trHeight w:val="422"/>
          <w:jc w:val="center"/>
        </w:trPr>
        <w:tc>
          <w:tcPr>
            <w:tcW w:w="0" w:type="auto"/>
            <w:noWrap/>
            <w:vAlign w:val="center"/>
            <w:hideMark/>
          </w:tcPr>
          <w:p w14:paraId="37564295" w14:textId="77777777" w:rsidR="0013576C" w:rsidRPr="00103DDB" w:rsidRDefault="0013576C">
            <w:pPr>
              <w:rPr>
                <w:rFonts w:ascii="Arial" w:hAnsi="Arial" w:cs="Arial"/>
                <w:b/>
                <w:color w:val="000000"/>
                <w:lang w:val="en-GB"/>
              </w:rPr>
            </w:pPr>
            <w:r w:rsidRPr="00103DDB">
              <w:rPr>
                <w:rFonts w:ascii="Arial" w:hAnsi="Arial" w:cs="Arial"/>
                <w:b/>
                <w:lang w:val="en-GB"/>
              </w:rPr>
              <w:t>Equity Investment Statistics</w:t>
            </w:r>
          </w:p>
        </w:tc>
        <w:tc>
          <w:tcPr>
            <w:tcW w:w="0" w:type="auto"/>
            <w:noWrap/>
            <w:vAlign w:val="center"/>
          </w:tcPr>
          <w:p w14:paraId="03451923" w14:textId="77777777" w:rsidR="0013576C" w:rsidRPr="00103DDB" w:rsidRDefault="0013576C">
            <w:pPr>
              <w:jc w:val="right"/>
              <w:rPr>
                <w:rFonts w:ascii="Arial" w:hAnsi="Arial" w:cs="Arial"/>
                <w:color w:val="000000"/>
                <w:lang w:val="en-GB"/>
              </w:rPr>
            </w:pPr>
          </w:p>
        </w:tc>
        <w:tc>
          <w:tcPr>
            <w:tcW w:w="0" w:type="auto"/>
            <w:noWrap/>
            <w:vAlign w:val="center"/>
          </w:tcPr>
          <w:p w14:paraId="0CE20060" w14:textId="77777777" w:rsidR="0013576C" w:rsidRPr="00103DDB" w:rsidRDefault="0013576C">
            <w:pPr>
              <w:jc w:val="right"/>
              <w:rPr>
                <w:rFonts w:ascii="Arial" w:hAnsi="Arial" w:cs="Arial"/>
                <w:color w:val="000000"/>
                <w:lang w:val="en-GB"/>
              </w:rPr>
            </w:pPr>
          </w:p>
        </w:tc>
        <w:tc>
          <w:tcPr>
            <w:tcW w:w="0" w:type="auto"/>
            <w:noWrap/>
            <w:vAlign w:val="center"/>
          </w:tcPr>
          <w:p w14:paraId="5535203E" w14:textId="77777777" w:rsidR="0013576C" w:rsidRPr="00103DDB" w:rsidRDefault="0013576C">
            <w:pPr>
              <w:jc w:val="right"/>
              <w:rPr>
                <w:rFonts w:ascii="Arial" w:hAnsi="Arial" w:cs="Arial"/>
                <w:color w:val="000000"/>
                <w:lang w:val="en-GB"/>
              </w:rPr>
            </w:pPr>
          </w:p>
        </w:tc>
        <w:tc>
          <w:tcPr>
            <w:tcW w:w="0" w:type="auto"/>
            <w:noWrap/>
            <w:vAlign w:val="center"/>
          </w:tcPr>
          <w:p w14:paraId="7222D249" w14:textId="77777777" w:rsidR="0013576C" w:rsidRPr="00103DDB" w:rsidRDefault="0013576C">
            <w:pPr>
              <w:jc w:val="right"/>
              <w:rPr>
                <w:rFonts w:ascii="Arial" w:hAnsi="Arial" w:cs="Arial"/>
                <w:color w:val="000000"/>
                <w:lang w:val="en-GB"/>
              </w:rPr>
            </w:pPr>
          </w:p>
        </w:tc>
        <w:tc>
          <w:tcPr>
            <w:tcW w:w="0" w:type="auto"/>
            <w:noWrap/>
            <w:vAlign w:val="center"/>
          </w:tcPr>
          <w:p w14:paraId="3CEA4164" w14:textId="77777777" w:rsidR="0013576C" w:rsidRPr="00103DDB" w:rsidRDefault="0013576C">
            <w:pPr>
              <w:jc w:val="right"/>
              <w:rPr>
                <w:rFonts w:ascii="Arial" w:hAnsi="Arial" w:cs="Arial"/>
                <w:color w:val="000000"/>
                <w:lang w:val="en-GB"/>
              </w:rPr>
            </w:pPr>
          </w:p>
        </w:tc>
        <w:tc>
          <w:tcPr>
            <w:tcW w:w="0" w:type="auto"/>
            <w:noWrap/>
            <w:vAlign w:val="center"/>
          </w:tcPr>
          <w:p w14:paraId="01DB715F" w14:textId="77777777" w:rsidR="0013576C" w:rsidRPr="00103DDB" w:rsidRDefault="0013576C">
            <w:pPr>
              <w:jc w:val="right"/>
              <w:rPr>
                <w:rFonts w:ascii="Arial" w:hAnsi="Arial" w:cs="Arial"/>
                <w:color w:val="000000"/>
                <w:lang w:val="en-GB"/>
              </w:rPr>
            </w:pPr>
          </w:p>
        </w:tc>
        <w:tc>
          <w:tcPr>
            <w:tcW w:w="0" w:type="auto"/>
            <w:noWrap/>
            <w:vAlign w:val="center"/>
          </w:tcPr>
          <w:p w14:paraId="5A990D65" w14:textId="77777777" w:rsidR="0013576C" w:rsidRPr="00103DDB" w:rsidRDefault="0013576C">
            <w:pPr>
              <w:jc w:val="right"/>
              <w:rPr>
                <w:rFonts w:ascii="Arial" w:hAnsi="Arial" w:cs="Arial"/>
                <w:color w:val="000000"/>
                <w:lang w:val="en-GB"/>
              </w:rPr>
            </w:pPr>
          </w:p>
        </w:tc>
        <w:tc>
          <w:tcPr>
            <w:tcW w:w="0" w:type="auto"/>
            <w:noWrap/>
            <w:vAlign w:val="center"/>
          </w:tcPr>
          <w:p w14:paraId="3CA3CB43" w14:textId="77777777" w:rsidR="0013576C" w:rsidRPr="00103DDB" w:rsidRDefault="0013576C">
            <w:pPr>
              <w:jc w:val="right"/>
              <w:rPr>
                <w:rFonts w:ascii="Arial" w:hAnsi="Arial" w:cs="Arial"/>
                <w:color w:val="000000"/>
                <w:lang w:val="en-GB"/>
              </w:rPr>
            </w:pPr>
          </w:p>
        </w:tc>
        <w:tc>
          <w:tcPr>
            <w:tcW w:w="0" w:type="auto"/>
            <w:noWrap/>
            <w:vAlign w:val="center"/>
          </w:tcPr>
          <w:p w14:paraId="72B9A593" w14:textId="77777777" w:rsidR="0013576C" w:rsidRPr="00103DDB" w:rsidRDefault="0013576C">
            <w:pPr>
              <w:jc w:val="right"/>
              <w:rPr>
                <w:rFonts w:ascii="Arial" w:hAnsi="Arial" w:cs="Arial"/>
                <w:color w:val="000000"/>
                <w:lang w:val="en-GB"/>
              </w:rPr>
            </w:pPr>
          </w:p>
        </w:tc>
        <w:tc>
          <w:tcPr>
            <w:tcW w:w="0" w:type="auto"/>
            <w:noWrap/>
            <w:vAlign w:val="center"/>
          </w:tcPr>
          <w:p w14:paraId="5711E93E" w14:textId="77777777" w:rsidR="0013576C" w:rsidRPr="00103DDB" w:rsidRDefault="0013576C">
            <w:pPr>
              <w:jc w:val="right"/>
              <w:rPr>
                <w:rFonts w:ascii="Arial" w:hAnsi="Arial" w:cs="Arial"/>
                <w:color w:val="000000"/>
                <w:lang w:val="en-GB"/>
              </w:rPr>
            </w:pPr>
          </w:p>
        </w:tc>
      </w:tr>
      <w:tr w:rsidR="0013576C" w:rsidRPr="00103DDB" w14:paraId="3E48FB36" w14:textId="77777777" w:rsidTr="005D3D57">
        <w:trPr>
          <w:trHeight w:val="113"/>
          <w:jc w:val="center"/>
        </w:trPr>
        <w:tc>
          <w:tcPr>
            <w:tcW w:w="0" w:type="auto"/>
            <w:noWrap/>
            <w:vAlign w:val="center"/>
            <w:hideMark/>
          </w:tcPr>
          <w:p w14:paraId="2BC321BB" w14:textId="77777777" w:rsidR="0013576C" w:rsidRPr="00103DDB" w:rsidRDefault="0013576C">
            <w:pPr>
              <w:rPr>
                <w:rFonts w:ascii="Arial" w:hAnsi="Arial" w:cs="Arial"/>
                <w:color w:val="000000"/>
                <w:lang w:val="en-GB"/>
              </w:rPr>
            </w:pPr>
            <w:r w:rsidRPr="00103DDB">
              <w:rPr>
                <w:rFonts w:ascii="Arial" w:hAnsi="Arial" w:cs="Arial"/>
                <w:color w:val="000000"/>
                <w:lang w:val="en-GB"/>
              </w:rPr>
              <w:t>Foreign direct investment, net inflows (% of GDP)</w:t>
            </w:r>
          </w:p>
        </w:tc>
        <w:tc>
          <w:tcPr>
            <w:tcW w:w="0" w:type="auto"/>
            <w:noWrap/>
            <w:vAlign w:val="center"/>
            <w:hideMark/>
          </w:tcPr>
          <w:p w14:paraId="77F1C8D7" w14:textId="77777777" w:rsidR="0013576C" w:rsidRPr="00103DDB" w:rsidRDefault="0013576C">
            <w:pPr>
              <w:jc w:val="right"/>
              <w:rPr>
                <w:rFonts w:ascii="Arial" w:hAnsi="Arial" w:cs="Arial"/>
                <w:color w:val="000000"/>
                <w:lang w:val="en-GB"/>
              </w:rPr>
            </w:pPr>
            <w:r w:rsidRPr="00103DDB">
              <w:rPr>
                <w:rFonts w:ascii="Arial" w:hAnsi="Arial" w:cs="Arial"/>
                <w:color w:val="000000"/>
                <w:lang w:val="en-GB"/>
              </w:rPr>
              <w:t>4.9</w:t>
            </w:r>
          </w:p>
        </w:tc>
        <w:tc>
          <w:tcPr>
            <w:tcW w:w="0" w:type="auto"/>
            <w:noWrap/>
            <w:vAlign w:val="center"/>
            <w:hideMark/>
          </w:tcPr>
          <w:p w14:paraId="11B2CC01" w14:textId="77777777" w:rsidR="0013576C" w:rsidRPr="00103DDB" w:rsidRDefault="0013576C">
            <w:pPr>
              <w:jc w:val="right"/>
              <w:rPr>
                <w:rFonts w:ascii="Arial" w:hAnsi="Arial" w:cs="Arial"/>
                <w:color w:val="000000"/>
                <w:lang w:val="en-GB"/>
              </w:rPr>
            </w:pPr>
            <w:r w:rsidRPr="00103DDB">
              <w:rPr>
                <w:rFonts w:ascii="Arial" w:hAnsi="Arial" w:cs="Arial"/>
                <w:color w:val="000000"/>
                <w:lang w:val="en-GB"/>
              </w:rPr>
              <w:t>3.9</w:t>
            </w:r>
          </w:p>
        </w:tc>
        <w:tc>
          <w:tcPr>
            <w:tcW w:w="0" w:type="auto"/>
            <w:noWrap/>
            <w:vAlign w:val="center"/>
            <w:hideMark/>
          </w:tcPr>
          <w:p w14:paraId="13490B6C" w14:textId="77777777" w:rsidR="0013576C" w:rsidRPr="00103DDB" w:rsidRDefault="0013576C">
            <w:pPr>
              <w:jc w:val="right"/>
              <w:rPr>
                <w:rFonts w:ascii="Arial" w:hAnsi="Arial" w:cs="Arial"/>
                <w:color w:val="000000"/>
                <w:lang w:val="en-GB"/>
              </w:rPr>
            </w:pPr>
            <w:r w:rsidRPr="00103DDB">
              <w:rPr>
                <w:rFonts w:ascii="Arial" w:hAnsi="Arial" w:cs="Arial"/>
                <w:color w:val="000000"/>
                <w:lang w:val="en-GB"/>
              </w:rPr>
              <w:t>3.7</w:t>
            </w:r>
          </w:p>
        </w:tc>
        <w:tc>
          <w:tcPr>
            <w:tcW w:w="0" w:type="auto"/>
            <w:noWrap/>
            <w:vAlign w:val="center"/>
            <w:hideMark/>
          </w:tcPr>
          <w:p w14:paraId="7447E587" w14:textId="77777777" w:rsidR="0013576C" w:rsidRPr="00103DDB" w:rsidRDefault="0013576C">
            <w:pPr>
              <w:jc w:val="right"/>
              <w:rPr>
                <w:rFonts w:ascii="Arial" w:hAnsi="Arial" w:cs="Arial"/>
                <w:color w:val="000000"/>
                <w:lang w:val="en-GB"/>
              </w:rPr>
            </w:pPr>
            <w:r w:rsidRPr="00103DDB">
              <w:rPr>
                <w:rFonts w:ascii="Arial" w:hAnsi="Arial" w:cs="Arial"/>
                <w:color w:val="000000"/>
                <w:lang w:val="en-GB"/>
              </w:rPr>
              <w:t>3.7</w:t>
            </w:r>
          </w:p>
        </w:tc>
        <w:tc>
          <w:tcPr>
            <w:tcW w:w="0" w:type="auto"/>
            <w:noWrap/>
            <w:vAlign w:val="center"/>
            <w:hideMark/>
          </w:tcPr>
          <w:p w14:paraId="053D6E33" w14:textId="77777777" w:rsidR="0013576C" w:rsidRPr="00103DDB" w:rsidRDefault="0013576C">
            <w:pPr>
              <w:jc w:val="right"/>
              <w:rPr>
                <w:rFonts w:ascii="Arial" w:hAnsi="Arial" w:cs="Arial"/>
                <w:color w:val="000000"/>
                <w:lang w:val="en-GB"/>
              </w:rPr>
            </w:pPr>
            <w:r w:rsidRPr="00103DDB">
              <w:rPr>
                <w:rFonts w:ascii="Arial" w:hAnsi="Arial" w:cs="Arial"/>
                <w:color w:val="000000"/>
                <w:lang w:val="en-GB"/>
              </w:rPr>
              <w:t>3.4</w:t>
            </w:r>
          </w:p>
        </w:tc>
        <w:tc>
          <w:tcPr>
            <w:tcW w:w="0" w:type="auto"/>
            <w:noWrap/>
            <w:vAlign w:val="center"/>
            <w:hideMark/>
          </w:tcPr>
          <w:p w14:paraId="20B93B46" w14:textId="77777777" w:rsidR="0013576C" w:rsidRPr="00103DDB" w:rsidRDefault="0013576C">
            <w:pPr>
              <w:jc w:val="right"/>
              <w:rPr>
                <w:rFonts w:ascii="Arial" w:hAnsi="Arial" w:cs="Arial"/>
                <w:color w:val="000000"/>
                <w:lang w:val="en-GB"/>
              </w:rPr>
            </w:pPr>
            <w:r w:rsidRPr="00103DDB">
              <w:rPr>
                <w:rFonts w:ascii="Arial" w:hAnsi="Arial" w:cs="Arial"/>
                <w:color w:val="000000"/>
                <w:lang w:val="en-GB"/>
              </w:rPr>
              <w:t>3.3</w:t>
            </w:r>
          </w:p>
        </w:tc>
        <w:tc>
          <w:tcPr>
            <w:tcW w:w="0" w:type="auto"/>
            <w:noWrap/>
            <w:vAlign w:val="center"/>
            <w:hideMark/>
          </w:tcPr>
          <w:p w14:paraId="7D23AE5D" w14:textId="77777777" w:rsidR="0013576C" w:rsidRPr="00103DDB" w:rsidRDefault="0013576C">
            <w:pPr>
              <w:jc w:val="right"/>
              <w:rPr>
                <w:rFonts w:ascii="Arial" w:hAnsi="Arial" w:cs="Arial"/>
                <w:color w:val="000000"/>
                <w:lang w:val="en-GB"/>
              </w:rPr>
            </w:pPr>
            <w:r w:rsidRPr="00103DDB">
              <w:rPr>
                <w:rFonts w:ascii="Arial" w:hAnsi="Arial" w:cs="Arial"/>
                <w:color w:val="000000"/>
                <w:lang w:val="en-GB"/>
              </w:rPr>
              <w:t>3.4</w:t>
            </w:r>
          </w:p>
        </w:tc>
        <w:tc>
          <w:tcPr>
            <w:tcW w:w="0" w:type="auto"/>
            <w:noWrap/>
            <w:vAlign w:val="center"/>
            <w:hideMark/>
          </w:tcPr>
          <w:p w14:paraId="5CE51FFE" w14:textId="77777777" w:rsidR="0013576C" w:rsidRPr="00103DDB" w:rsidRDefault="0013576C">
            <w:pPr>
              <w:jc w:val="right"/>
              <w:rPr>
                <w:rFonts w:ascii="Arial" w:hAnsi="Arial" w:cs="Arial"/>
                <w:color w:val="000000"/>
                <w:lang w:val="en-GB"/>
              </w:rPr>
            </w:pPr>
            <w:r w:rsidRPr="00103DDB">
              <w:rPr>
                <w:rFonts w:ascii="Arial" w:hAnsi="Arial" w:cs="Arial"/>
                <w:color w:val="000000"/>
                <w:lang w:val="en-GB"/>
              </w:rPr>
              <w:t>3.6</w:t>
            </w:r>
          </w:p>
        </w:tc>
        <w:tc>
          <w:tcPr>
            <w:tcW w:w="0" w:type="auto"/>
            <w:noWrap/>
            <w:vAlign w:val="center"/>
            <w:hideMark/>
          </w:tcPr>
          <w:p w14:paraId="5D093700" w14:textId="77777777" w:rsidR="0013576C" w:rsidRPr="00103DDB" w:rsidRDefault="0013576C">
            <w:pPr>
              <w:jc w:val="right"/>
              <w:rPr>
                <w:rFonts w:ascii="Arial" w:hAnsi="Arial" w:cs="Arial"/>
                <w:color w:val="000000"/>
                <w:lang w:val="en-GB"/>
              </w:rPr>
            </w:pPr>
            <w:r w:rsidRPr="00103DDB">
              <w:rPr>
                <w:rFonts w:ascii="Arial" w:hAnsi="Arial" w:cs="Arial"/>
                <w:color w:val="000000"/>
                <w:lang w:val="en-GB"/>
              </w:rPr>
              <w:t>8.7</w:t>
            </w:r>
          </w:p>
        </w:tc>
        <w:tc>
          <w:tcPr>
            <w:tcW w:w="0" w:type="auto"/>
            <w:noWrap/>
            <w:vAlign w:val="center"/>
            <w:hideMark/>
          </w:tcPr>
          <w:p w14:paraId="458FF223" w14:textId="77777777" w:rsidR="0013576C" w:rsidRPr="00103DDB" w:rsidRDefault="0013576C">
            <w:pPr>
              <w:jc w:val="right"/>
              <w:rPr>
                <w:rFonts w:ascii="Arial" w:hAnsi="Arial" w:cs="Arial"/>
                <w:color w:val="000000"/>
                <w:lang w:val="en-GB"/>
              </w:rPr>
            </w:pPr>
            <w:r w:rsidRPr="00103DDB">
              <w:rPr>
                <w:rFonts w:ascii="Arial" w:hAnsi="Arial" w:cs="Arial"/>
                <w:color w:val="000000"/>
                <w:lang w:val="en-GB"/>
              </w:rPr>
              <w:t>9.7</w:t>
            </w:r>
          </w:p>
        </w:tc>
      </w:tr>
      <w:tr w:rsidR="0013576C" w:rsidRPr="00103DDB" w14:paraId="0C7C6C90" w14:textId="77777777" w:rsidTr="005D3D57">
        <w:trPr>
          <w:trHeight w:val="113"/>
          <w:jc w:val="center"/>
        </w:trPr>
        <w:tc>
          <w:tcPr>
            <w:tcW w:w="0" w:type="auto"/>
            <w:noWrap/>
            <w:vAlign w:val="center"/>
            <w:hideMark/>
          </w:tcPr>
          <w:p w14:paraId="10DA1FEF" w14:textId="7013FCA5" w:rsidR="0013576C" w:rsidRPr="00103DDB" w:rsidRDefault="0013576C">
            <w:pPr>
              <w:rPr>
                <w:rFonts w:ascii="Arial" w:hAnsi="Arial" w:cs="Arial"/>
                <w:color w:val="000000"/>
                <w:lang w:val="en-GB"/>
              </w:rPr>
            </w:pPr>
            <w:r w:rsidRPr="00103DDB">
              <w:rPr>
                <w:rFonts w:ascii="Arial" w:hAnsi="Arial" w:cs="Arial"/>
                <w:color w:val="000000"/>
                <w:lang w:val="en-GB"/>
              </w:rPr>
              <w:t>Portfolio equity, net inflows (current US$)</w:t>
            </w:r>
          </w:p>
        </w:tc>
        <w:tc>
          <w:tcPr>
            <w:tcW w:w="0" w:type="auto"/>
            <w:noWrap/>
            <w:vAlign w:val="center"/>
            <w:hideMark/>
          </w:tcPr>
          <w:p w14:paraId="1B07DB15" w14:textId="77777777" w:rsidR="0013576C" w:rsidRPr="00103DDB" w:rsidRDefault="0013576C">
            <w:pPr>
              <w:rPr>
                <w:rFonts w:ascii="Arial" w:hAnsi="Arial" w:cs="Arial"/>
                <w:color w:val="000000"/>
                <w:lang w:val="en-GB"/>
              </w:rPr>
            </w:pPr>
          </w:p>
        </w:tc>
        <w:tc>
          <w:tcPr>
            <w:tcW w:w="0" w:type="auto"/>
            <w:noWrap/>
            <w:vAlign w:val="center"/>
            <w:hideMark/>
          </w:tcPr>
          <w:p w14:paraId="176C8481" w14:textId="77777777" w:rsidR="0013576C" w:rsidRPr="00103DDB" w:rsidRDefault="0013576C">
            <w:pPr>
              <w:rPr>
                <w:rFonts w:ascii="Arial" w:hAnsi="Arial" w:cs="Arial"/>
                <w:lang w:val="en-GB" w:eastAsia="en-CA"/>
              </w:rPr>
            </w:pPr>
          </w:p>
        </w:tc>
        <w:tc>
          <w:tcPr>
            <w:tcW w:w="0" w:type="auto"/>
            <w:noWrap/>
            <w:vAlign w:val="center"/>
            <w:hideMark/>
          </w:tcPr>
          <w:p w14:paraId="39241477" w14:textId="77777777" w:rsidR="0013576C" w:rsidRPr="00103DDB" w:rsidRDefault="0013576C">
            <w:pPr>
              <w:rPr>
                <w:rFonts w:ascii="Arial" w:hAnsi="Arial" w:cs="Arial"/>
                <w:lang w:val="en-GB" w:eastAsia="en-CA"/>
              </w:rPr>
            </w:pPr>
          </w:p>
        </w:tc>
        <w:tc>
          <w:tcPr>
            <w:tcW w:w="0" w:type="auto"/>
            <w:noWrap/>
            <w:vAlign w:val="center"/>
            <w:hideMark/>
          </w:tcPr>
          <w:p w14:paraId="3831FDA3" w14:textId="77777777" w:rsidR="0013576C" w:rsidRPr="00103DDB" w:rsidRDefault="0013576C">
            <w:pPr>
              <w:rPr>
                <w:rFonts w:ascii="Arial" w:hAnsi="Arial" w:cs="Arial"/>
                <w:lang w:val="en-GB" w:eastAsia="en-CA"/>
              </w:rPr>
            </w:pPr>
          </w:p>
        </w:tc>
        <w:tc>
          <w:tcPr>
            <w:tcW w:w="0" w:type="auto"/>
            <w:noWrap/>
            <w:vAlign w:val="center"/>
            <w:hideMark/>
          </w:tcPr>
          <w:p w14:paraId="70DC18F9" w14:textId="77777777" w:rsidR="0013576C" w:rsidRPr="00103DDB" w:rsidRDefault="0013576C">
            <w:pPr>
              <w:rPr>
                <w:rFonts w:ascii="Arial" w:hAnsi="Arial" w:cs="Arial"/>
                <w:lang w:val="en-GB" w:eastAsia="en-CA"/>
              </w:rPr>
            </w:pPr>
          </w:p>
        </w:tc>
        <w:tc>
          <w:tcPr>
            <w:tcW w:w="0" w:type="auto"/>
            <w:noWrap/>
            <w:vAlign w:val="center"/>
            <w:hideMark/>
          </w:tcPr>
          <w:p w14:paraId="46B70297" w14:textId="77777777" w:rsidR="0013576C" w:rsidRPr="00103DDB" w:rsidRDefault="0013576C">
            <w:pPr>
              <w:rPr>
                <w:rFonts w:ascii="Arial" w:hAnsi="Arial" w:cs="Arial"/>
                <w:lang w:val="en-GB" w:eastAsia="en-CA"/>
              </w:rPr>
            </w:pPr>
          </w:p>
        </w:tc>
        <w:tc>
          <w:tcPr>
            <w:tcW w:w="0" w:type="auto"/>
            <w:noWrap/>
            <w:vAlign w:val="center"/>
            <w:hideMark/>
          </w:tcPr>
          <w:p w14:paraId="75EB37B0" w14:textId="77777777" w:rsidR="0013576C" w:rsidRPr="00103DDB" w:rsidRDefault="0013576C">
            <w:pPr>
              <w:jc w:val="right"/>
              <w:rPr>
                <w:rFonts w:ascii="Arial" w:hAnsi="Arial" w:cs="Arial"/>
                <w:color w:val="000000"/>
                <w:lang w:val="en-GB" w:eastAsia="en-US"/>
              </w:rPr>
            </w:pPr>
            <w:r w:rsidRPr="00103DDB">
              <w:rPr>
                <w:rFonts w:ascii="Arial" w:hAnsi="Arial" w:cs="Arial"/>
                <w:color w:val="000000"/>
                <w:lang w:val="en-GB"/>
              </w:rPr>
              <w:t>115.0</w:t>
            </w:r>
          </w:p>
        </w:tc>
        <w:tc>
          <w:tcPr>
            <w:tcW w:w="0" w:type="auto"/>
            <w:noWrap/>
            <w:vAlign w:val="center"/>
            <w:hideMark/>
          </w:tcPr>
          <w:p w14:paraId="5BC45D29" w14:textId="77777777" w:rsidR="0013576C" w:rsidRPr="00103DDB" w:rsidRDefault="0013576C">
            <w:pPr>
              <w:jc w:val="right"/>
              <w:rPr>
                <w:rFonts w:ascii="Arial" w:hAnsi="Arial" w:cs="Arial"/>
                <w:color w:val="000000"/>
                <w:lang w:val="en-GB"/>
              </w:rPr>
            </w:pPr>
            <w:r w:rsidRPr="00103DDB">
              <w:rPr>
                <w:rFonts w:ascii="Arial" w:hAnsi="Arial" w:cs="Arial"/>
                <w:color w:val="000000"/>
                <w:lang w:val="en-GB"/>
              </w:rPr>
              <w:t>1,313.0</w:t>
            </w:r>
          </w:p>
        </w:tc>
        <w:tc>
          <w:tcPr>
            <w:tcW w:w="0" w:type="auto"/>
            <w:noWrap/>
            <w:vAlign w:val="center"/>
            <w:hideMark/>
          </w:tcPr>
          <w:p w14:paraId="1736E269" w14:textId="77777777" w:rsidR="0013576C" w:rsidRPr="00103DDB" w:rsidRDefault="0013576C">
            <w:pPr>
              <w:jc w:val="right"/>
              <w:rPr>
                <w:rFonts w:ascii="Arial" w:hAnsi="Arial" w:cs="Arial"/>
                <w:color w:val="000000"/>
                <w:lang w:val="en-GB"/>
              </w:rPr>
            </w:pPr>
            <w:r w:rsidRPr="00103DDB">
              <w:rPr>
                <w:rFonts w:ascii="Arial" w:hAnsi="Arial" w:cs="Arial"/>
                <w:color w:val="000000"/>
                <w:lang w:val="en-GB"/>
              </w:rPr>
              <w:t>6,243.0</w:t>
            </w:r>
          </w:p>
        </w:tc>
        <w:tc>
          <w:tcPr>
            <w:tcW w:w="0" w:type="auto"/>
            <w:noWrap/>
            <w:vAlign w:val="center"/>
            <w:hideMark/>
          </w:tcPr>
          <w:p w14:paraId="2F989AEE" w14:textId="60332033" w:rsidR="0013576C" w:rsidRPr="00103DDB" w:rsidRDefault="00D44643">
            <w:pPr>
              <w:jc w:val="right"/>
              <w:rPr>
                <w:rFonts w:ascii="Arial" w:hAnsi="Arial" w:cs="Arial"/>
                <w:color w:val="000000"/>
                <w:lang w:val="en-GB"/>
              </w:rPr>
            </w:pPr>
            <w:r w:rsidRPr="00103DDB">
              <w:rPr>
                <w:rFonts w:ascii="Arial" w:hAnsi="Arial" w:cs="Arial"/>
                <w:color w:val="000000"/>
                <w:lang w:val="en-GB"/>
              </w:rPr>
              <w:t>–</w:t>
            </w:r>
            <w:r w:rsidR="0013576C" w:rsidRPr="00103DDB">
              <w:rPr>
                <w:rFonts w:ascii="Arial" w:hAnsi="Arial" w:cs="Arial"/>
                <w:color w:val="000000"/>
                <w:lang w:val="en-GB"/>
              </w:rPr>
              <w:t>578.0</w:t>
            </w:r>
          </w:p>
        </w:tc>
      </w:tr>
      <w:tr w:rsidR="0013576C" w:rsidRPr="00103DDB" w14:paraId="1908A2A8" w14:textId="77777777" w:rsidTr="005D3D57">
        <w:trPr>
          <w:trHeight w:val="113"/>
          <w:jc w:val="center"/>
        </w:trPr>
        <w:tc>
          <w:tcPr>
            <w:tcW w:w="0" w:type="auto"/>
            <w:noWrap/>
            <w:vAlign w:val="center"/>
            <w:hideMark/>
          </w:tcPr>
          <w:p w14:paraId="1C5D8A76" w14:textId="246726D6" w:rsidR="0013576C" w:rsidRPr="00103DDB" w:rsidRDefault="0013576C">
            <w:pPr>
              <w:rPr>
                <w:rFonts w:ascii="Arial" w:hAnsi="Arial" w:cs="Arial"/>
                <w:color w:val="000000"/>
                <w:lang w:val="en-GB"/>
              </w:rPr>
            </w:pPr>
            <w:r w:rsidRPr="00103DDB">
              <w:rPr>
                <w:rFonts w:ascii="Arial" w:hAnsi="Arial" w:cs="Arial"/>
                <w:color w:val="000000"/>
                <w:lang w:val="en-GB"/>
              </w:rPr>
              <w:t>Market cap of listed domestic companies (% of GDP)</w:t>
            </w:r>
          </w:p>
        </w:tc>
        <w:tc>
          <w:tcPr>
            <w:tcW w:w="0" w:type="auto"/>
            <w:noWrap/>
            <w:vAlign w:val="center"/>
            <w:hideMark/>
          </w:tcPr>
          <w:p w14:paraId="4B95828B" w14:textId="77777777" w:rsidR="0013576C" w:rsidRPr="00103DDB" w:rsidRDefault="0013576C">
            <w:pPr>
              <w:rPr>
                <w:rFonts w:ascii="Arial" w:hAnsi="Arial" w:cs="Arial"/>
                <w:color w:val="000000"/>
                <w:lang w:val="en-GB"/>
              </w:rPr>
            </w:pPr>
          </w:p>
        </w:tc>
        <w:tc>
          <w:tcPr>
            <w:tcW w:w="0" w:type="auto"/>
            <w:noWrap/>
            <w:vAlign w:val="center"/>
            <w:hideMark/>
          </w:tcPr>
          <w:p w14:paraId="41BDF8BF" w14:textId="77777777" w:rsidR="0013576C" w:rsidRPr="00103DDB" w:rsidRDefault="0013576C">
            <w:pPr>
              <w:rPr>
                <w:rFonts w:ascii="Arial" w:hAnsi="Arial" w:cs="Arial"/>
                <w:lang w:val="en-GB" w:eastAsia="en-CA"/>
              </w:rPr>
            </w:pPr>
          </w:p>
        </w:tc>
        <w:tc>
          <w:tcPr>
            <w:tcW w:w="0" w:type="auto"/>
            <w:noWrap/>
            <w:vAlign w:val="center"/>
            <w:hideMark/>
          </w:tcPr>
          <w:p w14:paraId="2FFC8098" w14:textId="77777777" w:rsidR="0013576C" w:rsidRPr="00103DDB" w:rsidRDefault="0013576C">
            <w:pPr>
              <w:rPr>
                <w:rFonts w:ascii="Arial" w:hAnsi="Arial" w:cs="Arial"/>
                <w:lang w:val="en-GB" w:eastAsia="en-CA"/>
              </w:rPr>
            </w:pPr>
          </w:p>
        </w:tc>
        <w:tc>
          <w:tcPr>
            <w:tcW w:w="0" w:type="auto"/>
            <w:noWrap/>
            <w:vAlign w:val="center"/>
            <w:hideMark/>
          </w:tcPr>
          <w:p w14:paraId="04DE0C75" w14:textId="77777777" w:rsidR="0013576C" w:rsidRPr="00103DDB" w:rsidRDefault="0013576C">
            <w:pPr>
              <w:rPr>
                <w:rFonts w:ascii="Arial" w:hAnsi="Arial" w:cs="Arial"/>
                <w:lang w:val="en-GB" w:eastAsia="en-CA"/>
              </w:rPr>
            </w:pPr>
          </w:p>
        </w:tc>
        <w:tc>
          <w:tcPr>
            <w:tcW w:w="0" w:type="auto"/>
            <w:noWrap/>
            <w:vAlign w:val="center"/>
            <w:hideMark/>
          </w:tcPr>
          <w:p w14:paraId="559091AF" w14:textId="77777777" w:rsidR="0013576C" w:rsidRPr="00103DDB" w:rsidRDefault="0013576C">
            <w:pPr>
              <w:rPr>
                <w:rFonts w:ascii="Arial" w:hAnsi="Arial" w:cs="Arial"/>
                <w:lang w:val="en-GB" w:eastAsia="en-CA"/>
              </w:rPr>
            </w:pPr>
          </w:p>
        </w:tc>
        <w:tc>
          <w:tcPr>
            <w:tcW w:w="0" w:type="auto"/>
            <w:noWrap/>
            <w:vAlign w:val="center"/>
            <w:hideMark/>
          </w:tcPr>
          <w:p w14:paraId="2631D4B9" w14:textId="77777777" w:rsidR="0013576C" w:rsidRPr="00103DDB" w:rsidRDefault="0013576C">
            <w:pPr>
              <w:rPr>
                <w:rFonts w:ascii="Arial" w:hAnsi="Arial" w:cs="Arial"/>
                <w:lang w:val="en-GB" w:eastAsia="en-CA"/>
              </w:rPr>
            </w:pPr>
          </w:p>
        </w:tc>
        <w:tc>
          <w:tcPr>
            <w:tcW w:w="0" w:type="auto"/>
            <w:noWrap/>
            <w:vAlign w:val="center"/>
            <w:hideMark/>
          </w:tcPr>
          <w:p w14:paraId="60BA7121" w14:textId="77777777" w:rsidR="0013576C" w:rsidRPr="00103DDB" w:rsidRDefault="0013576C">
            <w:pPr>
              <w:rPr>
                <w:rFonts w:ascii="Arial" w:hAnsi="Arial" w:cs="Arial"/>
                <w:lang w:val="en-GB" w:eastAsia="en-CA"/>
              </w:rPr>
            </w:pPr>
          </w:p>
        </w:tc>
        <w:tc>
          <w:tcPr>
            <w:tcW w:w="0" w:type="auto"/>
            <w:noWrap/>
            <w:vAlign w:val="center"/>
            <w:hideMark/>
          </w:tcPr>
          <w:p w14:paraId="6B92FA78" w14:textId="77777777" w:rsidR="0013576C" w:rsidRPr="00103DDB" w:rsidRDefault="0013576C">
            <w:pPr>
              <w:rPr>
                <w:rFonts w:ascii="Arial" w:hAnsi="Arial" w:cs="Arial"/>
                <w:lang w:val="en-GB" w:eastAsia="en-CA"/>
              </w:rPr>
            </w:pPr>
          </w:p>
        </w:tc>
        <w:tc>
          <w:tcPr>
            <w:tcW w:w="0" w:type="auto"/>
            <w:noWrap/>
            <w:vAlign w:val="center"/>
            <w:hideMark/>
          </w:tcPr>
          <w:p w14:paraId="009FB4A0" w14:textId="77777777" w:rsidR="0013576C" w:rsidRPr="00103DDB" w:rsidRDefault="0013576C">
            <w:pPr>
              <w:rPr>
                <w:rFonts w:ascii="Arial" w:hAnsi="Arial" w:cs="Arial"/>
                <w:lang w:val="en-GB" w:eastAsia="en-CA"/>
              </w:rPr>
            </w:pPr>
          </w:p>
        </w:tc>
        <w:tc>
          <w:tcPr>
            <w:tcW w:w="0" w:type="auto"/>
            <w:noWrap/>
            <w:vAlign w:val="center"/>
            <w:hideMark/>
          </w:tcPr>
          <w:p w14:paraId="09E10850" w14:textId="77777777" w:rsidR="0013576C" w:rsidRPr="00103DDB" w:rsidRDefault="0013576C">
            <w:pPr>
              <w:jc w:val="right"/>
              <w:rPr>
                <w:rFonts w:ascii="Arial" w:hAnsi="Arial" w:cs="Arial"/>
                <w:color w:val="000000"/>
                <w:lang w:val="en-GB" w:eastAsia="en-US"/>
              </w:rPr>
            </w:pPr>
            <w:r w:rsidRPr="00103DDB">
              <w:rPr>
                <w:rFonts w:ascii="Arial" w:hAnsi="Arial" w:cs="Arial"/>
                <w:color w:val="000000"/>
                <w:lang w:val="en-GB"/>
              </w:rPr>
              <w:t>9.6</w:t>
            </w:r>
          </w:p>
        </w:tc>
      </w:tr>
      <w:tr w:rsidR="0013576C" w:rsidRPr="00103DDB" w14:paraId="223B0B62" w14:textId="77777777" w:rsidTr="005D3D57">
        <w:trPr>
          <w:trHeight w:val="113"/>
          <w:jc w:val="center"/>
        </w:trPr>
        <w:tc>
          <w:tcPr>
            <w:tcW w:w="0" w:type="auto"/>
            <w:noWrap/>
            <w:vAlign w:val="center"/>
            <w:hideMark/>
          </w:tcPr>
          <w:p w14:paraId="7B54D1D8" w14:textId="77777777" w:rsidR="0013576C" w:rsidRPr="00103DDB" w:rsidRDefault="0013576C">
            <w:pPr>
              <w:rPr>
                <w:rFonts w:ascii="Arial" w:hAnsi="Arial" w:cs="Arial"/>
                <w:color w:val="000000"/>
                <w:lang w:val="en-GB"/>
              </w:rPr>
            </w:pPr>
            <w:r w:rsidRPr="00103DDB">
              <w:rPr>
                <w:rFonts w:ascii="Arial" w:hAnsi="Arial" w:cs="Arial"/>
                <w:color w:val="000000"/>
                <w:lang w:val="en-GB"/>
              </w:rPr>
              <w:t>Stocks traded, total value (% of GDP)</w:t>
            </w:r>
          </w:p>
        </w:tc>
        <w:tc>
          <w:tcPr>
            <w:tcW w:w="0" w:type="auto"/>
            <w:noWrap/>
            <w:vAlign w:val="center"/>
            <w:hideMark/>
          </w:tcPr>
          <w:p w14:paraId="0003469E" w14:textId="77777777" w:rsidR="0013576C" w:rsidRPr="00103DDB" w:rsidRDefault="0013576C">
            <w:pPr>
              <w:rPr>
                <w:rFonts w:ascii="Arial" w:hAnsi="Arial" w:cs="Arial"/>
                <w:color w:val="000000"/>
                <w:lang w:val="en-GB"/>
              </w:rPr>
            </w:pPr>
          </w:p>
        </w:tc>
        <w:tc>
          <w:tcPr>
            <w:tcW w:w="0" w:type="auto"/>
            <w:noWrap/>
            <w:vAlign w:val="center"/>
            <w:hideMark/>
          </w:tcPr>
          <w:p w14:paraId="18B8CFED" w14:textId="77777777" w:rsidR="0013576C" w:rsidRPr="00103DDB" w:rsidRDefault="0013576C">
            <w:pPr>
              <w:rPr>
                <w:rFonts w:ascii="Arial" w:hAnsi="Arial" w:cs="Arial"/>
                <w:lang w:val="en-GB" w:eastAsia="en-CA"/>
              </w:rPr>
            </w:pPr>
          </w:p>
        </w:tc>
        <w:tc>
          <w:tcPr>
            <w:tcW w:w="0" w:type="auto"/>
            <w:noWrap/>
            <w:vAlign w:val="center"/>
            <w:hideMark/>
          </w:tcPr>
          <w:p w14:paraId="050D773E" w14:textId="77777777" w:rsidR="0013576C" w:rsidRPr="00103DDB" w:rsidRDefault="0013576C">
            <w:pPr>
              <w:rPr>
                <w:rFonts w:ascii="Arial" w:hAnsi="Arial" w:cs="Arial"/>
                <w:lang w:val="en-GB" w:eastAsia="en-CA"/>
              </w:rPr>
            </w:pPr>
          </w:p>
        </w:tc>
        <w:tc>
          <w:tcPr>
            <w:tcW w:w="0" w:type="auto"/>
            <w:noWrap/>
            <w:vAlign w:val="center"/>
            <w:hideMark/>
          </w:tcPr>
          <w:p w14:paraId="70A4330A" w14:textId="77777777" w:rsidR="0013576C" w:rsidRPr="00103DDB" w:rsidRDefault="0013576C">
            <w:pPr>
              <w:rPr>
                <w:rFonts w:ascii="Arial" w:hAnsi="Arial" w:cs="Arial"/>
                <w:lang w:val="en-GB" w:eastAsia="en-CA"/>
              </w:rPr>
            </w:pPr>
          </w:p>
        </w:tc>
        <w:tc>
          <w:tcPr>
            <w:tcW w:w="0" w:type="auto"/>
            <w:noWrap/>
            <w:vAlign w:val="center"/>
            <w:hideMark/>
          </w:tcPr>
          <w:p w14:paraId="664700F4" w14:textId="77777777" w:rsidR="0013576C" w:rsidRPr="00103DDB" w:rsidRDefault="0013576C">
            <w:pPr>
              <w:rPr>
                <w:rFonts w:ascii="Arial" w:hAnsi="Arial" w:cs="Arial"/>
                <w:lang w:val="en-GB" w:eastAsia="en-CA"/>
              </w:rPr>
            </w:pPr>
          </w:p>
        </w:tc>
        <w:tc>
          <w:tcPr>
            <w:tcW w:w="0" w:type="auto"/>
            <w:noWrap/>
            <w:vAlign w:val="center"/>
            <w:hideMark/>
          </w:tcPr>
          <w:p w14:paraId="4CFC6BAE" w14:textId="77777777" w:rsidR="0013576C" w:rsidRPr="00103DDB" w:rsidRDefault="0013576C">
            <w:pPr>
              <w:rPr>
                <w:rFonts w:ascii="Arial" w:hAnsi="Arial" w:cs="Arial"/>
                <w:lang w:val="en-GB" w:eastAsia="en-CA"/>
              </w:rPr>
            </w:pPr>
          </w:p>
        </w:tc>
        <w:tc>
          <w:tcPr>
            <w:tcW w:w="0" w:type="auto"/>
            <w:noWrap/>
            <w:vAlign w:val="center"/>
            <w:hideMark/>
          </w:tcPr>
          <w:p w14:paraId="0ABBC04A" w14:textId="77777777" w:rsidR="0013576C" w:rsidRPr="00103DDB" w:rsidRDefault="0013576C">
            <w:pPr>
              <w:rPr>
                <w:rFonts w:ascii="Arial" w:hAnsi="Arial" w:cs="Arial"/>
                <w:lang w:val="en-GB" w:eastAsia="en-CA"/>
              </w:rPr>
            </w:pPr>
          </w:p>
        </w:tc>
        <w:tc>
          <w:tcPr>
            <w:tcW w:w="0" w:type="auto"/>
            <w:noWrap/>
            <w:vAlign w:val="center"/>
            <w:hideMark/>
          </w:tcPr>
          <w:p w14:paraId="5FCC94B2" w14:textId="77777777" w:rsidR="0013576C" w:rsidRPr="00103DDB" w:rsidRDefault="0013576C">
            <w:pPr>
              <w:rPr>
                <w:rFonts w:ascii="Arial" w:hAnsi="Arial" w:cs="Arial"/>
                <w:lang w:val="en-GB" w:eastAsia="en-CA"/>
              </w:rPr>
            </w:pPr>
          </w:p>
        </w:tc>
        <w:tc>
          <w:tcPr>
            <w:tcW w:w="0" w:type="auto"/>
            <w:noWrap/>
            <w:vAlign w:val="center"/>
            <w:hideMark/>
          </w:tcPr>
          <w:p w14:paraId="46716B3F" w14:textId="77777777" w:rsidR="0013576C" w:rsidRPr="00103DDB" w:rsidRDefault="0013576C">
            <w:pPr>
              <w:rPr>
                <w:rFonts w:ascii="Arial" w:hAnsi="Arial" w:cs="Arial"/>
                <w:lang w:val="en-GB" w:eastAsia="en-CA"/>
              </w:rPr>
            </w:pPr>
          </w:p>
        </w:tc>
        <w:tc>
          <w:tcPr>
            <w:tcW w:w="0" w:type="auto"/>
            <w:noWrap/>
            <w:vAlign w:val="center"/>
            <w:hideMark/>
          </w:tcPr>
          <w:p w14:paraId="082C3006" w14:textId="77777777" w:rsidR="0013576C" w:rsidRPr="00103DDB" w:rsidRDefault="0013576C">
            <w:pPr>
              <w:jc w:val="right"/>
              <w:rPr>
                <w:rFonts w:ascii="Arial" w:hAnsi="Arial" w:cs="Arial"/>
                <w:color w:val="000000"/>
                <w:lang w:val="en-GB" w:eastAsia="en-US"/>
              </w:rPr>
            </w:pPr>
            <w:r w:rsidRPr="00103DDB">
              <w:rPr>
                <w:rFonts w:ascii="Arial" w:hAnsi="Arial" w:cs="Arial"/>
                <w:color w:val="000000"/>
                <w:lang w:val="en-GB"/>
              </w:rPr>
              <w:t>7.1</w:t>
            </w:r>
          </w:p>
        </w:tc>
      </w:tr>
    </w:tbl>
    <w:p w14:paraId="4E3060BA" w14:textId="77777777" w:rsidR="0013576C" w:rsidRPr="00103DDB" w:rsidRDefault="0013576C" w:rsidP="0013576C">
      <w:pPr>
        <w:rPr>
          <w:sz w:val="18"/>
          <w:szCs w:val="18"/>
          <w:lang w:val="en-GB"/>
        </w:rPr>
      </w:pPr>
    </w:p>
    <w:p w14:paraId="17A8C9DA" w14:textId="49D02DA4" w:rsidR="0066396D" w:rsidRPr="00103DDB" w:rsidRDefault="0066396D" w:rsidP="005D3D57">
      <w:pPr>
        <w:pStyle w:val="Footnote"/>
        <w:jc w:val="left"/>
        <w:rPr>
          <w:lang w:val="en-GB"/>
        </w:rPr>
      </w:pPr>
      <w:r w:rsidRPr="00103DDB">
        <w:rPr>
          <w:lang w:val="en-GB"/>
        </w:rPr>
        <w:t>Not</w:t>
      </w:r>
      <w:r w:rsidR="00663F6C" w:rsidRPr="00103DDB">
        <w:rPr>
          <w:lang w:val="en-GB"/>
        </w:rPr>
        <w:t>e: GDP = gross domestic product</w:t>
      </w:r>
    </w:p>
    <w:p w14:paraId="311F40CE" w14:textId="77777777" w:rsidR="00094DC6" w:rsidRPr="00103DDB" w:rsidRDefault="0013576C" w:rsidP="005D3D57">
      <w:pPr>
        <w:pStyle w:val="Footnote"/>
        <w:jc w:val="left"/>
        <w:rPr>
          <w:lang w:val="en-GB"/>
        </w:rPr>
        <w:sectPr w:rsidR="00094DC6" w:rsidRPr="00103DDB" w:rsidSect="0013576C">
          <w:headerReference w:type="default" r:id="rId14"/>
          <w:endnotePr>
            <w:numFmt w:val="decimal"/>
          </w:endnotePr>
          <w:pgSz w:w="15840" w:h="12240" w:orient="landscape"/>
          <w:pgMar w:top="1440" w:right="1440" w:bottom="1440" w:left="1440" w:header="1080" w:footer="720" w:gutter="0"/>
          <w:cols w:space="720"/>
          <w:docGrid w:linePitch="360"/>
        </w:sectPr>
      </w:pPr>
      <w:r w:rsidRPr="00103DDB">
        <w:rPr>
          <w:lang w:val="en-GB"/>
        </w:rPr>
        <w:t>Source:</w:t>
      </w:r>
      <w:r w:rsidR="00F425C2" w:rsidRPr="00103DDB">
        <w:rPr>
          <w:lang w:val="en-GB"/>
        </w:rPr>
        <w:t xml:space="preserve"> “</w:t>
      </w:r>
      <w:r w:rsidRPr="00103DDB">
        <w:rPr>
          <w:lang w:val="en-GB"/>
        </w:rPr>
        <w:t>World Development Indicators,</w:t>
      </w:r>
      <w:r w:rsidR="00F425C2" w:rsidRPr="00103DDB">
        <w:rPr>
          <w:lang w:val="en-GB"/>
        </w:rPr>
        <w:t>” The World Bank,</w:t>
      </w:r>
      <w:r w:rsidRPr="00103DDB">
        <w:rPr>
          <w:lang w:val="en-GB"/>
        </w:rPr>
        <w:t xml:space="preserve"> </w:t>
      </w:r>
      <w:r w:rsidR="00D37B53" w:rsidRPr="00103DDB">
        <w:rPr>
          <w:lang w:val="en-GB"/>
        </w:rPr>
        <w:t xml:space="preserve">accessed </w:t>
      </w:r>
      <w:r w:rsidR="00F425C2" w:rsidRPr="00103DDB">
        <w:rPr>
          <w:lang w:val="en-GB"/>
        </w:rPr>
        <w:t xml:space="preserve">September 6, 2016, </w:t>
      </w:r>
      <w:r w:rsidRPr="00103DDB">
        <w:rPr>
          <w:lang w:val="en-GB"/>
        </w:rPr>
        <w:t>http://data.worldbank.org/data-catalog/world-development-indicators.</w:t>
      </w:r>
    </w:p>
    <w:p w14:paraId="112F4EFC" w14:textId="77777777" w:rsidR="00094DC6" w:rsidRPr="00103DDB" w:rsidRDefault="00094DC6" w:rsidP="00094DC6">
      <w:pPr>
        <w:pStyle w:val="ExhibitHeading"/>
        <w:rPr>
          <w:lang w:val="en-GB"/>
        </w:rPr>
      </w:pPr>
      <w:r w:rsidRPr="00103DDB">
        <w:rPr>
          <w:lang w:val="en-GB"/>
        </w:rPr>
        <w:lastRenderedPageBreak/>
        <w:t>Exhibit 2: Mobile Phones and Consumer Electronics in Vietnam (2002–2008)</w:t>
      </w:r>
    </w:p>
    <w:p w14:paraId="5EF5DFE7" w14:textId="77777777" w:rsidR="00094DC6" w:rsidRPr="00103DDB" w:rsidRDefault="00094DC6" w:rsidP="00094DC6">
      <w:pPr>
        <w:pStyle w:val="Footnote"/>
        <w:rPr>
          <w:lang w:val="en-GB"/>
        </w:rPr>
      </w:pPr>
    </w:p>
    <w:tbl>
      <w:tblPr>
        <w:tblStyle w:val="TableGrid"/>
        <w:tblW w:w="0" w:type="auto"/>
        <w:jc w:val="center"/>
        <w:tblLook w:val="04A0" w:firstRow="1" w:lastRow="0" w:firstColumn="1" w:lastColumn="0" w:noHBand="0" w:noVBand="1"/>
      </w:tblPr>
      <w:tblGrid>
        <w:gridCol w:w="3429"/>
        <w:gridCol w:w="1273"/>
        <w:gridCol w:w="1273"/>
        <w:gridCol w:w="1273"/>
        <w:gridCol w:w="1273"/>
        <w:gridCol w:w="1273"/>
        <w:gridCol w:w="1273"/>
        <w:gridCol w:w="1273"/>
      </w:tblGrid>
      <w:tr w:rsidR="00094DC6" w:rsidRPr="00103DDB" w14:paraId="2244B24D" w14:textId="77777777" w:rsidTr="004D2B55">
        <w:trPr>
          <w:trHeight w:val="113"/>
          <w:jc w:val="center"/>
        </w:trPr>
        <w:tc>
          <w:tcPr>
            <w:tcW w:w="3429" w:type="dxa"/>
            <w:tcBorders>
              <w:top w:val="nil"/>
              <w:left w:val="nil"/>
            </w:tcBorders>
            <w:noWrap/>
            <w:vAlign w:val="center"/>
          </w:tcPr>
          <w:p w14:paraId="199B9044" w14:textId="77777777" w:rsidR="00094DC6" w:rsidRPr="00103DDB" w:rsidRDefault="00094DC6" w:rsidP="00094DC6">
            <w:pPr>
              <w:pStyle w:val="Footnote"/>
              <w:rPr>
                <w:b/>
                <w:sz w:val="20"/>
                <w:szCs w:val="20"/>
                <w:lang w:val="en-GB" w:eastAsia="en-US"/>
              </w:rPr>
            </w:pPr>
          </w:p>
        </w:tc>
        <w:tc>
          <w:tcPr>
            <w:tcW w:w="0" w:type="auto"/>
            <w:noWrap/>
            <w:vAlign w:val="center"/>
            <w:hideMark/>
          </w:tcPr>
          <w:p w14:paraId="7FFA3107" w14:textId="77777777" w:rsidR="00094DC6" w:rsidRPr="00103DDB" w:rsidRDefault="00094DC6" w:rsidP="00094DC6">
            <w:pPr>
              <w:pStyle w:val="Footnote"/>
              <w:jc w:val="left"/>
              <w:rPr>
                <w:b/>
                <w:sz w:val="20"/>
                <w:szCs w:val="20"/>
                <w:lang w:val="en-GB" w:eastAsia="en-US"/>
              </w:rPr>
            </w:pPr>
            <w:r w:rsidRPr="00103DDB">
              <w:rPr>
                <w:b/>
                <w:sz w:val="20"/>
                <w:szCs w:val="20"/>
                <w:lang w:val="en-GB" w:eastAsia="en-US"/>
              </w:rPr>
              <w:t>2002</w:t>
            </w:r>
          </w:p>
        </w:tc>
        <w:tc>
          <w:tcPr>
            <w:tcW w:w="0" w:type="auto"/>
            <w:noWrap/>
            <w:vAlign w:val="center"/>
            <w:hideMark/>
          </w:tcPr>
          <w:p w14:paraId="3C37DFD1" w14:textId="77777777" w:rsidR="00094DC6" w:rsidRPr="00103DDB" w:rsidRDefault="00094DC6" w:rsidP="00094DC6">
            <w:pPr>
              <w:pStyle w:val="Footnote"/>
              <w:jc w:val="left"/>
              <w:rPr>
                <w:b/>
                <w:sz w:val="20"/>
                <w:szCs w:val="20"/>
                <w:lang w:val="en-GB" w:eastAsia="en-US"/>
              </w:rPr>
            </w:pPr>
            <w:r w:rsidRPr="00103DDB">
              <w:rPr>
                <w:b/>
                <w:sz w:val="20"/>
                <w:szCs w:val="20"/>
                <w:lang w:val="en-GB" w:eastAsia="en-US"/>
              </w:rPr>
              <w:t>2003</w:t>
            </w:r>
          </w:p>
        </w:tc>
        <w:tc>
          <w:tcPr>
            <w:tcW w:w="0" w:type="auto"/>
            <w:noWrap/>
            <w:vAlign w:val="center"/>
            <w:hideMark/>
          </w:tcPr>
          <w:p w14:paraId="46921B95" w14:textId="77777777" w:rsidR="00094DC6" w:rsidRPr="00103DDB" w:rsidRDefault="00094DC6" w:rsidP="00094DC6">
            <w:pPr>
              <w:pStyle w:val="Footnote"/>
              <w:jc w:val="left"/>
              <w:rPr>
                <w:b/>
                <w:sz w:val="20"/>
                <w:szCs w:val="20"/>
                <w:lang w:val="en-GB" w:eastAsia="en-US"/>
              </w:rPr>
            </w:pPr>
            <w:r w:rsidRPr="00103DDB">
              <w:rPr>
                <w:b/>
                <w:sz w:val="20"/>
                <w:szCs w:val="20"/>
                <w:lang w:val="en-GB" w:eastAsia="en-US"/>
              </w:rPr>
              <w:t>2004</w:t>
            </w:r>
          </w:p>
        </w:tc>
        <w:tc>
          <w:tcPr>
            <w:tcW w:w="0" w:type="auto"/>
            <w:noWrap/>
            <w:vAlign w:val="center"/>
            <w:hideMark/>
          </w:tcPr>
          <w:p w14:paraId="6E3907FB" w14:textId="77777777" w:rsidR="00094DC6" w:rsidRPr="00103DDB" w:rsidRDefault="00094DC6" w:rsidP="00094DC6">
            <w:pPr>
              <w:pStyle w:val="Footnote"/>
              <w:jc w:val="left"/>
              <w:rPr>
                <w:b/>
                <w:sz w:val="20"/>
                <w:szCs w:val="20"/>
                <w:lang w:val="en-GB" w:eastAsia="en-US"/>
              </w:rPr>
            </w:pPr>
            <w:r w:rsidRPr="00103DDB">
              <w:rPr>
                <w:b/>
                <w:sz w:val="20"/>
                <w:szCs w:val="20"/>
                <w:lang w:val="en-GB" w:eastAsia="en-US"/>
              </w:rPr>
              <w:t>2005</w:t>
            </w:r>
          </w:p>
        </w:tc>
        <w:tc>
          <w:tcPr>
            <w:tcW w:w="0" w:type="auto"/>
            <w:noWrap/>
            <w:vAlign w:val="center"/>
            <w:hideMark/>
          </w:tcPr>
          <w:p w14:paraId="1CF414C2" w14:textId="77777777" w:rsidR="00094DC6" w:rsidRPr="00103DDB" w:rsidRDefault="00094DC6" w:rsidP="00094DC6">
            <w:pPr>
              <w:pStyle w:val="Footnote"/>
              <w:jc w:val="left"/>
              <w:rPr>
                <w:b/>
                <w:sz w:val="20"/>
                <w:szCs w:val="20"/>
                <w:lang w:val="en-GB" w:eastAsia="en-US"/>
              </w:rPr>
            </w:pPr>
            <w:r w:rsidRPr="00103DDB">
              <w:rPr>
                <w:b/>
                <w:sz w:val="20"/>
                <w:szCs w:val="20"/>
                <w:lang w:val="en-GB" w:eastAsia="en-US"/>
              </w:rPr>
              <w:t>2006</w:t>
            </w:r>
          </w:p>
        </w:tc>
        <w:tc>
          <w:tcPr>
            <w:tcW w:w="0" w:type="auto"/>
            <w:noWrap/>
            <w:vAlign w:val="center"/>
            <w:hideMark/>
          </w:tcPr>
          <w:p w14:paraId="5ACD1198" w14:textId="77777777" w:rsidR="00094DC6" w:rsidRPr="00103DDB" w:rsidRDefault="00094DC6" w:rsidP="00094DC6">
            <w:pPr>
              <w:pStyle w:val="Footnote"/>
              <w:jc w:val="left"/>
              <w:rPr>
                <w:b/>
                <w:sz w:val="20"/>
                <w:szCs w:val="20"/>
                <w:lang w:val="en-GB" w:eastAsia="en-US"/>
              </w:rPr>
            </w:pPr>
            <w:r w:rsidRPr="00103DDB">
              <w:rPr>
                <w:b/>
                <w:sz w:val="20"/>
                <w:szCs w:val="20"/>
                <w:lang w:val="en-GB" w:eastAsia="en-US"/>
              </w:rPr>
              <w:t>2007</w:t>
            </w:r>
          </w:p>
        </w:tc>
        <w:tc>
          <w:tcPr>
            <w:tcW w:w="0" w:type="auto"/>
            <w:noWrap/>
            <w:vAlign w:val="center"/>
            <w:hideMark/>
          </w:tcPr>
          <w:p w14:paraId="0828DA20" w14:textId="77777777" w:rsidR="00094DC6" w:rsidRPr="00103DDB" w:rsidRDefault="00094DC6" w:rsidP="00094DC6">
            <w:pPr>
              <w:pStyle w:val="Footnote"/>
              <w:jc w:val="left"/>
              <w:rPr>
                <w:b/>
                <w:sz w:val="20"/>
                <w:szCs w:val="20"/>
                <w:lang w:val="en-GB" w:eastAsia="en-US"/>
              </w:rPr>
            </w:pPr>
            <w:r w:rsidRPr="00103DDB">
              <w:rPr>
                <w:b/>
                <w:sz w:val="20"/>
                <w:szCs w:val="20"/>
                <w:lang w:val="en-GB" w:eastAsia="en-US"/>
              </w:rPr>
              <w:t>2008</w:t>
            </w:r>
          </w:p>
        </w:tc>
      </w:tr>
      <w:tr w:rsidR="00A74758" w:rsidRPr="00103DDB" w14:paraId="2A2B05FB" w14:textId="77777777" w:rsidTr="00D842A4">
        <w:trPr>
          <w:trHeight w:val="485"/>
          <w:jc w:val="center"/>
        </w:trPr>
        <w:tc>
          <w:tcPr>
            <w:tcW w:w="12340" w:type="dxa"/>
            <w:gridSpan w:val="8"/>
            <w:noWrap/>
            <w:vAlign w:val="center"/>
            <w:hideMark/>
          </w:tcPr>
          <w:p w14:paraId="2E84728B" w14:textId="4D984E0C" w:rsidR="00A74758" w:rsidRPr="00103DDB" w:rsidRDefault="00A74758" w:rsidP="00094DC6">
            <w:pPr>
              <w:pStyle w:val="Footnote"/>
              <w:jc w:val="left"/>
              <w:rPr>
                <w:b/>
                <w:sz w:val="20"/>
                <w:szCs w:val="20"/>
                <w:lang w:val="en-GB" w:eastAsia="en-US"/>
              </w:rPr>
            </w:pPr>
            <w:r w:rsidRPr="00103DDB">
              <w:rPr>
                <w:b/>
                <w:sz w:val="20"/>
                <w:szCs w:val="20"/>
                <w:lang w:val="en-GB" w:eastAsia="en-US"/>
              </w:rPr>
              <w:t>Mobile Phone Statistics</w:t>
            </w:r>
          </w:p>
        </w:tc>
      </w:tr>
      <w:tr w:rsidR="00094DC6" w:rsidRPr="00103DDB" w14:paraId="7C739630" w14:textId="77777777" w:rsidTr="004D2B55">
        <w:trPr>
          <w:trHeight w:val="113"/>
          <w:jc w:val="center"/>
        </w:trPr>
        <w:tc>
          <w:tcPr>
            <w:tcW w:w="3429" w:type="dxa"/>
            <w:noWrap/>
            <w:vAlign w:val="center"/>
            <w:hideMark/>
          </w:tcPr>
          <w:p w14:paraId="4F912C99" w14:textId="77777777" w:rsidR="00094DC6" w:rsidRPr="00103DDB" w:rsidRDefault="00094DC6" w:rsidP="006A73B8">
            <w:pPr>
              <w:pStyle w:val="Footnote"/>
              <w:jc w:val="left"/>
              <w:rPr>
                <w:b/>
                <w:sz w:val="20"/>
                <w:szCs w:val="20"/>
                <w:lang w:val="en-GB" w:eastAsia="en-US"/>
              </w:rPr>
            </w:pPr>
            <w:r w:rsidRPr="00103DDB">
              <w:rPr>
                <w:sz w:val="20"/>
                <w:szCs w:val="20"/>
                <w:lang w:val="en-GB" w:eastAsia="en-US"/>
              </w:rPr>
              <w:t>Mobile phones, units sold (thousands)</w:t>
            </w:r>
          </w:p>
        </w:tc>
        <w:tc>
          <w:tcPr>
            <w:tcW w:w="0" w:type="auto"/>
            <w:noWrap/>
            <w:vAlign w:val="center"/>
            <w:hideMark/>
          </w:tcPr>
          <w:p w14:paraId="0F68CF30" w14:textId="77777777" w:rsidR="00094DC6" w:rsidRPr="00103DDB" w:rsidRDefault="00094DC6" w:rsidP="006A73B8">
            <w:pPr>
              <w:pStyle w:val="Footnote"/>
              <w:jc w:val="right"/>
              <w:rPr>
                <w:b/>
                <w:sz w:val="20"/>
                <w:szCs w:val="20"/>
                <w:lang w:val="en-GB" w:eastAsia="en-US"/>
              </w:rPr>
            </w:pPr>
            <w:r w:rsidRPr="00103DDB">
              <w:rPr>
                <w:sz w:val="20"/>
                <w:szCs w:val="20"/>
                <w:lang w:val="en-GB" w:eastAsia="en-US"/>
              </w:rPr>
              <w:t>198.3</w:t>
            </w:r>
          </w:p>
        </w:tc>
        <w:tc>
          <w:tcPr>
            <w:tcW w:w="0" w:type="auto"/>
            <w:noWrap/>
            <w:vAlign w:val="center"/>
            <w:hideMark/>
          </w:tcPr>
          <w:p w14:paraId="42E1239A" w14:textId="77777777" w:rsidR="00094DC6" w:rsidRPr="00103DDB" w:rsidRDefault="00094DC6" w:rsidP="006A73B8">
            <w:pPr>
              <w:pStyle w:val="Footnote"/>
              <w:jc w:val="right"/>
              <w:rPr>
                <w:b/>
                <w:sz w:val="20"/>
                <w:szCs w:val="20"/>
                <w:lang w:val="en-GB" w:eastAsia="en-US"/>
              </w:rPr>
            </w:pPr>
            <w:r w:rsidRPr="00103DDB">
              <w:rPr>
                <w:sz w:val="20"/>
                <w:szCs w:val="20"/>
                <w:lang w:val="en-GB" w:eastAsia="en-US"/>
              </w:rPr>
              <w:t>366.0</w:t>
            </w:r>
          </w:p>
        </w:tc>
        <w:tc>
          <w:tcPr>
            <w:tcW w:w="0" w:type="auto"/>
            <w:noWrap/>
            <w:vAlign w:val="center"/>
            <w:hideMark/>
          </w:tcPr>
          <w:p w14:paraId="521FA981" w14:textId="77777777" w:rsidR="00094DC6" w:rsidRPr="00103DDB" w:rsidRDefault="00094DC6" w:rsidP="006A73B8">
            <w:pPr>
              <w:pStyle w:val="Footnote"/>
              <w:jc w:val="right"/>
              <w:rPr>
                <w:b/>
                <w:sz w:val="20"/>
                <w:szCs w:val="20"/>
                <w:lang w:val="en-GB" w:eastAsia="en-US"/>
              </w:rPr>
            </w:pPr>
            <w:r w:rsidRPr="00103DDB">
              <w:rPr>
                <w:sz w:val="20"/>
                <w:szCs w:val="20"/>
                <w:lang w:val="en-GB" w:eastAsia="en-US"/>
              </w:rPr>
              <w:t>876.8</w:t>
            </w:r>
          </w:p>
        </w:tc>
        <w:tc>
          <w:tcPr>
            <w:tcW w:w="0" w:type="auto"/>
            <w:noWrap/>
            <w:vAlign w:val="center"/>
            <w:hideMark/>
          </w:tcPr>
          <w:p w14:paraId="23B69C8C" w14:textId="77777777" w:rsidR="00094DC6" w:rsidRPr="00103DDB" w:rsidRDefault="00094DC6" w:rsidP="006A73B8">
            <w:pPr>
              <w:pStyle w:val="Footnote"/>
              <w:jc w:val="right"/>
              <w:rPr>
                <w:b/>
                <w:sz w:val="20"/>
                <w:szCs w:val="20"/>
                <w:lang w:val="en-GB" w:eastAsia="en-US"/>
              </w:rPr>
            </w:pPr>
            <w:r w:rsidRPr="00103DDB">
              <w:rPr>
                <w:sz w:val="20"/>
                <w:szCs w:val="20"/>
                <w:lang w:val="en-GB" w:eastAsia="en-US"/>
              </w:rPr>
              <w:t>1,695.8</w:t>
            </w:r>
          </w:p>
        </w:tc>
        <w:tc>
          <w:tcPr>
            <w:tcW w:w="0" w:type="auto"/>
            <w:noWrap/>
            <w:vAlign w:val="center"/>
            <w:hideMark/>
          </w:tcPr>
          <w:p w14:paraId="2FA062CE" w14:textId="77777777" w:rsidR="00094DC6" w:rsidRPr="00103DDB" w:rsidRDefault="00094DC6" w:rsidP="006A73B8">
            <w:pPr>
              <w:pStyle w:val="Footnote"/>
              <w:jc w:val="right"/>
              <w:rPr>
                <w:b/>
                <w:sz w:val="20"/>
                <w:szCs w:val="20"/>
                <w:lang w:val="en-GB" w:eastAsia="en-US"/>
              </w:rPr>
            </w:pPr>
            <w:r w:rsidRPr="00103DDB">
              <w:rPr>
                <w:sz w:val="20"/>
                <w:szCs w:val="20"/>
                <w:lang w:val="en-GB" w:eastAsia="en-US"/>
              </w:rPr>
              <w:t>2,872.2</w:t>
            </w:r>
          </w:p>
        </w:tc>
        <w:tc>
          <w:tcPr>
            <w:tcW w:w="0" w:type="auto"/>
            <w:noWrap/>
            <w:vAlign w:val="center"/>
            <w:hideMark/>
          </w:tcPr>
          <w:p w14:paraId="36FB384D" w14:textId="77777777" w:rsidR="00094DC6" w:rsidRPr="00103DDB" w:rsidRDefault="00094DC6" w:rsidP="006A73B8">
            <w:pPr>
              <w:pStyle w:val="Footnote"/>
              <w:jc w:val="right"/>
              <w:rPr>
                <w:b/>
                <w:sz w:val="20"/>
                <w:szCs w:val="20"/>
                <w:lang w:val="en-GB" w:eastAsia="en-US"/>
              </w:rPr>
            </w:pPr>
            <w:r w:rsidRPr="00103DDB">
              <w:rPr>
                <w:sz w:val="20"/>
                <w:szCs w:val="20"/>
                <w:lang w:val="en-GB" w:eastAsia="en-US"/>
              </w:rPr>
              <w:t>4,295.9</w:t>
            </w:r>
          </w:p>
        </w:tc>
        <w:tc>
          <w:tcPr>
            <w:tcW w:w="0" w:type="auto"/>
            <w:noWrap/>
            <w:vAlign w:val="center"/>
            <w:hideMark/>
          </w:tcPr>
          <w:p w14:paraId="5EABB60A" w14:textId="77777777" w:rsidR="00094DC6" w:rsidRPr="00103DDB" w:rsidRDefault="00094DC6" w:rsidP="006A73B8">
            <w:pPr>
              <w:pStyle w:val="Footnote"/>
              <w:jc w:val="right"/>
              <w:rPr>
                <w:b/>
                <w:sz w:val="20"/>
                <w:szCs w:val="20"/>
                <w:lang w:val="en-GB" w:eastAsia="en-US"/>
              </w:rPr>
            </w:pPr>
            <w:r w:rsidRPr="00103DDB">
              <w:rPr>
                <w:sz w:val="20"/>
                <w:szCs w:val="20"/>
                <w:lang w:val="en-GB" w:eastAsia="en-US"/>
              </w:rPr>
              <w:t>5,718.5</w:t>
            </w:r>
          </w:p>
        </w:tc>
      </w:tr>
      <w:tr w:rsidR="00094DC6" w:rsidRPr="00103DDB" w14:paraId="187CBDD5" w14:textId="77777777" w:rsidTr="004D2B55">
        <w:trPr>
          <w:trHeight w:val="113"/>
          <w:jc w:val="center"/>
        </w:trPr>
        <w:tc>
          <w:tcPr>
            <w:tcW w:w="3429" w:type="dxa"/>
            <w:noWrap/>
            <w:vAlign w:val="center"/>
            <w:hideMark/>
          </w:tcPr>
          <w:p w14:paraId="7955B99A" w14:textId="4DD8DD5B" w:rsidR="00094DC6" w:rsidRPr="00103DDB" w:rsidRDefault="005960E7" w:rsidP="006A73B8">
            <w:pPr>
              <w:pStyle w:val="Footnote"/>
              <w:jc w:val="left"/>
              <w:rPr>
                <w:sz w:val="20"/>
                <w:szCs w:val="20"/>
                <w:lang w:val="en-GB" w:eastAsia="en-US"/>
              </w:rPr>
            </w:pPr>
            <w:r>
              <w:rPr>
                <w:sz w:val="20"/>
                <w:szCs w:val="20"/>
                <w:lang w:val="en-GB" w:eastAsia="en-US"/>
              </w:rPr>
              <w:t>Mobile phones, per unit price (VND</w:t>
            </w:r>
            <w:r w:rsidR="00094DC6" w:rsidRPr="00103DDB">
              <w:rPr>
                <w:sz w:val="20"/>
                <w:szCs w:val="20"/>
                <w:lang w:val="en-GB" w:eastAsia="en-US"/>
              </w:rPr>
              <w:t>)</w:t>
            </w:r>
          </w:p>
        </w:tc>
        <w:tc>
          <w:tcPr>
            <w:tcW w:w="0" w:type="auto"/>
            <w:noWrap/>
            <w:vAlign w:val="center"/>
            <w:hideMark/>
          </w:tcPr>
          <w:p w14:paraId="68BE470C" w14:textId="77777777" w:rsidR="00094DC6" w:rsidRPr="00103DDB" w:rsidRDefault="00094DC6" w:rsidP="006A73B8">
            <w:pPr>
              <w:pStyle w:val="Footnote"/>
              <w:jc w:val="right"/>
              <w:rPr>
                <w:sz w:val="20"/>
                <w:szCs w:val="20"/>
                <w:lang w:val="en-GB" w:eastAsia="en-US"/>
              </w:rPr>
            </w:pPr>
            <w:r w:rsidRPr="00103DDB">
              <w:rPr>
                <w:sz w:val="20"/>
                <w:szCs w:val="20"/>
                <w:lang w:val="en-GB" w:eastAsia="en-US"/>
              </w:rPr>
              <w:t>6,274,890.0</w:t>
            </w:r>
          </w:p>
        </w:tc>
        <w:tc>
          <w:tcPr>
            <w:tcW w:w="0" w:type="auto"/>
            <w:noWrap/>
            <w:vAlign w:val="center"/>
            <w:hideMark/>
          </w:tcPr>
          <w:p w14:paraId="66B88C2C" w14:textId="77777777" w:rsidR="00094DC6" w:rsidRPr="00103DDB" w:rsidRDefault="00094DC6" w:rsidP="006A73B8">
            <w:pPr>
              <w:pStyle w:val="Footnote"/>
              <w:jc w:val="right"/>
              <w:rPr>
                <w:sz w:val="20"/>
                <w:szCs w:val="20"/>
                <w:lang w:val="en-GB" w:eastAsia="en-US"/>
              </w:rPr>
            </w:pPr>
            <w:r w:rsidRPr="00103DDB">
              <w:rPr>
                <w:sz w:val="20"/>
                <w:szCs w:val="20"/>
                <w:lang w:val="en-GB" w:eastAsia="en-US"/>
              </w:rPr>
              <w:t>5,389,503.0</w:t>
            </w:r>
          </w:p>
        </w:tc>
        <w:tc>
          <w:tcPr>
            <w:tcW w:w="0" w:type="auto"/>
            <w:noWrap/>
            <w:vAlign w:val="center"/>
            <w:hideMark/>
          </w:tcPr>
          <w:p w14:paraId="50E654A4" w14:textId="77777777" w:rsidR="00094DC6" w:rsidRPr="00103DDB" w:rsidRDefault="00094DC6" w:rsidP="006A73B8">
            <w:pPr>
              <w:pStyle w:val="Footnote"/>
              <w:jc w:val="right"/>
              <w:rPr>
                <w:sz w:val="20"/>
                <w:szCs w:val="20"/>
                <w:lang w:val="en-GB" w:eastAsia="en-US"/>
              </w:rPr>
            </w:pPr>
            <w:r w:rsidRPr="00103DDB">
              <w:rPr>
                <w:sz w:val="20"/>
                <w:szCs w:val="20"/>
                <w:lang w:val="en-GB" w:eastAsia="en-US"/>
              </w:rPr>
              <w:t>4,694,258.0</w:t>
            </w:r>
          </w:p>
        </w:tc>
        <w:tc>
          <w:tcPr>
            <w:tcW w:w="0" w:type="auto"/>
            <w:noWrap/>
            <w:vAlign w:val="center"/>
            <w:hideMark/>
          </w:tcPr>
          <w:p w14:paraId="2F49FD8F" w14:textId="77777777" w:rsidR="00094DC6" w:rsidRPr="00103DDB" w:rsidRDefault="00094DC6" w:rsidP="006A73B8">
            <w:pPr>
              <w:pStyle w:val="Footnote"/>
              <w:jc w:val="right"/>
              <w:rPr>
                <w:sz w:val="20"/>
                <w:szCs w:val="20"/>
                <w:lang w:val="en-GB" w:eastAsia="en-US"/>
              </w:rPr>
            </w:pPr>
            <w:r w:rsidRPr="00103DDB">
              <w:rPr>
                <w:sz w:val="20"/>
                <w:szCs w:val="20"/>
                <w:lang w:val="en-GB" w:eastAsia="en-US"/>
              </w:rPr>
              <w:t>4,074,616.0</w:t>
            </w:r>
          </w:p>
        </w:tc>
        <w:tc>
          <w:tcPr>
            <w:tcW w:w="0" w:type="auto"/>
            <w:noWrap/>
            <w:vAlign w:val="center"/>
            <w:hideMark/>
          </w:tcPr>
          <w:p w14:paraId="44911298" w14:textId="77777777" w:rsidR="00094DC6" w:rsidRPr="00103DDB" w:rsidRDefault="00094DC6" w:rsidP="006A73B8">
            <w:pPr>
              <w:pStyle w:val="Footnote"/>
              <w:jc w:val="right"/>
              <w:rPr>
                <w:sz w:val="20"/>
                <w:szCs w:val="20"/>
                <w:lang w:val="en-GB" w:eastAsia="en-US"/>
              </w:rPr>
            </w:pPr>
            <w:r w:rsidRPr="00103DDB">
              <w:rPr>
                <w:sz w:val="20"/>
                <w:szCs w:val="20"/>
                <w:lang w:val="en-GB" w:eastAsia="en-US"/>
              </w:rPr>
              <w:t>3,634,161.0</w:t>
            </w:r>
          </w:p>
        </w:tc>
        <w:tc>
          <w:tcPr>
            <w:tcW w:w="0" w:type="auto"/>
            <w:noWrap/>
            <w:vAlign w:val="center"/>
            <w:hideMark/>
          </w:tcPr>
          <w:p w14:paraId="0C831B2D" w14:textId="77777777" w:rsidR="00094DC6" w:rsidRPr="00103DDB" w:rsidRDefault="00094DC6" w:rsidP="006A73B8">
            <w:pPr>
              <w:pStyle w:val="Footnote"/>
              <w:jc w:val="right"/>
              <w:rPr>
                <w:sz w:val="20"/>
                <w:szCs w:val="20"/>
                <w:lang w:val="en-GB" w:eastAsia="en-US"/>
              </w:rPr>
            </w:pPr>
            <w:r w:rsidRPr="00103DDB">
              <w:rPr>
                <w:sz w:val="20"/>
                <w:szCs w:val="20"/>
                <w:lang w:val="en-GB" w:eastAsia="en-US"/>
              </w:rPr>
              <w:t>3,425,342.7</w:t>
            </w:r>
          </w:p>
        </w:tc>
        <w:tc>
          <w:tcPr>
            <w:tcW w:w="0" w:type="auto"/>
            <w:noWrap/>
            <w:vAlign w:val="center"/>
            <w:hideMark/>
          </w:tcPr>
          <w:p w14:paraId="1CB64B8A" w14:textId="77777777" w:rsidR="00094DC6" w:rsidRPr="00103DDB" w:rsidRDefault="00094DC6" w:rsidP="006A73B8">
            <w:pPr>
              <w:pStyle w:val="Footnote"/>
              <w:jc w:val="right"/>
              <w:rPr>
                <w:sz w:val="20"/>
                <w:szCs w:val="20"/>
                <w:lang w:val="en-GB" w:eastAsia="en-US"/>
              </w:rPr>
            </w:pPr>
            <w:r w:rsidRPr="00103DDB">
              <w:rPr>
                <w:sz w:val="20"/>
                <w:szCs w:val="20"/>
                <w:lang w:val="en-GB" w:eastAsia="en-US"/>
              </w:rPr>
              <w:t>3,187,088.0</w:t>
            </w:r>
          </w:p>
        </w:tc>
      </w:tr>
      <w:tr w:rsidR="00094DC6" w:rsidRPr="00103DDB" w14:paraId="6BAF6825" w14:textId="77777777" w:rsidTr="004D2B55">
        <w:trPr>
          <w:trHeight w:val="113"/>
          <w:jc w:val="center"/>
        </w:trPr>
        <w:tc>
          <w:tcPr>
            <w:tcW w:w="3429" w:type="dxa"/>
            <w:noWrap/>
            <w:vAlign w:val="center"/>
            <w:hideMark/>
          </w:tcPr>
          <w:p w14:paraId="048B5FE9" w14:textId="77777777" w:rsidR="00094DC6" w:rsidRPr="00103DDB" w:rsidRDefault="00094DC6" w:rsidP="006A73B8">
            <w:pPr>
              <w:pStyle w:val="Footnote"/>
              <w:jc w:val="left"/>
              <w:rPr>
                <w:sz w:val="20"/>
                <w:szCs w:val="20"/>
                <w:lang w:val="en-GB" w:eastAsia="en-US"/>
              </w:rPr>
            </w:pPr>
            <w:r w:rsidRPr="00103DDB">
              <w:rPr>
                <w:sz w:val="20"/>
                <w:szCs w:val="20"/>
                <w:lang w:val="en-GB" w:eastAsia="en-US"/>
              </w:rPr>
              <w:t>Mobile cellular subscriptions (thousands)</w:t>
            </w:r>
          </w:p>
        </w:tc>
        <w:tc>
          <w:tcPr>
            <w:tcW w:w="0" w:type="auto"/>
            <w:noWrap/>
            <w:vAlign w:val="center"/>
            <w:hideMark/>
          </w:tcPr>
          <w:p w14:paraId="71EB24B7" w14:textId="77777777" w:rsidR="00094DC6" w:rsidRPr="00103DDB" w:rsidRDefault="00094DC6" w:rsidP="006A73B8">
            <w:pPr>
              <w:pStyle w:val="Footnote"/>
              <w:jc w:val="right"/>
              <w:rPr>
                <w:sz w:val="20"/>
                <w:szCs w:val="20"/>
                <w:lang w:val="en-GB" w:eastAsia="en-US"/>
              </w:rPr>
            </w:pPr>
            <w:r w:rsidRPr="00103DDB">
              <w:rPr>
                <w:sz w:val="20"/>
                <w:szCs w:val="20"/>
                <w:lang w:val="en-GB" w:eastAsia="en-US"/>
              </w:rPr>
              <w:t>1,902.4</w:t>
            </w:r>
          </w:p>
        </w:tc>
        <w:tc>
          <w:tcPr>
            <w:tcW w:w="0" w:type="auto"/>
            <w:noWrap/>
            <w:vAlign w:val="center"/>
            <w:hideMark/>
          </w:tcPr>
          <w:p w14:paraId="64EC6DB9" w14:textId="77777777" w:rsidR="00094DC6" w:rsidRPr="00103DDB" w:rsidRDefault="00094DC6" w:rsidP="006A73B8">
            <w:pPr>
              <w:pStyle w:val="Footnote"/>
              <w:jc w:val="right"/>
              <w:rPr>
                <w:sz w:val="20"/>
                <w:szCs w:val="20"/>
                <w:lang w:val="en-GB" w:eastAsia="en-US"/>
              </w:rPr>
            </w:pPr>
            <w:r w:rsidRPr="00103DDB">
              <w:rPr>
                <w:sz w:val="20"/>
                <w:szCs w:val="20"/>
                <w:lang w:val="en-GB" w:eastAsia="en-US"/>
              </w:rPr>
              <w:t>2,742.0</w:t>
            </w:r>
          </w:p>
        </w:tc>
        <w:tc>
          <w:tcPr>
            <w:tcW w:w="0" w:type="auto"/>
            <w:noWrap/>
            <w:vAlign w:val="center"/>
            <w:hideMark/>
          </w:tcPr>
          <w:p w14:paraId="5D3A4C1D" w14:textId="77777777" w:rsidR="00094DC6" w:rsidRPr="00103DDB" w:rsidRDefault="00094DC6" w:rsidP="006A73B8">
            <w:pPr>
              <w:pStyle w:val="Footnote"/>
              <w:jc w:val="right"/>
              <w:rPr>
                <w:sz w:val="20"/>
                <w:szCs w:val="20"/>
                <w:lang w:val="en-GB" w:eastAsia="en-US"/>
              </w:rPr>
            </w:pPr>
            <w:r w:rsidRPr="00103DDB">
              <w:rPr>
                <w:sz w:val="20"/>
                <w:szCs w:val="20"/>
                <w:lang w:val="en-GB" w:eastAsia="en-US"/>
              </w:rPr>
              <w:t>4,960.0</w:t>
            </w:r>
          </w:p>
        </w:tc>
        <w:tc>
          <w:tcPr>
            <w:tcW w:w="0" w:type="auto"/>
            <w:noWrap/>
            <w:vAlign w:val="center"/>
            <w:hideMark/>
          </w:tcPr>
          <w:p w14:paraId="2086E2AF" w14:textId="77777777" w:rsidR="00094DC6" w:rsidRPr="00103DDB" w:rsidRDefault="00094DC6" w:rsidP="006A73B8">
            <w:pPr>
              <w:pStyle w:val="Footnote"/>
              <w:jc w:val="right"/>
              <w:rPr>
                <w:sz w:val="20"/>
                <w:szCs w:val="20"/>
                <w:lang w:val="en-GB" w:eastAsia="en-US"/>
              </w:rPr>
            </w:pPr>
            <w:r w:rsidRPr="00103DDB">
              <w:rPr>
                <w:sz w:val="20"/>
                <w:szCs w:val="20"/>
                <w:lang w:val="en-GB" w:eastAsia="en-US"/>
              </w:rPr>
              <w:t>9,593.2</w:t>
            </w:r>
          </w:p>
        </w:tc>
        <w:tc>
          <w:tcPr>
            <w:tcW w:w="0" w:type="auto"/>
            <w:noWrap/>
            <w:vAlign w:val="center"/>
            <w:hideMark/>
          </w:tcPr>
          <w:p w14:paraId="71B3077F" w14:textId="77777777" w:rsidR="00094DC6" w:rsidRPr="00103DDB" w:rsidRDefault="00094DC6" w:rsidP="006A73B8">
            <w:pPr>
              <w:pStyle w:val="Footnote"/>
              <w:jc w:val="right"/>
              <w:rPr>
                <w:sz w:val="20"/>
                <w:szCs w:val="20"/>
                <w:lang w:val="en-GB" w:eastAsia="en-US"/>
              </w:rPr>
            </w:pPr>
            <w:r w:rsidRPr="00103DDB">
              <w:rPr>
                <w:sz w:val="20"/>
                <w:szCs w:val="20"/>
                <w:lang w:val="en-GB" w:eastAsia="en-US"/>
              </w:rPr>
              <w:t>18,892.4</w:t>
            </w:r>
          </w:p>
        </w:tc>
        <w:tc>
          <w:tcPr>
            <w:tcW w:w="0" w:type="auto"/>
            <w:noWrap/>
            <w:vAlign w:val="center"/>
            <w:hideMark/>
          </w:tcPr>
          <w:p w14:paraId="7C338E9D" w14:textId="77777777" w:rsidR="00094DC6" w:rsidRPr="00103DDB" w:rsidRDefault="00094DC6" w:rsidP="006A73B8">
            <w:pPr>
              <w:pStyle w:val="Footnote"/>
              <w:jc w:val="right"/>
              <w:rPr>
                <w:sz w:val="20"/>
                <w:szCs w:val="20"/>
                <w:lang w:val="en-GB" w:eastAsia="en-US"/>
              </w:rPr>
            </w:pPr>
            <w:r w:rsidRPr="00103DDB">
              <w:rPr>
                <w:sz w:val="20"/>
                <w:szCs w:val="20"/>
                <w:lang w:val="en-GB" w:eastAsia="en-US"/>
              </w:rPr>
              <w:t>45,024.0</w:t>
            </w:r>
          </w:p>
        </w:tc>
        <w:tc>
          <w:tcPr>
            <w:tcW w:w="0" w:type="auto"/>
            <w:noWrap/>
            <w:vAlign w:val="center"/>
            <w:hideMark/>
          </w:tcPr>
          <w:p w14:paraId="60F32A6C" w14:textId="77777777" w:rsidR="00094DC6" w:rsidRPr="00103DDB" w:rsidRDefault="00094DC6" w:rsidP="006A73B8">
            <w:pPr>
              <w:pStyle w:val="Footnote"/>
              <w:jc w:val="right"/>
              <w:rPr>
                <w:sz w:val="20"/>
                <w:szCs w:val="20"/>
                <w:lang w:val="en-GB" w:eastAsia="en-US"/>
              </w:rPr>
            </w:pPr>
            <w:r w:rsidRPr="00103DDB">
              <w:rPr>
                <w:sz w:val="20"/>
                <w:szCs w:val="20"/>
                <w:lang w:val="en-GB" w:eastAsia="en-US"/>
              </w:rPr>
              <w:t>74,872.3</w:t>
            </w:r>
          </w:p>
        </w:tc>
      </w:tr>
      <w:tr w:rsidR="00094DC6" w:rsidRPr="00103DDB" w14:paraId="099B8743" w14:textId="77777777" w:rsidTr="004D2B55">
        <w:trPr>
          <w:trHeight w:val="113"/>
          <w:jc w:val="center"/>
        </w:trPr>
        <w:tc>
          <w:tcPr>
            <w:tcW w:w="3429" w:type="dxa"/>
            <w:noWrap/>
            <w:vAlign w:val="center"/>
            <w:hideMark/>
          </w:tcPr>
          <w:p w14:paraId="433B3765" w14:textId="77777777" w:rsidR="00094DC6" w:rsidRPr="00103DDB" w:rsidRDefault="00094DC6" w:rsidP="006A73B8">
            <w:pPr>
              <w:pStyle w:val="Footnote"/>
              <w:jc w:val="left"/>
              <w:rPr>
                <w:sz w:val="20"/>
                <w:szCs w:val="20"/>
                <w:lang w:val="en-GB" w:eastAsia="en-US"/>
              </w:rPr>
            </w:pPr>
            <w:r w:rsidRPr="00103DDB">
              <w:rPr>
                <w:sz w:val="20"/>
                <w:szCs w:val="20"/>
                <w:lang w:val="en-GB" w:eastAsia="en-US"/>
              </w:rPr>
              <w:t>Mobile cellular subscriptions (per 100 people)</w:t>
            </w:r>
          </w:p>
        </w:tc>
        <w:tc>
          <w:tcPr>
            <w:tcW w:w="0" w:type="auto"/>
            <w:noWrap/>
            <w:vAlign w:val="center"/>
            <w:hideMark/>
          </w:tcPr>
          <w:p w14:paraId="51C90385" w14:textId="77777777" w:rsidR="00094DC6" w:rsidRPr="00103DDB" w:rsidRDefault="00094DC6" w:rsidP="006A73B8">
            <w:pPr>
              <w:pStyle w:val="Footnote"/>
              <w:jc w:val="right"/>
              <w:rPr>
                <w:sz w:val="20"/>
                <w:szCs w:val="20"/>
                <w:lang w:val="en-GB" w:eastAsia="en-US"/>
              </w:rPr>
            </w:pPr>
            <w:r w:rsidRPr="00103DDB">
              <w:rPr>
                <w:sz w:val="20"/>
                <w:szCs w:val="20"/>
                <w:lang w:val="en-GB" w:eastAsia="en-US"/>
              </w:rPr>
              <w:t>2.3</w:t>
            </w:r>
          </w:p>
        </w:tc>
        <w:tc>
          <w:tcPr>
            <w:tcW w:w="0" w:type="auto"/>
            <w:noWrap/>
            <w:vAlign w:val="center"/>
            <w:hideMark/>
          </w:tcPr>
          <w:p w14:paraId="2798D963" w14:textId="77777777" w:rsidR="00094DC6" w:rsidRPr="00103DDB" w:rsidRDefault="00094DC6" w:rsidP="006A73B8">
            <w:pPr>
              <w:pStyle w:val="Footnote"/>
              <w:jc w:val="right"/>
              <w:rPr>
                <w:sz w:val="20"/>
                <w:szCs w:val="20"/>
                <w:lang w:val="en-GB" w:eastAsia="en-US"/>
              </w:rPr>
            </w:pPr>
            <w:r w:rsidRPr="00103DDB">
              <w:rPr>
                <w:sz w:val="20"/>
                <w:szCs w:val="20"/>
                <w:lang w:val="en-GB" w:eastAsia="en-US"/>
              </w:rPr>
              <w:t>3.3</w:t>
            </w:r>
          </w:p>
        </w:tc>
        <w:tc>
          <w:tcPr>
            <w:tcW w:w="0" w:type="auto"/>
            <w:noWrap/>
            <w:vAlign w:val="center"/>
            <w:hideMark/>
          </w:tcPr>
          <w:p w14:paraId="2DD87D2A" w14:textId="77777777" w:rsidR="00094DC6" w:rsidRPr="00103DDB" w:rsidRDefault="00094DC6" w:rsidP="006A73B8">
            <w:pPr>
              <w:pStyle w:val="Footnote"/>
              <w:jc w:val="right"/>
              <w:rPr>
                <w:sz w:val="20"/>
                <w:szCs w:val="20"/>
                <w:lang w:val="en-GB" w:eastAsia="en-US"/>
              </w:rPr>
            </w:pPr>
            <w:r w:rsidRPr="00103DDB">
              <w:rPr>
                <w:sz w:val="20"/>
                <w:szCs w:val="20"/>
                <w:lang w:val="en-GB" w:eastAsia="en-US"/>
              </w:rPr>
              <w:t>5.9</w:t>
            </w:r>
          </w:p>
        </w:tc>
        <w:tc>
          <w:tcPr>
            <w:tcW w:w="0" w:type="auto"/>
            <w:noWrap/>
            <w:vAlign w:val="center"/>
            <w:hideMark/>
          </w:tcPr>
          <w:p w14:paraId="654671B2" w14:textId="77777777" w:rsidR="00094DC6" w:rsidRPr="00103DDB" w:rsidRDefault="00094DC6" w:rsidP="006A73B8">
            <w:pPr>
              <w:pStyle w:val="Footnote"/>
              <w:jc w:val="right"/>
              <w:rPr>
                <w:sz w:val="20"/>
                <w:szCs w:val="20"/>
                <w:lang w:val="en-GB" w:eastAsia="en-US"/>
              </w:rPr>
            </w:pPr>
            <w:r w:rsidRPr="00103DDB">
              <w:rPr>
                <w:sz w:val="20"/>
                <w:szCs w:val="20"/>
                <w:lang w:val="en-GB" w:eastAsia="en-US"/>
              </w:rPr>
              <w:t>11.3</w:t>
            </w:r>
          </w:p>
        </w:tc>
        <w:tc>
          <w:tcPr>
            <w:tcW w:w="0" w:type="auto"/>
            <w:noWrap/>
            <w:vAlign w:val="center"/>
            <w:hideMark/>
          </w:tcPr>
          <w:p w14:paraId="5A84B7C4" w14:textId="77777777" w:rsidR="00094DC6" w:rsidRPr="00103DDB" w:rsidRDefault="00094DC6" w:rsidP="006A73B8">
            <w:pPr>
              <w:pStyle w:val="Footnote"/>
              <w:jc w:val="right"/>
              <w:rPr>
                <w:sz w:val="20"/>
                <w:szCs w:val="20"/>
                <w:lang w:val="en-GB" w:eastAsia="en-US"/>
              </w:rPr>
            </w:pPr>
            <w:r w:rsidRPr="00103DDB">
              <w:rPr>
                <w:sz w:val="20"/>
                <w:szCs w:val="20"/>
                <w:lang w:val="en-GB" w:eastAsia="en-US"/>
              </w:rPr>
              <w:t>22.0</w:t>
            </w:r>
          </w:p>
        </w:tc>
        <w:tc>
          <w:tcPr>
            <w:tcW w:w="0" w:type="auto"/>
            <w:noWrap/>
            <w:vAlign w:val="center"/>
            <w:hideMark/>
          </w:tcPr>
          <w:p w14:paraId="308ACEF1" w14:textId="77777777" w:rsidR="00094DC6" w:rsidRPr="00103DDB" w:rsidRDefault="00094DC6" w:rsidP="006A73B8">
            <w:pPr>
              <w:pStyle w:val="Footnote"/>
              <w:jc w:val="right"/>
              <w:rPr>
                <w:sz w:val="20"/>
                <w:szCs w:val="20"/>
                <w:lang w:val="en-GB" w:eastAsia="en-US"/>
              </w:rPr>
            </w:pPr>
            <w:r w:rsidRPr="00103DDB">
              <w:rPr>
                <w:sz w:val="20"/>
                <w:szCs w:val="20"/>
                <w:lang w:val="en-GB" w:eastAsia="en-US"/>
              </w:rPr>
              <w:t>52.0</w:t>
            </w:r>
          </w:p>
        </w:tc>
        <w:tc>
          <w:tcPr>
            <w:tcW w:w="0" w:type="auto"/>
            <w:noWrap/>
            <w:vAlign w:val="center"/>
            <w:hideMark/>
          </w:tcPr>
          <w:p w14:paraId="5831CD3D" w14:textId="77777777" w:rsidR="00094DC6" w:rsidRPr="00103DDB" w:rsidRDefault="00094DC6" w:rsidP="006A73B8">
            <w:pPr>
              <w:pStyle w:val="Footnote"/>
              <w:jc w:val="right"/>
              <w:rPr>
                <w:sz w:val="20"/>
                <w:szCs w:val="20"/>
                <w:lang w:val="en-GB" w:eastAsia="en-US"/>
              </w:rPr>
            </w:pPr>
            <w:r w:rsidRPr="00103DDB">
              <w:rPr>
                <w:sz w:val="20"/>
                <w:szCs w:val="20"/>
                <w:lang w:val="en-GB" w:eastAsia="en-US"/>
              </w:rPr>
              <w:t>85.7</w:t>
            </w:r>
          </w:p>
        </w:tc>
      </w:tr>
      <w:tr w:rsidR="00A74758" w:rsidRPr="00103DDB" w14:paraId="6FFFC2D6" w14:textId="77777777" w:rsidTr="003B748B">
        <w:trPr>
          <w:trHeight w:val="647"/>
          <w:jc w:val="center"/>
        </w:trPr>
        <w:tc>
          <w:tcPr>
            <w:tcW w:w="12340" w:type="dxa"/>
            <w:gridSpan w:val="8"/>
            <w:noWrap/>
            <w:vAlign w:val="center"/>
            <w:hideMark/>
          </w:tcPr>
          <w:p w14:paraId="2AF7658E" w14:textId="4217B73E" w:rsidR="00A74758" w:rsidRPr="00103DDB" w:rsidRDefault="00A74758" w:rsidP="00A74758">
            <w:pPr>
              <w:pStyle w:val="Footnote"/>
              <w:jc w:val="left"/>
              <w:rPr>
                <w:i/>
                <w:sz w:val="20"/>
                <w:szCs w:val="20"/>
                <w:lang w:val="en-GB" w:eastAsia="en-US"/>
              </w:rPr>
            </w:pPr>
            <w:r w:rsidRPr="00103DDB">
              <w:rPr>
                <w:b/>
                <w:sz w:val="20"/>
                <w:szCs w:val="20"/>
                <w:lang w:val="en-GB" w:eastAsia="en-US"/>
              </w:rPr>
              <w:t>Consumer Electronics Statistics (000s of units sold)</w:t>
            </w:r>
          </w:p>
        </w:tc>
      </w:tr>
      <w:tr w:rsidR="00094DC6" w:rsidRPr="00103DDB" w14:paraId="57F102DC" w14:textId="77777777" w:rsidTr="004D2B55">
        <w:trPr>
          <w:trHeight w:val="113"/>
          <w:jc w:val="center"/>
        </w:trPr>
        <w:tc>
          <w:tcPr>
            <w:tcW w:w="3429" w:type="dxa"/>
            <w:noWrap/>
            <w:vAlign w:val="center"/>
            <w:hideMark/>
          </w:tcPr>
          <w:p w14:paraId="41E28C2B" w14:textId="77777777" w:rsidR="00094DC6" w:rsidRPr="00103DDB" w:rsidRDefault="00094DC6" w:rsidP="00094DC6">
            <w:pPr>
              <w:pStyle w:val="Footnote"/>
              <w:rPr>
                <w:sz w:val="20"/>
                <w:szCs w:val="20"/>
                <w:lang w:val="en-GB" w:eastAsia="en-US"/>
              </w:rPr>
            </w:pPr>
            <w:r w:rsidRPr="00103DDB">
              <w:rPr>
                <w:sz w:val="20"/>
                <w:szCs w:val="20"/>
                <w:lang w:val="en-GB" w:eastAsia="en-US"/>
              </w:rPr>
              <w:t>Consumer electronics</w:t>
            </w:r>
          </w:p>
        </w:tc>
        <w:tc>
          <w:tcPr>
            <w:tcW w:w="0" w:type="auto"/>
            <w:noWrap/>
            <w:vAlign w:val="center"/>
            <w:hideMark/>
          </w:tcPr>
          <w:p w14:paraId="2B283459" w14:textId="77777777" w:rsidR="00094DC6" w:rsidRPr="00103DDB" w:rsidRDefault="00094DC6" w:rsidP="006A73B8">
            <w:pPr>
              <w:pStyle w:val="Footnote"/>
              <w:jc w:val="right"/>
              <w:rPr>
                <w:sz w:val="20"/>
                <w:szCs w:val="20"/>
                <w:lang w:val="en-GB" w:eastAsia="en-US"/>
              </w:rPr>
            </w:pPr>
            <w:r w:rsidRPr="00103DDB">
              <w:rPr>
                <w:sz w:val="20"/>
                <w:szCs w:val="20"/>
                <w:lang w:val="en-GB" w:eastAsia="en-US"/>
              </w:rPr>
              <w:t>966.9</w:t>
            </w:r>
          </w:p>
        </w:tc>
        <w:tc>
          <w:tcPr>
            <w:tcW w:w="0" w:type="auto"/>
            <w:noWrap/>
            <w:vAlign w:val="center"/>
            <w:hideMark/>
          </w:tcPr>
          <w:p w14:paraId="406D154C" w14:textId="77777777" w:rsidR="00094DC6" w:rsidRPr="00103DDB" w:rsidRDefault="00094DC6" w:rsidP="006A73B8">
            <w:pPr>
              <w:pStyle w:val="Footnote"/>
              <w:jc w:val="right"/>
              <w:rPr>
                <w:sz w:val="20"/>
                <w:szCs w:val="20"/>
                <w:lang w:val="en-GB" w:eastAsia="en-US"/>
              </w:rPr>
            </w:pPr>
            <w:r w:rsidRPr="00103DDB">
              <w:rPr>
                <w:sz w:val="20"/>
                <w:szCs w:val="20"/>
                <w:lang w:val="en-GB" w:eastAsia="en-US"/>
              </w:rPr>
              <w:t>1,381.8</w:t>
            </w:r>
          </w:p>
        </w:tc>
        <w:tc>
          <w:tcPr>
            <w:tcW w:w="0" w:type="auto"/>
            <w:noWrap/>
            <w:vAlign w:val="center"/>
            <w:hideMark/>
          </w:tcPr>
          <w:p w14:paraId="33D6CBB8" w14:textId="77777777" w:rsidR="00094DC6" w:rsidRPr="00103DDB" w:rsidRDefault="00094DC6" w:rsidP="006A73B8">
            <w:pPr>
              <w:pStyle w:val="Footnote"/>
              <w:jc w:val="right"/>
              <w:rPr>
                <w:sz w:val="20"/>
                <w:szCs w:val="20"/>
                <w:lang w:val="en-GB" w:eastAsia="en-US"/>
              </w:rPr>
            </w:pPr>
            <w:r w:rsidRPr="00103DDB">
              <w:rPr>
                <w:sz w:val="20"/>
                <w:szCs w:val="20"/>
                <w:lang w:val="en-GB" w:eastAsia="en-US"/>
              </w:rPr>
              <w:t>2,253.1</w:t>
            </w:r>
          </w:p>
        </w:tc>
        <w:tc>
          <w:tcPr>
            <w:tcW w:w="0" w:type="auto"/>
            <w:noWrap/>
            <w:vAlign w:val="center"/>
            <w:hideMark/>
          </w:tcPr>
          <w:p w14:paraId="525213C8" w14:textId="77777777" w:rsidR="00094DC6" w:rsidRPr="00103DDB" w:rsidRDefault="00094DC6" w:rsidP="006A73B8">
            <w:pPr>
              <w:pStyle w:val="Footnote"/>
              <w:jc w:val="right"/>
              <w:rPr>
                <w:sz w:val="20"/>
                <w:szCs w:val="20"/>
                <w:lang w:val="en-GB" w:eastAsia="en-US"/>
              </w:rPr>
            </w:pPr>
            <w:r w:rsidRPr="00103DDB">
              <w:rPr>
                <w:sz w:val="20"/>
                <w:szCs w:val="20"/>
                <w:lang w:val="en-GB" w:eastAsia="en-US"/>
              </w:rPr>
              <w:t>3,509.4</w:t>
            </w:r>
          </w:p>
        </w:tc>
        <w:tc>
          <w:tcPr>
            <w:tcW w:w="0" w:type="auto"/>
            <w:noWrap/>
            <w:vAlign w:val="center"/>
            <w:hideMark/>
          </w:tcPr>
          <w:p w14:paraId="31CDB381" w14:textId="77777777" w:rsidR="00094DC6" w:rsidRPr="00103DDB" w:rsidRDefault="00094DC6" w:rsidP="006A73B8">
            <w:pPr>
              <w:pStyle w:val="Footnote"/>
              <w:jc w:val="right"/>
              <w:rPr>
                <w:sz w:val="20"/>
                <w:szCs w:val="20"/>
                <w:lang w:val="en-GB" w:eastAsia="en-US"/>
              </w:rPr>
            </w:pPr>
            <w:r w:rsidRPr="00103DDB">
              <w:rPr>
                <w:sz w:val="20"/>
                <w:szCs w:val="20"/>
                <w:lang w:val="en-GB" w:eastAsia="en-US"/>
              </w:rPr>
              <w:t>5,232.3</w:t>
            </w:r>
          </w:p>
        </w:tc>
        <w:tc>
          <w:tcPr>
            <w:tcW w:w="0" w:type="auto"/>
            <w:noWrap/>
            <w:vAlign w:val="center"/>
            <w:hideMark/>
          </w:tcPr>
          <w:p w14:paraId="3B6C1928" w14:textId="77777777" w:rsidR="00094DC6" w:rsidRPr="00103DDB" w:rsidRDefault="00094DC6" w:rsidP="006A73B8">
            <w:pPr>
              <w:pStyle w:val="Footnote"/>
              <w:jc w:val="right"/>
              <w:rPr>
                <w:sz w:val="20"/>
                <w:szCs w:val="20"/>
                <w:lang w:val="en-GB" w:eastAsia="en-US"/>
              </w:rPr>
            </w:pPr>
            <w:r w:rsidRPr="00103DDB">
              <w:rPr>
                <w:sz w:val="20"/>
                <w:szCs w:val="20"/>
                <w:lang w:val="en-GB" w:eastAsia="en-US"/>
              </w:rPr>
              <w:t>7,283.4</w:t>
            </w:r>
          </w:p>
        </w:tc>
        <w:tc>
          <w:tcPr>
            <w:tcW w:w="0" w:type="auto"/>
            <w:noWrap/>
            <w:vAlign w:val="center"/>
            <w:hideMark/>
          </w:tcPr>
          <w:p w14:paraId="3D0DDD56" w14:textId="77777777" w:rsidR="00094DC6" w:rsidRPr="00103DDB" w:rsidRDefault="00094DC6" w:rsidP="006A73B8">
            <w:pPr>
              <w:pStyle w:val="Footnote"/>
              <w:jc w:val="right"/>
              <w:rPr>
                <w:sz w:val="20"/>
                <w:szCs w:val="20"/>
                <w:lang w:val="en-GB" w:eastAsia="en-US"/>
              </w:rPr>
            </w:pPr>
            <w:r w:rsidRPr="00103DDB">
              <w:rPr>
                <w:sz w:val="20"/>
                <w:szCs w:val="20"/>
                <w:lang w:val="en-GB" w:eastAsia="en-US"/>
              </w:rPr>
              <w:t>9,259.7</w:t>
            </w:r>
          </w:p>
        </w:tc>
      </w:tr>
      <w:tr w:rsidR="00094DC6" w:rsidRPr="00103DDB" w14:paraId="34266C7D" w14:textId="77777777" w:rsidTr="004D2B55">
        <w:trPr>
          <w:trHeight w:val="113"/>
          <w:jc w:val="center"/>
        </w:trPr>
        <w:tc>
          <w:tcPr>
            <w:tcW w:w="3429" w:type="dxa"/>
            <w:noWrap/>
            <w:vAlign w:val="center"/>
            <w:hideMark/>
          </w:tcPr>
          <w:p w14:paraId="54078ADC" w14:textId="77777777" w:rsidR="00094DC6" w:rsidRPr="00103DDB" w:rsidRDefault="00094DC6" w:rsidP="00094DC6">
            <w:pPr>
              <w:pStyle w:val="Footnote"/>
              <w:rPr>
                <w:sz w:val="20"/>
                <w:szCs w:val="20"/>
                <w:lang w:val="en-GB" w:eastAsia="en-US"/>
              </w:rPr>
            </w:pPr>
            <w:r w:rsidRPr="00103DDB">
              <w:rPr>
                <w:sz w:val="20"/>
                <w:szCs w:val="20"/>
                <w:lang w:val="en-GB" w:eastAsia="en-US"/>
              </w:rPr>
              <w:t>Computers and peripherals</w:t>
            </w:r>
          </w:p>
        </w:tc>
        <w:tc>
          <w:tcPr>
            <w:tcW w:w="0" w:type="auto"/>
            <w:noWrap/>
            <w:vAlign w:val="center"/>
            <w:hideMark/>
          </w:tcPr>
          <w:p w14:paraId="40670B10" w14:textId="77777777" w:rsidR="00094DC6" w:rsidRPr="00103DDB" w:rsidRDefault="00094DC6" w:rsidP="006A73B8">
            <w:pPr>
              <w:pStyle w:val="Footnote"/>
              <w:jc w:val="right"/>
              <w:rPr>
                <w:sz w:val="20"/>
                <w:szCs w:val="20"/>
                <w:lang w:val="en-GB" w:eastAsia="en-US"/>
              </w:rPr>
            </w:pPr>
            <w:r w:rsidRPr="00103DDB">
              <w:rPr>
                <w:sz w:val="20"/>
                <w:szCs w:val="20"/>
                <w:lang w:val="en-GB" w:eastAsia="en-US"/>
              </w:rPr>
              <w:t>160.9</w:t>
            </w:r>
          </w:p>
        </w:tc>
        <w:tc>
          <w:tcPr>
            <w:tcW w:w="0" w:type="auto"/>
            <w:noWrap/>
            <w:vAlign w:val="center"/>
            <w:hideMark/>
          </w:tcPr>
          <w:p w14:paraId="4C20494A" w14:textId="77777777" w:rsidR="00094DC6" w:rsidRPr="00103DDB" w:rsidRDefault="00094DC6" w:rsidP="006A73B8">
            <w:pPr>
              <w:pStyle w:val="Footnote"/>
              <w:jc w:val="right"/>
              <w:rPr>
                <w:sz w:val="20"/>
                <w:szCs w:val="20"/>
                <w:lang w:val="en-GB" w:eastAsia="en-US"/>
              </w:rPr>
            </w:pPr>
            <w:r w:rsidRPr="00103DDB">
              <w:rPr>
                <w:sz w:val="20"/>
                <w:szCs w:val="20"/>
                <w:lang w:val="en-GB" w:eastAsia="en-US"/>
              </w:rPr>
              <w:t>258.3</w:t>
            </w:r>
          </w:p>
        </w:tc>
        <w:tc>
          <w:tcPr>
            <w:tcW w:w="0" w:type="auto"/>
            <w:noWrap/>
            <w:vAlign w:val="center"/>
            <w:hideMark/>
          </w:tcPr>
          <w:p w14:paraId="0DA88BFB" w14:textId="77777777" w:rsidR="00094DC6" w:rsidRPr="00103DDB" w:rsidRDefault="00094DC6" w:rsidP="006A73B8">
            <w:pPr>
              <w:pStyle w:val="Footnote"/>
              <w:jc w:val="right"/>
              <w:rPr>
                <w:sz w:val="20"/>
                <w:szCs w:val="20"/>
                <w:lang w:val="en-GB" w:eastAsia="en-US"/>
              </w:rPr>
            </w:pPr>
            <w:r w:rsidRPr="00103DDB">
              <w:rPr>
                <w:sz w:val="20"/>
                <w:szCs w:val="20"/>
                <w:lang w:val="en-GB" w:eastAsia="en-US"/>
              </w:rPr>
              <w:t>416.1</w:t>
            </w:r>
          </w:p>
        </w:tc>
        <w:tc>
          <w:tcPr>
            <w:tcW w:w="0" w:type="auto"/>
            <w:noWrap/>
            <w:vAlign w:val="center"/>
            <w:hideMark/>
          </w:tcPr>
          <w:p w14:paraId="160EC579" w14:textId="77777777" w:rsidR="00094DC6" w:rsidRPr="00103DDB" w:rsidRDefault="00094DC6" w:rsidP="006A73B8">
            <w:pPr>
              <w:pStyle w:val="Footnote"/>
              <w:jc w:val="right"/>
              <w:rPr>
                <w:sz w:val="20"/>
                <w:szCs w:val="20"/>
                <w:lang w:val="en-GB" w:eastAsia="en-US"/>
              </w:rPr>
            </w:pPr>
            <w:r w:rsidRPr="00103DDB">
              <w:rPr>
                <w:sz w:val="20"/>
                <w:szCs w:val="20"/>
                <w:lang w:val="en-GB" w:eastAsia="en-US"/>
              </w:rPr>
              <w:t>617.2</w:t>
            </w:r>
          </w:p>
        </w:tc>
        <w:tc>
          <w:tcPr>
            <w:tcW w:w="0" w:type="auto"/>
            <w:noWrap/>
            <w:vAlign w:val="center"/>
            <w:hideMark/>
          </w:tcPr>
          <w:p w14:paraId="4FBA69A7" w14:textId="77777777" w:rsidR="00094DC6" w:rsidRPr="00103DDB" w:rsidRDefault="00094DC6" w:rsidP="006A73B8">
            <w:pPr>
              <w:pStyle w:val="Footnote"/>
              <w:jc w:val="right"/>
              <w:rPr>
                <w:sz w:val="20"/>
                <w:szCs w:val="20"/>
                <w:lang w:val="en-GB" w:eastAsia="en-US"/>
              </w:rPr>
            </w:pPr>
            <w:r w:rsidRPr="00103DDB">
              <w:rPr>
                <w:sz w:val="20"/>
                <w:szCs w:val="20"/>
                <w:lang w:val="en-GB" w:eastAsia="en-US"/>
              </w:rPr>
              <w:t>849.9</w:t>
            </w:r>
          </w:p>
        </w:tc>
        <w:tc>
          <w:tcPr>
            <w:tcW w:w="0" w:type="auto"/>
            <w:noWrap/>
            <w:vAlign w:val="center"/>
            <w:hideMark/>
          </w:tcPr>
          <w:p w14:paraId="3D741C6F" w14:textId="77777777" w:rsidR="00094DC6" w:rsidRPr="00103DDB" w:rsidRDefault="00094DC6" w:rsidP="006A73B8">
            <w:pPr>
              <w:pStyle w:val="Footnote"/>
              <w:jc w:val="right"/>
              <w:rPr>
                <w:sz w:val="20"/>
                <w:szCs w:val="20"/>
                <w:lang w:val="en-GB" w:eastAsia="en-US"/>
              </w:rPr>
            </w:pPr>
            <w:r w:rsidRPr="00103DDB">
              <w:rPr>
                <w:sz w:val="20"/>
                <w:szCs w:val="20"/>
                <w:lang w:val="en-GB" w:eastAsia="en-US"/>
              </w:rPr>
              <w:t>1,103.5</w:t>
            </w:r>
          </w:p>
        </w:tc>
        <w:tc>
          <w:tcPr>
            <w:tcW w:w="0" w:type="auto"/>
            <w:noWrap/>
            <w:vAlign w:val="center"/>
            <w:hideMark/>
          </w:tcPr>
          <w:p w14:paraId="2A73B654" w14:textId="77777777" w:rsidR="00094DC6" w:rsidRPr="00103DDB" w:rsidRDefault="00094DC6" w:rsidP="006A73B8">
            <w:pPr>
              <w:pStyle w:val="Footnote"/>
              <w:jc w:val="right"/>
              <w:rPr>
                <w:sz w:val="20"/>
                <w:szCs w:val="20"/>
                <w:lang w:val="en-GB" w:eastAsia="en-US"/>
              </w:rPr>
            </w:pPr>
            <w:r w:rsidRPr="00103DDB">
              <w:rPr>
                <w:sz w:val="20"/>
                <w:szCs w:val="20"/>
                <w:lang w:val="en-GB" w:eastAsia="en-US"/>
              </w:rPr>
              <w:t>1,314.8</w:t>
            </w:r>
          </w:p>
        </w:tc>
      </w:tr>
      <w:tr w:rsidR="00094DC6" w:rsidRPr="00103DDB" w14:paraId="4CD2421D" w14:textId="77777777" w:rsidTr="004D2B55">
        <w:trPr>
          <w:trHeight w:val="113"/>
          <w:jc w:val="center"/>
        </w:trPr>
        <w:tc>
          <w:tcPr>
            <w:tcW w:w="3429" w:type="dxa"/>
            <w:noWrap/>
            <w:vAlign w:val="center"/>
            <w:hideMark/>
          </w:tcPr>
          <w:p w14:paraId="411CC530" w14:textId="77777777" w:rsidR="00094DC6" w:rsidRPr="00103DDB" w:rsidRDefault="00094DC6" w:rsidP="00094DC6">
            <w:pPr>
              <w:pStyle w:val="Footnote"/>
              <w:rPr>
                <w:sz w:val="20"/>
                <w:szCs w:val="20"/>
                <w:lang w:val="en-GB" w:eastAsia="en-US"/>
              </w:rPr>
            </w:pPr>
            <w:r w:rsidRPr="00103DDB">
              <w:rPr>
                <w:sz w:val="20"/>
                <w:szCs w:val="20"/>
                <w:lang w:val="en-GB" w:eastAsia="en-US"/>
              </w:rPr>
              <w:t>In-car entertainment</w:t>
            </w:r>
          </w:p>
        </w:tc>
        <w:tc>
          <w:tcPr>
            <w:tcW w:w="0" w:type="auto"/>
            <w:noWrap/>
            <w:vAlign w:val="center"/>
            <w:hideMark/>
          </w:tcPr>
          <w:p w14:paraId="07C58ABF" w14:textId="77777777" w:rsidR="00094DC6" w:rsidRPr="00103DDB" w:rsidRDefault="00094DC6" w:rsidP="006A73B8">
            <w:pPr>
              <w:pStyle w:val="Footnote"/>
              <w:jc w:val="right"/>
              <w:rPr>
                <w:sz w:val="20"/>
                <w:szCs w:val="20"/>
                <w:lang w:val="en-GB" w:eastAsia="en-US"/>
              </w:rPr>
            </w:pPr>
            <w:r w:rsidRPr="00103DDB">
              <w:rPr>
                <w:sz w:val="20"/>
                <w:szCs w:val="20"/>
                <w:lang w:val="en-GB" w:eastAsia="en-US"/>
              </w:rPr>
              <w:t>3.0</w:t>
            </w:r>
          </w:p>
        </w:tc>
        <w:tc>
          <w:tcPr>
            <w:tcW w:w="0" w:type="auto"/>
            <w:noWrap/>
            <w:vAlign w:val="center"/>
            <w:hideMark/>
          </w:tcPr>
          <w:p w14:paraId="40687FBA" w14:textId="77777777" w:rsidR="00094DC6" w:rsidRPr="00103DDB" w:rsidRDefault="00094DC6" w:rsidP="006A73B8">
            <w:pPr>
              <w:pStyle w:val="Footnote"/>
              <w:jc w:val="right"/>
              <w:rPr>
                <w:sz w:val="20"/>
                <w:szCs w:val="20"/>
                <w:lang w:val="en-GB" w:eastAsia="en-US"/>
              </w:rPr>
            </w:pPr>
            <w:r w:rsidRPr="00103DDB">
              <w:rPr>
                <w:sz w:val="20"/>
                <w:szCs w:val="20"/>
                <w:lang w:val="en-GB" w:eastAsia="en-US"/>
              </w:rPr>
              <w:t>5.2</w:t>
            </w:r>
          </w:p>
        </w:tc>
        <w:tc>
          <w:tcPr>
            <w:tcW w:w="0" w:type="auto"/>
            <w:noWrap/>
            <w:vAlign w:val="center"/>
            <w:hideMark/>
          </w:tcPr>
          <w:p w14:paraId="03F8E135" w14:textId="77777777" w:rsidR="00094DC6" w:rsidRPr="00103DDB" w:rsidRDefault="00094DC6" w:rsidP="006A73B8">
            <w:pPr>
              <w:pStyle w:val="Footnote"/>
              <w:jc w:val="right"/>
              <w:rPr>
                <w:sz w:val="20"/>
                <w:szCs w:val="20"/>
                <w:lang w:val="en-GB" w:eastAsia="en-US"/>
              </w:rPr>
            </w:pPr>
            <w:r w:rsidRPr="00103DDB">
              <w:rPr>
                <w:sz w:val="20"/>
                <w:szCs w:val="20"/>
                <w:lang w:val="en-GB" w:eastAsia="en-US"/>
              </w:rPr>
              <w:t>8.7</w:t>
            </w:r>
          </w:p>
        </w:tc>
        <w:tc>
          <w:tcPr>
            <w:tcW w:w="0" w:type="auto"/>
            <w:noWrap/>
            <w:vAlign w:val="center"/>
            <w:hideMark/>
          </w:tcPr>
          <w:p w14:paraId="7DE47189" w14:textId="77777777" w:rsidR="00094DC6" w:rsidRPr="00103DDB" w:rsidRDefault="00094DC6" w:rsidP="006A73B8">
            <w:pPr>
              <w:pStyle w:val="Footnote"/>
              <w:jc w:val="right"/>
              <w:rPr>
                <w:sz w:val="20"/>
                <w:szCs w:val="20"/>
                <w:lang w:val="en-GB" w:eastAsia="en-US"/>
              </w:rPr>
            </w:pPr>
            <w:r w:rsidRPr="00103DDB">
              <w:rPr>
                <w:sz w:val="20"/>
                <w:szCs w:val="20"/>
                <w:lang w:val="en-GB" w:eastAsia="en-US"/>
              </w:rPr>
              <w:t>15.4</w:t>
            </w:r>
          </w:p>
        </w:tc>
        <w:tc>
          <w:tcPr>
            <w:tcW w:w="0" w:type="auto"/>
            <w:noWrap/>
            <w:vAlign w:val="center"/>
            <w:hideMark/>
          </w:tcPr>
          <w:p w14:paraId="3FE49951" w14:textId="77777777" w:rsidR="00094DC6" w:rsidRPr="00103DDB" w:rsidRDefault="00094DC6" w:rsidP="006A73B8">
            <w:pPr>
              <w:pStyle w:val="Footnote"/>
              <w:jc w:val="right"/>
              <w:rPr>
                <w:sz w:val="20"/>
                <w:szCs w:val="20"/>
                <w:lang w:val="en-GB" w:eastAsia="en-US"/>
              </w:rPr>
            </w:pPr>
            <w:r w:rsidRPr="00103DDB">
              <w:rPr>
                <w:sz w:val="20"/>
                <w:szCs w:val="20"/>
                <w:lang w:val="en-GB" w:eastAsia="en-US"/>
              </w:rPr>
              <w:t>23.9</w:t>
            </w:r>
          </w:p>
        </w:tc>
        <w:tc>
          <w:tcPr>
            <w:tcW w:w="0" w:type="auto"/>
            <w:noWrap/>
            <w:vAlign w:val="center"/>
            <w:hideMark/>
          </w:tcPr>
          <w:p w14:paraId="3FDA9EB4" w14:textId="77777777" w:rsidR="00094DC6" w:rsidRPr="00103DDB" w:rsidRDefault="00094DC6" w:rsidP="006A73B8">
            <w:pPr>
              <w:pStyle w:val="Footnote"/>
              <w:jc w:val="right"/>
              <w:rPr>
                <w:sz w:val="20"/>
                <w:szCs w:val="20"/>
                <w:lang w:val="en-GB" w:eastAsia="en-US"/>
              </w:rPr>
            </w:pPr>
            <w:r w:rsidRPr="00103DDB">
              <w:rPr>
                <w:sz w:val="20"/>
                <w:szCs w:val="20"/>
                <w:lang w:val="en-GB" w:eastAsia="en-US"/>
              </w:rPr>
              <w:t>31.4</w:t>
            </w:r>
          </w:p>
        </w:tc>
        <w:tc>
          <w:tcPr>
            <w:tcW w:w="0" w:type="auto"/>
            <w:noWrap/>
            <w:vAlign w:val="center"/>
            <w:hideMark/>
          </w:tcPr>
          <w:p w14:paraId="410736E8" w14:textId="77777777" w:rsidR="00094DC6" w:rsidRPr="00103DDB" w:rsidRDefault="00094DC6" w:rsidP="006A73B8">
            <w:pPr>
              <w:pStyle w:val="Footnote"/>
              <w:jc w:val="right"/>
              <w:rPr>
                <w:sz w:val="20"/>
                <w:szCs w:val="20"/>
                <w:lang w:val="en-GB" w:eastAsia="en-US"/>
              </w:rPr>
            </w:pPr>
            <w:r w:rsidRPr="00103DDB">
              <w:rPr>
                <w:sz w:val="20"/>
                <w:szCs w:val="20"/>
                <w:lang w:val="en-GB" w:eastAsia="en-US"/>
              </w:rPr>
              <w:t>39.2</w:t>
            </w:r>
          </w:p>
        </w:tc>
      </w:tr>
      <w:tr w:rsidR="00094DC6" w:rsidRPr="00103DDB" w14:paraId="53559E41" w14:textId="77777777" w:rsidTr="004D2B55">
        <w:trPr>
          <w:trHeight w:val="113"/>
          <w:jc w:val="center"/>
        </w:trPr>
        <w:tc>
          <w:tcPr>
            <w:tcW w:w="3429" w:type="dxa"/>
            <w:noWrap/>
            <w:vAlign w:val="center"/>
            <w:hideMark/>
          </w:tcPr>
          <w:p w14:paraId="393F3897" w14:textId="77777777" w:rsidR="00094DC6" w:rsidRPr="00103DDB" w:rsidRDefault="00094DC6" w:rsidP="00094DC6">
            <w:pPr>
              <w:pStyle w:val="Footnote"/>
              <w:rPr>
                <w:sz w:val="20"/>
                <w:szCs w:val="20"/>
                <w:lang w:val="en-GB" w:eastAsia="en-US"/>
              </w:rPr>
            </w:pPr>
            <w:r w:rsidRPr="00103DDB">
              <w:rPr>
                <w:sz w:val="20"/>
                <w:szCs w:val="20"/>
                <w:lang w:val="en-GB" w:eastAsia="en-US"/>
              </w:rPr>
              <w:t>In-home consumer electronics</w:t>
            </w:r>
          </w:p>
        </w:tc>
        <w:tc>
          <w:tcPr>
            <w:tcW w:w="0" w:type="auto"/>
            <w:noWrap/>
            <w:vAlign w:val="center"/>
            <w:hideMark/>
          </w:tcPr>
          <w:p w14:paraId="496ABB77" w14:textId="77777777" w:rsidR="00094DC6" w:rsidRPr="00103DDB" w:rsidRDefault="00094DC6" w:rsidP="006A73B8">
            <w:pPr>
              <w:pStyle w:val="Footnote"/>
              <w:jc w:val="right"/>
              <w:rPr>
                <w:sz w:val="20"/>
                <w:szCs w:val="20"/>
                <w:lang w:val="en-GB" w:eastAsia="en-US"/>
              </w:rPr>
            </w:pPr>
            <w:r w:rsidRPr="00103DDB">
              <w:rPr>
                <w:sz w:val="20"/>
                <w:szCs w:val="20"/>
                <w:lang w:val="en-GB" w:eastAsia="en-US"/>
              </w:rPr>
              <w:t>512.5</w:t>
            </w:r>
          </w:p>
        </w:tc>
        <w:tc>
          <w:tcPr>
            <w:tcW w:w="0" w:type="auto"/>
            <w:noWrap/>
            <w:vAlign w:val="center"/>
            <w:hideMark/>
          </w:tcPr>
          <w:p w14:paraId="1EA6B06E" w14:textId="77777777" w:rsidR="00094DC6" w:rsidRPr="00103DDB" w:rsidRDefault="00094DC6" w:rsidP="006A73B8">
            <w:pPr>
              <w:pStyle w:val="Footnote"/>
              <w:jc w:val="right"/>
              <w:rPr>
                <w:sz w:val="20"/>
                <w:szCs w:val="20"/>
                <w:lang w:val="en-GB" w:eastAsia="en-US"/>
              </w:rPr>
            </w:pPr>
            <w:r w:rsidRPr="00103DDB">
              <w:rPr>
                <w:sz w:val="20"/>
                <w:szCs w:val="20"/>
                <w:lang w:val="en-GB" w:eastAsia="en-US"/>
              </w:rPr>
              <w:t>650.8</w:t>
            </w:r>
          </w:p>
        </w:tc>
        <w:tc>
          <w:tcPr>
            <w:tcW w:w="0" w:type="auto"/>
            <w:noWrap/>
            <w:vAlign w:val="center"/>
            <w:hideMark/>
          </w:tcPr>
          <w:p w14:paraId="7BCB2A86" w14:textId="77777777" w:rsidR="00094DC6" w:rsidRPr="00103DDB" w:rsidRDefault="00094DC6" w:rsidP="006A73B8">
            <w:pPr>
              <w:pStyle w:val="Footnote"/>
              <w:jc w:val="right"/>
              <w:rPr>
                <w:sz w:val="20"/>
                <w:szCs w:val="20"/>
                <w:lang w:val="en-GB" w:eastAsia="en-US"/>
              </w:rPr>
            </w:pPr>
            <w:r w:rsidRPr="00103DDB">
              <w:rPr>
                <w:sz w:val="20"/>
                <w:szCs w:val="20"/>
                <w:lang w:val="en-GB" w:eastAsia="en-US"/>
              </w:rPr>
              <w:t>830.0</w:t>
            </w:r>
          </w:p>
        </w:tc>
        <w:tc>
          <w:tcPr>
            <w:tcW w:w="0" w:type="auto"/>
            <w:noWrap/>
            <w:vAlign w:val="center"/>
            <w:hideMark/>
          </w:tcPr>
          <w:p w14:paraId="3C2B4A38" w14:textId="77777777" w:rsidR="00094DC6" w:rsidRPr="00103DDB" w:rsidRDefault="00094DC6" w:rsidP="006A73B8">
            <w:pPr>
              <w:pStyle w:val="Footnote"/>
              <w:jc w:val="right"/>
              <w:rPr>
                <w:sz w:val="20"/>
                <w:szCs w:val="20"/>
                <w:lang w:val="en-GB" w:eastAsia="en-US"/>
              </w:rPr>
            </w:pPr>
            <w:r w:rsidRPr="00103DDB">
              <w:rPr>
                <w:sz w:val="20"/>
                <w:szCs w:val="20"/>
                <w:lang w:val="en-GB" w:eastAsia="en-US"/>
              </w:rPr>
              <w:t>1,023.0</w:t>
            </w:r>
          </w:p>
        </w:tc>
        <w:tc>
          <w:tcPr>
            <w:tcW w:w="0" w:type="auto"/>
            <w:noWrap/>
            <w:vAlign w:val="center"/>
            <w:hideMark/>
          </w:tcPr>
          <w:p w14:paraId="63CB23C7" w14:textId="77777777" w:rsidR="00094DC6" w:rsidRPr="00103DDB" w:rsidRDefault="00094DC6" w:rsidP="006A73B8">
            <w:pPr>
              <w:pStyle w:val="Footnote"/>
              <w:jc w:val="right"/>
              <w:rPr>
                <w:sz w:val="20"/>
                <w:szCs w:val="20"/>
                <w:lang w:val="en-GB" w:eastAsia="en-US"/>
              </w:rPr>
            </w:pPr>
            <w:r w:rsidRPr="00103DDB">
              <w:rPr>
                <w:sz w:val="20"/>
                <w:szCs w:val="20"/>
                <w:lang w:val="en-GB" w:eastAsia="en-US"/>
              </w:rPr>
              <w:t>1,241.4</w:t>
            </w:r>
          </w:p>
        </w:tc>
        <w:tc>
          <w:tcPr>
            <w:tcW w:w="0" w:type="auto"/>
            <w:noWrap/>
            <w:vAlign w:val="center"/>
            <w:hideMark/>
          </w:tcPr>
          <w:p w14:paraId="0328768B" w14:textId="77777777" w:rsidR="00094DC6" w:rsidRPr="00103DDB" w:rsidRDefault="00094DC6" w:rsidP="006A73B8">
            <w:pPr>
              <w:pStyle w:val="Footnote"/>
              <w:jc w:val="right"/>
              <w:rPr>
                <w:sz w:val="20"/>
                <w:szCs w:val="20"/>
                <w:lang w:val="en-GB" w:eastAsia="en-US"/>
              </w:rPr>
            </w:pPr>
            <w:r w:rsidRPr="00103DDB">
              <w:rPr>
                <w:sz w:val="20"/>
                <w:szCs w:val="20"/>
                <w:lang w:val="en-GB" w:eastAsia="en-US"/>
              </w:rPr>
              <w:t>1,488.3</w:t>
            </w:r>
          </w:p>
        </w:tc>
        <w:tc>
          <w:tcPr>
            <w:tcW w:w="0" w:type="auto"/>
            <w:noWrap/>
            <w:vAlign w:val="center"/>
            <w:hideMark/>
          </w:tcPr>
          <w:p w14:paraId="42585F87" w14:textId="77777777" w:rsidR="00094DC6" w:rsidRPr="00103DDB" w:rsidRDefault="00094DC6" w:rsidP="006A73B8">
            <w:pPr>
              <w:pStyle w:val="Footnote"/>
              <w:jc w:val="right"/>
              <w:rPr>
                <w:sz w:val="20"/>
                <w:szCs w:val="20"/>
                <w:lang w:val="en-GB" w:eastAsia="en-US"/>
              </w:rPr>
            </w:pPr>
            <w:r w:rsidRPr="00103DDB">
              <w:rPr>
                <w:sz w:val="20"/>
                <w:szCs w:val="20"/>
                <w:lang w:val="en-GB" w:eastAsia="en-US"/>
              </w:rPr>
              <w:t>1,679.8</w:t>
            </w:r>
          </w:p>
        </w:tc>
      </w:tr>
      <w:tr w:rsidR="00094DC6" w:rsidRPr="00103DDB" w14:paraId="75DDD185" w14:textId="77777777" w:rsidTr="004D2B55">
        <w:trPr>
          <w:trHeight w:val="113"/>
          <w:jc w:val="center"/>
        </w:trPr>
        <w:tc>
          <w:tcPr>
            <w:tcW w:w="3429" w:type="dxa"/>
            <w:noWrap/>
            <w:vAlign w:val="center"/>
            <w:hideMark/>
          </w:tcPr>
          <w:p w14:paraId="16A4F6C9" w14:textId="77777777" w:rsidR="00094DC6" w:rsidRPr="00103DDB" w:rsidRDefault="00094DC6" w:rsidP="00094DC6">
            <w:pPr>
              <w:pStyle w:val="Footnote"/>
              <w:rPr>
                <w:sz w:val="20"/>
                <w:szCs w:val="20"/>
                <w:lang w:val="en-GB" w:eastAsia="en-US"/>
              </w:rPr>
            </w:pPr>
            <w:r w:rsidRPr="00103DDB">
              <w:rPr>
                <w:sz w:val="20"/>
                <w:szCs w:val="20"/>
                <w:lang w:val="en-GB" w:eastAsia="en-US"/>
              </w:rPr>
              <w:t>Portable consumer electronics</w:t>
            </w:r>
          </w:p>
        </w:tc>
        <w:tc>
          <w:tcPr>
            <w:tcW w:w="0" w:type="auto"/>
            <w:noWrap/>
            <w:vAlign w:val="center"/>
            <w:hideMark/>
          </w:tcPr>
          <w:p w14:paraId="519C4852" w14:textId="77777777" w:rsidR="00094DC6" w:rsidRPr="00103DDB" w:rsidRDefault="00094DC6" w:rsidP="006A73B8">
            <w:pPr>
              <w:pStyle w:val="Footnote"/>
              <w:jc w:val="right"/>
              <w:rPr>
                <w:sz w:val="20"/>
                <w:szCs w:val="20"/>
                <w:lang w:val="en-GB" w:eastAsia="en-US"/>
              </w:rPr>
            </w:pPr>
            <w:r w:rsidRPr="00103DDB">
              <w:rPr>
                <w:sz w:val="20"/>
                <w:szCs w:val="20"/>
                <w:lang w:val="en-GB" w:eastAsia="en-US"/>
              </w:rPr>
              <w:t>290.5</w:t>
            </w:r>
          </w:p>
        </w:tc>
        <w:tc>
          <w:tcPr>
            <w:tcW w:w="0" w:type="auto"/>
            <w:noWrap/>
            <w:vAlign w:val="center"/>
            <w:hideMark/>
          </w:tcPr>
          <w:p w14:paraId="738F60AE" w14:textId="77777777" w:rsidR="00094DC6" w:rsidRPr="00103DDB" w:rsidRDefault="00094DC6" w:rsidP="006A73B8">
            <w:pPr>
              <w:pStyle w:val="Footnote"/>
              <w:jc w:val="right"/>
              <w:rPr>
                <w:sz w:val="20"/>
                <w:szCs w:val="20"/>
                <w:lang w:val="en-GB" w:eastAsia="en-US"/>
              </w:rPr>
            </w:pPr>
            <w:r w:rsidRPr="00103DDB">
              <w:rPr>
                <w:sz w:val="20"/>
                <w:szCs w:val="20"/>
                <w:lang w:val="en-GB" w:eastAsia="en-US"/>
              </w:rPr>
              <w:t>467.5</w:t>
            </w:r>
          </w:p>
        </w:tc>
        <w:tc>
          <w:tcPr>
            <w:tcW w:w="0" w:type="auto"/>
            <w:noWrap/>
            <w:vAlign w:val="center"/>
            <w:hideMark/>
          </w:tcPr>
          <w:p w14:paraId="5E7CECD1" w14:textId="77777777" w:rsidR="00094DC6" w:rsidRPr="00103DDB" w:rsidRDefault="00094DC6" w:rsidP="006A73B8">
            <w:pPr>
              <w:pStyle w:val="Footnote"/>
              <w:jc w:val="right"/>
              <w:rPr>
                <w:sz w:val="20"/>
                <w:szCs w:val="20"/>
                <w:lang w:val="en-GB" w:eastAsia="en-US"/>
              </w:rPr>
            </w:pPr>
            <w:r w:rsidRPr="00103DDB">
              <w:rPr>
                <w:sz w:val="20"/>
                <w:szCs w:val="20"/>
                <w:lang w:val="en-GB" w:eastAsia="en-US"/>
              </w:rPr>
              <w:t>998.3</w:t>
            </w:r>
          </w:p>
        </w:tc>
        <w:tc>
          <w:tcPr>
            <w:tcW w:w="0" w:type="auto"/>
            <w:noWrap/>
            <w:vAlign w:val="center"/>
            <w:hideMark/>
          </w:tcPr>
          <w:p w14:paraId="799606A2" w14:textId="77777777" w:rsidR="00094DC6" w:rsidRPr="00103DDB" w:rsidRDefault="00094DC6" w:rsidP="006A73B8">
            <w:pPr>
              <w:pStyle w:val="Footnote"/>
              <w:jc w:val="right"/>
              <w:rPr>
                <w:sz w:val="20"/>
                <w:szCs w:val="20"/>
                <w:lang w:val="en-GB" w:eastAsia="en-US"/>
              </w:rPr>
            </w:pPr>
            <w:r w:rsidRPr="00103DDB">
              <w:rPr>
                <w:sz w:val="20"/>
                <w:szCs w:val="20"/>
                <w:lang w:val="en-GB" w:eastAsia="en-US"/>
              </w:rPr>
              <w:t>1,853.8</w:t>
            </w:r>
          </w:p>
        </w:tc>
        <w:tc>
          <w:tcPr>
            <w:tcW w:w="0" w:type="auto"/>
            <w:noWrap/>
            <w:vAlign w:val="center"/>
            <w:hideMark/>
          </w:tcPr>
          <w:p w14:paraId="0B896699" w14:textId="77777777" w:rsidR="00094DC6" w:rsidRPr="00103DDB" w:rsidRDefault="00094DC6" w:rsidP="006A73B8">
            <w:pPr>
              <w:pStyle w:val="Footnote"/>
              <w:jc w:val="right"/>
              <w:rPr>
                <w:sz w:val="20"/>
                <w:szCs w:val="20"/>
                <w:lang w:val="en-GB" w:eastAsia="en-US"/>
              </w:rPr>
            </w:pPr>
            <w:r w:rsidRPr="00103DDB">
              <w:rPr>
                <w:sz w:val="20"/>
                <w:szCs w:val="20"/>
                <w:lang w:val="en-GB" w:eastAsia="en-US"/>
              </w:rPr>
              <w:t>3,117.0</w:t>
            </w:r>
          </w:p>
        </w:tc>
        <w:tc>
          <w:tcPr>
            <w:tcW w:w="0" w:type="auto"/>
            <w:noWrap/>
            <w:vAlign w:val="center"/>
            <w:hideMark/>
          </w:tcPr>
          <w:p w14:paraId="3131A4DE" w14:textId="77777777" w:rsidR="00094DC6" w:rsidRPr="00103DDB" w:rsidRDefault="00094DC6" w:rsidP="006A73B8">
            <w:pPr>
              <w:pStyle w:val="Footnote"/>
              <w:jc w:val="right"/>
              <w:rPr>
                <w:sz w:val="20"/>
                <w:szCs w:val="20"/>
                <w:lang w:val="en-GB" w:eastAsia="en-US"/>
              </w:rPr>
            </w:pPr>
            <w:r w:rsidRPr="00103DDB">
              <w:rPr>
                <w:sz w:val="20"/>
                <w:szCs w:val="20"/>
                <w:lang w:val="en-GB" w:eastAsia="en-US"/>
              </w:rPr>
              <w:t>4,660.3</w:t>
            </w:r>
          </w:p>
        </w:tc>
        <w:tc>
          <w:tcPr>
            <w:tcW w:w="0" w:type="auto"/>
            <w:noWrap/>
            <w:vAlign w:val="center"/>
            <w:hideMark/>
          </w:tcPr>
          <w:p w14:paraId="588EB5B5" w14:textId="77777777" w:rsidR="00094DC6" w:rsidRPr="00103DDB" w:rsidRDefault="00094DC6" w:rsidP="006A73B8">
            <w:pPr>
              <w:pStyle w:val="Footnote"/>
              <w:jc w:val="right"/>
              <w:rPr>
                <w:sz w:val="20"/>
                <w:szCs w:val="20"/>
                <w:lang w:val="en-GB" w:eastAsia="en-US"/>
              </w:rPr>
            </w:pPr>
            <w:r w:rsidRPr="00103DDB">
              <w:rPr>
                <w:sz w:val="20"/>
                <w:szCs w:val="20"/>
                <w:lang w:val="en-GB" w:eastAsia="en-US"/>
              </w:rPr>
              <w:t>6,225.9</w:t>
            </w:r>
          </w:p>
        </w:tc>
      </w:tr>
      <w:tr w:rsidR="00A74758" w:rsidRPr="00103DDB" w14:paraId="0D6F1A60" w14:textId="77777777" w:rsidTr="00D92245">
        <w:trPr>
          <w:trHeight w:val="674"/>
          <w:jc w:val="center"/>
        </w:trPr>
        <w:tc>
          <w:tcPr>
            <w:tcW w:w="12340" w:type="dxa"/>
            <w:gridSpan w:val="8"/>
            <w:noWrap/>
            <w:vAlign w:val="center"/>
            <w:hideMark/>
          </w:tcPr>
          <w:p w14:paraId="09D00C28" w14:textId="78F4818B" w:rsidR="00A74758" w:rsidRPr="00103DDB" w:rsidRDefault="00A74758" w:rsidP="00A74758">
            <w:pPr>
              <w:pStyle w:val="Footnote"/>
              <w:jc w:val="left"/>
              <w:rPr>
                <w:sz w:val="20"/>
                <w:szCs w:val="20"/>
                <w:lang w:val="en-GB" w:eastAsia="en-US"/>
              </w:rPr>
            </w:pPr>
            <w:r>
              <w:rPr>
                <w:b/>
                <w:sz w:val="20"/>
                <w:szCs w:val="20"/>
                <w:lang w:val="en-GB" w:eastAsia="en-US"/>
              </w:rPr>
              <w:t xml:space="preserve">Consumer Electronics (VND </w:t>
            </w:r>
            <w:r w:rsidRPr="00103DDB">
              <w:rPr>
                <w:b/>
                <w:sz w:val="20"/>
                <w:szCs w:val="20"/>
                <w:lang w:val="en-GB" w:eastAsia="en-US"/>
              </w:rPr>
              <w:t> per unit)</w:t>
            </w:r>
          </w:p>
        </w:tc>
      </w:tr>
      <w:tr w:rsidR="00094DC6" w:rsidRPr="00103DDB" w14:paraId="1D1289CB" w14:textId="77777777" w:rsidTr="004D2B55">
        <w:trPr>
          <w:trHeight w:val="113"/>
          <w:jc w:val="center"/>
        </w:trPr>
        <w:tc>
          <w:tcPr>
            <w:tcW w:w="3429" w:type="dxa"/>
            <w:noWrap/>
            <w:vAlign w:val="center"/>
            <w:hideMark/>
          </w:tcPr>
          <w:p w14:paraId="7A537F0E" w14:textId="77777777" w:rsidR="00094DC6" w:rsidRPr="00103DDB" w:rsidRDefault="00094DC6" w:rsidP="00094DC6">
            <w:pPr>
              <w:pStyle w:val="Footnote"/>
              <w:rPr>
                <w:sz w:val="20"/>
                <w:szCs w:val="20"/>
                <w:lang w:val="en-GB" w:eastAsia="en-US"/>
              </w:rPr>
            </w:pPr>
            <w:r w:rsidRPr="00103DDB">
              <w:rPr>
                <w:sz w:val="20"/>
                <w:szCs w:val="20"/>
                <w:lang w:val="en-GB" w:eastAsia="en-US"/>
              </w:rPr>
              <w:t>Consumer electronics</w:t>
            </w:r>
          </w:p>
        </w:tc>
        <w:tc>
          <w:tcPr>
            <w:tcW w:w="0" w:type="auto"/>
            <w:noWrap/>
            <w:vAlign w:val="center"/>
            <w:hideMark/>
          </w:tcPr>
          <w:p w14:paraId="703E4667" w14:textId="77777777" w:rsidR="00094DC6" w:rsidRPr="00103DDB" w:rsidRDefault="00094DC6" w:rsidP="006A73B8">
            <w:pPr>
              <w:pStyle w:val="Footnote"/>
              <w:jc w:val="right"/>
              <w:rPr>
                <w:sz w:val="20"/>
                <w:szCs w:val="20"/>
                <w:lang w:val="en-GB" w:eastAsia="en-US"/>
              </w:rPr>
            </w:pPr>
            <w:r w:rsidRPr="00103DDB">
              <w:rPr>
                <w:sz w:val="20"/>
                <w:szCs w:val="20"/>
                <w:lang w:val="en-GB" w:eastAsia="en-US"/>
              </w:rPr>
              <w:t>6,603,692.3</w:t>
            </w:r>
          </w:p>
        </w:tc>
        <w:tc>
          <w:tcPr>
            <w:tcW w:w="0" w:type="auto"/>
            <w:noWrap/>
            <w:vAlign w:val="center"/>
            <w:hideMark/>
          </w:tcPr>
          <w:p w14:paraId="201FC33F" w14:textId="77777777" w:rsidR="00094DC6" w:rsidRPr="00103DDB" w:rsidRDefault="00094DC6" w:rsidP="006A73B8">
            <w:pPr>
              <w:pStyle w:val="Footnote"/>
              <w:jc w:val="right"/>
              <w:rPr>
                <w:sz w:val="20"/>
                <w:szCs w:val="20"/>
                <w:lang w:val="en-GB" w:eastAsia="en-US"/>
              </w:rPr>
            </w:pPr>
            <w:r w:rsidRPr="00103DDB">
              <w:rPr>
                <w:sz w:val="20"/>
                <w:szCs w:val="20"/>
                <w:lang w:val="en-GB" w:eastAsia="en-US"/>
              </w:rPr>
              <w:t>6,324,891.0</w:t>
            </w:r>
          </w:p>
        </w:tc>
        <w:tc>
          <w:tcPr>
            <w:tcW w:w="0" w:type="auto"/>
            <w:noWrap/>
            <w:vAlign w:val="center"/>
            <w:hideMark/>
          </w:tcPr>
          <w:p w14:paraId="7D921C07" w14:textId="77777777" w:rsidR="00094DC6" w:rsidRPr="00103DDB" w:rsidRDefault="00094DC6" w:rsidP="006A73B8">
            <w:pPr>
              <w:pStyle w:val="Footnote"/>
              <w:jc w:val="right"/>
              <w:rPr>
                <w:sz w:val="20"/>
                <w:szCs w:val="20"/>
                <w:lang w:val="en-GB" w:eastAsia="en-US"/>
              </w:rPr>
            </w:pPr>
            <w:r w:rsidRPr="00103DDB">
              <w:rPr>
                <w:sz w:val="20"/>
                <w:szCs w:val="20"/>
                <w:lang w:val="en-GB" w:eastAsia="en-US"/>
              </w:rPr>
              <w:t>5,903,868.0</w:t>
            </w:r>
          </w:p>
        </w:tc>
        <w:tc>
          <w:tcPr>
            <w:tcW w:w="0" w:type="auto"/>
            <w:noWrap/>
            <w:vAlign w:val="center"/>
            <w:hideMark/>
          </w:tcPr>
          <w:p w14:paraId="694A3812" w14:textId="77777777" w:rsidR="00094DC6" w:rsidRPr="00103DDB" w:rsidRDefault="00094DC6" w:rsidP="006A73B8">
            <w:pPr>
              <w:pStyle w:val="Footnote"/>
              <w:jc w:val="right"/>
              <w:rPr>
                <w:sz w:val="20"/>
                <w:szCs w:val="20"/>
                <w:lang w:val="en-GB" w:eastAsia="en-US"/>
              </w:rPr>
            </w:pPr>
            <w:r w:rsidRPr="00103DDB">
              <w:rPr>
                <w:sz w:val="20"/>
                <w:szCs w:val="20"/>
                <w:lang w:val="en-GB" w:eastAsia="en-US"/>
              </w:rPr>
              <w:t>5,445,522.9</w:t>
            </w:r>
          </w:p>
        </w:tc>
        <w:tc>
          <w:tcPr>
            <w:tcW w:w="0" w:type="auto"/>
            <w:noWrap/>
            <w:vAlign w:val="center"/>
            <w:hideMark/>
          </w:tcPr>
          <w:p w14:paraId="5F55EA5F" w14:textId="77777777" w:rsidR="00094DC6" w:rsidRPr="00103DDB" w:rsidRDefault="00094DC6" w:rsidP="006A73B8">
            <w:pPr>
              <w:pStyle w:val="Footnote"/>
              <w:jc w:val="right"/>
              <w:rPr>
                <w:sz w:val="20"/>
                <w:szCs w:val="20"/>
                <w:lang w:val="en-GB" w:eastAsia="en-US"/>
              </w:rPr>
            </w:pPr>
            <w:r w:rsidRPr="00103DDB">
              <w:rPr>
                <w:sz w:val="20"/>
                <w:szCs w:val="20"/>
                <w:lang w:val="en-GB" w:eastAsia="en-US"/>
              </w:rPr>
              <w:t>4,964,076.5</w:t>
            </w:r>
          </w:p>
        </w:tc>
        <w:tc>
          <w:tcPr>
            <w:tcW w:w="0" w:type="auto"/>
            <w:noWrap/>
            <w:vAlign w:val="center"/>
            <w:hideMark/>
          </w:tcPr>
          <w:p w14:paraId="7E0D2490" w14:textId="77777777" w:rsidR="00094DC6" w:rsidRPr="00103DDB" w:rsidRDefault="00094DC6" w:rsidP="006A73B8">
            <w:pPr>
              <w:pStyle w:val="Footnote"/>
              <w:jc w:val="right"/>
              <w:rPr>
                <w:sz w:val="20"/>
                <w:szCs w:val="20"/>
                <w:lang w:val="en-GB" w:eastAsia="en-US"/>
              </w:rPr>
            </w:pPr>
            <w:r w:rsidRPr="00103DDB">
              <w:rPr>
                <w:sz w:val="20"/>
                <w:szCs w:val="20"/>
                <w:lang w:val="en-GB" w:eastAsia="en-US"/>
              </w:rPr>
              <w:t>4,631,193.0</w:t>
            </w:r>
          </w:p>
        </w:tc>
        <w:tc>
          <w:tcPr>
            <w:tcW w:w="0" w:type="auto"/>
            <w:noWrap/>
            <w:vAlign w:val="center"/>
            <w:hideMark/>
          </w:tcPr>
          <w:p w14:paraId="59409149" w14:textId="77777777" w:rsidR="00094DC6" w:rsidRPr="00103DDB" w:rsidRDefault="00094DC6" w:rsidP="006A73B8">
            <w:pPr>
              <w:pStyle w:val="Footnote"/>
              <w:jc w:val="right"/>
              <w:rPr>
                <w:sz w:val="20"/>
                <w:szCs w:val="20"/>
                <w:lang w:val="en-GB" w:eastAsia="en-US"/>
              </w:rPr>
            </w:pPr>
            <w:r w:rsidRPr="00103DDB">
              <w:rPr>
                <w:sz w:val="20"/>
                <w:szCs w:val="20"/>
                <w:lang w:val="en-GB" w:eastAsia="en-US"/>
              </w:rPr>
              <w:t>4,377,219.4</w:t>
            </w:r>
          </w:p>
        </w:tc>
      </w:tr>
      <w:tr w:rsidR="00094DC6" w:rsidRPr="00103DDB" w14:paraId="694079B4" w14:textId="77777777" w:rsidTr="004D2B55">
        <w:trPr>
          <w:trHeight w:val="113"/>
          <w:jc w:val="center"/>
        </w:trPr>
        <w:tc>
          <w:tcPr>
            <w:tcW w:w="3429" w:type="dxa"/>
            <w:noWrap/>
            <w:vAlign w:val="center"/>
            <w:hideMark/>
          </w:tcPr>
          <w:p w14:paraId="6B3CF647" w14:textId="77777777" w:rsidR="00094DC6" w:rsidRPr="00103DDB" w:rsidRDefault="00094DC6" w:rsidP="00094DC6">
            <w:pPr>
              <w:pStyle w:val="Footnote"/>
              <w:rPr>
                <w:sz w:val="20"/>
                <w:szCs w:val="20"/>
                <w:lang w:val="en-GB" w:eastAsia="en-US"/>
              </w:rPr>
            </w:pPr>
            <w:r w:rsidRPr="00103DDB">
              <w:rPr>
                <w:sz w:val="20"/>
                <w:szCs w:val="20"/>
                <w:lang w:val="en-GB" w:eastAsia="en-US"/>
              </w:rPr>
              <w:t>Computers and peripherals</w:t>
            </w:r>
          </w:p>
        </w:tc>
        <w:tc>
          <w:tcPr>
            <w:tcW w:w="0" w:type="auto"/>
            <w:noWrap/>
            <w:vAlign w:val="center"/>
            <w:hideMark/>
          </w:tcPr>
          <w:p w14:paraId="1CC0F137" w14:textId="77777777" w:rsidR="00094DC6" w:rsidRPr="00103DDB" w:rsidRDefault="00094DC6" w:rsidP="006A73B8">
            <w:pPr>
              <w:pStyle w:val="Footnote"/>
              <w:jc w:val="right"/>
              <w:rPr>
                <w:sz w:val="20"/>
                <w:szCs w:val="20"/>
                <w:lang w:val="en-GB" w:eastAsia="en-US"/>
              </w:rPr>
            </w:pPr>
            <w:r w:rsidRPr="00103DDB">
              <w:rPr>
                <w:sz w:val="20"/>
                <w:szCs w:val="20"/>
                <w:lang w:val="en-GB" w:eastAsia="en-US"/>
              </w:rPr>
              <w:t>9,427,643.0</w:t>
            </w:r>
          </w:p>
        </w:tc>
        <w:tc>
          <w:tcPr>
            <w:tcW w:w="0" w:type="auto"/>
            <w:noWrap/>
            <w:vAlign w:val="center"/>
            <w:hideMark/>
          </w:tcPr>
          <w:p w14:paraId="30F2825B" w14:textId="77777777" w:rsidR="00094DC6" w:rsidRPr="00103DDB" w:rsidRDefault="00094DC6" w:rsidP="006A73B8">
            <w:pPr>
              <w:pStyle w:val="Footnote"/>
              <w:jc w:val="right"/>
              <w:rPr>
                <w:sz w:val="20"/>
                <w:szCs w:val="20"/>
                <w:lang w:val="en-GB" w:eastAsia="en-US"/>
              </w:rPr>
            </w:pPr>
            <w:r w:rsidRPr="00103DDB">
              <w:rPr>
                <w:sz w:val="20"/>
                <w:szCs w:val="20"/>
                <w:lang w:val="en-GB" w:eastAsia="en-US"/>
              </w:rPr>
              <w:t>9,247,322.7</w:t>
            </w:r>
          </w:p>
        </w:tc>
        <w:tc>
          <w:tcPr>
            <w:tcW w:w="0" w:type="auto"/>
            <w:noWrap/>
            <w:vAlign w:val="center"/>
            <w:hideMark/>
          </w:tcPr>
          <w:p w14:paraId="627F9973" w14:textId="77777777" w:rsidR="00094DC6" w:rsidRPr="00103DDB" w:rsidRDefault="00094DC6" w:rsidP="006A73B8">
            <w:pPr>
              <w:pStyle w:val="Footnote"/>
              <w:jc w:val="right"/>
              <w:rPr>
                <w:sz w:val="20"/>
                <w:szCs w:val="20"/>
                <w:lang w:val="en-GB" w:eastAsia="en-US"/>
              </w:rPr>
            </w:pPr>
            <w:r w:rsidRPr="00103DDB">
              <w:rPr>
                <w:sz w:val="20"/>
                <w:szCs w:val="20"/>
                <w:lang w:val="en-GB" w:eastAsia="en-US"/>
              </w:rPr>
              <w:t>9,334,514.7</w:t>
            </w:r>
          </w:p>
        </w:tc>
        <w:tc>
          <w:tcPr>
            <w:tcW w:w="0" w:type="auto"/>
            <w:noWrap/>
            <w:vAlign w:val="center"/>
            <w:hideMark/>
          </w:tcPr>
          <w:p w14:paraId="542EBA0D" w14:textId="77777777" w:rsidR="00094DC6" w:rsidRPr="00103DDB" w:rsidRDefault="00094DC6" w:rsidP="006A73B8">
            <w:pPr>
              <w:pStyle w:val="Footnote"/>
              <w:jc w:val="right"/>
              <w:rPr>
                <w:sz w:val="20"/>
                <w:szCs w:val="20"/>
                <w:lang w:val="en-GB" w:eastAsia="en-US"/>
              </w:rPr>
            </w:pPr>
            <w:r w:rsidRPr="00103DDB">
              <w:rPr>
                <w:sz w:val="20"/>
                <w:szCs w:val="20"/>
                <w:lang w:val="en-GB" w:eastAsia="en-US"/>
              </w:rPr>
              <w:t>9,248,634.8</w:t>
            </w:r>
          </w:p>
        </w:tc>
        <w:tc>
          <w:tcPr>
            <w:tcW w:w="0" w:type="auto"/>
            <w:noWrap/>
            <w:vAlign w:val="center"/>
            <w:hideMark/>
          </w:tcPr>
          <w:p w14:paraId="1FA4666E" w14:textId="77777777" w:rsidR="00094DC6" w:rsidRPr="00103DDB" w:rsidRDefault="00094DC6" w:rsidP="006A73B8">
            <w:pPr>
              <w:pStyle w:val="Footnote"/>
              <w:jc w:val="right"/>
              <w:rPr>
                <w:sz w:val="20"/>
                <w:szCs w:val="20"/>
                <w:lang w:val="en-GB" w:eastAsia="en-US"/>
              </w:rPr>
            </w:pPr>
            <w:r w:rsidRPr="00103DDB">
              <w:rPr>
                <w:sz w:val="20"/>
                <w:szCs w:val="20"/>
                <w:lang w:val="en-GB" w:eastAsia="en-US"/>
              </w:rPr>
              <w:t>8,812,987.0</w:t>
            </w:r>
          </w:p>
        </w:tc>
        <w:tc>
          <w:tcPr>
            <w:tcW w:w="0" w:type="auto"/>
            <w:noWrap/>
            <w:vAlign w:val="center"/>
            <w:hideMark/>
          </w:tcPr>
          <w:p w14:paraId="00FA5E69" w14:textId="77777777" w:rsidR="00094DC6" w:rsidRPr="00103DDB" w:rsidRDefault="00094DC6" w:rsidP="006A73B8">
            <w:pPr>
              <w:pStyle w:val="Footnote"/>
              <w:jc w:val="right"/>
              <w:rPr>
                <w:sz w:val="20"/>
                <w:szCs w:val="20"/>
                <w:lang w:val="en-GB" w:eastAsia="en-US"/>
              </w:rPr>
            </w:pPr>
            <w:r w:rsidRPr="00103DDB">
              <w:rPr>
                <w:sz w:val="20"/>
                <w:szCs w:val="20"/>
                <w:lang w:val="en-GB" w:eastAsia="en-US"/>
              </w:rPr>
              <w:t>8,071,032.6</w:t>
            </w:r>
          </w:p>
        </w:tc>
        <w:tc>
          <w:tcPr>
            <w:tcW w:w="0" w:type="auto"/>
            <w:noWrap/>
            <w:vAlign w:val="center"/>
            <w:hideMark/>
          </w:tcPr>
          <w:p w14:paraId="20048A75" w14:textId="77777777" w:rsidR="00094DC6" w:rsidRPr="00103DDB" w:rsidRDefault="00094DC6" w:rsidP="006A73B8">
            <w:pPr>
              <w:pStyle w:val="Footnote"/>
              <w:jc w:val="right"/>
              <w:rPr>
                <w:sz w:val="20"/>
                <w:szCs w:val="20"/>
                <w:lang w:val="en-GB" w:eastAsia="en-US"/>
              </w:rPr>
            </w:pPr>
            <w:r w:rsidRPr="00103DDB">
              <w:rPr>
                <w:sz w:val="20"/>
                <w:szCs w:val="20"/>
                <w:lang w:val="en-GB" w:eastAsia="en-US"/>
              </w:rPr>
              <w:t>7,881,617.2</w:t>
            </w:r>
          </w:p>
        </w:tc>
      </w:tr>
      <w:tr w:rsidR="00094DC6" w:rsidRPr="00103DDB" w14:paraId="3D3BBBA4" w14:textId="77777777" w:rsidTr="004D2B55">
        <w:trPr>
          <w:trHeight w:val="113"/>
          <w:jc w:val="center"/>
        </w:trPr>
        <w:tc>
          <w:tcPr>
            <w:tcW w:w="3429" w:type="dxa"/>
            <w:noWrap/>
            <w:vAlign w:val="center"/>
            <w:hideMark/>
          </w:tcPr>
          <w:p w14:paraId="6989D381" w14:textId="77777777" w:rsidR="00094DC6" w:rsidRPr="00103DDB" w:rsidRDefault="00094DC6" w:rsidP="00094DC6">
            <w:pPr>
              <w:pStyle w:val="Footnote"/>
              <w:rPr>
                <w:sz w:val="20"/>
                <w:szCs w:val="20"/>
                <w:lang w:val="en-GB" w:eastAsia="en-US"/>
              </w:rPr>
            </w:pPr>
            <w:r w:rsidRPr="00103DDB">
              <w:rPr>
                <w:sz w:val="20"/>
                <w:szCs w:val="20"/>
                <w:lang w:val="en-GB" w:eastAsia="en-US"/>
              </w:rPr>
              <w:t>In-car entertainment</w:t>
            </w:r>
          </w:p>
        </w:tc>
        <w:tc>
          <w:tcPr>
            <w:tcW w:w="0" w:type="auto"/>
            <w:noWrap/>
            <w:vAlign w:val="center"/>
            <w:hideMark/>
          </w:tcPr>
          <w:p w14:paraId="6783ED9A" w14:textId="77777777" w:rsidR="00094DC6" w:rsidRPr="00103DDB" w:rsidRDefault="00094DC6" w:rsidP="006A73B8">
            <w:pPr>
              <w:pStyle w:val="Footnote"/>
              <w:jc w:val="right"/>
              <w:rPr>
                <w:sz w:val="20"/>
                <w:szCs w:val="20"/>
                <w:lang w:val="en-GB" w:eastAsia="en-US"/>
              </w:rPr>
            </w:pPr>
            <w:r w:rsidRPr="00103DDB">
              <w:rPr>
                <w:sz w:val="20"/>
                <w:szCs w:val="20"/>
                <w:lang w:val="en-GB" w:eastAsia="en-US"/>
              </w:rPr>
              <w:t>7,752,868.7</w:t>
            </w:r>
          </w:p>
        </w:tc>
        <w:tc>
          <w:tcPr>
            <w:tcW w:w="0" w:type="auto"/>
            <w:noWrap/>
            <w:vAlign w:val="center"/>
            <w:hideMark/>
          </w:tcPr>
          <w:p w14:paraId="4B3F22CF" w14:textId="77777777" w:rsidR="00094DC6" w:rsidRPr="00103DDB" w:rsidRDefault="00094DC6" w:rsidP="006A73B8">
            <w:pPr>
              <w:pStyle w:val="Footnote"/>
              <w:jc w:val="right"/>
              <w:rPr>
                <w:sz w:val="20"/>
                <w:szCs w:val="20"/>
                <w:lang w:val="en-GB" w:eastAsia="en-US"/>
              </w:rPr>
            </w:pPr>
            <w:r w:rsidRPr="00103DDB">
              <w:rPr>
                <w:sz w:val="20"/>
                <w:szCs w:val="20"/>
                <w:lang w:val="en-GB" w:eastAsia="en-US"/>
              </w:rPr>
              <w:t>7,849,549.1</w:t>
            </w:r>
          </w:p>
        </w:tc>
        <w:tc>
          <w:tcPr>
            <w:tcW w:w="0" w:type="auto"/>
            <w:noWrap/>
            <w:vAlign w:val="center"/>
            <w:hideMark/>
          </w:tcPr>
          <w:p w14:paraId="50272E53" w14:textId="77777777" w:rsidR="00094DC6" w:rsidRPr="00103DDB" w:rsidRDefault="00094DC6" w:rsidP="006A73B8">
            <w:pPr>
              <w:pStyle w:val="Footnote"/>
              <w:jc w:val="right"/>
              <w:rPr>
                <w:sz w:val="20"/>
                <w:szCs w:val="20"/>
                <w:lang w:val="en-GB" w:eastAsia="en-US"/>
              </w:rPr>
            </w:pPr>
            <w:r w:rsidRPr="00103DDB">
              <w:rPr>
                <w:sz w:val="20"/>
                <w:szCs w:val="20"/>
                <w:lang w:val="en-GB" w:eastAsia="en-US"/>
              </w:rPr>
              <w:t>7,238,713.4</w:t>
            </w:r>
          </w:p>
        </w:tc>
        <w:tc>
          <w:tcPr>
            <w:tcW w:w="0" w:type="auto"/>
            <w:noWrap/>
            <w:vAlign w:val="center"/>
            <w:hideMark/>
          </w:tcPr>
          <w:p w14:paraId="0A28F8CD" w14:textId="77777777" w:rsidR="00094DC6" w:rsidRPr="00103DDB" w:rsidRDefault="00094DC6" w:rsidP="006A73B8">
            <w:pPr>
              <w:pStyle w:val="Footnote"/>
              <w:jc w:val="right"/>
              <w:rPr>
                <w:sz w:val="20"/>
                <w:szCs w:val="20"/>
                <w:lang w:val="en-GB" w:eastAsia="en-US"/>
              </w:rPr>
            </w:pPr>
            <w:r w:rsidRPr="00103DDB">
              <w:rPr>
                <w:sz w:val="20"/>
                <w:szCs w:val="20"/>
                <w:lang w:val="en-GB" w:eastAsia="en-US"/>
              </w:rPr>
              <w:t>6,598,615.4</w:t>
            </w:r>
          </w:p>
        </w:tc>
        <w:tc>
          <w:tcPr>
            <w:tcW w:w="0" w:type="auto"/>
            <w:noWrap/>
            <w:vAlign w:val="center"/>
            <w:hideMark/>
          </w:tcPr>
          <w:p w14:paraId="60DD915C" w14:textId="77777777" w:rsidR="00094DC6" w:rsidRPr="00103DDB" w:rsidRDefault="00094DC6" w:rsidP="006A73B8">
            <w:pPr>
              <w:pStyle w:val="Footnote"/>
              <w:jc w:val="right"/>
              <w:rPr>
                <w:sz w:val="20"/>
                <w:szCs w:val="20"/>
                <w:lang w:val="en-GB" w:eastAsia="en-US"/>
              </w:rPr>
            </w:pPr>
            <w:r w:rsidRPr="00103DDB">
              <w:rPr>
                <w:sz w:val="20"/>
                <w:szCs w:val="20"/>
                <w:lang w:val="en-GB" w:eastAsia="en-US"/>
              </w:rPr>
              <w:t>6,194,046.4</w:t>
            </w:r>
          </w:p>
        </w:tc>
        <w:tc>
          <w:tcPr>
            <w:tcW w:w="0" w:type="auto"/>
            <w:noWrap/>
            <w:vAlign w:val="center"/>
            <w:hideMark/>
          </w:tcPr>
          <w:p w14:paraId="2F1E5BCD" w14:textId="77777777" w:rsidR="00094DC6" w:rsidRPr="00103DDB" w:rsidRDefault="00094DC6" w:rsidP="006A73B8">
            <w:pPr>
              <w:pStyle w:val="Footnote"/>
              <w:jc w:val="right"/>
              <w:rPr>
                <w:sz w:val="20"/>
                <w:szCs w:val="20"/>
                <w:lang w:val="en-GB" w:eastAsia="en-US"/>
              </w:rPr>
            </w:pPr>
            <w:r w:rsidRPr="00103DDB">
              <w:rPr>
                <w:sz w:val="20"/>
                <w:szCs w:val="20"/>
                <w:lang w:val="en-GB" w:eastAsia="en-US"/>
              </w:rPr>
              <w:t>5,736,783.5</w:t>
            </w:r>
          </w:p>
        </w:tc>
        <w:tc>
          <w:tcPr>
            <w:tcW w:w="0" w:type="auto"/>
            <w:noWrap/>
            <w:vAlign w:val="center"/>
            <w:hideMark/>
          </w:tcPr>
          <w:p w14:paraId="3AB49819" w14:textId="77777777" w:rsidR="00094DC6" w:rsidRPr="00103DDB" w:rsidRDefault="00094DC6" w:rsidP="006A73B8">
            <w:pPr>
              <w:pStyle w:val="Footnote"/>
              <w:jc w:val="right"/>
              <w:rPr>
                <w:sz w:val="20"/>
                <w:szCs w:val="20"/>
                <w:lang w:val="en-GB" w:eastAsia="en-US"/>
              </w:rPr>
            </w:pPr>
            <w:r w:rsidRPr="00103DDB">
              <w:rPr>
                <w:sz w:val="20"/>
                <w:szCs w:val="20"/>
                <w:lang w:val="en-GB" w:eastAsia="en-US"/>
              </w:rPr>
              <w:t>5,448,160.5</w:t>
            </w:r>
          </w:p>
        </w:tc>
      </w:tr>
      <w:tr w:rsidR="00094DC6" w:rsidRPr="00103DDB" w14:paraId="07ACA0E6" w14:textId="77777777" w:rsidTr="004D2B55">
        <w:trPr>
          <w:trHeight w:val="113"/>
          <w:jc w:val="center"/>
        </w:trPr>
        <w:tc>
          <w:tcPr>
            <w:tcW w:w="3429" w:type="dxa"/>
            <w:noWrap/>
            <w:vAlign w:val="center"/>
            <w:hideMark/>
          </w:tcPr>
          <w:p w14:paraId="379A6423" w14:textId="77777777" w:rsidR="00094DC6" w:rsidRPr="00103DDB" w:rsidRDefault="00094DC6" w:rsidP="00094DC6">
            <w:pPr>
              <w:pStyle w:val="Footnote"/>
              <w:rPr>
                <w:sz w:val="20"/>
                <w:szCs w:val="20"/>
                <w:lang w:val="en-GB" w:eastAsia="en-US"/>
              </w:rPr>
            </w:pPr>
            <w:r w:rsidRPr="00103DDB">
              <w:rPr>
                <w:sz w:val="20"/>
                <w:szCs w:val="20"/>
                <w:lang w:val="en-GB" w:eastAsia="en-US"/>
              </w:rPr>
              <w:t>In-home consumer electronics</w:t>
            </w:r>
          </w:p>
        </w:tc>
        <w:tc>
          <w:tcPr>
            <w:tcW w:w="0" w:type="auto"/>
            <w:noWrap/>
            <w:vAlign w:val="center"/>
            <w:hideMark/>
          </w:tcPr>
          <w:p w14:paraId="39005939" w14:textId="77777777" w:rsidR="00094DC6" w:rsidRPr="00103DDB" w:rsidRDefault="00094DC6" w:rsidP="006A73B8">
            <w:pPr>
              <w:pStyle w:val="Footnote"/>
              <w:jc w:val="right"/>
              <w:rPr>
                <w:sz w:val="20"/>
                <w:szCs w:val="20"/>
                <w:lang w:val="en-GB" w:eastAsia="en-US"/>
              </w:rPr>
            </w:pPr>
            <w:r w:rsidRPr="00103DDB">
              <w:rPr>
                <w:sz w:val="20"/>
                <w:szCs w:val="20"/>
                <w:lang w:val="en-GB" w:eastAsia="en-US"/>
              </w:rPr>
              <w:t>5,994,863.5</w:t>
            </w:r>
          </w:p>
        </w:tc>
        <w:tc>
          <w:tcPr>
            <w:tcW w:w="0" w:type="auto"/>
            <w:noWrap/>
            <w:vAlign w:val="center"/>
            <w:hideMark/>
          </w:tcPr>
          <w:p w14:paraId="5D6BB69F" w14:textId="77777777" w:rsidR="00094DC6" w:rsidRPr="00103DDB" w:rsidRDefault="00094DC6" w:rsidP="006A73B8">
            <w:pPr>
              <w:pStyle w:val="Footnote"/>
              <w:jc w:val="right"/>
              <w:rPr>
                <w:sz w:val="20"/>
                <w:szCs w:val="20"/>
                <w:lang w:val="en-GB" w:eastAsia="en-US"/>
              </w:rPr>
            </w:pPr>
            <w:r w:rsidRPr="00103DDB">
              <w:rPr>
                <w:sz w:val="20"/>
                <w:szCs w:val="20"/>
                <w:lang w:val="en-GB" w:eastAsia="en-US"/>
              </w:rPr>
              <w:t>5,798,867.9</w:t>
            </w:r>
          </w:p>
        </w:tc>
        <w:tc>
          <w:tcPr>
            <w:tcW w:w="0" w:type="auto"/>
            <w:noWrap/>
            <w:vAlign w:val="center"/>
            <w:hideMark/>
          </w:tcPr>
          <w:p w14:paraId="0849E694" w14:textId="77777777" w:rsidR="00094DC6" w:rsidRPr="00103DDB" w:rsidRDefault="00094DC6" w:rsidP="006A73B8">
            <w:pPr>
              <w:pStyle w:val="Footnote"/>
              <w:jc w:val="right"/>
              <w:rPr>
                <w:sz w:val="20"/>
                <w:szCs w:val="20"/>
                <w:lang w:val="en-GB" w:eastAsia="en-US"/>
              </w:rPr>
            </w:pPr>
            <w:r w:rsidRPr="00103DDB">
              <w:rPr>
                <w:sz w:val="20"/>
                <w:szCs w:val="20"/>
                <w:lang w:val="en-GB" w:eastAsia="en-US"/>
              </w:rPr>
              <w:t>5,515,229.0</w:t>
            </w:r>
          </w:p>
        </w:tc>
        <w:tc>
          <w:tcPr>
            <w:tcW w:w="0" w:type="auto"/>
            <w:noWrap/>
            <w:vAlign w:val="center"/>
            <w:hideMark/>
          </w:tcPr>
          <w:p w14:paraId="161F7610" w14:textId="77777777" w:rsidR="00094DC6" w:rsidRPr="00103DDB" w:rsidRDefault="00094DC6" w:rsidP="006A73B8">
            <w:pPr>
              <w:pStyle w:val="Footnote"/>
              <w:jc w:val="right"/>
              <w:rPr>
                <w:sz w:val="20"/>
                <w:szCs w:val="20"/>
                <w:lang w:val="en-GB" w:eastAsia="en-US"/>
              </w:rPr>
            </w:pPr>
            <w:r w:rsidRPr="00103DDB">
              <w:rPr>
                <w:sz w:val="20"/>
                <w:szCs w:val="20"/>
                <w:lang w:val="en-GB" w:eastAsia="en-US"/>
              </w:rPr>
              <w:t>5,353,718.9</w:t>
            </w:r>
          </w:p>
        </w:tc>
        <w:tc>
          <w:tcPr>
            <w:tcW w:w="0" w:type="auto"/>
            <w:noWrap/>
            <w:vAlign w:val="center"/>
            <w:hideMark/>
          </w:tcPr>
          <w:p w14:paraId="5001036D" w14:textId="77777777" w:rsidR="00094DC6" w:rsidRPr="00103DDB" w:rsidRDefault="00094DC6" w:rsidP="006A73B8">
            <w:pPr>
              <w:pStyle w:val="Footnote"/>
              <w:jc w:val="right"/>
              <w:rPr>
                <w:sz w:val="20"/>
                <w:szCs w:val="20"/>
                <w:lang w:val="en-GB" w:eastAsia="en-US"/>
              </w:rPr>
            </w:pPr>
            <w:r w:rsidRPr="00103DDB">
              <w:rPr>
                <w:sz w:val="20"/>
                <w:szCs w:val="20"/>
                <w:lang w:val="en-GB" w:eastAsia="en-US"/>
              </w:rPr>
              <w:t>5,251,965.8</w:t>
            </w:r>
          </w:p>
        </w:tc>
        <w:tc>
          <w:tcPr>
            <w:tcW w:w="0" w:type="auto"/>
            <w:noWrap/>
            <w:vAlign w:val="center"/>
            <w:hideMark/>
          </w:tcPr>
          <w:p w14:paraId="51ED4E9A" w14:textId="77777777" w:rsidR="00094DC6" w:rsidRPr="00103DDB" w:rsidRDefault="00094DC6" w:rsidP="006A73B8">
            <w:pPr>
              <w:pStyle w:val="Footnote"/>
              <w:jc w:val="right"/>
              <w:rPr>
                <w:sz w:val="20"/>
                <w:szCs w:val="20"/>
                <w:lang w:val="en-GB" w:eastAsia="en-US"/>
              </w:rPr>
            </w:pPr>
            <w:r w:rsidRPr="00103DDB">
              <w:rPr>
                <w:sz w:val="20"/>
                <w:szCs w:val="20"/>
                <w:lang w:val="en-GB" w:eastAsia="en-US"/>
              </w:rPr>
              <w:t>5,345,442.4</w:t>
            </w:r>
          </w:p>
        </w:tc>
        <w:tc>
          <w:tcPr>
            <w:tcW w:w="0" w:type="auto"/>
            <w:noWrap/>
            <w:vAlign w:val="center"/>
            <w:hideMark/>
          </w:tcPr>
          <w:p w14:paraId="17ED5A44" w14:textId="77777777" w:rsidR="00094DC6" w:rsidRPr="00103DDB" w:rsidRDefault="00094DC6" w:rsidP="006A73B8">
            <w:pPr>
              <w:pStyle w:val="Footnote"/>
              <w:jc w:val="right"/>
              <w:rPr>
                <w:sz w:val="20"/>
                <w:szCs w:val="20"/>
                <w:lang w:val="en-GB" w:eastAsia="en-US"/>
              </w:rPr>
            </w:pPr>
            <w:r w:rsidRPr="00103DDB">
              <w:rPr>
                <w:sz w:val="20"/>
                <w:szCs w:val="20"/>
                <w:lang w:val="en-GB" w:eastAsia="en-US"/>
              </w:rPr>
              <w:t>5,381,850.0</w:t>
            </w:r>
          </w:p>
        </w:tc>
      </w:tr>
      <w:tr w:rsidR="00094DC6" w:rsidRPr="00103DDB" w14:paraId="42D0311F" w14:textId="77777777" w:rsidTr="004D2B55">
        <w:trPr>
          <w:trHeight w:val="113"/>
          <w:jc w:val="center"/>
        </w:trPr>
        <w:tc>
          <w:tcPr>
            <w:tcW w:w="3429" w:type="dxa"/>
            <w:noWrap/>
            <w:vAlign w:val="center"/>
            <w:hideMark/>
          </w:tcPr>
          <w:p w14:paraId="04A541E5" w14:textId="77777777" w:rsidR="00094DC6" w:rsidRPr="00103DDB" w:rsidRDefault="00094DC6" w:rsidP="00094DC6">
            <w:pPr>
              <w:pStyle w:val="Footnote"/>
              <w:rPr>
                <w:sz w:val="20"/>
                <w:szCs w:val="20"/>
                <w:lang w:val="en-GB" w:eastAsia="en-US"/>
              </w:rPr>
            </w:pPr>
            <w:r w:rsidRPr="00103DDB">
              <w:rPr>
                <w:sz w:val="20"/>
                <w:szCs w:val="20"/>
                <w:lang w:val="en-GB" w:eastAsia="en-US"/>
              </w:rPr>
              <w:t>Portable consumer electronics</w:t>
            </w:r>
          </w:p>
        </w:tc>
        <w:tc>
          <w:tcPr>
            <w:tcW w:w="0" w:type="auto"/>
            <w:noWrap/>
            <w:vAlign w:val="center"/>
            <w:hideMark/>
          </w:tcPr>
          <w:p w14:paraId="52DD935B" w14:textId="77777777" w:rsidR="00094DC6" w:rsidRPr="00103DDB" w:rsidRDefault="00094DC6" w:rsidP="006A73B8">
            <w:pPr>
              <w:pStyle w:val="Footnote"/>
              <w:jc w:val="right"/>
              <w:rPr>
                <w:sz w:val="20"/>
                <w:szCs w:val="20"/>
                <w:lang w:val="en-GB" w:eastAsia="en-US"/>
              </w:rPr>
            </w:pPr>
            <w:r w:rsidRPr="00103DDB">
              <w:rPr>
                <w:sz w:val="20"/>
                <w:szCs w:val="20"/>
                <w:lang w:val="en-GB" w:eastAsia="en-US"/>
              </w:rPr>
              <w:t>6,101,954.7</w:t>
            </w:r>
          </w:p>
        </w:tc>
        <w:tc>
          <w:tcPr>
            <w:tcW w:w="0" w:type="auto"/>
            <w:noWrap/>
            <w:vAlign w:val="center"/>
            <w:hideMark/>
          </w:tcPr>
          <w:p w14:paraId="196AE77F" w14:textId="77777777" w:rsidR="00094DC6" w:rsidRPr="00103DDB" w:rsidRDefault="00094DC6" w:rsidP="006A73B8">
            <w:pPr>
              <w:pStyle w:val="Footnote"/>
              <w:jc w:val="right"/>
              <w:rPr>
                <w:sz w:val="20"/>
                <w:szCs w:val="20"/>
                <w:lang w:val="en-GB" w:eastAsia="en-US"/>
              </w:rPr>
            </w:pPr>
            <w:r w:rsidRPr="00103DDB">
              <w:rPr>
                <w:sz w:val="20"/>
                <w:szCs w:val="20"/>
                <w:lang w:val="en-GB" w:eastAsia="en-US"/>
              </w:rPr>
              <w:t>5,425,081.5</w:t>
            </w:r>
          </w:p>
        </w:tc>
        <w:tc>
          <w:tcPr>
            <w:tcW w:w="0" w:type="auto"/>
            <w:noWrap/>
            <w:vAlign w:val="center"/>
            <w:hideMark/>
          </w:tcPr>
          <w:p w14:paraId="353FBA05" w14:textId="77777777" w:rsidR="00094DC6" w:rsidRPr="00103DDB" w:rsidRDefault="00094DC6" w:rsidP="006A73B8">
            <w:pPr>
              <w:pStyle w:val="Footnote"/>
              <w:jc w:val="right"/>
              <w:rPr>
                <w:sz w:val="20"/>
                <w:szCs w:val="20"/>
                <w:lang w:val="en-GB" w:eastAsia="en-US"/>
              </w:rPr>
            </w:pPr>
            <w:r w:rsidRPr="00103DDB">
              <w:rPr>
                <w:sz w:val="20"/>
                <w:szCs w:val="20"/>
                <w:lang w:val="en-GB" w:eastAsia="en-US"/>
              </w:rPr>
              <w:t>4,785,641.4</w:t>
            </w:r>
          </w:p>
        </w:tc>
        <w:tc>
          <w:tcPr>
            <w:tcW w:w="0" w:type="auto"/>
            <w:noWrap/>
            <w:vAlign w:val="center"/>
            <w:hideMark/>
          </w:tcPr>
          <w:p w14:paraId="68D02536" w14:textId="77777777" w:rsidR="00094DC6" w:rsidRPr="00103DDB" w:rsidRDefault="00094DC6" w:rsidP="006A73B8">
            <w:pPr>
              <w:pStyle w:val="Footnote"/>
              <w:jc w:val="right"/>
              <w:rPr>
                <w:sz w:val="20"/>
                <w:szCs w:val="20"/>
                <w:lang w:val="en-GB" w:eastAsia="en-US"/>
              </w:rPr>
            </w:pPr>
            <w:r w:rsidRPr="00103DDB">
              <w:rPr>
                <w:sz w:val="20"/>
                <w:szCs w:val="20"/>
                <w:lang w:val="en-GB" w:eastAsia="en-US"/>
              </w:rPr>
              <w:t>4,220,396.5</w:t>
            </w:r>
          </w:p>
        </w:tc>
        <w:tc>
          <w:tcPr>
            <w:tcW w:w="0" w:type="auto"/>
            <w:noWrap/>
            <w:vAlign w:val="center"/>
            <w:hideMark/>
          </w:tcPr>
          <w:p w14:paraId="143068D4" w14:textId="77777777" w:rsidR="00094DC6" w:rsidRPr="00103DDB" w:rsidRDefault="00094DC6" w:rsidP="006A73B8">
            <w:pPr>
              <w:pStyle w:val="Footnote"/>
              <w:jc w:val="right"/>
              <w:rPr>
                <w:sz w:val="20"/>
                <w:szCs w:val="20"/>
                <w:lang w:val="en-GB" w:eastAsia="en-US"/>
              </w:rPr>
            </w:pPr>
            <w:r w:rsidRPr="00103DDB">
              <w:rPr>
                <w:sz w:val="20"/>
                <w:szCs w:val="20"/>
                <w:lang w:val="en-GB" w:eastAsia="en-US"/>
              </w:rPr>
              <w:t>3,790,493.1</w:t>
            </w:r>
          </w:p>
        </w:tc>
        <w:tc>
          <w:tcPr>
            <w:tcW w:w="0" w:type="auto"/>
            <w:noWrap/>
            <w:vAlign w:val="center"/>
            <w:hideMark/>
          </w:tcPr>
          <w:p w14:paraId="2032492F" w14:textId="77777777" w:rsidR="00094DC6" w:rsidRPr="00103DDB" w:rsidRDefault="00094DC6" w:rsidP="006A73B8">
            <w:pPr>
              <w:pStyle w:val="Footnote"/>
              <w:jc w:val="right"/>
              <w:rPr>
                <w:sz w:val="20"/>
                <w:szCs w:val="20"/>
                <w:lang w:val="en-GB" w:eastAsia="en-US"/>
              </w:rPr>
            </w:pPr>
            <w:r w:rsidRPr="00103DDB">
              <w:rPr>
                <w:sz w:val="20"/>
                <w:szCs w:val="20"/>
                <w:lang w:val="en-GB" w:eastAsia="en-US"/>
              </w:rPr>
              <w:t>3,581,148.4</w:t>
            </w:r>
          </w:p>
        </w:tc>
        <w:tc>
          <w:tcPr>
            <w:tcW w:w="0" w:type="auto"/>
            <w:noWrap/>
            <w:vAlign w:val="center"/>
            <w:hideMark/>
          </w:tcPr>
          <w:p w14:paraId="442E6472" w14:textId="77777777" w:rsidR="00094DC6" w:rsidRPr="00103DDB" w:rsidRDefault="00094DC6" w:rsidP="006A73B8">
            <w:pPr>
              <w:pStyle w:val="Footnote"/>
              <w:jc w:val="right"/>
              <w:rPr>
                <w:sz w:val="20"/>
                <w:szCs w:val="20"/>
                <w:lang w:val="en-GB" w:eastAsia="en-US"/>
              </w:rPr>
            </w:pPr>
            <w:r w:rsidRPr="00103DDB">
              <w:rPr>
                <w:sz w:val="20"/>
                <w:szCs w:val="20"/>
                <w:lang w:val="en-GB" w:eastAsia="en-US"/>
              </w:rPr>
              <w:t>3,359,353.1</w:t>
            </w:r>
          </w:p>
        </w:tc>
      </w:tr>
    </w:tbl>
    <w:p w14:paraId="47F94595" w14:textId="77777777" w:rsidR="00094DC6" w:rsidRPr="00103DDB" w:rsidRDefault="00094DC6" w:rsidP="00094DC6">
      <w:pPr>
        <w:pStyle w:val="Footnote"/>
        <w:rPr>
          <w:lang w:val="en-GB"/>
        </w:rPr>
      </w:pPr>
    </w:p>
    <w:p w14:paraId="40EF3E5E" w14:textId="4814265C" w:rsidR="00094DC6" w:rsidRPr="00103DDB" w:rsidRDefault="005960E7" w:rsidP="00094DC6">
      <w:pPr>
        <w:pStyle w:val="Footnote"/>
        <w:jc w:val="left"/>
        <w:rPr>
          <w:lang w:val="en-GB"/>
        </w:rPr>
      </w:pPr>
      <w:r>
        <w:rPr>
          <w:lang w:val="en-GB"/>
        </w:rPr>
        <w:t xml:space="preserve">Note: </w:t>
      </w:r>
      <w:r w:rsidR="00977930">
        <w:rPr>
          <w:lang w:val="en-GB"/>
        </w:rPr>
        <w:t xml:space="preserve">VND = </w:t>
      </w:r>
      <w:r w:rsidR="00094DC6" w:rsidRPr="00103DDB">
        <w:rPr>
          <w:lang w:val="en-GB"/>
        </w:rPr>
        <w:t>Vietnamese dong</w:t>
      </w:r>
      <w:r w:rsidR="006A73B8">
        <w:t xml:space="preserve">; </w:t>
      </w:r>
      <w:r>
        <w:t xml:space="preserve">VND1.00 = US$0.0001 </w:t>
      </w:r>
      <w:r w:rsidR="006A73B8">
        <w:t>on January 1, 2008</w:t>
      </w:r>
      <w:r w:rsidR="00094DC6" w:rsidRPr="00103DDB">
        <w:rPr>
          <w:lang w:val="en-GB"/>
        </w:rPr>
        <w:t>.</w:t>
      </w:r>
    </w:p>
    <w:p w14:paraId="353882CD" w14:textId="704887AC" w:rsidR="00094DC6" w:rsidRPr="00103DDB" w:rsidRDefault="00094DC6" w:rsidP="00094DC6">
      <w:pPr>
        <w:pStyle w:val="Footnote"/>
        <w:jc w:val="left"/>
        <w:rPr>
          <w:lang w:val="en-GB"/>
        </w:rPr>
      </w:pPr>
      <w:r w:rsidRPr="00103DDB">
        <w:rPr>
          <w:lang w:val="en-GB"/>
        </w:rPr>
        <w:t xml:space="preserve">Source: “World Development Indicators,” The World Bank, accessed September 6, 2016, </w:t>
      </w:r>
      <w:r w:rsidR="005960E7" w:rsidRPr="005960E7">
        <w:rPr>
          <w:lang w:val="en-GB"/>
        </w:rPr>
        <w:t>http://data.worldbank.org/data-catalog/world-development-indicators</w:t>
      </w:r>
      <w:r w:rsidR="005960E7">
        <w:rPr>
          <w:lang w:val="en-GB"/>
        </w:rPr>
        <w:t>; “Mobile Phones in Vietnam,” Passport, accessed September 6, 2016.</w:t>
      </w:r>
    </w:p>
    <w:p w14:paraId="6AA05A16" w14:textId="4AA59B16" w:rsidR="00D37B53" w:rsidRPr="00103DDB" w:rsidRDefault="00D37B53" w:rsidP="00094DC6">
      <w:pPr>
        <w:pStyle w:val="Footnote"/>
        <w:rPr>
          <w:lang w:val="en-GB"/>
        </w:rPr>
      </w:pPr>
    </w:p>
    <w:p w14:paraId="4D183FE7" w14:textId="77777777" w:rsidR="00D37B53" w:rsidRPr="00103DDB" w:rsidRDefault="00D37B53">
      <w:pPr>
        <w:spacing w:after="200" w:line="276" w:lineRule="auto"/>
        <w:rPr>
          <w:rFonts w:ascii="Arial" w:hAnsi="Arial" w:cs="Arial"/>
          <w:sz w:val="17"/>
          <w:szCs w:val="17"/>
          <w:lang w:val="en-GB"/>
        </w:rPr>
      </w:pPr>
      <w:r w:rsidRPr="00103DDB">
        <w:rPr>
          <w:lang w:val="en-GB"/>
        </w:rPr>
        <w:br w:type="page"/>
      </w:r>
    </w:p>
    <w:p w14:paraId="5305D03A" w14:textId="77777777" w:rsidR="0013576C" w:rsidRPr="00103DDB" w:rsidRDefault="0013576C" w:rsidP="005D3D57">
      <w:pPr>
        <w:pStyle w:val="Footnote"/>
        <w:jc w:val="left"/>
        <w:rPr>
          <w:lang w:val="en-GB"/>
        </w:rPr>
        <w:sectPr w:rsidR="0013576C" w:rsidRPr="00103DDB" w:rsidSect="00094DC6">
          <w:headerReference w:type="default" r:id="rId15"/>
          <w:endnotePr>
            <w:numFmt w:val="decimal"/>
          </w:endnotePr>
          <w:pgSz w:w="15840" w:h="12240" w:orient="landscape"/>
          <w:pgMar w:top="1440" w:right="1440" w:bottom="1440" w:left="1440" w:header="1080" w:footer="720" w:gutter="0"/>
          <w:cols w:space="720"/>
          <w:docGrid w:linePitch="360"/>
        </w:sectPr>
      </w:pPr>
    </w:p>
    <w:p w14:paraId="4BCBBCF0" w14:textId="40CEAEAE" w:rsidR="005D3D57" w:rsidRPr="00103DDB" w:rsidRDefault="005D3D57" w:rsidP="005D3D57">
      <w:pPr>
        <w:pStyle w:val="ExhibitHeading"/>
        <w:rPr>
          <w:lang w:val="en-GB"/>
        </w:rPr>
      </w:pPr>
      <w:r w:rsidRPr="00103DDB">
        <w:rPr>
          <w:lang w:val="en-GB"/>
        </w:rPr>
        <w:lastRenderedPageBreak/>
        <w:t xml:space="preserve">Exhibit 3: Biographies of </w:t>
      </w:r>
      <w:r w:rsidR="00DF20F0" w:rsidRPr="00103DDB">
        <w:rPr>
          <w:lang w:val="en-GB"/>
        </w:rPr>
        <w:t>Mobile World</w:t>
      </w:r>
      <w:r w:rsidRPr="00103DDB">
        <w:rPr>
          <w:lang w:val="en-GB"/>
        </w:rPr>
        <w:t xml:space="preserve">’s Core </w:t>
      </w:r>
      <w:r w:rsidR="00502311" w:rsidRPr="00103DDB">
        <w:rPr>
          <w:lang w:val="en-GB"/>
        </w:rPr>
        <w:t>five</w:t>
      </w:r>
      <w:r w:rsidRPr="00103DDB">
        <w:rPr>
          <w:lang w:val="en-GB"/>
        </w:rPr>
        <w:t xml:space="preserve"> Founders</w:t>
      </w:r>
    </w:p>
    <w:p w14:paraId="621C2A70" w14:textId="77777777" w:rsidR="005D3D57" w:rsidRPr="00103DDB" w:rsidRDefault="005D3D57" w:rsidP="005D3D57">
      <w:pPr>
        <w:rPr>
          <w:lang w:val="en-GB"/>
        </w:rPr>
      </w:pPr>
    </w:p>
    <w:p w14:paraId="381838D3" w14:textId="77777777" w:rsidR="00502311" w:rsidRPr="00103DDB" w:rsidRDefault="00502311" w:rsidP="005D3D57">
      <w:pPr>
        <w:rPr>
          <w:lang w:val="en-GB"/>
        </w:rPr>
      </w:pPr>
    </w:p>
    <w:p w14:paraId="6D94F010" w14:textId="612566F4" w:rsidR="005D3D57" w:rsidRPr="00103DDB" w:rsidRDefault="005D3D57" w:rsidP="005D3D57">
      <w:pPr>
        <w:pStyle w:val="Casehead2"/>
        <w:rPr>
          <w:lang w:val="en-GB"/>
        </w:rPr>
      </w:pPr>
      <w:r w:rsidRPr="00103DDB">
        <w:rPr>
          <w:lang w:val="en-GB"/>
        </w:rPr>
        <w:t xml:space="preserve">Nguyen </w:t>
      </w:r>
      <w:proofErr w:type="spellStart"/>
      <w:r w:rsidRPr="00103DDB">
        <w:rPr>
          <w:lang w:val="en-GB"/>
        </w:rPr>
        <w:t>Duc</w:t>
      </w:r>
      <w:proofErr w:type="spellEnd"/>
      <w:r w:rsidRPr="00103DDB">
        <w:rPr>
          <w:lang w:val="en-GB"/>
        </w:rPr>
        <w:t xml:space="preserve"> Tai</w:t>
      </w:r>
    </w:p>
    <w:p w14:paraId="05CA8CCD" w14:textId="77777777" w:rsidR="005D3D57" w:rsidRPr="00103DDB" w:rsidRDefault="005D3D57" w:rsidP="005D3D57">
      <w:pPr>
        <w:pStyle w:val="Casehead2"/>
        <w:rPr>
          <w:lang w:val="en-GB"/>
        </w:rPr>
      </w:pPr>
    </w:p>
    <w:p w14:paraId="46885908" w14:textId="10DCA7E0" w:rsidR="005D3D57" w:rsidRPr="00103DDB" w:rsidRDefault="005D3D57" w:rsidP="005960E7">
      <w:pPr>
        <w:widowControl w:val="0"/>
        <w:autoSpaceDE w:val="0"/>
        <w:autoSpaceDN w:val="0"/>
        <w:adjustRightInd w:val="0"/>
        <w:jc w:val="both"/>
        <w:rPr>
          <w:rFonts w:ascii="Arial" w:hAnsi="Arial" w:cs="Arial"/>
          <w:lang w:val="en-GB"/>
        </w:rPr>
      </w:pPr>
      <w:r w:rsidRPr="00103DDB">
        <w:rPr>
          <w:rFonts w:ascii="Arial" w:hAnsi="Arial" w:cs="Arial"/>
          <w:lang w:val="en-GB"/>
        </w:rPr>
        <w:t xml:space="preserve">Tai was born in 1969. He earned his </w:t>
      </w:r>
      <w:r w:rsidR="006A73B8">
        <w:rPr>
          <w:rFonts w:ascii="Arial" w:hAnsi="Arial" w:cs="Arial"/>
          <w:lang w:val="en-GB"/>
        </w:rPr>
        <w:t>B</w:t>
      </w:r>
      <w:r w:rsidR="00ED7730" w:rsidRPr="00103DDB">
        <w:rPr>
          <w:rFonts w:ascii="Arial" w:hAnsi="Arial" w:cs="Arial"/>
          <w:lang w:val="en-GB"/>
        </w:rPr>
        <w:t>achelor o</w:t>
      </w:r>
      <w:r w:rsidR="006A73B8">
        <w:rPr>
          <w:rFonts w:ascii="Arial" w:hAnsi="Arial" w:cs="Arial"/>
          <w:lang w:val="en-GB"/>
        </w:rPr>
        <w:t>f</w:t>
      </w:r>
      <w:r w:rsidR="00ED7730" w:rsidRPr="00103DDB">
        <w:rPr>
          <w:rFonts w:ascii="Arial" w:hAnsi="Arial" w:cs="Arial"/>
          <w:lang w:val="en-GB"/>
        </w:rPr>
        <w:t xml:space="preserve"> </w:t>
      </w:r>
      <w:r w:rsidR="006A73B8">
        <w:rPr>
          <w:rFonts w:ascii="Arial" w:hAnsi="Arial" w:cs="Arial"/>
          <w:lang w:val="en-GB"/>
        </w:rPr>
        <w:t>A</w:t>
      </w:r>
      <w:r w:rsidR="00ED7730" w:rsidRPr="00103DDB">
        <w:rPr>
          <w:rFonts w:ascii="Arial" w:hAnsi="Arial" w:cs="Arial"/>
          <w:lang w:val="en-GB"/>
        </w:rPr>
        <w:t>rts</w:t>
      </w:r>
      <w:r w:rsidRPr="00103DDB">
        <w:rPr>
          <w:rFonts w:ascii="Arial" w:hAnsi="Arial" w:cs="Arial"/>
          <w:lang w:val="en-GB"/>
        </w:rPr>
        <w:t xml:space="preserve"> degree in </w:t>
      </w:r>
      <w:r w:rsidR="00060B19" w:rsidRPr="00103DDB">
        <w:rPr>
          <w:rFonts w:ascii="Arial" w:hAnsi="Arial" w:cs="Arial"/>
          <w:lang w:val="en-GB"/>
        </w:rPr>
        <w:t>f</w:t>
      </w:r>
      <w:r w:rsidRPr="00103DDB">
        <w:rPr>
          <w:rFonts w:ascii="Arial" w:hAnsi="Arial" w:cs="Arial"/>
          <w:lang w:val="en-GB"/>
        </w:rPr>
        <w:t xml:space="preserve">inance and </w:t>
      </w:r>
      <w:r w:rsidR="00060B19" w:rsidRPr="00103DDB">
        <w:rPr>
          <w:rFonts w:ascii="Arial" w:hAnsi="Arial" w:cs="Arial"/>
          <w:lang w:val="en-GB"/>
        </w:rPr>
        <w:t>a</w:t>
      </w:r>
      <w:r w:rsidRPr="00103DDB">
        <w:rPr>
          <w:rFonts w:ascii="Arial" w:hAnsi="Arial" w:cs="Arial"/>
          <w:lang w:val="en-GB"/>
        </w:rPr>
        <w:t xml:space="preserve">ccounting from the University of Economics in </w:t>
      </w:r>
      <w:proofErr w:type="spellStart"/>
      <w:r w:rsidRPr="00103DDB">
        <w:rPr>
          <w:rFonts w:ascii="Arial" w:hAnsi="Arial" w:cs="Arial"/>
          <w:lang w:val="en-GB"/>
        </w:rPr>
        <w:t>Ho</w:t>
      </w:r>
      <w:proofErr w:type="spellEnd"/>
      <w:r w:rsidRPr="00103DDB">
        <w:rPr>
          <w:rFonts w:ascii="Arial" w:hAnsi="Arial" w:cs="Arial"/>
          <w:lang w:val="en-GB"/>
        </w:rPr>
        <w:t xml:space="preserve"> Chi Minh City and, in 1995, his </w:t>
      </w:r>
      <w:r w:rsidR="006A73B8">
        <w:rPr>
          <w:rFonts w:ascii="Arial" w:hAnsi="Arial" w:cs="Arial"/>
          <w:lang w:val="en-GB"/>
        </w:rPr>
        <w:t>M</w:t>
      </w:r>
      <w:r w:rsidR="00ED7730" w:rsidRPr="00103DDB">
        <w:rPr>
          <w:rFonts w:ascii="Arial" w:hAnsi="Arial" w:cs="Arial"/>
          <w:lang w:val="en-GB"/>
        </w:rPr>
        <w:t xml:space="preserve">aster of </w:t>
      </w:r>
      <w:r w:rsidR="006A73B8">
        <w:rPr>
          <w:rFonts w:ascii="Arial" w:hAnsi="Arial" w:cs="Arial"/>
          <w:lang w:val="en-GB"/>
        </w:rPr>
        <w:t>B</w:t>
      </w:r>
      <w:r w:rsidR="00ED7730" w:rsidRPr="00103DDB">
        <w:rPr>
          <w:rFonts w:ascii="Arial" w:hAnsi="Arial" w:cs="Arial"/>
          <w:lang w:val="en-GB"/>
        </w:rPr>
        <w:t xml:space="preserve">usiness </w:t>
      </w:r>
      <w:r w:rsidR="006A73B8">
        <w:rPr>
          <w:rFonts w:ascii="Arial" w:hAnsi="Arial" w:cs="Arial"/>
          <w:lang w:val="en-GB"/>
        </w:rPr>
        <w:t>A</w:t>
      </w:r>
      <w:r w:rsidR="00ED7730" w:rsidRPr="00103DDB">
        <w:rPr>
          <w:rFonts w:ascii="Arial" w:hAnsi="Arial" w:cs="Arial"/>
          <w:lang w:val="en-GB"/>
        </w:rPr>
        <w:t>dministration</w:t>
      </w:r>
      <w:r w:rsidRPr="00103DDB">
        <w:rPr>
          <w:rFonts w:ascii="Arial" w:hAnsi="Arial" w:cs="Arial"/>
          <w:lang w:val="en-GB"/>
        </w:rPr>
        <w:t xml:space="preserve"> </w:t>
      </w:r>
      <w:r w:rsidR="00060B19" w:rsidRPr="00103DDB">
        <w:rPr>
          <w:rFonts w:ascii="Arial" w:hAnsi="Arial" w:cs="Arial"/>
          <w:lang w:val="en-GB"/>
        </w:rPr>
        <w:t>d</w:t>
      </w:r>
      <w:r w:rsidRPr="00103DDB">
        <w:rPr>
          <w:rFonts w:ascii="Arial" w:hAnsi="Arial" w:cs="Arial"/>
          <w:lang w:val="en-GB"/>
        </w:rPr>
        <w:t>egree from the Centre Franco-</w:t>
      </w:r>
      <w:proofErr w:type="spellStart"/>
      <w:r w:rsidRPr="00103DDB">
        <w:rPr>
          <w:rFonts w:ascii="Arial" w:hAnsi="Arial" w:cs="Arial"/>
          <w:lang w:val="en-GB"/>
        </w:rPr>
        <w:t>Vietnamien</w:t>
      </w:r>
      <w:proofErr w:type="spellEnd"/>
      <w:r w:rsidRPr="00103DDB">
        <w:rPr>
          <w:rFonts w:ascii="Arial" w:hAnsi="Arial" w:cs="Arial"/>
          <w:lang w:val="en-GB"/>
        </w:rPr>
        <w:t xml:space="preserve"> de </w:t>
      </w:r>
      <w:r w:rsidR="00ED7730" w:rsidRPr="00103DDB">
        <w:rPr>
          <w:rFonts w:ascii="Arial" w:hAnsi="Arial" w:cs="Arial"/>
          <w:lang w:val="en-GB"/>
        </w:rPr>
        <w:t>F</w:t>
      </w:r>
      <w:r w:rsidRPr="00103DDB">
        <w:rPr>
          <w:rFonts w:ascii="Arial" w:hAnsi="Arial" w:cs="Arial"/>
          <w:lang w:val="en-GB"/>
        </w:rPr>
        <w:t xml:space="preserve">ormation à la </w:t>
      </w:r>
      <w:proofErr w:type="spellStart"/>
      <w:r w:rsidRPr="00103DDB">
        <w:rPr>
          <w:rFonts w:ascii="Arial" w:hAnsi="Arial" w:cs="Arial"/>
          <w:lang w:val="en-GB"/>
        </w:rPr>
        <w:t>Gestion</w:t>
      </w:r>
      <w:proofErr w:type="spellEnd"/>
      <w:r w:rsidR="00ED7730" w:rsidRPr="00103DDB">
        <w:rPr>
          <w:rFonts w:ascii="Arial" w:hAnsi="Arial" w:cs="Arial"/>
          <w:lang w:val="en-GB"/>
        </w:rPr>
        <w:t>—</w:t>
      </w:r>
      <w:r w:rsidRPr="00103DDB">
        <w:rPr>
          <w:rFonts w:ascii="Arial" w:hAnsi="Arial" w:cs="Arial"/>
          <w:lang w:val="en-GB"/>
        </w:rPr>
        <w:t>CFVG (</w:t>
      </w:r>
      <w:r w:rsidR="00ED7730" w:rsidRPr="00103DDB">
        <w:rPr>
          <w:rFonts w:ascii="Arial" w:hAnsi="Arial" w:cs="Arial"/>
          <w:lang w:val="en-GB"/>
        </w:rPr>
        <w:t>t</w:t>
      </w:r>
      <w:r w:rsidRPr="00103DDB">
        <w:rPr>
          <w:rFonts w:ascii="Arial" w:hAnsi="Arial" w:cs="Arial"/>
          <w:lang w:val="en-GB"/>
        </w:rPr>
        <w:t xml:space="preserve">he French-Vietnamese </w:t>
      </w:r>
      <w:proofErr w:type="spellStart"/>
      <w:r w:rsidRPr="00103DDB">
        <w:rPr>
          <w:rFonts w:ascii="Arial" w:hAnsi="Arial" w:cs="Arial"/>
          <w:lang w:val="en-GB"/>
        </w:rPr>
        <w:t>Center</w:t>
      </w:r>
      <w:proofErr w:type="spellEnd"/>
      <w:r w:rsidRPr="00103DDB">
        <w:rPr>
          <w:rFonts w:ascii="Arial" w:hAnsi="Arial" w:cs="Arial"/>
          <w:lang w:val="en-GB"/>
        </w:rPr>
        <w:t xml:space="preserve"> for Management Education). After a number of entrepreneurial ventures, including in </w:t>
      </w:r>
      <w:proofErr w:type="spellStart"/>
      <w:r w:rsidR="00BE1DA2" w:rsidRPr="00103DDB">
        <w:rPr>
          <w:rFonts w:ascii="Arial" w:hAnsi="Arial" w:cs="Arial"/>
          <w:lang w:val="en-GB"/>
        </w:rPr>
        <w:t>Ho</w:t>
      </w:r>
      <w:proofErr w:type="spellEnd"/>
      <w:r w:rsidR="00BE1DA2" w:rsidRPr="00103DDB">
        <w:rPr>
          <w:rFonts w:ascii="Arial" w:hAnsi="Arial" w:cs="Arial"/>
          <w:lang w:val="en-GB"/>
        </w:rPr>
        <w:t xml:space="preserve"> Chi Minh City</w:t>
      </w:r>
      <w:r w:rsidRPr="00103DDB">
        <w:rPr>
          <w:rFonts w:ascii="Arial" w:hAnsi="Arial" w:cs="Arial"/>
          <w:lang w:val="en-GB"/>
        </w:rPr>
        <w:t xml:space="preserve">’s booming real estate industry, Tai spent the two years before </w:t>
      </w:r>
      <w:r w:rsidR="00DF20F0" w:rsidRPr="00103DDB">
        <w:rPr>
          <w:rFonts w:ascii="Arial" w:hAnsi="Arial" w:cs="Arial"/>
          <w:lang w:val="en-GB"/>
        </w:rPr>
        <w:t>Mobile World</w:t>
      </w:r>
      <w:r w:rsidRPr="00103DDB">
        <w:rPr>
          <w:rFonts w:ascii="Arial" w:hAnsi="Arial" w:cs="Arial"/>
          <w:lang w:val="en-GB"/>
        </w:rPr>
        <w:t xml:space="preserve"> as head of the strategy department at S-</w:t>
      </w:r>
      <w:proofErr w:type="spellStart"/>
      <w:r w:rsidR="00ED7730" w:rsidRPr="00103DDB">
        <w:rPr>
          <w:rFonts w:ascii="Arial" w:hAnsi="Arial" w:cs="Arial"/>
          <w:lang w:val="en-GB"/>
        </w:rPr>
        <w:t>F</w:t>
      </w:r>
      <w:r w:rsidRPr="00103DDB">
        <w:rPr>
          <w:rFonts w:ascii="Arial" w:hAnsi="Arial" w:cs="Arial"/>
          <w:lang w:val="en-GB"/>
        </w:rPr>
        <w:t>one</w:t>
      </w:r>
      <w:proofErr w:type="spellEnd"/>
      <w:r w:rsidRPr="00103DDB">
        <w:rPr>
          <w:rFonts w:ascii="Arial" w:hAnsi="Arial" w:cs="Arial"/>
          <w:lang w:val="en-GB"/>
        </w:rPr>
        <w:t xml:space="preserve">, a joint-venture between Saigon </w:t>
      </w:r>
      <w:proofErr w:type="spellStart"/>
      <w:r w:rsidRPr="00103DDB">
        <w:rPr>
          <w:rFonts w:ascii="Arial" w:hAnsi="Arial" w:cs="Arial"/>
          <w:lang w:val="en-GB"/>
        </w:rPr>
        <w:t>Postel</w:t>
      </w:r>
      <w:proofErr w:type="spellEnd"/>
      <w:r w:rsidR="00ED7730" w:rsidRPr="00103DDB">
        <w:rPr>
          <w:rFonts w:ascii="Arial" w:hAnsi="Arial" w:cs="Arial"/>
          <w:lang w:val="en-GB"/>
        </w:rPr>
        <w:t xml:space="preserve"> Corp.</w:t>
      </w:r>
      <w:r w:rsidRPr="00103DDB">
        <w:rPr>
          <w:rFonts w:ascii="Arial" w:hAnsi="Arial" w:cs="Arial"/>
          <w:lang w:val="en-GB"/>
        </w:rPr>
        <w:t xml:space="preserve"> and South Korea’s SK Telecom</w:t>
      </w:r>
      <w:r w:rsidR="00ED7730" w:rsidRPr="00103DDB">
        <w:rPr>
          <w:rFonts w:ascii="Arial" w:hAnsi="Arial" w:cs="Arial"/>
          <w:lang w:val="en-GB"/>
        </w:rPr>
        <w:t xml:space="preserve"> Co. Ltd.</w:t>
      </w:r>
      <w:r w:rsidR="00060B19" w:rsidRPr="00103DDB">
        <w:rPr>
          <w:rFonts w:ascii="Arial" w:hAnsi="Arial" w:cs="Arial"/>
          <w:lang w:val="en-GB"/>
        </w:rPr>
        <w:t xml:space="preserve">, which </w:t>
      </w:r>
      <w:r w:rsidRPr="00103DDB">
        <w:rPr>
          <w:rFonts w:ascii="Arial" w:hAnsi="Arial" w:cs="Arial"/>
          <w:lang w:val="en-GB"/>
        </w:rPr>
        <w:t xml:space="preserve">became Vietnam’s third mobile network in 2003. He has held key positions in </w:t>
      </w:r>
      <w:r w:rsidR="00DF20F0" w:rsidRPr="00103DDB">
        <w:rPr>
          <w:rFonts w:ascii="Arial" w:hAnsi="Arial" w:cs="Arial"/>
          <w:lang w:val="en-GB"/>
        </w:rPr>
        <w:t>Mobile World</w:t>
      </w:r>
      <w:r w:rsidRPr="00103DDB">
        <w:rPr>
          <w:rFonts w:ascii="Arial" w:hAnsi="Arial" w:cs="Arial"/>
          <w:lang w:val="en-GB"/>
        </w:rPr>
        <w:t xml:space="preserve"> in </w:t>
      </w:r>
      <w:r w:rsidR="00060B19" w:rsidRPr="00103DDB">
        <w:rPr>
          <w:rFonts w:ascii="Arial" w:hAnsi="Arial" w:cs="Arial"/>
          <w:lang w:val="en-GB"/>
        </w:rPr>
        <w:t>f</w:t>
      </w:r>
      <w:r w:rsidRPr="00103DDB">
        <w:rPr>
          <w:rFonts w:ascii="Arial" w:hAnsi="Arial" w:cs="Arial"/>
          <w:lang w:val="en-GB"/>
        </w:rPr>
        <w:t xml:space="preserve">inance and </w:t>
      </w:r>
      <w:r w:rsidR="00060B19" w:rsidRPr="00103DDB">
        <w:rPr>
          <w:rFonts w:ascii="Arial" w:hAnsi="Arial" w:cs="Arial"/>
          <w:lang w:val="en-GB"/>
        </w:rPr>
        <w:t>a</w:t>
      </w:r>
      <w:r w:rsidRPr="00103DDB">
        <w:rPr>
          <w:rFonts w:ascii="Arial" w:hAnsi="Arial" w:cs="Arial"/>
          <w:lang w:val="en-GB"/>
        </w:rPr>
        <w:t xml:space="preserve">ccounting, </w:t>
      </w:r>
      <w:r w:rsidR="00060B19" w:rsidRPr="00103DDB">
        <w:rPr>
          <w:rFonts w:ascii="Arial" w:hAnsi="Arial" w:cs="Arial"/>
          <w:lang w:val="en-GB"/>
        </w:rPr>
        <w:t>m</w:t>
      </w:r>
      <w:r w:rsidRPr="00103DDB">
        <w:rPr>
          <w:rFonts w:ascii="Arial" w:hAnsi="Arial" w:cs="Arial"/>
          <w:lang w:val="en-GB"/>
        </w:rPr>
        <w:t xml:space="preserve">arketing, </w:t>
      </w:r>
      <w:r w:rsidR="00060B19" w:rsidRPr="00103DDB">
        <w:rPr>
          <w:rFonts w:ascii="Arial" w:hAnsi="Arial" w:cs="Arial"/>
          <w:lang w:val="en-GB"/>
        </w:rPr>
        <w:t>l</w:t>
      </w:r>
      <w:r w:rsidRPr="00103DDB">
        <w:rPr>
          <w:rFonts w:ascii="Arial" w:hAnsi="Arial" w:cs="Arial"/>
          <w:lang w:val="en-GB"/>
        </w:rPr>
        <w:t xml:space="preserve">ogistics, </w:t>
      </w:r>
      <w:r w:rsidR="00060B19" w:rsidRPr="00103DDB">
        <w:rPr>
          <w:rFonts w:ascii="Arial" w:hAnsi="Arial" w:cs="Arial"/>
          <w:lang w:val="en-GB"/>
        </w:rPr>
        <w:t>s</w:t>
      </w:r>
      <w:r w:rsidRPr="00103DDB">
        <w:rPr>
          <w:rFonts w:ascii="Arial" w:hAnsi="Arial" w:cs="Arial"/>
          <w:lang w:val="en-GB"/>
        </w:rPr>
        <w:t xml:space="preserve">tore </w:t>
      </w:r>
      <w:r w:rsidR="00060B19" w:rsidRPr="00103DDB">
        <w:rPr>
          <w:rFonts w:ascii="Arial" w:hAnsi="Arial" w:cs="Arial"/>
          <w:lang w:val="en-GB"/>
        </w:rPr>
        <w:t>n</w:t>
      </w:r>
      <w:r w:rsidRPr="00103DDB">
        <w:rPr>
          <w:rFonts w:ascii="Arial" w:hAnsi="Arial" w:cs="Arial"/>
          <w:lang w:val="en-GB"/>
        </w:rPr>
        <w:t xml:space="preserve">etwork </w:t>
      </w:r>
      <w:r w:rsidR="00060B19" w:rsidRPr="00103DDB">
        <w:rPr>
          <w:rFonts w:ascii="Arial" w:hAnsi="Arial" w:cs="Arial"/>
          <w:lang w:val="en-GB"/>
        </w:rPr>
        <w:t>d</w:t>
      </w:r>
      <w:r w:rsidRPr="00103DDB">
        <w:rPr>
          <w:rFonts w:ascii="Arial" w:hAnsi="Arial" w:cs="Arial"/>
          <w:lang w:val="en-GB"/>
        </w:rPr>
        <w:t xml:space="preserve">evelopment, and </w:t>
      </w:r>
      <w:r w:rsidR="00060B19" w:rsidRPr="00103DDB">
        <w:rPr>
          <w:rFonts w:ascii="Arial" w:hAnsi="Arial" w:cs="Arial"/>
          <w:lang w:val="en-GB"/>
        </w:rPr>
        <w:t>e</w:t>
      </w:r>
      <w:r w:rsidRPr="00103DDB">
        <w:rPr>
          <w:rFonts w:ascii="Arial" w:hAnsi="Arial" w:cs="Arial"/>
          <w:lang w:val="en-GB"/>
        </w:rPr>
        <w:t xml:space="preserve">xecutive </w:t>
      </w:r>
      <w:r w:rsidR="00060B19" w:rsidRPr="00103DDB">
        <w:rPr>
          <w:rFonts w:ascii="Arial" w:hAnsi="Arial" w:cs="Arial"/>
          <w:lang w:val="en-GB"/>
        </w:rPr>
        <w:t>m</w:t>
      </w:r>
      <w:r w:rsidRPr="00103DDB">
        <w:rPr>
          <w:rFonts w:ascii="Arial" w:hAnsi="Arial" w:cs="Arial"/>
          <w:lang w:val="en-GB"/>
        </w:rPr>
        <w:t xml:space="preserve">anagement. He took over as </w:t>
      </w:r>
      <w:r w:rsidR="00417778" w:rsidRPr="00103DDB">
        <w:rPr>
          <w:rFonts w:ascii="Arial" w:hAnsi="Arial" w:cs="Arial"/>
          <w:lang w:val="en-GB"/>
        </w:rPr>
        <w:t>chief executive officer</w:t>
      </w:r>
      <w:r w:rsidRPr="00103DDB">
        <w:rPr>
          <w:rFonts w:ascii="Arial" w:hAnsi="Arial" w:cs="Arial"/>
          <w:lang w:val="en-GB"/>
        </w:rPr>
        <w:t xml:space="preserve"> in 2007, shortly after Mekong Capital invested in </w:t>
      </w:r>
      <w:r w:rsidR="00DF20F0" w:rsidRPr="00103DDB">
        <w:rPr>
          <w:rFonts w:ascii="Arial" w:hAnsi="Arial" w:cs="Arial"/>
          <w:lang w:val="en-GB"/>
        </w:rPr>
        <w:t>Mobile World</w:t>
      </w:r>
      <w:r w:rsidRPr="00103DDB">
        <w:rPr>
          <w:rFonts w:ascii="Arial" w:hAnsi="Arial" w:cs="Arial"/>
          <w:lang w:val="en-GB"/>
        </w:rPr>
        <w:t>.</w:t>
      </w:r>
    </w:p>
    <w:p w14:paraId="77CC6976" w14:textId="77777777" w:rsidR="005D3D57" w:rsidRPr="00103DDB" w:rsidRDefault="005D3D57" w:rsidP="005D3D57">
      <w:pPr>
        <w:widowControl w:val="0"/>
        <w:autoSpaceDE w:val="0"/>
        <w:autoSpaceDN w:val="0"/>
        <w:adjustRightInd w:val="0"/>
        <w:rPr>
          <w:rFonts w:ascii="Arial" w:hAnsi="Arial" w:cs="Arial"/>
          <w:lang w:val="en-GB"/>
        </w:rPr>
      </w:pPr>
    </w:p>
    <w:p w14:paraId="77F6C0BC" w14:textId="77777777" w:rsidR="005D3D57" w:rsidRPr="00103DDB" w:rsidRDefault="005D3D57" w:rsidP="005D3D57">
      <w:pPr>
        <w:widowControl w:val="0"/>
        <w:autoSpaceDE w:val="0"/>
        <w:autoSpaceDN w:val="0"/>
        <w:adjustRightInd w:val="0"/>
        <w:rPr>
          <w:rFonts w:ascii="Arial" w:hAnsi="Arial" w:cs="Arial"/>
          <w:lang w:val="en-GB"/>
        </w:rPr>
      </w:pPr>
    </w:p>
    <w:p w14:paraId="504CE9A7" w14:textId="270C757E" w:rsidR="005D3D57" w:rsidRPr="00103DDB" w:rsidRDefault="005D3D57" w:rsidP="005D3D57">
      <w:pPr>
        <w:pStyle w:val="Casehead2"/>
        <w:rPr>
          <w:lang w:val="en-GB"/>
        </w:rPr>
      </w:pPr>
      <w:r w:rsidRPr="00103DDB">
        <w:rPr>
          <w:lang w:val="en-GB"/>
        </w:rPr>
        <w:t xml:space="preserve">Tran Le </w:t>
      </w:r>
      <w:proofErr w:type="spellStart"/>
      <w:r w:rsidRPr="00103DDB">
        <w:rPr>
          <w:lang w:val="en-GB"/>
        </w:rPr>
        <w:t>Quan</w:t>
      </w:r>
      <w:proofErr w:type="spellEnd"/>
    </w:p>
    <w:p w14:paraId="31AC812A" w14:textId="77777777" w:rsidR="005D3D57" w:rsidRPr="00103DDB" w:rsidRDefault="005D3D57" w:rsidP="005D3D57">
      <w:pPr>
        <w:pStyle w:val="Casehead2"/>
        <w:rPr>
          <w:lang w:val="en-GB"/>
        </w:rPr>
      </w:pPr>
    </w:p>
    <w:p w14:paraId="41E3E566" w14:textId="18C3572B" w:rsidR="005D3D57" w:rsidRPr="00103DDB" w:rsidRDefault="005D3D57" w:rsidP="005960E7">
      <w:pPr>
        <w:widowControl w:val="0"/>
        <w:autoSpaceDE w:val="0"/>
        <w:autoSpaceDN w:val="0"/>
        <w:adjustRightInd w:val="0"/>
        <w:jc w:val="both"/>
        <w:rPr>
          <w:rFonts w:ascii="Arial" w:hAnsi="Arial" w:cs="Arial"/>
          <w:lang w:val="en-GB"/>
        </w:rPr>
      </w:pPr>
      <w:proofErr w:type="spellStart"/>
      <w:r w:rsidRPr="00103DDB">
        <w:rPr>
          <w:rFonts w:ascii="Arial" w:hAnsi="Arial" w:cs="Arial"/>
          <w:lang w:val="en-GB"/>
        </w:rPr>
        <w:t>Quan</w:t>
      </w:r>
      <w:proofErr w:type="spellEnd"/>
      <w:r w:rsidRPr="00103DDB">
        <w:rPr>
          <w:rFonts w:ascii="Arial" w:hAnsi="Arial" w:cs="Arial"/>
          <w:lang w:val="en-GB"/>
        </w:rPr>
        <w:t xml:space="preserve"> was born in 1960. He </w:t>
      </w:r>
      <w:r w:rsidR="00C31894" w:rsidRPr="00103DDB">
        <w:rPr>
          <w:rFonts w:ascii="Arial" w:hAnsi="Arial" w:cs="Arial"/>
          <w:lang w:val="en-GB"/>
        </w:rPr>
        <w:t>graduated with a</w:t>
      </w:r>
      <w:r w:rsidRPr="00103DDB">
        <w:rPr>
          <w:rFonts w:ascii="Arial" w:hAnsi="Arial" w:cs="Arial"/>
          <w:lang w:val="en-GB"/>
        </w:rPr>
        <w:t xml:space="preserve"> </w:t>
      </w:r>
      <w:r w:rsidR="006A73B8">
        <w:rPr>
          <w:rFonts w:ascii="Arial" w:hAnsi="Arial" w:cs="Arial"/>
          <w:lang w:val="en-GB"/>
        </w:rPr>
        <w:t>B</w:t>
      </w:r>
      <w:r w:rsidR="00ED7730" w:rsidRPr="00103DDB">
        <w:rPr>
          <w:rFonts w:ascii="Arial" w:hAnsi="Arial" w:cs="Arial"/>
          <w:lang w:val="en-GB"/>
        </w:rPr>
        <w:t xml:space="preserve">achelor of </w:t>
      </w:r>
      <w:r w:rsidR="006A73B8">
        <w:rPr>
          <w:rFonts w:ascii="Arial" w:hAnsi="Arial" w:cs="Arial"/>
          <w:lang w:val="en-GB"/>
        </w:rPr>
        <w:t>S</w:t>
      </w:r>
      <w:r w:rsidR="00ED7730" w:rsidRPr="00103DDB">
        <w:rPr>
          <w:rFonts w:ascii="Arial" w:hAnsi="Arial" w:cs="Arial"/>
          <w:lang w:val="en-GB"/>
        </w:rPr>
        <w:t>cience</w:t>
      </w:r>
      <w:r w:rsidRPr="00103DDB">
        <w:rPr>
          <w:rFonts w:ascii="Arial" w:hAnsi="Arial" w:cs="Arial"/>
          <w:lang w:val="en-GB"/>
        </w:rPr>
        <w:t xml:space="preserve"> degree in telecommunications engineering. Before </w:t>
      </w:r>
      <w:r w:rsidR="00DF20F0" w:rsidRPr="00103DDB">
        <w:rPr>
          <w:rFonts w:ascii="Arial" w:hAnsi="Arial" w:cs="Arial"/>
          <w:lang w:val="en-GB"/>
        </w:rPr>
        <w:t>Mobile World</w:t>
      </w:r>
      <w:r w:rsidRPr="00103DDB">
        <w:rPr>
          <w:rFonts w:ascii="Arial" w:hAnsi="Arial" w:cs="Arial"/>
          <w:lang w:val="en-GB"/>
        </w:rPr>
        <w:t xml:space="preserve">, he spent almost </w:t>
      </w:r>
      <w:r w:rsidR="00060B19" w:rsidRPr="00103DDB">
        <w:rPr>
          <w:rFonts w:ascii="Arial" w:hAnsi="Arial" w:cs="Arial"/>
          <w:lang w:val="en-GB"/>
        </w:rPr>
        <w:t>eight</w:t>
      </w:r>
      <w:r w:rsidRPr="00103DDB">
        <w:rPr>
          <w:rFonts w:ascii="Arial" w:hAnsi="Arial" w:cs="Arial"/>
          <w:lang w:val="en-GB"/>
        </w:rPr>
        <w:t xml:space="preserve"> years with Sony Eri</w:t>
      </w:r>
      <w:r w:rsidR="00AF6F01" w:rsidRPr="00103DDB">
        <w:rPr>
          <w:rFonts w:ascii="Arial" w:hAnsi="Arial" w:cs="Arial"/>
          <w:lang w:val="en-GB"/>
        </w:rPr>
        <w:t>css</w:t>
      </w:r>
      <w:r w:rsidRPr="00103DDB">
        <w:rPr>
          <w:rFonts w:ascii="Arial" w:hAnsi="Arial" w:cs="Arial"/>
          <w:lang w:val="en-GB"/>
        </w:rPr>
        <w:t xml:space="preserve">on, rising to head of </w:t>
      </w:r>
      <w:r w:rsidR="00060B19" w:rsidRPr="00103DDB">
        <w:rPr>
          <w:rFonts w:ascii="Arial" w:hAnsi="Arial" w:cs="Arial"/>
          <w:lang w:val="en-GB"/>
        </w:rPr>
        <w:t>c</w:t>
      </w:r>
      <w:r w:rsidRPr="00103DDB">
        <w:rPr>
          <w:rFonts w:ascii="Arial" w:hAnsi="Arial" w:cs="Arial"/>
          <w:lang w:val="en-GB"/>
        </w:rPr>
        <w:t xml:space="preserve">ustomer </w:t>
      </w:r>
      <w:r w:rsidR="00060B19" w:rsidRPr="00103DDB">
        <w:rPr>
          <w:rFonts w:ascii="Arial" w:hAnsi="Arial" w:cs="Arial"/>
          <w:lang w:val="en-GB"/>
        </w:rPr>
        <w:t>s</w:t>
      </w:r>
      <w:r w:rsidRPr="00103DDB">
        <w:rPr>
          <w:rFonts w:ascii="Arial" w:hAnsi="Arial" w:cs="Arial"/>
          <w:lang w:val="en-GB"/>
        </w:rPr>
        <w:t xml:space="preserve">ervice for </w:t>
      </w:r>
      <w:proofErr w:type="spellStart"/>
      <w:r w:rsidRPr="00103DDB">
        <w:rPr>
          <w:rFonts w:ascii="Arial" w:hAnsi="Arial" w:cs="Arial"/>
          <w:lang w:val="en-GB"/>
        </w:rPr>
        <w:t>Ho</w:t>
      </w:r>
      <w:proofErr w:type="spellEnd"/>
      <w:r w:rsidRPr="00103DDB">
        <w:rPr>
          <w:rFonts w:ascii="Arial" w:hAnsi="Arial" w:cs="Arial"/>
          <w:lang w:val="en-GB"/>
        </w:rPr>
        <w:t xml:space="preserve"> Chi Minh City. This background in the mobile phone retailing business and working to maintain the satisfaction of mobile phone customers was crucial for the design of </w:t>
      </w:r>
      <w:r w:rsidR="00BE1DA2" w:rsidRPr="00103DDB">
        <w:rPr>
          <w:rFonts w:ascii="Arial" w:hAnsi="Arial" w:cs="Arial"/>
          <w:lang w:val="en-GB"/>
        </w:rPr>
        <w:t xml:space="preserve">the </w:t>
      </w:r>
      <w:r w:rsidR="00DF20F0" w:rsidRPr="00103DDB">
        <w:rPr>
          <w:rFonts w:ascii="Arial" w:hAnsi="Arial" w:cs="Arial"/>
          <w:lang w:val="en-GB"/>
        </w:rPr>
        <w:t>Mobile World</w:t>
      </w:r>
      <w:r w:rsidRPr="00103DDB">
        <w:rPr>
          <w:rFonts w:ascii="Arial" w:hAnsi="Arial" w:cs="Arial"/>
          <w:lang w:val="en-GB"/>
        </w:rPr>
        <w:t xml:space="preserve"> store concept and layout. </w:t>
      </w:r>
      <w:proofErr w:type="spellStart"/>
      <w:r w:rsidRPr="00103DDB">
        <w:rPr>
          <w:rFonts w:ascii="Arial" w:hAnsi="Arial" w:cs="Arial"/>
          <w:lang w:val="en-GB"/>
        </w:rPr>
        <w:t>Quan</w:t>
      </w:r>
      <w:proofErr w:type="spellEnd"/>
      <w:r w:rsidRPr="00103DDB">
        <w:rPr>
          <w:rFonts w:ascii="Arial" w:hAnsi="Arial" w:cs="Arial"/>
          <w:lang w:val="en-GB"/>
        </w:rPr>
        <w:t xml:space="preserve"> served as </w:t>
      </w:r>
      <w:r w:rsidR="00417778" w:rsidRPr="00103DDB">
        <w:rPr>
          <w:rFonts w:ascii="Arial" w:hAnsi="Arial" w:cs="Arial"/>
          <w:lang w:val="en-GB"/>
        </w:rPr>
        <w:t>chief executive officer</w:t>
      </w:r>
      <w:r w:rsidRPr="00103DDB">
        <w:rPr>
          <w:rFonts w:ascii="Arial" w:hAnsi="Arial" w:cs="Arial"/>
          <w:lang w:val="en-GB"/>
        </w:rPr>
        <w:t xml:space="preserve"> of </w:t>
      </w:r>
      <w:r w:rsidR="00DF20F0" w:rsidRPr="00103DDB">
        <w:rPr>
          <w:rFonts w:ascii="Arial" w:hAnsi="Arial" w:cs="Arial"/>
          <w:lang w:val="en-GB"/>
        </w:rPr>
        <w:t>Mobile World</w:t>
      </w:r>
      <w:r w:rsidRPr="00103DDB">
        <w:rPr>
          <w:rFonts w:ascii="Arial" w:hAnsi="Arial" w:cs="Arial"/>
          <w:lang w:val="en-GB"/>
        </w:rPr>
        <w:t xml:space="preserve"> from the start until 2007. </w:t>
      </w:r>
    </w:p>
    <w:p w14:paraId="5EE45C49" w14:textId="77777777" w:rsidR="005D3D57" w:rsidRPr="00103DDB" w:rsidRDefault="005D3D57" w:rsidP="005D3D57">
      <w:pPr>
        <w:rPr>
          <w:lang w:val="en-GB"/>
        </w:rPr>
      </w:pPr>
    </w:p>
    <w:p w14:paraId="79B53B60" w14:textId="77777777" w:rsidR="005D3D57" w:rsidRPr="00103DDB" w:rsidRDefault="005D3D57" w:rsidP="005D3D57">
      <w:pPr>
        <w:rPr>
          <w:lang w:val="en-GB"/>
        </w:rPr>
      </w:pPr>
    </w:p>
    <w:p w14:paraId="38B3D06E" w14:textId="579462DB" w:rsidR="005D3D57" w:rsidRPr="00103DDB" w:rsidRDefault="005D3D57" w:rsidP="005D3D57">
      <w:pPr>
        <w:pStyle w:val="Casehead2"/>
        <w:rPr>
          <w:lang w:val="en-GB"/>
        </w:rPr>
      </w:pPr>
      <w:proofErr w:type="spellStart"/>
      <w:r w:rsidRPr="00103DDB">
        <w:rPr>
          <w:lang w:val="en-GB"/>
        </w:rPr>
        <w:t>Dinh</w:t>
      </w:r>
      <w:proofErr w:type="spellEnd"/>
      <w:r w:rsidRPr="00103DDB">
        <w:rPr>
          <w:lang w:val="en-GB"/>
        </w:rPr>
        <w:t xml:space="preserve"> </w:t>
      </w:r>
      <w:proofErr w:type="spellStart"/>
      <w:r w:rsidRPr="00103DDB">
        <w:rPr>
          <w:lang w:val="en-GB"/>
        </w:rPr>
        <w:t>Anh</w:t>
      </w:r>
      <w:proofErr w:type="spellEnd"/>
      <w:r w:rsidRPr="00103DDB">
        <w:rPr>
          <w:lang w:val="en-GB"/>
        </w:rPr>
        <w:t xml:space="preserve"> </w:t>
      </w:r>
      <w:proofErr w:type="spellStart"/>
      <w:r w:rsidRPr="00103DDB">
        <w:rPr>
          <w:lang w:val="en-GB"/>
        </w:rPr>
        <w:t>Huan</w:t>
      </w:r>
      <w:proofErr w:type="spellEnd"/>
    </w:p>
    <w:p w14:paraId="654FDDDB" w14:textId="77777777" w:rsidR="005D3D57" w:rsidRPr="00103DDB" w:rsidRDefault="005D3D57" w:rsidP="005D3D57">
      <w:pPr>
        <w:pStyle w:val="Casehead2"/>
        <w:rPr>
          <w:lang w:val="en-GB"/>
        </w:rPr>
      </w:pPr>
    </w:p>
    <w:p w14:paraId="43FF08DA" w14:textId="18F3D23B" w:rsidR="005D3D57" w:rsidRPr="00103DDB" w:rsidRDefault="005D3D57" w:rsidP="005960E7">
      <w:pPr>
        <w:widowControl w:val="0"/>
        <w:autoSpaceDE w:val="0"/>
        <w:autoSpaceDN w:val="0"/>
        <w:adjustRightInd w:val="0"/>
        <w:jc w:val="both"/>
        <w:rPr>
          <w:rFonts w:ascii="Arial" w:hAnsi="Arial" w:cs="Arial"/>
          <w:lang w:val="en-GB"/>
        </w:rPr>
      </w:pPr>
      <w:proofErr w:type="spellStart"/>
      <w:r w:rsidRPr="00103DDB">
        <w:rPr>
          <w:rFonts w:ascii="Arial" w:hAnsi="Arial" w:cs="Arial"/>
          <w:lang w:val="en-GB"/>
        </w:rPr>
        <w:t>Huan</w:t>
      </w:r>
      <w:proofErr w:type="spellEnd"/>
      <w:r w:rsidRPr="00103DDB">
        <w:rPr>
          <w:rFonts w:ascii="Arial" w:hAnsi="Arial" w:cs="Arial"/>
          <w:lang w:val="en-GB"/>
        </w:rPr>
        <w:t xml:space="preserve"> was born in 1980</w:t>
      </w:r>
      <w:r w:rsidR="00C31894" w:rsidRPr="00103DDB">
        <w:rPr>
          <w:rFonts w:ascii="Arial" w:hAnsi="Arial" w:cs="Arial"/>
          <w:lang w:val="en-GB"/>
        </w:rPr>
        <w:t xml:space="preserve">. He graduated with </w:t>
      </w:r>
      <w:r w:rsidRPr="00103DDB">
        <w:rPr>
          <w:rFonts w:ascii="Arial" w:hAnsi="Arial" w:cs="Arial"/>
          <w:lang w:val="en-GB"/>
        </w:rPr>
        <w:t xml:space="preserve">two bachelor degrees from two universities in </w:t>
      </w:r>
      <w:proofErr w:type="spellStart"/>
      <w:r w:rsidRPr="00103DDB">
        <w:rPr>
          <w:rFonts w:ascii="Arial" w:hAnsi="Arial" w:cs="Arial"/>
          <w:lang w:val="en-GB"/>
        </w:rPr>
        <w:t>Ho</w:t>
      </w:r>
      <w:proofErr w:type="spellEnd"/>
      <w:r w:rsidRPr="00103DDB">
        <w:rPr>
          <w:rFonts w:ascii="Arial" w:hAnsi="Arial" w:cs="Arial"/>
          <w:lang w:val="en-GB"/>
        </w:rPr>
        <w:t xml:space="preserve"> Chi Minh City, one in </w:t>
      </w:r>
      <w:r w:rsidR="00BE1DA2" w:rsidRPr="00103DDB">
        <w:rPr>
          <w:rFonts w:ascii="Arial" w:hAnsi="Arial" w:cs="Arial"/>
          <w:lang w:val="en-GB"/>
        </w:rPr>
        <w:t>e</w:t>
      </w:r>
      <w:r w:rsidRPr="00103DDB">
        <w:rPr>
          <w:rFonts w:ascii="Arial" w:hAnsi="Arial" w:cs="Arial"/>
          <w:lang w:val="en-GB"/>
        </w:rPr>
        <w:t xml:space="preserve">ngineering from the Institute of Post and Telecommunication, and one in </w:t>
      </w:r>
      <w:r w:rsidR="00BE1DA2" w:rsidRPr="00103DDB">
        <w:rPr>
          <w:rFonts w:ascii="Arial" w:hAnsi="Arial" w:cs="Arial"/>
          <w:lang w:val="en-GB"/>
        </w:rPr>
        <w:t>c</w:t>
      </w:r>
      <w:r w:rsidRPr="00103DDB">
        <w:rPr>
          <w:rFonts w:ascii="Arial" w:hAnsi="Arial" w:cs="Arial"/>
          <w:lang w:val="en-GB"/>
        </w:rPr>
        <w:t xml:space="preserve">omputer </w:t>
      </w:r>
      <w:r w:rsidR="00BE1DA2" w:rsidRPr="00103DDB">
        <w:rPr>
          <w:rFonts w:ascii="Arial" w:hAnsi="Arial" w:cs="Arial"/>
          <w:lang w:val="en-GB"/>
        </w:rPr>
        <w:t>s</w:t>
      </w:r>
      <w:r w:rsidRPr="00103DDB">
        <w:rPr>
          <w:rFonts w:ascii="Arial" w:hAnsi="Arial" w:cs="Arial"/>
          <w:lang w:val="en-GB"/>
        </w:rPr>
        <w:t xml:space="preserve">cience from the University of Polytechnics. He was the third founding member of </w:t>
      </w:r>
      <w:r w:rsidR="00DF20F0" w:rsidRPr="00103DDB">
        <w:rPr>
          <w:rFonts w:ascii="Arial" w:hAnsi="Arial" w:cs="Arial"/>
          <w:lang w:val="en-GB"/>
        </w:rPr>
        <w:t>Mobile World</w:t>
      </w:r>
      <w:r w:rsidRPr="00103DDB">
        <w:rPr>
          <w:rFonts w:ascii="Arial" w:hAnsi="Arial" w:cs="Arial"/>
          <w:lang w:val="en-GB"/>
        </w:rPr>
        <w:t xml:space="preserve">, joining as the </w:t>
      </w:r>
      <w:r w:rsidR="00FE28B7">
        <w:rPr>
          <w:rFonts w:ascii="Arial" w:hAnsi="Arial" w:cs="Arial"/>
          <w:lang w:val="en-GB"/>
        </w:rPr>
        <w:t>b</w:t>
      </w:r>
      <w:r w:rsidRPr="00103DDB">
        <w:rPr>
          <w:rFonts w:ascii="Arial" w:hAnsi="Arial" w:cs="Arial"/>
          <w:lang w:val="en-GB"/>
        </w:rPr>
        <w:t xml:space="preserve">usiness </w:t>
      </w:r>
      <w:r w:rsidR="00060B19" w:rsidRPr="00103DDB">
        <w:rPr>
          <w:rFonts w:ascii="Arial" w:hAnsi="Arial" w:cs="Arial"/>
          <w:lang w:val="en-GB"/>
        </w:rPr>
        <w:t>d</w:t>
      </w:r>
      <w:r w:rsidRPr="00103DDB">
        <w:rPr>
          <w:rFonts w:ascii="Arial" w:hAnsi="Arial" w:cs="Arial"/>
          <w:lang w:val="en-GB"/>
        </w:rPr>
        <w:t xml:space="preserve">evelopment </w:t>
      </w:r>
      <w:r w:rsidR="00060B19" w:rsidRPr="00103DDB">
        <w:rPr>
          <w:rFonts w:ascii="Arial" w:hAnsi="Arial" w:cs="Arial"/>
          <w:lang w:val="en-GB"/>
        </w:rPr>
        <w:t>d</w:t>
      </w:r>
      <w:r w:rsidRPr="00103DDB">
        <w:rPr>
          <w:rFonts w:ascii="Arial" w:hAnsi="Arial" w:cs="Arial"/>
          <w:lang w:val="en-GB"/>
        </w:rPr>
        <w:t xml:space="preserve">irector. </w:t>
      </w:r>
    </w:p>
    <w:p w14:paraId="2A037B6C" w14:textId="77777777" w:rsidR="005D3D57" w:rsidRPr="00103DDB" w:rsidRDefault="005D3D57" w:rsidP="005D3D57">
      <w:pPr>
        <w:widowControl w:val="0"/>
        <w:autoSpaceDE w:val="0"/>
        <w:autoSpaceDN w:val="0"/>
        <w:adjustRightInd w:val="0"/>
        <w:rPr>
          <w:rFonts w:ascii="Arial" w:hAnsi="Arial" w:cs="Arial"/>
          <w:lang w:val="en-GB"/>
        </w:rPr>
      </w:pPr>
      <w:r w:rsidRPr="00103DDB">
        <w:rPr>
          <w:rFonts w:ascii="Arial" w:hAnsi="Arial" w:cs="Arial"/>
          <w:lang w:val="en-GB"/>
        </w:rPr>
        <w:t> </w:t>
      </w:r>
    </w:p>
    <w:p w14:paraId="62A2AB1C" w14:textId="77777777" w:rsidR="005D3D57" w:rsidRPr="00103DDB" w:rsidRDefault="005D3D57" w:rsidP="005D3D57">
      <w:pPr>
        <w:widowControl w:val="0"/>
        <w:autoSpaceDE w:val="0"/>
        <w:autoSpaceDN w:val="0"/>
        <w:adjustRightInd w:val="0"/>
        <w:rPr>
          <w:lang w:val="en-GB"/>
        </w:rPr>
      </w:pPr>
    </w:p>
    <w:p w14:paraId="158B38F3" w14:textId="059BC7EC" w:rsidR="005D3D57" w:rsidRPr="00103DDB" w:rsidRDefault="005D3D57" w:rsidP="005D3D57">
      <w:pPr>
        <w:pStyle w:val="Casehead2"/>
        <w:rPr>
          <w:lang w:val="en-GB"/>
        </w:rPr>
      </w:pPr>
      <w:proofErr w:type="spellStart"/>
      <w:r w:rsidRPr="00103DDB">
        <w:rPr>
          <w:lang w:val="en-GB"/>
        </w:rPr>
        <w:t>Dieu</w:t>
      </w:r>
      <w:proofErr w:type="spellEnd"/>
      <w:r w:rsidRPr="00103DDB">
        <w:rPr>
          <w:lang w:val="en-GB"/>
        </w:rPr>
        <w:t xml:space="preserve"> </w:t>
      </w:r>
      <w:proofErr w:type="spellStart"/>
      <w:r w:rsidRPr="00103DDB">
        <w:rPr>
          <w:lang w:val="en-GB"/>
        </w:rPr>
        <w:t>Chinh</w:t>
      </w:r>
      <w:proofErr w:type="spellEnd"/>
      <w:r w:rsidRPr="00103DDB">
        <w:rPr>
          <w:lang w:val="en-GB"/>
        </w:rPr>
        <w:t xml:space="preserve"> Hai Trieu</w:t>
      </w:r>
    </w:p>
    <w:p w14:paraId="19148BB6" w14:textId="77777777" w:rsidR="005D3D57" w:rsidRPr="00103DDB" w:rsidRDefault="005D3D57" w:rsidP="005D3D57">
      <w:pPr>
        <w:pStyle w:val="Casehead2"/>
        <w:rPr>
          <w:lang w:val="en-GB"/>
        </w:rPr>
      </w:pPr>
    </w:p>
    <w:p w14:paraId="444078E5" w14:textId="6B0F0902" w:rsidR="005D3D57" w:rsidRPr="00103DDB" w:rsidRDefault="005D3D57" w:rsidP="005960E7">
      <w:pPr>
        <w:widowControl w:val="0"/>
        <w:autoSpaceDE w:val="0"/>
        <w:autoSpaceDN w:val="0"/>
        <w:adjustRightInd w:val="0"/>
        <w:jc w:val="both"/>
        <w:rPr>
          <w:rFonts w:ascii="Arial" w:hAnsi="Arial" w:cs="Arial"/>
          <w:lang w:val="en-GB"/>
        </w:rPr>
      </w:pPr>
      <w:r w:rsidRPr="00103DDB">
        <w:rPr>
          <w:rFonts w:ascii="Arial" w:hAnsi="Arial" w:cs="Arial"/>
          <w:lang w:val="en-GB"/>
        </w:rPr>
        <w:t xml:space="preserve">Trieu, born in 1980, graduated from the University of Natural Sciences, majoring in </w:t>
      </w:r>
      <w:r w:rsidR="00060B19" w:rsidRPr="00103DDB">
        <w:rPr>
          <w:rFonts w:ascii="Arial" w:hAnsi="Arial" w:cs="Arial"/>
          <w:lang w:val="en-GB"/>
        </w:rPr>
        <w:t>i</w:t>
      </w:r>
      <w:r w:rsidRPr="00103DDB">
        <w:rPr>
          <w:rFonts w:ascii="Arial" w:hAnsi="Arial" w:cs="Arial"/>
          <w:lang w:val="en-GB"/>
        </w:rPr>
        <w:t xml:space="preserve">nformation </w:t>
      </w:r>
      <w:r w:rsidR="00060B19" w:rsidRPr="00103DDB">
        <w:rPr>
          <w:rFonts w:ascii="Arial" w:hAnsi="Arial" w:cs="Arial"/>
          <w:lang w:val="en-GB"/>
        </w:rPr>
        <w:t>t</w:t>
      </w:r>
      <w:r w:rsidRPr="00103DDB">
        <w:rPr>
          <w:rFonts w:ascii="Arial" w:hAnsi="Arial" w:cs="Arial"/>
          <w:lang w:val="en-GB"/>
        </w:rPr>
        <w:t xml:space="preserve">echnology. He set up the initial platform for </w:t>
      </w:r>
      <w:r w:rsidR="00DF20F0" w:rsidRPr="00103DDB">
        <w:rPr>
          <w:rFonts w:ascii="Arial" w:hAnsi="Arial" w:cs="Arial"/>
          <w:lang w:val="en-GB"/>
        </w:rPr>
        <w:t>Mobile World</w:t>
      </w:r>
      <w:r w:rsidRPr="00103DDB">
        <w:rPr>
          <w:rFonts w:ascii="Arial" w:hAnsi="Arial" w:cs="Arial"/>
          <w:lang w:val="en-GB"/>
        </w:rPr>
        <w:t xml:space="preserve">’s information system, serving as the </w:t>
      </w:r>
      <w:r w:rsidR="00BE1DA2" w:rsidRPr="00103DDB">
        <w:rPr>
          <w:rFonts w:ascii="Arial" w:hAnsi="Arial" w:cs="Arial"/>
          <w:lang w:val="en-GB"/>
        </w:rPr>
        <w:t>information technology</w:t>
      </w:r>
      <w:r w:rsidRPr="00103DDB">
        <w:rPr>
          <w:rFonts w:ascii="Arial" w:hAnsi="Arial" w:cs="Arial"/>
          <w:lang w:val="en-GB"/>
        </w:rPr>
        <w:t xml:space="preserve"> </w:t>
      </w:r>
      <w:r w:rsidR="00060B19" w:rsidRPr="00103DDB">
        <w:rPr>
          <w:rFonts w:ascii="Arial" w:hAnsi="Arial" w:cs="Arial"/>
          <w:lang w:val="en-GB"/>
        </w:rPr>
        <w:t>d</w:t>
      </w:r>
      <w:r w:rsidRPr="00103DDB">
        <w:rPr>
          <w:rFonts w:ascii="Arial" w:hAnsi="Arial" w:cs="Arial"/>
          <w:lang w:val="en-GB"/>
        </w:rPr>
        <w:t xml:space="preserve">irector. He was the last of the four original founders present when </w:t>
      </w:r>
      <w:r w:rsidR="00DF20F0" w:rsidRPr="00103DDB">
        <w:rPr>
          <w:rFonts w:ascii="Arial" w:hAnsi="Arial" w:cs="Arial"/>
          <w:lang w:val="en-GB"/>
        </w:rPr>
        <w:t>Mobile World</w:t>
      </w:r>
      <w:r w:rsidRPr="00103DDB">
        <w:rPr>
          <w:rFonts w:ascii="Arial" w:hAnsi="Arial" w:cs="Arial"/>
          <w:lang w:val="en-GB"/>
        </w:rPr>
        <w:t xml:space="preserve"> first began operations.</w:t>
      </w:r>
    </w:p>
    <w:p w14:paraId="786AB05F" w14:textId="77777777" w:rsidR="005D3D57" w:rsidRPr="00103DDB" w:rsidRDefault="005D3D57" w:rsidP="005D3D57">
      <w:pPr>
        <w:rPr>
          <w:lang w:val="en-GB"/>
        </w:rPr>
      </w:pPr>
    </w:p>
    <w:p w14:paraId="2FFD1BC8" w14:textId="77777777" w:rsidR="005D3D57" w:rsidRPr="00103DDB" w:rsidRDefault="005D3D57" w:rsidP="005D3D57">
      <w:pPr>
        <w:rPr>
          <w:lang w:val="en-GB"/>
        </w:rPr>
      </w:pPr>
    </w:p>
    <w:p w14:paraId="1C1F9775" w14:textId="3C6D3338" w:rsidR="005D3D57" w:rsidRPr="00103DDB" w:rsidRDefault="005D3D57" w:rsidP="005D3D57">
      <w:pPr>
        <w:pStyle w:val="Casehead2"/>
        <w:rPr>
          <w:lang w:val="en-GB"/>
        </w:rPr>
      </w:pPr>
      <w:r w:rsidRPr="00103DDB">
        <w:rPr>
          <w:lang w:val="en-GB"/>
        </w:rPr>
        <w:t xml:space="preserve">Tran </w:t>
      </w:r>
      <w:proofErr w:type="spellStart"/>
      <w:r w:rsidRPr="00103DDB">
        <w:rPr>
          <w:lang w:val="en-GB"/>
        </w:rPr>
        <w:t>Huy</w:t>
      </w:r>
      <w:proofErr w:type="spellEnd"/>
      <w:r w:rsidRPr="00103DDB">
        <w:rPr>
          <w:lang w:val="en-GB"/>
        </w:rPr>
        <w:t xml:space="preserve"> </w:t>
      </w:r>
      <w:proofErr w:type="spellStart"/>
      <w:r w:rsidRPr="00103DDB">
        <w:rPr>
          <w:lang w:val="en-GB"/>
        </w:rPr>
        <w:t>Thanh</w:t>
      </w:r>
      <w:proofErr w:type="spellEnd"/>
      <w:r w:rsidRPr="00103DDB">
        <w:rPr>
          <w:lang w:val="en-GB"/>
        </w:rPr>
        <w:t xml:space="preserve"> Tung</w:t>
      </w:r>
    </w:p>
    <w:p w14:paraId="03022824" w14:textId="77777777" w:rsidR="005D3D57" w:rsidRPr="00103DDB" w:rsidRDefault="005D3D57" w:rsidP="005D3D57">
      <w:pPr>
        <w:pStyle w:val="Casehead2"/>
        <w:rPr>
          <w:lang w:val="en-GB"/>
        </w:rPr>
      </w:pPr>
    </w:p>
    <w:p w14:paraId="04CAAF3E" w14:textId="5FC25528" w:rsidR="005D3D57" w:rsidRPr="00103DDB" w:rsidRDefault="005D3D57" w:rsidP="005960E7">
      <w:pPr>
        <w:jc w:val="both"/>
        <w:rPr>
          <w:rFonts w:ascii="Arial" w:hAnsi="Arial" w:cs="Arial"/>
          <w:lang w:val="en-GB"/>
        </w:rPr>
      </w:pPr>
      <w:r w:rsidRPr="00103DDB">
        <w:rPr>
          <w:rFonts w:ascii="Arial" w:hAnsi="Arial" w:cs="Arial"/>
          <w:lang w:val="en-GB"/>
        </w:rPr>
        <w:t xml:space="preserve">Tung was born in 1970 and was a classmate of Tai when he earned his </w:t>
      </w:r>
      <w:r w:rsidR="00FE28B7">
        <w:rPr>
          <w:rFonts w:ascii="Arial" w:hAnsi="Arial" w:cs="Arial"/>
          <w:lang w:val="en-GB"/>
        </w:rPr>
        <w:t>B</w:t>
      </w:r>
      <w:r w:rsidR="00ED7730" w:rsidRPr="00103DDB">
        <w:rPr>
          <w:rFonts w:ascii="Arial" w:hAnsi="Arial" w:cs="Arial"/>
          <w:lang w:val="en-GB"/>
        </w:rPr>
        <w:t xml:space="preserve">achelor of </w:t>
      </w:r>
      <w:r w:rsidR="00FE28B7">
        <w:rPr>
          <w:rFonts w:ascii="Arial" w:hAnsi="Arial" w:cs="Arial"/>
          <w:lang w:val="en-GB"/>
        </w:rPr>
        <w:t>A</w:t>
      </w:r>
      <w:r w:rsidR="00ED7730" w:rsidRPr="00103DDB">
        <w:rPr>
          <w:rFonts w:ascii="Arial" w:hAnsi="Arial" w:cs="Arial"/>
          <w:lang w:val="en-GB"/>
        </w:rPr>
        <w:t>rts</w:t>
      </w:r>
      <w:r w:rsidRPr="00103DDB">
        <w:rPr>
          <w:rFonts w:ascii="Arial" w:hAnsi="Arial" w:cs="Arial"/>
          <w:lang w:val="en-GB"/>
        </w:rPr>
        <w:t xml:space="preserve"> degree in </w:t>
      </w:r>
      <w:r w:rsidR="00060B19" w:rsidRPr="00103DDB">
        <w:rPr>
          <w:rFonts w:ascii="Arial" w:hAnsi="Arial" w:cs="Arial"/>
          <w:lang w:val="en-GB"/>
        </w:rPr>
        <w:t>f</w:t>
      </w:r>
      <w:r w:rsidRPr="00103DDB">
        <w:rPr>
          <w:rFonts w:ascii="Arial" w:hAnsi="Arial" w:cs="Arial"/>
          <w:lang w:val="en-GB"/>
        </w:rPr>
        <w:t xml:space="preserve">inance and </w:t>
      </w:r>
      <w:r w:rsidR="00060B19" w:rsidRPr="00103DDB">
        <w:rPr>
          <w:rFonts w:ascii="Arial" w:hAnsi="Arial" w:cs="Arial"/>
          <w:lang w:val="en-GB"/>
        </w:rPr>
        <w:t>a</w:t>
      </w:r>
      <w:r w:rsidRPr="00103DDB">
        <w:rPr>
          <w:rFonts w:ascii="Arial" w:hAnsi="Arial" w:cs="Arial"/>
          <w:lang w:val="en-GB"/>
        </w:rPr>
        <w:t xml:space="preserve">ccounting from the University of Economics in </w:t>
      </w:r>
      <w:proofErr w:type="spellStart"/>
      <w:r w:rsidRPr="00103DDB">
        <w:rPr>
          <w:rFonts w:ascii="Arial" w:hAnsi="Arial" w:cs="Arial"/>
          <w:lang w:val="en-GB"/>
        </w:rPr>
        <w:t>Ho</w:t>
      </w:r>
      <w:proofErr w:type="spellEnd"/>
      <w:r w:rsidRPr="00103DDB">
        <w:rPr>
          <w:rFonts w:ascii="Arial" w:hAnsi="Arial" w:cs="Arial"/>
          <w:lang w:val="en-GB"/>
        </w:rPr>
        <w:t xml:space="preserve"> Chi Minh City. Before </w:t>
      </w:r>
      <w:r w:rsidR="00DF20F0" w:rsidRPr="00103DDB">
        <w:rPr>
          <w:rFonts w:ascii="Arial" w:hAnsi="Arial" w:cs="Arial"/>
          <w:lang w:val="en-GB"/>
        </w:rPr>
        <w:t>Mobile World</w:t>
      </w:r>
      <w:r w:rsidRPr="00103DDB">
        <w:rPr>
          <w:rFonts w:ascii="Arial" w:hAnsi="Arial" w:cs="Arial"/>
          <w:lang w:val="en-GB"/>
        </w:rPr>
        <w:t xml:space="preserve">, Tung was </w:t>
      </w:r>
      <w:r w:rsidR="00060B19" w:rsidRPr="00103DDB">
        <w:rPr>
          <w:rFonts w:ascii="Arial" w:hAnsi="Arial" w:cs="Arial"/>
          <w:lang w:val="en-GB"/>
        </w:rPr>
        <w:t>c</w:t>
      </w:r>
      <w:r w:rsidRPr="00103DDB">
        <w:rPr>
          <w:rFonts w:ascii="Arial" w:hAnsi="Arial" w:cs="Arial"/>
          <w:lang w:val="en-GB"/>
        </w:rPr>
        <w:t xml:space="preserve">hief </w:t>
      </w:r>
      <w:r w:rsidR="00060B19" w:rsidRPr="00103DDB">
        <w:rPr>
          <w:rFonts w:ascii="Arial" w:hAnsi="Arial" w:cs="Arial"/>
          <w:lang w:val="en-GB"/>
        </w:rPr>
        <w:t>a</w:t>
      </w:r>
      <w:r w:rsidRPr="00103DDB">
        <w:rPr>
          <w:rFonts w:ascii="Arial" w:hAnsi="Arial" w:cs="Arial"/>
          <w:lang w:val="en-GB"/>
        </w:rPr>
        <w:t>ccountant for the Mabuchi Motor Vietnam, a 100</w:t>
      </w:r>
      <w:r w:rsidR="00FE28B7">
        <w:rPr>
          <w:rFonts w:ascii="Arial" w:hAnsi="Arial" w:cs="Arial"/>
          <w:lang w:val="en-GB"/>
        </w:rPr>
        <w:t xml:space="preserve"> per cent</w:t>
      </w:r>
      <w:r w:rsidRPr="00103DDB">
        <w:rPr>
          <w:rFonts w:ascii="Arial" w:hAnsi="Arial" w:cs="Arial"/>
          <w:lang w:val="en-GB"/>
        </w:rPr>
        <w:t xml:space="preserve"> Japanese</w:t>
      </w:r>
      <w:r w:rsidR="00BE1DA2" w:rsidRPr="00103DDB">
        <w:rPr>
          <w:rFonts w:ascii="Arial" w:hAnsi="Arial" w:cs="Arial"/>
          <w:lang w:val="en-GB"/>
        </w:rPr>
        <w:t>-</w:t>
      </w:r>
      <w:r w:rsidRPr="00103DDB">
        <w:rPr>
          <w:rFonts w:ascii="Arial" w:hAnsi="Arial" w:cs="Arial"/>
          <w:lang w:val="en-GB"/>
        </w:rPr>
        <w:t xml:space="preserve">owned company manufacturing electric motors. Tung was the last of the five founders to join </w:t>
      </w:r>
      <w:r w:rsidR="00DF20F0" w:rsidRPr="00103DDB">
        <w:rPr>
          <w:rFonts w:ascii="Arial" w:hAnsi="Arial" w:cs="Arial"/>
          <w:lang w:val="en-GB"/>
        </w:rPr>
        <w:t>Mobile World</w:t>
      </w:r>
      <w:r w:rsidRPr="00103DDB">
        <w:rPr>
          <w:rFonts w:ascii="Arial" w:hAnsi="Arial" w:cs="Arial"/>
          <w:lang w:val="en-GB"/>
        </w:rPr>
        <w:t xml:space="preserve">, when he was brought in as the </w:t>
      </w:r>
      <w:r w:rsidR="00060B19" w:rsidRPr="00103DDB">
        <w:rPr>
          <w:rFonts w:ascii="Arial" w:hAnsi="Arial" w:cs="Arial"/>
          <w:lang w:val="en-GB"/>
        </w:rPr>
        <w:t>c</w:t>
      </w:r>
      <w:r w:rsidRPr="00103DDB">
        <w:rPr>
          <w:rFonts w:ascii="Arial" w:hAnsi="Arial" w:cs="Arial"/>
          <w:lang w:val="en-GB"/>
        </w:rPr>
        <w:t xml:space="preserve">hief </w:t>
      </w:r>
      <w:r w:rsidR="00060B19" w:rsidRPr="00103DDB">
        <w:rPr>
          <w:rFonts w:ascii="Arial" w:hAnsi="Arial" w:cs="Arial"/>
          <w:lang w:val="en-GB"/>
        </w:rPr>
        <w:t>f</w:t>
      </w:r>
      <w:r w:rsidRPr="00103DDB">
        <w:rPr>
          <w:rFonts w:ascii="Arial" w:hAnsi="Arial" w:cs="Arial"/>
          <w:lang w:val="en-GB"/>
        </w:rPr>
        <w:t xml:space="preserve">inancial </w:t>
      </w:r>
      <w:r w:rsidR="00060B19" w:rsidRPr="00103DDB">
        <w:rPr>
          <w:rFonts w:ascii="Arial" w:hAnsi="Arial" w:cs="Arial"/>
          <w:lang w:val="en-GB"/>
        </w:rPr>
        <w:t>o</w:t>
      </w:r>
      <w:r w:rsidRPr="00103DDB">
        <w:rPr>
          <w:rFonts w:ascii="Arial" w:hAnsi="Arial" w:cs="Arial"/>
          <w:lang w:val="en-GB"/>
        </w:rPr>
        <w:t>fficer toward the end of 2004.</w:t>
      </w:r>
    </w:p>
    <w:p w14:paraId="6EB19FE9" w14:textId="77777777" w:rsidR="005D3D57" w:rsidRPr="00103DDB" w:rsidRDefault="005D3D57" w:rsidP="005D3D57">
      <w:pPr>
        <w:rPr>
          <w:lang w:val="en-GB"/>
        </w:rPr>
      </w:pPr>
    </w:p>
    <w:p w14:paraId="2F509BEE" w14:textId="2F631E86" w:rsidR="005D3D57" w:rsidRPr="00103DDB" w:rsidRDefault="005960E7" w:rsidP="005D3D57">
      <w:pPr>
        <w:pStyle w:val="Footnote"/>
        <w:rPr>
          <w:lang w:val="en-GB"/>
        </w:rPr>
      </w:pPr>
      <w:r>
        <w:rPr>
          <w:lang w:val="en-GB"/>
        </w:rPr>
        <w:t>Source: Company</w:t>
      </w:r>
      <w:r w:rsidR="005D3D57" w:rsidRPr="00103DDB">
        <w:rPr>
          <w:lang w:val="en-GB"/>
        </w:rPr>
        <w:t xml:space="preserve"> documents.</w:t>
      </w:r>
    </w:p>
    <w:p w14:paraId="427AD28D" w14:textId="77777777" w:rsidR="005D3D57" w:rsidRPr="00103DDB" w:rsidRDefault="005D3D57" w:rsidP="005D3D57">
      <w:pPr>
        <w:rPr>
          <w:sz w:val="24"/>
          <w:szCs w:val="24"/>
          <w:lang w:val="en-GB"/>
        </w:rPr>
      </w:pPr>
    </w:p>
    <w:p w14:paraId="7CEC43EF" w14:textId="77777777" w:rsidR="005D3D57" w:rsidRPr="00103DDB" w:rsidRDefault="005D3D57">
      <w:pPr>
        <w:spacing w:after="200" w:line="276" w:lineRule="auto"/>
        <w:rPr>
          <w:rFonts w:ascii="Arial" w:hAnsi="Arial" w:cs="Arial"/>
          <w:sz w:val="17"/>
          <w:szCs w:val="17"/>
          <w:lang w:val="en-GB"/>
        </w:rPr>
      </w:pPr>
      <w:r w:rsidRPr="00103DDB">
        <w:rPr>
          <w:lang w:val="en-GB"/>
        </w:rPr>
        <w:br w:type="page"/>
      </w:r>
    </w:p>
    <w:p w14:paraId="0EF72A6D" w14:textId="27B6ED33" w:rsidR="005D3D57" w:rsidRPr="00103DDB" w:rsidRDefault="005D3D57" w:rsidP="005D3D57">
      <w:pPr>
        <w:pStyle w:val="ExhibitHeading"/>
        <w:rPr>
          <w:lang w:val="en-GB"/>
        </w:rPr>
      </w:pPr>
      <w:r w:rsidRPr="00103DDB">
        <w:rPr>
          <w:lang w:val="en-GB"/>
        </w:rPr>
        <w:lastRenderedPageBreak/>
        <w:t>Exhibit 4: Growth of Emerging Market Private Equity, 2000</w:t>
      </w:r>
      <w:r w:rsidR="00C31894" w:rsidRPr="00103DDB">
        <w:rPr>
          <w:lang w:val="en-GB"/>
        </w:rPr>
        <w:t>–</w:t>
      </w:r>
      <w:r w:rsidRPr="00103DDB">
        <w:rPr>
          <w:lang w:val="en-GB"/>
        </w:rPr>
        <w:t>2008</w:t>
      </w:r>
    </w:p>
    <w:p w14:paraId="3B236227" w14:textId="77777777" w:rsidR="005D3D57" w:rsidRPr="00103DDB" w:rsidRDefault="005D3D57" w:rsidP="005D3D57">
      <w:pPr>
        <w:rPr>
          <w:b/>
          <w:lang w:val="en-GB"/>
        </w:rPr>
      </w:pPr>
    </w:p>
    <w:p w14:paraId="577941BE" w14:textId="1C2E7AFB" w:rsidR="005D3D57" w:rsidRPr="00103DDB" w:rsidRDefault="00E20F8C" w:rsidP="005D3D57">
      <w:pPr>
        <w:jc w:val="center"/>
        <w:rPr>
          <w:b/>
          <w:lang w:val="en-GB"/>
        </w:rPr>
      </w:pPr>
      <w:r w:rsidRPr="00103DDB">
        <w:rPr>
          <w:noProof/>
          <w:lang w:val="en-GB" w:eastAsia="en-GB"/>
        </w:rPr>
        <w:drawing>
          <wp:inline distT="0" distB="0" distL="0" distR="0" wp14:anchorId="42973BD3" wp14:editId="00D70C7D">
            <wp:extent cx="5943600" cy="3370580"/>
            <wp:effectExtent l="0" t="0" r="0" b="762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61DBEC1D" w14:textId="77777777" w:rsidR="005D3D57" w:rsidRPr="00103DDB" w:rsidRDefault="005D3D57" w:rsidP="005D3D57">
      <w:pPr>
        <w:rPr>
          <w:b/>
          <w:lang w:val="en-GB"/>
        </w:rPr>
      </w:pPr>
    </w:p>
    <w:p w14:paraId="4CFE096C" w14:textId="5F16F653" w:rsidR="005D3D57" w:rsidRPr="00103DDB" w:rsidRDefault="00E20F8C" w:rsidP="005D3D57">
      <w:pPr>
        <w:jc w:val="center"/>
        <w:rPr>
          <w:b/>
          <w:lang w:val="en-GB"/>
        </w:rPr>
      </w:pPr>
      <w:r w:rsidRPr="00103DDB">
        <w:rPr>
          <w:noProof/>
          <w:lang w:val="en-GB" w:eastAsia="en-GB"/>
        </w:rPr>
        <w:drawing>
          <wp:inline distT="0" distB="0" distL="0" distR="0" wp14:anchorId="36EFCAC3" wp14:editId="2F5F05E8">
            <wp:extent cx="5815965" cy="3604260"/>
            <wp:effectExtent l="0" t="0" r="635" b="254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48BC5BDC" w14:textId="77777777" w:rsidR="005D3D57" w:rsidRPr="00103DDB" w:rsidRDefault="005D3D57" w:rsidP="005D3D57">
      <w:pPr>
        <w:pStyle w:val="Footnote"/>
        <w:rPr>
          <w:lang w:val="en-GB"/>
        </w:rPr>
      </w:pPr>
    </w:p>
    <w:p w14:paraId="7D1CE8C6" w14:textId="03C10ABE" w:rsidR="005D3D57" w:rsidRDefault="005D3D57" w:rsidP="005D3D57">
      <w:pPr>
        <w:pStyle w:val="Footnote"/>
        <w:rPr>
          <w:lang w:val="en-GB"/>
        </w:rPr>
      </w:pPr>
      <w:r w:rsidRPr="00103DDB">
        <w:rPr>
          <w:lang w:val="en-GB"/>
        </w:rPr>
        <w:t xml:space="preserve">Source: </w:t>
      </w:r>
      <w:r w:rsidR="00BF2F44" w:rsidRPr="00103DDB">
        <w:rPr>
          <w:lang w:val="en-GB"/>
        </w:rPr>
        <w:t xml:space="preserve">The Boston Consulting Group and IESE Business School, </w:t>
      </w:r>
      <w:r w:rsidRPr="00103DDB">
        <w:rPr>
          <w:i/>
          <w:lang w:val="en-GB"/>
        </w:rPr>
        <w:t>New Markets, New Rules: Will Emerging Markets Reshape Private Equity?</w:t>
      </w:r>
      <w:r w:rsidRPr="00103DDB">
        <w:rPr>
          <w:lang w:val="en-GB"/>
        </w:rPr>
        <w:t xml:space="preserve"> November</w:t>
      </w:r>
      <w:r w:rsidR="00BF2F44" w:rsidRPr="00103DDB">
        <w:rPr>
          <w:lang w:val="en-GB"/>
        </w:rPr>
        <w:t xml:space="preserve"> 2010, accessed September 6, 2016,</w:t>
      </w:r>
      <w:r w:rsidRPr="00103DDB">
        <w:rPr>
          <w:lang w:val="en-GB"/>
        </w:rPr>
        <w:t xml:space="preserve"> </w:t>
      </w:r>
      <w:r w:rsidR="005960E7" w:rsidRPr="005960E7">
        <w:rPr>
          <w:lang w:val="en-GB"/>
        </w:rPr>
        <w:t>www.bcg.com/documents/file64907.pdf</w:t>
      </w:r>
      <w:r w:rsidRPr="00103DDB">
        <w:rPr>
          <w:lang w:val="en-GB"/>
        </w:rPr>
        <w:t>.</w:t>
      </w:r>
    </w:p>
    <w:p w14:paraId="734A3252" w14:textId="200A43DB" w:rsidR="005960E7" w:rsidRDefault="005960E7">
      <w:pPr>
        <w:spacing w:after="200" w:line="276" w:lineRule="auto"/>
        <w:rPr>
          <w:rFonts w:ascii="Arial" w:hAnsi="Arial" w:cs="Arial"/>
          <w:sz w:val="17"/>
          <w:szCs w:val="17"/>
          <w:lang w:val="en-GB"/>
        </w:rPr>
      </w:pPr>
      <w:r>
        <w:rPr>
          <w:lang w:val="en-GB"/>
        </w:rPr>
        <w:br w:type="page"/>
      </w:r>
    </w:p>
    <w:p w14:paraId="4DC5ABB7" w14:textId="23D8DE5B" w:rsidR="00332FD8" w:rsidRPr="00103DDB" w:rsidRDefault="00332FD8" w:rsidP="00332FD8">
      <w:pPr>
        <w:pStyle w:val="ExhibitHeading"/>
        <w:rPr>
          <w:lang w:val="en-GB"/>
        </w:rPr>
      </w:pPr>
      <w:r w:rsidRPr="00103DDB">
        <w:rPr>
          <w:lang w:val="en-GB"/>
        </w:rPr>
        <w:lastRenderedPageBreak/>
        <w:t>Ex</w:t>
      </w:r>
      <w:r w:rsidR="005960E7">
        <w:rPr>
          <w:lang w:val="en-GB"/>
        </w:rPr>
        <w:t>hibit 5</w:t>
      </w:r>
      <w:r w:rsidRPr="00103DDB">
        <w:rPr>
          <w:lang w:val="en-GB"/>
        </w:rPr>
        <w:t xml:space="preserve">: </w:t>
      </w:r>
      <w:r w:rsidR="00DF20F0" w:rsidRPr="00103DDB">
        <w:rPr>
          <w:lang w:val="en-GB"/>
        </w:rPr>
        <w:t>Mobile World</w:t>
      </w:r>
      <w:r w:rsidRPr="00103DDB">
        <w:rPr>
          <w:lang w:val="en-GB"/>
        </w:rPr>
        <w:t>’s Financial Statements</w:t>
      </w:r>
      <w:r w:rsidR="00BF2F44" w:rsidRPr="00103DDB">
        <w:rPr>
          <w:lang w:val="en-GB"/>
        </w:rPr>
        <w:t xml:space="preserve">, </w:t>
      </w:r>
      <w:r w:rsidRPr="00103DDB">
        <w:rPr>
          <w:lang w:val="en-GB"/>
        </w:rPr>
        <w:t>2005</w:t>
      </w:r>
      <w:r w:rsidR="00BF2F44" w:rsidRPr="00103DDB">
        <w:rPr>
          <w:lang w:val="en-GB"/>
        </w:rPr>
        <w:t>–</w:t>
      </w:r>
      <w:r w:rsidRPr="00103DDB">
        <w:rPr>
          <w:lang w:val="en-GB"/>
        </w:rPr>
        <w:t>2008</w:t>
      </w:r>
      <w:r w:rsidR="005960E7">
        <w:rPr>
          <w:lang w:val="en-GB"/>
        </w:rPr>
        <w:t xml:space="preserve"> (in VND</w:t>
      </w:r>
      <w:r w:rsidR="00C55178">
        <w:rPr>
          <w:lang w:val="en-GB"/>
        </w:rPr>
        <w:t xml:space="preserve"> Millions</w:t>
      </w:r>
      <w:r w:rsidR="00BF2F44" w:rsidRPr="00103DDB">
        <w:rPr>
          <w:lang w:val="en-GB"/>
        </w:rPr>
        <w:t>)</w:t>
      </w:r>
    </w:p>
    <w:p w14:paraId="335965FF" w14:textId="77777777" w:rsidR="00332FD8" w:rsidRPr="00103DDB" w:rsidRDefault="00332FD8" w:rsidP="00332FD8">
      <w:pPr>
        <w:pStyle w:val="ExhibitHeading"/>
        <w:rPr>
          <w:sz w:val="22"/>
          <w:szCs w:val="22"/>
          <w:lang w:val="en-GB"/>
        </w:rPr>
      </w:pPr>
    </w:p>
    <w:tbl>
      <w:tblPr>
        <w:tblStyle w:val="TableGrid"/>
        <w:tblW w:w="8876" w:type="dxa"/>
        <w:jc w:val="center"/>
        <w:tblLook w:val="04A0" w:firstRow="1" w:lastRow="0" w:firstColumn="1" w:lastColumn="0" w:noHBand="0" w:noVBand="1"/>
      </w:tblPr>
      <w:tblGrid>
        <w:gridCol w:w="4326"/>
        <w:gridCol w:w="1006"/>
        <w:gridCol w:w="1143"/>
        <w:gridCol w:w="1117"/>
        <w:gridCol w:w="1284"/>
      </w:tblGrid>
      <w:tr w:rsidR="00332FD8" w:rsidRPr="00103DDB" w14:paraId="21354EA5" w14:textId="77777777" w:rsidTr="00F079F4">
        <w:trPr>
          <w:trHeight w:val="170"/>
          <w:jc w:val="center"/>
        </w:trPr>
        <w:tc>
          <w:tcPr>
            <w:tcW w:w="4326" w:type="dxa"/>
            <w:noWrap/>
            <w:tcMar>
              <w:left w:w="58" w:type="dxa"/>
              <w:right w:w="58" w:type="dxa"/>
            </w:tcMar>
            <w:vAlign w:val="center"/>
            <w:hideMark/>
          </w:tcPr>
          <w:p w14:paraId="07AAAB4D" w14:textId="555C9CF9" w:rsidR="00332FD8" w:rsidRPr="00103DDB" w:rsidRDefault="00332FD8" w:rsidP="007B5486">
            <w:pPr>
              <w:jc w:val="center"/>
              <w:rPr>
                <w:rFonts w:ascii="Arial" w:hAnsi="Arial" w:cs="Arial"/>
                <w:b/>
                <w:color w:val="000000"/>
                <w:lang w:val="en-GB" w:eastAsia="en-US"/>
              </w:rPr>
            </w:pPr>
          </w:p>
        </w:tc>
        <w:tc>
          <w:tcPr>
            <w:tcW w:w="1006" w:type="dxa"/>
            <w:noWrap/>
            <w:tcMar>
              <w:left w:w="58" w:type="dxa"/>
              <w:right w:w="58" w:type="dxa"/>
            </w:tcMar>
            <w:vAlign w:val="center"/>
            <w:hideMark/>
          </w:tcPr>
          <w:p w14:paraId="397A5D46" w14:textId="77777777" w:rsidR="00332FD8" w:rsidRPr="00103DDB" w:rsidRDefault="00332FD8" w:rsidP="007B5486">
            <w:pPr>
              <w:jc w:val="center"/>
              <w:rPr>
                <w:rFonts w:ascii="Arial" w:hAnsi="Arial" w:cs="Arial"/>
                <w:b/>
                <w:color w:val="000000"/>
                <w:lang w:val="en-GB"/>
              </w:rPr>
            </w:pPr>
            <w:r w:rsidRPr="00103DDB">
              <w:rPr>
                <w:rFonts w:ascii="Arial" w:hAnsi="Arial" w:cs="Arial"/>
                <w:b/>
                <w:color w:val="000000"/>
                <w:lang w:val="en-GB"/>
              </w:rPr>
              <w:t>2005</w:t>
            </w:r>
          </w:p>
        </w:tc>
        <w:tc>
          <w:tcPr>
            <w:tcW w:w="1143" w:type="dxa"/>
            <w:noWrap/>
            <w:tcMar>
              <w:left w:w="58" w:type="dxa"/>
              <w:right w:w="58" w:type="dxa"/>
            </w:tcMar>
            <w:vAlign w:val="center"/>
            <w:hideMark/>
          </w:tcPr>
          <w:p w14:paraId="26591807" w14:textId="77777777" w:rsidR="00332FD8" w:rsidRPr="00103DDB" w:rsidRDefault="00332FD8" w:rsidP="007B5486">
            <w:pPr>
              <w:jc w:val="center"/>
              <w:rPr>
                <w:rFonts w:ascii="Arial" w:hAnsi="Arial" w:cs="Arial"/>
                <w:b/>
                <w:color w:val="000000"/>
                <w:lang w:val="en-GB"/>
              </w:rPr>
            </w:pPr>
            <w:r w:rsidRPr="00103DDB">
              <w:rPr>
                <w:rFonts w:ascii="Arial" w:hAnsi="Arial" w:cs="Arial"/>
                <w:b/>
                <w:color w:val="000000"/>
                <w:lang w:val="en-GB"/>
              </w:rPr>
              <w:t>2006</w:t>
            </w:r>
          </w:p>
        </w:tc>
        <w:tc>
          <w:tcPr>
            <w:tcW w:w="1117" w:type="dxa"/>
            <w:noWrap/>
            <w:tcMar>
              <w:left w:w="58" w:type="dxa"/>
              <w:right w:w="58" w:type="dxa"/>
            </w:tcMar>
            <w:vAlign w:val="center"/>
            <w:hideMark/>
          </w:tcPr>
          <w:p w14:paraId="42FB96F7" w14:textId="77777777" w:rsidR="00332FD8" w:rsidRPr="00103DDB" w:rsidRDefault="00332FD8" w:rsidP="007B5486">
            <w:pPr>
              <w:jc w:val="center"/>
              <w:rPr>
                <w:rFonts w:ascii="Arial" w:hAnsi="Arial" w:cs="Arial"/>
                <w:b/>
                <w:color w:val="000000"/>
                <w:lang w:val="en-GB"/>
              </w:rPr>
            </w:pPr>
            <w:r w:rsidRPr="00103DDB">
              <w:rPr>
                <w:rFonts w:ascii="Arial" w:hAnsi="Arial" w:cs="Arial"/>
                <w:b/>
                <w:color w:val="000000"/>
                <w:lang w:val="en-GB"/>
              </w:rPr>
              <w:t>2007</w:t>
            </w:r>
          </w:p>
        </w:tc>
        <w:tc>
          <w:tcPr>
            <w:tcW w:w="1284" w:type="dxa"/>
            <w:noWrap/>
            <w:tcMar>
              <w:left w:w="58" w:type="dxa"/>
              <w:right w:w="58" w:type="dxa"/>
            </w:tcMar>
            <w:vAlign w:val="center"/>
            <w:hideMark/>
          </w:tcPr>
          <w:p w14:paraId="48DB5414" w14:textId="77777777" w:rsidR="00332FD8" w:rsidRPr="00103DDB" w:rsidRDefault="00332FD8" w:rsidP="007B5486">
            <w:pPr>
              <w:jc w:val="center"/>
              <w:rPr>
                <w:rFonts w:ascii="Arial" w:hAnsi="Arial" w:cs="Arial"/>
                <w:b/>
                <w:color w:val="000000"/>
                <w:lang w:val="en-GB"/>
              </w:rPr>
            </w:pPr>
            <w:r w:rsidRPr="00103DDB">
              <w:rPr>
                <w:rFonts w:ascii="Arial" w:hAnsi="Arial" w:cs="Arial"/>
                <w:b/>
                <w:color w:val="000000"/>
                <w:lang w:val="en-GB"/>
              </w:rPr>
              <w:t>2008</w:t>
            </w:r>
          </w:p>
        </w:tc>
      </w:tr>
      <w:tr w:rsidR="00332FD8" w:rsidRPr="00103DDB" w14:paraId="54BDA755" w14:textId="77777777" w:rsidTr="00F079F4">
        <w:trPr>
          <w:trHeight w:val="197"/>
          <w:jc w:val="center"/>
        </w:trPr>
        <w:tc>
          <w:tcPr>
            <w:tcW w:w="4326" w:type="dxa"/>
            <w:noWrap/>
            <w:tcMar>
              <w:left w:w="58" w:type="dxa"/>
              <w:right w:w="58" w:type="dxa"/>
            </w:tcMar>
            <w:vAlign w:val="center"/>
            <w:hideMark/>
          </w:tcPr>
          <w:p w14:paraId="2986C12D" w14:textId="79E20EE1" w:rsidR="00332FD8" w:rsidRPr="00103DDB" w:rsidRDefault="00332FD8">
            <w:pPr>
              <w:rPr>
                <w:rFonts w:ascii="Arial" w:hAnsi="Arial" w:cs="Arial"/>
                <w:color w:val="000000"/>
                <w:lang w:val="en-GB"/>
              </w:rPr>
            </w:pPr>
            <w:r w:rsidRPr="00103DDB">
              <w:rPr>
                <w:rFonts w:ascii="Arial" w:hAnsi="Arial" w:cs="Arial"/>
                <w:color w:val="000000"/>
                <w:lang w:val="en-GB"/>
              </w:rPr>
              <w:t xml:space="preserve">Average </w:t>
            </w:r>
            <w:r w:rsidR="00AF6F01" w:rsidRPr="00103DDB">
              <w:rPr>
                <w:rFonts w:ascii="Arial" w:hAnsi="Arial" w:cs="Arial"/>
                <w:color w:val="000000"/>
                <w:lang w:val="en-GB"/>
              </w:rPr>
              <w:t>e</w:t>
            </w:r>
            <w:r w:rsidRPr="00103DDB">
              <w:rPr>
                <w:rFonts w:ascii="Arial" w:hAnsi="Arial" w:cs="Arial"/>
                <w:color w:val="000000"/>
                <w:lang w:val="en-GB"/>
              </w:rPr>
              <w:t>xchange rate in year</w:t>
            </w:r>
            <w:r w:rsidR="00D04895" w:rsidRPr="00103DDB">
              <w:rPr>
                <w:rFonts w:ascii="Arial" w:hAnsi="Arial" w:cs="Arial"/>
                <w:color w:val="000000"/>
                <w:lang w:val="en-GB"/>
              </w:rPr>
              <w:t xml:space="preserve"> </w:t>
            </w:r>
            <w:r w:rsidRPr="00103DDB">
              <w:rPr>
                <w:rFonts w:ascii="Arial" w:hAnsi="Arial" w:cs="Arial"/>
                <w:color w:val="000000"/>
                <w:lang w:val="en-GB"/>
              </w:rPr>
              <w:t>(</w:t>
            </w:r>
            <w:r w:rsidR="00A74758">
              <w:rPr>
                <w:rFonts w:ascii="Arial" w:hAnsi="Arial" w:cs="Arial"/>
                <w:color w:val="000000"/>
                <w:lang w:val="en-GB"/>
              </w:rPr>
              <w:t xml:space="preserve">VND </w:t>
            </w:r>
            <w:r w:rsidRPr="00103DDB">
              <w:rPr>
                <w:rFonts w:ascii="Arial" w:hAnsi="Arial" w:cs="Arial"/>
                <w:color w:val="000000"/>
                <w:lang w:val="en-GB"/>
              </w:rPr>
              <w:t>per US</w:t>
            </w:r>
            <w:r w:rsidR="00BF2F44" w:rsidRPr="00103DDB">
              <w:rPr>
                <w:rFonts w:ascii="Arial" w:hAnsi="Arial" w:cs="Arial"/>
                <w:color w:val="000000"/>
                <w:lang w:val="en-GB"/>
              </w:rPr>
              <w:t>$</w:t>
            </w:r>
            <w:r w:rsidRPr="00103DDB">
              <w:rPr>
                <w:rFonts w:ascii="Arial" w:hAnsi="Arial" w:cs="Arial"/>
                <w:color w:val="000000"/>
                <w:lang w:val="en-GB"/>
              </w:rPr>
              <w:t>)</w:t>
            </w:r>
          </w:p>
        </w:tc>
        <w:tc>
          <w:tcPr>
            <w:tcW w:w="1006" w:type="dxa"/>
            <w:noWrap/>
            <w:tcMar>
              <w:left w:w="58" w:type="dxa"/>
              <w:right w:w="58" w:type="dxa"/>
            </w:tcMar>
            <w:vAlign w:val="center"/>
            <w:hideMark/>
          </w:tcPr>
          <w:p w14:paraId="31ADADFF" w14:textId="77777777" w:rsidR="00332FD8" w:rsidRPr="00103DDB" w:rsidRDefault="00332FD8">
            <w:pPr>
              <w:jc w:val="right"/>
              <w:rPr>
                <w:rFonts w:ascii="Arial" w:hAnsi="Arial" w:cs="Arial"/>
                <w:color w:val="000000"/>
                <w:lang w:val="en-GB"/>
              </w:rPr>
            </w:pPr>
            <w:r w:rsidRPr="00103DDB">
              <w:rPr>
                <w:rFonts w:ascii="Arial" w:hAnsi="Arial" w:cs="Arial"/>
                <w:color w:val="000000"/>
                <w:lang w:val="en-GB"/>
              </w:rPr>
              <w:t>15,879</w:t>
            </w:r>
          </w:p>
        </w:tc>
        <w:tc>
          <w:tcPr>
            <w:tcW w:w="1143" w:type="dxa"/>
            <w:noWrap/>
            <w:tcMar>
              <w:left w:w="58" w:type="dxa"/>
              <w:right w:w="58" w:type="dxa"/>
            </w:tcMar>
            <w:vAlign w:val="center"/>
            <w:hideMark/>
          </w:tcPr>
          <w:p w14:paraId="6EF8D086" w14:textId="77777777" w:rsidR="00332FD8" w:rsidRPr="00103DDB" w:rsidRDefault="00332FD8">
            <w:pPr>
              <w:jc w:val="right"/>
              <w:rPr>
                <w:rFonts w:ascii="Arial" w:hAnsi="Arial" w:cs="Arial"/>
                <w:color w:val="000000"/>
                <w:lang w:val="en-GB"/>
              </w:rPr>
            </w:pPr>
            <w:r w:rsidRPr="00103DDB">
              <w:rPr>
                <w:rFonts w:ascii="Arial" w:hAnsi="Arial" w:cs="Arial"/>
                <w:color w:val="000000"/>
                <w:lang w:val="en-GB"/>
              </w:rPr>
              <w:t>16,000</w:t>
            </w:r>
          </w:p>
        </w:tc>
        <w:tc>
          <w:tcPr>
            <w:tcW w:w="1117" w:type="dxa"/>
            <w:noWrap/>
            <w:tcMar>
              <w:left w:w="58" w:type="dxa"/>
              <w:right w:w="58" w:type="dxa"/>
            </w:tcMar>
            <w:vAlign w:val="center"/>
            <w:hideMark/>
          </w:tcPr>
          <w:p w14:paraId="5A648A0E" w14:textId="77777777" w:rsidR="00332FD8" w:rsidRPr="00103DDB" w:rsidRDefault="00332FD8">
            <w:pPr>
              <w:jc w:val="right"/>
              <w:rPr>
                <w:rFonts w:ascii="Arial" w:hAnsi="Arial" w:cs="Arial"/>
                <w:color w:val="000000"/>
                <w:lang w:val="en-GB"/>
              </w:rPr>
            </w:pPr>
            <w:r w:rsidRPr="00103DDB">
              <w:rPr>
                <w:rFonts w:ascii="Arial" w:hAnsi="Arial" w:cs="Arial"/>
                <w:color w:val="000000"/>
                <w:lang w:val="en-GB"/>
              </w:rPr>
              <w:t>16,010</w:t>
            </w:r>
          </w:p>
        </w:tc>
        <w:tc>
          <w:tcPr>
            <w:tcW w:w="1284" w:type="dxa"/>
            <w:noWrap/>
            <w:tcMar>
              <w:left w:w="58" w:type="dxa"/>
              <w:right w:w="58" w:type="dxa"/>
            </w:tcMar>
            <w:vAlign w:val="center"/>
            <w:hideMark/>
          </w:tcPr>
          <w:p w14:paraId="5E113225" w14:textId="77777777" w:rsidR="00332FD8" w:rsidRPr="00103DDB" w:rsidRDefault="00332FD8">
            <w:pPr>
              <w:jc w:val="right"/>
              <w:rPr>
                <w:rFonts w:ascii="Arial" w:hAnsi="Arial" w:cs="Arial"/>
                <w:color w:val="000000"/>
                <w:lang w:val="en-GB"/>
              </w:rPr>
            </w:pPr>
            <w:r w:rsidRPr="00103DDB">
              <w:rPr>
                <w:rFonts w:ascii="Arial" w:hAnsi="Arial" w:cs="Arial"/>
                <w:color w:val="000000"/>
                <w:lang w:val="en-GB"/>
              </w:rPr>
              <w:t>17,400</w:t>
            </w:r>
          </w:p>
        </w:tc>
      </w:tr>
      <w:tr w:rsidR="00332FD8" w:rsidRPr="00103DDB" w14:paraId="1C2D77DC" w14:textId="77777777" w:rsidTr="00F079F4">
        <w:trPr>
          <w:trHeight w:val="233"/>
          <w:jc w:val="center"/>
        </w:trPr>
        <w:tc>
          <w:tcPr>
            <w:tcW w:w="4326" w:type="dxa"/>
            <w:noWrap/>
            <w:tcMar>
              <w:left w:w="58" w:type="dxa"/>
              <w:right w:w="58" w:type="dxa"/>
            </w:tcMar>
            <w:vAlign w:val="center"/>
            <w:hideMark/>
          </w:tcPr>
          <w:p w14:paraId="0AC94551" w14:textId="56294A6D" w:rsidR="00332FD8" w:rsidRPr="00C55178" w:rsidRDefault="00C55178">
            <w:pPr>
              <w:rPr>
                <w:rFonts w:ascii="Arial" w:hAnsi="Arial" w:cs="Arial"/>
                <w:b/>
                <w:color w:val="000000"/>
                <w:lang w:val="en-GB" w:eastAsia="en-US"/>
              </w:rPr>
            </w:pPr>
            <w:r w:rsidRPr="00C55178">
              <w:rPr>
                <w:rFonts w:ascii="Arial" w:hAnsi="Arial" w:cs="Arial"/>
                <w:b/>
                <w:color w:val="000000"/>
                <w:lang w:val="en-GB"/>
              </w:rPr>
              <w:t>Total Net Revenue</w:t>
            </w:r>
          </w:p>
        </w:tc>
        <w:tc>
          <w:tcPr>
            <w:tcW w:w="1006" w:type="dxa"/>
            <w:noWrap/>
            <w:tcMar>
              <w:left w:w="58" w:type="dxa"/>
              <w:right w:w="58" w:type="dxa"/>
            </w:tcMar>
            <w:vAlign w:val="center"/>
            <w:hideMark/>
          </w:tcPr>
          <w:p w14:paraId="6674FB4E" w14:textId="77777777" w:rsidR="00332FD8" w:rsidRPr="00103DDB" w:rsidRDefault="00332FD8">
            <w:pPr>
              <w:jc w:val="right"/>
              <w:rPr>
                <w:rFonts w:ascii="Arial" w:hAnsi="Arial" w:cs="Arial"/>
                <w:color w:val="000000"/>
                <w:lang w:val="en-GB"/>
              </w:rPr>
            </w:pPr>
            <w:r w:rsidRPr="00103DDB">
              <w:rPr>
                <w:rFonts w:ascii="Arial" w:hAnsi="Arial" w:cs="Arial"/>
                <w:color w:val="000000"/>
                <w:lang w:val="en-GB"/>
              </w:rPr>
              <w:t>87,937.38</w:t>
            </w:r>
          </w:p>
        </w:tc>
        <w:tc>
          <w:tcPr>
            <w:tcW w:w="1143" w:type="dxa"/>
            <w:noWrap/>
            <w:tcMar>
              <w:left w:w="58" w:type="dxa"/>
              <w:right w:w="58" w:type="dxa"/>
            </w:tcMar>
            <w:vAlign w:val="center"/>
            <w:hideMark/>
          </w:tcPr>
          <w:p w14:paraId="30D9D918" w14:textId="77777777" w:rsidR="00332FD8" w:rsidRPr="00103DDB" w:rsidRDefault="00332FD8">
            <w:pPr>
              <w:jc w:val="right"/>
              <w:rPr>
                <w:rFonts w:ascii="Arial" w:hAnsi="Arial" w:cs="Arial"/>
                <w:color w:val="000000"/>
                <w:lang w:val="en-GB"/>
              </w:rPr>
            </w:pPr>
            <w:r w:rsidRPr="00103DDB">
              <w:rPr>
                <w:rFonts w:ascii="Arial" w:hAnsi="Arial" w:cs="Arial"/>
                <w:color w:val="000000"/>
                <w:lang w:val="en-GB"/>
              </w:rPr>
              <w:t>348,410.69</w:t>
            </w:r>
          </w:p>
        </w:tc>
        <w:tc>
          <w:tcPr>
            <w:tcW w:w="1117" w:type="dxa"/>
            <w:noWrap/>
            <w:tcMar>
              <w:left w:w="58" w:type="dxa"/>
              <w:right w:w="58" w:type="dxa"/>
            </w:tcMar>
            <w:vAlign w:val="center"/>
            <w:hideMark/>
          </w:tcPr>
          <w:p w14:paraId="306A4DEE" w14:textId="77777777" w:rsidR="00332FD8" w:rsidRPr="00103DDB" w:rsidRDefault="00332FD8">
            <w:pPr>
              <w:jc w:val="right"/>
              <w:rPr>
                <w:rFonts w:ascii="Arial" w:hAnsi="Arial" w:cs="Arial"/>
                <w:color w:val="000000"/>
                <w:lang w:val="en-GB"/>
              </w:rPr>
            </w:pPr>
            <w:r w:rsidRPr="00103DDB">
              <w:rPr>
                <w:rFonts w:ascii="Arial" w:hAnsi="Arial" w:cs="Arial"/>
                <w:color w:val="000000"/>
                <w:lang w:val="en-GB"/>
              </w:rPr>
              <w:t>820,722.35</w:t>
            </w:r>
          </w:p>
        </w:tc>
        <w:tc>
          <w:tcPr>
            <w:tcW w:w="1284" w:type="dxa"/>
            <w:noWrap/>
            <w:tcMar>
              <w:left w:w="58" w:type="dxa"/>
              <w:right w:w="58" w:type="dxa"/>
            </w:tcMar>
            <w:vAlign w:val="center"/>
            <w:hideMark/>
          </w:tcPr>
          <w:p w14:paraId="793C5FA0" w14:textId="77777777" w:rsidR="00332FD8" w:rsidRPr="00103DDB" w:rsidRDefault="00332FD8">
            <w:pPr>
              <w:jc w:val="right"/>
              <w:rPr>
                <w:rFonts w:ascii="Arial" w:hAnsi="Arial" w:cs="Arial"/>
                <w:color w:val="000000"/>
                <w:lang w:val="en-GB"/>
              </w:rPr>
            </w:pPr>
            <w:r w:rsidRPr="00103DDB">
              <w:rPr>
                <w:rFonts w:ascii="Arial" w:hAnsi="Arial" w:cs="Arial"/>
                <w:color w:val="000000"/>
                <w:lang w:val="en-GB"/>
              </w:rPr>
              <w:t>1,533,791.75</w:t>
            </w:r>
          </w:p>
        </w:tc>
      </w:tr>
      <w:tr w:rsidR="00332FD8" w:rsidRPr="00103DDB" w14:paraId="669E3FFC" w14:textId="77777777" w:rsidTr="00F079F4">
        <w:trPr>
          <w:trHeight w:val="260"/>
          <w:jc w:val="center"/>
        </w:trPr>
        <w:tc>
          <w:tcPr>
            <w:tcW w:w="4326" w:type="dxa"/>
            <w:noWrap/>
            <w:tcMar>
              <w:left w:w="58" w:type="dxa"/>
              <w:right w:w="58" w:type="dxa"/>
            </w:tcMar>
            <w:vAlign w:val="center"/>
            <w:hideMark/>
          </w:tcPr>
          <w:p w14:paraId="175BFAC8" w14:textId="77777777" w:rsidR="00332FD8" w:rsidRPr="00103DDB" w:rsidRDefault="00332FD8">
            <w:pPr>
              <w:rPr>
                <w:rFonts w:ascii="Arial" w:hAnsi="Arial" w:cs="Arial"/>
                <w:color w:val="000000"/>
                <w:lang w:val="en-GB"/>
              </w:rPr>
            </w:pPr>
            <w:r w:rsidRPr="00103DDB">
              <w:rPr>
                <w:rFonts w:ascii="Arial" w:hAnsi="Arial" w:cs="Arial"/>
                <w:color w:val="000000"/>
                <w:lang w:val="en-GB"/>
              </w:rPr>
              <w:t>Growth rate (%)</w:t>
            </w:r>
          </w:p>
        </w:tc>
        <w:tc>
          <w:tcPr>
            <w:tcW w:w="1006" w:type="dxa"/>
            <w:noWrap/>
            <w:tcMar>
              <w:left w:w="58" w:type="dxa"/>
              <w:right w:w="58" w:type="dxa"/>
            </w:tcMar>
            <w:vAlign w:val="center"/>
            <w:hideMark/>
          </w:tcPr>
          <w:p w14:paraId="3EB0858D" w14:textId="77777777" w:rsidR="00332FD8" w:rsidRPr="00103DDB" w:rsidRDefault="00332FD8">
            <w:pPr>
              <w:rPr>
                <w:rFonts w:ascii="Arial" w:hAnsi="Arial" w:cs="Arial"/>
                <w:color w:val="000000"/>
                <w:lang w:val="en-GB"/>
              </w:rPr>
            </w:pPr>
          </w:p>
        </w:tc>
        <w:tc>
          <w:tcPr>
            <w:tcW w:w="1143" w:type="dxa"/>
            <w:noWrap/>
            <w:tcMar>
              <w:left w:w="58" w:type="dxa"/>
              <w:right w:w="58" w:type="dxa"/>
            </w:tcMar>
            <w:vAlign w:val="center"/>
            <w:hideMark/>
          </w:tcPr>
          <w:p w14:paraId="15004339" w14:textId="77777777" w:rsidR="00332FD8" w:rsidRPr="00103DDB" w:rsidRDefault="00332FD8">
            <w:pPr>
              <w:jc w:val="right"/>
              <w:rPr>
                <w:rFonts w:ascii="Arial" w:hAnsi="Arial" w:cs="Arial"/>
                <w:color w:val="000000"/>
                <w:lang w:val="en-GB" w:eastAsia="en-US"/>
              </w:rPr>
            </w:pPr>
            <w:r w:rsidRPr="00103DDB">
              <w:rPr>
                <w:rFonts w:ascii="Arial" w:hAnsi="Arial" w:cs="Arial"/>
                <w:color w:val="000000"/>
                <w:lang w:val="en-GB"/>
              </w:rPr>
              <w:t>2.96</w:t>
            </w:r>
          </w:p>
        </w:tc>
        <w:tc>
          <w:tcPr>
            <w:tcW w:w="1117" w:type="dxa"/>
            <w:noWrap/>
            <w:tcMar>
              <w:left w:w="58" w:type="dxa"/>
              <w:right w:w="58" w:type="dxa"/>
            </w:tcMar>
            <w:vAlign w:val="center"/>
            <w:hideMark/>
          </w:tcPr>
          <w:p w14:paraId="461FA2BF" w14:textId="77777777" w:rsidR="00332FD8" w:rsidRPr="00103DDB" w:rsidRDefault="00332FD8">
            <w:pPr>
              <w:jc w:val="right"/>
              <w:rPr>
                <w:rFonts w:ascii="Arial" w:hAnsi="Arial" w:cs="Arial"/>
                <w:color w:val="000000"/>
                <w:lang w:val="en-GB"/>
              </w:rPr>
            </w:pPr>
            <w:r w:rsidRPr="00103DDB">
              <w:rPr>
                <w:rFonts w:ascii="Arial" w:hAnsi="Arial" w:cs="Arial"/>
                <w:color w:val="000000"/>
                <w:lang w:val="en-GB"/>
              </w:rPr>
              <w:t>1.36</w:t>
            </w:r>
          </w:p>
        </w:tc>
        <w:tc>
          <w:tcPr>
            <w:tcW w:w="1284" w:type="dxa"/>
            <w:noWrap/>
            <w:tcMar>
              <w:left w:w="58" w:type="dxa"/>
              <w:right w:w="58" w:type="dxa"/>
            </w:tcMar>
            <w:vAlign w:val="center"/>
            <w:hideMark/>
          </w:tcPr>
          <w:p w14:paraId="46B34657" w14:textId="77777777" w:rsidR="00332FD8" w:rsidRPr="00103DDB" w:rsidRDefault="00332FD8">
            <w:pPr>
              <w:jc w:val="right"/>
              <w:rPr>
                <w:rFonts w:ascii="Arial" w:hAnsi="Arial" w:cs="Arial"/>
                <w:color w:val="000000"/>
                <w:lang w:val="en-GB"/>
              </w:rPr>
            </w:pPr>
            <w:r w:rsidRPr="00103DDB">
              <w:rPr>
                <w:rFonts w:ascii="Arial" w:hAnsi="Arial" w:cs="Arial"/>
                <w:color w:val="000000"/>
                <w:lang w:val="en-GB"/>
              </w:rPr>
              <w:t>0.87</w:t>
            </w:r>
          </w:p>
        </w:tc>
      </w:tr>
      <w:tr w:rsidR="00332FD8" w:rsidRPr="00103DDB" w14:paraId="75D27821" w14:textId="77777777" w:rsidTr="00F079F4">
        <w:trPr>
          <w:trHeight w:val="260"/>
          <w:jc w:val="center"/>
        </w:trPr>
        <w:tc>
          <w:tcPr>
            <w:tcW w:w="4326" w:type="dxa"/>
            <w:noWrap/>
            <w:tcMar>
              <w:left w:w="58" w:type="dxa"/>
              <w:right w:w="58" w:type="dxa"/>
            </w:tcMar>
            <w:vAlign w:val="center"/>
            <w:hideMark/>
          </w:tcPr>
          <w:p w14:paraId="60099238" w14:textId="77777777" w:rsidR="00332FD8" w:rsidRPr="00103DDB" w:rsidRDefault="00332FD8">
            <w:pPr>
              <w:rPr>
                <w:rFonts w:ascii="Arial" w:hAnsi="Arial" w:cs="Arial"/>
                <w:color w:val="000000"/>
                <w:lang w:val="en-GB" w:eastAsia="en-US"/>
              </w:rPr>
            </w:pPr>
            <w:r w:rsidRPr="00103DDB">
              <w:rPr>
                <w:rFonts w:ascii="Arial" w:hAnsi="Arial" w:cs="Arial"/>
                <w:color w:val="000000"/>
                <w:lang w:val="en-GB"/>
              </w:rPr>
              <w:t>Revenue from sale of goods</w:t>
            </w:r>
          </w:p>
        </w:tc>
        <w:tc>
          <w:tcPr>
            <w:tcW w:w="1006" w:type="dxa"/>
            <w:noWrap/>
            <w:tcMar>
              <w:left w:w="58" w:type="dxa"/>
              <w:right w:w="58" w:type="dxa"/>
            </w:tcMar>
            <w:vAlign w:val="center"/>
            <w:hideMark/>
          </w:tcPr>
          <w:p w14:paraId="6A3B48DB" w14:textId="77777777" w:rsidR="00332FD8" w:rsidRPr="00103DDB" w:rsidRDefault="00332FD8">
            <w:pPr>
              <w:jc w:val="right"/>
              <w:rPr>
                <w:rFonts w:ascii="Arial" w:hAnsi="Arial" w:cs="Arial"/>
                <w:color w:val="000000"/>
                <w:lang w:val="en-GB"/>
              </w:rPr>
            </w:pPr>
            <w:r w:rsidRPr="00103DDB">
              <w:rPr>
                <w:rFonts w:ascii="Arial" w:hAnsi="Arial" w:cs="Arial"/>
                <w:color w:val="000000"/>
                <w:lang w:val="en-GB"/>
              </w:rPr>
              <w:t>87,937.38</w:t>
            </w:r>
          </w:p>
        </w:tc>
        <w:tc>
          <w:tcPr>
            <w:tcW w:w="1143" w:type="dxa"/>
            <w:noWrap/>
            <w:tcMar>
              <w:left w:w="58" w:type="dxa"/>
              <w:right w:w="58" w:type="dxa"/>
            </w:tcMar>
            <w:vAlign w:val="center"/>
            <w:hideMark/>
          </w:tcPr>
          <w:p w14:paraId="7F66E394" w14:textId="77777777" w:rsidR="00332FD8" w:rsidRPr="00103DDB" w:rsidRDefault="00332FD8">
            <w:pPr>
              <w:jc w:val="right"/>
              <w:rPr>
                <w:rFonts w:ascii="Arial" w:hAnsi="Arial" w:cs="Arial"/>
                <w:color w:val="000000"/>
                <w:lang w:val="en-GB"/>
              </w:rPr>
            </w:pPr>
            <w:r w:rsidRPr="00103DDB">
              <w:rPr>
                <w:rFonts w:ascii="Arial" w:hAnsi="Arial" w:cs="Arial"/>
                <w:color w:val="000000"/>
                <w:lang w:val="en-GB"/>
              </w:rPr>
              <w:t>336,826.03</w:t>
            </w:r>
          </w:p>
        </w:tc>
        <w:tc>
          <w:tcPr>
            <w:tcW w:w="1117" w:type="dxa"/>
            <w:noWrap/>
            <w:tcMar>
              <w:left w:w="58" w:type="dxa"/>
              <w:right w:w="58" w:type="dxa"/>
            </w:tcMar>
            <w:vAlign w:val="center"/>
            <w:hideMark/>
          </w:tcPr>
          <w:p w14:paraId="2935A5CB" w14:textId="77777777" w:rsidR="00332FD8" w:rsidRPr="00103DDB" w:rsidRDefault="00332FD8">
            <w:pPr>
              <w:jc w:val="right"/>
              <w:rPr>
                <w:rFonts w:ascii="Arial" w:hAnsi="Arial" w:cs="Arial"/>
                <w:color w:val="000000"/>
                <w:lang w:val="en-GB"/>
              </w:rPr>
            </w:pPr>
            <w:r w:rsidRPr="00103DDB">
              <w:rPr>
                <w:rFonts w:ascii="Arial" w:hAnsi="Arial" w:cs="Arial"/>
                <w:color w:val="000000"/>
                <w:lang w:val="en-GB"/>
              </w:rPr>
              <w:t>812,008.75</w:t>
            </w:r>
          </w:p>
        </w:tc>
        <w:tc>
          <w:tcPr>
            <w:tcW w:w="1284" w:type="dxa"/>
            <w:noWrap/>
            <w:tcMar>
              <w:left w:w="58" w:type="dxa"/>
              <w:right w:w="58" w:type="dxa"/>
            </w:tcMar>
            <w:vAlign w:val="center"/>
            <w:hideMark/>
          </w:tcPr>
          <w:p w14:paraId="0A262E7F" w14:textId="77777777" w:rsidR="00332FD8" w:rsidRPr="00103DDB" w:rsidRDefault="00332FD8">
            <w:pPr>
              <w:jc w:val="right"/>
              <w:rPr>
                <w:rFonts w:ascii="Arial" w:hAnsi="Arial" w:cs="Arial"/>
                <w:color w:val="000000"/>
                <w:lang w:val="en-GB"/>
              </w:rPr>
            </w:pPr>
            <w:r w:rsidRPr="00103DDB">
              <w:rPr>
                <w:rFonts w:ascii="Arial" w:hAnsi="Arial" w:cs="Arial"/>
                <w:color w:val="000000"/>
                <w:lang w:val="en-GB"/>
              </w:rPr>
              <w:t>1,520,561.79</w:t>
            </w:r>
          </w:p>
        </w:tc>
      </w:tr>
      <w:tr w:rsidR="00332FD8" w:rsidRPr="00103DDB" w14:paraId="26EED563" w14:textId="77777777" w:rsidTr="00F079F4">
        <w:trPr>
          <w:trHeight w:val="251"/>
          <w:jc w:val="center"/>
        </w:trPr>
        <w:tc>
          <w:tcPr>
            <w:tcW w:w="4326" w:type="dxa"/>
            <w:noWrap/>
            <w:tcMar>
              <w:left w:w="58" w:type="dxa"/>
              <w:right w:w="58" w:type="dxa"/>
            </w:tcMar>
            <w:vAlign w:val="center"/>
            <w:hideMark/>
          </w:tcPr>
          <w:p w14:paraId="26577A75" w14:textId="77777777" w:rsidR="00332FD8" w:rsidRPr="00103DDB" w:rsidRDefault="00332FD8">
            <w:pPr>
              <w:rPr>
                <w:rFonts w:ascii="Arial" w:hAnsi="Arial" w:cs="Arial"/>
                <w:color w:val="000000"/>
                <w:lang w:val="en-GB"/>
              </w:rPr>
            </w:pPr>
            <w:r w:rsidRPr="00103DDB">
              <w:rPr>
                <w:rFonts w:ascii="Arial" w:hAnsi="Arial" w:cs="Arial"/>
                <w:color w:val="000000"/>
                <w:lang w:val="en-GB"/>
              </w:rPr>
              <w:t>Growth rate (%)</w:t>
            </w:r>
          </w:p>
        </w:tc>
        <w:tc>
          <w:tcPr>
            <w:tcW w:w="1006" w:type="dxa"/>
            <w:noWrap/>
            <w:tcMar>
              <w:left w:w="58" w:type="dxa"/>
              <w:right w:w="58" w:type="dxa"/>
            </w:tcMar>
            <w:vAlign w:val="center"/>
            <w:hideMark/>
          </w:tcPr>
          <w:p w14:paraId="0501A6B6" w14:textId="77777777" w:rsidR="00332FD8" w:rsidRPr="00103DDB" w:rsidRDefault="00332FD8">
            <w:pPr>
              <w:rPr>
                <w:rFonts w:ascii="Arial" w:hAnsi="Arial" w:cs="Arial"/>
                <w:color w:val="000000"/>
                <w:lang w:val="en-GB"/>
              </w:rPr>
            </w:pPr>
          </w:p>
        </w:tc>
        <w:tc>
          <w:tcPr>
            <w:tcW w:w="1143" w:type="dxa"/>
            <w:noWrap/>
            <w:tcMar>
              <w:left w:w="58" w:type="dxa"/>
              <w:right w:w="58" w:type="dxa"/>
            </w:tcMar>
            <w:vAlign w:val="center"/>
            <w:hideMark/>
          </w:tcPr>
          <w:p w14:paraId="2B653D2E" w14:textId="77777777" w:rsidR="00332FD8" w:rsidRPr="00103DDB" w:rsidRDefault="00332FD8">
            <w:pPr>
              <w:jc w:val="right"/>
              <w:rPr>
                <w:rFonts w:ascii="Arial" w:hAnsi="Arial" w:cs="Arial"/>
                <w:color w:val="000000"/>
                <w:lang w:val="en-GB" w:eastAsia="en-US"/>
              </w:rPr>
            </w:pPr>
            <w:r w:rsidRPr="00103DDB">
              <w:rPr>
                <w:rFonts w:ascii="Arial" w:hAnsi="Arial" w:cs="Arial"/>
                <w:color w:val="000000"/>
                <w:lang w:val="en-GB"/>
              </w:rPr>
              <w:t>2.83</w:t>
            </w:r>
          </w:p>
        </w:tc>
        <w:tc>
          <w:tcPr>
            <w:tcW w:w="1117" w:type="dxa"/>
            <w:noWrap/>
            <w:tcMar>
              <w:left w:w="58" w:type="dxa"/>
              <w:right w:w="58" w:type="dxa"/>
            </w:tcMar>
            <w:vAlign w:val="center"/>
            <w:hideMark/>
          </w:tcPr>
          <w:p w14:paraId="65E8D5DD" w14:textId="77777777" w:rsidR="00332FD8" w:rsidRPr="00103DDB" w:rsidRDefault="00332FD8">
            <w:pPr>
              <w:jc w:val="right"/>
              <w:rPr>
                <w:rFonts w:ascii="Arial" w:hAnsi="Arial" w:cs="Arial"/>
                <w:color w:val="000000"/>
                <w:lang w:val="en-GB"/>
              </w:rPr>
            </w:pPr>
            <w:r w:rsidRPr="00103DDB">
              <w:rPr>
                <w:rFonts w:ascii="Arial" w:hAnsi="Arial" w:cs="Arial"/>
                <w:color w:val="000000"/>
                <w:lang w:val="en-GB"/>
              </w:rPr>
              <w:t>1.41</w:t>
            </w:r>
          </w:p>
        </w:tc>
        <w:tc>
          <w:tcPr>
            <w:tcW w:w="1284" w:type="dxa"/>
            <w:noWrap/>
            <w:tcMar>
              <w:left w:w="58" w:type="dxa"/>
              <w:right w:w="58" w:type="dxa"/>
            </w:tcMar>
            <w:vAlign w:val="center"/>
            <w:hideMark/>
          </w:tcPr>
          <w:p w14:paraId="30617C6B" w14:textId="77777777" w:rsidR="00332FD8" w:rsidRPr="00103DDB" w:rsidRDefault="00332FD8">
            <w:pPr>
              <w:jc w:val="right"/>
              <w:rPr>
                <w:rFonts w:ascii="Arial" w:hAnsi="Arial" w:cs="Arial"/>
                <w:color w:val="000000"/>
                <w:lang w:val="en-GB"/>
              </w:rPr>
            </w:pPr>
            <w:r w:rsidRPr="00103DDB">
              <w:rPr>
                <w:rFonts w:ascii="Arial" w:hAnsi="Arial" w:cs="Arial"/>
                <w:color w:val="000000"/>
                <w:lang w:val="en-GB"/>
              </w:rPr>
              <w:t>0.87</w:t>
            </w:r>
          </w:p>
        </w:tc>
      </w:tr>
      <w:tr w:rsidR="00332FD8" w:rsidRPr="00103DDB" w14:paraId="264483D0" w14:textId="77777777" w:rsidTr="00F079F4">
        <w:trPr>
          <w:trHeight w:val="179"/>
          <w:jc w:val="center"/>
        </w:trPr>
        <w:tc>
          <w:tcPr>
            <w:tcW w:w="4326" w:type="dxa"/>
            <w:noWrap/>
            <w:tcMar>
              <w:left w:w="58" w:type="dxa"/>
              <w:right w:w="58" w:type="dxa"/>
            </w:tcMar>
            <w:vAlign w:val="center"/>
            <w:hideMark/>
          </w:tcPr>
          <w:p w14:paraId="337CF981" w14:textId="77777777" w:rsidR="00332FD8" w:rsidRPr="00103DDB" w:rsidRDefault="00332FD8">
            <w:pPr>
              <w:rPr>
                <w:rFonts w:ascii="Arial" w:hAnsi="Arial" w:cs="Arial"/>
                <w:color w:val="000000"/>
                <w:lang w:val="en-GB" w:eastAsia="en-US"/>
              </w:rPr>
            </w:pPr>
            <w:r w:rsidRPr="00103DDB">
              <w:rPr>
                <w:rFonts w:ascii="Arial" w:hAnsi="Arial" w:cs="Arial"/>
                <w:color w:val="000000"/>
                <w:lang w:val="en-GB"/>
              </w:rPr>
              <w:t>Online revenue</w:t>
            </w:r>
          </w:p>
        </w:tc>
        <w:tc>
          <w:tcPr>
            <w:tcW w:w="1006" w:type="dxa"/>
            <w:noWrap/>
            <w:tcMar>
              <w:left w:w="58" w:type="dxa"/>
              <w:right w:w="58" w:type="dxa"/>
            </w:tcMar>
            <w:vAlign w:val="center"/>
            <w:hideMark/>
          </w:tcPr>
          <w:p w14:paraId="5C7C88BA" w14:textId="77777777" w:rsidR="00332FD8" w:rsidRPr="00103DDB" w:rsidRDefault="00332FD8">
            <w:pPr>
              <w:jc w:val="right"/>
              <w:rPr>
                <w:rFonts w:ascii="Arial" w:hAnsi="Arial" w:cs="Arial"/>
                <w:color w:val="000000"/>
                <w:lang w:val="en-GB"/>
              </w:rPr>
            </w:pPr>
            <w:r w:rsidRPr="00103DDB">
              <w:rPr>
                <w:rFonts w:ascii="Arial" w:hAnsi="Arial" w:cs="Arial"/>
                <w:color w:val="000000"/>
                <w:lang w:val="en-GB"/>
              </w:rPr>
              <w:t>0.00</w:t>
            </w:r>
          </w:p>
        </w:tc>
        <w:tc>
          <w:tcPr>
            <w:tcW w:w="1143" w:type="dxa"/>
            <w:noWrap/>
            <w:tcMar>
              <w:left w:w="58" w:type="dxa"/>
              <w:right w:w="58" w:type="dxa"/>
            </w:tcMar>
            <w:vAlign w:val="center"/>
            <w:hideMark/>
          </w:tcPr>
          <w:p w14:paraId="3096309F" w14:textId="77777777" w:rsidR="00332FD8" w:rsidRPr="00103DDB" w:rsidRDefault="00332FD8">
            <w:pPr>
              <w:jc w:val="right"/>
              <w:rPr>
                <w:rFonts w:ascii="Arial" w:hAnsi="Arial" w:cs="Arial"/>
                <w:color w:val="000000"/>
                <w:lang w:val="en-GB"/>
              </w:rPr>
            </w:pPr>
            <w:r w:rsidRPr="00103DDB">
              <w:rPr>
                <w:rFonts w:ascii="Arial" w:hAnsi="Arial" w:cs="Arial"/>
                <w:color w:val="000000"/>
                <w:lang w:val="en-GB"/>
              </w:rPr>
              <w:t>0.00</w:t>
            </w:r>
          </w:p>
        </w:tc>
        <w:tc>
          <w:tcPr>
            <w:tcW w:w="1117" w:type="dxa"/>
            <w:noWrap/>
            <w:tcMar>
              <w:left w:w="58" w:type="dxa"/>
              <w:right w:w="58" w:type="dxa"/>
            </w:tcMar>
            <w:vAlign w:val="center"/>
            <w:hideMark/>
          </w:tcPr>
          <w:p w14:paraId="0CD41091" w14:textId="77777777" w:rsidR="00332FD8" w:rsidRPr="00103DDB" w:rsidRDefault="00332FD8">
            <w:pPr>
              <w:jc w:val="right"/>
              <w:rPr>
                <w:rFonts w:ascii="Arial" w:hAnsi="Arial" w:cs="Arial"/>
                <w:color w:val="000000"/>
                <w:lang w:val="en-GB"/>
              </w:rPr>
            </w:pPr>
            <w:r w:rsidRPr="00103DDB">
              <w:rPr>
                <w:rFonts w:ascii="Arial" w:hAnsi="Arial" w:cs="Arial"/>
                <w:color w:val="000000"/>
                <w:lang w:val="en-GB"/>
              </w:rPr>
              <w:t>0.00</w:t>
            </w:r>
          </w:p>
        </w:tc>
        <w:tc>
          <w:tcPr>
            <w:tcW w:w="1284" w:type="dxa"/>
            <w:noWrap/>
            <w:tcMar>
              <w:left w:w="58" w:type="dxa"/>
              <w:right w:w="58" w:type="dxa"/>
            </w:tcMar>
            <w:vAlign w:val="center"/>
            <w:hideMark/>
          </w:tcPr>
          <w:p w14:paraId="3E8C451F" w14:textId="77777777" w:rsidR="00332FD8" w:rsidRPr="00103DDB" w:rsidRDefault="00332FD8">
            <w:pPr>
              <w:jc w:val="right"/>
              <w:rPr>
                <w:rFonts w:ascii="Arial" w:hAnsi="Arial" w:cs="Arial"/>
                <w:color w:val="000000"/>
                <w:lang w:val="en-GB"/>
              </w:rPr>
            </w:pPr>
            <w:r w:rsidRPr="00103DDB">
              <w:rPr>
                <w:rFonts w:ascii="Arial" w:hAnsi="Arial" w:cs="Arial"/>
                <w:color w:val="000000"/>
                <w:lang w:val="en-GB"/>
              </w:rPr>
              <w:t>0.00</w:t>
            </w:r>
          </w:p>
        </w:tc>
      </w:tr>
      <w:tr w:rsidR="00332FD8" w:rsidRPr="00103DDB" w14:paraId="6158E5B3" w14:textId="77777777" w:rsidTr="00F079F4">
        <w:trPr>
          <w:trHeight w:val="206"/>
          <w:jc w:val="center"/>
        </w:trPr>
        <w:tc>
          <w:tcPr>
            <w:tcW w:w="4326" w:type="dxa"/>
            <w:noWrap/>
            <w:tcMar>
              <w:left w:w="58" w:type="dxa"/>
              <w:right w:w="58" w:type="dxa"/>
            </w:tcMar>
            <w:vAlign w:val="center"/>
            <w:hideMark/>
          </w:tcPr>
          <w:p w14:paraId="46FD3E26" w14:textId="77777777" w:rsidR="00332FD8" w:rsidRPr="00103DDB" w:rsidRDefault="00332FD8">
            <w:pPr>
              <w:rPr>
                <w:rFonts w:ascii="Arial" w:hAnsi="Arial" w:cs="Arial"/>
                <w:color w:val="000000"/>
                <w:lang w:val="en-GB" w:eastAsia="en-US"/>
              </w:rPr>
            </w:pPr>
            <w:r w:rsidRPr="00103DDB">
              <w:rPr>
                <w:rFonts w:ascii="Arial" w:hAnsi="Arial" w:cs="Arial"/>
                <w:color w:val="000000"/>
                <w:lang w:val="en-GB"/>
              </w:rPr>
              <w:t>Service revenue</w:t>
            </w:r>
          </w:p>
        </w:tc>
        <w:tc>
          <w:tcPr>
            <w:tcW w:w="1006" w:type="dxa"/>
            <w:noWrap/>
            <w:tcMar>
              <w:left w:w="58" w:type="dxa"/>
              <w:right w:w="58" w:type="dxa"/>
            </w:tcMar>
            <w:vAlign w:val="center"/>
            <w:hideMark/>
          </w:tcPr>
          <w:p w14:paraId="7C461DEE" w14:textId="77777777" w:rsidR="00332FD8" w:rsidRPr="00103DDB" w:rsidRDefault="00332FD8">
            <w:pPr>
              <w:jc w:val="right"/>
              <w:rPr>
                <w:rFonts w:ascii="Arial" w:hAnsi="Arial" w:cs="Arial"/>
                <w:color w:val="000000"/>
                <w:lang w:val="en-GB"/>
              </w:rPr>
            </w:pPr>
            <w:r w:rsidRPr="00103DDB">
              <w:rPr>
                <w:rFonts w:ascii="Arial" w:hAnsi="Arial" w:cs="Arial"/>
                <w:color w:val="000000"/>
                <w:lang w:val="en-GB"/>
              </w:rPr>
              <w:t>0.00</w:t>
            </w:r>
          </w:p>
        </w:tc>
        <w:tc>
          <w:tcPr>
            <w:tcW w:w="1143" w:type="dxa"/>
            <w:noWrap/>
            <w:tcMar>
              <w:left w:w="58" w:type="dxa"/>
              <w:right w:w="58" w:type="dxa"/>
            </w:tcMar>
            <w:vAlign w:val="center"/>
            <w:hideMark/>
          </w:tcPr>
          <w:p w14:paraId="28F72368" w14:textId="77777777" w:rsidR="00332FD8" w:rsidRPr="00103DDB" w:rsidRDefault="00332FD8">
            <w:pPr>
              <w:jc w:val="right"/>
              <w:rPr>
                <w:rFonts w:ascii="Arial" w:hAnsi="Arial" w:cs="Arial"/>
                <w:color w:val="000000"/>
                <w:lang w:val="en-GB"/>
              </w:rPr>
            </w:pPr>
            <w:r w:rsidRPr="00103DDB">
              <w:rPr>
                <w:rFonts w:ascii="Arial" w:hAnsi="Arial" w:cs="Arial"/>
                <w:color w:val="000000"/>
                <w:lang w:val="en-GB"/>
              </w:rPr>
              <w:t>11,584.67</w:t>
            </w:r>
          </w:p>
        </w:tc>
        <w:tc>
          <w:tcPr>
            <w:tcW w:w="1117" w:type="dxa"/>
            <w:noWrap/>
            <w:tcMar>
              <w:left w:w="58" w:type="dxa"/>
              <w:right w:w="58" w:type="dxa"/>
            </w:tcMar>
            <w:vAlign w:val="center"/>
            <w:hideMark/>
          </w:tcPr>
          <w:p w14:paraId="2C160EA5" w14:textId="77777777" w:rsidR="00332FD8" w:rsidRPr="00103DDB" w:rsidRDefault="00332FD8">
            <w:pPr>
              <w:jc w:val="right"/>
              <w:rPr>
                <w:rFonts w:ascii="Arial" w:hAnsi="Arial" w:cs="Arial"/>
                <w:color w:val="000000"/>
                <w:lang w:val="en-GB"/>
              </w:rPr>
            </w:pPr>
            <w:r w:rsidRPr="00103DDB">
              <w:rPr>
                <w:rFonts w:ascii="Arial" w:hAnsi="Arial" w:cs="Arial"/>
                <w:color w:val="000000"/>
                <w:lang w:val="en-GB"/>
              </w:rPr>
              <w:t>8,713.60</w:t>
            </w:r>
          </w:p>
        </w:tc>
        <w:tc>
          <w:tcPr>
            <w:tcW w:w="1284" w:type="dxa"/>
            <w:noWrap/>
            <w:tcMar>
              <w:left w:w="58" w:type="dxa"/>
              <w:right w:w="58" w:type="dxa"/>
            </w:tcMar>
            <w:vAlign w:val="center"/>
            <w:hideMark/>
          </w:tcPr>
          <w:p w14:paraId="653C9CD1" w14:textId="77777777" w:rsidR="00332FD8" w:rsidRPr="00103DDB" w:rsidRDefault="00332FD8">
            <w:pPr>
              <w:jc w:val="right"/>
              <w:rPr>
                <w:rFonts w:ascii="Arial" w:hAnsi="Arial" w:cs="Arial"/>
                <w:color w:val="000000"/>
                <w:lang w:val="en-GB"/>
              </w:rPr>
            </w:pPr>
            <w:r w:rsidRPr="00103DDB">
              <w:rPr>
                <w:rFonts w:ascii="Arial" w:hAnsi="Arial" w:cs="Arial"/>
                <w:color w:val="000000"/>
                <w:lang w:val="en-GB"/>
              </w:rPr>
              <w:t>13,229.96</w:t>
            </w:r>
          </w:p>
        </w:tc>
      </w:tr>
      <w:tr w:rsidR="00332FD8" w:rsidRPr="00103DDB" w14:paraId="12B6F71E" w14:textId="77777777" w:rsidTr="00F079F4">
        <w:trPr>
          <w:trHeight w:val="134"/>
          <w:jc w:val="center"/>
        </w:trPr>
        <w:tc>
          <w:tcPr>
            <w:tcW w:w="4326" w:type="dxa"/>
            <w:noWrap/>
            <w:tcMar>
              <w:left w:w="58" w:type="dxa"/>
              <w:right w:w="58" w:type="dxa"/>
            </w:tcMar>
            <w:vAlign w:val="center"/>
            <w:hideMark/>
          </w:tcPr>
          <w:p w14:paraId="2A70F3D2" w14:textId="77777777" w:rsidR="00332FD8" w:rsidRPr="00103DDB" w:rsidRDefault="00332FD8">
            <w:pPr>
              <w:rPr>
                <w:rFonts w:ascii="Arial" w:hAnsi="Arial" w:cs="Arial"/>
                <w:color w:val="000000"/>
                <w:lang w:val="en-GB"/>
              </w:rPr>
            </w:pPr>
            <w:r w:rsidRPr="00103DDB">
              <w:rPr>
                <w:rFonts w:ascii="Arial" w:hAnsi="Arial" w:cs="Arial"/>
                <w:color w:val="000000"/>
                <w:lang w:val="en-GB"/>
              </w:rPr>
              <w:t>Growth rate (%)</w:t>
            </w:r>
          </w:p>
        </w:tc>
        <w:tc>
          <w:tcPr>
            <w:tcW w:w="1006" w:type="dxa"/>
            <w:noWrap/>
            <w:tcMar>
              <w:left w:w="58" w:type="dxa"/>
              <w:right w:w="58" w:type="dxa"/>
            </w:tcMar>
            <w:vAlign w:val="center"/>
            <w:hideMark/>
          </w:tcPr>
          <w:p w14:paraId="4A46996D" w14:textId="77777777" w:rsidR="00332FD8" w:rsidRPr="00103DDB" w:rsidRDefault="00332FD8">
            <w:pPr>
              <w:rPr>
                <w:rFonts w:ascii="Arial" w:hAnsi="Arial" w:cs="Arial"/>
                <w:color w:val="000000"/>
                <w:lang w:val="en-GB"/>
              </w:rPr>
            </w:pPr>
          </w:p>
        </w:tc>
        <w:tc>
          <w:tcPr>
            <w:tcW w:w="1143" w:type="dxa"/>
            <w:noWrap/>
            <w:tcMar>
              <w:left w:w="58" w:type="dxa"/>
              <w:right w:w="58" w:type="dxa"/>
            </w:tcMar>
            <w:vAlign w:val="center"/>
            <w:hideMark/>
          </w:tcPr>
          <w:p w14:paraId="1178D825" w14:textId="77777777" w:rsidR="00332FD8" w:rsidRPr="00103DDB" w:rsidRDefault="00332FD8">
            <w:pPr>
              <w:rPr>
                <w:rFonts w:ascii="Arial" w:hAnsi="Arial" w:cs="Arial"/>
                <w:lang w:val="en-GB" w:eastAsia="en-CA"/>
              </w:rPr>
            </w:pPr>
          </w:p>
        </w:tc>
        <w:tc>
          <w:tcPr>
            <w:tcW w:w="1117" w:type="dxa"/>
            <w:noWrap/>
            <w:tcMar>
              <w:left w:w="58" w:type="dxa"/>
              <w:right w:w="58" w:type="dxa"/>
            </w:tcMar>
            <w:vAlign w:val="center"/>
            <w:hideMark/>
          </w:tcPr>
          <w:p w14:paraId="6408CC58" w14:textId="77777777" w:rsidR="00332FD8" w:rsidRPr="00103DDB" w:rsidRDefault="00332FD8">
            <w:pPr>
              <w:jc w:val="right"/>
              <w:rPr>
                <w:rFonts w:ascii="Arial" w:hAnsi="Arial" w:cs="Arial"/>
                <w:color w:val="000000"/>
                <w:lang w:val="en-GB" w:eastAsia="en-US"/>
              </w:rPr>
            </w:pPr>
            <w:r w:rsidRPr="00103DDB">
              <w:rPr>
                <w:rFonts w:ascii="Arial" w:hAnsi="Arial" w:cs="Arial"/>
                <w:color w:val="000000"/>
                <w:lang w:val="en-GB"/>
              </w:rPr>
              <w:t>-0.25</w:t>
            </w:r>
          </w:p>
        </w:tc>
        <w:tc>
          <w:tcPr>
            <w:tcW w:w="1284" w:type="dxa"/>
            <w:noWrap/>
            <w:tcMar>
              <w:left w:w="58" w:type="dxa"/>
              <w:right w:w="58" w:type="dxa"/>
            </w:tcMar>
            <w:vAlign w:val="center"/>
            <w:hideMark/>
          </w:tcPr>
          <w:p w14:paraId="4094420E" w14:textId="77777777" w:rsidR="00332FD8" w:rsidRPr="00103DDB" w:rsidRDefault="00332FD8">
            <w:pPr>
              <w:jc w:val="right"/>
              <w:rPr>
                <w:rFonts w:ascii="Arial" w:hAnsi="Arial" w:cs="Arial"/>
                <w:color w:val="000000"/>
                <w:lang w:val="en-GB"/>
              </w:rPr>
            </w:pPr>
            <w:r w:rsidRPr="00103DDB">
              <w:rPr>
                <w:rFonts w:ascii="Arial" w:hAnsi="Arial" w:cs="Arial"/>
                <w:color w:val="000000"/>
                <w:lang w:val="en-GB"/>
              </w:rPr>
              <w:t>0.52</w:t>
            </w:r>
          </w:p>
        </w:tc>
      </w:tr>
      <w:tr w:rsidR="00332FD8" w:rsidRPr="00103DDB" w14:paraId="7657D065" w14:textId="77777777" w:rsidTr="00F079F4">
        <w:trPr>
          <w:trHeight w:val="179"/>
          <w:jc w:val="center"/>
        </w:trPr>
        <w:tc>
          <w:tcPr>
            <w:tcW w:w="4326" w:type="dxa"/>
            <w:noWrap/>
            <w:tcMar>
              <w:left w:w="58" w:type="dxa"/>
              <w:right w:w="58" w:type="dxa"/>
            </w:tcMar>
            <w:vAlign w:val="center"/>
            <w:hideMark/>
          </w:tcPr>
          <w:p w14:paraId="1033002F" w14:textId="0272D984" w:rsidR="00332FD8" w:rsidRPr="00C55178" w:rsidRDefault="00C55178">
            <w:pPr>
              <w:rPr>
                <w:rFonts w:ascii="Arial" w:hAnsi="Arial" w:cs="Arial"/>
                <w:b/>
                <w:color w:val="000000"/>
                <w:lang w:val="en-GB" w:eastAsia="en-US"/>
              </w:rPr>
            </w:pPr>
            <w:r w:rsidRPr="00C55178">
              <w:rPr>
                <w:rFonts w:ascii="Arial" w:hAnsi="Arial" w:cs="Arial"/>
                <w:b/>
                <w:color w:val="000000"/>
                <w:lang w:val="en-GB"/>
              </w:rPr>
              <w:t>Cost Of Goods Sold</w:t>
            </w:r>
          </w:p>
        </w:tc>
        <w:tc>
          <w:tcPr>
            <w:tcW w:w="1006" w:type="dxa"/>
            <w:noWrap/>
            <w:tcMar>
              <w:left w:w="58" w:type="dxa"/>
              <w:right w:w="58" w:type="dxa"/>
            </w:tcMar>
            <w:vAlign w:val="center"/>
            <w:hideMark/>
          </w:tcPr>
          <w:p w14:paraId="0F9ACD17" w14:textId="77777777" w:rsidR="00332FD8" w:rsidRPr="00103DDB" w:rsidRDefault="00332FD8">
            <w:pPr>
              <w:jc w:val="right"/>
              <w:rPr>
                <w:rFonts w:ascii="Arial" w:hAnsi="Arial" w:cs="Arial"/>
                <w:color w:val="000000"/>
                <w:lang w:val="en-GB"/>
              </w:rPr>
            </w:pPr>
            <w:r w:rsidRPr="00103DDB">
              <w:rPr>
                <w:rFonts w:ascii="Arial" w:hAnsi="Arial" w:cs="Arial"/>
                <w:color w:val="000000"/>
                <w:lang w:val="en-GB"/>
              </w:rPr>
              <w:t>80,755.60</w:t>
            </w:r>
          </w:p>
        </w:tc>
        <w:tc>
          <w:tcPr>
            <w:tcW w:w="1143" w:type="dxa"/>
            <w:noWrap/>
            <w:tcMar>
              <w:left w:w="58" w:type="dxa"/>
              <w:right w:w="58" w:type="dxa"/>
            </w:tcMar>
            <w:vAlign w:val="center"/>
            <w:hideMark/>
          </w:tcPr>
          <w:p w14:paraId="40BA9FCE" w14:textId="77777777" w:rsidR="00332FD8" w:rsidRPr="00103DDB" w:rsidRDefault="00332FD8">
            <w:pPr>
              <w:jc w:val="right"/>
              <w:rPr>
                <w:rFonts w:ascii="Arial" w:hAnsi="Arial" w:cs="Arial"/>
                <w:color w:val="000000"/>
                <w:lang w:val="en-GB"/>
              </w:rPr>
            </w:pPr>
            <w:r w:rsidRPr="00103DDB">
              <w:rPr>
                <w:rFonts w:ascii="Arial" w:hAnsi="Arial" w:cs="Arial"/>
                <w:color w:val="000000"/>
                <w:lang w:val="en-GB"/>
              </w:rPr>
              <w:t>321,445.78</w:t>
            </w:r>
          </w:p>
        </w:tc>
        <w:tc>
          <w:tcPr>
            <w:tcW w:w="1117" w:type="dxa"/>
            <w:noWrap/>
            <w:tcMar>
              <w:left w:w="58" w:type="dxa"/>
              <w:right w:w="58" w:type="dxa"/>
            </w:tcMar>
            <w:vAlign w:val="center"/>
            <w:hideMark/>
          </w:tcPr>
          <w:p w14:paraId="5291815E" w14:textId="77777777" w:rsidR="00332FD8" w:rsidRPr="00103DDB" w:rsidRDefault="00332FD8">
            <w:pPr>
              <w:jc w:val="right"/>
              <w:rPr>
                <w:rFonts w:ascii="Arial" w:hAnsi="Arial" w:cs="Arial"/>
                <w:color w:val="000000"/>
                <w:lang w:val="en-GB"/>
              </w:rPr>
            </w:pPr>
            <w:r w:rsidRPr="00103DDB">
              <w:rPr>
                <w:rFonts w:ascii="Arial" w:hAnsi="Arial" w:cs="Arial"/>
                <w:color w:val="000000"/>
                <w:lang w:val="en-GB"/>
              </w:rPr>
              <w:t>764,659.67</w:t>
            </w:r>
          </w:p>
        </w:tc>
        <w:tc>
          <w:tcPr>
            <w:tcW w:w="1284" w:type="dxa"/>
            <w:noWrap/>
            <w:tcMar>
              <w:left w:w="58" w:type="dxa"/>
              <w:right w:w="58" w:type="dxa"/>
            </w:tcMar>
            <w:vAlign w:val="center"/>
            <w:hideMark/>
          </w:tcPr>
          <w:p w14:paraId="331CE3B1" w14:textId="77777777" w:rsidR="00332FD8" w:rsidRPr="00103DDB" w:rsidRDefault="00332FD8">
            <w:pPr>
              <w:jc w:val="right"/>
              <w:rPr>
                <w:rFonts w:ascii="Arial" w:hAnsi="Arial" w:cs="Arial"/>
                <w:color w:val="000000"/>
                <w:lang w:val="en-GB"/>
              </w:rPr>
            </w:pPr>
            <w:r w:rsidRPr="00103DDB">
              <w:rPr>
                <w:rFonts w:ascii="Arial" w:hAnsi="Arial" w:cs="Arial"/>
                <w:color w:val="000000"/>
                <w:lang w:val="en-GB"/>
              </w:rPr>
              <w:t>1,416,747.22</w:t>
            </w:r>
          </w:p>
        </w:tc>
      </w:tr>
      <w:tr w:rsidR="00332FD8" w:rsidRPr="00103DDB" w14:paraId="499CBCDC" w14:textId="77777777" w:rsidTr="00F079F4">
        <w:trPr>
          <w:trHeight w:val="206"/>
          <w:jc w:val="center"/>
        </w:trPr>
        <w:tc>
          <w:tcPr>
            <w:tcW w:w="4326" w:type="dxa"/>
            <w:noWrap/>
            <w:tcMar>
              <w:left w:w="58" w:type="dxa"/>
              <w:right w:w="58" w:type="dxa"/>
            </w:tcMar>
            <w:vAlign w:val="center"/>
            <w:hideMark/>
          </w:tcPr>
          <w:p w14:paraId="21E29D64" w14:textId="31777D15" w:rsidR="00332FD8" w:rsidRPr="00C55178" w:rsidRDefault="00C55178">
            <w:pPr>
              <w:rPr>
                <w:rFonts w:ascii="Arial" w:hAnsi="Arial" w:cs="Arial"/>
                <w:b/>
                <w:color w:val="000000"/>
                <w:lang w:val="en-GB" w:eastAsia="en-US"/>
              </w:rPr>
            </w:pPr>
            <w:r w:rsidRPr="00C55178">
              <w:rPr>
                <w:rFonts w:ascii="Arial" w:hAnsi="Arial" w:cs="Arial"/>
                <w:b/>
                <w:color w:val="000000"/>
                <w:lang w:val="en-GB"/>
              </w:rPr>
              <w:t>Gross Profit</w:t>
            </w:r>
          </w:p>
        </w:tc>
        <w:tc>
          <w:tcPr>
            <w:tcW w:w="1006" w:type="dxa"/>
            <w:noWrap/>
            <w:tcMar>
              <w:left w:w="58" w:type="dxa"/>
              <w:right w:w="58" w:type="dxa"/>
            </w:tcMar>
            <w:vAlign w:val="center"/>
            <w:hideMark/>
          </w:tcPr>
          <w:p w14:paraId="0DBCD1FC" w14:textId="77777777" w:rsidR="00332FD8" w:rsidRPr="00103DDB" w:rsidRDefault="00332FD8">
            <w:pPr>
              <w:jc w:val="right"/>
              <w:rPr>
                <w:rFonts w:ascii="Arial" w:hAnsi="Arial" w:cs="Arial"/>
                <w:color w:val="000000"/>
                <w:lang w:val="en-GB"/>
              </w:rPr>
            </w:pPr>
            <w:r w:rsidRPr="00103DDB">
              <w:rPr>
                <w:rFonts w:ascii="Arial" w:hAnsi="Arial" w:cs="Arial"/>
                <w:color w:val="000000"/>
                <w:lang w:val="en-GB"/>
              </w:rPr>
              <w:t>7,181.78</w:t>
            </w:r>
          </w:p>
        </w:tc>
        <w:tc>
          <w:tcPr>
            <w:tcW w:w="1143" w:type="dxa"/>
            <w:noWrap/>
            <w:tcMar>
              <w:left w:w="58" w:type="dxa"/>
              <w:right w:w="58" w:type="dxa"/>
            </w:tcMar>
            <w:vAlign w:val="center"/>
            <w:hideMark/>
          </w:tcPr>
          <w:p w14:paraId="1FD05D0E" w14:textId="77777777" w:rsidR="00332FD8" w:rsidRPr="00103DDB" w:rsidRDefault="00332FD8">
            <w:pPr>
              <w:jc w:val="right"/>
              <w:rPr>
                <w:rFonts w:ascii="Arial" w:hAnsi="Arial" w:cs="Arial"/>
                <w:color w:val="000000"/>
                <w:lang w:val="en-GB"/>
              </w:rPr>
            </w:pPr>
            <w:r w:rsidRPr="00103DDB">
              <w:rPr>
                <w:rFonts w:ascii="Arial" w:hAnsi="Arial" w:cs="Arial"/>
                <w:color w:val="000000"/>
                <w:lang w:val="en-GB"/>
              </w:rPr>
              <w:t>26,964.92</w:t>
            </w:r>
          </w:p>
        </w:tc>
        <w:tc>
          <w:tcPr>
            <w:tcW w:w="1117" w:type="dxa"/>
            <w:noWrap/>
            <w:tcMar>
              <w:left w:w="58" w:type="dxa"/>
              <w:right w:w="58" w:type="dxa"/>
            </w:tcMar>
            <w:vAlign w:val="center"/>
            <w:hideMark/>
          </w:tcPr>
          <w:p w14:paraId="178EB7E2" w14:textId="77777777" w:rsidR="00332FD8" w:rsidRPr="00103DDB" w:rsidRDefault="00332FD8">
            <w:pPr>
              <w:jc w:val="right"/>
              <w:rPr>
                <w:rFonts w:ascii="Arial" w:hAnsi="Arial" w:cs="Arial"/>
                <w:color w:val="000000"/>
                <w:lang w:val="en-GB"/>
              </w:rPr>
            </w:pPr>
            <w:r w:rsidRPr="00103DDB">
              <w:rPr>
                <w:rFonts w:ascii="Arial" w:hAnsi="Arial" w:cs="Arial"/>
                <w:color w:val="000000"/>
                <w:lang w:val="en-GB"/>
              </w:rPr>
              <w:t>56,062.68</w:t>
            </w:r>
          </w:p>
        </w:tc>
        <w:tc>
          <w:tcPr>
            <w:tcW w:w="1284" w:type="dxa"/>
            <w:noWrap/>
            <w:tcMar>
              <w:left w:w="58" w:type="dxa"/>
              <w:right w:w="58" w:type="dxa"/>
            </w:tcMar>
            <w:vAlign w:val="center"/>
            <w:hideMark/>
          </w:tcPr>
          <w:p w14:paraId="59310BC0" w14:textId="77777777" w:rsidR="00332FD8" w:rsidRPr="00103DDB" w:rsidRDefault="00332FD8">
            <w:pPr>
              <w:jc w:val="right"/>
              <w:rPr>
                <w:rFonts w:ascii="Arial" w:hAnsi="Arial" w:cs="Arial"/>
                <w:color w:val="000000"/>
                <w:lang w:val="en-GB"/>
              </w:rPr>
            </w:pPr>
            <w:r w:rsidRPr="00103DDB">
              <w:rPr>
                <w:rFonts w:ascii="Arial" w:hAnsi="Arial" w:cs="Arial"/>
                <w:color w:val="000000"/>
                <w:lang w:val="en-GB"/>
              </w:rPr>
              <w:t>117,044.53</w:t>
            </w:r>
          </w:p>
        </w:tc>
      </w:tr>
      <w:tr w:rsidR="00332FD8" w:rsidRPr="00103DDB" w14:paraId="122B738C" w14:textId="77777777" w:rsidTr="00F079F4">
        <w:trPr>
          <w:trHeight w:val="134"/>
          <w:jc w:val="center"/>
        </w:trPr>
        <w:tc>
          <w:tcPr>
            <w:tcW w:w="4326" w:type="dxa"/>
            <w:noWrap/>
            <w:tcMar>
              <w:left w:w="58" w:type="dxa"/>
              <w:right w:w="58" w:type="dxa"/>
            </w:tcMar>
            <w:vAlign w:val="center"/>
            <w:hideMark/>
          </w:tcPr>
          <w:p w14:paraId="1D062448" w14:textId="77777777" w:rsidR="00332FD8" w:rsidRPr="00103DDB" w:rsidRDefault="00332FD8">
            <w:pPr>
              <w:rPr>
                <w:rFonts w:ascii="Arial" w:hAnsi="Arial" w:cs="Arial"/>
                <w:color w:val="000000"/>
                <w:lang w:val="en-GB"/>
              </w:rPr>
            </w:pPr>
            <w:r w:rsidRPr="00103DDB">
              <w:rPr>
                <w:rFonts w:ascii="Arial" w:hAnsi="Arial" w:cs="Arial"/>
                <w:color w:val="000000"/>
                <w:lang w:val="en-GB"/>
              </w:rPr>
              <w:t>Gross margin</w:t>
            </w:r>
          </w:p>
        </w:tc>
        <w:tc>
          <w:tcPr>
            <w:tcW w:w="1006" w:type="dxa"/>
            <w:noWrap/>
            <w:tcMar>
              <w:left w:w="58" w:type="dxa"/>
              <w:right w:w="58" w:type="dxa"/>
            </w:tcMar>
            <w:vAlign w:val="center"/>
            <w:hideMark/>
          </w:tcPr>
          <w:p w14:paraId="0FAAA843" w14:textId="77777777" w:rsidR="00332FD8" w:rsidRPr="00103DDB" w:rsidRDefault="00332FD8">
            <w:pPr>
              <w:jc w:val="right"/>
              <w:rPr>
                <w:rFonts w:ascii="Arial" w:hAnsi="Arial" w:cs="Arial"/>
                <w:color w:val="000000"/>
                <w:lang w:val="en-GB"/>
              </w:rPr>
            </w:pPr>
            <w:r w:rsidRPr="00103DDB">
              <w:rPr>
                <w:rFonts w:ascii="Arial" w:hAnsi="Arial" w:cs="Arial"/>
                <w:color w:val="000000"/>
                <w:lang w:val="en-GB"/>
              </w:rPr>
              <w:t>0.08</w:t>
            </w:r>
          </w:p>
        </w:tc>
        <w:tc>
          <w:tcPr>
            <w:tcW w:w="1143" w:type="dxa"/>
            <w:noWrap/>
            <w:tcMar>
              <w:left w:w="58" w:type="dxa"/>
              <w:right w:w="58" w:type="dxa"/>
            </w:tcMar>
            <w:vAlign w:val="center"/>
            <w:hideMark/>
          </w:tcPr>
          <w:p w14:paraId="2105DE78" w14:textId="77777777" w:rsidR="00332FD8" w:rsidRPr="00103DDB" w:rsidRDefault="00332FD8">
            <w:pPr>
              <w:jc w:val="right"/>
              <w:rPr>
                <w:rFonts w:ascii="Arial" w:hAnsi="Arial" w:cs="Arial"/>
                <w:color w:val="000000"/>
                <w:lang w:val="en-GB"/>
              </w:rPr>
            </w:pPr>
            <w:r w:rsidRPr="00103DDB">
              <w:rPr>
                <w:rFonts w:ascii="Arial" w:hAnsi="Arial" w:cs="Arial"/>
                <w:color w:val="000000"/>
                <w:lang w:val="en-GB"/>
              </w:rPr>
              <w:t>0.08</w:t>
            </w:r>
          </w:p>
        </w:tc>
        <w:tc>
          <w:tcPr>
            <w:tcW w:w="1117" w:type="dxa"/>
            <w:noWrap/>
            <w:tcMar>
              <w:left w:w="58" w:type="dxa"/>
              <w:right w:w="58" w:type="dxa"/>
            </w:tcMar>
            <w:vAlign w:val="center"/>
            <w:hideMark/>
          </w:tcPr>
          <w:p w14:paraId="79346A0C" w14:textId="77777777" w:rsidR="00332FD8" w:rsidRPr="00103DDB" w:rsidRDefault="00332FD8">
            <w:pPr>
              <w:jc w:val="right"/>
              <w:rPr>
                <w:rFonts w:ascii="Arial" w:hAnsi="Arial" w:cs="Arial"/>
                <w:color w:val="000000"/>
                <w:lang w:val="en-GB"/>
              </w:rPr>
            </w:pPr>
            <w:r w:rsidRPr="00103DDB">
              <w:rPr>
                <w:rFonts w:ascii="Arial" w:hAnsi="Arial" w:cs="Arial"/>
                <w:color w:val="000000"/>
                <w:lang w:val="en-GB"/>
              </w:rPr>
              <w:t>0.07</w:t>
            </w:r>
          </w:p>
        </w:tc>
        <w:tc>
          <w:tcPr>
            <w:tcW w:w="1284" w:type="dxa"/>
            <w:noWrap/>
            <w:tcMar>
              <w:left w:w="58" w:type="dxa"/>
              <w:right w:w="58" w:type="dxa"/>
            </w:tcMar>
            <w:vAlign w:val="center"/>
            <w:hideMark/>
          </w:tcPr>
          <w:p w14:paraId="6AD540FF" w14:textId="77777777" w:rsidR="00332FD8" w:rsidRPr="00103DDB" w:rsidRDefault="00332FD8">
            <w:pPr>
              <w:jc w:val="right"/>
              <w:rPr>
                <w:rFonts w:ascii="Arial" w:hAnsi="Arial" w:cs="Arial"/>
                <w:color w:val="000000"/>
                <w:lang w:val="en-GB"/>
              </w:rPr>
            </w:pPr>
            <w:r w:rsidRPr="00103DDB">
              <w:rPr>
                <w:rFonts w:ascii="Arial" w:hAnsi="Arial" w:cs="Arial"/>
                <w:color w:val="000000"/>
                <w:lang w:val="en-GB"/>
              </w:rPr>
              <w:t>0.08</w:t>
            </w:r>
          </w:p>
        </w:tc>
      </w:tr>
      <w:tr w:rsidR="00332FD8" w:rsidRPr="00103DDB" w14:paraId="75288F59" w14:textId="77777777" w:rsidTr="00F079F4">
        <w:trPr>
          <w:trHeight w:val="179"/>
          <w:jc w:val="center"/>
        </w:trPr>
        <w:tc>
          <w:tcPr>
            <w:tcW w:w="4326" w:type="dxa"/>
            <w:noWrap/>
            <w:tcMar>
              <w:left w:w="58" w:type="dxa"/>
              <w:right w:w="58" w:type="dxa"/>
            </w:tcMar>
            <w:vAlign w:val="center"/>
            <w:hideMark/>
          </w:tcPr>
          <w:p w14:paraId="27FC6D8B" w14:textId="77777777" w:rsidR="00332FD8" w:rsidRPr="00103DDB" w:rsidRDefault="00332FD8">
            <w:pPr>
              <w:rPr>
                <w:rFonts w:ascii="Arial" w:hAnsi="Arial" w:cs="Arial"/>
                <w:color w:val="000000"/>
                <w:lang w:val="en-GB" w:eastAsia="en-US"/>
              </w:rPr>
            </w:pPr>
            <w:r w:rsidRPr="00103DDB">
              <w:rPr>
                <w:rFonts w:ascii="Arial" w:hAnsi="Arial" w:cs="Arial"/>
                <w:color w:val="000000"/>
                <w:lang w:val="en-GB"/>
              </w:rPr>
              <w:t>Direct operating expenses</w:t>
            </w:r>
          </w:p>
        </w:tc>
        <w:tc>
          <w:tcPr>
            <w:tcW w:w="1006" w:type="dxa"/>
            <w:noWrap/>
            <w:tcMar>
              <w:left w:w="58" w:type="dxa"/>
              <w:right w:w="58" w:type="dxa"/>
            </w:tcMar>
            <w:vAlign w:val="center"/>
            <w:hideMark/>
          </w:tcPr>
          <w:p w14:paraId="1A03435E" w14:textId="77777777" w:rsidR="00332FD8" w:rsidRPr="00103DDB" w:rsidRDefault="00332FD8">
            <w:pPr>
              <w:jc w:val="right"/>
              <w:rPr>
                <w:rFonts w:ascii="Arial" w:hAnsi="Arial" w:cs="Arial"/>
                <w:color w:val="000000"/>
                <w:lang w:val="en-GB"/>
              </w:rPr>
            </w:pPr>
            <w:r w:rsidRPr="00103DDB">
              <w:rPr>
                <w:rFonts w:ascii="Arial" w:hAnsi="Arial" w:cs="Arial"/>
                <w:color w:val="000000"/>
                <w:lang w:val="en-GB"/>
              </w:rPr>
              <w:t>3,699.98</w:t>
            </w:r>
          </w:p>
        </w:tc>
        <w:tc>
          <w:tcPr>
            <w:tcW w:w="1143" w:type="dxa"/>
            <w:noWrap/>
            <w:tcMar>
              <w:left w:w="58" w:type="dxa"/>
              <w:right w:w="58" w:type="dxa"/>
            </w:tcMar>
            <w:vAlign w:val="center"/>
            <w:hideMark/>
          </w:tcPr>
          <w:p w14:paraId="0A3C26C6" w14:textId="77777777" w:rsidR="00332FD8" w:rsidRPr="00103DDB" w:rsidRDefault="00332FD8">
            <w:pPr>
              <w:jc w:val="right"/>
              <w:rPr>
                <w:rFonts w:ascii="Arial" w:hAnsi="Arial" w:cs="Arial"/>
                <w:color w:val="000000"/>
                <w:lang w:val="en-GB"/>
              </w:rPr>
            </w:pPr>
            <w:r w:rsidRPr="00103DDB">
              <w:rPr>
                <w:rFonts w:ascii="Arial" w:hAnsi="Arial" w:cs="Arial"/>
                <w:color w:val="000000"/>
                <w:lang w:val="en-GB"/>
              </w:rPr>
              <w:t>15,706.28</w:t>
            </w:r>
          </w:p>
        </w:tc>
        <w:tc>
          <w:tcPr>
            <w:tcW w:w="1117" w:type="dxa"/>
            <w:noWrap/>
            <w:tcMar>
              <w:left w:w="58" w:type="dxa"/>
              <w:right w:w="58" w:type="dxa"/>
            </w:tcMar>
            <w:vAlign w:val="center"/>
            <w:hideMark/>
          </w:tcPr>
          <w:p w14:paraId="40A82131" w14:textId="77777777" w:rsidR="00332FD8" w:rsidRPr="00103DDB" w:rsidRDefault="00332FD8">
            <w:pPr>
              <w:jc w:val="right"/>
              <w:rPr>
                <w:rFonts w:ascii="Arial" w:hAnsi="Arial" w:cs="Arial"/>
                <w:color w:val="000000"/>
                <w:lang w:val="en-GB"/>
              </w:rPr>
            </w:pPr>
            <w:r w:rsidRPr="00103DDB">
              <w:rPr>
                <w:rFonts w:ascii="Arial" w:hAnsi="Arial" w:cs="Arial"/>
                <w:color w:val="000000"/>
                <w:lang w:val="en-GB"/>
              </w:rPr>
              <w:t>39,922.53</w:t>
            </w:r>
          </w:p>
        </w:tc>
        <w:tc>
          <w:tcPr>
            <w:tcW w:w="1284" w:type="dxa"/>
            <w:noWrap/>
            <w:tcMar>
              <w:left w:w="58" w:type="dxa"/>
              <w:right w:w="58" w:type="dxa"/>
            </w:tcMar>
            <w:vAlign w:val="center"/>
            <w:hideMark/>
          </w:tcPr>
          <w:p w14:paraId="0D0E3589" w14:textId="77777777" w:rsidR="00332FD8" w:rsidRPr="00103DDB" w:rsidRDefault="00332FD8">
            <w:pPr>
              <w:jc w:val="right"/>
              <w:rPr>
                <w:rFonts w:ascii="Arial" w:hAnsi="Arial" w:cs="Arial"/>
                <w:color w:val="000000"/>
                <w:lang w:val="en-GB"/>
              </w:rPr>
            </w:pPr>
            <w:r w:rsidRPr="00103DDB">
              <w:rPr>
                <w:rFonts w:ascii="Arial" w:hAnsi="Arial" w:cs="Arial"/>
                <w:color w:val="000000"/>
                <w:lang w:val="en-GB"/>
              </w:rPr>
              <w:t>100,231.89</w:t>
            </w:r>
          </w:p>
        </w:tc>
      </w:tr>
      <w:tr w:rsidR="00332FD8" w:rsidRPr="00103DDB" w14:paraId="62C19927" w14:textId="77777777" w:rsidTr="00F079F4">
        <w:trPr>
          <w:trHeight w:val="116"/>
          <w:jc w:val="center"/>
        </w:trPr>
        <w:tc>
          <w:tcPr>
            <w:tcW w:w="4326" w:type="dxa"/>
            <w:noWrap/>
            <w:tcMar>
              <w:left w:w="58" w:type="dxa"/>
              <w:right w:w="58" w:type="dxa"/>
            </w:tcMar>
            <w:vAlign w:val="center"/>
            <w:hideMark/>
          </w:tcPr>
          <w:p w14:paraId="30104D95" w14:textId="11472445" w:rsidR="00332FD8" w:rsidRPr="00103DDB" w:rsidRDefault="00332FD8">
            <w:pPr>
              <w:rPr>
                <w:rFonts w:ascii="Arial" w:hAnsi="Arial" w:cs="Arial"/>
                <w:color w:val="000000"/>
                <w:lang w:val="en-GB"/>
              </w:rPr>
            </w:pPr>
            <w:r w:rsidRPr="00103DDB">
              <w:rPr>
                <w:rFonts w:ascii="Arial" w:hAnsi="Arial" w:cs="Arial"/>
                <w:color w:val="000000"/>
                <w:lang w:val="en-GB"/>
              </w:rPr>
              <w:t xml:space="preserve">% of </w:t>
            </w:r>
            <w:r w:rsidR="00AF6F01" w:rsidRPr="00103DDB">
              <w:rPr>
                <w:rFonts w:ascii="Arial" w:hAnsi="Arial" w:cs="Arial"/>
                <w:color w:val="000000"/>
                <w:lang w:val="en-GB"/>
              </w:rPr>
              <w:t>t</w:t>
            </w:r>
            <w:r w:rsidRPr="00103DDB">
              <w:rPr>
                <w:rFonts w:ascii="Arial" w:hAnsi="Arial" w:cs="Arial"/>
                <w:color w:val="000000"/>
                <w:lang w:val="en-GB"/>
              </w:rPr>
              <w:t>otal net revenue</w:t>
            </w:r>
          </w:p>
        </w:tc>
        <w:tc>
          <w:tcPr>
            <w:tcW w:w="1006" w:type="dxa"/>
            <w:noWrap/>
            <w:tcMar>
              <w:left w:w="58" w:type="dxa"/>
              <w:right w:w="58" w:type="dxa"/>
            </w:tcMar>
            <w:vAlign w:val="center"/>
            <w:hideMark/>
          </w:tcPr>
          <w:p w14:paraId="7C7D1788" w14:textId="77777777" w:rsidR="00332FD8" w:rsidRPr="00103DDB" w:rsidRDefault="00332FD8">
            <w:pPr>
              <w:jc w:val="right"/>
              <w:rPr>
                <w:rFonts w:ascii="Arial" w:hAnsi="Arial" w:cs="Arial"/>
                <w:color w:val="000000"/>
                <w:lang w:val="en-GB"/>
              </w:rPr>
            </w:pPr>
            <w:r w:rsidRPr="00103DDB">
              <w:rPr>
                <w:rFonts w:ascii="Arial" w:hAnsi="Arial" w:cs="Arial"/>
                <w:color w:val="000000"/>
                <w:lang w:val="en-GB"/>
              </w:rPr>
              <w:t>4.00</w:t>
            </w:r>
          </w:p>
        </w:tc>
        <w:tc>
          <w:tcPr>
            <w:tcW w:w="1143" w:type="dxa"/>
            <w:noWrap/>
            <w:tcMar>
              <w:left w:w="58" w:type="dxa"/>
              <w:right w:w="58" w:type="dxa"/>
            </w:tcMar>
            <w:vAlign w:val="center"/>
            <w:hideMark/>
          </w:tcPr>
          <w:p w14:paraId="65FCA468" w14:textId="77777777" w:rsidR="00332FD8" w:rsidRPr="00103DDB" w:rsidRDefault="00332FD8">
            <w:pPr>
              <w:jc w:val="right"/>
              <w:rPr>
                <w:rFonts w:ascii="Arial" w:hAnsi="Arial" w:cs="Arial"/>
                <w:color w:val="000000"/>
                <w:lang w:val="en-GB"/>
              </w:rPr>
            </w:pPr>
            <w:r w:rsidRPr="00103DDB">
              <w:rPr>
                <w:rFonts w:ascii="Arial" w:hAnsi="Arial" w:cs="Arial"/>
                <w:color w:val="000000"/>
                <w:lang w:val="en-GB"/>
              </w:rPr>
              <w:t>5.00</w:t>
            </w:r>
          </w:p>
        </w:tc>
        <w:tc>
          <w:tcPr>
            <w:tcW w:w="1117" w:type="dxa"/>
            <w:noWrap/>
            <w:tcMar>
              <w:left w:w="58" w:type="dxa"/>
              <w:right w:w="58" w:type="dxa"/>
            </w:tcMar>
            <w:vAlign w:val="center"/>
            <w:hideMark/>
          </w:tcPr>
          <w:p w14:paraId="283C081E" w14:textId="77777777" w:rsidR="00332FD8" w:rsidRPr="00103DDB" w:rsidRDefault="00332FD8">
            <w:pPr>
              <w:jc w:val="right"/>
              <w:rPr>
                <w:rFonts w:ascii="Arial" w:hAnsi="Arial" w:cs="Arial"/>
                <w:color w:val="000000"/>
                <w:lang w:val="en-GB"/>
              </w:rPr>
            </w:pPr>
            <w:r w:rsidRPr="00103DDB">
              <w:rPr>
                <w:rFonts w:ascii="Arial" w:hAnsi="Arial" w:cs="Arial"/>
                <w:color w:val="000000"/>
                <w:lang w:val="en-GB"/>
              </w:rPr>
              <w:t>5.00</w:t>
            </w:r>
          </w:p>
        </w:tc>
        <w:tc>
          <w:tcPr>
            <w:tcW w:w="1284" w:type="dxa"/>
            <w:noWrap/>
            <w:tcMar>
              <w:left w:w="58" w:type="dxa"/>
              <w:right w:w="58" w:type="dxa"/>
            </w:tcMar>
            <w:vAlign w:val="center"/>
            <w:hideMark/>
          </w:tcPr>
          <w:p w14:paraId="221034AD" w14:textId="77777777" w:rsidR="00332FD8" w:rsidRPr="00103DDB" w:rsidRDefault="00332FD8">
            <w:pPr>
              <w:jc w:val="right"/>
              <w:rPr>
                <w:rFonts w:ascii="Arial" w:hAnsi="Arial" w:cs="Arial"/>
                <w:color w:val="000000"/>
                <w:lang w:val="en-GB"/>
              </w:rPr>
            </w:pPr>
            <w:r w:rsidRPr="00103DDB">
              <w:rPr>
                <w:rFonts w:ascii="Arial" w:hAnsi="Arial" w:cs="Arial"/>
                <w:color w:val="000000"/>
                <w:lang w:val="en-GB"/>
              </w:rPr>
              <w:t>7.00</w:t>
            </w:r>
          </w:p>
        </w:tc>
      </w:tr>
      <w:tr w:rsidR="00332FD8" w:rsidRPr="00103DDB" w14:paraId="17E6EF2A" w14:textId="77777777" w:rsidTr="00F079F4">
        <w:trPr>
          <w:trHeight w:val="224"/>
          <w:jc w:val="center"/>
        </w:trPr>
        <w:tc>
          <w:tcPr>
            <w:tcW w:w="4326" w:type="dxa"/>
            <w:noWrap/>
            <w:tcMar>
              <w:left w:w="58" w:type="dxa"/>
              <w:right w:w="58" w:type="dxa"/>
            </w:tcMar>
            <w:vAlign w:val="center"/>
            <w:hideMark/>
          </w:tcPr>
          <w:p w14:paraId="381D51DF" w14:textId="203DB1F5" w:rsidR="00332FD8" w:rsidRPr="00103DDB" w:rsidRDefault="00332FD8">
            <w:pPr>
              <w:rPr>
                <w:rFonts w:ascii="Arial" w:hAnsi="Arial" w:cs="Arial"/>
                <w:color w:val="000000"/>
                <w:lang w:val="en-GB" w:eastAsia="en-US"/>
              </w:rPr>
            </w:pPr>
            <w:r w:rsidRPr="00103DDB">
              <w:rPr>
                <w:rFonts w:ascii="Arial" w:hAnsi="Arial" w:cs="Arial"/>
                <w:color w:val="000000"/>
                <w:lang w:val="en-GB"/>
              </w:rPr>
              <w:t xml:space="preserve">General </w:t>
            </w:r>
            <w:r w:rsidR="00BF2F44" w:rsidRPr="00103DDB">
              <w:rPr>
                <w:rFonts w:ascii="Arial" w:hAnsi="Arial" w:cs="Arial"/>
                <w:color w:val="000000"/>
                <w:lang w:val="en-GB"/>
              </w:rPr>
              <w:t>and</w:t>
            </w:r>
            <w:r w:rsidRPr="00103DDB">
              <w:rPr>
                <w:rFonts w:ascii="Arial" w:hAnsi="Arial" w:cs="Arial"/>
                <w:color w:val="000000"/>
                <w:lang w:val="en-GB"/>
              </w:rPr>
              <w:t xml:space="preserve"> </w:t>
            </w:r>
            <w:r w:rsidR="00BF2F44" w:rsidRPr="00103DDB">
              <w:rPr>
                <w:rFonts w:ascii="Arial" w:hAnsi="Arial" w:cs="Arial"/>
                <w:color w:val="000000"/>
                <w:lang w:val="en-GB"/>
              </w:rPr>
              <w:t>a</w:t>
            </w:r>
            <w:r w:rsidRPr="00103DDB">
              <w:rPr>
                <w:rFonts w:ascii="Arial" w:hAnsi="Arial" w:cs="Arial"/>
                <w:color w:val="000000"/>
                <w:lang w:val="en-GB"/>
              </w:rPr>
              <w:t>dmin</w:t>
            </w:r>
            <w:r w:rsidR="00BF2F44" w:rsidRPr="00103DDB">
              <w:rPr>
                <w:rFonts w:ascii="Arial" w:hAnsi="Arial" w:cs="Arial"/>
                <w:color w:val="000000"/>
                <w:lang w:val="en-GB"/>
              </w:rPr>
              <w:t>istrative</w:t>
            </w:r>
            <w:r w:rsidRPr="00103DDB">
              <w:rPr>
                <w:rFonts w:ascii="Arial" w:hAnsi="Arial" w:cs="Arial"/>
                <w:color w:val="000000"/>
                <w:lang w:val="en-GB"/>
              </w:rPr>
              <w:t xml:space="preserve"> </w:t>
            </w:r>
            <w:r w:rsidR="00BF2F44" w:rsidRPr="00103DDB">
              <w:rPr>
                <w:rFonts w:ascii="Arial" w:hAnsi="Arial" w:cs="Arial"/>
                <w:color w:val="000000"/>
                <w:lang w:val="en-GB"/>
              </w:rPr>
              <w:t>e</w:t>
            </w:r>
            <w:r w:rsidRPr="00103DDB">
              <w:rPr>
                <w:rFonts w:ascii="Arial" w:hAnsi="Arial" w:cs="Arial"/>
                <w:color w:val="000000"/>
                <w:lang w:val="en-GB"/>
              </w:rPr>
              <w:t>xpenses</w:t>
            </w:r>
          </w:p>
        </w:tc>
        <w:tc>
          <w:tcPr>
            <w:tcW w:w="1006" w:type="dxa"/>
            <w:noWrap/>
            <w:tcMar>
              <w:left w:w="58" w:type="dxa"/>
              <w:right w:w="58" w:type="dxa"/>
            </w:tcMar>
            <w:vAlign w:val="center"/>
            <w:hideMark/>
          </w:tcPr>
          <w:p w14:paraId="57DAB6A5" w14:textId="77777777" w:rsidR="00332FD8" w:rsidRPr="00103DDB" w:rsidRDefault="00332FD8">
            <w:pPr>
              <w:jc w:val="right"/>
              <w:rPr>
                <w:rFonts w:ascii="Arial" w:hAnsi="Arial" w:cs="Arial"/>
                <w:color w:val="000000"/>
                <w:lang w:val="en-GB"/>
              </w:rPr>
            </w:pPr>
            <w:r w:rsidRPr="00103DDB">
              <w:rPr>
                <w:rFonts w:ascii="Arial" w:hAnsi="Arial" w:cs="Arial"/>
                <w:color w:val="000000"/>
                <w:lang w:val="en-GB"/>
              </w:rPr>
              <w:t>1,434.83</w:t>
            </w:r>
          </w:p>
        </w:tc>
        <w:tc>
          <w:tcPr>
            <w:tcW w:w="1143" w:type="dxa"/>
            <w:noWrap/>
            <w:tcMar>
              <w:left w:w="58" w:type="dxa"/>
              <w:right w:w="58" w:type="dxa"/>
            </w:tcMar>
            <w:vAlign w:val="center"/>
            <w:hideMark/>
          </w:tcPr>
          <w:p w14:paraId="7C9DC196" w14:textId="77777777" w:rsidR="00332FD8" w:rsidRPr="00103DDB" w:rsidRDefault="00332FD8">
            <w:pPr>
              <w:jc w:val="right"/>
              <w:rPr>
                <w:rFonts w:ascii="Arial" w:hAnsi="Arial" w:cs="Arial"/>
                <w:color w:val="000000"/>
                <w:lang w:val="en-GB"/>
              </w:rPr>
            </w:pPr>
            <w:r w:rsidRPr="00103DDB">
              <w:rPr>
                <w:rFonts w:ascii="Arial" w:hAnsi="Arial" w:cs="Arial"/>
                <w:color w:val="000000"/>
                <w:lang w:val="en-GB"/>
              </w:rPr>
              <w:t>4,412.09</w:t>
            </w:r>
          </w:p>
        </w:tc>
        <w:tc>
          <w:tcPr>
            <w:tcW w:w="1117" w:type="dxa"/>
            <w:noWrap/>
            <w:tcMar>
              <w:left w:w="58" w:type="dxa"/>
              <w:right w:w="58" w:type="dxa"/>
            </w:tcMar>
            <w:vAlign w:val="center"/>
            <w:hideMark/>
          </w:tcPr>
          <w:p w14:paraId="4B189C0A" w14:textId="77777777" w:rsidR="00332FD8" w:rsidRPr="00103DDB" w:rsidRDefault="00332FD8">
            <w:pPr>
              <w:jc w:val="right"/>
              <w:rPr>
                <w:rFonts w:ascii="Arial" w:hAnsi="Arial" w:cs="Arial"/>
                <w:color w:val="000000"/>
                <w:lang w:val="en-GB"/>
              </w:rPr>
            </w:pPr>
            <w:r w:rsidRPr="00103DDB">
              <w:rPr>
                <w:rFonts w:ascii="Arial" w:hAnsi="Arial" w:cs="Arial"/>
                <w:color w:val="000000"/>
                <w:lang w:val="en-GB"/>
              </w:rPr>
              <w:t>11,432.88</w:t>
            </w:r>
          </w:p>
        </w:tc>
        <w:tc>
          <w:tcPr>
            <w:tcW w:w="1284" w:type="dxa"/>
            <w:noWrap/>
            <w:tcMar>
              <w:left w:w="58" w:type="dxa"/>
              <w:right w:w="58" w:type="dxa"/>
            </w:tcMar>
            <w:vAlign w:val="center"/>
            <w:hideMark/>
          </w:tcPr>
          <w:p w14:paraId="0A2711EA" w14:textId="77777777" w:rsidR="00332FD8" w:rsidRPr="00103DDB" w:rsidRDefault="00332FD8">
            <w:pPr>
              <w:jc w:val="right"/>
              <w:rPr>
                <w:rFonts w:ascii="Arial" w:hAnsi="Arial" w:cs="Arial"/>
                <w:color w:val="000000"/>
                <w:lang w:val="en-GB"/>
              </w:rPr>
            </w:pPr>
            <w:r w:rsidRPr="00103DDB">
              <w:rPr>
                <w:rFonts w:ascii="Arial" w:hAnsi="Arial" w:cs="Arial"/>
                <w:color w:val="000000"/>
                <w:lang w:val="en-GB"/>
              </w:rPr>
              <w:t>18,405.09</w:t>
            </w:r>
          </w:p>
        </w:tc>
      </w:tr>
      <w:tr w:rsidR="00332FD8" w:rsidRPr="00103DDB" w14:paraId="037E1892" w14:textId="77777777" w:rsidTr="00F079F4">
        <w:trPr>
          <w:trHeight w:val="179"/>
          <w:jc w:val="center"/>
        </w:trPr>
        <w:tc>
          <w:tcPr>
            <w:tcW w:w="4326" w:type="dxa"/>
            <w:noWrap/>
            <w:tcMar>
              <w:left w:w="58" w:type="dxa"/>
              <w:right w:w="58" w:type="dxa"/>
            </w:tcMar>
            <w:vAlign w:val="center"/>
            <w:hideMark/>
          </w:tcPr>
          <w:p w14:paraId="1171D7BB" w14:textId="77777777" w:rsidR="00332FD8" w:rsidRPr="00103DDB" w:rsidRDefault="00332FD8">
            <w:pPr>
              <w:rPr>
                <w:rFonts w:ascii="Arial" w:hAnsi="Arial" w:cs="Arial"/>
                <w:color w:val="000000"/>
                <w:lang w:val="en-GB"/>
              </w:rPr>
            </w:pPr>
            <w:r w:rsidRPr="00103DDB">
              <w:rPr>
                <w:rFonts w:ascii="Arial" w:hAnsi="Arial" w:cs="Arial"/>
                <w:color w:val="000000"/>
                <w:lang w:val="en-GB"/>
              </w:rPr>
              <w:t>Growth rate (%)</w:t>
            </w:r>
          </w:p>
        </w:tc>
        <w:tc>
          <w:tcPr>
            <w:tcW w:w="1006" w:type="dxa"/>
            <w:noWrap/>
            <w:tcMar>
              <w:left w:w="58" w:type="dxa"/>
              <w:right w:w="58" w:type="dxa"/>
            </w:tcMar>
            <w:vAlign w:val="center"/>
            <w:hideMark/>
          </w:tcPr>
          <w:p w14:paraId="576DE09F" w14:textId="77777777" w:rsidR="00332FD8" w:rsidRPr="00103DDB" w:rsidRDefault="00332FD8">
            <w:pPr>
              <w:rPr>
                <w:rFonts w:ascii="Arial" w:hAnsi="Arial" w:cs="Arial"/>
                <w:color w:val="000000"/>
                <w:lang w:val="en-GB"/>
              </w:rPr>
            </w:pPr>
          </w:p>
        </w:tc>
        <w:tc>
          <w:tcPr>
            <w:tcW w:w="1143" w:type="dxa"/>
            <w:noWrap/>
            <w:tcMar>
              <w:left w:w="58" w:type="dxa"/>
              <w:right w:w="58" w:type="dxa"/>
            </w:tcMar>
            <w:vAlign w:val="center"/>
            <w:hideMark/>
          </w:tcPr>
          <w:p w14:paraId="2D4F1CBD" w14:textId="77777777" w:rsidR="00332FD8" w:rsidRPr="00103DDB" w:rsidRDefault="00332FD8">
            <w:pPr>
              <w:jc w:val="right"/>
              <w:rPr>
                <w:rFonts w:ascii="Arial" w:hAnsi="Arial" w:cs="Arial"/>
                <w:color w:val="000000"/>
                <w:lang w:val="en-GB" w:eastAsia="en-US"/>
              </w:rPr>
            </w:pPr>
            <w:r w:rsidRPr="00103DDB">
              <w:rPr>
                <w:rFonts w:ascii="Arial" w:hAnsi="Arial" w:cs="Arial"/>
                <w:color w:val="000000"/>
                <w:lang w:val="en-GB"/>
              </w:rPr>
              <w:t>2.07</w:t>
            </w:r>
          </w:p>
        </w:tc>
        <w:tc>
          <w:tcPr>
            <w:tcW w:w="1117" w:type="dxa"/>
            <w:noWrap/>
            <w:tcMar>
              <w:left w:w="58" w:type="dxa"/>
              <w:right w:w="58" w:type="dxa"/>
            </w:tcMar>
            <w:vAlign w:val="center"/>
            <w:hideMark/>
          </w:tcPr>
          <w:p w14:paraId="4F0E447E" w14:textId="77777777" w:rsidR="00332FD8" w:rsidRPr="00103DDB" w:rsidRDefault="00332FD8">
            <w:pPr>
              <w:jc w:val="right"/>
              <w:rPr>
                <w:rFonts w:ascii="Arial" w:hAnsi="Arial" w:cs="Arial"/>
                <w:color w:val="000000"/>
                <w:lang w:val="en-GB"/>
              </w:rPr>
            </w:pPr>
            <w:r w:rsidRPr="00103DDB">
              <w:rPr>
                <w:rFonts w:ascii="Arial" w:hAnsi="Arial" w:cs="Arial"/>
                <w:color w:val="000000"/>
                <w:lang w:val="en-GB"/>
              </w:rPr>
              <w:t>1.59</w:t>
            </w:r>
          </w:p>
        </w:tc>
        <w:tc>
          <w:tcPr>
            <w:tcW w:w="1284" w:type="dxa"/>
            <w:noWrap/>
            <w:tcMar>
              <w:left w:w="58" w:type="dxa"/>
              <w:right w:w="58" w:type="dxa"/>
            </w:tcMar>
            <w:vAlign w:val="center"/>
            <w:hideMark/>
          </w:tcPr>
          <w:p w14:paraId="71667AB3" w14:textId="77777777" w:rsidR="00332FD8" w:rsidRPr="00103DDB" w:rsidRDefault="00332FD8">
            <w:pPr>
              <w:jc w:val="right"/>
              <w:rPr>
                <w:rFonts w:ascii="Arial" w:hAnsi="Arial" w:cs="Arial"/>
                <w:color w:val="000000"/>
                <w:lang w:val="en-GB"/>
              </w:rPr>
            </w:pPr>
            <w:r w:rsidRPr="00103DDB">
              <w:rPr>
                <w:rFonts w:ascii="Arial" w:hAnsi="Arial" w:cs="Arial"/>
                <w:color w:val="000000"/>
                <w:lang w:val="en-GB"/>
              </w:rPr>
              <w:t>0.61</w:t>
            </w:r>
          </w:p>
        </w:tc>
      </w:tr>
      <w:tr w:rsidR="00332FD8" w:rsidRPr="00103DDB" w14:paraId="1E696D67" w14:textId="77777777" w:rsidTr="00F079F4">
        <w:trPr>
          <w:trHeight w:val="152"/>
          <w:jc w:val="center"/>
        </w:trPr>
        <w:tc>
          <w:tcPr>
            <w:tcW w:w="4326" w:type="dxa"/>
            <w:noWrap/>
            <w:tcMar>
              <w:left w:w="58" w:type="dxa"/>
              <w:right w:w="58" w:type="dxa"/>
            </w:tcMar>
            <w:vAlign w:val="center"/>
            <w:hideMark/>
          </w:tcPr>
          <w:p w14:paraId="0A16C88E" w14:textId="090D3D5F" w:rsidR="00332FD8" w:rsidRPr="00103DDB" w:rsidRDefault="00C55178">
            <w:pPr>
              <w:rPr>
                <w:rFonts w:ascii="Arial" w:hAnsi="Arial" w:cs="Arial"/>
                <w:b/>
                <w:color w:val="000000"/>
                <w:lang w:val="en-GB"/>
              </w:rPr>
            </w:pPr>
            <w:r w:rsidRPr="00103DDB">
              <w:rPr>
                <w:rFonts w:ascii="Arial" w:hAnsi="Arial" w:cs="Arial"/>
                <w:b/>
                <w:color w:val="000000"/>
                <w:lang w:val="en-GB"/>
              </w:rPr>
              <w:t>Net Profit After Tax</w:t>
            </w:r>
          </w:p>
        </w:tc>
        <w:tc>
          <w:tcPr>
            <w:tcW w:w="1006" w:type="dxa"/>
            <w:noWrap/>
            <w:tcMar>
              <w:left w:w="58" w:type="dxa"/>
              <w:right w:w="58" w:type="dxa"/>
            </w:tcMar>
            <w:vAlign w:val="center"/>
            <w:hideMark/>
          </w:tcPr>
          <w:p w14:paraId="27189C8B" w14:textId="77777777" w:rsidR="00332FD8" w:rsidRPr="00103DDB" w:rsidRDefault="00332FD8">
            <w:pPr>
              <w:jc w:val="right"/>
              <w:rPr>
                <w:rFonts w:ascii="Arial" w:hAnsi="Arial" w:cs="Arial"/>
                <w:b/>
                <w:color w:val="000000"/>
                <w:lang w:val="en-GB"/>
              </w:rPr>
            </w:pPr>
            <w:r w:rsidRPr="00103DDB">
              <w:rPr>
                <w:rFonts w:ascii="Arial" w:hAnsi="Arial" w:cs="Arial"/>
                <w:b/>
                <w:color w:val="000000"/>
                <w:lang w:val="en-GB"/>
              </w:rPr>
              <w:t>1,913.29</w:t>
            </w:r>
          </w:p>
        </w:tc>
        <w:tc>
          <w:tcPr>
            <w:tcW w:w="1143" w:type="dxa"/>
            <w:noWrap/>
            <w:tcMar>
              <w:left w:w="58" w:type="dxa"/>
              <w:right w:w="58" w:type="dxa"/>
            </w:tcMar>
            <w:vAlign w:val="center"/>
            <w:hideMark/>
          </w:tcPr>
          <w:p w14:paraId="763A59BC" w14:textId="77777777" w:rsidR="00332FD8" w:rsidRPr="00103DDB" w:rsidRDefault="00332FD8">
            <w:pPr>
              <w:jc w:val="right"/>
              <w:rPr>
                <w:rFonts w:ascii="Arial" w:hAnsi="Arial" w:cs="Arial"/>
                <w:b/>
                <w:color w:val="000000"/>
                <w:lang w:val="en-GB"/>
              </w:rPr>
            </w:pPr>
            <w:r w:rsidRPr="00103DDB">
              <w:rPr>
                <w:rFonts w:ascii="Arial" w:hAnsi="Arial" w:cs="Arial"/>
                <w:b/>
                <w:color w:val="000000"/>
                <w:lang w:val="en-GB"/>
              </w:rPr>
              <w:t>5,649.51</w:t>
            </w:r>
          </w:p>
        </w:tc>
        <w:tc>
          <w:tcPr>
            <w:tcW w:w="1117" w:type="dxa"/>
            <w:noWrap/>
            <w:tcMar>
              <w:left w:w="58" w:type="dxa"/>
              <w:right w:w="58" w:type="dxa"/>
            </w:tcMar>
            <w:vAlign w:val="center"/>
            <w:hideMark/>
          </w:tcPr>
          <w:p w14:paraId="379167F3" w14:textId="77777777" w:rsidR="00332FD8" w:rsidRPr="00103DDB" w:rsidRDefault="00332FD8">
            <w:pPr>
              <w:jc w:val="right"/>
              <w:rPr>
                <w:rFonts w:ascii="Arial" w:hAnsi="Arial" w:cs="Arial"/>
                <w:b/>
                <w:color w:val="000000"/>
                <w:lang w:val="en-GB"/>
              </w:rPr>
            </w:pPr>
            <w:r w:rsidRPr="00103DDB">
              <w:rPr>
                <w:rFonts w:ascii="Arial" w:hAnsi="Arial" w:cs="Arial"/>
                <w:b/>
                <w:color w:val="000000"/>
                <w:lang w:val="en-GB"/>
              </w:rPr>
              <w:t>6,175.76</w:t>
            </w:r>
          </w:p>
        </w:tc>
        <w:tc>
          <w:tcPr>
            <w:tcW w:w="1284" w:type="dxa"/>
            <w:noWrap/>
            <w:tcMar>
              <w:left w:w="58" w:type="dxa"/>
              <w:right w:w="58" w:type="dxa"/>
            </w:tcMar>
            <w:vAlign w:val="center"/>
            <w:hideMark/>
          </w:tcPr>
          <w:p w14:paraId="604DA96C" w14:textId="79E0CD35" w:rsidR="00332FD8" w:rsidRPr="00103DDB" w:rsidRDefault="00BF2F44">
            <w:pPr>
              <w:jc w:val="right"/>
              <w:rPr>
                <w:rFonts w:ascii="Arial" w:hAnsi="Arial" w:cs="Arial"/>
                <w:b/>
                <w:color w:val="000000"/>
                <w:lang w:val="en-GB"/>
              </w:rPr>
            </w:pPr>
            <w:r w:rsidRPr="00103DDB">
              <w:rPr>
                <w:rFonts w:ascii="Arial" w:hAnsi="Arial" w:cs="Arial"/>
                <w:b/>
                <w:color w:val="000000"/>
                <w:lang w:val="en-GB"/>
              </w:rPr>
              <w:t>–</w:t>
            </w:r>
            <w:r w:rsidR="00332FD8" w:rsidRPr="00103DDB">
              <w:rPr>
                <w:rFonts w:ascii="Arial" w:hAnsi="Arial" w:cs="Arial"/>
                <w:b/>
                <w:color w:val="000000"/>
                <w:lang w:val="en-GB"/>
              </w:rPr>
              <w:t>4,715.19</w:t>
            </w:r>
          </w:p>
        </w:tc>
      </w:tr>
    </w:tbl>
    <w:p w14:paraId="18F1E90E" w14:textId="77777777" w:rsidR="005960E7" w:rsidRDefault="005960E7" w:rsidP="00332FD8">
      <w:pPr>
        <w:pStyle w:val="Footnote"/>
        <w:rPr>
          <w:lang w:val="en-GB"/>
        </w:rPr>
      </w:pPr>
    </w:p>
    <w:p w14:paraId="37E93EE4" w14:textId="5CAB0738" w:rsidR="005D3D57" w:rsidRPr="00103DDB" w:rsidRDefault="00332FD8" w:rsidP="00332FD8">
      <w:pPr>
        <w:pStyle w:val="Footnote"/>
        <w:rPr>
          <w:lang w:val="en-GB"/>
        </w:rPr>
      </w:pPr>
      <w:r w:rsidRPr="00103DDB">
        <w:rPr>
          <w:lang w:val="en-GB"/>
        </w:rPr>
        <w:t xml:space="preserve">Source: </w:t>
      </w:r>
      <w:r w:rsidR="00C55178">
        <w:rPr>
          <w:lang w:val="en-GB"/>
        </w:rPr>
        <w:t>Company</w:t>
      </w:r>
      <w:r w:rsidRPr="00103DDB">
        <w:rPr>
          <w:lang w:val="en-GB"/>
        </w:rPr>
        <w:t xml:space="preserve"> documents.</w:t>
      </w:r>
    </w:p>
    <w:p w14:paraId="0A1E7671" w14:textId="77777777" w:rsidR="00332FD8" w:rsidRPr="00103DDB" w:rsidRDefault="00332FD8" w:rsidP="00332FD8">
      <w:pPr>
        <w:spacing w:after="200" w:line="276" w:lineRule="auto"/>
        <w:rPr>
          <w:rFonts w:ascii="Arial" w:hAnsi="Arial" w:cs="Arial"/>
          <w:sz w:val="17"/>
          <w:szCs w:val="17"/>
          <w:lang w:val="en-GB"/>
        </w:rPr>
      </w:pPr>
      <w:r w:rsidRPr="00103DDB">
        <w:rPr>
          <w:lang w:val="en-GB"/>
        </w:rPr>
        <w:br w:type="page"/>
      </w:r>
    </w:p>
    <w:p w14:paraId="4DB276B6" w14:textId="16AEE1C5" w:rsidR="00332FD8" w:rsidRPr="00103DDB" w:rsidRDefault="005960E7" w:rsidP="00332FD8">
      <w:pPr>
        <w:pStyle w:val="ExhibitHeading"/>
        <w:rPr>
          <w:lang w:val="en-GB"/>
        </w:rPr>
      </w:pPr>
      <w:r>
        <w:rPr>
          <w:lang w:val="en-GB"/>
        </w:rPr>
        <w:lastRenderedPageBreak/>
        <w:t>Exhibit 6</w:t>
      </w:r>
      <w:r w:rsidR="00332FD8" w:rsidRPr="00103DDB">
        <w:rPr>
          <w:lang w:val="en-GB"/>
        </w:rPr>
        <w:t xml:space="preserve">: </w:t>
      </w:r>
      <w:r w:rsidR="00DF20F0" w:rsidRPr="00103DDB">
        <w:rPr>
          <w:lang w:val="en-GB"/>
        </w:rPr>
        <w:t>Mobile World</w:t>
      </w:r>
      <w:r w:rsidR="00332FD8" w:rsidRPr="00103DDB">
        <w:rPr>
          <w:lang w:val="en-GB"/>
        </w:rPr>
        <w:t>’s Balance Sheet</w:t>
      </w:r>
      <w:r>
        <w:rPr>
          <w:lang w:val="en-GB"/>
        </w:rPr>
        <w:t xml:space="preserve"> (in VND</w:t>
      </w:r>
      <w:r w:rsidR="00C55178">
        <w:rPr>
          <w:lang w:val="en-GB"/>
        </w:rPr>
        <w:t xml:space="preserve"> MIllions</w:t>
      </w:r>
      <w:r w:rsidR="00C2037A" w:rsidRPr="00103DDB">
        <w:rPr>
          <w:lang w:val="en-GB"/>
        </w:rPr>
        <w:t>)</w:t>
      </w:r>
    </w:p>
    <w:p w14:paraId="5280FDA8" w14:textId="77777777" w:rsidR="00332FD8" w:rsidRPr="00103DDB" w:rsidRDefault="00332FD8" w:rsidP="00332FD8">
      <w:pPr>
        <w:pStyle w:val="Footnote"/>
        <w:rPr>
          <w:lang w:val="en-GB"/>
        </w:rPr>
      </w:pPr>
    </w:p>
    <w:tbl>
      <w:tblPr>
        <w:tblStyle w:val="TableGrid"/>
        <w:tblW w:w="0" w:type="auto"/>
        <w:jc w:val="center"/>
        <w:tblLook w:val="04A0" w:firstRow="1" w:lastRow="0" w:firstColumn="1" w:lastColumn="0" w:noHBand="0" w:noVBand="1"/>
      </w:tblPr>
      <w:tblGrid>
        <w:gridCol w:w="4479"/>
        <w:gridCol w:w="842"/>
        <w:gridCol w:w="900"/>
        <w:gridCol w:w="953"/>
        <w:gridCol w:w="953"/>
      </w:tblGrid>
      <w:tr w:rsidR="00332FD8" w:rsidRPr="00103DDB" w14:paraId="48BBC480" w14:textId="77777777" w:rsidTr="003C5EA1">
        <w:trPr>
          <w:trHeight w:val="296"/>
          <w:jc w:val="center"/>
        </w:trPr>
        <w:tc>
          <w:tcPr>
            <w:tcW w:w="4479" w:type="dxa"/>
            <w:tcBorders>
              <w:top w:val="nil"/>
              <w:left w:val="nil"/>
            </w:tcBorders>
            <w:noWrap/>
            <w:tcMar>
              <w:left w:w="115" w:type="dxa"/>
              <w:right w:w="115" w:type="dxa"/>
            </w:tcMar>
            <w:vAlign w:val="center"/>
          </w:tcPr>
          <w:p w14:paraId="398FF232" w14:textId="77777777" w:rsidR="00332FD8" w:rsidRPr="00103DDB" w:rsidRDefault="00332FD8">
            <w:pPr>
              <w:rPr>
                <w:rFonts w:ascii="Arial" w:hAnsi="Arial" w:cs="Arial"/>
                <w:b/>
                <w:bCs/>
                <w:lang w:val="en-GB"/>
              </w:rPr>
            </w:pPr>
          </w:p>
        </w:tc>
        <w:tc>
          <w:tcPr>
            <w:tcW w:w="842" w:type="dxa"/>
            <w:noWrap/>
            <w:tcMar>
              <w:left w:w="115" w:type="dxa"/>
              <w:right w:w="115" w:type="dxa"/>
            </w:tcMar>
            <w:vAlign w:val="center"/>
            <w:hideMark/>
          </w:tcPr>
          <w:p w14:paraId="624B2BAC" w14:textId="77777777" w:rsidR="00332FD8" w:rsidRPr="00103DDB" w:rsidRDefault="00332FD8" w:rsidP="007B5486">
            <w:pPr>
              <w:jc w:val="center"/>
              <w:rPr>
                <w:rFonts w:ascii="Arial" w:hAnsi="Arial" w:cs="Arial"/>
                <w:b/>
                <w:bCs/>
                <w:lang w:val="en-GB"/>
              </w:rPr>
            </w:pPr>
            <w:r w:rsidRPr="00103DDB">
              <w:rPr>
                <w:rFonts w:ascii="Arial" w:hAnsi="Arial" w:cs="Arial"/>
                <w:b/>
                <w:bCs/>
                <w:lang w:val="en-GB"/>
              </w:rPr>
              <w:t>2005</w:t>
            </w:r>
          </w:p>
        </w:tc>
        <w:tc>
          <w:tcPr>
            <w:tcW w:w="900" w:type="dxa"/>
            <w:noWrap/>
            <w:tcMar>
              <w:left w:w="115" w:type="dxa"/>
              <w:right w:w="115" w:type="dxa"/>
            </w:tcMar>
            <w:vAlign w:val="center"/>
            <w:hideMark/>
          </w:tcPr>
          <w:p w14:paraId="78D75892" w14:textId="77777777" w:rsidR="00332FD8" w:rsidRPr="00103DDB" w:rsidRDefault="00332FD8" w:rsidP="007B5486">
            <w:pPr>
              <w:jc w:val="center"/>
              <w:rPr>
                <w:rFonts w:ascii="Arial" w:hAnsi="Arial" w:cs="Arial"/>
                <w:b/>
                <w:bCs/>
                <w:lang w:val="en-GB"/>
              </w:rPr>
            </w:pPr>
            <w:r w:rsidRPr="00103DDB">
              <w:rPr>
                <w:rFonts w:ascii="Arial" w:hAnsi="Arial" w:cs="Arial"/>
                <w:b/>
                <w:bCs/>
                <w:lang w:val="en-GB"/>
              </w:rPr>
              <w:t>2006</w:t>
            </w:r>
          </w:p>
        </w:tc>
        <w:tc>
          <w:tcPr>
            <w:tcW w:w="953" w:type="dxa"/>
            <w:noWrap/>
            <w:tcMar>
              <w:left w:w="115" w:type="dxa"/>
              <w:right w:w="115" w:type="dxa"/>
            </w:tcMar>
            <w:vAlign w:val="center"/>
            <w:hideMark/>
          </w:tcPr>
          <w:p w14:paraId="786DD93D" w14:textId="77777777" w:rsidR="00332FD8" w:rsidRPr="00103DDB" w:rsidRDefault="00332FD8" w:rsidP="007B5486">
            <w:pPr>
              <w:jc w:val="center"/>
              <w:rPr>
                <w:rFonts w:ascii="Arial" w:hAnsi="Arial" w:cs="Arial"/>
                <w:b/>
                <w:bCs/>
                <w:lang w:val="en-GB"/>
              </w:rPr>
            </w:pPr>
            <w:r w:rsidRPr="00103DDB">
              <w:rPr>
                <w:rFonts w:ascii="Arial" w:hAnsi="Arial" w:cs="Arial"/>
                <w:b/>
                <w:bCs/>
                <w:lang w:val="en-GB"/>
              </w:rPr>
              <w:t>2007</w:t>
            </w:r>
          </w:p>
        </w:tc>
        <w:tc>
          <w:tcPr>
            <w:tcW w:w="953" w:type="dxa"/>
            <w:noWrap/>
            <w:tcMar>
              <w:left w:w="115" w:type="dxa"/>
              <w:right w:w="115" w:type="dxa"/>
            </w:tcMar>
            <w:vAlign w:val="center"/>
            <w:hideMark/>
          </w:tcPr>
          <w:p w14:paraId="2933F146" w14:textId="77777777" w:rsidR="00332FD8" w:rsidRPr="00103DDB" w:rsidRDefault="00332FD8" w:rsidP="007B5486">
            <w:pPr>
              <w:jc w:val="center"/>
              <w:rPr>
                <w:rFonts w:ascii="Arial" w:hAnsi="Arial" w:cs="Arial"/>
                <w:b/>
                <w:bCs/>
                <w:lang w:val="en-GB"/>
              </w:rPr>
            </w:pPr>
            <w:r w:rsidRPr="00103DDB">
              <w:rPr>
                <w:rFonts w:ascii="Arial" w:hAnsi="Arial" w:cs="Arial"/>
                <w:b/>
                <w:bCs/>
                <w:lang w:val="en-GB"/>
              </w:rPr>
              <w:t>2008</w:t>
            </w:r>
          </w:p>
        </w:tc>
      </w:tr>
      <w:tr w:rsidR="00332FD8" w:rsidRPr="00103DDB" w14:paraId="189B34B7" w14:textId="77777777" w:rsidTr="003C5EA1">
        <w:trPr>
          <w:trHeight w:val="341"/>
          <w:jc w:val="center"/>
        </w:trPr>
        <w:tc>
          <w:tcPr>
            <w:tcW w:w="4479" w:type="dxa"/>
            <w:noWrap/>
            <w:tcMar>
              <w:left w:w="115" w:type="dxa"/>
              <w:right w:w="115" w:type="dxa"/>
            </w:tcMar>
            <w:vAlign w:val="center"/>
            <w:hideMark/>
          </w:tcPr>
          <w:p w14:paraId="2CBD5669" w14:textId="7E4C390B" w:rsidR="00332FD8" w:rsidRPr="00103DDB" w:rsidRDefault="00332FD8">
            <w:pPr>
              <w:rPr>
                <w:rFonts w:ascii="Arial" w:hAnsi="Arial" w:cs="Arial"/>
                <w:color w:val="000000"/>
                <w:lang w:val="en-GB"/>
              </w:rPr>
            </w:pPr>
            <w:r w:rsidRPr="00103DDB">
              <w:rPr>
                <w:rFonts w:ascii="Arial" w:hAnsi="Arial" w:cs="Arial"/>
                <w:color w:val="000000"/>
                <w:lang w:val="en-GB"/>
              </w:rPr>
              <w:t xml:space="preserve">Average </w:t>
            </w:r>
            <w:r w:rsidR="00C2037A" w:rsidRPr="00103DDB">
              <w:rPr>
                <w:rFonts w:ascii="Arial" w:hAnsi="Arial" w:cs="Arial"/>
                <w:color w:val="000000"/>
                <w:lang w:val="en-GB"/>
              </w:rPr>
              <w:t>e</w:t>
            </w:r>
            <w:r w:rsidRPr="00103DDB">
              <w:rPr>
                <w:rFonts w:ascii="Arial" w:hAnsi="Arial" w:cs="Arial"/>
                <w:color w:val="000000"/>
                <w:lang w:val="en-GB"/>
              </w:rPr>
              <w:t>xchange rate in year</w:t>
            </w:r>
            <w:r w:rsidR="00D04895" w:rsidRPr="00103DDB">
              <w:rPr>
                <w:rFonts w:ascii="Arial" w:hAnsi="Arial" w:cs="Arial"/>
                <w:color w:val="000000"/>
                <w:lang w:val="en-GB"/>
              </w:rPr>
              <w:t xml:space="preserve"> </w:t>
            </w:r>
            <w:r w:rsidRPr="00103DDB">
              <w:rPr>
                <w:rFonts w:ascii="Arial" w:hAnsi="Arial" w:cs="Arial"/>
                <w:color w:val="000000"/>
                <w:lang w:val="en-GB"/>
              </w:rPr>
              <w:t>(</w:t>
            </w:r>
            <w:r w:rsidR="00C55178">
              <w:rPr>
                <w:rFonts w:ascii="Arial" w:hAnsi="Arial" w:cs="Arial"/>
                <w:color w:val="000000"/>
                <w:lang w:val="en-GB"/>
              </w:rPr>
              <w:t>VND</w:t>
            </w:r>
            <w:r w:rsidRPr="00103DDB">
              <w:rPr>
                <w:rFonts w:ascii="Arial" w:hAnsi="Arial" w:cs="Arial"/>
                <w:color w:val="000000"/>
                <w:lang w:val="en-GB"/>
              </w:rPr>
              <w:t xml:space="preserve"> per US</w:t>
            </w:r>
            <w:r w:rsidR="00C2037A" w:rsidRPr="00103DDB">
              <w:rPr>
                <w:rFonts w:ascii="Arial" w:hAnsi="Arial" w:cs="Arial"/>
                <w:color w:val="000000"/>
                <w:lang w:val="en-GB"/>
              </w:rPr>
              <w:t>$</w:t>
            </w:r>
            <w:r w:rsidRPr="00103DDB">
              <w:rPr>
                <w:rFonts w:ascii="Arial" w:hAnsi="Arial" w:cs="Arial"/>
                <w:color w:val="000000"/>
                <w:lang w:val="en-GB"/>
              </w:rPr>
              <w:t>)</w:t>
            </w:r>
          </w:p>
        </w:tc>
        <w:tc>
          <w:tcPr>
            <w:tcW w:w="842" w:type="dxa"/>
            <w:noWrap/>
            <w:tcMar>
              <w:left w:w="115" w:type="dxa"/>
              <w:right w:w="115" w:type="dxa"/>
            </w:tcMar>
            <w:vAlign w:val="center"/>
            <w:hideMark/>
          </w:tcPr>
          <w:p w14:paraId="76A8C2F9" w14:textId="77777777" w:rsidR="00332FD8" w:rsidRPr="00103DDB" w:rsidRDefault="00332FD8">
            <w:pPr>
              <w:jc w:val="right"/>
              <w:rPr>
                <w:rFonts w:ascii="Arial" w:hAnsi="Arial" w:cs="Arial"/>
                <w:b/>
                <w:bCs/>
                <w:lang w:val="en-GB"/>
              </w:rPr>
            </w:pPr>
            <w:r w:rsidRPr="00103DDB">
              <w:rPr>
                <w:rFonts w:ascii="Arial" w:hAnsi="Arial" w:cs="Arial"/>
                <w:color w:val="000000"/>
                <w:lang w:val="en-GB"/>
              </w:rPr>
              <w:t>15,879</w:t>
            </w:r>
          </w:p>
        </w:tc>
        <w:tc>
          <w:tcPr>
            <w:tcW w:w="900" w:type="dxa"/>
            <w:noWrap/>
            <w:tcMar>
              <w:left w:w="115" w:type="dxa"/>
              <w:right w:w="115" w:type="dxa"/>
            </w:tcMar>
            <w:vAlign w:val="center"/>
            <w:hideMark/>
          </w:tcPr>
          <w:p w14:paraId="434CB993" w14:textId="77777777" w:rsidR="00332FD8" w:rsidRPr="00103DDB" w:rsidRDefault="00332FD8">
            <w:pPr>
              <w:jc w:val="right"/>
              <w:rPr>
                <w:rFonts w:ascii="Arial" w:hAnsi="Arial" w:cs="Arial"/>
                <w:b/>
                <w:bCs/>
                <w:lang w:val="en-GB"/>
              </w:rPr>
            </w:pPr>
            <w:r w:rsidRPr="00103DDB">
              <w:rPr>
                <w:rFonts w:ascii="Arial" w:hAnsi="Arial" w:cs="Arial"/>
                <w:color w:val="000000"/>
                <w:lang w:val="en-GB"/>
              </w:rPr>
              <w:t>16,000</w:t>
            </w:r>
          </w:p>
        </w:tc>
        <w:tc>
          <w:tcPr>
            <w:tcW w:w="953" w:type="dxa"/>
            <w:noWrap/>
            <w:tcMar>
              <w:left w:w="115" w:type="dxa"/>
              <w:right w:w="115" w:type="dxa"/>
            </w:tcMar>
            <w:vAlign w:val="center"/>
            <w:hideMark/>
          </w:tcPr>
          <w:p w14:paraId="717824A0" w14:textId="77777777" w:rsidR="00332FD8" w:rsidRPr="00103DDB" w:rsidRDefault="00332FD8">
            <w:pPr>
              <w:jc w:val="right"/>
              <w:rPr>
                <w:rFonts w:ascii="Arial" w:hAnsi="Arial" w:cs="Arial"/>
                <w:b/>
                <w:bCs/>
                <w:lang w:val="en-GB"/>
              </w:rPr>
            </w:pPr>
            <w:r w:rsidRPr="00103DDB">
              <w:rPr>
                <w:rFonts w:ascii="Arial" w:hAnsi="Arial" w:cs="Arial"/>
                <w:color w:val="000000"/>
                <w:lang w:val="en-GB"/>
              </w:rPr>
              <w:t>16,010</w:t>
            </w:r>
          </w:p>
        </w:tc>
        <w:tc>
          <w:tcPr>
            <w:tcW w:w="953" w:type="dxa"/>
            <w:noWrap/>
            <w:tcMar>
              <w:left w:w="115" w:type="dxa"/>
              <w:right w:w="115" w:type="dxa"/>
            </w:tcMar>
            <w:vAlign w:val="center"/>
            <w:hideMark/>
          </w:tcPr>
          <w:p w14:paraId="2922015E" w14:textId="77777777" w:rsidR="00332FD8" w:rsidRPr="00103DDB" w:rsidRDefault="00332FD8">
            <w:pPr>
              <w:jc w:val="right"/>
              <w:rPr>
                <w:rFonts w:ascii="Arial" w:hAnsi="Arial" w:cs="Arial"/>
                <w:b/>
                <w:bCs/>
                <w:lang w:val="en-GB"/>
              </w:rPr>
            </w:pPr>
            <w:r w:rsidRPr="00103DDB">
              <w:rPr>
                <w:rFonts w:ascii="Arial" w:hAnsi="Arial" w:cs="Arial"/>
                <w:color w:val="000000"/>
                <w:lang w:val="en-GB"/>
              </w:rPr>
              <w:t>17,400</w:t>
            </w:r>
          </w:p>
        </w:tc>
      </w:tr>
      <w:tr w:rsidR="00332FD8" w:rsidRPr="00103DDB" w14:paraId="16B8EAE9" w14:textId="77777777" w:rsidTr="003C5EA1">
        <w:trPr>
          <w:trHeight w:val="368"/>
          <w:jc w:val="center"/>
        </w:trPr>
        <w:tc>
          <w:tcPr>
            <w:tcW w:w="4479" w:type="dxa"/>
            <w:noWrap/>
            <w:tcMar>
              <w:left w:w="115" w:type="dxa"/>
              <w:right w:w="115" w:type="dxa"/>
            </w:tcMar>
            <w:vAlign w:val="center"/>
            <w:hideMark/>
          </w:tcPr>
          <w:p w14:paraId="1542017D" w14:textId="77777777" w:rsidR="00332FD8" w:rsidRPr="00103DDB" w:rsidRDefault="00332FD8">
            <w:pPr>
              <w:rPr>
                <w:rFonts w:ascii="Arial" w:hAnsi="Arial" w:cs="Arial"/>
                <w:b/>
                <w:bCs/>
                <w:lang w:val="en-GB"/>
              </w:rPr>
            </w:pPr>
            <w:r w:rsidRPr="00103DDB">
              <w:rPr>
                <w:rFonts w:ascii="Arial" w:hAnsi="Arial" w:cs="Arial"/>
                <w:b/>
                <w:bCs/>
                <w:lang w:val="en-GB"/>
              </w:rPr>
              <w:t>Current assets</w:t>
            </w:r>
          </w:p>
        </w:tc>
        <w:tc>
          <w:tcPr>
            <w:tcW w:w="842" w:type="dxa"/>
            <w:noWrap/>
            <w:tcMar>
              <w:left w:w="115" w:type="dxa"/>
              <w:right w:w="115" w:type="dxa"/>
            </w:tcMar>
            <w:vAlign w:val="center"/>
            <w:hideMark/>
          </w:tcPr>
          <w:p w14:paraId="203FC3F2" w14:textId="77777777" w:rsidR="00332FD8" w:rsidRPr="00103DDB" w:rsidRDefault="00332FD8">
            <w:pPr>
              <w:jc w:val="right"/>
              <w:rPr>
                <w:rFonts w:ascii="Arial" w:hAnsi="Arial" w:cs="Arial"/>
                <w:b/>
                <w:bCs/>
                <w:lang w:val="en-GB"/>
              </w:rPr>
            </w:pPr>
            <w:r w:rsidRPr="00103DDB">
              <w:rPr>
                <w:rFonts w:ascii="Arial" w:hAnsi="Arial" w:cs="Arial"/>
                <w:b/>
                <w:bCs/>
                <w:lang w:val="en-GB"/>
              </w:rPr>
              <w:t xml:space="preserve"> 9,339 </w:t>
            </w:r>
          </w:p>
        </w:tc>
        <w:tc>
          <w:tcPr>
            <w:tcW w:w="900" w:type="dxa"/>
            <w:noWrap/>
            <w:tcMar>
              <w:left w:w="115" w:type="dxa"/>
              <w:right w:w="115" w:type="dxa"/>
            </w:tcMar>
            <w:vAlign w:val="center"/>
            <w:hideMark/>
          </w:tcPr>
          <w:p w14:paraId="494CE2D8" w14:textId="77777777" w:rsidR="00332FD8" w:rsidRPr="00103DDB" w:rsidRDefault="00332FD8">
            <w:pPr>
              <w:jc w:val="right"/>
              <w:rPr>
                <w:rFonts w:ascii="Arial" w:hAnsi="Arial" w:cs="Arial"/>
                <w:b/>
                <w:bCs/>
                <w:lang w:val="en-GB"/>
              </w:rPr>
            </w:pPr>
            <w:r w:rsidRPr="00103DDB">
              <w:rPr>
                <w:rFonts w:ascii="Arial" w:hAnsi="Arial" w:cs="Arial"/>
                <w:b/>
                <w:bCs/>
                <w:lang w:val="en-GB"/>
              </w:rPr>
              <w:t xml:space="preserve"> 36,358 </w:t>
            </w:r>
          </w:p>
        </w:tc>
        <w:tc>
          <w:tcPr>
            <w:tcW w:w="953" w:type="dxa"/>
            <w:noWrap/>
            <w:tcMar>
              <w:left w:w="115" w:type="dxa"/>
              <w:right w:w="115" w:type="dxa"/>
            </w:tcMar>
            <w:vAlign w:val="center"/>
            <w:hideMark/>
          </w:tcPr>
          <w:p w14:paraId="25A760B2" w14:textId="77777777" w:rsidR="00332FD8" w:rsidRPr="00103DDB" w:rsidRDefault="00332FD8">
            <w:pPr>
              <w:jc w:val="right"/>
              <w:rPr>
                <w:rFonts w:ascii="Arial" w:hAnsi="Arial" w:cs="Arial"/>
                <w:b/>
                <w:bCs/>
                <w:lang w:val="en-GB"/>
              </w:rPr>
            </w:pPr>
            <w:r w:rsidRPr="00103DDB">
              <w:rPr>
                <w:rFonts w:ascii="Arial" w:hAnsi="Arial" w:cs="Arial"/>
                <w:b/>
                <w:bCs/>
                <w:lang w:val="en-GB"/>
              </w:rPr>
              <w:t xml:space="preserve">105,300 </w:t>
            </w:r>
          </w:p>
        </w:tc>
        <w:tc>
          <w:tcPr>
            <w:tcW w:w="953" w:type="dxa"/>
            <w:noWrap/>
            <w:tcMar>
              <w:left w:w="115" w:type="dxa"/>
              <w:right w:w="115" w:type="dxa"/>
            </w:tcMar>
            <w:vAlign w:val="center"/>
            <w:hideMark/>
          </w:tcPr>
          <w:p w14:paraId="2135598B" w14:textId="77777777" w:rsidR="00332FD8" w:rsidRPr="00103DDB" w:rsidRDefault="00332FD8">
            <w:pPr>
              <w:jc w:val="right"/>
              <w:rPr>
                <w:rFonts w:ascii="Arial" w:hAnsi="Arial" w:cs="Arial"/>
                <w:b/>
                <w:bCs/>
                <w:lang w:val="en-GB"/>
              </w:rPr>
            </w:pPr>
            <w:r w:rsidRPr="00103DDB">
              <w:rPr>
                <w:rFonts w:ascii="Arial" w:hAnsi="Arial" w:cs="Arial"/>
                <w:b/>
                <w:bCs/>
                <w:lang w:val="en-GB"/>
              </w:rPr>
              <w:t xml:space="preserve">151,948 </w:t>
            </w:r>
          </w:p>
        </w:tc>
      </w:tr>
      <w:tr w:rsidR="00332FD8" w:rsidRPr="00103DDB" w14:paraId="414E0197" w14:textId="77777777" w:rsidTr="003C5EA1">
        <w:trPr>
          <w:trHeight w:val="341"/>
          <w:jc w:val="center"/>
        </w:trPr>
        <w:tc>
          <w:tcPr>
            <w:tcW w:w="4479" w:type="dxa"/>
            <w:noWrap/>
            <w:tcMar>
              <w:left w:w="115" w:type="dxa"/>
              <w:right w:w="115" w:type="dxa"/>
            </w:tcMar>
            <w:vAlign w:val="center"/>
            <w:hideMark/>
          </w:tcPr>
          <w:p w14:paraId="4F18B613" w14:textId="2DB28B7E" w:rsidR="00332FD8" w:rsidRPr="00103DDB" w:rsidRDefault="00332FD8">
            <w:pPr>
              <w:ind w:firstLine="240"/>
              <w:rPr>
                <w:rFonts w:ascii="Arial" w:hAnsi="Arial" w:cs="Arial"/>
                <w:lang w:val="en-GB"/>
              </w:rPr>
            </w:pPr>
            <w:r w:rsidRPr="00103DDB">
              <w:rPr>
                <w:rFonts w:ascii="Arial" w:hAnsi="Arial" w:cs="Arial"/>
                <w:lang w:val="en-GB"/>
              </w:rPr>
              <w:t xml:space="preserve">Cash </w:t>
            </w:r>
            <w:r w:rsidR="00C2037A" w:rsidRPr="00103DDB">
              <w:rPr>
                <w:rFonts w:ascii="Arial" w:hAnsi="Arial" w:cs="Arial"/>
                <w:lang w:val="en-GB"/>
              </w:rPr>
              <w:t>and</w:t>
            </w:r>
            <w:r w:rsidRPr="00103DDB">
              <w:rPr>
                <w:rFonts w:ascii="Arial" w:hAnsi="Arial" w:cs="Arial"/>
                <w:lang w:val="en-GB"/>
              </w:rPr>
              <w:t xml:space="preserve"> cash equivalents</w:t>
            </w:r>
          </w:p>
        </w:tc>
        <w:tc>
          <w:tcPr>
            <w:tcW w:w="842" w:type="dxa"/>
            <w:noWrap/>
            <w:tcMar>
              <w:left w:w="115" w:type="dxa"/>
              <w:right w:w="115" w:type="dxa"/>
            </w:tcMar>
            <w:vAlign w:val="center"/>
            <w:hideMark/>
          </w:tcPr>
          <w:p w14:paraId="020DD10C" w14:textId="77777777" w:rsidR="00332FD8" w:rsidRPr="00103DDB" w:rsidRDefault="00332FD8">
            <w:pPr>
              <w:jc w:val="right"/>
              <w:rPr>
                <w:rFonts w:ascii="Arial" w:hAnsi="Arial" w:cs="Arial"/>
                <w:lang w:val="en-GB"/>
              </w:rPr>
            </w:pPr>
            <w:r w:rsidRPr="00103DDB">
              <w:rPr>
                <w:rFonts w:ascii="Arial" w:hAnsi="Arial" w:cs="Arial"/>
                <w:lang w:val="en-GB"/>
              </w:rPr>
              <w:t xml:space="preserve"> 1,806 </w:t>
            </w:r>
          </w:p>
        </w:tc>
        <w:tc>
          <w:tcPr>
            <w:tcW w:w="900" w:type="dxa"/>
            <w:noWrap/>
            <w:tcMar>
              <w:left w:w="115" w:type="dxa"/>
              <w:right w:w="115" w:type="dxa"/>
            </w:tcMar>
            <w:vAlign w:val="center"/>
            <w:hideMark/>
          </w:tcPr>
          <w:p w14:paraId="67195A2D" w14:textId="77777777" w:rsidR="00332FD8" w:rsidRPr="00103DDB" w:rsidRDefault="00332FD8">
            <w:pPr>
              <w:jc w:val="right"/>
              <w:rPr>
                <w:rFonts w:ascii="Arial" w:hAnsi="Arial" w:cs="Arial"/>
                <w:lang w:val="en-GB"/>
              </w:rPr>
            </w:pPr>
            <w:r w:rsidRPr="00103DDB">
              <w:rPr>
                <w:rFonts w:ascii="Arial" w:hAnsi="Arial" w:cs="Arial"/>
                <w:lang w:val="en-GB"/>
              </w:rPr>
              <w:t xml:space="preserve"> 6,663 </w:t>
            </w:r>
          </w:p>
        </w:tc>
        <w:tc>
          <w:tcPr>
            <w:tcW w:w="953" w:type="dxa"/>
            <w:noWrap/>
            <w:tcMar>
              <w:left w:w="115" w:type="dxa"/>
              <w:right w:w="115" w:type="dxa"/>
            </w:tcMar>
            <w:vAlign w:val="center"/>
            <w:hideMark/>
          </w:tcPr>
          <w:p w14:paraId="52A55F9E" w14:textId="77777777" w:rsidR="00332FD8" w:rsidRPr="00103DDB" w:rsidRDefault="00332FD8">
            <w:pPr>
              <w:jc w:val="right"/>
              <w:rPr>
                <w:rFonts w:ascii="Arial" w:hAnsi="Arial" w:cs="Arial"/>
                <w:lang w:val="en-GB"/>
              </w:rPr>
            </w:pPr>
            <w:r w:rsidRPr="00103DDB">
              <w:rPr>
                <w:rFonts w:ascii="Arial" w:hAnsi="Arial" w:cs="Arial"/>
                <w:lang w:val="en-GB"/>
              </w:rPr>
              <w:t xml:space="preserve"> 24,591 </w:t>
            </w:r>
          </w:p>
        </w:tc>
        <w:tc>
          <w:tcPr>
            <w:tcW w:w="953" w:type="dxa"/>
            <w:noWrap/>
            <w:tcMar>
              <w:left w:w="115" w:type="dxa"/>
              <w:right w:w="115" w:type="dxa"/>
            </w:tcMar>
            <w:vAlign w:val="center"/>
            <w:hideMark/>
          </w:tcPr>
          <w:p w14:paraId="2D521720" w14:textId="77777777" w:rsidR="00332FD8" w:rsidRPr="00103DDB" w:rsidRDefault="00332FD8">
            <w:pPr>
              <w:jc w:val="right"/>
              <w:rPr>
                <w:rFonts w:ascii="Arial" w:hAnsi="Arial" w:cs="Arial"/>
                <w:lang w:val="en-GB"/>
              </w:rPr>
            </w:pPr>
            <w:r w:rsidRPr="00103DDB">
              <w:rPr>
                <w:rFonts w:ascii="Arial" w:hAnsi="Arial" w:cs="Arial"/>
                <w:lang w:val="en-GB"/>
              </w:rPr>
              <w:t xml:space="preserve"> 17,804 </w:t>
            </w:r>
          </w:p>
        </w:tc>
      </w:tr>
      <w:tr w:rsidR="00332FD8" w:rsidRPr="00103DDB" w14:paraId="34DC062F" w14:textId="77777777" w:rsidTr="003C5EA1">
        <w:trPr>
          <w:trHeight w:val="350"/>
          <w:jc w:val="center"/>
        </w:trPr>
        <w:tc>
          <w:tcPr>
            <w:tcW w:w="4479" w:type="dxa"/>
            <w:noWrap/>
            <w:tcMar>
              <w:left w:w="115" w:type="dxa"/>
              <w:right w:w="115" w:type="dxa"/>
            </w:tcMar>
            <w:vAlign w:val="center"/>
            <w:hideMark/>
          </w:tcPr>
          <w:p w14:paraId="689FC4F6" w14:textId="77777777" w:rsidR="00332FD8" w:rsidRPr="00103DDB" w:rsidRDefault="00332FD8">
            <w:pPr>
              <w:ind w:firstLine="240"/>
              <w:rPr>
                <w:rFonts w:ascii="Arial" w:hAnsi="Arial" w:cs="Arial"/>
                <w:lang w:val="en-GB"/>
              </w:rPr>
            </w:pPr>
            <w:r w:rsidRPr="00103DDB">
              <w:rPr>
                <w:rFonts w:ascii="Arial" w:hAnsi="Arial" w:cs="Arial"/>
                <w:lang w:val="en-GB"/>
              </w:rPr>
              <w:t>Inventory (net)</w:t>
            </w:r>
          </w:p>
        </w:tc>
        <w:tc>
          <w:tcPr>
            <w:tcW w:w="842" w:type="dxa"/>
            <w:noWrap/>
            <w:tcMar>
              <w:left w:w="115" w:type="dxa"/>
              <w:right w:w="115" w:type="dxa"/>
            </w:tcMar>
            <w:vAlign w:val="center"/>
            <w:hideMark/>
          </w:tcPr>
          <w:p w14:paraId="5453F9AB" w14:textId="77777777" w:rsidR="00332FD8" w:rsidRPr="00103DDB" w:rsidRDefault="00332FD8">
            <w:pPr>
              <w:jc w:val="right"/>
              <w:rPr>
                <w:rFonts w:ascii="Arial" w:hAnsi="Arial" w:cs="Arial"/>
                <w:lang w:val="en-GB"/>
              </w:rPr>
            </w:pPr>
            <w:r w:rsidRPr="00103DDB">
              <w:rPr>
                <w:rFonts w:ascii="Arial" w:hAnsi="Arial" w:cs="Arial"/>
                <w:lang w:val="en-GB"/>
              </w:rPr>
              <w:t xml:space="preserve"> 6,410 </w:t>
            </w:r>
          </w:p>
        </w:tc>
        <w:tc>
          <w:tcPr>
            <w:tcW w:w="900" w:type="dxa"/>
            <w:noWrap/>
            <w:tcMar>
              <w:left w:w="115" w:type="dxa"/>
              <w:right w:w="115" w:type="dxa"/>
            </w:tcMar>
            <w:vAlign w:val="center"/>
            <w:hideMark/>
          </w:tcPr>
          <w:p w14:paraId="349DE8F8" w14:textId="77777777" w:rsidR="00332FD8" w:rsidRPr="00103DDB" w:rsidRDefault="00332FD8">
            <w:pPr>
              <w:jc w:val="right"/>
              <w:rPr>
                <w:rFonts w:ascii="Arial" w:hAnsi="Arial" w:cs="Arial"/>
                <w:lang w:val="en-GB"/>
              </w:rPr>
            </w:pPr>
            <w:r w:rsidRPr="00103DDB">
              <w:rPr>
                <w:rFonts w:ascii="Arial" w:hAnsi="Arial" w:cs="Arial"/>
                <w:lang w:val="en-GB"/>
              </w:rPr>
              <w:t xml:space="preserve"> 26,662 </w:t>
            </w:r>
          </w:p>
        </w:tc>
        <w:tc>
          <w:tcPr>
            <w:tcW w:w="953" w:type="dxa"/>
            <w:noWrap/>
            <w:tcMar>
              <w:left w:w="115" w:type="dxa"/>
              <w:right w:w="115" w:type="dxa"/>
            </w:tcMar>
            <w:vAlign w:val="center"/>
            <w:hideMark/>
          </w:tcPr>
          <w:p w14:paraId="28FF2F63" w14:textId="77777777" w:rsidR="00332FD8" w:rsidRPr="00103DDB" w:rsidRDefault="00332FD8">
            <w:pPr>
              <w:jc w:val="right"/>
              <w:rPr>
                <w:rFonts w:ascii="Arial" w:hAnsi="Arial" w:cs="Arial"/>
                <w:lang w:val="en-GB"/>
              </w:rPr>
            </w:pPr>
            <w:r w:rsidRPr="00103DDB">
              <w:rPr>
                <w:rFonts w:ascii="Arial" w:hAnsi="Arial" w:cs="Arial"/>
                <w:lang w:val="en-GB"/>
              </w:rPr>
              <w:t xml:space="preserve"> 68,297 </w:t>
            </w:r>
          </w:p>
        </w:tc>
        <w:tc>
          <w:tcPr>
            <w:tcW w:w="953" w:type="dxa"/>
            <w:noWrap/>
            <w:tcMar>
              <w:left w:w="115" w:type="dxa"/>
              <w:right w:w="115" w:type="dxa"/>
            </w:tcMar>
            <w:vAlign w:val="center"/>
            <w:hideMark/>
          </w:tcPr>
          <w:p w14:paraId="60C9B2C4" w14:textId="77777777" w:rsidR="00332FD8" w:rsidRPr="00103DDB" w:rsidRDefault="00332FD8">
            <w:pPr>
              <w:jc w:val="right"/>
              <w:rPr>
                <w:rFonts w:ascii="Arial" w:hAnsi="Arial" w:cs="Arial"/>
                <w:lang w:val="en-GB"/>
              </w:rPr>
            </w:pPr>
            <w:r w:rsidRPr="00103DDB">
              <w:rPr>
                <w:rFonts w:ascii="Arial" w:hAnsi="Arial" w:cs="Arial"/>
                <w:lang w:val="en-GB"/>
              </w:rPr>
              <w:t xml:space="preserve"> 99,956 </w:t>
            </w:r>
          </w:p>
        </w:tc>
      </w:tr>
      <w:tr w:rsidR="00332FD8" w:rsidRPr="00103DDB" w14:paraId="3A18CD2B" w14:textId="77777777" w:rsidTr="003C5EA1">
        <w:trPr>
          <w:trHeight w:val="341"/>
          <w:jc w:val="center"/>
        </w:trPr>
        <w:tc>
          <w:tcPr>
            <w:tcW w:w="4479" w:type="dxa"/>
            <w:noWrap/>
            <w:tcMar>
              <w:left w:w="115" w:type="dxa"/>
              <w:right w:w="115" w:type="dxa"/>
            </w:tcMar>
            <w:vAlign w:val="center"/>
            <w:hideMark/>
          </w:tcPr>
          <w:p w14:paraId="77E61203" w14:textId="77777777" w:rsidR="00332FD8" w:rsidRPr="00103DDB" w:rsidRDefault="00332FD8">
            <w:pPr>
              <w:ind w:firstLine="240"/>
              <w:rPr>
                <w:rFonts w:ascii="Arial" w:hAnsi="Arial" w:cs="Arial"/>
                <w:lang w:val="en-GB"/>
              </w:rPr>
            </w:pPr>
            <w:r w:rsidRPr="00103DDB">
              <w:rPr>
                <w:rFonts w:ascii="Arial" w:hAnsi="Arial" w:cs="Arial"/>
                <w:lang w:val="en-GB"/>
              </w:rPr>
              <w:t>Other current assets</w:t>
            </w:r>
          </w:p>
        </w:tc>
        <w:tc>
          <w:tcPr>
            <w:tcW w:w="842" w:type="dxa"/>
            <w:noWrap/>
            <w:tcMar>
              <w:left w:w="115" w:type="dxa"/>
              <w:right w:w="115" w:type="dxa"/>
            </w:tcMar>
            <w:vAlign w:val="center"/>
            <w:hideMark/>
          </w:tcPr>
          <w:p w14:paraId="504DEE3B" w14:textId="77777777" w:rsidR="00332FD8" w:rsidRPr="00103DDB" w:rsidRDefault="00332FD8">
            <w:pPr>
              <w:jc w:val="right"/>
              <w:rPr>
                <w:rFonts w:ascii="Arial" w:hAnsi="Arial" w:cs="Arial"/>
                <w:lang w:val="en-GB"/>
              </w:rPr>
            </w:pPr>
            <w:r w:rsidRPr="00103DDB">
              <w:rPr>
                <w:rFonts w:ascii="Arial" w:hAnsi="Arial" w:cs="Arial"/>
                <w:lang w:val="en-GB"/>
              </w:rPr>
              <w:t xml:space="preserve"> 643 </w:t>
            </w:r>
          </w:p>
        </w:tc>
        <w:tc>
          <w:tcPr>
            <w:tcW w:w="900" w:type="dxa"/>
            <w:noWrap/>
            <w:tcMar>
              <w:left w:w="115" w:type="dxa"/>
              <w:right w:w="115" w:type="dxa"/>
            </w:tcMar>
            <w:vAlign w:val="center"/>
            <w:hideMark/>
          </w:tcPr>
          <w:p w14:paraId="58B93210" w14:textId="77777777" w:rsidR="00332FD8" w:rsidRPr="00103DDB" w:rsidRDefault="00332FD8">
            <w:pPr>
              <w:jc w:val="right"/>
              <w:rPr>
                <w:rFonts w:ascii="Arial" w:hAnsi="Arial" w:cs="Arial"/>
                <w:lang w:val="en-GB"/>
              </w:rPr>
            </w:pPr>
            <w:r w:rsidRPr="00103DDB">
              <w:rPr>
                <w:rFonts w:ascii="Arial" w:hAnsi="Arial" w:cs="Arial"/>
                <w:lang w:val="en-GB"/>
              </w:rPr>
              <w:t xml:space="preserve"> 1,656 </w:t>
            </w:r>
          </w:p>
        </w:tc>
        <w:tc>
          <w:tcPr>
            <w:tcW w:w="953" w:type="dxa"/>
            <w:noWrap/>
            <w:tcMar>
              <w:left w:w="115" w:type="dxa"/>
              <w:right w:w="115" w:type="dxa"/>
            </w:tcMar>
            <w:vAlign w:val="center"/>
            <w:hideMark/>
          </w:tcPr>
          <w:p w14:paraId="53C2677A" w14:textId="77777777" w:rsidR="00332FD8" w:rsidRPr="00103DDB" w:rsidRDefault="00332FD8">
            <w:pPr>
              <w:jc w:val="right"/>
              <w:rPr>
                <w:rFonts w:ascii="Arial" w:hAnsi="Arial" w:cs="Arial"/>
                <w:lang w:val="en-GB"/>
              </w:rPr>
            </w:pPr>
            <w:r w:rsidRPr="00103DDB">
              <w:rPr>
                <w:rFonts w:ascii="Arial" w:hAnsi="Arial" w:cs="Arial"/>
                <w:lang w:val="en-GB"/>
              </w:rPr>
              <w:t xml:space="preserve"> 12,266 </w:t>
            </w:r>
          </w:p>
        </w:tc>
        <w:tc>
          <w:tcPr>
            <w:tcW w:w="953" w:type="dxa"/>
            <w:noWrap/>
            <w:tcMar>
              <w:left w:w="115" w:type="dxa"/>
              <w:right w:w="115" w:type="dxa"/>
            </w:tcMar>
            <w:vAlign w:val="center"/>
            <w:hideMark/>
          </w:tcPr>
          <w:p w14:paraId="6408A117" w14:textId="77777777" w:rsidR="00332FD8" w:rsidRPr="00103DDB" w:rsidRDefault="00332FD8">
            <w:pPr>
              <w:jc w:val="right"/>
              <w:rPr>
                <w:rFonts w:ascii="Arial" w:hAnsi="Arial" w:cs="Arial"/>
                <w:lang w:val="en-GB"/>
              </w:rPr>
            </w:pPr>
            <w:r w:rsidRPr="00103DDB">
              <w:rPr>
                <w:rFonts w:ascii="Arial" w:hAnsi="Arial" w:cs="Arial"/>
                <w:lang w:val="en-GB"/>
              </w:rPr>
              <w:t xml:space="preserve"> 33,353 </w:t>
            </w:r>
          </w:p>
        </w:tc>
      </w:tr>
      <w:tr w:rsidR="00332FD8" w:rsidRPr="00103DDB" w14:paraId="55FD1650" w14:textId="77777777" w:rsidTr="003C5EA1">
        <w:trPr>
          <w:trHeight w:val="368"/>
          <w:jc w:val="center"/>
        </w:trPr>
        <w:tc>
          <w:tcPr>
            <w:tcW w:w="4479" w:type="dxa"/>
            <w:noWrap/>
            <w:tcMar>
              <w:left w:w="115" w:type="dxa"/>
              <w:right w:w="115" w:type="dxa"/>
            </w:tcMar>
            <w:vAlign w:val="center"/>
            <w:hideMark/>
          </w:tcPr>
          <w:p w14:paraId="6483ADFB" w14:textId="77777777" w:rsidR="00332FD8" w:rsidRPr="00103DDB" w:rsidRDefault="00332FD8">
            <w:pPr>
              <w:rPr>
                <w:rFonts w:ascii="Arial" w:hAnsi="Arial" w:cs="Arial"/>
                <w:b/>
                <w:bCs/>
                <w:lang w:val="en-GB"/>
              </w:rPr>
            </w:pPr>
            <w:r w:rsidRPr="00103DDB">
              <w:rPr>
                <w:rFonts w:ascii="Arial" w:hAnsi="Arial" w:cs="Arial"/>
                <w:b/>
                <w:bCs/>
                <w:lang w:val="en-GB"/>
              </w:rPr>
              <w:t>Non-current assets</w:t>
            </w:r>
          </w:p>
        </w:tc>
        <w:tc>
          <w:tcPr>
            <w:tcW w:w="842" w:type="dxa"/>
            <w:noWrap/>
            <w:tcMar>
              <w:left w:w="115" w:type="dxa"/>
              <w:right w:w="115" w:type="dxa"/>
            </w:tcMar>
            <w:vAlign w:val="center"/>
            <w:hideMark/>
          </w:tcPr>
          <w:p w14:paraId="2AB65B57" w14:textId="77777777" w:rsidR="00332FD8" w:rsidRPr="00103DDB" w:rsidRDefault="00332FD8">
            <w:pPr>
              <w:jc w:val="right"/>
              <w:rPr>
                <w:rFonts w:ascii="Arial" w:hAnsi="Arial" w:cs="Arial"/>
                <w:b/>
                <w:bCs/>
                <w:lang w:val="en-GB"/>
              </w:rPr>
            </w:pPr>
            <w:r w:rsidRPr="00103DDB">
              <w:rPr>
                <w:rFonts w:ascii="Arial" w:hAnsi="Arial" w:cs="Arial"/>
                <w:b/>
                <w:bCs/>
                <w:lang w:val="en-GB"/>
              </w:rPr>
              <w:t xml:space="preserve"> 570 </w:t>
            </w:r>
          </w:p>
        </w:tc>
        <w:tc>
          <w:tcPr>
            <w:tcW w:w="900" w:type="dxa"/>
            <w:noWrap/>
            <w:tcMar>
              <w:left w:w="115" w:type="dxa"/>
              <w:right w:w="115" w:type="dxa"/>
            </w:tcMar>
            <w:vAlign w:val="center"/>
            <w:hideMark/>
          </w:tcPr>
          <w:p w14:paraId="30DAD453" w14:textId="77777777" w:rsidR="00332FD8" w:rsidRPr="00103DDB" w:rsidRDefault="00332FD8">
            <w:pPr>
              <w:jc w:val="right"/>
              <w:rPr>
                <w:rFonts w:ascii="Arial" w:hAnsi="Arial" w:cs="Arial"/>
                <w:b/>
                <w:bCs/>
                <w:lang w:val="en-GB"/>
              </w:rPr>
            </w:pPr>
            <w:r w:rsidRPr="00103DDB">
              <w:rPr>
                <w:rFonts w:ascii="Arial" w:hAnsi="Arial" w:cs="Arial"/>
                <w:b/>
                <w:bCs/>
                <w:lang w:val="en-GB"/>
              </w:rPr>
              <w:t xml:space="preserve"> 3,363 </w:t>
            </w:r>
          </w:p>
        </w:tc>
        <w:tc>
          <w:tcPr>
            <w:tcW w:w="953" w:type="dxa"/>
            <w:noWrap/>
            <w:tcMar>
              <w:left w:w="115" w:type="dxa"/>
              <w:right w:w="115" w:type="dxa"/>
            </w:tcMar>
            <w:vAlign w:val="center"/>
            <w:hideMark/>
          </w:tcPr>
          <w:p w14:paraId="56104513" w14:textId="77777777" w:rsidR="00332FD8" w:rsidRPr="00103DDB" w:rsidRDefault="00332FD8">
            <w:pPr>
              <w:jc w:val="right"/>
              <w:rPr>
                <w:rFonts w:ascii="Arial" w:hAnsi="Arial" w:cs="Arial"/>
                <w:b/>
                <w:bCs/>
                <w:lang w:val="en-GB"/>
              </w:rPr>
            </w:pPr>
            <w:r w:rsidRPr="00103DDB">
              <w:rPr>
                <w:rFonts w:ascii="Arial" w:hAnsi="Arial" w:cs="Arial"/>
                <w:b/>
                <w:bCs/>
                <w:lang w:val="en-GB"/>
              </w:rPr>
              <w:t xml:space="preserve"> 14,242 </w:t>
            </w:r>
          </w:p>
        </w:tc>
        <w:tc>
          <w:tcPr>
            <w:tcW w:w="953" w:type="dxa"/>
            <w:noWrap/>
            <w:tcMar>
              <w:left w:w="115" w:type="dxa"/>
              <w:right w:w="115" w:type="dxa"/>
            </w:tcMar>
            <w:vAlign w:val="center"/>
            <w:hideMark/>
          </w:tcPr>
          <w:p w14:paraId="4936CA56" w14:textId="77777777" w:rsidR="00332FD8" w:rsidRPr="00103DDB" w:rsidRDefault="00332FD8">
            <w:pPr>
              <w:jc w:val="right"/>
              <w:rPr>
                <w:rFonts w:ascii="Arial" w:hAnsi="Arial" w:cs="Arial"/>
                <w:b/>
                <w:bCs/>
                <w:lang w:val="en-GB"/>
              </w:rPr>
            </w:pPr>
            <w:r w:rsidRPr="00103DDB">
              <w:rPr>
                <w:rFonts w:ascii="Arial" w:hAnsi="Arial" w:cs="Arial"/>
                <w:b/>
                <w:bCs/>
                <w:lang w:val="en-GB"/>
              </w:rPr>
              <w:t xml:space="preserve"> 27,326 </w:t>
            </w:r>
          </w:p>
        </w:tc>
      </w:tr>
      <w:tr w:rsidR="00332FD8" w:rsidRPr="00103DDB" w14:paraId="4A7FB91D" w14:textId="77777777" w:rsidTr="003C5EA1">
        <w:trPr>
          <w:trHeight w:val="341"/>
          <w:jc w:val="center"/>
        </w:trPr>
        <w:tc>
          <w:tcPr>
            <w:tcW w:w="4479" w:type="dxa"/>
            <w:noWrap/>
            <w:tcMar>
              <w:left w:w="115" w:type="dxa"/>
              <w:right w:w="115" w:type="dxa"/>
            </w:tcMar>
            <w:vAlign w:val="center"/>
            <w:hideMark/>
          </w:tcPr>
          <w:p w14:paraId="694DE96E" w14:textId="77777777" w:rsidR="00332FD8" w:rsidRPr="00103DDB" w:rsidRDefault="00332FD8">
            <w:pPr>
              <w:ind w:firstLine="240"/>
              <w:rPr>
                <w:rFonts w:ascii="Arial" w:hAnsi="Arial" w:cs="Arial"/>
                <w:lang w:val="en-GB"/>
              </w:rPr>
            </w:pPr>
            <w:r w:rsidRPr="00103DDB">
              <w:rPr>
                <w:rFonts w:ascii="Arial" w:hAnsi="Arial" w:cs="Arial"/>
                <w:lang w:val="en-GB"/>
              </w:rPr>
              <w:t>Tangible fixed assets (cost)</w:t>
            </w:r>
          </w:p>
        </w:tc>
        <w:tc>
          <w:tcPr>
            <w:tcW w:w="842" w:type="dxa"/>
            <w:noWrap/>
            <w:tcMar>
              <w:left w:w="115" w:type="dxa"/>
              <w:right w:w="115" w:type="dxa"/>
            </w:tcMar>
            <w:vAlign w:val="center"/>
            <w:hideMark/>
          </w:tcPr>
          <w:p w14:paraId="6D011027" w14:textId="359E3EA9" w:rsidR="00332FD8" w:rsidRPr="00103DDB" w:rsidRDefault="00332FD8">
            <w:pPr>
              <w:jc w:val="right"/>
              <w:rPr>
                <w:rFonts w:ascii="Arial" w:hAnsi="Arial" w:cs="Arial"/>
                <w:lang w:val="en-GB"/>
              </w:rPr>
            </w:pPr>
            <w:r w:rsidRPr="00103DDB">
              <w:rPr>
                <w:rFonts w:ascii="Arial" w:hAnsi="Arial" w:cs="Arial"/>
                <w:lang w:val="en-GB"/>
              </w:rPr>
              <w:t xml:space="preserve"> </w:t>
            </w:r>
            <w:r w:rsidR="004B46B2" w:rsidRPr="00103DDB">
              <w:rPr>
                <w:rFonts w:ascii="Arial" w:hAnsi="Arial" w:cs="Arial"/>
                <w:lang w:val="en-GB"/>
              </w:rPr>
              <w:t>–</w:t>
            </w:r>
            <w:r w:rsidRPr="00103DDB">
              <w:rPr>
                <w:rFonts w:ascii="Arial" w:hAnsi="Arial" w:cs="Arial"/>
                <w:lang w:val="en-GB"/>
              </w:rPr>
              <w:t xml:space="preserve">   </w:t>
            </w:r>
          </w:p>
        </w:tc>
        <w:tc>
          <w:tcPr>
            <w:tcW w:w="900" w:type="dxa"/>
            <w:noWrap/>
            <w:tcMar>
              <w:left w:w="115" w:type="dxa"/>
              <w:right w:w="115" w:type="dxa"/>
            </w:tcMar>
            <w:vAlign w:val="center"/>
            <w:hideMark/>
          </w:tcPr>
          <w:p w14:paraId="5CD59749" w14:textId="77777777" w:rsidR="00332FD8" w:rsidRPr="00103DDB" w:rsidRDefault="00332FD8">
            <w:pPr>
              <w:jc w:val="right"/>
              <w:rPr>
                <w:rFonts w:ascii="Arial" w:hAnsi="Arial" w:cs="Arial"/>
                <w:lang w:val="en-GB"/>
              </w:rPr>
            </w:pPr>
            <w:r w:rsidRPr="00103DDB">
              <w:rPr>
                <w:rFonts w:ascii="Arial" w:hAnsi="Arial" w:cs="Arial"/>
                <w:lang w:val="en-GB"/>
              </w:rPr>
              <w:t xml:space="preserve"> 1,153 </w:t>
            </w:r>
          </w:p>
        </w:tc>
        <w:tc>
          <w:tcPr>
            <w:tcW w:w="953" w:type="dxa"/>
            <w:noWrap/>
            <w:tcMar>
              <w:left w:w="115" w:type="dxa"/>
              <w:right w:w="115" w:type="dxa"/>
            </w:tcMar>
            <w:vAlign w:val="center"/>
            <w:hideMark/>
          </w:tcPr>
          <w:p w14:paraId="0919B3C0" w14:textId="77777777" w:rsidR="00332FD8" w:rsidRPr="00103DDB" w:rsidRDefault="00332FD8">
            <w:pPr>
              <w:jc w:val="right"/>
              <w:rPr>
                <w:rFonts w:ascii="Arial" w:hAnsi="Arial" w:cs="Arial"/>
                <w:lang w:val="en-GB"/>
              </w:rPr>
            </w:pPr>
            <w:r w:rsidRPr="00103DDB">
              <w:rPr>
                <w:rFonts w:ascii="Arial" w:hAnsi="Arial" w:cs="Arial"/>
                <w:lang w:val="en-GB"/>
              </w:rPr>
              <w:t xml:space="preserve"> 4,977 </w:t>
            </w:r>
          </w:p>
        </w:tc>
        <w:tc>
          <w:tcPr>
            <w:tcW w:w="953" w:type="dxa"/>
            <w:noWrap/>
            <w:tcMar>
              <w:left w:w="115" w:type="dxa"/>
              <w:right w:w="115" w:type="dxa"/>
            </w:tcMar>
            <w:vAlign w:val="center"/>
            <w:hideMark/>
          </w:tcPr>
          <w:p w14:paraId="3A117344" w14:textId="77777777" w:rsidR="00332FD8" w:rsidRPr="00103DDB" w:rsidRDefault="00332FD8">
            <w:pPr>
              <w:jc w:val="right"/>
              <w:rPr>
                <w:rFonts w:ascii="Arial" w:hAnsi="Arial" w:cs="Arial"/>
                <w:lang w:val="en-GB"/>
              </w:rPr>
            </w:pPr>
            <w:r w:rsidRPr="00103DDB">
              <w:rPr>
                <w:rFonts w:ascii="Arial" w:hAnsi="Arial" w:cs="Arial"/>
                <w:lang w:val="en-GB"/>
              </w:rPr>
              <w:t xml:space="preserve"> 9,892 </w:t>
            </w:r>
          </w:p>
        </w:tc>
      </w:tr>
      <w:tr w:rsidR="00332FD8" w:rsidRPr="00103DDB" w14:paraId="3159BC78" w14:textId="77777777" w:rsidTr="003C5EA1">
        <w:trPr>
          <w:trHeight w:val="350"/>
          <w:jc w:val="center"/>
        </w:trPr>
        <w:tc>
          <w:tcPr>
            <w:tcW w:w="4479" w:type="dxa"/>
            <w:noWrap/>
            <w:tcMar>
              <w:left w:w="115" w:type="dxa"/>
              <w:right w:w="115" w:type="dxa"/>
            </w:tcMar>
            <w:vAlign w:val="center"/>
            <w:hideMark/>
          </w:tcPr>
          <w:p w14:paraId="20ED7D55" w14:textId="77777777" w:rsidR="00332FD8" w:rsidRPr="00103DDB" w:rsidRDefault="00332FD8">
            <w:pPr>
              <w:ind w:firstLine="240"/>
              <w:rPr>
                <w:rFonts w:ascii="Arial" w:hAnsi="Arial" w:cs="Arial"/>
                <w:lang w:val="en-GB"/>
              </w:rPr>
            </w:pPr>
            <w:r w:rsidRPr="00103DDB">
              <w:rPr>
                <w:rFonts w:ascii="Arial" w:hAnsi="Arial" w:cs="Arial"/>
                <w:lang w:val="en-GB"/>
              </w:rPr>
              <w:t>Accumulated depreciation</w:t>
            </w:r>
          </w:p>
        </w:tc>
        <w:tc>
          <w:tcPr>
            <w:tcW w:w="842" w:type="dxa"/>
            <w:noWrap/>
            <w:tcMar>
              <w:left w:w="115" w:type="dxa"/>
              <w:right w:w="115" w:type="dxa"/>
            </w:tcMar>
            <w:vAlign w:val="center"/>
            <w:hideMark/>
          </w:tcPr>
          <w:p w14:paraId="51EDD9A7" w14:textId="12D6A3BA" w:rsidR="00332FD8" w:rsidRPr="00103DDB" w:rsidRDefault="004B46B2">
            <w:pPr>
              <w:jc w:val="right"/>
              <w:rPr>
                <w:rFonts w:ascii="Arial" w:hAnsi="Arial" w:cs="Arial"/>
                <w:lang w:val="en-GB"/>
              </w:rPr>
            </w:pPr>
            <w:r w:rsidRPr="00103DDB">
              <w:rPr>
                <w:rFonts w:ascii="Arial" w:hAnsi="Arial" w:cs="Arial"/>
                <w:lang w:val="en-GB"/>
              </w:rPr>
              <w:t>–</w:t>
            </w:r>
            <w:r w:rsidR="00332FD8" w:rsidRPr="00103DDB">
              <w:rPr>
                <w:rFonts w:ascii="Arial" w:hAnsi="Arial" w:cs="Arial"/>
                <w:lang w:val="en-GB"/>
              </w:rPr>
              <w:t xml:space="preserve">    </w:t>
            </w:r>
          </w:p>
        </w:tc>
        <w:tc>
          <w:tcPr>
            <w:tcW w:w="900" w:type="dxa"/>
            <w:noWrap/>
            <w:tcMar>
              <w:left w:w="115" w:type="dxa"/>
              <w:right w:w="115" w:type="dxa"/>
            </w:tcMar>
            <w:vAlign w:val="center"/>
            <w:hideMark/>
          </w:tcPr>
          <w:p w14:paraId="2CC3C937" w14:textId="77777777" w:rsidR="00332FD8" w:rsidRPr="00103DDB" w:rsidRDefault="00332FD8">
            <w:pPr>
              <w:jc w:val="right"/>
              <w:rPr>
                <w:rFonts w:ascii="Arial" w:hAnsi="Arial" w:cs="Arial"/>
                <w:lang w:val="en-GB"/>
              </w:rPr>
            </w:pPr>
            <w:r w:rsidRPr="00103DDB">
              <w:rPr>
                <w:rFonts w:ascii="Arial" w:hAnsi="Arial" w:cs="Arial"/>
                <w:lang w:val="en-GB"/>
              </w:rPr>
              <w:t xml:space="preserve"> 195 </w:t>
            </w:r>
          </w:p>
        </w:tc>
        <w:tc>
          <w:tcPr>
            <w:tcW w:w="953" w:type="dxa"/>
            <w:noWrap/>
            <w:tcMar>
              <w:left w:w="115" w:type="dxa"/>
              <w:right w:w="115" w:type="dxa"/>
            </w:tcMar>
            <w:vAlign w:val="center"/>
            <w:hideMark/>
          </w:tcPr>
          <w:p w14:paraId="6E0B0BE2" w14:textId="77777777" w:rsidR="00332FD8" w:rsidRPr="00103DDB" w:rsidRDefault="00332FD8">
            <w:pPr>
              <w:jc w:val="right"/>
              <w:rPr>
                <w:rFonts w:ascii="Arial" w:hAnsi="Arial" w:cs="Arial"/>
                <w:lang w:val="en-GB"/>
              </w:rPr>
            </w:pPr>
            <w:r w:rsidRPr="00103DDB">
              <w:rPr>
                <w:rFonts w:ascii="Arial" w:hAnsi="Arial" w:cs="Arial"/>
                <w:lang w:val="en-GB"/>
              </w:rPr>
              <w:t xml:space="preserve"> 739 </w:t>
            </w:r>
          </w:p>
        </w:tc>
        <w:tc>
          <w:tcPr>
            <w:tcW w:w="953" w:type="dxa"/>
            <w:noWrap/>
            <w:tcMar>
              <w:left w:w="115" w:type="dxa"/>
              <w:right w:w="115" w:type="dxa"/>
            </w:tcMar>
            <w:vAlign w:val="center"/>
            <w:hideMark/>
          </w:tcPr>
          <w:p w14:paraId="38D3D330" w14:textId="77777777" w:rsidR="00332FD8" w:rsidRPr="00103DDB" w:rsidRDefault="00332FD8">
            <w:pPr>
              <w:jc w:val="right"/>
              <w:rPr>
                <w:rFonts w:ascii="Arial" w:hAnsi="Arial" w:cs="Arial"/>
                <w:lang w:val="en-GB"/>
              </w:rPr>
            </w:pPr>
            <w:r w:rsidRPr="00103DDB">
              <w:rPr>
                <w:rFonts w:ascii="Arial" w:hAnsi="Arial" w:cs="Arial"/>
                <w:lang w:val="en-GB"/>
              </w:rPr>
              <w:t xml:space="preserve"> 1,995 </w:t>
            </w:r>
          </w:p>
        </w:tc>
      </w:tr>
      <w:tr w:rsidR="00332FD8" w:rsidRPr="00103DDB" w14:paraId="7458362F" w14:textId="77777777" w:rsidTr="003C5EA1">
        <w:trPr>
          <w:trHeight w:val="341"/>
          <w:jc w:val="center"/>
        </w:trPr>
        <w:tc>
          <w:tcPr>
            <w:tcW w:w="4479" w:type="dxa"/>
            <w:noWrap/>
            <w:tcMar>
              <w:left w:w="115" w:type="dxa"/>
              <w:right w:w="115" w:type="dxa"/>
            </w:tcMar>
            <w:vAlign w:val="center"/>
            <w:hideMark/>
          </w:tcPr>
          <w:p w14:paraId="5AA00DE0" w14:textId="77777777" w:rsidR="00332FD8" w:rsidRPr="00103DDB" w:rsidRDefault="00332FD8">
            <w:pPr>
              <w:ind w:firstLine="240"/>
              <w:rPr>
                <w:rFonts w:ascii="Arial" w:hAnsi="Arial" w:cs="Arial"/>
                <w:lang w:val="en-GB"/>
              </w:rPr>
            </w:pPr>
            <w:r w:rsidRPr="00103DDB">
              <w:rPr>
                <w:rFonts w:ascii="Arial" w:hAnsi="Arial" w:cs="Arial"/>
                <w:lang w:val="en-GB"/>
              </w:rPr>
              <w:t>Tangible fixed assets (net)</w:t>
            </w:r>
          </w:p>
        </w:tc>
        <w:tc>
          <w:tcPr>
            <w:tcW w:w="842" w:type="dxa"/>
            <w:noWrap/>
            <w:tcMar>
              <w:left w:w="115" w:type="dxa"/>
              <w:right w:w="115" w:type="dxa"/>
            </w:tcMar>
            <w:vAlign w:val="center"/>
            <w:hideMark/>
          </w:tcPr>
          <w:p w14:paraId="494132C0" w14:textId="4F53D13D" w:rsidR="00332FD8" w:rsidRPr="00103DDB" w:rsidRDefault="00332FD8">
            <w:pPr>
              <w:jc w:val="right"/>
              <w:rPr>
                <w:rFonts w:ascii="Arial" w:hAnsi="Arial" w:cs="Arial"/>
                <w:lang w:val="en-GB"/>
              </w:rPr>
            </w:pPr>
            <w:r w:rsidRPr="00103DDB">
              <w:rPr>
                <w:rFonts w:ascii="Arial" w:hAnsi="Arial" w:cs="Arial"/>
                <w:lang w:val="en-GB"/>
              </w:rPr>
              <w:t xml:space="preserve"> </w:t>
            </w:r>
            <w:r w:rsidR="004B46B2" w:rsidRPr="00103DDB">
              <w:rPr>
                <w:rFonts w:ascii="Arial" w:hAnsi="Arial" w:cs="Arial"/>
                <w:lang w:val="en-GB"/>
              </w:rPr>
              <w:t>–</w:t>
            </w:r>
            <w:r w:rsidRPr="00103DDB">
              <w:rPr>
                <w:rFonts w:ascii="Arial" w:hAnsi="Arial" w:cs="Arial"/>
                <w:lang w:val="en-GB"/>
              </w:rPr>
              <w:t xml:space="preserve">   </w:t>
            </w:r>
          </w:p>
        </w:tc>
        <w:tc>
          <w:tcPr>
            <w:tcW w:w="900" w:type="dxa"/>
            <w:noWrap/>
            <w:tcMar>
              <w:left w:w="115" w:type="dxa"/>
              <w:right w:w="115" w:type="dxa"/>
            </w:tcMar>
            <w:vAlign w:val="center"/>
            <w:hideMark/>
          </w:tcPr>
          <w:p w14:paraId="6544CA90" w14:textId="77777777" w:rsidR="00332FD8" w:rsidRPr="00103DDB" w:rsidRDefault="00332FD8">
            <w:pPr>
              <w:jc w:val="right"/>
              <w:rPr>
                <w:rFonts w:ascii="Arial" w:hAnsi="Arial" w:cs="Arial"/>
                <w:lang w:val="en-GB"/>
              </w:rPr>
            </w:pPr>
            <w:r w:rsidRPr="00103DDB">
              <w:rPr>
                <w:rFonts w:ascii="Arial" w:hAnsi="Arial" w:cs="Arial"/>
                <w:lang w:val="en-GB"/>
              </w:rPr>
              <w:t xml:space="preserve"> 958 </w:t>
            </w:r>
          </w:p>
        </w:tc>
        <w:tc>
          <w:tcPr>
            <w:tcW w:w="953" w:type="dxa"/>
            <w:noWrap/>
            <w:tcMar>
              <w:left w:w="115" w:type="dxa"/>
              <w:right w:w="115" w:type="dxa"/>
            </w:tcMar>
            <w:vAlign w:val="center"/>
            <w:hideMark/>
          </w:tcPr>
          <w:p w14:paraId="1B1BD5D9" w14:textId="77777777" w:rsidR="00332FD8" w:rsidRPr="00103DDB" w:rsidRDefault="00332FD8">
            <w:pPr>
              <w:jc w:val="right"/>
              <w:rPr>
                <w:rFonts w:ascii="Arial" w:hAnsi="Arial" w:cs="Arial"/>
                <w:lang w:val="en-GB"/>
              </w:rPr>
            </w:pPr>
            <w:r w:rsidRPr="00103DDB">
              <w:rPr>
                <w:rFonts w:ascii="Arial" w:hAnsi="Arial" w:cs="Arial"/>
                <w:lang w:val="en-GB"/>
              </w:rPr>
              <w:t xml:space="preserve"> 4,238 </w:t>
            </w:r>
          </w:p>
        </w:tc>
        <w:tc>
          <w:tcPr>
            <w:tcW w:w="953" w:type="dxa"/>
            <w:noWrap/>
            <w:tcMar>
              <w:left w:w="115" w:type="dxa"/>
              <w:right w:w="115" w:type="dxa"/>
            </w:tcMar>
            <w:vAlign w:val="center"/>
            <w:hideMark/>
          </w:tcPr>
          <w:p w14:paraId="15E7B004" w14:textId="77777777" w:rsidR="00332FD8" w:rsidRPr="00103DDB" w:rsidRDefault="00332FD8">
            <w:pPr>
              <w:jc w:val="right"/>
              <w:rPr>
                <w:rFonts w:ascii="Arial" w:hAnsi="Arial" w:cs="Arial"/>
                <w:lang w:val="en-GB"/>
              </w:rPr>
            </w:pPr>
            <w:r w:rsidRPr="00103DDB">
              <w:rPr>
                <w:rFonts w:ascii="Arial" w:hAnsi="Arial" w:cs="Arial"/>
                <w:lang w:val="en-GB"/>
              </w:rPr>
              <w:t xml:space="preserve"> 7,897 </w:t>
            </w:r>
          </w:p>
        </w:tc>
      </w:tr>
      <w:tr w:rsidR="00332FD8" w:rsidRPr="00103DDB" w14:paraId="47991DCA" w14:textId="77777777" w:rsidTr="003C5EA1">
        <w:trPr>
          <w:trHeight w:val="368"/>
          <w:jc w:val="center"/>
        </w:trPr>
        <w:tc>
          <w:tcPr>
            <w:tcW w:w="4479" w:type="dxa"/>
            <w:noWrap/>
            <w:tcMar>
              <w:left w:w="115" w:type="dxa"/>
              <w:right w:w="115" w:type="dxa"/>
            </w:tcMar>
            <w:vAlign w:val="center"/>
            <w:hideMark/>
          </w:tcPr>
          <w:p w14:paraId="772393C5" w14:textId="04646F8C" w:rsidR="00332FD8" w:rsidRPr="00103DDB" w:rsidRDefault="00332FD8">
            <w:pPr>
              <w:ind w:firstLine="240"/>
              <w:rPr>
                <w:rFonts w:ascii="Arial" w:hAnsi="Arial" w:cs="Arial"/>
                <w:iCs/>
                <w:lang w:val="en-GB"/>
              </w:rPr>
            </w:pPr>
            <w:r w:rsidRPr="00103DDB">
              <w:rPr>
                <w:rFonts w:ascii="Arial" w:hAnsi="Arial" w:cs="Arial"/>
                <w:iCs/>
                <w:lang w:val="en-GB"/>
              </w:rPr>
              <w:t>Depreciation rate</w:t>
            </w:r>
            <w:r w:rsidR="003C5EA1" w:rsidRPr="00103DDB">
              <w:rPr>
                <w:rFonts w:ascii="Arial" w:hAnsi="Arial" w:cs="Arial"/>
                <w:iCs/>
                <w:lang w:val="en-GB"/>
              </w:rPr>
              <w:t xml:space="preserve"> (%)</w:t>
            </w:r>
          </w:p>
        </w:tc>
        <w:tc>
          <w:tcPr>
            <w:tcW w:w="842" w:type="dxa"/>
            <w:noWrap/>
            <w:tcMar>
              <w:left w:w="115" w:type="dxa"/>
              <w:right w:w="115" w:type="dxa"/>
            </w:tcMar>
            <w:vAlign w:val="center"/>
            <w:hideMark/>
          </w:tcPr>
          <w:p w14:paraId="2AE8DF95" w14:textId="77777777" w:rsidR="00332FD8" w:rsidRPr="00103DDB" w:rsidRDefault="00332FD8">
            <w:pPr>
              <w:rPr>
                <w:rFonts w:ascii="Arial" w:hAnsi="Arial" w:cs="Arial"/>
                <w:lang w:val="en-GB"/>
              </w:rPr>
            </w:pPr>
            <w:r w:rsidRPr="00103DDB">
              <w:rPr>
                <w:rFonts w:ascii="Arial" w:hAnsi="Arial" w:cs="Arial"/>
                <w:lang w:val="en-GB"/>
              </w:rPr>
              <w:t> </w:t>
            </w:r>
          </w:p>
        </w:tc>
        <w:tc>
          <w:tcPr>
            <w:tcW w:w="900" w:type="dxa"/>
            <w:noWrap/>
            <w:tcMar>
              <w:left w:w="115" w:type="dxa"/>
              <w:right w:w="115" w:type="dxa"/>
            </w:tcMar>
            <w:vAlign w:val="center"/>
            <w:hideMark/>
          </w:tcPr>
          <w:p w14:paraId="42D62A13" w14:textId="5FF2522C" w:rsidR="00332FD8" w:rsidRPr="00103DDB" w:rsidRDefault="003C5EA1">
            <w:pPr>
              <w:jc w:val="right"/>
              <w:rPr>
                <w:rFonts w:ascii="Arial" w:hAnsi="Arial" w:cs="Arial"/>
                <w:iCs/>
                <w:lang w:val="en-GB"/>
              </w:rPr>
            </w:pPr>
            <w:r w:rsidRPr="00103DDB">
              <w:rPr>
                <w:rFonts w:ascii="Arial" w:hAnsi="Arial" w:cs="Arial"/>
                <w:iCs/>
                <w:lang w:val="en-GB"/>
              </w:rPr>
              <w:t>34</w:t>
            </w:r>
          </w:p>
        </w:tc>
        <w:tc>
          <w:tcPr>
            <w:tcW w:w="953" w:type="dxa"/>
            <w:noWrap/>
            <w:tcMar>
              <w:left w:w="115" w:type="dxa"/>
              <w:right w:w="115" w:type="dxa"/>
            </w:tcMar>
            <w:vAlign w:val="center"/>
            <w:hideMark/>
          </w:tcPr>
          <w:p w14:paraId="2D18F7AA" w14:textId="3EF9D1E0" w:rsidR="00332FD8" w:rsidRPr="00103DDB" w:rsidRDefault="003C5EA1">
            <w:pPr>
              <w:jc w:val="right"/>
              <w:rPr>
                <w:rFonts w:ascii="Arial" w:hAnsi="Arial" w:cs="Arial"/>
                <w:iCs/>
                <w:lang w:val="en-GB"/>
              </w:rPr>
            </w:pPr>
            <w:r w:rsidRPr="00103DDB">
              <w:rPr>
                <w:rFonts w:ascii="Arial" w:hAnsi="Arial" w:cs="Arial"/>
                <w:iCs/>
                <w:lang w:val="en-GB"/>
              </w:rPr>
              <w:t>18</w:t>
            </w:r>
          </w:p>
        </w:tc>
        <w:tc>
          <w:tcPr>
            <w:tcW w:w="953" w:type="dxa"/>
            <w:noWrap/>
            <w:tcMar>
              <w:left w:w="115" w:type="dxa"/>
              <w:right w:w="115" w:type="dxa"/>
            </w:tcMar>
            <w:vAlign w:val="center"/>
            <w:hideMark/>
          </w:tcPr>
          <w:p w14:paraId="31E209A7" w14:textId="2E3D938D" w:rsidR="00332FD8" w:rsidRPr="00103DDB" w:rsidRDefault="003C5EA1">
            <w:pPr>
              <w:jc w:val="right"/>
              <w:rPr>
                <w:rFonts w:ascii="Arial" w:hAnsi="Arial" w:cs="Arial"/>
                <w:iCs/>
                <w:lang w:val="en-GB"/>
              </w:rPr>
            </w:pPr>
            <w:r w:rsidRPr="00103DDB">
              <w:rPr>
                <w:rFonts w:ascii="Arial" w:hAnsi="Arial" w:cs="Arial"/>
                <w:iCs/>
                <w:lang w:val="en-GB"/>
              </w:rPr>
              <w:t>17</w:t>
            </w:r>
          </w:p>
        </w:tc>
      </w:tr>
      <w:tr w:rsidR="00332FD8" w:rsidRPr="00103DDB" w14:paraId="27720209" w14:textId="77777777" w:rsidTr="003C5EA1">
        <w:trPr>
          <w:trHeight w:val="341"/>
          <w:jc w:val="center"/>
        </w:trPr>
        <w:tc>
          <w:tcPr>
            <w:tcW w:w="4479" w:type="dxa"/>
            <w:noWrap/>
            <w:tcMar>
              <w:left w:w="115" w:type="dxa"/>
              <w:right w:w="115" w:type="dxa"/>
            </w:tcMar>
            <w:vAlign w:val="center"/>
            <w:hideMark/>
          </w:tcPr>
          <w:p w14:paraId="5818AB38" w14:textId="77777777" w:rsidR="00332FD8" w:rsidRPr="00103DDB" w:rsidRDefault="00332FD8">
            <w:pPr>
              <w:ind w:firstLine="240"/>
              <w:rPr>
                <w:rFonts w:ascii="Arial" w:hAnsi="Arial" w:cs="Arial"/>
                <w:lang w:val="en-GB"/>
              </w:rPr>
            </w:pPr>
            <w:r w:rsidRPr="00103DDB">
              <w:rPr>
                <w:rFonts w:ascii="Arial" w:hAnsi="Arial" w:cs="Arial"/>
                <w:lang w:val="en-GB"/>
              </w:rPr>
              <w:t>Intangible fixed assets (cost)</w:t>
            </w:r>
          </w:p>
        </w:tc>
        <w:tc>
          <w:tcPr>
            <w:tcW w:w="842" w:type="dxa"/>
            <w:noWrap/>
            <w:tcMar>
              <w:left w:w="115" w:type="dxa"/>
              <w:right w:w="115" w:type="dxa"/>
            </w:tcMar>
            <w:vAlign w:val="center"/>
            <w:hideMark/>
          </w:tcPr>
          <w:p w14:paraId="456D5F35" w14:textId="5D8EF39D" w:rsidR="00332FD8" w:rsidRPr="00103DDB" w:rsidRDefault="00332FD8">
            <w:pPr>
              <w:jc w:val="right"/>
              <w:rPr>
                <w:rFonts w:ascii="Arial" w:hAnsi="Arial" w:cs="Arial"/>
                <w:lang w:val="en-GB"/>
              </w:rPr>
            </w:pPr>
            <w:r w:rsidRPr="00103DDB">
              <w:rPr>
                <w:rFonts w:ascii="Arial" w:hAnsi="Arial" w:cs="Arial"/>
                <w:lang w:val="en-GB"/>
              </w:rPr>
              <w:t xml:space="preserve"> </w:t>
            </w:r>
            <w:r w:rsidR="004B46B2" w:rsidRPr="00103DDB">
              <w:rPr>
                <w:rFonts w:ascii="Arial" w:hAnsi="Arial" w:cs="Arial"/>
                <w:lang w:val="en-GB"/>
              </w:rPr>
              <w:t>–</w:t>
            </w:r>
            <w:r w:rsidRPr="00103DDB">
              <w:rPr>
                <w:rFonts w:ascii="Arial" w:hAnsi="Arial" w:cs="Arial"/>
                <w:lang w:val="en-GB"/>
              </w:rPr>
              <w:t xml:space="preserve">   </w:t>
            </w:r>
          </w:p>
        </w:tc>
        <w:tc>
          <w:tcPr>
            <w:tcW w:w="900" w:type="dxa"/>
            <w:noWrap/>
            <w:tcMar>
              <w:left w:w="115" w:type="dxa"/>
              <w:right w:w="115" w:type="dxa"/>
            </w:tcMar>
            <w:vAlign w:val="center"/>
            <w:hideMark/>
          </w:tcPr>
          <w:p w14:paraId="0FEA4242" w14:textId="5024C1CC" w:rsidR="00332FD8" w:rsidRPr="00103DDB" w:rsidRDefault="00332FD8">
            <w:pPr>
              <w:jc w:val="right"/>
              <w:rPr>
                <w:rFonts w:ascii="Arial" w:hAnsi="Arial" w:cs="Arial"/>
                <w:lang w:val="en-GB"/>
              </w:rPr>
            </w:pPr>
            <w:r w:rsidRPr="00103DDB">
              <w:rPr>
                <w:rFonts w:ascii="Arial" w:hAnsi="Arial" w:cs="Arial"/>
                <w:lang w:val="en-GB"/>
              </w:rPr>
              <w:t xml:space="preserve"> </w:t>
            </w:r>
            <w:r w:rsidR="004B46B2" w:rsidRPr="00103DDB">
              <w:rPr>
                <w:rFonts w:ascii="Arial" w:hAnsi="Arial" w:cs="Arial"/>
                <w:lang w:val="en-GB"/>
              </w:rPr>
              <w:t>–</w:t>
            </w:r>
            <w:r w:rsidRPr="00103DDB">
              <w:rPr>
                <w:rFonts w:ascii="Arial" w:hAnsi="Arial" w:cs="Arial"/>
                <w:lang w:val="en-GB"/>
              </w:rPr>
              <w:t xml:space="preserve">   </w:t>
            </w:r>
          </w:p>
        </w:tc>
        <w:tc>
          <w:tcPr>
            <w:tcW w:w="953" w:type="dxa"/>
            <w:noWrap/>
            <w:tcMar>
              <w:left w:w="115" w:type="dxa"/>
              <w:right w:w="115" w:type="dxa"/>
            </w:tcMar>
            <w:vAlign w:val="center"/>
            <w:hideMark/>
          </w:tcPr>
          <w:p w14:paraId="28FC94D3" w14:textId="2D2BA14D" w:rsidR="00332FD8" w:rsidRPr="00103DDB" w:rsidRDefault="00332FD8">
            <w:pPr>
              <w:jc w:val="right"/>
              <w:rPr>
                <w:rFonts w:ascii="Arial" w:hAnsi="Arial" w:cs="Arial"/>
                <w:lang w:val="en-GB"/>
              </w:rPr>
            </w:pPr>
            <w:r w:rsidRPr="00103DDB">
              <w:rPr>
                <w:rFonts w:ascii="Arial" w:hAnsi="Arial" w:cs="Arial"/>
                <w:lang w:val="en-GB"/>
              </w:rPr>
              <w:t xml:space="preserve"> </w:t>
            </w:r>
            <w:r w:rsidR="004B46B2" w:rsidRPr="00103DDB">
              <w:rPr>
                <w:rFonts w:ascii="Arial" w:hAnsi="Arial" w:cs="Arial"/>
                <w:lang w:val="en-GB"/>
              </w:rPr>
              <w:t>–</w:t>
            </w:r>
            <w:r w:rsidRPr="00103DDB">
              <w:rPr>
                <w:rFonts w:ascii="Arial" w:hAnsi="Arial" w:cs="Arial"/>
                <w:lang w:val="en-GB"/>
              </w:rPr>
              <w:t xml:space="preserve">   </w:t>
            </w:r>
          </w:p>
        </w:tc>
        <w:tc>
          <w:tcPr>
            <w:tcW w:w="953" w:type="dxa"/>
            <w:noWrap/>
            <w:tcMar>
              <w:left w:w="115" w:type="dxa"/>
              <w:right w:w="115" w:type="dxa"/>
            </w:tcMar>
            <w:vAlign w:val="center"/>
            <w:hideMark/>
          </w:tcPr>
          <w:p w14:paraId="7CE63AFD" w14:textId="77777777" w:rsidR="00332FD8" w:rsidRPr="00103DDB" w:rsidRDefault="00332FD8">
            <w:pPr>
              <w:jc w:val="right"/>
              <w:rPr>
                <w:rFonts w:ascii="Arial" w:hAnsi="Arial" w:cs="Arial"/>
                <w:lang w:val="en-GB"/>
              </w:rPr>
            </w:pPr>
            <w:r w:rsidRPr="00103DDB">
              <w:rPr>
                <w:rFonts w:ascii="Arial" w:hAnsi="Arial" w:cs="Arial"/>
                <w:lang w:val="en-GB"/>
              </w:rPr>
              <w:t xml:space="preserve"> 989 </w:t>
            </w:r>
          </w:p>
        </w:tc>
      </w:tr>
      <w:tr w:rsidR="00332FD8" w:rsidRPr="00103DDB" w14:paraId="46110918" w14:textId="77777777" w:rsidTr="003C5EA1">
        <w:trPr>
          <w:trHeight w:val="350"/>
          <w:jc w:val="center"/>
        </w:trPr>
        <w:tc>
          <w:tcPr>
            <w:tcW w:w="4479" w:type="dxa"/>
            <w:noWrap/>
            <w:tcMar>
              <w:left w:w="115" w:type="dxa"/>
              <w:right w:w="115" w:type="dxa"/>
            </w:tcMar>
            <w:vAlign w:val="center"/>
            <w:hideMark/>
          </w:tcPr>
          <w:p w14:paraId="5BC4CC24" w14:textId="77777777" w:rsidR="00332FD8" w:rsidRPr="00103DDB" w:rsidRDefault="00332FD8">
            <w:pPr>
              <w:ind w:firstLine="240"/>
              <w:rPr>
                <w:rFonts w:ascii="Arial" w:hAnsi="Arial" w:cs="Arial"/>
                <w:lang w:val="en-GB"/>
              </w:rPr>
            </w:pPr>
            <w:r w:rsidRPr="00103DDB">
              <w:rPr>
                <w:rFonts w:ascii="Arial" w:hAnsi="Arial" w:cs="Arial"/>
                <w:lang w:val="en-GB"/>
              </w:rPr>
              <w:t>Accumulated amortization</w:t>
            </w:r>
          </w:p>
        </w:tc>
        <w:tc>
          <w:tcPr>
            <w:tcW w:w="842" w:type="dxa"/>
            <w:noWrap/>
            <w:tcMar>
              <w:left w:w="115" w:type="dxa"/>
              <w:right w:w="115" w:type="dxa"/>
            </w:tcMar>
            <w:vAlign w:val="center"/>
            <w:hideMark/>
          </w:tcPr>
          <w:p w14:paraId="27D855C0" w14:textId="7DD7D9EA" w:rsidR="00332FD8" w:rsidRPr="00103DDB" w:rsidRDefault="00332FD8">
            <w:pPr>
              <w:jc w:val="right"/>
              <w:rPr>
                <w:rFonts w:ascii="Arial" w:hAnsi="Arial" w:cs="Arial"/>
                <w:lang w:val="en-GB"/>
              </w:rPr>
            </w:pPr>
            <w:r w:rsidRPr="00103DDB">
              <w:rPr>
                <w:rFonts w:ascii="Arial" w:hAnsi="Arial" w:cs="Arial"/>
                <w:lang w:val="en-GB"/>
              </w:rPr>
              <w:t xml:space="preserve"> </w:t>
            </w:r>
            <w:r w:rsidR="004B46B2" w:rsidRPr="00103DDB">
              <w:rPr>
                <w:rFonts w:ascii="Arial" w:hAnsi="Arial" w:cs="Arial"/>
                <w:lang w:val="en-GB"/>
              </w:rPr>
              <w:t>–</w:t>
            </w:r>
            <w:r w:rsidRPr="00103DDB">
              <w:rPr>
                <w:rFonts w:ascii="Arial" w:hAnsi="Arial" w:cs="Arial"/>
                <w:lang w:val="en-GB"/>
              </w:rPr>
              <w:t xml:space="preserve">   </w:t>
            </w:r>
          </w:p>
        </w:tc>
        <w:tc>
          <w:tcPr>
            <w:tcW w:w="900" w:type="dxa"/>
            <w:noWrap/>
            <w:tcMar>
              <w:left w:w="115" w:type="dxa"/>
              <w:right w:w="115" w:type="dxa"/>
            </w:tcMar>
            <w:vAlign w:val="center"/>
            <w:hideMark/>
          </w:tcPr>
          <w:p w14:paraId="315E63F8" w14:textId="5CCFE922" w:rsidR="00332FD8" w:rsidRPr="00103DDB" w:rsidRDefault="00332FD8">
            <w:pPr>
              <w:jc w:val="right"/>
              <w:rPr>
                <w:rFonts w:ascii="Arial" w:hAnsi="Arial" w:cs="Arial"/>
                <w:lang w:val="en-GB"/>
              </w:rPr>
            </w:pPr>
            <w:r w:rsidRPr="00103DDB">
              <w:rPr>
                <w:rFonts w:ascii="Arial" w:hAnsi="Arial" w:cs="Arial"/>
                <w:lang w:val="en-GB"/>
              </w:rPr>
              <w:t xml:space="preserve"> </w:t>
            </w:r>
            <w:r w:rsidR="004B46B2" w:rsidRPr="00103DDB">
              <w:rPr>
                <w:rFonts w:ascii="Arial" w:hAnsi="Arial" w:cs="Arial"/>
                <w:lang w:val="en-GB"/>
              </w:rPr>
              <w:t>–</w:t>
            </w:r>
            <w:r w:rsidRPr="00103DDB">
              <w:rPr>
                <w:rFonts w:ascii="Arial" w:hAnsi="Arial" w:cs="Arial"/>
                <w:lang w:val="en-GB"/>
              </w:rPr>
              <w:t xml:space="preserve">   </w:t>
            </w:r>
          </w:p>
        </w:tc>
        <w:tc>
          <w:tcPr>
            <w:tcW w:w="953" w:type="dxa"/>
            <w:noWrap/>
            <w:tcMar>
              <w:left w:w="115" w:type="dxa"/>
              <w:right w:w="115" w:type="dxa"/>
            </w:tcMar>
            <w:vAlign w:val="center"/>
            <w:hideMark/>
          </w:tcPr>
          <w:p w14:paraId="0D2DE3EF" w14:textId="69FE1425" w:rsidR="00332FD8" w:rsidRPr="00103DDB" w:rsidRDefault="00332FD8">
            <w:pPr>
              <w:jc w:val="right"/>
              <w:rPr>
                <w:rFonts w:ascii="Arial" w:hAnsi="Arial" w:cs="Arial"/>
                <w:lang w:val="en-GB"/>
              </w:rPr>
            </w:pPr>
            <w:r w:rsidRPr="00103DDB">
              <w:rPr>
                <w:rFonts w:ascii="Arial" w:hAnsi="Arial" w:cs="Arial"/>
                <w:lang w:val="en-GB"/>
              </w:rPr>
              <w:t xml:space="preserve"> -</w:t>
            </w:r>
            <w:r w:rsidR="004B46B2" w:rsidRPr="00103DDB">
              <w:rPr>
                <w:rFonts w:ascii="Arial" w:hAnsi="Arial" w:cs="Arial"/>
                <w:lang w:val="en-GB"/>
              </w:rPr>
              <w:t>–</w:t>
            </w:r>
            <w:r w:rsidRPr="00103DDB">
              <w:rPr>
                <w:rFonts w:ascii="Arial" w:hAnsi="Arial" w:cs="Arial"/>
                <w:lang w:val="en-GB"/>
              </w:rPr>
              <w:t xml:space="preserve">   </w:t>
            </w:r>
          </w:p>
        </w:tc>
        <w:tc>
          <w:tcPr>
            <w:tcW w:w="953" w:type="dxa"/>
            <w:noWrap/>
            <w:tcMar>
              <w:left w:w="115" w:type="dxa"/>
              <w:right w:w="115" w:type="dxa"/>
            </w:tcMar>
            <w:vAlign w:val="center"/>
            <w:hideMark/>
          </w:tcPr>
          <w:p w14:paraId="348DFC33" w14:textId="77777777" w:rsidR="00332FD8" w:rsidRPr="00103DDB" w:rsidRDefault="00332FD8">
            <w:pPr>
              <w:jc w:val="right"/>
              <w:rPr>
                <w:rFonts w:ascii="Arial" w:hAnsi="Arial" w:cs="Arial"/>
                <w:lang w:val="en-GB"/>
              </w:rPr>
            </w:pPr>
            <w:r w:rsidRPr="00103DDB">
              <w:rPr>
                <w:rFonts w:ascii="Arial" w:hAnsi="Arial" w:cs="Arial"/>
                <w:lang w:val="en-GB"/>
              </w:rPr>
              <w:t xml:space="preserve"> 82 </w:t>
            </w:r>
          </w:p>
        </w:tc>
      </w:tr>
      <w:tr w:rsidR="00332FD8" w:rsidRPr="00103DDB" w14:paraId="7A5EA8CC" w14:textId="77777777" w:rsidTr="003C5EA1">
        <w:trPr>
          <w:trHeight w:val="341"/>
          <w:jc w:val="center"/>
        </w:trPr>
        <w:tc>
          <w:tcPr>
            <w:tcW w:w="4479" w:type="dxa"/>
            <w:noWrap/>
            <w:tcMar>
              <w:left w:w="115" w:type="dxa"/>
              <w:right w:w="115" w:type="dxa"/>
            </w:tcMar>
            <w:vAlign w:val="center"/>
            <w:hideMark/>
          </w:tcPr>
          <w:p w14:paraId="1696AC06" w14:textId="77777777" w:rsidR="00332FD8" w:rsidRPr="00103DDB" w:rsidRDefault="00332FD8">
            <w:pPr>
              <w:ind w:firstLine="240"/>
              <w:rPr>
                <w:rFonts w:ascii="Arial" w:hAnsi="Arial" w:cs="Arial"/>
                <w:lang w:val="en-GB"/>
              </w:rPr>
            </w:pPr>
            <w:r w:rsidRPr="00103DDB">
              <w:rPr>
                <w:rFonts w:ascii="Arial" w:hAnsi="Arial" w:cs="Arial"/>
                <w:lang w:val="en-GB"/>
              </w:rPr>
              <w:t>Intangible fixed assets (net)</w:t>
            </w:r>
          </w:p>
        </w:tc>
        <w:tc>
          <w:tcPr>
            <w:tcW w:w="842" w:type="dxa"/>
            <w:noWrap/>
            <w:tcMar>
              <w:left w:w="115" w:type="dxa"/>
              <w:right w:w="115" w:type="dxa"/>
            </w:tcMar>
            <w:vAlign w:val="center"/>
            <w:hideMark/>
          </w:tcPr>
          <w:p w14:paraId="2D520E8A" w14:textId="2F2F9266" w:rsidR="00332FD8" w:rsidRPr="00103DDB" w:rsidRDefault="00332FD8">
            <w:pPr>
              <w:jc w:val="right"/>
              <w:rPr>
                <w:rFonts w:ascii="Arial" w:hAnsi="Arial" w:cs="Arial"/>
                <w:lang w:val="en-GB"/>
              </w:rPr>
            </w:pPr>
            <w:r w:rsidRPr="00103DDB">
              <w:rPr>
                <w:rFonts w:ascii="Arial" w:hAnsi="Arial" w:cs="Arial"/>
                <w:lang w:val="en-GB"/>
              </w:rPr>
              <w:t xml:space="preserve"> </w:t>
            </w:r>
            <w:r w:rsidR="004B46B2" w:rsidRPr="00103DDB">
              <w:rPr>
                <w:rFonts w:ascii="Arial" w:hAnsi="Arial" w:cs="Arial"/>
                <w:lang w:val="en-GB"/>
              </w:rPr>
              <w:t>–</w:t>
            </w:r>
            <w:r w:rsidRPr="00103DDB">
              <w:rPr>
                <w:rFonts w:ascii="Arial" w:hAnsi="Arial" w:cs="Arial"/>
                <w:lang w:val="en-GB"/>
              </w:rPr>
              <w:t xml:space="preserve">   </w:t>
            </w:r>
          </w:p>
        </w:tc>
        <w:tc>
          <w:tcPr>
            <w:tcW w:w="900" w:type="dxa"/>
            <w:noWrap/>
            <w:tcMar>
              <w:left w:w="115" w:type="dxa"/>
              <w:right w:w="115" w:type="dxa"/>
            </w:tcMar>
            <w:vAlign w:val="center"/>
            <w:hideMark/>
          </w:tcPr>
          <w:p w14:paraId="40048BFD" w14:textId="4F100CC0" w:rsidR="00332FD8" w:rsidRPr="00103DDB" w:rsidRDefault="00332FD8">
            <w:pPr>
              <w:jc w:val="right"/>
              <w:rPr>
                <w:rFonts w:ascii="Arial" w:hAnsi="Arial" w:cs="Arial"/>
                <w:lang w:val="en-GB"/>
              </w:rPr>
            </w:pPr>
            <w:r w:rsidRPr="00103DDB">
              <w:rPr>
                <w:rFonts w:ascii="Arial" w:hAnsi="Arial" w:cs="Arial"/>
                <w:lang w:val="en-GB"/>
              </w:rPr>
              <w:t xml:space="preserve"> </w:t>
            </w:r>
            <w:r w:rsidR="004B46B2" w:rsidRPr="00103DDB">
              <w:rPr>
                <w:rFonts w:ascii="Arial" w:hAnsi="Arial" w:cs="Arial"/>
                <w:lang w:val="en-GB"/>
              </w:rPr>
              <w:t>–</w:t>
            </w:r>
            <w:r w:rsidRPr="00103DDB">
              <w:rPr>
                <w:rFonts w:ascii="Arial" w:hAnsi="Arial" w:cs="Arial"/>
                <w:lang w:val="en-GB"/>
              </w:rPr>
              <w:t xml:space="preserve">   </w:t>
            </w:r>
          </w:p>
        </w:tc>
        <w:tc>
          <w:tcPr>
            <w:tcW w:w="953" w:type="dxa"/>
            <w:noWrap/>
            <w:tcMar>
              <w:left w:w="115" w:type="dxa"/>
              <w:right w:w="115" w:type="dxa"/>
            </w:tcMar>
            <w:vAlign w:val="center"/>
            <w:hideMark/>
          </w:tcPr>
          <w:p w14:paraId="097B4A2C" w14:textId="5357BE56" w:rsidR="00332FD8" w:rsidRPr="00103DDB" w:rsidRDefault="00332FD8">
            <w:pPr>
              <w:jc w:val="right"/>
              <w:rPr>
                <w:rFonts w:ascii="Arial" w:hAnsi="Arial" w:cs="Arial"/>
                <w:lang w:val="en-GB"/>
              </w:rPr>
            </w:pPr>
            <w:r w:rsidRPr="00103DDB">
              <w:rPr>
                <w:rFonts w:ascii="Arial" w:hAnsi="Arial" w:cs="Arial"/>
                <w:lang w:val="en-GB"/>
              </w:rPr>
              <w:t xml:space="preserve"> -</w:t>
            </w:r>
            <w:r w:rsidR="004B46B2" w:rsidRPr="00103DDB">
              <w:rPr>
                <w:rFonts w:ascii="Arial" w:hAnsi="Arial" w:cs="Arial"/>
                <w:lang w:val="en-GB"/>
              </w:rPr>
              <w:t>–</w:t>
            </w:r>
            <w:r w:rsidRPr="00103DDB">
              <w:rPr>
                <w:rFonts w:ascii="Arial" w:hAnsi="Arial" w:cs="Arial"/>
                <w:lang w:val="en-GB"/>
              </w:rPr>
              <w:t xml:space="preserve">   </w:t>
            </w:r>
          </w:p>
        </w:tc>
        <w:tc>
          <w:tcPr>
            <w:tcW w:w="953" w:type="dxa"/>
            <w:noWrap/>
            <w:tcMar>
              <w:left w:w="115" w:type="dxa"/>
              <w:right w:w="115" w:type="dxa"/>
            </w:tcMar>
            <w:vAlign w:val="center"/>
            <w:hideMark/>
          </w:tcPr>
          <w:p w14:paraId="59D9249E" w14:textId="77777777" w:rsidR="00332FD8" w:rsidRPr="00103DDB" w:rsidRDefault="00332FD8">
            <w:pPr>
              <w:jc w:val="right"/>
              <w:rPr>
                <w:rFonts w:ascii="Arial" w:hAnsi="Arial" w:cs="Arial"/>
                <w:lang w:val="en-GB"/>
              </w:rPr>
            </w:pPr>
            <w:r w:rsidRPr="00103DDB">
              <w:rPr>
                <w:rFonts w:ascii="Arial" w:hAnsi="Arial" w:cs="Arial"/>
                <w:lang w:val="en-GB"/>
              </w:rPr>
              <w:t xml:space="preserve"> 907 </w:t>
            </w:r>
          </w:p>
        </w:tc>
      </w:tr>
      <w:tr w:rsidR="00332FD8" w:rsidRPr="00103DDB" w14:paraId="4C2F7487" w14:textId="77777777" w:rsidTr="003C5EA1">
        <w:trPr>
          <w:trHeight w:val="368"/>
          <w:jc w:val="center"/>
        </w:trPr>
        <w:tc>
          <w:tcPr>
            <w:tcW w:w="4479" w:type="dxa"/>
            <w:noWrap/>
            <w:tcMar>
              <w:left w:w="115" w:type="dxa"/>
              <w:right w:w="115" w:type="dxa"/>
            </w:tcMar>
            <w:vAlign w:val="center"/>
            <w:hideMark/>
          </w:tcPr>
          <w:p w14:paraId="1C7E8D6D" w14:textId="77777777" w:rsidR="00332FD8" w:rsidRPr="00103DDB" w:rsidRDefault="00332FD8">
            <w:pPr>
              <w:ind w:firstLine="240"/>
              <w:rPr>
                <w:rFonts w:ascii="Arial" w:hAnsi="Arial" w:cs="Arial"/>
                <w:lang w:val="en-GB"/>
              </w:rPr>
            </w:pPr>
            <w:r w:rsidRPr="00103DDB">
              <w:rPr>
                <w:rFonts w:ascii="Arial" w:hAnsi="Arial" w:cs="Arial"/>
                <w:lang w:val="en-GB"/>
              </w:rPr>
              <w:t>Construction in progress</w:t>
            </w:r>
          </w:p>
        </w:tc>
        <w:tc>
          <w:tcPr>
            <w:tcW w:w="842" w:type="dxa"/>
            <w:noWrap/>
            <w:tcMar>
              <w:left w:w="115" w:type="dxa"/>
              <w:right w:w="115" w:type="dxa"/>
            </w:tcMar>
            <w:vAlign w:val="center"/>
            <w:hideMark/>
          </w:tcPr>
          <w:p w14:paraId="3E04570E" w14:textId="35C5F658" w:rsidR="00332FD8" w:rsidRPr="00103DDB" w:rsidRDefault="00332FD8">
            <w:pPr>
              <w:jc w:val="right"/>
              <w:rPr>
                <w:rFonts w:ascii="Arial" w:hAnsi="Arial" w:cs="Arial"/>
                <w:lang w:val="en-GB"/>
              </w:rPr>
            </w:pPr>
            <w:r w:rsidRPr="00103DDB">
              <w:rPr>
                <w:rFonts w:ascii="Arial" w:hAnsi="Arial" w:cs="Arial"/>
                <w:lang w:val="en-GB"/>
              </w:rPr>
              <w:t xml:space="preserve"> </w:t>
            </w:r>
            <w:r w:rsidR="004B46B2" w:rsidRPr="00103DDB">
              <w:rPr>
                <w:rFonts w:ascii="Arial" w:hAnsi="Arial" w:cs="Arial"/>
                <w:lang w:val="en-GB"/>
              </w:rPr>
              <w:t>–</w:t>
            </w:r>
            <w:r w:rsidRPr="00103DDB">
              <w:rPr>
                <w:rFonts w:ascii="Arial" w:hAnsi="Arial" w:cs="Arial"/>
                <w:lang w:val="en-GB"/>
              </w:rPr>
              <w:t xml:space="preserve">   </w:t>
            </w:r>
          </w:p>
        </w:tc>
        <w:tc>
          <w:tcPr>
            <w:tcW w:w="900" w:type="dxa"/>
            <w:noWrap/>
            <w:tcMar>
              <w:left w:w="115" w:type="dxa"/>
              <w:right w:w="115" w:type="dxa"/>
            </w:tcMar>
            <w:vAlign w:val="center"/>
            <w:hideMark/>
          </w:tcPr>
          <w:p w14:paraId="478C805D" w14:textId="06886A95" w:rsidR="00332FD8" w:rsidRPr="00103DDB" w:rsidRDefault="00332FD8">
            <w:pPr>
              <w:jc w:val="right"/>
              <w:rPr>
                <w:rFonts w:ascii="Arial" w:hAnsi="Arial" w:cs="Arial"/>
                <w:lang w:val="en-GB"/>
              </w:rPr>
            </w:pPr>
            <w:r w:rsidRPr="00103DDB">
              <w:rPr>
                <w:rFonts w:ascii="Arial" w:hAnsi="Arial" w:cs="Arial"/>
                <w:lang w:val="en-GB"/>
              </w:rPr>
              <w:t xml:space="preserve"> </w:t>
            </w:r>
            <w:r w:rsidR="004B46B2" w:rsidRPr="00103DDB">
              <w:rPr>
                <w:rFonts w:ascii="Arial" w:hAnsi="Arial" w:cs="Arial"/>
                <w:lang w:val="en-GB"/>
              </w:rPr>
              <w:t>–</w:t>
            </w:r>
            <w:r w:rsidRPr="00103DDB">
              <w:rPr>
                <w:rFonts w:ascii="Arial" w:hAnsi="Arial" w:cs="Arial"/>
                <w:lang w:val="en-GB"/>
              </w:rPr>
              <w:t xml:space="preserve">   </w:t>
            </w:r>
          </w:p>
        </w:tc>
        <w:tc>
          <w:tcPr>
            <w:tcW w:w="953" w:type="dxa"/>
            <w:noWrap/>
            <w:tcMar>
              <w:left w:w="115" w:type="dxa"/>
              <w:right w:w="115" w:type="dxa"/>
            </w:tcMar>
            <w:vAlign w:val="center"/>
            <w:hideMark/>
          </w:tcPr>
          <w:p w14:paraId="7425462D" w14:textId="77777777" w:rsidR="00332FD8" w:rsidRPr="00103DDB" w:rsidRDefault="00332FD8">
            <w:pPr>
              <w:jc w:val="right"/>
              <w:rPr>
                <w:rFonts w:ascii="Arial" w:hAnsi="Arial" w:cs="Arial"/>
                <w:lang w:val="en-GB"/>
              </w:rPr>
            </w:pPr>
            <w:r w:rsidRPr="00103DDB">
              <w:rPr>
                <w:rFonts w:ascii="Arial" w:hAnsi="Arial" w:cs="Arial"/>
                <w:lang w:val="en-GB"/>
              </w:rPr>
              <w:t xml:space="preserve"> 150 </w:t>
            </w:r>
          </w:p>
        </w:tc>
        <w:tc>
          <w:tcPr>
            <w:tcW w:w="953" w:type="dxa"/>
            <w:noWrap/>
            <w:tcMar>
              <w:left w:w="115" w:type="dxa"/>
              <w:right w:w="115" w:type="dxa"/>
            </w:tcMar>
            <w:vAlign w:val="center"/>
            <w:hideMark/>
          </w:tcPr>
          <w:p w14:paraId="550216BF" w14:textId="77777777" w:rsidR="00332FD8" w:rsidRPr="00103DDB" w:rsidRDefault="00332FD8">
            <w:pPr>
              <w:jc w:val="right"/>
              <w:rPr>
                <w:rFonts w:ascii="Arial" w:hAnsi="Arial" w:cs="Arial"/>
                <w:lang w:val="en-GB"/>
              </w:rPr>
            </w:pPr>
            <w:r w:rsidRPr="00103DDB">
              <w:rPr>
                <w:rFonts w:ascii="Arial" w:hAnsi="Arial" w:cs="Arial"/>
                <w:lang w:val="en-GB"/>
              </w:rPr>
              <w:t xml:space="preserve"> 185 </w:t>
            </w:r>
          </w:p>
        </w:tc>
      </w:tr>
      <w:tr w:rsidR="00332FD8" w:rsidRPr="00103DDB" w14:paraId="078EA74C" w14:textId="77777777" w:rsidTr="003C5EA1">
        <w:trPr>
          <w:trHeight w:val="341"/>
          <w:jc w:val="center"/>
        </w:trPr>
        <w:tc>
          <w:tcPr>
            <w:tcW w:w="4479" w:type="dxa"/>
            <w:noWrap/>
            <w:tcMar>
              <w:left w:w="115" w:type="dxa"/>
              <w:right w:w="115" w:type="dxa"/>
            </w:tcMar>
            <w:vAlign w:val="center"/>
            <w:hideMark/>
          </w:tcPr>
          <w:p w14:paraId="53964266" w14:textId="77777777" w:rsidR="00332FD8" w:rsidRPr="00103DDB" w:rsidRDefault="00332FD8">
            <w:pPr>
              <w:ind w:firstLine="240"/>
              <w:rPr>
                <w:rFonts w:ascii="Arial" w:hAnsi="Arial" w:cs="Arial"/>
                <w:lang w:val="en-GB"/>
              </w:rPr>
            </w:pPr>
            <w:r w:rsidRPr="00103DDB">
              <w:rPr>
                <w:rFonts w:ascii="Arial" w:hAnsi="Arial" w:cs="Arial"/>
                <w:lang w:val="en-GB"/>
              </w:rPr>
              <w:t>Other long-term assets</w:t>
            </w:r>
          </w:p>
        </w:tc>
        <w:tc>
          <w:tcPr>
            <w:tcW w:w="842" w:type="dxa"/>
            <w:noWrap/>
            <w:tcMar>
              <w:left w:w="115" w:type="dxa"/>
              <w:right w:w="115" w:type="dxa"/>
            </w:tcMar>
            <w:vAlign w:val="center"/>
            <w:hideMark/>
          </w:tcPr>
          <w:p w14:paraId="467E1759" w14:textId="77777777" w:rsidR="00332FD8" w:rsidRPr="00103DDB" w:rsidRDefault="00332FD8">
            <w:pPr>
              <w:jc w:val="right"/>
              <w:rPr>
                <w:rFonts w:ascii="Arial" w:hAnsi="Arial" w:cs="Arial"/>
                <w:lang w:val="en-GB"/>
              </w:rPr>
            </w:pPr>
            <w:r w:rsidRPr="00103DDB">
              <w:rPr>
                <w:rFonts w:ascii="Arial" w:hAnsi="Arial" w:cs="Arial"/>
                <w:lang w:val="en-GB"/>
              </w:rPr>
              <w:t xml:space="preserve"> 570 </w:t>
            </w:r>
          </w:p>
        </w:tc>
        <w:tc>
          <w:tcPr>
            <w:tcW w:w="900" w:type="dxa"/>
            <w:noWrap/>
            <w:tcMar>
              <w:left w:w="115" w:type="dxa"/>
              <w:right w:w="115" w:type="dxa"/>
            </w:tcMar>
            <w:vAlign w:val="center"/>
            <w:hideMark/>
          </w:tcPr>
          <w:p w14:paraId="6E52986E" w14:textId="77777777" w:rsidR="00332FD8" w:rsidRPr="00103DDB" w:rsidRDefault="00332FD8">
            <w:pPr>
              <w:jc w:val="right"/>
              <w:rPr>
                <w:rFonts w:ascii="Arial" w:hAnsi="Arial" w:cs="Arial"/>
                <w:lang w:val="en-GB"/>
              </w:rPr>
            </w:pPr>
            <w:r w:rsidRPr="00103DDB">
              <w:rPr>
                <w:rFonts w:ascii="Arial" w:hAnsi="Arial" w:cs="Arial"/>
                <w:lang w:val="en-GB"/>
              </w:rPr>
              <w:t xml:space="preserve"> 2,405 </w:t>
            </w:r>
          </w:p>
        </w:tc>
        <w:tc>
          <w:tcPr>
            <w:tcW w:w="953" w:type="dxa"/>
            <w:noWrap/>
            <w:tcMar>
              <w:left w:w="115" w:type="dxa"/>
              <w:right w:w="115" w:type="dxa"/>
            </w:tcMar>
            <w:vAlign w:val="center"/>
            <w:hideMark/>
          </w:tcPr>
          <w:p w14:paraId="71AEB1C3" w14:textId="77777777" w:rsidR="00332FD8" w:rsidRPr="00103DDB" w:rsidRDefault="00332FD8">
            <w:pPr>
              <w:jc w:val="right"/>
              <w:rPr>
                <w:rFonts w:ascii="Arial" w:hAnsi="Arial" w:cs="Arial"/>
                <w:lang w:val="en-GB"/>
              </w:rPr>
            </w:pPr>
            <w:r w:rsidRPr="00103DDB">
              <w:rPr>
                <w:rFonts w:ascii="Arial" w:hAnsi="Arial" w:cs="Arial"/>
                <w:lang w:val="en-GB"/>
              </w:rPr>
              <w:t xml:space="preserve"> 9,854 </w:t>
            </w:r>
          </w:p>
        </w:tc>
        <w:tc>
          <w:tcPr>
            <w:tcW w:w="953" w:type="dxa"/>
            <w:noWrap/>
            <w:tcMar>
              <w:left w:w="115" w:type="dxa"/>
              <w:right w:w="115" w:type="dxa"/>
            </w:tcMar>
            <w:vAlign w:val="center"/>
            <w:hideMark/>
          </w:tcPr>
          <w:p w14:paraId="55E68524" w14:textId="77777777" w:rsidR="00332FD8" w:rsidRPr="00103DDB" w:rsidRDefault="00332FD8">
            <w:pPr>
              <w:jc w:val="right"/>
              <w:rPr>
                <w:rFonts w:ascii="Arial" w:hAnsi="Arial" w:cs="Arial"/>
                <w:lang w:val="en-GB"/>
              </w:rPr>
            </w:pPr>
            <w:r w:rsidRPr="00103DDB">
              <w:rPr>
                <w:rFonts w:ascii="Arial" w:hAnsi="Arial" w:cs="Arial"/>
                <w:lang w:val="en-GB"/>
              </w:rPr>
              <w:t xml:space="preserve"> 18,338 </w:t>
            </w:r>
          </w:p>
        </w:tc>
      </w:tr>
      <w:tr w:rsidR="00332FD8" w:rsidRPr="00103DDB" w14:paraId="480F3663" w14:textId="77777777" w:rsidTr="003C5EA1">
        <w:trPr>
          <w:trHeight w:val="350"/>
          <w:jc w:val="center"/>
        </w:trPr>
        <w:tc>
          <w:tcPr>
            <w:tcW w:w="4479" w:type="dxa"/>
            <w:noWrap/>
            <w:tcMar>
              <w:left w:w="115" w:type="dxa"/>
              <w:right w:w="115" w:type="dxa"/>
            </w:tcMar>
            <w:vAlign w:val="center"/>
            <w:hideMark/>
          </w:tcPr>
          <w:p w14:paraId="06B4D3B2" w14:textId="77777777" w:rsidR="00332FD8" w:rsidRPr="00103DDB" w:rsidRDefault="00332FD8">
            <w:pPr>
              <w:rPr>
                <w:rFonts w:ascii="Arial" w:hAnsi="Arial" w:cs="Arial"/>
                <w:b/>
                <w:bCs/>
                <w:lang w:val="en-GB"/>
              </w:rPr>
            </w:pPr>
            <w:r w:rsidRPr="00103DDB">
              <w:rPr>
                <w:rFonts w:ascii="Arial" w:hAnsi="Arial" w:cs="Arial"/>
                <w:b/>
                <w:bCs/>
                <w:lang w:val="en-GB"/>
              </w:rPr>
              <w:t>TOTAL ASSETS</w:t>
            </w:r>
          </w:p>
        </w:tc>
        <w:tc>
          <w:tcPr>
            <w:tcW w:w="842" w:type="dxa"/>
            <w:noWrap/>
            <w:tcMar>
              <w:left w:w="115" w:type="dxa"/>
              <w:right w:w="115" w:type="dxa"/>
            </w:tcMar>
            <w:vAlign w:val="center"/>
            <w:hideMark/>
          </w:tcPr>
          <w:p w14:paraId="622A1945" w14:textId="77777777" w:rsidR="00332FD8" w:rsidRPr="00103DDB" w:rsidRDefault="00332FD8">
            <w:pPr>
              <w:jc w:val="right"/>
              <w:rPr>
                <w:rFonts w:ascii="Arial" w:hAnsi="Arial" w:cs="Arial"/>
                <w:b/>
                <w:bCs/>
                <w:lang w:val="en-GB"/>
              </w:rPr>
            </w:pPr>
            <w:r w:rsidRPr="00103DDB">
              <w:rPr>
                <w:rFonts w:ascii="Arial" w:hAnsi="Arial" w:cs="Arial"/>
                <w:b/>
                <w:bCs/>
                <w:lang w:val="en-GB"/>
              </w:rPr>
              <w:t xml:space="preserve"> 9,909 </w:t>
            </w:r>
          </w:p>
        </w:tc>
        <w:tc>
          <w:tcPr>
            <w:tcW w:w="900" w:type="dxa"/>
            <w:noWrap/>
            <w:tcMar>
              <w:left w:w="115" w:type="dxa"/>
              <w:right w:w="115" w:type="dxa"/>
            </w:tcMar>
            <w:vAlign w:val="center"/>
            <w:hideMark/>
          </w:tcPr>
          <w:p w14:paraId="04186275" w14:textId="77777777" w:rsidR="00332FD8" w:rsidRPr="00103DDB" w:rsidRDefault="00332FD8">
            <w:pPr>
              <w:jc w:val="right"/>
              <w:rPr>
                <w:rFonts w:ascii="Arial" w:hAnsi="Arial" w:cs="Arial"/>
                <w:b/>
                <w:bCs/>
                <w:lang w:val="en-GB"/>
              </w:rPr>
            </w:pPr>
            <w:r w:rsidRPr="00103DDB">
              <w:rPr>
                <w:rFonts w:ascii="Arial" w:hAnsi="Arial" w:cs="Arial"/>
                <w:b/>
                <w:bCs/>
                <w:lang w:val="en-GB"/>
              </w:rPr>
              <w:t xml:space="preserve"> 39,721 </w:t>
            </w:r>
          </w:p>
        </w:tc>
        <w:tc>
          <w:tcPr>
            <w:tcW w:w="953" w:type="dxa"/>
            <w:noWrap/>
            <w:tcMar>
              <w:left w:w="115" w:type="dxa"/>
              <w:right w:w="115" w:type="dxa"/>
            </w:tcMar>
            <w:vAlign w:val="center"/>
            <w:hideMark/>
          </w:tcPr>
          <w:p w14:paraId="3685D5AE" w14:textId="77777777" w:rsidR="00332FD8" w:rsidRPr="00103DDB" w:rsidRDefault="00332FD8">
            <w:pPr>
              <w:jc w:val="right"/>
              <w:rPr>
                <w:rFonts w:ascii="Arial" w:hAnsi="Arial" w:cs="Arial"/>
                <w:b/>
                <w:bCs/>
                <w:lang w:val="en-GB"/>
              </w:rPr>
            </w:pPr>
            <w:r w:rsidRPr="00103DDB">
              <w:rPr>
                <w:rFonts w:ascii="Arial" w:hAnsi="Arial" w:cs="Arial"/>
                <w:b/>
                <w:bCs/>
                <w:lang w:val="en-GB"/>
              </w:rPr>
              <w:t xml:space="preserve">119,542 </w:t>
            </w:r>
          </w:p>
        </w:tc>
        <w:tc>
          <w:tcPr>
            <w:tcW w:w="953" w:type="dxa"/>
            <w:noWrap/>
            <w:tcMar>
              <w:left w:w="115" w:type="dxa"/>
              <w:right w:w="115" w:type="dxa"/>
            </w:tcMar>
            <w:vAlign w:val="center"/>
            <w:hideMark/>
          </w:tcPr>
          <w:p w14:paraId="4763505F" w14:textId="77777777" w:rsidR="00332FD8" w:rsidRPr="00103DDB" w:rsidRDefault="00332FD8">
            <w:pPr>
              <w:jc w:val="right"/>
              <w:rPr>
                <w:rFonts w:ascii="Arial" w:hAnsi="Arial" w:cs="Arial"/>
                <w:b/>
                <w:bCs/>
                <w:lang w:val="en-GB"/>
              </w:rPr>
            </w:pPr>
            <w:r w:rsidRPr="00103DDB">
              <w:rPr>
                <w:rFonts w:ascii="Arial" w:hAnsi="Arial" w:cs="Arial"/>
                <w:b/>
                <w:bCs/>
                <w:lang w:val="en-GB"/>
              </w:rPr>
              <w:t xml:space="preserve">179,274 </w:t>
            </w:r>
          </w:p>
        </w:tc>
      </w:tr>
      <w:tr w:rsidR="00332FD8" w:rsidRPr="00103DDB" w14:paraId="0C918818" w14:textId="77777777" w:rsidTr="003C5EA1">
        <w:trPr>
          <w:trHeight w:val="341"/>
          <w:jc w:val="center"/>
        </w:trPr>
        <w:tc>
          <w:tcPr>
            <w:tcW w:w="4479" w:type="dxa"/>
            <w:noWrap/>
            <w:tcMar>
              <w:left w:w="115" w:type="dxa"/>
              <w:right w:w="115" w:type="dxa"/>
            </w:tcMar>
            <w:vAlign w:val="center"/>
            <w:hideMark/>
          </w:tcPr>
          <w:p w14:paraId="0AA640B2" w14:textId="77777777" w:rsidR="00332FD8" w:rsidRPr="00103DDB" w:rsidRDefault="00332FD8">
            <w:pPr>
              <w:rPr>
                <w:rFonts w:ascii="Arial" w:hAnsi="Arial" w:cs="Arial"/>
                <w:b/>
                <w:bCs/>
                <w:lang w:val="en-GB"/>
              </w:rPr>
            </w:pPr>
            <w:r w:rsidRPr="00103DDB">
              <w:rPr>
                <w:rFonts w:ascii="Arial" w:hAnsi="Arial" w:cs="Arial"/>
                <w:b/>
                <w:bCs/>
                <w:lang w:val="en-GB"/>
              </w:rPr>
              <w:t>Current liabilities</w:t>
            </w:r>
          </w:p>
        </w:tc>
        <w:tc>
          <w:tcPr>
            <w:tcW w:w="842" w:type="dxa"/>
            <w:noWrap/>
            <w:tcMar>
              <w:left w:w="115" w:type="dxa"/>
              <w:right w:w="115" w:type="dxa"/>
            </w:tcMar>
            <w:vAlign w:val="center"/>
            <w:hideMark/>
          </w:tcPr>
          <w:p w14:paraId="270CA024" w14:textId="77777777" w:rsidR="00332FD8" w:rsidRPr="00103DDB" w:rsidRDefault="00332FD8">
            <w:pPr>
              <w:jc w:val="right"/>
              <w:rPr>
                <w:rFonts w:ascii="Arial" w:hAnsi="Arial" w:cs="Arial"/>
                <w:b/>
                <w:bCs/>
                <w:lang w:val="en-GB"/>
              </w:rPr>
            </w:pPr>
            <w:r w:rsidRPr="00103DDB">
              <w:rPr>
                <w:rFonts w:ascii="Arial" w:hAnsi="Arial" w:cs="Arial"/>
                <w:b/>
                <w:bCs/>
                <w:lang w:val="en-GB"/>
              </w:rPr>
              <w:t xml:space="preserve"> 4,852 </w:t>
            </w:r>
          </w:p>
        </w:tc>
        <w:tc>
          <w:tcPr>
            <w:tcW w:w="900" w:type="dxa"/>
            <w:noWrap/>
            <w:tcMar>
              <w:left w:w="115" w:type="dxa"/>
              <w:right w:w="115" w:type="dxa"/>
            </w:tcMar>
            <w:vAlign w:val="center"/>
            <w:hideMark/>
          </w:tcPr>
          <w:p w14:paraId="2A6856C0" w14:textId="77777777" w:rsidR="00332FD8" w:rsidRPr="00103DDB" w:rsidRDefault="00332FD8">
            <w:pPr>
              <w:jc w:val="right"/>
              <w:rPr>
                <w:rFonts w:ascii="Arial" w:hAnsi="Arial" w:cs="Arial"/>
                <w:b/>
                <w:bCs/>
                <w:lang w:val="en-GB"/>
              </w:rPr>
            </w:pPr>
            <w:r w:rsidRPr="00103DDB">
              <w:rPr>
                <w:rFonts w:ascii="Arial" w:hAnsi="Arial" w:cs="Arial"/>
                <w:b/>
                <w:bCs/>
                <w:lang w:val="en-GB"/>
              </w:rPr>
              <w:t xml:space="preserve"> 30,938 </w:t>
            </w:r>
          </w:p>
        </w:tc>
        <w:tc>
          <w:tcPr>
            <w:tcW w:w="953" w:type="dxa"/>
            <w:noWrap/>
            <w:tcMar>
              <w:left w:w="115" w:type="dxa"/>
              <w:right w:w="115" w:type="dxa"/>
            </w:tcMar>
            <w:vAlign w:val="center"/>
            <w:hideMark/>
          </w:tcPr>
          <w:p w14:paraId="7FD4DD23" w14:textId="77777777" w:rsidR="00332FD8" w:rsidRPr="00103DDB" w:rsidRDefault="00332FD8">
            <w:pPr>
              <w:jc w:val="right"/>
              <w:rPr>
                <w:rFonts w:ascii="Arial" w:hAnsi="Arial" w:cs="Arial"/>
                <w:b/>
                <w:bCs/>
                <w:lang w:val="en-GB"/>
              </w:rPr>
            </w:pPr>
            <w:r w:rsidRPr="00103DDB">
              <w:rPr>
                <w:rFonts w:ascii="Arial" w:hAnsi="Arial" w:cs="Arial"/>
                <w:b/>
                <w:bCs/>
                <w:lang w:val="en-GB"/>
              </w:rPr>
              <w:t xml:space="preserve"> 50,317 </w:t>
            </w:r>
          </w:p>
        </w:tc>
        <w:tc>
          <w:tcPr>
            <w:tcW w:w="953" w:type="dxa"/>
            <w:noWrap/>
            <w:tcMar>
              <w:left w:w="115" w:type="dxa"/>
              <w:right w:w="115" w:type="dxa"/>
            </w:tcMar>
            <w:vAlign w:val="center"/>
            <w:hideMark/>
          </w:tcPr>
          <w:p w14:paraId="24347C4E" w14:textId="77777777" w:rsidR="00332FD8" w:rsidRPr="00103DDB" w:rsidRDefault="00332FD8">
            <w:pPr>
              <w:jc w:val="right"/>
              <w:rPr>
                <w:rFonts w:ascii="Arial" w:hAnsi="Arial" w:cs="Arial"/>
                <w:b/>
                <w:bCs/>
                <w:lang w:val="en-GB"/>
              </w:rPr>
            </w:pPr>
            <w:r w:rsidRPr="00103DDB">
              <w:rPr>
                <w:rFonts w:ascii="Arial" w:hAnsi="Arial" w:cs="Arial"/>
                <w:b/>
                <w:bCs/>
                <w:lang w:val="en-GB"/>
              </w:rPr>
              <w:t xml:space="preserve">114,702 </w:t>
            </w:r>
          </w:p>
        </w:tc>
      </w:tr>
      <w:tr w:rsidR="00332FD8" w:rsidRPr="00103DDB" w14:paraId="2E33259B" w14:textId="77777777" w:rsidTr="003C5EA1">
        <w:trPr>
          <w:trHeight w:val="368"/>
          <w:jc w:val="center"/>
        </w:trPr>
        <w:tc>
          <w:tcPr>
            <w:tcW w:w="4479" w:type="dxa"/>
            <w:noWrap/>
            <w:tcMar>
              <w:left w:w="115" w:type="dxa"/>
              <w:right w:w="115" w:type="dxa"/>
            </w:tcMar>
            <w:vAlign w:val="center"/>
            <w:hideMark/>
          </w:tcPr>
          <w:p w14:paraId="461EA655" w14:textId="77777777" w:rsidR="00332FD8" w:rsidRPr="00103DDB" w:rsidRDefault="00332FD8">
            <w:pPr>
              <w:ind w:firstLine="240"/>
              <w:rPr>
                <w:rFonts w:ascii="Arial" w:hAnsi="Arial" w:cs="Arial"/>
                <w:lang w:val="en-GB"/>
              </w:rPr>
            </w:pPr>
            <w:r w:rsidRPr="00103DDB">
              <w:rPr>
                <w:rFonts w:ascii="Arial" w:hAnsi="Arial" w:cs="Arial"/>
                <w:lang w:val="en-GB"/>
              </w:rPr>
              <w:t>Short-term loans</w:t>
            </w:r>
          </w:p>
        </w:tc>
        <w:tc>
          <w:tcPr>
            <w:tcW w:w="842" w:type="dxa"/>
            <w:noWrap/>
            <w:tcMar>
              <w:left w:w="115" w:type="dxa"/>
              <w:right w:w="115" w:type="dxa"/>
            </w:tcMar>
            <w:vAlign w:val="center"/>
            <w:hideMark/>
          </w:tcPr>
          <w:p w14:paraId="20DFEBC3" w14:textId="3A6D9D16" w:rsidR="00332FD8" w:rsidRPr="00103DDB" w:rsidRDefault="00332FD8">
            <w:pPr>
              <w:jc w:val="right"/>
              <w:rPr>
                <w:rFonts w:ascii="Arial" w:hAnsi="Arial" w:cs="Arial"/>
                <w:lang w:val="en-GB"/>
              </w:rPr>
            </w:pPr>
            <w:r w:rsidRPr="00103DDB">
              <w:rPr>
                <w:rFonts w:ascii="Arial" w:hAnsi="Arial" w:cs="Arial"/>
                <w:lang w:val="en-GB"/>
              </w:rPr>
              <w:t xml:space="preserve"> </w:t>
            </w:r>
            <w:r w:rsidR="004B46B2" w:rsidRPr="00103DDB">
              <w:rPr>
                <w:rFonts w:ascii="Arial" w:hAnsi="Arial" w:cs="Arial"/>
                <w:lang w:val="en-GB"/>
              </w:rPr>
              <w:t>–</w:t>
            </w:r>
            <w:r w:rsidRPr="00103DDB">
              <w:rPr>
                <w:rFonts w:ascii="Arial" w:hAnsi="Arial" w:cs="Arial"/>
                <w:lang w:val="en-GB"/>
              </w:rPr>
              <w:t xml:space="preserve">   </w:t>
            </w:r>
          </w:p>
        </w:tc>
        <w:tc>
          <w:tcPr>
            <w:tcW w:w="900" w:type="dxa"/>
            <w:noWrap/>
            <w:tcMar>
              <w:left w:w="115" w:type="dxa"/>
              <w:right w:w="115" w:type="dxa"/>
            </w:tcMar>
            <w:vAlign w:val="center"/>
            <w:hideMark/>
          </w:tcPr>
          <w:p w14:paraId="49646C5C" w14:textId="77777777" w:rsidR="00332FD8" w:rsidRPr="00103DDB" w:rsidRDefault="00332FD8">
            <w:pPr>
              <w:jc w:val="right"/>
              <w:rPr>
                <w:rFonts w:ascii="Arial" w:hAnsi="Arial" w:cs="Arial"/>
                <w:lang w:val="en-GB"/>
              </w:rPr>
            </w:pPr>
            <w:r w:rsidRPr="00103DDB">
              <w:rPr>
                <w:rFonts w:ascii="Arial" w:hAnsi="Arial" w:cs="Arial"/>
                <w:lang w:val="en-GB"/>
              </w:rPr>
              <w:t xml:space="preserve"> 1,200 </w:t>
            </w:r>
          </w:p>
        </w:tc>
        <w:tc>
          <w:tcPr>
            <w:tcW w:w="953" w:type="dxa"/>
            <w:noWrap/>
            <w:tcMar>
              <w:left w:w="115" w:type="dxa"/>
              <w:right w:w="115" w:type="dxa"/>
            </w:tcMar>
            <w:vAlign w:val="center"/>
            <w:hideMark/>
          </w:tcPr>
          <w:p w14:paraId="2C9DDB11" w14:textId="77777777" w:rsidR="00332FD8" w:rsidRPr="00103DDB" w:rsidRDefault="00332FD8">
            <w:pPr>
              <w:jc w:val="right"/>
              <w:rPr>
                <w:rFonts w:ascii="Arial" w:hAnsi="Arial" w:cs="Arial"/>
                <w:lang w:val="en-GB"/>
              </w:rPr>
            </w:pPr>
            <w:r w:rsidRPr="00103DDB">
              <w:rPr>
                <w:rFonts w:ascii="Arial" w:hAnsi="Arial" w:cs="Arial"/>
                <w:lang w:val="en-GB"/>
              </w:rPr>
              <w:t xml:space="preserve"> 680 </w:t>
            </w:r>
          </w:p>
        </w:tc>
        <w:tc>
          <w:tcPr>
            <w:tcW w:w="953" w:type="dxa"/>
            <w:noWrap/>
            <w:tcMar>
              <w:left w:w="115" w:type="dxa"/>
              <w:right w:w="115" w:type="dxa"/>
            </w:tcMar>
            <w:vAlign w:val="center"/>
            <w:hideMark/>
          </w:tcPr>
          <w:p w14:paraId="3EE9E641" w14:textId="77777777" w:rsidR="00332FD8" w:rsidRPr="00103DDB" w:rsidRDefault="00332FD8">
            <w:pPr>
              <w:jc w:val="right"/>
              <w:rPr>
                <w:rFonts w:ascii="Arial" w:hAnsi="Arial" w:cs="Arial"/>
                <w:lang w:val="en-GB"/>
              </w:rPr>
            </w:pPr>
            <w:r w:rsidRPr="00103DDB">
              <w:rPr>
                <w:rFonts w:ascii="Arial" w:hAnsi="Arial" w:cs="Arial"/>
                <w:lang w:val="en-GB"/>
              </w:rPr>
              <w:t xml:space="preserve"> 24,012 </w:t>
            </w:r>
          </w:p>
        </w:tc>
      </w:tr>
      <w:tr w:rsidR="00332FD8" w:rsidRPr="00103DDB" w14:paraId="0A402AFB" w14:textId="77777777" w:rsidTr="003C5EA1">
        <w:trPr>
          <w:trHeight w:val="341"/>
          <w:jc w:val="center"/>
        </w:trPr>
        <w:tc>
          <w:tcPr>
            <w:tcW w:w="4479" w:type="dxa"/>
            <w:noWrap/>
            <w:tcMar>
              <w:left w:w="115" w:type="dxa"/>
              <w:right w:w="115" w:type="dxa"/>
            </w:tcMar>
            <w:vAlign w:val="center"/>
            <w:hideMark/>
          </w:tcPr>
          <w:p w14:paraId="7B36648D" w14:textId="77777777" w:rsidR="00332FD8" w:rsidRPr="00103DDB" w:rsidRDefault="00332FD8">
            <w:pPr>
              <w:ind w:firstLine="240"/>
              <w:rPr>
                <w:rFonts w:ascii="Arial" w:hAnsi="Arial" w:cs="Arial"/>
                <w:lang w:val="en-GB"/>
              </w:rPr>
            </w:pPr>
            <w:r w:rsidRPr="00103DDB">
              <w:rPr>
                <w:rFonts w:ascii="Arial" w:hAnsi="Arial" w:cs="Arial"/>
                <w:lang w:val="en-GB"/>
              </w:rPr>
              <w:t>Trade accounts payable</w:t>
            </w:r>
          </w:p>
        </w:tc>
        <w:tc>
          <w:tcPr>
            <w:tcW w:w="842" w:type="dxa"/>
            <w:noWrap/>
            <w:tcMar>
              <w:left w:w="115" w:type="dxa"/>
              <w:right w:w="115" w:type="dxa"/>
            </w:tcMar>
            <w:vAlign w:val="center"/>
            <w:hideMark/>
          </w:tcPr>
          <w:p w14:paraId="70BC6CBB" w14:textId="77777777" w:rsidR="00332FD8" w:rsidRPr="00103DDB" w:rsidRDefault="00332FD8">
            <w:pPr>
              <w:jc w:val="right"/>
              <w:rPr>
                <w:rFonts w:ascii="Arial" w:hAnsi="Arial" w:cs="Arial"/>
                <w:lang w:val="en-GB"/>
              </w:rPr>
            </w:pPr>
            <w:r w:rsidRPr="00103DDB">
              <w:rPr>
                <w:rFonts w:ascii="Arial" w:hAnsi="Arial" w:cs="Arial"/>
                <w:lang w:val="en-GB"/>
              </w:rPr>
              <w:t xml:space="preserve"> 4,744 </w:t>
            </w:r>
          </w:p>
        </w:tc>
        <w:tc>
          <w:tcPr>
            <w:tcW w:w="900" w:type="dxa"/>
            <w:noWrap/>
            <w:tcMar>
              <w:left w:w="115" w:type="dxa"/>
              <w:right w:w="115" w:type="dxa"/>
            </w:tcMar>
            <w:vAlign w:val="center"/>
            <w:hideMark/>
          </w:tcPr>
          <w:p w14:paraId="07A4375A" w14:textId="77777777" w:rsidR="00332FD8" w:rsidRPr="00103DDB" w:rsidRDefault="00332FD8">
            <w:pPr>
              <w:jc w:val="right"/>
              <w:rPr>
                <w:rFonts w:ascii="Arial" w:hAnsi="Arial" w:cs="Arial"/>
                <w:lang w:val="en-GB"/>
              </w:rPr>
            </w:pPr>
            <w:r w:rsidRPr="00103DDB">
              <w:rPr>
                <w:rFonts w:ascii="Arial" w:hAnsi="Arial" w:cs="Arial"/>
                <w:lang w:val="en-GB"/>
              </w:rPr>
              <w:t xml:space="preserve"> 28,436 </w:t>
            </w:r>
          </w:p>
        </w:tc>
        <w:tc>
          <w:tcPr>
            <w:tcW w:w="953" w:type="dxa"/>
            <w:noWrap/>
            <w:tcMar>
              <w:left w:w="115" w:type="dxa"/>
              <w:right w:w="115" w:type="dxa"/>
            </w:tcMar>
            <w:vAlign w:val="center"/>
            <w:hideMark/>
          </w:tcPr>
          <w:p w14:paraId="41EC1D16" w14:textId="77777777" w:rsidR="00332FD8" w:rsidRPr="00103DDB" w:rsidRDefault="00332FD8">
            <w:pPr>
              <w:jc w:val="right"/>
              <w:rPr>
                <w:rFonts w:ascii="Arial" w:hAnsi="Arial" w:cs="Arial"/>
                <w:lang w:val="en-GB"/>
              </w:rPr>
            </w:pPr>
            <w:r w:rsidRPr="00103DDB">
              <w:rPr>
                <w:rFonts w:ascii="Arial" w:hAnsi="Arial" w:cs="Arial"/>
                <w:lang w:val="en-GB"/>
              </w:rPr>
              <w:t xml:space="preserve"> 45,242 </w:t>
            </w:r>
          </w:p>
        </w:tc>
        <w:tc>
          <w:tcPr>
            <w:tcW w:w="953" w:type="dxa"/>
            <w:noWrap/>
            <w:tcMar>
              <w:left w:w="115" w:type="dxa"/>
              <w:right w:w="115" w:type="dxa"/>
            </w:tcMar>
            <w:vAlign w:val="center"/>
            <w:hideMark/>
          </w:tcPr>
          <w:p w14:paraId="1A24A0F9" w14:textId="77777777" w:rsidR="00332FD8" w:rsidRPr="00103DDB" w:rsidRDefault="00332FD8">
            <w:pPr>
              <w:jc w:val="right"/>
              <w:rPr>
                <w:rFonts w:ascii="Arial" w:hAnsi="Arial" w:cs="Arial"/>
                <w:lang w:val="en-GB"/>
              </w:rPr>
            </w:pPr>
            <w:r w:rsidRPr="00103DDB">
              <w:rPr>
                <w:rFonts w:ascii="Arial" w:hAnsi="Arial" w:cs="Arial"/>
                <w:lang w:val="en-GB"/>
              </w:rPr>
              <w:t xml:space="preserve"> 83,573 </w:t>
            </w:r>
          </w:p>
        </w:tc>
      </w:tr>
      <w:tr w:rsidR="00332FD8" w:rsidRPr="00103DDB" w14:paraId="1A12491B" w14:textId="77777777" w:rsidTr="003C5EA1">
        <w:trPr>
          <w:trHeight w:val="350"/>
          <w:jc w:val="center"/>
        </w:trPr>
        <w:tc>
          <w:tcPr>
            <w:tcW w:w="4479" w:type="dxa"/>
            <w:noWrap/>
            <w:tcMar>
              <w:left w:w="115" w:type="dxa"/>
              <w:right w:w="115" w:type="dxa"/>
            </w:tcMar>
            <w:vAlign w:val="center"/>
            <w:hideMark/>
          </w:tcPr>
          <w:p w14:paraId="5ABD8D57" w14:textId="77777777" w:rsidR="00332FD8" w:rsidRPr="00103DDB" w:rsidRDefault="00332FD8">
            <w:pPr>
              <w:ind w:firstLine="240"/>
              <w:rPr>
                <w:rFonts w:ascii="Arial" w:hAnsi="Arial" w:cs="Arial"/>
                <w:lang w:val="en-GB"/>
              </w:rPr>
            </w:pPr>
            <w:r w:rsidRPr="00103DDB">
              <w:rPr>
                <w:rFonts w:ascii="Arial" w:hAnsi="Arial" w:cs="Arial"/>
                <w:lang w:val="en-GB"/>
              </w:rPr>
              <w:t>Other current liabilities</w:t>
            </w:r>
          </w:p>
        </w:tc>
        <w:tc>
          <w:tcPr>
            <w:tcW w:w="842" w:type="dxa"/>
            <w:noWrap/>
            <w:tcMar>
              <w:left w:w="115" w:type="dxa"/>
              <w:right w:w="115" w:type="dxa"/>
            </w:tcMar>
            <w:vAlign w:val="center"/>
            <w:hideMark/>
          </w:tcPr>
          <w:p w14:paraId="34E41840" w14:textId="77777777" w:rsidR="00332FD8" w:rsidRPr="00103DDB" w:rsidRDefault="00332FD8">
            <w:pPr>
              <w:jc w:val="right"/>
              <w:rPr>
                <w:rFonts w:ascii="Arial" w:hAnsi="Arial" w:cs="Arial"/>
                <w:lang w:val="en-GB"/>
              </w:rPr>
            </w:pPr>
            <w:r w:rsidRPr="00103DDB">
              <w:rPr>
                <w:rFonts w:ascii="Arial" w:hAnsi="Arial" w:cs="Arial"/>
                <w:lang w:val="en-GB"/>
              </w:rPr>
              <w:t xml:space="preserve"> 107 </w:t>
            </w:r>
          </w:p>
        </w:tc>
        <w:tc>
          <w:tcPr>
            <w:tcW w:w="900" w:type="dxa"/>
            <w:noWrap/>
            <w:tcMar>
              <w:left w:w="115" w:type="dxa"/>
              <w:right w:w="115" w:type="dxa"/>
            </w:tcMar>
            <w:vAlign w:val="center"/>
            <w:hideMark/>
          </w:tcPr>
          <w:p w14:paraId="2D831A54" w14:textId="77777777" w:rsidR="00332FD8" w:rsidRPr="00103DDB" w:rsidRDefault="00332FD8">
            <w:pPr>
              <w:jc w:val="right"/>
              <w:rPr>
                <w:rFonts w:ascii="Arial" w:hAnsi="Arial" w:cs="Arial"/>
                <w:lang w:val="en-GB"/>
              </w:rPr>
            </w:pPr>
            <w:r w:rsidRPr="00103DDB">
              <w:rPr>
                <w:rFonts w:ascii="Arial" w:hAnsi="Arial" w:cs="Arial"/>
                <w:lang w:val="en-GB"/>
              </w:rPr>
              <w:t xml:space="preserve"> 1,302 </w:t>
            </w:r>
          </w:p>
        </w:tc>
        <w:tc>
          <w:tcPr>
            <w:tcW w:w="953" w:type="dxa"/>
            <w:noWrap/>
            <w:tcMar>
              <w:left w:w="115" w:type="dxa"/>
              <w:right w:w="115" w:type="dxa"/>
            </w:tcMar>
            <w:vAlign w:val="center"/>
            <w:hideMark/>
          </w:tcPr>
          <w:p w14:paraId="1995E282" w14:textId="77777777" w:rsidR="00332FD8" w:rsidRPr="00103DDB" w:rsidRDefault="00332FD8">
            <w:pPr>
              <w:jc w:val="right"/>
              <w:rPr>
                <w:rFonts w:ascii="Arial" w:hAnsi="Arial" w:cs="Arial"/>
                <w:lang w:val="en-GB"/>
              </w:rPr>
            </w:pPr>
            <w:r w:rsidRPr="00103DDB">
              <w:rPr>
                <w:rFonts w:ascii="Arial" w:hAnsi="Arial" w:cs="Arial"/>
                <w:lang w:val="en-GB"/>
              </w:rPr>
              <w:t xml:space="preserve"> 4,395 </w:t>
            </w:r>
          </w:p>
        </w:tc>
        <w:tc>
          <w:tcPr>
            <w:tcW w:w="953" w:type="dxa"/>
            <w:noWrap/>
            <w:tcMar>
              <w:left w:w="115" w:type="dxa"/>
              <w:right w:w="115" w:type="dxa"/>
            </w:tcMar>
            <w:vAlign w:val="center"/>
            <w:hideMark/>
          </w:tcPr>
          <w:p w14:paraId="261F4E79" w14:textId="77777777" w:rsidR="00332FD8" w:rsidRPr="00103DDB" w:rsidRDefault="00332FD8">
            <w:pPr>
              <w:jc w:val="right"/>
              <w:rPr>
                <w:rFonts w:ascii="Arial" w:hAnsi="Arial" w:cs="Arial"/>
                <w:lang w:val="en-GB"/>
              </w:rPr>
            </w:pPr>
            <w:r w:rsidRPr="00103DDB">
              <w:rPr>
                <w:rFonts w:ascii="Arial" w:hAnsi="Arial" w:cs="Arial"/>
                <w:lang w:val="en-GB"/>
              </w:rPr>
              <w:t xml:space="preserve"> 7,118 </w:t>
            </w:r>
          </w:p>
        </w:tc>
      </w:tr>
      <w:tr w:rsidR="00332FD8" w:rsidRPr="00103DDB" w14:paraId="63A7B340" w14:textId="77777777" w:rsidTr="003C5EA1">
        <w:trPr>
          <w:trHeight w:val="341"/>
          <w:jc w:val="center"/>
        </w:trPr>
        <w:tc>
          <w:tcPr>
            <w:tcW w:w="4479" w:type="dxa"/>
            <w:noWrap/>
            <w:tcMar>
              <w:left w:w="115" w:type="dxa"/>
              <w:right w:w="115" w:type="dxa"/>
            </w:tcMar>
            <w:vAlign w:val="center"/>
            <w:hideMark/>
          </w:tcPr>
          <w:p w14:paraId="4A8B5FC8" w14:textId="77777777" w:rsidR="00332FD8" w:rsidRPr="00103DDB" w:rsidRDefault="00332FD8">
            <w:pPr>
              <w:rPr>
                <w:rFonts w:ascii="Arial" w:hAnsi="Arial" w:cs="Arial"/>
                <w:b/>
                <w:bCs/>
                <w:lang w:val="en-GB"/>
              </w:rPr>
            </w:pPr>
            <w:r w:rsidRPr="00103DDB">
              <w:rPr>
                <w:rFonts w:ascii="Arial" w:hAnsi="Arial" w:cs="Arial"/>
                <w:b/>
                <w:bCs/>
                <w:lang w:val="en-GB"/>
              </w:rPr>
              <w:t>Non-current liabilities</w:t>
            </w:r>
          </w:p>
        </w:tc>
        <w:tc>
          <w:tcPr>
            <w:tcW w:w="842" w:type="dxa"/>
            <w:noWrap/>
            <w:tcMar>
              <w:left w:w="115" w:type="dxa"/>
              <w:right w:w="115" w:type="dxa"/>
            </w:tcMar>
            <w:vAlign w:val="center"/>
            <w:hideMark/>
          </w:tcPr>
          <w:p w14:paraId="5FE666BA" w14:textId="77777777" w:rsidR="00332FD8" w:rsidRPr="00103DDB" w:rsidRDefault="00332FD8">
            <w:pPr>
              <w:jc w:val="right"/>
              <w:rPr>
                <w:rFonts w:ascii="Arial" w:hAnsi="Arial" w:cs="Arial"/>
                <w:b/>
                <w:bCs/>
                <w:lang w:val="en-GB"/>
              </w:rPr>
            </w:pPr>
            <w:r w:rsidRPr="00103DDB">
              <w:rPr>
                <w:rFonts w:ascii="Arial" w:hAnsi="Arial" w:cs="Arial"/>
                <w:b/>
                <w:bCs/>
                <w:lang w:val="en-GB"/>
              </w:rPr>
              <w:t xml:space="preserve"> 1,925 </w:t>
            </w:r>
          </w:p>
        </w:tc>
        <w:tc>
          <w:tcPr>
            <w:tcW w:w="900" w:type="dxa"/>
            <w:noWrap/>
            <w:tcMar>
              <w:left w:w="115" w:type="dxa"/>
              <w:right w:w="115" w:type="dxa"/>
            </w:tcMar>
            <w:vAlign w:val="center"/>
            <w:hideMark/>
          </w:tcPr>
          <w:p w14:paraId="24FFDD11" w14:textId="77777777" w:rsidR="00332FD8" w:rsidRPr="00103DDB" w:rsidRDefault="00332FD8">
            <w:pPr>
              <w:jc w:val="right"/>
              <w:rPr>
                <w:rFonts w:ascii="Arial" w:hAnsi="Arial" w:cs="Arial"/>
                <w:b/>
                <w:bCs/>
                <w:lang w:val="en-GB"/>
              </w:rPr>
            </w:pPr>
            <w:r w:rsidRPr="00103DDB">
              <w:rPr>
                <w:rFonts w:ascii="Arial" w:hAnsi="Arial" w:cs="Arial"/>
                <w:b/>
                <w:bCs/>
                <w:lang w:val="en-GB"/>
              </w:rPr>
              <w:t xml:space="preserve"> 2,405 </w:t>
            </w:r>
          </w:p>
        </w:tc>
        <w:tc>
          <w:tcPr>
            <w:tcW w:w="953" w:type="dxa"/>
            <w:noWrap/>
            <w:tcMar>
              <w:left w:w="115" w:type="dxa"/>
              <w:right w:w="115" w:type="dxa"/>
            </w:tcMar>
            <w:vAlign w:val="center"/>
            <w:hideMark/>
          </w:tcPr>
          <w:p w14:paraId="06D09372" w14:textId="77777777" w:rsidR="00332FD8" w:rsidRPr="00103DDB" w:rsidRDefault="00332FD8">
            <w:pPr>
              <w:jc w:val="right"/>
              <w:rPr>
                <w:rFonts w:ascii="Arial" w:hAnsi="Arial" w:cs="Arial"/>
                <w:b/>
                <w:bCs/>
                <w:lang w:val="en-GB"/>
              </w:rPr>
            </w:pPr>
            <w:r w:rsidRPr="00103DDB">
              <w:rPr>
                <w:rFonts w:ascii="Arial" w:hAnsi="Arial" w:cs="Arial"/>
                <w:b/>
                <w:bCs/>
                <w:lang w:val="en-GB"/>
              </w:rPr>
              <w:t xml:space="preserve"> 1,178 </w:t>
            </w:r>
          </w:p>
        </w:tc>
        <w:tc>
          <w:tcPr>
            <w:tcW w:w="953" w:type="dxa"/>
            <w:noWrap/>
            <w:tcMar>
              <w:left w:w="115" w:type="dxa"/>
              <w:right w:w="115" w:type="dxa"/>
            </w:tcMar>
            <w:vAlign w:val="center"/>
            <w:hideMark/>
          </w:tcPr>
          <w:p w14:paraId="0AB52DB8" w14:textId="77777777" w:rsidR="00332FD8" w:rsidRPr="00103DDB" w:rsidRDefault="00332FD8">
            <w:pPr>
              <w:jc w:val="right"/>
              <w:rPr>
                <w:rFonts w:ascii="Arial" w:hAnsi="Arial" w:cs="Arial"/>
                <w:b/>
                <w:bCs/>
                <w:lang w:val="en-GB"/>
              </w:rPr>
            </w:pPr>
            <w:r w:rsidRPr="00103DDB">
              <w:rPr>
                <w:rFonts w:ascii="Arial" w:hAnsi="Arial" w:cs="Arial"/>
                <w:b/>
                <w:bCs/>
                <w:lang w:val="en-GB"/>
              </w:rPr>
              <w:t xml:space="preserve"> 2,393 </w:t>
            </w:r>
          </w:p>
        </w:tc>
      </w:tr>
      <w:tr w:rsidR="00332FD8" w:rsidRPr="00103DDB" w14:paraId="19CDE057" w14:textId="77777777" w:rsidTr="003C5EA1">
        <w:trPr>
          <w:trHeight w:val="368"/>
          <w:jc w:val="center"/>
        </w:trPr>
        <w:tc>
          <w:tcPr>
            <w:tcW w:w="4479" w:type="dxa"/>
            <w:noWrap/>
            <w:tcMar>
              <w:left w:w="115" w:type="dxa"/>
              <w:right w:w="115" w:type="dxa"/>
            </w:tcMar>
            <w:vAlign w:val="center"/>
            <w:hideMark/>
          </w:tcPr>
          <w:p w14:paraId="33947C10" w14:textId="77777777" w:rsidR="00332FD8" w:rsidRPr="00103DDB" w:rsidRDefault="00332FD8">
            <w:pPr>
              <w:ind w:firstLine="240"/>
              <w:rPr>
                <w:rFonts w:ascii="Arial" w:hAnsi="Arial" w:cs="Arial"/>
                <w:lang w:val="en-GB"/>
              </w:rPr>
            </w:pPr>
            <w:r w:rsidRPr="00103DDB">
              <w:rPr>
                <w:rFonts w:ascii="Arial" w:hAnsi="Arial" w:cs="Arial"/>
                <w:lang w:val="en-GB"/>
              </w:rPr>
              <w:t>Long-term loans</w:t>
            </w:r>
          </w:p>
        </w:tc>
        <w:tc>
          <w:tcPr>
            <w:tcW w:w="842" w:type="dxa"/>
            <w:noWrap/>
            <w:tcMar>
              <w:left w:w="115" w:type="dxa"/>
              <w:right w:w="115" w:type="dxa"/>
            </w:tcMar>
            <w:vAlign w:val="center"/>
            <w:hideMark/>
          </w:tcPr>
          <w:p w14:paraId="6268352C" w14:textId="77777777" w:rsidR="00332FD8" w:rsidRPr="00103DDB" w:rsidRDefault="00332FD8">
            <w:pPr>
              <w:jc w:val="right"/>
              <w:rPr>
                <w:rFonts w:ascii="Arial" w:hAnsi="Arial" w:cs="Arial"/>
                <w:lang w:val="en-GB"/>
              </w:rPr>
            </w:pPr>
            <w:r w:rsidRPr="00103DDB">
              <w:rPr>
                <w:rFonts w:ascii="Arial" w:hAnsi="Arial" w:cs="Arial"/>
                <w:lang w:val="en-GB"/>
              </w:rPr>
              <w:t xml:space="preserve"> 1,925 </w:t>
            </w:r>
          </w:p>
        </w:tc>
        <w:tc>
          <w:tcPr>
            <w:tcW w:w="900" w:type="dxa"/>
            <w:noWrap/>
            <w:tcMar>
              <w:left w:w="115" w:type="dxa"/>
              <w:right w:w="115" w:type="dxa"/>
            </w:tcMar>
            <w:vAlign w:val="center"/>
            <w:hideMark/>
          </w:tcPr>
          <w:p w14:paraId="52CCBE23" w14:textId="77777777" w:rsidR="00332FD8" w:rsidRPr="00103DDB" w:rsidRDefault="00332FD8">
            <w:pPr>
              <w:jc w:val="right"/>
              <w:rPr>
                <w:rFonts w:ascii="Arial" w:hAnsi="Arial" w:cs="Arial"/>
                <w:lang w:val="en-GB"/>
              </w:rPr>
            </w:pPr>
            <w:r w:rsidRPr="00103DDB">
              <w:rPr>
                <w:rFonts w:ascii="Arial" w:hAnsi="Arial" w:cs="Arial"/>
                <w:lang w:val="en-GB"/>
              </w:rPr>
              <w:t xml:space="preserve"> 1,980 </w:t>
            </w:r>
          </w:p>
        </w:tc>
        <w:tc>
          <w:tcPr>
            <w:tcW w:w="953" w:type="dxa"/>
            <w:noWrap/>
            <w:tcMar>
              <w:left w:w="115" w:type="dxa"/>
              <w:right w:w="115" w:type="dxa"/>
            </w:tcMar>
            <w:vAlign w:val="center"/>
            <w:hideMark/>
          </w:tcPr>
          <w:p w14:paraId="13A726CD" w14:textId="77777777" w:rsidR="00332FD8" w:rsidRPr="00103DDB" w:rsidRDefault="00332FD8">
            <w:pPr>
              <w:jc w:val="right"/>
              <w:rPr>
                <w:rFonts w:ascii="Arial" w:hAnsi="Arial" w:cs="Arial"/>
                <w:lang w:val="en-GB"/>
              </w:rPr>
            </w:pPr>
            <w:r w:rsidRPr="00103DDB">
              <w:rPr>
                <w:rFonts w:ascii="Arial" w:hAnsi="Arial" w:cs="Arial"/>
                <w:lang w:val="en-GB"/>
              </w:rPr>
              <w:t xml:space="preserve"> 790 </w:t>
            </w:r>
          </w:p>
        </w:tc>
        <w:tc>
          <w:tcPr>
            <w:tcW w:w="953" w:type="dxa"/>
            <w:noWrap/>
            <w:tcMar>
              <w:left w:w="115" w:type="dxa"/>
              <w:right w:w="115" w:type="dxa"/>
            </w:tcMar>
            <w:vAlign w:val="center"/>
            <w:hideMark/>
          </w:tcPr>
          <w:p w14:paraId="0E883109" w14:textId="77777777" w:rsidR="00332FD8" w:rsidRPr="00103DDB" w:rsidRDefault="00332FD8">
            <w:pPr>
              <w:jc w:val="right"/>
              <w:rPr>
                <w:rFonts w:ascii="Arial" w:hAnsi="Arial" w:cs="Arial"/>
                <w:lang w:val="en-GB"/>
              </w:rPr>
            </w:pPr>
            <w:r w:rsidRPr="00103DDB">
              <w:rPr>
                <w:rFonts w:ascii="Arial" w:hAnsi="Arial" w:cs="Arial"/>
                <w:lang w:val="en-GB"/>
              </w:rPr>
              <w:t xml:space="preserve"> 1,010 </w:t>
            </w:r>
          </w:p>
        </w:tc>
      </w:tr>
      <w:tr w:rsidR="00332FD8" w:rsidRPr="00103DDB" w14:paraId="1535897E" w14:textId="77777777" w:rsidTr="003C5EA1">
        <w:trPr>
          <w:trHeight w:val="431"/>
          <w:jc w:val="center"/>
        </w:trPr>
        <w:tc>
          <w:tcPr>
            <w:tcW w:w="4479" w:type="dxa"/>
            <w:noWrap/>
            <w:tcMar>
              <w:left w:w="115" w:type="dxa"/>
              <w:right w:w="115" w:type="dxa"/>
            </w:tcMar>
            <w:vAlign w:val="center"/>
            <w:hideMark/>
          </w:tcPr>
          <w:p w14:paraId="0A243AAE" w14:textId="77777777" w:rsidR="00332FD8" w:rsidRPr="00103DDB" w:rsidRDefault="00332FD8">
            <w:pPr>
              <w:ind w:firstLine="240"/>
              <w:rPr>
                <w:rFonts w:ascii="Arial" w:hAnsi="Arial" w:cs="Arial"/>
                <w:lang w:val="en-GB"/>
              </w:rPr>
            </w:pPr>
            <w:r w:rsidRPr="00103DDB">
              <w:rPr>
                <w:rFonts w:ascii="Arial" w:hAnsi="Arial" w:cs="Arial"/>
                <w:lang w:val="en-GB"/>
              </w:rPr>
              <w:t>Other non-current liabilities</w:t>
            </w:r>
          </w:p>
        </w:tc>
        <w:tc>
          <w:tcPr>
            <w:tcW w:w="842" w:type="dxa"/>
            <w:noWrap/>
            <w:tcMar>
              <w:left w:w="115" w:type="dxa"/>
              <w:right w:w="115" w:type="dxa"/>
            </w:tcMar>
            <w:vAlign w:val="center"/>
            <w:hideMark/>
          </w:tcPr>
          <w:p w14:paraId="2AEBED38" w14:textId="1A302F5C" w:rsidR="00332FD8" w:rsidRPr="00103DDB" w:rsidRDefault="00332FD8">
            <w:pPr>
              <w:jc w:val="right"/>
              <w:rPr>
                <w:rFonts w:ascii="Arial" w:hAnsi="Arial" w:cs="Arial"/>
                <w:lang w:val="en-GB"/>
              </w:rPr>
            </w:pPr>
            <w:r w:rsidRPr="00103DDB">
              <w:rPr>
                <w:rFonts w:ascii="Arial" w:hAnsi="Arial" w:cs="Arial"/>
                <w:lang w:val="en-GB"/>
              </w:rPr>
              <w:t xml:space="preserve"> </w:t>
            </w:r>
            <w:r w:rsidR="004B46B2" w:rsidRPr="00103DDB">
              <w:rPr>
                <w:rFonts w:ascii="Arial" w:hAnsi="Arial" w:cs="Arial"/>
                <w:lang w:val="en-GB"/>
              </w:rPr>
              <w:t>–</w:t>
            </w:r>
            <w:r w:rsidRPr="00103DDB">
              <w:rPr>
                <w:rFonts w:ascii="Arial" w:hAnsi="Arial" w:cs="Arial"/>
                <w:lang w:val="en-GB"/>
              </w:rPr>
              <w:t xml:space="preserve">   </w:t>
            </w:r>
          </w:p>
        </w:tc>
        <w:tc>
          <w:tcPr>
            <w:tcW w:w="900" w:type="dxa"/>
            <w:noWrap/>
            <w:tcMar>
              <w:left w:w="115" w:type="dxa"/>
              <w:right w:w="115" w:type="dxa"/>
            </w:tcMar>
            <w:vAlign w:val="center"/>
            <w:hideMark/>
          </w:tcPr>
          <w:p w14:paraId="37F8462D" w14:textId="77777777" w:rsidR="00332FD8" w:rsidRPr="00103DDB" w:rsidRDefault="00332FD8">
            <w:pPr>
              <w:jc w:val="right"/>
              <w:rPr>
                <w:rFonts w:ascii="Arial" w:hAnsi="Arial" w:cs="Arial"/>
                <w:lang w:val="en-GB"/>
              </w:rPr>
            </w:pPr>
            <w:r w:rsidRPr="00103DDB">
              <w:rPr>
                <w:rFonts w:ascii="Arial" w:hAnsi="Arial" w:cs="Arial"/>
                <w:lang w:val="en-GB"/>
              </w:rPr>
              <w:t xml:space="preserve"> 425 </w:t>
            </w:r>
          </w:p>
        </w:tc>
        <w:tc>
          <w:tcPr>
            <w:tcW w:w="953" w:type="dxa"/>
            <w:noWrap/>
            <w:tcMar>
              <w:left w:w="115" w:type="dxa"/>
              <w:right w:w="115" w:type="dxa"/>
            </w:tcMar>
            <w:vAlign w:val="center"/>
            <w:hideMark/>
          </w:tcPr>
          <w:p w14:paraId="4AA8F51A" w14:textId="77777777" w:rsidR="00332FD8" w:rsidRPr="00103DDB" w:rsidRDefault="00332FD8">
            <w:pPr>
              <w:jc w:val="right"/>
              <w:rPr>
                <w:rFonts w:ascii="Arial" w:hAnsi="Arial" w:cs="Arial"/>
                <w:lang w:val="en-GB"/>
              </w:rPr>
            </w:pPr>
            <w:r w:rsidRPr="00103DDB">
              <w:rPr>
                <w:rFonts w:ascii="Arial" w:hAnsi="Arial" w:cs="Arial"/>
                <w:lang w:val="en-GB"/>
              </w:rPr>
              <w:t xml:space="preserve"> 388 </w:t>
            </w:r>
          </w:p>
        </w:tc>
        <w:tc>
          <w:tcPr>
            <w:tcW w:w="953" w:type="dxa"/>
            <w:noWrap/>
            <w:tcMar>
              <w:left w:w="115" w:type="dxa"/>
              <w:right w:w="115" w:type="dxa"/>
            </w:tcMar>
            <w:vAlign w:val="center"/>
            <w:hideMark/>
          </w:tcPr>
          <w:p w14:paraId="4ECFCE98" w14:textId="77777777" w:rsidR="00332FD8" w:rsidRPr="00103DDB" w:rsidRDefault="00332FD8">
            <w:pPr>
              <w:jc w:val="right"/>
              <w:rPr>
                <w:rFonts w:ascii="Arial" w:hAnsi="Arial" w:cs="Arial"/>
                <w:lang w:val="en-GB"/>
              </w:rPr>
            </w:pPr>
            <w:r w:rsidRPr="00103DDB">
              <w:rPr>
                <w:rFonts w:ascii="Arial" w:hAnsi="Arial" w:cs="Arial"/>
                <w:lang w:val="en-GB"/>
              </w:rPr>
              <w:t xml:space="preserve"> 1,383 </w:t>
            </w:r>
          </w:p>
        </w:tc>
      </w:tr>
      <w:tr w:rsidR="00332FD8" w:rsidRPr="00103DDB" w14:paraId="43837EB5" w14:textId="77777777" w:rsidTr="003C5EA1">
        <w:trPr>
          <w:trHeight w:val="431"/>
          <w:jc w:val="center"/>
        </w:trPr>
        <w:tc>
          <w:tcPr>
            <w:tcW w:w="4479" w:type="dxa"/>
            <w:noWrap/>
            <w:tcMar>
              <w:left w:w="115" w:type="dxa"/>
              <w:right w:w="115" w:type="dxa"/>
            </w:tcMar>
            <w:vAlign w:val="center"/>
            <w:hideMark/>
          </w:tcPr>
          <w:p w14:paraId="41E86C4F" w14:textId="77777777" w:rsidR="00332FD8" w:rsidRPr="00103DDB" w:rsidRDefault="00332FD8">
            <w:pPr>
              <w:rPr>
                <w:rFonts w:ascii="Arial" w:hAnsi="Arial" w:cs="Arial"/>
                <w:b/>
                <w:bCs/>
                <w:lang w:val="en-GB"/>
              </w:rPr>
            </w:pPr>
            <w:r w:rsidRPr="00103DDB">
              <w:rPr>
                <w:rFonts w:ascii="Arial" w:hAnsi="Arial" w:cs="Arial"/>
                <w:b/>
                <w:bCs/>
                <w:lang w:val="en-GB"/>
              </w:rPr>
              <w:t>TOTAL LIABILITIES</w:t>
            </w:r>
          </w:p>
        </w:tc>
        <w:tc>
          <w:tcPr>
            <w:tcW w:w="842" w:type="dxa"/>
            <w:noWrap/>
            <w:tcMar>
              <w:left w:w="115" w:type="dxa"/>
              <w:right w:w="115" w:type="dxa"/>
            </w:tcMar>
            <w:vAlign w:val="center"/>
            <w:hideMark/>
          </w:tcPr>
          <w:p w14:paraId="0C8FDBC2" w14:textId="77777777" w:rsidR="00332FD8" w:rsidRPr="00103DDB" w:rsidRDefault="00332FD8">
            <w:pPr>
              <w:jc w:val="right"/>
              <w:rPr>
                <w:rFonts w:ascii="Arial" w:hAnsi="Arial" w:cs="Arial"/>
                <w:b/>
                <w:bCs/>
                <w:lang w:val="en-GB"/>
              </w:rPr>
            </w:pPr>
            <w:r w:rsidRPr="00103DDB">
              <w:rPr>
                <w:rFonts w:ascii="Arial" w:hAnsi="Arial" w:cs="Arial"/>
                <w:b/>
                <w:bCs/>
                <w:lang w:val="en-GB"/>
              </w:rPr>
              <w:t xml:space="preserve"> 6,777 </w:t>
            </w:r>
          </w:p>
        </w:tc>
        <w:tc>
          <w:tcPr>
            <w:tcW w:w="900" w:type="dxa"/>
            <w:noWrap/>
            <w:tcMar>
              <w:left w:w="115" w:type="dxa"/>
              <w:right w:w="115" w:type="dxa"/>
            </w:tcMar>
            <w:vAlign w:val="center"/>
            <w:hideMark/>
          </w:tcPr>
          <w:p w14:paraId="05EE58C7" w14:textId="77777777" w:rsidR="00332FD8" w:rsidRPr="00103DDB" w:rsidRDefault="00332FD8">
            <w:pPr>
              <w:jc w:val="right"/>
              <w:rPr>
                <w:rFonts w:ascii="Arial" w:hAnsi="Arial" w:cs="Arial"/>
                <w:b/>
                <w:bCs/>
                <w:lang w:val="en-GB"/>
              </w:rPr>
            </w:pPr>
            <w:r w:rsidRPr="00103DDB">
              <w:rPr>
                <w:rFonts w:ascii="Arial" w:hAnsi="Arial" w:cs="Arial"/>
                <w:b/>
                <w:bCs/>
                <w:lang w:val="en-GB"/>
              </w:rPr>
              <w:t xml:space="preserve"> 33,343 </w:t>
            </w:r>
          </w:p>
        </w:tc>
        <w:tc>
          <w:tcPr>
            <w:tcW w:w="953" w:type="dxa"/>
            <w:noWrap/>
            <w:tcMar>
              <w:left w:w="115" w:type="dxa"/>
              <w:right w:w="115" w:type="dxa"/>
            </w:tcMar>
            <w:vAlign w:val="center"/>
            <w:hideMark/>
          </w:tcPr>
          <w:p w14:paraId="23D07FB8" w14:textId="77777777" w:rsidR="00332FD8" w:rsidRPr="00103DDB" w:rsidRDefault="00332FD8">
            <w:pPr>
              <w:jc w:val="right"/>
              <w:rPr>
                <w:rFonts w:ascii="Arial" w:hAnsi="Arial" w:cs="Arial"/>
                <w:b/>
                <w:bCs/>
                <w:lang w:val="en-GB"/>
              </w:rPr>
            </w:pPr>
            <w:r w:rsidRPr="00103DDB">
              <w:rPr>
                <w:rFonts w:ascii="Arial" w:hAnsi="Arial" w:cs="Arial"/>
                <w:b/>
                <w:bCs/>
                <w:lang w:val="en-GB"/>
              </w:rPr>
              <w:t xml:space="preserve"> 51,494 </w:t>
            </w:r>
          </w:p>
        </w:tc>
        <w:tc>
          <w:tcPr>
            <w:tcW w:w="953" w:type="dxa"/>
            <w:noWrap/>
            <w:tcMar>
              <w:left w:w="115" w:type="dxa"/>
              <w:right w:w="115" w:type="dxa"/>
            </w:tcMar>
            <w:vAlign w:val="center"/>
            <w:hideMark/>
          </w:tcPr>
          <w:p w14:paraId="10C07CE1" w14:textId="77777777" w:rsidR="00332FD8" w:rsidRPr="00103DDB" w:rsidRDefault="00332FD8">
            <w:pPr>
              <w:jc w:val="right"/>
              <w:rPr>
                <w:rFonts w:ascii="Arial" w:hAnsi="Arial" w:cs="Arial"/>
                <w:b/>
                <w:bCs/>
                <w:lang w:val="en-GB"/>
              </w:rPr>
            </w:pPr>
            <w:r w:rsidRPr="00103DDB">
              <w:rPr>
                <w:rFonts w:ascii="Arial" w:hAnsi="Arial" w:cs="Arial"/>
                <w:b/>
                <w:bCs/>
                <w:lang w:val="en-GB"/>
              </w:rPr>
              <w:t xml:space="preserve">117,095 </w:t>
            </w:r>
          </w:p>
        </w:tc>
      </w:tr>
      <w:tr w:rsidR="00332FD8" w:rsidRPr="00103DDB" w14:paraId="6C374BEE" w14:textId="77777777" w:rsidTr="003C5EA1">
        <w:trPr>
          <w:trHeight w:val="359"/>
          <w:jc w:val="center"/>
        </w:trPr>
        <w:tc>
          <w:tcPr>
            <w:tcW w:w="4479" w:type="dxa"/>
            <w:noWrap/>
            <w:tcMar>
              <w:left w:w="115" w:type="dxa"/>
              <w:right w:w="115" w:type="dxa"/>
            </w:tcMar>
            <w:vAlign w:val="center"/>
            <w:hideMark/>
          </w:tcPr>
          <w:p w14:paraId="26A0BDB9" w14:textId="77777777" w:rsidR="00332FD8" w:rsidRPr="00103DDB" w:rsidRDefault="00332FD8">
            <w:pPr>
              <w:ind w:firstLine="240"/>
              <w:rPr>
                <w:rFonts w:ascii="Arial" w:hAnsi="Arial" w:cs="Arial"/>
                <w:lang w:val="en-GB"/>
              </w:rPr>
            </w:pPr>
            <w:r w:rsidRPr="00103DDB">
              <w:rPr>
                <w:rFonts w:ascii="Arial" w:hAnsi="Arial" w:cs="Arial"/>
                <w:lang w:val="en-GB"/>
              </w:rPr>
              <w:t xml:space="preserve">Retained earnings </w:t>
            </w:r>
          </w:p>
        </w:tc>
        <w:tc>
          <w:tcPr>
            <w:tcW w:w="842" w:type="dxa"/>
            <w:noWrap/>
            <w:tcMar>
              <w:left w:w="115" w:type="dxa"/>
              <w:right w:w="115" w:type="dxa"/>
            </w:tcMar>
            <w:vAlign w:val="center"/>
            <w:hideMark/>
          </w:tcPr>
          <w:p w14:paraId="7F9B1F1F" w14:textId="77777777" w:rsidR="00332FD8" w:rsidRPr="00103DDB" w:rsidRDefault="00332FD8">
            <w:pPr>
              <w:jc w:val="right"/>
              <w:rPr>
                <w:rFonts w:ascii="Arial" w:hAnsi="Arial" w:cs="Arial"/>
                <w:lang w:val="en-GB"/>
              </w:rPr>
            </w:pPr>
            <w:r w:rsidRPr="00103DDB">
              <w:rPr>
                <w:rFonts w:ascii="Arial" w:hAnsi="Arial" w:cs="Arial"/>
                <w:lang w:val="en-GB"/>
              </w:rPr>
              <w:t xml:space="preserve"> 1,132 </w:t>
            </w:r>
          </w:p>
        </w:tc>
        <w:tc>
          <w:tcPr>
            <w:tcW w:w="900" w:type="dxa"/>
            <w:noWrap/>
            <w:tcMar>
              <w:left w:w="115" w:type="dxa"/>
              <w:right w:w="115" w:type="dxa"/>
            </w:tcMar>
            <w:vAlign w:val="center"/>
            <w:hideMark/>
          </w:tcPr>
          <w:p w14:paraId="7D05DBF3" w14:textId="77777777" w:rsidR="00332FD8" w:rsidRPr="00103DDB" w:rsidRDefault="00332FD8">
            <w:pPr>
              <w:jc w:val="right"/>
              <w:rPr>
                <w:rFonts w:ascii="Arial" w:hAnsi="Arial" w:cs="Arial"/>
                <w:lang w:val="en-GB"/>
              </w:rPr>
            </w:pPr>
            <w:r w:rsidRPr="00103DDB">
              <w:rPr>
                <w:rFonts w:ascii="Arial" w:hAnsi="Arial" w:cs="Arial"/>
                <w:lang w:val="en-GB"/>
              </w:rPr>
              <w:t xml:space="preserve"> 1,378 </w:t>
            </w:r>
          </w:p>
        </w:tc>
        <w:tc>
          <w:tcPr>
            <w:tcW w:w="953" w:type="dxa"/>
            <w:noWrap/>
            <w:tcMar>
              <w:left w:w="115" w:type="dxa"/>
              <w:right w:w="115" w:type="dxa"/>
            </w:tcMar>
            <w:vAlign w:val="center"/>
            <w:hideMark/>
          </w:tcPr>
          <w:p w14:paraId="64D3E47F" w14:textId="77777777" w:rsidR="00332FD8" w:rsidRPr="00103DDB" w:rsidRDefault="00332FD8">
            <w:pPr>
              <w:jc w:val="right"/>
              <w:rPr>
                <w:rFonts w:ascii="Arial" w:hAnsi="Arial" w:cs="Arial"/>
                <w:lang w:val="en-GB"/>
              </w:rPr>
            </w:pPr>
            <w:r w:rsidRPr="00103DDB">
              <w:rPr>
                <w:rFonts w:ascii="Arial" w:hAnsi="Arial" w:cs="Arial"/>
                <w:lang w:val="en-GB"/>
              </w:rPr>
              <w:t xml:space="preserve"> 7,011 </w:t>
            </w:r>
          </w:p>
        </w:tc>
        <w:tc>
          <w:tcPr>
            <w:tcW w:w="953" w:type="dxa"/>
            <w:noWrap/>
            <w:tcMar>
              <w:left w:w="115" w:type="dxa"/>
              <w:right w:w="115" w:type="dxa"/>
            </w:tcMar>
            <w:vAlign w:val="center"/>
            <w:hideMark/>
          </w:tcPr>
          <w:p w14:paraId="2FF1D9A5" w14:textId="77777777" w:rsidR="00332FD8" w:rsidRPr="00103DDB" w:rsidRDefault="00332FD8">
            <w:pPr>
              <w:jc w:val="right"/>
              <w:rPr>
                <w:rFonts w:ascii="Arial" w:hAnsi="Arial" w:cs="Arial"/>
                <w:lang w:val="en-GB"/>
              </w:rPr>
            </w:pPr>
            <w:r w:rsidRPr="00103DDB">
              <w:rPr>
                <w:rFonts w:ascii="Arial" w:hAnsi="Arial" w:cs="Arial"/>
                <w:lang w:val="en-GB"/>
              </w:rPr>
              <w:t xml:space="preserve"> 1,142 </w:t>
            </w:r>
          </w:p>
        </w:tc>
      </w:tr>
      <w:tr w:rsidR="00332FD8" w:rsidRPr="00103DDB" w14:paraId="7EB29FD4" w14:textId="77777777" w:rsidTr="003C5EA1">
        <w:trPr>
          <w:trHeight w:val="350"/>
          <w:jc w:val="center"/>
        </w:trPr>
        <w:tc>
          <w:tcPr>
            <w:tcW w:w="4479" w:type="dxa"/>
            <w:noWrap/>
            <w:tcMar>
              <w:left w:w="115" w:type="dxa"/>
              <w:right w:w="115" w:type="dxa"/>
            </w:tcMar>
            <w:vAlign w:val="center"/>
            <w:hideMark/>
          </w:tcPr>
          <w:p w14:paraId="2068E41F" w14:textId="77777777" w:rsidR="00332FD8" w:rsidRPr="00103DDB" w:rsidRDefault="00332FD8">
            <w:pPr>
              <w:rPr>
                <w:rFonts w:ascii="Arial" w:hAnsi="Arial" w:cs="Arial"/>
                <w:b/>
                <w:bCs/>
                <w:lang w:val="en-GB"/>
              </w:rPr>
            </w:pPr>
            <w:r w:rsidRPr="00103DDB">
              <w:rPr>
                <w:rFonts w:ascii="Arial" w:hAnsi="Arial" w:cs="Arial"/>
                <w:b/>
                <w:bCs/>
                <w:lang w:val="en-GB"/>
              </w:rPr>
              <w:t>TOTAL EQUITY</w:t>
            </w:r>
          </w:p>
        </w:tc>
        <w:tc>
          <w:tcPr>
            <w:tcW w:w="842" w:type="dxa"/>
            <w:noWrap/>
            <w:tcMar>
              <w:left w:w="115" w:type="dxa"/>
              <w:right w:w="115" w:type="dxa"/>
            </w:tcMar>
            <w:vAlign w:val="center"/>
            <w:hideMark/>
          </w:tcPr>
          <w:p w14:paraId="73043A12" w14:textId="77777777" w:rsidR="00332FD8" w:rsidRPr="00103DDB" w:rsidRDefault="00332FD8">
            <w:pPr>
              <w:jc w:val="right"/>
              <w:rPr>
                <w:rFonts w:ascii="Arial" w:hAnsi="Arial" w:cs="Arial"/>
                <w:b/>
                <w:bCs/>
                <w:lang w:val="en-GB"/>
              </w:rPr>
            </w:pPr>
            <w:r w:rsidRPr="00103DDB">
              <w:rPr>
                <w:rFonts w:ascii="Arial" w:hAnsi="Arial" w:cs="Arial"/>
                <w:b/>
                <w:bCs/>
                <w:lang w:val="en-GB"/>
              </w:rPr>
              <w:t xml:space="preserve"> 1,132 </w:t>
            </w:r>
          </w:p>
        </w:tc>
        <w:tc>
          <w:tcPr>
            <w:tcW w:w="900" w:type="dxa"/>
            <w:noWrap/>
            <w:tcMar>
              <w:left w:w="115" w:type="dxa"/>
              <w:right w:w="115" w:type="dxa"/>
            </w:tcMar>
            <w:vAlign w:val="center"/>
            <w:hideMark/>
          </w:tcPr>
          <w:p w14:paraId="0434C951" w14:textId="77777777" w:rsidR="00332FD8" w:rsidRPr="00103DDB" w:rsidRDefault="00332FD8">
            <w:pPr>
              <w:jc w:val="right"/>
              <w:rPr>
                <w:rFonts w:ascii="Arial" w:hAnsi="Arial" w:cs="Arial"/>
                <w:b/>
                <w:bCs/>
                <w:lang w:val="en-GB"/>
              </w:rPr>
            </w:pPr>
            <w:r w:rsidRPr="00103DDB">
              <w:rPr>
                <w:rFonts w:ascii="Arial" w:hAnsi="Arial" w:cs="Arial"/>
                <w:b/>
                <w:bCs/>
                <w:lang w:val="en-GB"/>
              </w:rPr>
              <w:t xml:space="preserve"> 1,378 </w:t>
            </w:r>
          </w:p>
        </w:tc>
        <w:tc>
          <w:tcPr>
            <w:tcW w:w="953" w:type="dxa"/>
            <w:noWrap/>
            <w:tcMar>
              <w:left w:w="115" w:type="dxa"/>
              <w:right w:w="115" w:type="dxa"/>
            </w:tcMar>
            <w:vAlign w:val="center"/>
            <w:hideMark/>
          </w:tcPr>
          <w:p w14:paraId="781BD6CE" w14:textId="77777777" w:rsidR="00332FD8" w:rsidRPr="00103DDB" w:rsidRDefault="00332FD8">
            <w:pPr>
              <w:jc w:val="right"/>
              <w:rPr>
                <w:rFonts w:ascii="Arial" w:hAnsi="Arial" w:cs="Arial"/>
                <w:b/>
                <w:bCs/>
                <w:lang w:val="en-GB"/>
              </w:rPr>
            </w:pPr>
            <w:r w:rsidRPr="00103DDB">
              <w:rPr>
                <w:rFonts w:ascii="Arial" w:hAnsi="Arial" w:cs="Arial"/>
                <w:b/>
                <w:bCs/>
                <w:lang w:val="en-GB"/>
              </w:rPr>
              <w:t xml:space="preserve"> 7,011 </w:t>
            </w:r>
          </w:p>
        </w:tc>
        <w:tc>
          <w:tcPr>
            <w:tcW w:w="953" w:type="dxa"/>
            <w:noWrap/>
            <w:tcMar>
              <w:left w:w="115" w:type="dxa"/>
              <w:right w:w="115" w:type="dxa"/>
            </w:tcMar>
            <w:vAlign w:val="center"/>
            <w:hideMark/>
          </w:tcPr>
          <w:p w14:paraId="5F0C8762" w14:textId="77777777" w:rsidR="00332FD8" w:rsidRPr="00103DDB" w:rsidRDefault="00332FD8">
            <w:pPr>
              <w:jc w:val="right"/>
              <w:rPr>
                <w:rFonts w:ascii="Arial" w:hAnsi="Arial" w:cs="Arial"/>
                <w:b/>
                <w:bCs/>
                <w:lang w:val="en-GB"/>
              </w:rPr>
            </w:pPr>
            <w:r w:rsidRPr="00103DDB">
              <w:rPr>
                <w:rFonts w:ascii="Arial" w:hAnsi="Arial" w:cs="Arial"/>
                <w:b/>
                <w:bCs/>
                <w:lang w:val="en-GB"/>
              </w:rPr>
              <w:t xml:space="preserve"> 1,142 </w:t>
            </w:r>
          </w:p>
        </w:tc>
      </w:tr>
      <w:tr w:rsidR="00332FD8" w:rsidRPr="00103DDB" w14:paraId="702AFD5D" w14:textId="77777777" w:rsidTr="003C5EA1">
        <w:trPr>
          <w:trHeight w:val="350"/>
          <w:jc w:val="center"/>
        </w:trPr>
        <w:tc>
          <w:tcPr>
            <w:tcW w:w="4479" w:type="dxa"/>
            <w:noWrap/>
            <w:tcMar>
              <w:left w:w="115" w:type="dxa"/>
              <w:right w:w="115" w:type="dxa"/>
            </w:tcMar>
            <w:vAlign w:val="center"/>
            <w:hideMark/>
          </w:tcPr>
          <w:p w14:paraId="25AA7111" w14:textId="45959225" w:rsidR="00332FD8" w:rsidRPr="00103DDB" w:rsidRDefault="00332FD8">
            <w:pPr>
              <w:rPr>
                <w:rFonts w:ascii="Arial" w:hAnsi="Arial" w:cs="Arial"/>
                <w:b/>
                <w:bCs/>
                <w:lang w:val="en-GB"/>
              </w:rPr>
            </w:pPr>
            <w:r w:rsidRPr="00103DDB">
              <w:rPr>
                <w:rFonts w:ascii="Arial" w:hAnsi="Arial" w:cs="Arial"/>
                <w:b/>
                <w:bCs/>
                <w:lang w:val="en-GB"/>
              </w:rPr>
              <w:t xml:space="preserve">TOTAL LIABILITIES </w:t>
            </w:r>
            <w:r w:rsidR="00C2037A" w:rsidRPr="00103DDB">
              <w:rPr>
                <w:rFonts w:ascii="Arial" w:hAnsi="Arial" w:cs="Arial"/>
                <w:b/>
                <w:bCs/>
                <w:lang w:val="en-GB"/>
              </w:rPr>
              <w:t>AND</w:t>
            </w:r>
            <w:r w:rsidRPr="00103DDB">
              <w:rPr>
                <w:rFonts w:ascii="Arial" w:hAnsi="Arial" w:cs="Arial"/>
                <w:b/>
                <w:bCs/>
                <w:lang w:val="en-GB"/>
              </w:rPr>
              <w:t xml:space="preserve"> EQUITY</w:t>
            </w:r>
          </w:p>
        </w:tc>
        <w:tc>
          <w:tcPr>
            <w:tcW w:w="842" w:type="dxa"/>
            <w:noWrap/>
            <w:tcMar>
              <w:left w:w="115" w:type="dxa"/>
              <w:right w:w="115" w:type="dxa"/>
            </w:tcMar>
            <w:vAlign w:val="center"/>
            <w:hideMark/>
          </w:tcPr>
          <w:p w14:paraId="16C06621" w14:textId="77777777" w:rsidR="00332FD8" w:rsidRPr="00103DDB" w:rsidRDefault="00332FD8">
            <w:pPr>
              <w:jc w:val="right"/>
              <w:rPr>
                <w:rFonts w:ascii="Arial" w:hAnsi="Arial" w:cs="Arial"/>
                <w:b/>
                <w:bCs/>
                <w:lang w:val="en-GB"/>
              </w:rPr>
            </w:pPr>
            <w:r w:rsidRPr="00103DDB">
              <w:rPr>
                <w:rFonts w:ascii="Arial" w:hAnsi="Arial" w:cs="Arial"/>
                <w:b/>
                <w:bCs/>
                <w:lang w:val="en-GB"/>
              </w:rPr>
              <w:t xml:space="preserve"> 9,909 </w:t>
            </w:r>
          </w:p>
        </w:tc>
        <w:tc>
          <w:tcPr>
            <w:tcW w:w="900" w:type="dxa"/>
            <w:noWrap/>
            <w:tcMar>
              <w:left w:w="115" w:type="dxa"/>
              <w:right w:w="115" w:type="dxa"/>
            </w:tcMar>
            <w:vAlign w:val="center"/>
            <w:hideMark/>
          </w:tcPr>
          <w:p w14:paraId="6E1AC85E" w14:textId="77777777" w:rsidR="00332FD8" w:rsidRPr="00103DDB" w:rsidRDefault="00332FD8">
            <w:pPr>
              <w:jc w:val="right"/>
              <w:rPr>
                <w:rFonts w:ascii="Arial" w:hAnsi="Arial" w:cs="Arial"/>
                <w:b/>
                <w:bCs/>
                <w:lang w:val="en-GB"/>
              </w:rPr>
            </w:pPr>
            <w:r w:rsidRPr="00103DDB">
              <w:rPr>
                <w:rFonts w:ascii="Arial" w:hAnsi="Arial" w:cs="Arial"/>
                <w:b/>
                <w:bCs/>
                <w:lang w:val="en-GB"/>
              </w:rPr>
              <w:t xml:space="preserve"> 39,721 </w:t>
            </w:r>
          </w:p>
        </w:tc>
        <w:tc>
          <w:tcPr>
            <w:tcW w:w="953" w:type="dxa"/>
            <w:noWrap/>
            <w:tcMar>
              <w:left w:w="115" w:type="dxa"/>
              <w:right w:w="115" w:type="dxa"/>
            </w:tcMar>
            <w:vAlign w:val="center"/>
            <w:hideMark/>
          </w:tcPr>
          <w:p w14:paraId="1485A9D3" w14:textId="77777777" w:rsidR="00332FD8" w:rsidRPr="00103DDB" w:rsidRDefault="00332FD8">
            <w:pPr>
              <w:jc w:val="right"/>
              <w:rPr>
                <w:rFonts w:ascii="Arial" w:hAnsi="Arial" w:cs="Arial"/>
                <w:b/>
                <w:bCs/>
                <w:lang w:val="en-GB"/>
              </w:rPr>
            </w:pPr>
            <w:r w:rsidRPr="00103DDB">
              <w:rPr>
                <w:rFonts w:ascii="Arial" w:hAnsi="Arial" w:cs="Arial"/>
                <w:b/>
                <w:bCs/>
                <w:lang w:val="en-GB"/>
              </w:rPr>
              <w:t xml:space="preserve">119,542 </w:t>
            </w:r>
          </w:p>
        </w:tc>
        <w:tc>
          <w:tcPr>
            <w:tcW w:w="953" w:type="dxa"/>
            <w:noWrap/>
            <w:tcMar>
              <w:left w:w="115" w:type="dxa"/>
              <w:right w:w="115" w:type="dxa"/>
            </w:tcMar>
            <w:vAlign w:val="center"/>
            <w:hideMark/>
          </w:tcPr>
          <w:p w14:paraId="66D0B7E0" w14:textId="77777777" w:rsidR="00332FD8" w:rsidRPr="00103DDB" w:rsidRDefault="00332FD8">
            <w:pPr>
              <w:jc w:val="right"/>
              <w:rPr>
                <w:rFonts w:ascii="Arial" w:hAnsi="Arial" w:cs="Arial"/>
                <w:b/>
                <w:bCs/>
                <w:lang w:val="en-GB"/>
              </w:rPr>
            </w:pPr>
            <w:r w:rsidRPr="00103DDB">
              <w:rPr>
                <w:rFonts w:ascii="Arial" w:hAnsi="Arial" w:cs="Arial"/>
                <w:b/>
                <w:bCs/>
                <w:lang w:val="en-GB"/>
              </w:rPr>
              <w:t xml:space="preserve">179,274 </w:t>
            </w:r>
          </w:p>
        </w:tc>
      </w:tr>
    </w:tbl>
    <w:p w14:paraId="3C46D5B1" w14:textId="77777777" w:rsidR="00332FD8" w:rsidRPr="00103DDB" w:rsidRDefault="00332FD8" w:rsidP="003C5EA1">
      <w:pPr>
        <w:pStyle w:val="Footnote"/>
        <w:rPr>
          <w:lang w:val="en-GB"/>
        </w:rPr>
      </w:pPr>
    </w:p>
    <w:p w14:paraId="59536133" w14:textId="77777777" w:rsidR="00332FD8" w:rsidRPr="00103DDB" w:rsidRDefault="00332FD8" w:rsidP="003C5EA1">
      <w:pPr>
        <w:pStyle w:val="Footnote"/>
        <w:rPr>
          <w:lang w:val="en-GB"/>
        </w:rPr>
      </w:pPr>
      <w:r w:rsidRPr="00103DDB">
        <w:rPr>
          <w:lang w:val="en-GB"/>
        </w:rPr>
        <w:t xml:space="preserve">Source: Mekong Capital company documents. </w:t>
      </w:r>
    </w:p>
    <w:p w14:paraId="4B8DEB7C" w14:textId="77777777" w:rsidR="003C5EA1" w:rsidRPr="00103DDB" w:rsidRDefault="003C5EA1" w:rsidP="003C5EA1">
      <w:pPr>
        <w:pStyle w:val="Footnote"/>
        <w:rPr>
          <w:lang w:val="en-GB"/>
        </w:rPr>
      </w:pPr>
    </w:p>
    <w:p w14:paraId="620F53D3" w14:textId="010FC1AA" w:rsidR="003C5EA1" w:rsidRPr="00103DDB" w:rsidRDefault="003C5EA1" w:rsidP="003C5EA1">
      <w:pPr>
        <w:spacing w:after="200" w:line="276" w:lineRule="auto"/>
        <w:rPr>
          <w:rFonts w:ascii="Arial" w:hAnsi="Arial" w:cs="Arial"/>
          <w:sz w:val="17"/>
          <w:szCs w:val="17"/>
          <w:lang w:val="en-GB"/>
        </w:rPr>
      </w:pPr>
      <w:r w:rsidRPr="00103DDB">
        <w:rPr>
          <w:lang w:val="en-GB"/>
        </w:rPr>
        <w:br w:type="page"/>
      </w:r>
    </w:p>
    <w:p w14:paraId="6EC4C182" w14:textId="59B4D34C" w:rsidR="00332FD8" w:rsidRPr="00103DDB" w:rsidRDefault="005960E7" w:rsidP="00C55178">
      <w:pPr>
        <w:pStyle w:val="ExhibitHeading"/>
        <w:rPr>
          <w:lang w:val="en-GB"/>
        </w:rPr>
      </w:pPr>
      <w:r>
        <w:rPr>
          <w:lang w:val="en-GB"/>
        </w:rPr>
        <w:lastRenderedPageBreak/>
        <w:t>Exhibit 7</w:t>
      </w:r>
      <w:r w:rsidR="00332FD8" w:rsidRPr="00103DDB">
        <w:rPr>
          <w:lang w:val="en-GB"/>
        </w:rPr>
        <w:t xml:space="preserve">: </w:t>
      </w:r>
      <w:r w:rsidR="00DF20F0" w:rsidRPr="00103DDB">
        <w:rPr>
          <w:lang w:val="en-GB"/>
        </w:rPr>
        <w:t>Mobile World</w:t>
      </w:r>
      <w:r w:rsidR="00332FD8" w:rsidRPr="00103DDB">
        <w:rPr>
          <w:lang w:val="en-GB"/>
        </w:rPr>
        <w:t xml:space="preserve"> in 2009 </w:t>
      </w:r>
      <w:r w:rsidR="003362BD" w:rsidRPr="00103DDB">
        <w:rPr>
          <w:lang w:val="en-GB"/>
        </w:rPr>
        <w:t>according to</w:t>
      </w:r>
      <w:r w:rsidR="00332FD8" w:rsidRPr="00103DDB">
        <w:rPr>
          <w:lang w:val="en-GB"/>
        </w:rPr>
        <w:t xml:space="preserve"> Mekong Capital’s Vision Driven Investing framework </w:t>
      </w:r>
    </w:p>
    <w:p w14:paraId="0D408C38" w14:textId="77777777" w:rsidR="00332FD8" w:rsidRPr="00103DDB" w:rsidRDefault="00332FD8" w:rsidP="003C5EA1">
      <w:pPr>
        <w:pStyle w:val="Footnote"/>
        <w:rPr>
          <w:lang w:val="en-GB"/>
        </w:rPr>
      </w:pPr>
    </w:p>
    <w:tbl>
      <w:tblPr>
        <w:tblStyle w:val="TableGrid"/>
        <w:tblW w:w="9252" w:type="dxa"/>
        <w:jc w:val="center"/>
        <w:tblLook w:val="04A0" w:firstRow="1" w:lastRow="0" w:firstColumn="1" w:lastColumn="0" w:noHBand="0" w:noVBand="1"/>
      </w:tblPr>
      <w:tblGrid>
        <w:gridCol w:w="3780"/>
        <w:gridCol w:w="5472"/>
      </w:tblGrid>
      <w:tr w:rsidR="006F5F39" w:rsidRPr="00103DDB" w14:paraId="409914B3" w14:textId="77777777" w:rsidTr="003C5EA1">
        <w:trPr>
          <w:trHeight w:val="332"/>
          <w:jc w:val="center"/>
        </w:trPr>
        <w:tc>
          <w:tcPr>
            <w:tcW w:w="3780" w:type="dxa"/>
            <w:tcBorders>
              <w:top w:val="nil"/>
              <w:left w:val="nil"/>
            </w:tcBorders>
            <w:vAlign w:val="center"/>
          </w:tcPr>
          <w:p w14:paraId="004FFAB8" w14:textId="77777777" w:rsidR="006F5F39" w:rsidRPr="00103DDB" w:rsidRDefault="006F5F39">
            <w:pPr>
              <w:rPr>
                <w:rFonts w:ascii="Arial" w:hAnsi="Arial" w:cs="Arial"/>
                <w:b/>
                <w:color w:val="000000"/>
                <w:lang w:val="en-GB"/>
              </w:rPr>
            </w:pPr>
          </w:p>
        </w:tc>
        <w:tc>
          <w:tcPr>
            <w:tcW w:w="5472" w:type="dxa"/>
            <w:vAlign w:val="center"/>
          </w:tcPr>
          <w:p w14:paraId="17520511" w14:textId="7EE56F63" w:rsidR="006F5F39" w:rsidRPr="00103DDB" w:rsidRDefault="006F5F39" w:rsidP="006F5F39">
            <w:pPr>
              <w:jc w:val="center"/>
              <w:rPr>
                <w:rFonts w:ascii="Arial" w:hAnsi="Arial" w:cs="Arial"/>
                <w:b/>
                <w:color w:val="000000"/>
                <w:lang w:val="en-GB"/>
              </w:rPr>
            </w:pPr>
            <w:r w:rsidRPr="00103DDB">
              <w:rPr>
                <w:rFonts w:ascii="Arial" w:hAnsi="Arial" w:cs="Arial"/>
                <w:b/>
                <w:color w:val="000000"/>
                <w:lang w:val="en-GB"/>
              </w:rPr>
              <w:t xml:space="preserve">Conditions at </w:t>
            </w:r>
            <w:r w:rsidR="00DF20F0" w:rsidRPr="00103DDB">
              <w:rPr>
                <w:rFonts w:ascii="Arial" w:hAnsi="Arial" w:cs="Arial"/>
                <w:b/>
                <w:color w:val="000000"/>
                <w:lang w:val="en-GB"/>
              </w:rPr>
              <w:t>Mobile World</w:t>
            </w:r>
          </w:p>
        </w:tc>
      </w:tr>
      <w:tr w:rsidR="00332FD8" w:rsidRPr="00103DDB" w14:paraId="07297A51" w14:textId="77777777" w:rsidTr="003C5EA1">
        <w:trPr>
          <w:trHeight w:val="359"/>
          <w:jc w:val="center"/>
        </w:trPr>
        <w:tc>
          <w:tcPr>
            <w:tcW w:w="3780" w:type="dxa"/>
            <w:vAlign w:val="center"/>
            <w:hideMark/>
          </w:tcPr>
          <w:p w14:paraId="4BBBEFB9" w14:textId="77777777" w:rsidR="00332FD8" w:rsidRPr="00103DDB" w:rsidRDefault="00332FD8" w:rsidP="007B5486">
            <w:pPr>
              <w:jc w:val="center"/>
              <w:rPr>
                <w:rFonts w:ascii="Arial" w:hAnsi="Arial" w:cs="Arial"/>
                <w:b/>
                <w:color w:val="000000"/>
                <w:lang w:val="en-GB"/>
              </w:rPr>
            </w:pPr>
            <w:r w:rsidRPr="00103DDB">
              <w:rPr>
                <w:rFonts w:ascii="Arial" w:hAnsi="Arial" w:cs="Arial"/>
                <w:b/>
                <w:color w:val="000000"/>
                <w:lang w:val="en-GB"/>
              </w:rPr>
              <w:t>Core Framework</w:t>
            </w:r>
          </w:p>
        </w:tc>
        <w:tc>
          <w:tcPr>
            <w:tcW w:w="5472" w:type="dxa"/>
            <w:vAlign w:val="center"/>
            <w:hideMark/>
          </w:tcPr>
          <w:p w14:paraId="03E87051" w14:textId="77777777" w:rsidR="00332FD8" w:rsidRPr="00103DDB" w:rsidRDefault="00332FD8">
            <w:pPr>
              <w:rPr>
                <w:rFonts w:ascii="Arial" w:hAnsi="Arial" w:cs="Arial"/>
                <w:b/>
                <w:color w:val="000000"/>
                <w:lang w:val="en-GB"/>
              </w:rPr>
            </w:pPr>
          </w:p>
        </w:tc>
      </w:tr>
      <w:tr w:rsidR="00332FD8" w:rsidRPr="00103DDB" w14:paraId="45B1B40C" w14:textId="77777777" w:rsidTr="003C5EA1">
        <w:trPr>
          <w:trHeight w:val="530"/>
          <w:jc w:val="center"/>
        </w:trPr>
        <w:tc>
          <w:tcPr>
            <w:tcW w:w="3780" w:type="dxa"/>
            <w:vAlign w:val="center"/>
            <w:hideMark/>
          </w:tcPr>
          <w:p w14:paraId="5D463351" w14:textId="77777777" w:rsidR="00332FD8" w:rsidRPr="00103DDB" w:rsidRDefault="00332FD8">
            <w:pPr>
              <w:rPr>
                <w:rFonts w:ascii="Arial" w:hAnsi="Arial" w:cs="Arial"/>
                <w:color w:val="000000"/>
                <w:lang w:val="en-GB"/>
              </w:rPr>
            </w:pPr>
            <w:r w:rsidRPr="00103DDB">
              <w:rPr>
                <w:rFonts w:ascii="Arial" w:hAnsi="Arial" w:cs="Arial"/>
                <w:color w:val="000000"/>
                <w:lang w:val="en-GB"/>
              </w:rPr>
              <w:t>Vision</w:t>
            </w:r>
          </w:p>
        </w:tc>
        <w:tc>
          <w:tcPr>
            <w:tcW w:w="5472" w:type="dxa"/>
            <w:vAlign w:val="center"/>
            <w:hideMark/>
          </w:tcPr>
          <w:p w14:paraId="692B859C" w14:textId="77777777" w:rsidR="00332FD8" w:rsidRPr="00103DDB" w:rsidRDefault="00332FD8">
            <w:pPr>
              <w:rPr>
                <w:rFonts w:ascii="Arial" w:hAnsi="Arial" w:cs="Arial"/>
                <w:color w:val="000000"/>
                <w:lang w:val="en-GB"/>
              </w:rPr>
            </w:pPr>
            <w:r w:rsidRPr="00103DDB">
              <w:rPr>
                <w:rFonts w:ascii="Arial" w:hAnsi="Arial" w:cs="Arial"/>
                <w:color w:val="000000"/>
                <w:lang w:val="en-GB"/>
              </w:rPr>
              <w:t>Yes, they had a vision built around reaching a US$50 million company value.</w:t>
            </w:r>
          </w:p>
        </w:tc>
      </w:tr>
      <w:tr w:rsidR="00332FD8" w:rsidRPr="00103DDB" w14:paraId="00E1CADC" w14:textId="77777777" w:rsidTr="003C5EA1">
        <w:trPr>
          <w:trHeight w:val="521"/>
          <w:jc w:val="center"/>
        </w:trPr>
        <w:tc>
          <w:tcPr>
            <w:tcW w:w="3780" w:type="dxa"/>
            <w:vAlign w:val="center"/>
            <w:hideMark/>
          </w:tcPr>
          <w:p w14:paraId="4D550C4C" w14:textId="4B7338F7" w:rsidR="00332FD8" w:rsidRPr="00103DDB" w:rsidRDefault="00332FD8">
            <w:pPr>
              <w:rPr>
                <w:rFonts w:ascii="Arial" w:hAnsi="Arial" w:cs="Arial"/>
                <w:color w:val="000000"/>
                <w:lang w:val="en-GB"/>
              </w:rPr>
            </w:pPr>
            <w:r w:rsidRPr="00103DDB">
              <w:rPr>
                <w:rFonts w:ascii="Arial" w:hAnsi="Arial" w:cs="Arial"/>
                <w:color w:val="000000"/>
                <w:lang w:val="en-GB"/>
              </w:rPr>
              <w:t>Drivers/</w:t>
            </w:r>
            <w:r w:rsidR="003362BD" w:rsidRPr="00103DDB">
              <w:rPr>
                <w:rFonts w:ascii="Arial" w:hAnsi="Arial" w:cs="Arial"/>
                <w:color w:val="000000"/>
                <w:lang w:val="en-GB"/>
              </w:rPr>
              <w:t>a</w:t>
            </w:r>
            <w:r w:rsidRPr="00103DDB">
              <w:rPr>
                <w:rFonts w:ascii="Arial" w:hAnsi="Arial" w:cs="Arial"/>
                <w:color w:val="000000"/>
                <w:lang w:val="en-GB"/>
              </w:rPr>
              <w:t xml:space="preserve">nnual </w:t>
            </w:r>
            <w:r w:rsidR="003362BD" w:rsidRPr="00103DDB">
              <w:rPr>
                <w:rFonts w:ascii="Arial" w:hAnsi="Arial" w:cs="Arial"/>
                <w:color w:val="000000"/>
                <w:lang w:val="en-GB"/>
              </w:rPr>
              <w:t>m</w:t>
            </w:r>
            <w:r w:rsidRPr="00103DDB">
              <w:rPr>
                <w:rFonts w:ascii="Arial" w:hAnsi="Arial" w:cs="Arial"/>
                <w:color w:val="000000"/>
                <w:lang w:val="en-GB"/>
              </w:rPr>
              <w:t>ilestones</w:t>
            </w:r>
          </w:p>
        </w:tc>
        <w:tc>
          <w:tcPr>
            <w:tcW w:w="5472" w:type="dxa"/>
            <w:vAlign w:val="center"/>
            <w:hideMark/>
          </w:tcPr>
          <w:p w14:paraId="52C59494" w14:textId="77777777" w:rsidR="00332FD8" w:rsidRPr="00103DDB" w:rsidRDefault="00332FD8">
            <w:pPr>
              <w:rPr>
                <w:rFonts w:ascii="Arial" w:hAnsi="Arial" w:cs="Arial"/>
                <w:color w:val="000000"/>
                <w:lang w:val="en-GB"/>
              </w:rPr>
            </w:pPr>
            <w:r w:rsidRPr="00103DDB">
              <w:rPr>
                <w:rFonts w:ascii="Arial" w:hAnsi="Arial" w:cs="Arial"/>
                <w:color w:val="000000"/>
                <w:lang w:val="en-GB"/>
              </w:rPr>
              <w:t>Yes, they had annual targets that supported achieving the broader company vision.</w:t>
            </w:r>
          </w:p>
        </w:tc>
      </w:tr>
      <w:tr w:rsidR="00332FD8" w:rsidRPr="00103DDB" w14:paraId="356D3737" w14:textId="77777777" w:rsidTr="003C5EA1">
        <w:trPr>
          <w:trHeight w:val="359"/>
          <w:jc w:val="center"/>
        </w:trPr>
        <w:tc>
          <w:tcPr>
            <w:tcW w:w="3780" w:type="dxa"/>
            <w:vAlign w:val="center"/>
            <w:hideMark/>
          </w:tcPr>
          <w:p w14:paraId="71300C45" w14:textId="1E5D4229" w:rsidR="00332FD8" w:rsidRPr="00103DDB" w:rsidRDefault="003161AD">
            <w:pPr>
              <w:rPr>
                <w:rFonts w:ascii="Arial" w:hAnsi="Arial" w:cs="Arial"/>
                <w:color w:val="000000"/>
                <w:lang w:val="en-GB"/>
              </w:rPr>
            </w:pPr>
            <w:r w:rsidRPr="00103DDB">
              <w:rPr>
                <w:rFonts w:ascii="Arial" w:hAnsi="Arial" w:cs="Arial"/>
                <w:color w:val="000000"/>
                <w:lang w:val="en-GB"/>
              </w:rPr>
              <w:t>Key performance indicators</w:t>
            </w:r>
          </w:p>
        </w:tc>
        <w:tc>
          <w:tcPr>
            <w:tcW w:w="5472" w:type="dxa"/>
            <w:vAlign w:val="center"/>
            <w:hideMark/>
          </w:tcPr>
          <w:p w14:paraId="5B53B5AB" w14:textId="77777777" w:rsidR="00332FD8" w:rsidRPr="00103DDB" w:rsidRDefault="00332FD8">
            <w:pPr>
              <w:rPr>
                <w:rFonts w:ascii="Arial" w:hAnsi="Arial" w:cs="Arial"/>
                <w:color w:val="000000"/>
                <w:lang w:val="en-GB"/>
              </w:rPr>
            </w:pPr>
            <w:r w:rsidRPr="00103DDB">
              <w:rPr>
                <w:rFonts w:ascii="Arial" w:hAnsi="Arial" w:cs="Arial"/>
                <w:color w:val="000000"/>
                <w:lang w:val="en-GB"/>
              </w:rPr>
              <w:t>Not yet</w:t>
            </w:r>
          </w:p>
        </w:tc>
      </w:tr>
      <w:tr w:rsidR="00332FD8" w:rsidRPr="00103DDB" w14:paraId="3339E845" w14:textId="77777777" w:rsidTr="003C5EA1">
        <w:trPr>
          <w:trHeight w:val="350"/>
          <w:jc w:val="center"/>
        </w:trPr>
        <w:tc>
          <w:tcPr>
            <w:tcW w:w="3780" w:type="dxa"/>
            <w:vAlign w:val="center"/>
            <w:hideMark/>
          </w:tcPr>
          <w:p w14:paraId="39EC0782" w14:textId="6943F997" w:rsidR="00332FD8" w:rsidRPr="00103DDB" w:rsidRDefault="00332FD8">
            <w:pPr>
              <w:rPr>
                <w:rFonts w:ascii="Arial" w:hAnsi="Arial" w:cs="Arial"/>
                <w:color w:val="000000"/>
                <w:lang w:val="en-GB"/>
              </w:rPr>
            </w:pPr>
            <w:r w:rsidRPr="00103DDB">
              <w:rPr>
                <w:rFonts w:ascii="Arial" w:hAnsi="Arial" w:cs="Arial"/>
                <w:color w:val="000000"/>
                <w:lang w:val="en-GB"/>
              </w:rPr>
              <w:t xml:space="preserve">Management </w:t>
            </w:r>
            <w:r w:rsidR="003362BD" w:rsidRPr="00103DDB">
              <w:rPr>
                <w:rFonts w:ascii="Arial" w:hAnsi="Arial" w:cs="Arial"/>
                <w:color w:val="000000"/>
                <w:lang w:val="en-GB"/>
              </w:rPr>
              <w:t>and</w:t>
            </w:r>
            <w:r w:rsidRPr="00103DDB">
              <w:rPr>
                <w:rFonts w:ascii="Arial" w:hAnsi="Arial" w:cs="Arial"/>
                <w:color w:val="000000"/>
                <w:lang w:val="en-GB"/>
              </w:rPr>
              <w:t xml:space="preserve"> </w:t>
            </w:r>
            <w:r w:rsidR="003362BD" w:rsidRPr="00103DDB">
              <w:rPr>
                <w:rFonts w:ascii="Arial" w:hAnsi="Arial" w:cs="Arial"/>
                <w:color w:val="000000"/>
                <w:lang w:val="en-GB"/>
              </w:rPr>
              <w:t>f</w:t>
            </w:r>
            <w:r w:rsidRPr="00103DDB">
              <w:rPr>
                <w:rFonts w:ascii="Arial" w:hAnsi="Arial" w:cs="Arial"/>
                <w:color w:val="000000"/>
                <w:lang w:val="en-GB"/>
              </w:rPr>
              <w:t xml:space="preserve">inancial </w:t>
            </w:r>
            <w:r w:rsidR="003362BD" w:rsidRPr="00103DDB">
              <w:rPr>
                <w:rFonts w:ascii="Arial" w:hAnsi="Arial" w:cs="Arial"/>
                <w:color w:val="000000"/>
                <w:lang w:val="en-GB"/>
              </w:rPr>
              <w:t>r</w:t>
            </w:r>
            <w:r w:rsidRPr="00103DDB">
              <w:rPr>
                <w:rFonts w:ascii="Arial" w:hAnsi="Arial" w:cs="Arial"/>
                <w:color w:val="000000"/>
                <w:lang w:val="en-GB"/>
              </w:rPr>
              <w:t>eporting</w:t>
            </w:r>
          </w:p>
        </w:tc>
        <w:tc>
          <w:tcPr>
            <w:tcW w:w="5472" w:type="dxa"/>
            <w:vAlign w:val="center"/>
            <w:hideMark/>
          </w:tcPr>
          <w:p w14:paraId="2EE8C77E" w14:textId="6FCAFEC1" w:rsidR="00332FD8" w:rsidRPr="00103DDB" w:rsidRDefault="00332FD8">
            <w:pPr>
              <w:rPr>
                <w:rFonts w:ascii="Arial" w:hAnsi="Arial" w:cs="Arial"/>
                <w:color w:val="000000"/>
                <w:lang w:val="en-GB"/>
              </w:rPr>
            </w:pPr>
            <w:r w:rsidRPr="00103DDB">
              <w:rPr>
                <w:rFonts w:ascii="Arial" w:hAnsi="Arial" w:cs="Arial"/>
                <w:color w:val="000000"/>
                <w:lang w:val="en-GB"/>
              </w:rPr>
              <w:t>Not yet</w:t>
            </w:r>
          </w:p>
        </w:tc>
      </w:tr>
      <w:tr w:rsidR="00332FD8" w:rsidRPr="00103DDB" w14:paraId="4326228C" w14:textId="77777777" w:rsidTr="003C5EA1">
        <w:trPr>
          <w:trHeight w:val="341"/>
          <w:jc w:val="center"/>
        </w:trPr>
        <w:tc>
          <w:tcPr>
            <w:tcW w:w="3780" w:type="dxa"/>
            <w:vAlign w:val="center"/>
            <w:hideMark/>
          </w:tcPr>
          <w:p w14:paraId="4F905B15" w14:textId="599C1757" w:rsidR="00332FD8" w:rsidRPr="00103DDB" w:rsidRDefault="00332FD8">
            <w:pPr>
              <w:rPr>
                <w:rFonts w:ascii="Arial" w:hAnsi="Arial" w:cs="Arial"/>
                <w:color w:val="000000"/>
                <w:lang w:val="en-GB"/>
              </w:rPr>
            </w:pPr>
            <w:r w:rsidRPr="00103DDB">
              <w:rPr>
                <w:rFonts w:ascii="Arial" w:hAnsi="Arial" w:cs="Arial"/>
                <w:color w:val="000000"/>
                <w:lang w:val="en-GB"/>
              </w:rPr>
              <w:t xml:space="preserve">Breakdown (root case) </w:t>
            </w:r>
            <w:r w:rsidR="003362BD" w:rsidRPr="00103DDB">
              <w:rPr>
                <w:rFonts w:ascii="Arial" w:hAnsi="Arial" w:cs="Arial"/>
                <w:color w:val="000000"/>
                <w:lang w:val="en-GB"/>
              </w:rPr>
              <w:t>a</w:t>
            </w:r>
            <w:r w:rsidRPr="00103DDB">
              <w:rPr>
                <w:rFonts w:ascii="Arial" w:hAnsi="Arial" w:cs="Arial"/>
                <w:color w:val="000000"/>
                <w:lang w:val="en-GB"/>
              </w:rPr>
              <w:t>nalysis</w:t>
            </w:r>
          </w:p>
        </w:tc>
        <w:tc>
          <w:tcPr>
            <w:tcW w:w="5472" w:type="dxa"/>
            <w:vAlign w:val="center"/>
            <w:hideMark/>
          </w:tcPr>
          <w:p w14:paraId="7003216C" w14:textId="54384DBB" w:rsidR="00332FD8" w:rsidRPr="00103DDB" w:rsidRDefault="00332FD8">
            <w:pPr>
              <w:rPr>
                <w:rFonts w:ascii="Arial" w:hAnsi="Arial" w:cs="Arial"/>
                <w:color w:val="000000"/>
                <w:lang w:val="en-GB"/>
              </w:rPr>
            </w:pPr>
            <w:r w:rsidRPr="00103DDB">
              <w:rPr>
                <w:rFonts w:ascii="Arial" w:hAnsi="Arial" w:cs="Arial"/>
                <w:color w:val="000000"/>
                <w:lang w:val="en-GB"/>
              </w:rPr>
              <w:t>Not yet</w:t>
            </w:r>
          </w:p>
        </w:tc>
      </w:tr>
      <w:tr w:rsidR="00332FD8" w:rsidRPr="00103DDB" w14:paraId="13E0A8EB" w14:textId="77777777" w:rsidTr="003C5EA1">
        <w:trPr>
          <w:trHeight w:val="350"/>
          <w:jc w:val="center"/>
        </w:trPr>
        <w:tc>
          <w:tcPr>
            <w:tcW w:w="3780" w:type="dxa"/>
            <w:vAlign w:val="center"/>
            <w:hideMark/>
          </w:tcPr>
          <w:p w14:paraId="29082782" w14:textId="77777777" w:rsidR="00332FD8" w:rsidRPr="00103DDB" w:rsidRDefault="00332FD8">
            <w:pPr>
              <w:rPr>
                <w:rFonts w:ascii="Arial" w:hAnsi="Arial" w:cs="Arial"/>
                <w:b/>
                <w:color w:val="000000"/>
                <w:lang w:val="en-GB"/>
              </w:rPr>
            </w:pPr>
            <w:r w:rsidRPr="00103DDB">
              <w:rPr>
                <w:rFonts w:ascii="Arial" w:hAnsi="Arial" w:cs="Arial"/>
                <w:b/>
                <w:color w:val="000000"/>
                <w:lang w:val="en-GB"/>
              </w:rPr>
              <w:t>People</w:t>
            </w:r>
          </w:p>
        </w:tc>
        <w:tc>
          <w:tcPr>
            <w:tcW w:w="5472" w:type="dxa"/>
            <w:vAlign w:val="center"/>
            <w:hideMark/>
          </w:tcPr>
          <w:p w14:paraId="38E0671D" w14:textId="77777777" w:rsidR="00332FD8" w:rsidRPr="00103DDB" w:rsidRDefault="00332FD8">
            <w:pPr>
              <w:rPr>
                <w:rFonts w:ascii="Arial" w:hAnsi="Arial" w:cs="Arial"/>
                <w:color w:val="000000"/>
                <w:lang w:val="en-GB"/>
              </w:rPr>
            </w:pPr>
          </w:p>
        </w:tc>
      </w:tr>
      <w:tr w:rsidR="00332FD8" w:rsidRPr="00103DDB" w14:paraId="668B8DB3" w14:textId="77777777" w:rsidTr="003C5EA1">
        <w:trPr>
          <w:trHeight w:val="809"/>
          <w:jc w:val="center"/>
        </w:trPr>
        <w:tc>
          <w:tcPr>
            <w:tcW w:w="3780" w:type="dxa"/>
            <w:vAlign w:val="center"/>
            <w:hideMark/>
          </w:tcPr>
          <w:p w14:paraId="2CBCE9A2" w14:textId="02CAC70C" w:rsidR="00332FD8" w:rsidRPr="00103DDB" w:rsidRDefault="00332FD8">
            <w:pPr>
              <w:rPr>
                <w:rFonts w:ascii="Arial" w:hAnsi="Arial" w:cs="Arial"/>
                <w:color w:val="000000"/>
                <w:lang w:val="en-GB"/>
              </w:rPr>
            </w:pPr>
            <w:r w:rsidRPr="00103DDB">
              <w:rPr>
                <w:rFonts w:ascii="Arial" w:hAnsi="Arial" w:cs="Arial"/>
                <w:color w:val="000000"/>
                <w:lang w:val="en-GB"/>
              </w:rPr>
              <w:t xml:space="preserve">Management </w:t>
            </w:r>
            <w:r w:rsidR="003362BD" w:rsidRPr="00103DDB">
              <w:rPr>
                <w:rFonts w:ascii="Arial" w:hAnsi="Arial" w:cs="Arial"/>
                <w:color w:val="000000"/>
                <w:lang w:val="en-GB"/>
              </w:rPr>
              <w:t>t</w:t>
            </w:r>
            <w:r w:rsidRPr="00103DDB">
              <w:rPr>
                <w:rFonts w:ascii="Arial" w:hAnsi="Arial" w:cs="Arial"/>
                <w:color w:val="000000"/>
                <w:lang w:val="en-GB"/>
              </w:rPr>
              <w:t>eam/</w:t>
            </w:r>
            <w:r w:rsidR="003362BD" w:rsidRPr="00103DDB">
              <w:rPr>
                <w:rFonts w:ascii="Arial" w:hAnsi="Arial" w:cs="Arial"/>
                <w:color w:val="000000"/>
                <w:lang w:val="en-GB"/>
              </w:rPr>
              <w:t>r</w:t>
            </w:r>
            <w:r w:rsidRPr="00103DDB">
              <w:rPr>
                <w:rFonts w:ascii="Arial" w:hAnsi="Arial" w:cs="Arial"/>
                <w:color w:val="000000"/>
                <w:lang w:val="en-GB"/>
              </w:rPr>
              <w:t xml:space="preserve">ecruitment </w:t>
            </w:r>
            <w:r w:rsidR="003362BD" w:rsidRPr="00103DDB">
              <w:rPr>
                <w:rFonts w:ascii="Arial" w:hAnsi="Arial" w:cs="Arial"/>
                <w:color w:val="000000"/>
                <w:lang w:val="en-GB"/>
              </w:rPr>
              <w:t>c</w:t>
            </w:r>
            <w:r w:rsidRPr="00103DDB">
              <w:rPr>
                <w:rFonts w:ascii="Arial" w:hAnsi="Arial" w:cs="Arial"/>
                <w:color w:val="000000"/>
                <w:lang w:val="en-GB"/>
              </w:rPr>
              <w:t>apability</w:t>
            </w:r>
          </w:p>
        </w:tc>
        <w:tc>
          <w:tcPr>
            <w:tcW w:w="5472" w:type="dxa"/>
            <w:vAlign w:val="center"/>
            <w:hideMark/>
          </w:tcPr>
          <w:p w14:paraId="665BB069" w14:textId="75D0E0E3" w:rsidR="00332FD8" w:rsidRPr="00103DDB" w:rsidRDefault="00332FD8">
            <w:pPr>
              <w:rPr>
                <w:rFonts w:ascii="Arial" w:hAnsi="Arial" w:cs="Arial"/>
                <w:color w:val="000000"/>
                <w:lang w:val="en-GB"/>
              </w:rPr>
            </w:pPr>
            <w:r w:rsidRPr="00103DDB">
              <w:rPr>
                <w:rFonts w:ascii="Arial" w:hAnsi="Arial" w:cs="Arial"/>
                <w:color w:val="000000"/>
                <w:lang w:val="en-GB"/>
              </w:rPr>
              <w:t xml:space="preserve">Mekong Capital helped recruit </w:t>
            </w:r>
            <w:r w:rsidR="003362BD" w:rsidRPr="00103DDB">
              <w:rPr>
                <w:rFonts w:ascii="Arial" w:hAnsi="Arial" w:cs="Arial"/>
                <w:color w:val="000000"/>
                <w:lang w:val="en-GB"/>
              </w:rPr>
              <w:t xml:space="preserve">three </w:t>
            </w:r>
            <w:r w:rsidRPr="00103DDB">
              <w:rPr>
                <w:rFonts w:ascii="Arial" w:hAnsi="Arial" w:cs="Arial"/>
                <w:color w:val="000000"/>
                <w:lang w:val="en-GB"/>
              </w:rPr>
              <w:t>highly qualified outside professionals who were given important responsibilities in managing head sales, marketing, and human resources.</w:t>
            </w:r>
          </w:p>
        </w:tc>
      </w:tr>
      <w:tr w:rsidR="00332FD8" w:rsidRPr="00103DDB" w14:paraId="69FBFE68" w14:textId="77777777" w:rsidTr="003C5EA1">
        <w:trPr>
          <w:trHeight w:val="350"/>
          <w:jc w:val="center"/>
        </w:trPr>
        <w:tc>
          <w:tcPr>
            <w:tcW w:w="3780" w:type="dxa"/>
            <w:vAlign w:val="center"/>
            <w:hideMark/>
          </w:tcPr>
          <w:p w14:paraId="12C7F8E7" w14:textId="7C60A2FC" w:rsidR="00332FD8" w:rsidRPr="00103DDB" w:rsidRDefault="00332FD8">
            <w:pPr>
              <w:rPr>
                <w:rFonts w:ascii="Arial" w:hAnsi="Arial" w:cs="Arial"/>
                <w:color w:val="000000"/>
                <w:lang w:val="en-GB"/>
              </w:rPr>
            </w:pPr>
            <w:r w:rsidRPr="00103DDB">
              <w:rPr>
                <w:rFonts w:ascii="Arial" w:hAnsi="Arial" w:cs="Arial"/>
                <w:color w:val="000000"/>
                <w:lang w:val="en-GB"/>
              </w:rPr>
              <w:t xml:space="preserve">Core </w:t>
            </w:r>
            <w:r w:rsidR="003362BD" w:rsidRPr="00103DDB">
              <w:rPr>
                <w:rFonts w:ascii="Arial" w:hAnsi="Arial" w:cs="Arial"/>
                <w:color w:val="000000"/>
                <w:lang w:val="en-GB"/>
              </w:rPr>
              <w:t>v</w:t>
            </w:r>
            <w:r w:rsidRPr="00103DDB">
              <w:rPr>
                <w:rFonts w:ascii="Arial" w:hAnsi="Arial" w:cs="Arial"/>
                <w:color w:val="000000"/>
                <w:lang w:val="en-GB"/>
              </w:rPr>
              <w:t>alues/</w:t>
            </w:r>
            <w:r w:rsidR="003362BD" w:rsidRPr="00103DDB">
              <w:rPr>
                <w:rFonts w:ascii="Arial" w:hAnsi="Arial" w:cs="Arial"/>
                <w:color w:val="000000"/>
                <w:lang w:val="en-GB"/>
              </w:rPr>
              <w:t>c</w:t>
            </w:r>
            <w:r w:rsidRPr="00103DDB">
              <w:rPr>
                <w:rFonts w:ascii="Arial" w:hAnsi="Arial" w:cs="Arial"/>
                <w:color w:val="000000"/>
                <w:lang w:val="en-GB"/>
              </w:rPr>
              <w:t>ulture</w:t>
            </w:r>
          </w:p>
        </w:tc>
        <w:tc>
          <w:tcPr>
            <w:tcW w:w="5472" w:type="dxa"/>
            <w:vAlign w:val="center"/>
            <w:hideMark/>
          </w:tcPr>
          <w:p w14:paraId="1CA46679" w14:textId="22599309" w:rsidR="00332FD8" w:rsidRPr="00103DDB" w:rsidRDefault="00332FD8">
            <w:pPr>
              <w:rPr>
                <w:rFonts w:ascii="Arial" w:hAnsi="Arial" w:cs="Arial"/>
                <w:color w:val="000000"/>
                <w:lang w:val="en-GB"/>
              </w:rPr>
            </w:pPr>
            <w:r w:rsidRPr="00103DDB">
              <w:rPr>
                <w:rFonts w:ascii="Arial" w:hAnsi="Arial" w:cs="Arial"/>
                <w:color w:val="000000"/>
                <w:lang w:val="en-GB"/>
              </w:rPr>
              <w:t>Not yet</w:t>
            </w:r>
          </w:p>
        </w:tc>
      </w:tr>
      <w:tr w:rsidR="00332FD8" w:rsidRPr="00103DDB" w14:paraId="7D952DC3" w14:textId="77777777" w:rsidTr="003C5EA1">
        <w:trPr>
          <w:trHeight w:val="611"/>
          <w:jc w:val="center"/>
        </w:trPr>
        <w:tc>
          <w:tcPr>
            <w:tcW w:w="3780" w:type="dxa"/>
            <w:vAlign w:val="center"/>
            <w:hideMark/>
          </w:tcPr>
          <w:p w14:paraId="035BBC71" w14:textId="616A92EA" w:rsidR="00332FD8" w:rsidRPr="00103DDB" w:rsidRDefault="00332FD8">
            <w:pPr>
              <w:rPr>
                <w:rFonts w:ascii="Arial" w:hAnsi="Arial" w:cs="Arial"/>
                <w:color w:val="000000"/>
                <w:lang w:val="en-GB"/>
              </w:rPr>
            </w:pPr>
            <w:r w:rsidRPr="00103DDB">
              <w:rPr>
                <w:rFonts w:ascii="Arial" w:hAnsi="Arial" w:cs="Arial"/>
                <w:color w:val="000000"/>
                <w:lang w:val="en-GB"/>
              </w:rPr>
              <w:t xml:space="preserve">Bonus </w:t>
            </w:r>
            <w:r w:rsidR="003362BD" w:rsidRPr="00103DDB">
              <w:rPr>
                <w:rFonts w:ascii="Arial" w:hAnsi="Arial" w:cs="Arial"/>
                <w:color w:val="000000"/>
                <w:lang w:val="en-GB"/>
              </w:rPr>
              <w:t>s</w:t>
            </w:r>
            <w:r w:rsidRPr="00103DDB">
              <w:rPr>
                <w:rFonts w:ascii="Arial" w:hAnsi="Arial" w:cs="Arial"/>
                <w:color w:val="000000"/>
                <w:lang w:val="en-GB"/>
              </w:rPr>
              <w:t>ystem</w:t>
            </w:r>
          </w:p>
        </w:tc>
        <w:tc>
          <w:tcPr>
            <w:tcW w:w="5472" w:type="dxa"/>
            <w:vAlign w:val="center"/>
            <w:hideMark/>
          </w:tcPr>
          <w:p w14:paraId="7158FAAA" w14:textId="77777777" w:rsidR="00332FD8" w:rsidRPr="00103DDB" w:rsidRDefault="00332FD8">
            <w:pPr>
              <w:rPr>
                <w:rFonts w:ascii="Arial" w:hAnsi="Arial" w:cs="Arial"/>
                <w:color w:val="000000"/>
                <w:lang w:val="en-GB"/>
              </w:rPr>
            </w:pPr>
            <w:r w:rsidRPr="00103DDB">
              <w:rPr>
                <w:rFonts w:ascii="Arial" w:hAnsi="Arial" w:cs="Arial"/>
                <w:color w:val="000000"/>
                <w:lang w:val="en-GB"/>
              </w:rPr>
              <w:t>Conceptualized incentive system for store managers and other key middle managers based on gross profit.</w:t>
            </w:r>
          </w:p>
        </w:tc>
      </w:tr>
      <w:tr w:rsidR="00332FD8" w:rsidRPr="00103DDB" w14:paraId="6012858F" w14:textId="77777777" w:rsidTr="003C5EA1">
        <w:trPr>
          <w:trHeight w:val="350"/>
          <w:jc w:val="center"/>
        </w:trPr>
        <w:tc>
          <w:tcPr>
            <w:tcW w:w="3780" w:type="dxa"/>
            <w:vAlign w:val="center"/>
            <w:hideMark/>
          </w:tcPr>
          <w:p w14:paraId="5F098228" w14:textId="50930242" w:rsidR="00332FD8" w:rsidRPr="00103DDB" w:rsidRDefault="00332FD8">
            <w:pPr>
              <w:rPr>
                <w:rFonts w:ascii="Arial" w:hAnsi="Arial" w:cs="Arial"/>
                <w:b/>
                <w:color w:val="000000"/>
                <w:lang w:val="en-GB"/>
              </w:rPr>
            </w:pPr>
            <w:r w:rsidRPr="00103DDB">
              <w:rPr>
                <w:rFonts w:ascii="Arial" w:hAnsi="Arial" w:cs="Arial"/>
                <w:b/>
                <w:color w:val="000000"/>
                <w:lang w:val="en-GB"/>
              </w:rPr>
              <w:t xml:space="preserve">External </w:t>
            </w:r>
            <w:r w:rsidR="003362BD" w:rsidRPr="00103DDB">
              <w:rPr>
                <w:rFonts w:ascii="Arial" w:hAnsi="Arial" w:cs="Arial"/>
                <w:b/>
                <w:color w:val="000000"/>
                <w:lang w:val="en-GB"/>
              </w:rPr>
              <w:t>r</w:t>
            </w:r>
            <w:r w:rsidRPr="00103DDB">
              <w:rPr>
                <w:rFonts w:ascii="Arial" w:hAnsi="Arial" w:cs="Arial"/>
                <w:b/>
                <w:color w:val="000000"/>
                <w:lang w:val="en-GB"/>
              </w:rPr>
              <w:t>esources</w:t>
            </w:r>
          </w:p>
        </w:tc>
        <w:tc>
          <w:tcPr>
            <w:tcW w:w="5472" w:type="dxa"/>
            <w:vAlign w:val="center"/>
            <w:hideMark/>
          </w:tcPr>
          <w:p w14:paraId="0AD31D2A" w14:textId="77777777" w:rsidR="00332FD8" w:rsidRPr="00103DDB" w:rsidRDefault="00332FD8">
            <w:pPr>
              <w:rPr>
                <w:rFonts w:ascii="Arial" w:hAnsi="Arial" w:cs="Arial"/>
                <w:color w:val="000000"/>
                <w:lang w:val="en-GB"/>
              </w:rPr>
            </w:pPr>
          </w:p>
        </w:tc>
      </w:tr>
      <w:tr w:rsidR="00332FD8" w:rsidRPr="00103DDB" w14:paraId="00E3AC65" w14:textId="77777777" w:rsidTr="003C5EA1">
        <w:trPr>
          <w:trHeight w:val="359"/>
          <w:jc w:val="center"/>
        </w:trPr>
        <w:tc>
          <w:tcPr>
            <w:tcW w:w="3780" w:type="dxa"/>
            <w:vAlign w:val="center"/>
            <w:hideMark/>
          </w:tcPr>
          <w:p w14:paraId="419AACB8" w14:textId="32CA835B" w:rsidR="00332FD8" w:rsidRPr="00103DDB" w:rsidRDefault="00332FD8">
            <w:pPr>
              <w:rPr>
                <w:rFonts w:ascii="Arial" w:hAnsi="Arial" w:cs="Arial"/>
                <w:color w:val="000000"/>
                <w:lang w:val="en-GB" w:eastAsia="en-US"/>
              </w:rPr>
            </w:pPr>
            <w:r w:rsidRPr="00103DDB">
              <w:rPr>
                <w:rFonts w:ascii="Arial" w:hAnsi="Arial" w:cs="Arial"/>
                <w:color w:val="000000"/>
                <w:lang w:val="en-GB"/>
              </w:rPr>
              <w:t xml:space="preserve">Corporate </w:t>
            </w:r>
            <w:r w:rsidR="003362BD" w:rsidRPr="00103DDB">
              <w:rPr>
                <w:rFonts w:ascii="Arial" w:hAnsi="Arial" w:cs="Arial"/>
                <w:color w:val="000000"/>
                <w:lang w:val="en-GB"/>
              </w:rPr>
              <w:t>g</w:t>
            </w:r>
            <w:r w:rsidRPr="00103DDB">
              <w:rPr>
                <w:rFonts w:ascii="Arial" w:hAnsi="Arial" w:cs="Arial"/>
                <w:color w:val="000000"/>
                <w:lang w:val="en-GB"/>
              </w:rPr>
              <w:t>overnance</w:t>
            </w:r>
          </w:p>
        </w:tc>
        <w:tc>
          <w:tcPr>
            <w:tcW w:w="5472" w:type="dxa"/>
            <w:vAlign w:val="center"/>
            <w:hideMark/>
          </w:tcPr>
          <w:p w14:paraId="65E0ECA7" w14:textId="1E1E0AAF" w:rsidR="00332FD8" w:rsidRPr="00103DDB" w:rsidRDefault="00332FD8">
            <w:pPr>
              <w:rPr>
                <w:rFonts w:ascii="Arial" w:hAnsi="Arial" w:cs="Arial"/>
                <w:color w:val="000000"/>
                <w:lang w:val="en-GB"/>
              </w:rPr>
            </w:pPr>
            <w:r w:rsidRPr="00103DDB">
              <w:rPr>
                <w:rFonts w:ascii="Arial" w:hAnsi="Arial" w:cs="Arial"/>
                <w:color w:val="000000"/>
                <w:lang w:val="en-GB"/>
              </w:rPr>
              <w:t>Not yet</w:t>
            </w:r>
          </w:p>
        </w:tc>
      </w:tr>
      <w:tr w:rsidR="00332FD8" w:rsidRPr="00103DDB" w14:paraId="7F3D5096" w14:textId="77777777" w:rsidTr="003C5EA1">
        <w:trPr>
          <w:trHeight w:val="350"/>
          <w:jc w:val="center"/>
        </w:trPr>
        <w:tc>
          <w:tcPr>
            <w:tcW w:w="3780" w:type="dxa"/>
            <w:vAlign w:val="center"/>
            <w:hideMark/>
          </w:tcPr>
          <w:p w14:paraId="39595D7B" w14:textId="018CA023" w:rsidR="00332FD8" w:rsidRPr="00103DDB" w:rsidRDefault="00332FD8">
            <w:pPr>
              <w:rPr>
                <w:rFonts w:ascii="Arial" w:hAnsi="Arial" w:cs="Arial"/>
                <w:color w:val="000000"/>
                <w:lang w:val="en-GB"/>
              </w:rPr>
            </w:pPr>
            <w:r w:rsidRPr="00103DDB">
              <w:rPr>
                <w:rFonts w:ascii="Arial" w:hAnsi="Arial" w:cs="Arial"/>
                <w:color w:val="000000"/>
                <w:lang w:val="en-GB"/>
              </w:rPr>
              <w:t xml:space="preserve">Outside </w:t>
            </w:r>
            <w:r w:rsidR="003362BD" w:rsidRPr="00103DDB">
              <w:rPr>
                <w:rFonts w:ascii="Arial" w:hAnsi="Arial" w:cs="Arial"/>
                <w:color w:val="000000"/>
                <w:lang w:val="en-GB"/>
              </w:rPr>
              <w:t>e</w:t>
            </w:r>
            <w:r w:rsidRPr="00103DDB">
              <w:rPr>
                <w:rFonts w:ascii="Arial" w:hAnsi="Arial" w:cs="Arial"/>
                <w:color w:val="000000"/>
                <w:lang w:val="en-GB"/>
              </w:rPr>
              <w:t>xperts</w:t>
            </w:r>
          </w:p>
        </w:tc>
        <w:tc>
          <w:tcPr>
            <w:tcW w:w="5472" w:type="dxa"/>
            <w:vAlign w:val="center"/>
            <w:hideMark/>
          </w:tcPr>
          <w:p w14:paraId="346419C4" w14:textId="0AE819E9" w:rsidR="00332FD8" w:rsidRPr="00103DDB" w:rsidRDefault="00332FD8">
            <w:pPr>
              <w:rPr>
                <w:rFonts w:ascii="Arial" w:hAnsi="Arial" w:cs="Arial"/>
                <w:color w:val="000000"/>
                <w:lang w:val="en-GB"/>
              </w:rPr>
            </w:pPr>
            <w:r w:rsidRPr="00103DDB">
              <w:rPr>
                <w:rFonts w:ascii="Arial" w:hAnsi="Arial" w:cs="Arial"/>
                <w:color w:val="000000"/>
                <w:lang w:val="en-GB"/>
              </w:rPr>
              <w:t>Not yet</w:t>
            </w:r>
          </w:p>
        </w:tc>
      </w:tr>
      <w:tr w:rsidR="00332FD8" w:rsidRPr="00103DDB" w14:paraId="7E8C00C8" w14:textId="77777777" w:rsidTr="003C5EA1">
        <w:trPr>
          <w:trHeight w:val="341"/>
          <w:jc w:val="center"/>
        </w:trPr>
        <w:tc>
          <w:tcPr>
            <w:tcW w:w="3780" w:type="dxa"/>
            <w:vAlign w:val="center"/>
            <w:hideMark/>
          </w:tcPr>
          <w:p w14:paraId="6E498945" w14:textId="27AC04ED" w:rsidR="00332FD8" w:rsidRPr="00103DDB" w:rsidRDefault="00332FD8">
            <w:pPr>
              <w:rPr>
                <w:rFonts w:ascii="Arial" w:hAnsi="Arial" w:cs="Arial"/>
                <w:color w:val="000000"/>
                <w:lang w:val="en-GB"/>
              </w:rPr>
            </w:pPr>
            <w:r w:rsidRPr="00103DDB">
              <w:rPr>
                <w:rFonts w:ascii="Arial" w:hAnsi="Arial" w:cs="Arial"/>
                <w:color w:val="000000"/>
                <w:lang w:val="en-GB"/>
              </w:rPr>
              <w:t xml:space="preserve">Customer </w:t>
            </w:r>
            <w:r w:rsidR="003362BD" w:rsidRPr="00103DDB">
              <w:rPr>
                <w:rFonts w:ascii="Arial" w:hAnsi="Arial" w:cs="Arial"/>
                <w:color w:val="000000"/>
                <w:lang w:val="en-GB"/>
              </w:rPr>
              <w:t>d</w:t>
            </w:r>
            <w:r w:rsidRPr="00103DDB">
              <w:rPr>
                <w:rFonts w:ascii="Arial" w:hAnsi="Arial" w:cs="Arial"/>
                <w:color w:val="000000"/>
                <w:lang w:val="en-GB"/>
              </w:rPr>
              <w:t>rive (</w:t>
            </w:r>
            <w:r w:rsidR="003362BD" w:rsidRPr="00103DDB">
              <w:rPr>
                <w:rFonts w:ascii="Arial" w:hAnsi="Arial" w:cs="Arial"/>
                <w:color w:val="000000"/>
                <w:lang w:val="en-GB"/>
              </w:rPr>
              <w:t>m</w:t>
            </w:r>
            <w:r w:rsidRPr="00103DDB">
              <w:rPr>
                <w:rFonts w:ascii="Arial" w:hAnsi="Arial" w:cs="Arial"/>
                <w:color w:val="000000"/>
                <w:lang w:val="en-GB"/>
              </w:rPr>
              <w:t>arket data/insights)</w:t>
            </w:r>
          </w:p>
        </w:tc>
        <w:tc>
          <w:tcPr>
            <w:tcW w:w="5472" w:type="dxa"/>
            <w:vAlign w:val="center"/>
            <w:hideMark/>
          </w:tcPr>
          <w:p w14:paraId="162402CC" w14:textId="0D45CAE6" w:rsidR="00332FD8" w:rsidRPr="00103DDB" w:rsidRDefault="00332FD8">
            <w:pPr>
              <w:rPr>
                <w:rFonts w:ascii="Arial" w:hAnsi="Arial" w:cs="Arial"/>
                <w:color w:val="000000"/>
                <w:lang w:val="en-GB"/>
              </w:rPr>
            </w:pPr>
            <w:r w:rsidRPr="00103DDB">
              <w:rPr>
                <w:rFonts w:ascii="Arial" w:hAnsi="Arial" w:cs="Arial"/>
                <w:color w:val="000000"/>
                <w:lang w:val="en-GB"/>
              </w:rPr>
              <w:t>Not yet</w:t>
            </w:r>
          </w:p>
        </w:tc>
      </w:tr>
      <w:tr w:rsidR="00332FD8" w:rsidRPr="00103DDB" w14:paraId="14032C85" w14:textId="77777777" w:rsidTr="003C5EA1">
        <w:trPr>
          <w:trHeight w:val="350"/>
          <w:jc w:val="center"/>
        </w:trPr>
        <w:tc>
          <w:tcPr>
            <w:tcW w:w="3780" w:type="dxa"/>
            <w:vAlign w:val="center"/>
            <w:hideMark/>
          </w:tcPr>
          <w:p w14:paraId="5C06ED18" w14:textId="77777777" w:rsidR="00332FD8" w:rsidRPr="00103DDB" w:rsidRDefault="00332FD8">
            <w:pPr>
              <w:rPr>
                <w:rFonts w:ascii="Arial" w:hAnsi="Arial" w:cs="Arial"/>
                <w:b/>
                <w:color w:val="000000"/>
                <w:lang w:val="en-GB"/>
              </w:rPr>
            </w:pPr>
            <w:r w:rsidRPr="00103DDB">
              <w:rPr>
                <w:rFonts w:ascii="Arial" w:hAnsi="Arial" w:cs="Arial"/>
                <w:b/>
                <w:color w:val="000000"/>
                <w:lang w:val="en-GB"/>
              </w:rPr>
              <w:t>Scalability</w:t>
            </w:r>
          </w:p>
        </w:tc>
        <w:tc>
          <w:tcPr>
            <w:tcW w:w="5472" w:type="dxa"/>
            <w:vAlign w:val="center"/>
            <w:hideMark/>
          </w:tcPr>
          <w:p w14:paraId="10C2960D" w14:textId="77777777" w:rsidR="00332FD8" w:rsidRPr="00103DDB" w:rsidRDefault="00332FD8">
            <w:pPr>
              <w:rPr>
                <w:rFonts w:ascii="Arial" w:hAnsi="Arial" w:cs="Arial"/>
                <w:color w:val="000000"/>
                <w:lang w:val="en-GB"/>
              </w:rPr>
            </w:pPr>
          </w:p>
        </w:tc>
      </w:tr>
      <w:tr w:rsidR="00332FD8" w:rsidRPr="00103DDB" w14:paraId="56A48F1A" w14:textId="77777777" w:rsidTr="003C5EA1">
        <w:trPr>
          <w:trHeight w:val="359"/>
          <w:jc w:val="center"/>
        </w:trPr>
        <w:tc>
          <w:tcPr>
            <w:tcW w:w="3780" w:type="dxa"/>
            <w:vAlign w:val="center"/>
            <w:hideMark/>
          </w:tcPr>
          <w:p w14:paraId="58CF9BD8" w14:textId="77777777" w:rsidR="00332FD8" w:rsidRPr="00103DDB" w:rsidRDefault="00332FD8">
            <w:pPr>
              <w:rPr>
                <w:rFonts w:ascii="Arial" w:hAnsi="Arial" w:cs="Arial"/>
                <w:color w:val="000000"/>
                <w:lang w:val="en-GB"/>
              </w:rPr>
            </w:pPr>
            <w:r w:rsidRPr="00103DDB">
              <w:rPr>
                <w:rFonts w:ascii="Arial" w:hAnsi="Arial" w:cs="Arial"/>
                <w:color w:val="000000"/>
                <w:lang w:val="en-GB"/>
              </w:rPr>
              <w:t>Focus</w:t>
            </w:r>
          </w:p>
        </w:tc>
        <w:tc>
          <w:tcPr>
            <w:tcW w:w="5472" w:type="dxa"/>
            <w:vAlign w:val="center"/>
            <w:hideMark/>
          </w:tcPr>
          <w:p w14:paraId="2F9A89C8" w14:textId="49858204" w:rsidR="00332FD8" w:rsidRPr="00103DDB" w:rsidRDefault="00332FD8">
            <w:pPr>
              <w:rPr>
                <w:rFonts w:ascii="Arial" w:hAnsi="Arial" w:cs="Arial"/>
                <w:color w:val="000000"/>
                <w:lang w:val="en-GB"/>
              </w:rPr>
            </w:pPr>
            <w:r w:rsidRPr="00103DDB">
              <w:rPr>
                <w:rFonts w:ascii="Arial" w:hAnsi="Arial" w:cs="Arial"/>
                <w:color w:val="000000"/>
                <w:lang w:val="en-GB"/>
              </w:rPr>
              <w:t>Founders were always focused on core business.</w:t>
            </w:r>
          </w:p>
        </w:tc>
      </w:tr>
      <w:tr w:rsidR="00332FD8" w:rsidRPr="00103DDB" w14:paraId="7E09525F" w14:textId="77777777" w:rsidTr="003C5EA1">
        <w:trPr>
          <w:trHeight w:val="350"/>
          <w:jc w:val="center"/>
        </w:trPr>
        <w:tc>
          <w:tcPr>
            <w:tcW w:w="3780" w:type="dxa"/>
            <w:vAlign w:val="center"/>
            <w:hideMark/>
          </w:tcPr>
          <w:p w14:paraId="0212C34C" w14:textId="682BC8A0" w:rsidR="00332FD8" w:rsidRPr="00103DDB" w:rsidRDefault="003161AD">
            <w:pPr>
              <w:rPr>
                <w:rFonts w:ascii="Arial" w:hAnsi="Arial" w:cs="Arial"/>
                <w:color w:val="000000"/>
                <w:lang w:val="en-GB"/>
              </w:rPr>
            </w:pPr>
            <w:r w:rsidRPr="00103DDB">
              <w:rPr>
                <w:rFonts w:ascii="Arial" w:hAnsi="Arial" w:cs="Arial"/>
                <w:color w:val="000000"/>
                <w:lang w:val="en-GB"/>
              </w:rPr>
              <w:t>Enterprise resource planning</w:t>
            </w:r>
            <w:r w:rsidR="003C3E98" w:rsidRPr="00103DDB">
              <w:rPr>
                <w:rFonts w:ascii="Arial" w:hAnsi="Arial" w:cs="Arial"/>
                <w:color w:val="000000"/>
                <w:lang w:val="en-GB"/>
              </w:rPr>
              <w:t xml:space="preserve"> </w:t>
            </w:r>
            <w:r w:rsidR="003362BD" w:rsidRPr="00103DDB">
              <w:rPr>
                <w:rFonts w:ascii="Arial" w:hAnsi="Arial" w:cs="Arial"/>
                <w:color w:val="000000"/>
                <w:lang w:val="en-GB"/>
              </w:rPr>
              <w:t>and p</w:t>
            </w:r>
            <w:r w:rsidR="00332FD8" w:rsidRPr="00103DDB">
              <w:rPr>
                <w:rFonts w:ascii="Arial" w:hAnsi="Arial" w:cs="Arial"/>
                <w:color w:val="000000"/>
                <w:lang w:val="en-GB"/>
              </w:rPr>
              <w:t xml:space="preserve">rocess </w:t>
            </w:r>
            <w:r w:rsidR="003362BD" w:rsidRPr="00103DDB">
              <w:rPr>
                <w:rFonts w:ascii="Arial" w:hAnsi="Arial" w:cs="Arial"/>
                <w:color w:val="000000"/>
                <w:lang w:val="en-GB"/>
              </w:rPr>
              <w:t>a</w:t>
            </w:r>
            <w:r w:rsidR="00332FD8" w:rsidRPr="00103DDB">
              <w:rPr>
                <w:rFonts w:ascii="Arial" w:hAnsi="Arial" w:cs="Arial"/>
                <w:color w:val="000000"/>
                <w:lang w:val="en-GB"/>
              </w:rPr>
              <w:t>utomation</w:t>
            </w:r>
          </w:p>
        </w:tc>
        <w:tc>
          <w:tcPr>
            <w:tcW w:w="5472" w:type="dxa"/>
            <w:vAlign w:val="center"/>
            <w:hideMark/>
          </w:tcPr>
          <w:p w14:paraId="24DAEED6" w14:textId="28998E27" w:rsidR="00332FD8" w:rsidRPr="00103DDB" w:rsidRDefault="00332FD8" w:rsidP="00A74758">
            <w:pPr>
              <w:rPr>
                <w:rFonts w:ascii="Arial" w:hAnsi="Arial" w:cs="Arial"/>
                <w:color w:val="000000"/>
                <w:lang w:val="en-GB"/>
              </w:rPr>
            </w:pPr>
            <w:r w:rsidRPr="00103DDB">
              <w:rPr>
                <w:rFonts w:ascii="Arial" w:hAnsi="Arial" w:cs="Arial"/>
                <w:color w:val="000000"/>
                <w:lang w:val="en-GB"/>
              </w:rPr>
              <w:t>E</w:t>
            </w:r>
            <w:r w:rsidR="00A74758">
              <w:rPr>
                <w:rFonts w:ascii="Arial" w:hAnsi="Arial" w:cs="Arial"/>
                <w:color w:val="000000"/>
                <w:lang w:val="en-GB"/>
              </w:rPr>
              <w:t xml:space="preserve">nterprise resource planning </w:t>
            </w:r>
            <w:r w:rsidRPr="00103DDB">
              <w:rPr>
                <w:rFonts w:ascii="Arial" w:hAnsi="Arial" w:cs="Arial"/>
                <w:color w:val="000000"/>
                <w:lang w:val="en-GB"/>
              </w:rPr>
              <w:t>was always a strength of the company.</w:t>
            </w:r>
          </w:p>
        </w:tc>
      </w:tr>
      <w:tr w:rsidR="00332FD8" w:rsidRPr="00103DDB" w14:paraId="2B5AAE86" w14:textId="77777777" w:rsidTr="003C5EA1">
        <w:trPr>
          <w:trHeight w:val="431"/>
          <w:jc w:val="center"/>
        </w:trPr>
        <w:tc>
          <w:tcPr>
            <w:tcW w:w="3780" w:type="dxa"/>
            <w:vAlign w:val="center"/>
            <w:hideMark/>
          </w:tcPr>
          <w:p w14:paraId="46A9F40F" w14:textId="4A6CCB3C" w:rsidR="00332FD8" w:rsidRPr="00103DDB" w:rsidRDefault="00AF6F01">
            <w:pPr>
              <w:rPr>
                <w:rFonts w:ascii="Arial" w:hAnsi="Arial" w:cs="Arial"/>
                <w:color w:val="000000"/>
                <w:lang w:val="en-GB"/>
              </w:rPr>
            </w:pPr>
            <w:r w:rsidRPr="00103DDB">
              <w:rPr>
                <w:rFonts w:ascii="Arial" w:hAnsi="Arial" w:cs="Arial"/>
                <w:color w:val="000000"/>
                <w:lang w:val="en-GB"/>
              </w:rPr>
              <w:t>D</w:t>
            </w:r>
            <w:r w:rsidR="00332FD8" w:rsidRPr="00103DDB">
              <w:rPr>
                <w:rFonts w:ascii="Arial" w:hAnsi="Arial" w:cs="Arial"/>
                <w:color w:val="000000"/>
                <w:lang w:val="en-GB"/>
              </w:rPr>
              <w:t xml:space="preserve">elegation </w:t>
            </w:r>
            <w:r w:rsidR="003362BD" w:rsidRPr="00103DDB">
              <w:rPr>
                <w:rFonts w:ascii="Arial" w:hAnsi="Arial" w:cs="Arial"/>
                <w:color w:val="000000"/>
                <w:lang w:val="en-GB"/>
              </w:rPr>
              <w:t>and</w:t>
            </w:r>
            <w:r w:rsidR="00332FD8" w:rsidRPr="00103DDB">
              <w:rPr>
                <w:rFonts w:ascii="Arial" w:hAnsi="Arial" w:cs="Arial"/>
                <w:color w:val="000000"/>
                <w:lang w:val="en-GB"/>
              </w:rPr>
              <w:t xml:space="preserve"> </w:t>
            </w:r>
            <w:r w:rsidR="003362BD" w:rsidRPr="00103DDB">
              <w:rPr>
                <w:rFonts w:ascii="Arial" w:hAnsi="Arial" w:cs="Arial"/>
                <w:color w:val="000000"/>
                <w:lang w:val="en-GB"/>
              </w:rPr>
              <w:t>a</w:t>
            </w:r>
            <w:r w:rsidR="00332FD8" w:rsidRPr="00103DDB">
              <w:rPr>
                <w:rFonts w:ascii="Arial" w:hAnsi="Arial" w:cs="Arial"/>
                <w:color w:val="000000"/>
                <w:lang w:val="en-GB"/>
              </w:rPr>
              <w:t>ccountability</w:t>
            </w:r>
          </w:p>
        </w:tc>
        <w:tc>
          <w:tcPr>
            <w:tcW w:w="5472" w:type="dxa"/>
            <w:vAlign w:val="center"/>
            <w:hideMark/>
          </w:tcPr>
          <w:p w14:paraId="0104AC82" w14:textId="4ABDAC11" w:rsidR="00332FD8" w:rsidRPr="00103DDB" w:rsidRDefault="00332FD8">
            <w:pPr>
              <w:rPr>
                <w:rFonts w:ascii="Arial" w:hAnsi="Arial" w:cs="Arial"/>
                <w:color w:val="000000"/>
                <w:lang w:val="en-GB"/>
              </w:rPr>
            </w:pPr>
            <w:r w:rsidRPr="00103DDB">
              <w:rPr>
                <w:rFonts w:ascii="Arial" w:hAnsi="Arial" w:cs="Arial"/>
                <w:color w:val="000000"/>
                <w:lang w:val="en-GB"/>
              </w:rPr>
              <w:t>Not yet</w:t>
            </w:r>
          </w:p>
        </w:tc>
      </w:tr>
    </w:tbl>
    <w:p w14:paraId="50E62678" w14:textId="77777777" w:rsidR="00332FD8" w:rsidRPr="00103DDB" w:rsidRDefault="00332FD8" w:rsidP="003C5EA1">
      <w:pPr>
        <w:pStyle w:val="Footnote"/>
        <w:rPr>
          <w:lang w:val="en-GB"/>
        </w:rPr>
      </w:pPr>
    </w:p>
    <w:p w14:paraId="285E9C21" w14:textId="3BC27F53" w:rsidR="00332FD8" w:rsidRPr="00103DDB" w:rsidRDefault="00332FD8" w:rsidP="003C5EA1">
      <w:pPr>
        <w:pStyle w:val="Footnote"/>
        <w:rPr>
          <w:lang w:val="en-GB"/>
        </w:rPr>
      </w:pPr>
      <w:r w:rsidRPr="00103DDB">
        <w:rPr>
          <w:lang w:val="en-GB"/>
        </w:rPr>
        <w:t xml:space="preserve">Source: </w:t>
      </w:r>
      <w:r w:rsidR="00C55178">
        <w:rPr>
          <w:lang w:val="en-GB"/>
        </w:rPr>
        <w:t>Company</w:t>
      </w:r>
      <w:r w:rsidRPr="00103DDB">
        <w:rPr>
          <w:lang w:val="en-GB"/>
        </w:rPr>
        <w:t xml:space="preserve"> documents.</w:t>
      </w:r>
    </w:p>
    <w:p w14:paraId="50986791" w14:textId="77777777" w:rsidR="005D3D57" w:rsidRPr="00103DDB" w:rsidRDefault="005D3D57" w:rsidP="00332FD8">
      <w:pPr>
        <w:pStyle w:val="Footnote"/>
        <w:rPr>
          <w:lang w:val="en-GB"/>
        </w:rPr>
      </w:pPr>
    </w:p>
    <w:sectPr w:rsidR="005D3D57" w:rsidRPr="00103DDB" w:rsidSect="0013576C">
      <w:headerReference w:type="default" r:id="rId18"/>
      <w:endnotePr>
        <w:numFmt w:val="decimal"/>
      </w:endnotePr>
      <w:pgSz w:w="12240" w:h="15840"/>
      <w:pgMar w:top="1080" w:right="1440" w:bottom="1440" w:left="1440" w:header="1080" w:footer="720" w:gutter="0"/>
      <w:cols w:space="720"/>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3DC2520" w16cid:durableId="1E1B54E4"/>
  <w16cid:commentId w16cid:paraId="10219EDF" w16cid:durableId="1E1B5B25"/>
  <w16cid:commentId w16cid:paraId="5A9E23BA" w16cid:durableId="1E1C0B08"/>
  <w16cid:commentId w16cid:paraId="4559249B" w16cid:durableId="1E1C0BBD"/>
  <w16cid:commentId w16cid:paraId="2F1625D4" w16cid:durableId="1E1C12AE"/>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9A795E1" w14:textId="77777777" w:rsidR="00596C33" w:rsidRDefault="00596C33" w:rsidP="00D75295">
      <w:r>
        <w:separator/>
      </w:r>
    </w:p>
  </w:endnote>
  <w:endnote w:type="continuationSeparator" w:id="0">
    <w:p w14:paraId="66EA7157" w14:textId="77777777" w:rsidR="00596C33" w:rsidRDefault="00596C33"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F60B903" w14:textId="77777777" w:rsidR="00596C33" w:rsidRDefault="00596C33" w:rsidP="00D75295">
      <w:r>
        <w:separator/>
      </w:r>
    </w:p>
  </w:footnote>
  <w:footnote w:type="continuationSeparator" w:id="0">
    <w:p w14:paraId="18359745" w14:textId="77777777" w:rsidR="00596C33" w:rsidRDefault="00596C33" w:rsidP="00D75295">
      <w:r>
        <w:continuationSeparator/>
      </w:r>
    </w:p>
  </w:footnote>
  <w:footnote w:id="1">
    <w:p w14:paraId="72F650B1" w14:textId="215FC669" w:rsidR="00596C33" w:rsidRPr="00EA029D" w:rsidRDefault="00596C33" w:rsidP="00EA029D">
      <w:pPr>
        <w:pStyle w:val="Footnote"/>
        <w:rPr>
          <w:lang w:val="en-GB"/>
        </w:rPr>
      </w:pPr>
      <w:r>
        <w:rPr>
          <w:rStyle w:val="FootnoteReference"/>
        </w:rPr>
        <w:footnoteRef/>
      </w:r>
      <w:r>
        <w:t xml:space="preserve"> </w:t>
      </w:r>
      <w:proofErr w:type="spellStart"/>
      <w:r w:rsidRPr="00103DDB">
        <w:rPr>
          <w:bCs/>
          <w:i/>
          <w:color w:val="272727"/>
          <w:lang w:val="en-GB"/>
        </w:rPr>
        <w:t>Thế</w:t>
      </w:r>
      <w:proofErr w:type="spellEnd"/>
      <w:r w:rsidRPr="00103DDB">
        <w:rPr>
          <w:bCs/>
          <w:i/>
          <w:color w:val="272727"/>
          <w:lang w:val="en-GB"/>
        </w:rPr>
        <w:t xml:space="preserve"> </w:t>
      </w:r>
      <w:proofErr w:type="spellStart"/>
      <w:r w:rsidRPr="00103DDB">
        <w:rPr>
          <w:bCs/>
          <w:i/>
          <w:color w:val="272727"/>
          <w:lang w:val="en-GB"/>
        </w:rPr>
        <w:t>giới</w:t>
      </w:r>
      <w:proofErr w:type="spellEnd"/>
      <w:r w:rsidRPr="00103DDB">
        <w:rPr>
          <w:bCs/>
          <w:i/>
          <w:color w:val="272727"/>
          <w:lang w:val="en-GB"/>
        </w:rPr>
        <w:t xml:space="preserve"> Di </w:t>
      </w:r>
      <w:proofErr w:type="spellStart"/>
      <w:r w:rsidRPr="00103DDB">
        <w:rPr>
          <w:bCs/>
          <w:i/>
          <w:color w:val="272727"/>
          <w:lang w:val="en-GB"/>
        </w:rPr>
        <w:t>động</w:t>
      </w:r>
      <w:proofErr w:type="spellEnd"/>
      <w:r w:rsidRPr="00103DDB">
        <w:rPr>
          <w:lang w:val="en-GB"/>
        </w:rPr>
        <w:t xml:space="preserve"> in Vietnamese</w:t>
      </w:r>
      <w:r>
        <w:rPr>
          <w:lang w:val="en-GB"/>
        </w:rPr>
        <w:t>.</w:t>
      </w:r>
    </w:p>
  </w:footnote>
  <w:footnote w:id="2">
    <w:p w14:paraId="79EEF7BA" w14:textId="537E9FB6" w:rsidR="00596C33" w:rsidRPr="003C5BB6" w:rsidRDefault="00596C33">
      <w:pPr>
        <w:pStyle w:val="FootnoteText"/>
        <w:rPr>
          <w:rFonts w:ascii="Arial" w:hAnsi="Arial" w:cs="Arial"/>
          <w:sz w:val="17"/>
          <w:szCs w:val="17"/>
        </w:rPr>
      </w:pPr>
      <w:r w:rsidRPr="003C5BB6">
        <w:rPr>
          <w:rStyle w:val="FootnoteReference"/>
          <w:rFonts w:ascii="Arial" w:hAnsi="Arial" w:cs="Arial"/>
          <w:sz w:val="17"/>
          <w:szCs w:val="17"/>
        </w:rPr>
        <w:footnoteRef/>
      </w:r>
      <w:r w:rsidRPr="003C5BB6">
        <w:rPr>
          <w:rFonts w:ascii="Arial" w:hAnsi="Arial" w:cs="Arial"/>
          <w:sz w:val="17"/>
          <w:szCs w:val="17"/>
        </w:rPr>
        <w:t xml:space="preserve"> All currency amounts are in US$ unless otherwise specified.</w:t>
      </w:r>
    </w:p>
  </w:footnote>
  <w:footnote w:id="3">
    <w:p w14:paraId="476643E5" w14:textId="7E1D690B" w:rsidR="00596C33" w:rsidRPr="00F079F4" w:rsidRDefault="00596C33">
      <w:pPr>
        <w:pStyle w:val="FootnoteText"/>
        <w:rPr>
          <w:rFonts w:ascii="Arial" w:hAnsi="Arial" w:cs="Arial"/>
          <w:sz w:val="17"/>
          <w:szCs w:val="17"/>
        </w:rPr>
      </w:pPr>
      <w:r w:rsidRPr="00F079F4">
        <w:rPr>
          <w:rStyle w:val="FootnoteReference"/>
          <w:rFonts w:ascii="Arial" w:hAnsi="Arial" w:cs="Arial"/>
          <w:sz w:val="17"/>
          <w:szCs w:val="17"/>
        </w:rPr>
        <w:footnoteRef/>
      </w:r>
      <w:r w:rsidRPr="00F079F4">
        <w:rPr>
          <w:rFonts w:ascii="Arial" w:hAnsi="Arial" w:cs="Arial"/>
          <w:sz w:val="17"/>
          <w:szCs w:val="17"/>
        </w:rPr>
        <w:t xml:space="preserve"> The Viet</w:t>
      </w:r>
      <w:r>
        <w:rPr>
          <w:rFonts w:ascii="Arial" w:hAnsi="Arial" w:cs="Arial"/>
          <w:sz w:val="17"/>
          <w:szCs w:val="17"/>
        </w:rPr>
        <w:t>namese Communist Party (VCP) had</w:t>
      </w:r>
      <w:r w:rsidRPr="00F079F4">
        <w:rPr>
          <w:rFonts w:ascii="Arial" w:hAnsi="Arial" w:cs="Arial"/>
          <w:sz w:val="17"/>
          <w:szCs w:val="17"/>
        </w:rPr>
        <w:t xml:space="preserve"> had a monopoly on power in a united Vietnam since 1975</w:t>
      </w:r>
      <w:r>
        <w:rPr>
          <w:rFonts w:ascii="Arial" w:hAnsi="Arial" w:cs="Arial"/>
          <w:sz w:val="17"/>
          <w:szCs w:val="17"/>
        </w:rPr>
        <w:t>. As in China, the VCP continued</w:t>
      </w:r>
      <w:r w:rsidRPr="00F079F4">
        <w:rPr>
          <w:rFonts w:ascii="Arial" w:hAnsi="Arial" w:cs="Arial"/>
          <w:sz w:val="17"/>
          <w:szCs w:val="17"/>
        </w:rPr>
        <w:t xml:space="preserve"> to claim to </w:t>
      </w:r>
      <w:r>
        <w:rPr>
          <w:rFonts w:ascii="Arial" w:hAnsi="Arial" w:cs="Arial"/>
          <w:sz w:val="17"/>
          <w:szCs w:val="17"/>
        </w:rPr>
        <w:t>oversee</w:t>
      </w:r>
      <w:r w:rsidRPr="00F079F4">
        <w:rPr>
          <w:rFonts w:ascii="Arial" w:hAnsi="Arial" w:cs="Arial"/>
          <w:sz w:val="17"/>
          <w:szCs w:val="17"/>
        </w:rPr>
        <w:t xml:space="preserve"> a “socialist-oriented market economy</w:t>
      </w:r>
      <w:r>
        <w:rPr>
          <w:rFonts w:ascii="Arial" w:hAnsi="Arial" w:cs="Arial"/>
          <w:sz w:val="17"/>
          <w:szCs w:val="17"/>
        </w:rPr>
        <w:t>.</w:t>
      </w:r>
      <w:r w:rsidRPr="00F079F4">
        <w:rPr>
          <w:rFonts w:ascii="Arial" w:hAnsi="Arial" w:cs="Arial"/>
          <w:sz w:val="17"/>
          <w:szCs w:val="17"/>
        </w:rPr>
        <w:t>”</w:t>
      </w:r>
    </w:p>
  </w:footnote>
  <w:footnote w:id="4">
    <w:p w14:paraId="57B12B0F" w14:textId="7298C9BE" w:rsidR="00596C33" w:rsidRPr="006A183C" w:rsidRDefault="00596C33" w:rsidP="0013576C">
      <w:pPr>
        <w:pStyle w:val="Footnote"/>
      </w:pPr>
      <w:r w:rsidRPr="00E20F8C">
        <w:rPr>
          <w:rStyle w:val="FootnoteReference"/>
        </w:rPr>
        <w:footnoteRef/>
      </w:r>
      <w:r w:rsidRPr="00E20F8C">
        <w:t xml:space="preserve"> “New JV </w:t>
      </w:r>
      <w:proofErr w:type="gramStart"/>
      <w:r w:rsidRPr="00E20F8C">
        <w:t>To</w:t>
      </w:r>
      <w:proofErr w:type="gramEnd"/>
      <w:r w:rsidRPr="00E20F8C">
        <w:t xml:space="preserve"> Be Set Up to Manage Indochina Capital Vietnam,” New Vie</w:t>
      </w:r>
      <w:r w:rsidRPr="006A183C">
        <w:t xml:space="preserve">tnam Corporate Company Business Registration Incorporation, </w:t>
      </w:r>
      <w:r>
        <w:t>a</w:t>
      </w:r>
      <w:r w:rsidRPr="006A183C">
        <w:t>cces</w:t>
      </w:r>
      <w:r>
        <w:t>s</w:t>
      </w:r>
      <w:r w:rsidRPr="006A183C">
        <w:t>ed June 20, 2016</w:t>
      </w:r>
      <w:r>
        <w:t xml:space="preserve">, </w:t>
      </w:r>
      <w:r w:rsidRPr="00F079F4">
        <w:rPr>
          <w:rStyle w:val="Hyperlink"/>
          <w:color w:val="auto"/>
          <w:u w:val="none"/>
        </w:rPr>
        <w:t>www.vnbusinessreg.com/jv-set-manage-indochina-capital-vietnam</w:t>
      </w:r>
      <w:r w:rsidRPr="006A183C">
        <w:t>.</w:t>
      </w:r>
    </w:p>
  </w:footnote>
  <w:footnote w:id="5">
    <w:p w14:paraId="02990FBE" w14:textId="0476B2EC" w:rsidR="00596C33" w:rsidRPr="00F079F4" w:rsidRDefault="00596C33" w:rsidP="006B076B">
      <w:pPr>
        <w:pStyle w:val="FootnoteText"/>
        <w:jc w:val="both"/>
        <w:rPr>
          <w:rFonts w:ascii="Arial" w:hAnsi="Arial" w:cs="Arial"/>
          <w:sz w:val="17"/>
          <w:szCs w:val="17"/>
        </w:rPr>
      </w:pPr>
      <w:r w:rsidRPr="00F079F4">
        <w:rPr>
          <w:rStyle w:val="FootnoteReference"/>
          <w:rFonts w:ascii="Arial" w:hAnsi="Arial" w:cs="Arial"/>
          <w:sz w:val="17"/>
          <w:szCs w:val="17"/>
        </w:rPr>
        <w:footnoteRef/>
      </w:r>
      <w:r w:rsidRPr="00F079F4">
        <w:rPr>
          <w:rFonts w:ascii="Arial" w:hAnsi="Arial" w:cs="Arial"/>
          <w:sz w:val="17"/>
          <w:szCs w:val="17"/>
        </w:rPr>
        <w:t xml:space="preserve"> Geoffrey Cain, “The End of the Vietnamese Miracle</w:t>
      </w:r>
      <w:r>
        <w:rPr>
          <w:rFonts w:ascii="Arial" w:hAnsi="Arial" w:cs="Arial"/>
          <w:sz w:val="17"/>
          <w:szCs w:val="17"/>
        </w:rPr>
        <w:t>,</w:t>
      </w:r>
      <w:r w:rsidRPr="00F079F4">
        <w:rPr>
          <w:rFonts w:ascii="Arial" w:hAnsi="Arial" w:cs="Arial"/>
          <w:sz w:val="17"/>
          <w:szCs w:val="17"/>
        </w:rPr>
        <w:t xml:space="preserve">” </w:t>
      </w:r>
      <w:r w:rsidRPr="00F079F4">
        <w:rPr>
          <w:rFonts w:ascii="Arial" w:hAnsi="Arial" w:cs="Arial"/>
          <w:i/>
          <w:sz w:val="17"/>
          <w:szCs w:val="17"/>
        </w:rPr>
        <w:t>Foreign Policy</w:t>
      </w:r>
      <w:r w:rsidRPr="00F079F4">
        <w:rPr>
          <w:rFonts w:ascii="Arial" w:hAnsi="Arial" w:cs="Arial"/>
          <w:sz w:val="17"/>
          <w:szCs w:val="17"/>
        </w:rPr>
        <w:t>,</w:t>
      </w:r>
      <w:r>
        <w:rPr>
          <w:rFonts w:ascii="Arial" w:hAnsi="Arial" w:cs="Arial"/>
          <w:sz w:val="17"/>
          <w:szCs w:val="17"/>
        </w:rPr>
        <w:t xml:space="preserve"> July 11, 2012, accessed April 26, 2018, </w:t>
      </w:r>
      <w:r w:rsidRPr="006B076B">
        <w:rPr>
          <w:rFonts w:ascii="Arial" w:hAnsi="Arial" w:cs="Arial"/>
          <w:sz w:val="17"/>
          <w:szCs w:val="17"/>
        </w:rPr>
        <w:t>https://foreignpolicy.com/2012/07/11/the-end-of-the-vietnamese-miracle/</w:t>
      </w:r>
      <w:r>
        <w:rPr>
          <w:rFonts w:ascii="Arial" w:hAnsi="Arial" w:cs="Arial"/>
          <w:sz w:val="17"/>
          <w:szCs w:val="17"/>
        </w:rPr>
        <w:t>.</w:t>
      </w:r>
    </w:p>
  </w:footnote>
  <w:footnote w:id="6">
    <w:p w14:paraId="42CDB79D" w14:textId="677E7E18" w:rsidR="00596C33" w:rsidRPr="006A183C" w:rsidRDefault="00596C33" w:rsidP="0013576C">
      <w:pPr>
        <w:pStyle w:val="Footnote"/>
      </w:pPr>
      <w:r w:rsidRPr="00E20F8C">
        <w:rPr>
          <w:rStyle w:val="FootnoteReference"/>
        </w:rPr>
        <w:footnoteRef/>
      </w:r>
      <w:r w:rsidRPr="00E20F8C">
        <w:t xml:space="preserve"> Markus </w:t>
      </w:r>
      <w:proofErr w:type="spellStart"/>
      <w:r w:rsidRPr="00E20F8C">
        <w:t>Taussig</w:t>
      </w:r>
      <w:proofErr w:type="spellEnd"/>
      <w:r w:rsidRPr="00E20F8C">
        <w:t xml:space="preserve"> and </w:t>
      </w:r>
      <w:r w:rsidRPr="006A183C">
        <w:t xml:space="preserve">Andrew Delios, “Unbundling the Effects of Institutions on Firm Resources: The Contingent Effect of Being Local in Emerging Economy Private Equity,” </w:t>
      </w:r>
      <w:r w:rsidRPr="006A183C">
        <w:rPr>
          <w:i/>
        </w:rPr>
        <w:t xml:space="preserve">Strategic Management Journal </w:t>
      </w:r>
      <w:r>
        <w:t>36, no. 36 (December 2015): 1845–1865.</w:t>
      </w:r>
    </w:p>
  </w:footnote>
  <w:footnote w:id="7">
    <w:p w14:paraId="6909E1B7" w14:textId="4528538B" w:rsidR="00596C33" w:rsidRPr="006A183C" w:rsidRDefault="00596C33" w:rsidP="0013576C">
      <w:pPr>
        <w:pStyle w:val="Footnote"/>
      </w:pPr>
      <w:r w:rsidRPr="00E20F8C">
        <w:rPr>
          <w:rStyle w:val="FootnoteReference"/>
        </w:rPr>
        <w:footnoteRef/>
      </w:r>
      <w:r w:rsidRPr="00E20F8C">
        <w:t xml:space="preserve"> </w:t>
      </w:r>
      <w:proofErr w:type="spellStart"/>
      <w:r w:rsidRPr="00E20F8C">
        <w:t>Quan</w:t>
      </w:r>
      <w:proofErr w:type="spellEnd"/>
      <w:r w:rsidRPr="00E20F8C">
        <w:t>-Hoang</w:t>
      </w:r>
      <w:r w:rsidRPr="006A183C">
        <w:t xml:space="preserve"> </w:t>
      </w:r>
      <w:proofErr w:type="spellStart"/>
      <w:r w:rsidRPr="006A183C">
        <w:t>Vuong</w:t>
      </w:r>
      <w:proofErr w:type="spellEnd"/>
      <w:r w:rsidRPr="006A183C">
        <w:t xml:space="preserve">, </w:t>
      </w:r>
      <w:r w:rsidRPr="006A183C">
        <w:rPr>
          <w:i/>
        </w:rPr>
        <w:t xml:space="preserve">Financial Markets in Vietnam's Transition Economy </w:t>
      </w:r>
      <w:r>
        <w:t>(</w:t>
      </w:r>
      <w:proofErr w:type="spellStart"/>
      <w:r>
        <w:t>Saarbrücken</w:t>
      </w:r>
      <w:proofErr w:type="spellEnd"/>
      <w:r w:rsidRPr="006A183C">
        <w:t xml:space="preserve">: VDM </w:t>
      </w:r>
      <w:proofErr w:type="spellStart"/>
      <w:r w:rsidRPr="006A183C">
        <w:t>Verlag</w:t>
      </w:r>
      <w:proofErr w:type="spellEnd"/>
      <w:r w:rsidRPr="006A183C">
        <w:t xml:space="preserve">, 2010), 221–222; Nancy K. Napier and </w:t>
      </w:r>
      <w:proofErr w:type="spellStart"/>
      <w:r w:rsidRPr="006A183C">
        <w:t>Quan</w:t>
      </w:r>
      <w:proofErr w:type="spellEnd"/>
      <w:r w:rsidRPr="006A183C">
        <w:t xml:space="preserve">-Hoang </w:t>
      </w:r>
      <w:proofErr w:type="spellStart"/>
      <w:r w:rsidRPr="006A183C">
        <w:t>Vuong</w:t>
      </w:r>
      <w:proofErr w:type="spellEnd"/>
      <w:r w:rsidRPr="006A183C">
        <w:t xml:space="preserve">. “Getting to the Real Story: What Vietnamese Business People Wish Foreigners Understood about Doing Business in Emerging and Transition Countries Like Vietnam—before They Start,” </w:t>
      </w:r>
      <w:r w:rsidRPr="006A183C">
        <w:rPr>
          <w:i/>
        </w:rPr>
        <w:t xml:space="preserve">International Journal of Human Resources Development and Management </w:t>
      </w:r>
      <w:r w:rsidRPr="006A183C">
        <w:t>11, nos. 2–4 (2011): 208–220.</w:t>
      </w:r>
    </w:p>
  </w:footnote>
  <w:footnote w:id="8">
    <w:p w14:paraId="3B2527F6" w14:textId="363E30A5" w:rsidR="00596C33" w:rsidRPr="006A183C" w:rsidRDefault="00596C33" w:rsidP="0013576C">
      <w:pPr>
        <w:pStyle w:val="Footnote"/>
      </w:pPr>
      <w:r w:rsidRPr="003C5BB6">
        <w:rPr>
          <w:rStyle w:val="FootnoteReference"/>
        </w:rPr>
        <w:footnoteRef/>
      </w:r>
      <w:r w:rsidRPr="003C5BB6">
        <w:t xml:space="preserve"> </w:t>
      </w:r>
      <w:r w:rsidRPr="00E20F8C">
        <w:t xml:space="preserve">“Saigon Gas,” Mekong Capital, </w:t>
      </w:r>
      <w:r>
        <w:t>a</w:t>
      </w:r>
      <w:r w:rsidRPr="006A183C">
        <w:t>ccessed June 20, 2016</w:t>
      </w:r>
      <w:r>
        <w:t xml:space="preserve">, </w:t>
      </w:r>
      <w:r w:rsidRPr="00F079F4">
        <w:rPr>
          <w:rStyle w:val="Hyperlink"/>
          <w:color w:val="auto"/>
          <w:u w:val="none"/>
        </w:rPr>
        <w:t>www.mekongcapital.com/en/investments/saigon-gas</w:t>
      </w:r>
      <w:r w:rsidRPr="006A183C">
        <w:t>.</w:t>
      </w:r>
    </w:p>
  </w:footnote>
  <w:footnote w:id="9">
    <w:p w14:paraId="1B7AD339" w14:textId="0067672E" w:rsidR="00596C33" w:rsidRPr="003C5BB6" w:rsidRDefault="00596C33" w:rsidP="006B076B">
      <w:pPr>
        <w:pStyle w:val="Footnote"/>
      </w:pPr>
      <w:r w:rsidRPr="006B076B">
        <w:rPr>
          <w:rStyle w:val="FootnoteReference"/>
        </w:rPr>
        <w:footnoteRef/>
      </w:r>
      <w:r w:rsidRPr="006B076B">
        <w:t xml:space="preserve"> “Mobile Phone, Internet Boom,” Vietnam News: Economy, updated January 3, 2008, accessed June 20, 2016,</w:t>
      </w:r>
      <w:r>
        <w:t xml:space="preserve"> </w:t>
      </w:r>
      <w:r w:rsidRPr="006B076B">
        <w:rPr>
          <w:rStyle w:val="Hyperlink"/>
          <w:color w:val="auto"/>
          <w:u w:val="none"/>
        </w:rPr>
        <w:t>http://vietnamnews.vn/economy/172569/mobile-phone-internet-boom.html#csxLralolHJpcWDD.97</w:t>
      </w:r>
      <w:r w:rsidRPr="006B076B">
        <w:t>.</w:t>
      </w:r>
    </w:p>
  </w:footnote>
  <w:footnote w:id="10">
    <w:p w14:paraId="4960C636" w14:textId="608744CA" w:rsidR="00596C33" w:rsidRPr="00596C33" w:rsidRDefault="00596C33" w:rsidP="00C55178">
      <w:pPr>
        <w:pStyle w:val="FootnoteText"/>
        <w:rPr>
          <w:lang w:val="en-GB"/>
        </w:rPr>
      </w:pPr>
      <w:r w:rsidRPr="00B77ADC">
        <w:rPr>
          <w:rStyle w:val="FootnoteChar"/>
          <w:vertAlign w:val="superscript"/>
        </w:rPr>
        <w:footnoteRef/>
      </w:r>
      <w:r>
        <w:t xml:space="preserve"> </w:t>
      </w:r>
      <w:proofErr w:type="spellStart"/>
      <w:r w:rsidRPr="00103DDB">
        <w:rPr>
          <w:i/>
          <w:lang w:val="en-GB"/>
        </w:rPr>
        <w:t>Thế</w:t>
      </w:r>
      <w:proofErr w:type="spellEnd"/>
      <w:r w:rsidRPr="00103DDB">
        <w:rPr>
          <w:i/>
          <w:lang w:val="en-GB"/>
        </w:rPr>
        <w:t xml:space="preserve"> </w:t>
      </w:r>
      <w:proofErr w:type="spellStart"/>
      <w:r w:rsidRPr="00103DDB">
        <w:rPr>
          <w:i/>
          <w:lang w:val="en-GB"/>
        </w:rPr>
        <w:t>giới</w:t>
      </w:r>
      <w:proofErr w:type="spellEnd"/>
      <w:r w:rsidRPr="00103DDB">
        <w:rPr>
          <w:i/>
          <w:lang w:val="en-GB"/>
        </w:rPr>
        <w:t xml:space="preserve"> </w:t>
      </w:r>
      <w:proofErr w:type="spellStart"/>
      <w:r w:rsidRPr="00103DDB">
        <w:rPr>
          <w:i/>
          <w:lang w:val="en-GB"/>
        </w:rPr>
        <w:t>Mobi</w:t>
      </w:r>
      <w:proofErr w:type="spellEnd"/>
      <w:r>
        <w:rPr>
          <w:i/>
          <w:lang w:val="en-GB"/>
        </w:rPr>
        <w:t xml:space="preserve"> </w:t>
      </w:r>
      <w:r>
        <w:rPr>
          <w:lang w:val="en-GB"/>
        </w:rPr>
        <w:t xml:space="preserve">in Vietnamese. </w:t>
      </w:r>
    </w:p>
  </w:footnote>
  <w:footnote w:id="11">
    <w:p w14:paraId="363CB534" w14:textId="6ABDBFE6" w:rsidR="00596C33" w:rsidRPr="00F079F4" w:rsidRDefault="00596C33">
      <w:pPr>
        <w:pStyle w:val="FootnoteText"/>
        <w:rPr>
          <w:rFonts w:ascii="Arial" w:hAnsi="Arial" w:cs="Arial"/>
          <w:sz w:val="17"/>
          <w:szCs w:val="17"/>
        </w:rPr>
      </w:pPr>
      <w:r w:rsidRPr="00B77ADC">
        <w:rPr>
          <w:rStyle w:val="FootnoteChar"/>
          <w:vertAlign w:val="superscript"/>
        </w:rPr>
        <w:footnoteRef/>
      </w:r>
      <w:r w:rsidRPr="00F079F4">
        <w:rPr>
          <w:rFonts w:ascii="Arial" w:hAnsi="Arial" w:cs="Arial"/>
          <w:sz w:val="17"/>
          <w:szCs w:val="17"/>
        </w:rPr>
        <w:t xml:space="preserve"> </w:t>
      </w:r>
      <w:r>
        <w:rPr>
          <w:rFonts w:ascii="Arial" w:hAnsi="Arial" w:cs="Arial"/>
          <w:sz w:val="17"/>
          <w:szCs w:val="17"/>
        </w:rPr>
        <w:t xml:space="preserve">VND = Vietnamese dong; VND1.00 = </w:t>
      </w:r>
      <w:r w:rsidR="00A74758">
        <w:rPr>
          <w:rFonts w:ascii="Arial" w:hAnsi="Arial" w:cs="Arial"/>
          <w:sz w:val="17"/>
          <w:szCs w:val="17"/>
        </w:rPr>
        <w:t>US$</w:t>
      </w:r>
      <w:r>
        <w:rPr>
          <w:rFonts w:ascii="Arial" w:hAnsi="Arial" w:cs="Arial"/>
          <w:sz w:val="17"/>
          <w:szCs w:val="17"/>
        </w:rPr>
        <w:t>0.0001 on March 31, 2009.</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72634F" w14:textId="27DD2239" w:rsidR="00596C33" w:rsidRDefault="00596C33" w:rsidP="006A58A9">
    <w:pPr>
      <w:pBdr>
        <w:bottom w:val="single" w:sz="18" w:space="1" w:color="auto"/>
      </w:pBdr>
      <w:tabs>
        <w:tab w:val="left" w:pos="-1440"/>
        <w:tab w:val="left" w:pos="-720"/>
        <w:tab w:val="right" w:pos="9360"/>
        <w:tab w:val="right" w:pos="10800"/>
      </w:tabs>
      <w:rPr>
        <w:rFonts w:ascii="Arial" w:hAnsi="Arial"/>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D431D4">
      <w:rPr>
        <w:rFonts w:ascii="Arial" w:hAnsi="Arial"/>
        <w:b/>
        <w:noProof/>
      </w:rPr>
      <w:t>9</w:t>
    </w:r>
    <w:r>
      <w:rPr>
        <w:rFonts w:ascii="Arial" w:hAnsi="Arial"/>
        <w:b/>
      </w:rPr>
      <w:fldChar w:fldCharType="end"/>
    </w:r>
    <w:r>
      <w:rPr>
        <w:rFonts w:ascii="Arial" w:hAnsi="Arial"/>
        <w:b/>
      </w:rPr>
      <w:tab/>
      <w:t>9B18M078</w:t>
    </w:r>
  </w:p>
  <w:p w14:paraId="0858C729" w14:textId="77777777" w:rsidR="00596C33" w:rsidRPr="00C92CC4" w:rsidRDefault="00596C33">
    <w:pPr>
      <w:pStyle w:val="Header"/>
      <w:rPr>
        <w:sz w:val="18"/>
        <w:szCs w:val="18"/>
      </w:rPr>
    </w:pPr>
  </w:p>
  <w:p w14:paraId="50DD343A" w14:textId="77777777" w:rsidR="00596C33" w:rsidRPr="00C92CC4" w:rsidRDefault="00596C33">
    <w:pPr>
      <w:pStyle w:val="Header"/>
      <w:rPr>
        <w:sz w:val="18"/>
        <w:szCs w:val="18"/>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5686DD" w14:textId="4891A58C" w:rsidR="00596C33" w:rsidRDefault="00596C33" w:rsidP="0013576C">
    <w:pPr>
      <w:pBdr>
        <w:bottom w:val="single" w:sz="18" w:space="1" w:color="auto"/>
      </w:pBdr>
      <w:tabs>
        <w:tab w:val="right" w:pos="12960"/>
      </w:tabs>
      <w:rPr>
        <w:rFonts w:ascii="Arial" w:hAnsi="Arial"/>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D431D4">
      <w:rPr>
        <w:rFonts w:ascii="Arial" w:hAnsi="Arial"/>
        <w:b/>
        <w:noProof/>
      </w:rPr>
      <w:t>10</w:t>
    </w:r>
    <w:r>
      <w:rPr>
        <w:rFonts w:ascii="Arial" w:hAnsi="Arial"/>
        <w:b/>
      </w:rPr>
      <w:fldChar w:fldCharType="end"/>
    </w:r>
    <w:r>
      <w:rPr>
        <w:rFonts w:ascii="Arial" w:hAnsi="Arial"/>
        <w:b/>
      </w:rPr>
      <w:tab/>
      <w:t>9B18M078</w:t>
    </w:r>
  </w:p>
  <w:p w14:paraId="2F80A214" w14:textId="77777777" w:rsidR="00596C33" w:rsidRPr="00C92CC4" w:rsidRDefault="00596C33" w:rsidP="0013576C">
    <w:pPr>
      <w:pStyle w:val="Header"/>
      <w:tabs>
        <w:tab w:val="clear" w:pos="4680"/>
        <w:tab w:val="clear" w:pos="9360"/>
        <w:tab w:val="right" w:pos="12960"/>
      </w:tabs>
      <w:rPr>
        <w:sz w:val="18"/>
        <w:szCs w:val="18"/>
      </w:rPr>
    </w:pPr>
  </w:p>
  <w:p w14:paraId="74D6B247" w14:textId="77777777" w:rsidR="00596C33" w:rsidRPr="00C92CC4" w:rsidRDefault="00596C33" w:rsidP="0013576C">
    <w:pPr>
      <w:pStyle w:val="Header"/>
      <w:tabs>
        <w:tab w:val="clear" w:pos="4680"/>
        <w:tab w:val="clear" w:pos="9360"/>
        <w:tab w:val="right" w:pos="12960"/>
      </w:tabs>
      <w:rPr>
        <w:sz w:val="18"/>
        <w:szCs w:val="18"/>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405C6A" w14:textId="125B192F" w:rsidR="00596C33" w:rsidRDefault="00596C33" w:rsidP="00094DC6">
    <w:pPr>
      <w:pBdr>
        <w:bottom w:val="single" w:sz="18" w:space="1" w:color="auto"/>
      </w:pBdr>
      <w:tabs>
        <w:tab w:val="right" w:pos="12960"/>
      </w:tabs>
      <w:rPr>
        <w:rFonts w:ascii="Arial" w:hAnsi="Arial"/>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D431D4">
      <w:rPr>
        <w:rFonts w:ascii="Arial" w:hAnsi="Arial"/>
        <w:b/>
        <w:noProof/>
      </w:rPr>
      <w:t>11</w:t>
    </w:r>
    <w:r>
      <w:rPr>
        <w:rFonts w:ascii="Arial" w:hAnsi="Arial"/>
        <w:b/>
      </w:rPr>
      <w:fldChar w:fldCharType="end"/>
    </w:r>
    <w:r>
      <w:rPr>
        <w:rFonts w:ascii="Arial" w:hAnsi="Arial"/>
        <w:b/>
      </w:rPr>
      <w:tab/>
      <w:t>9B18M078</w:t>
    </w:r>
  </w:p>
  <w:p w14:paraId="0F261C70" w14:textId="77777777" w:rsidR="00596C33" w:rsidRPr="00C92CC4" w:rsidRDefault="00596C33" w:rsidP="00094DC6">
    <w:pPr>
      <w:pStyle w:val="Header"/>
      <w:tabs>
        <w:tab w:val="clear" w:pos="4680"/>
        <w:tab w:val="clear" w:pos="9360"/>
        <w:tab w:val="right" w:pos="12960"/>
      </w:tabs>
      <w:rPr>
        <w:sz w:val="18"/>
        <w:szCs w:val="18"/>
      </w:rPr>
    </w:pPr>
  </w:p>
  <w:p w14:paraId="441DA491" w14:textId="77777777" w:rsidR="00596C33" w:rsidRPr="00C92CC4" w:rsidRDefault="00596C33" w:rsidP="00094DC6">
    <w:pPr>
      <w:pStyle w:val="Header"/>
      <w:tabs>
        <w:tab w:val="clear" w:pos="4680"/>
        <w:tab w:val="clear" w:pos="9360"/>
        <w:tab w:val="right" w:pos="12960"/>
      </w:tabs>
      <w:rPr>
        <w:sz w:val="18"/>
        <w:szCs w:val="18"/>
      </w:rP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C08F59" w14:textId="074F5A90" w:rsidR="00596C33" w:rsidRDefault="00596C33" w:rsidP="0013576C">
    <w:pPr>
      <w:pBdr>
        <w:bottom w:val="single" w:sz="18" w:space="1" w:color="auto"/>
      </w:pBdr>
      <w:tabs>
        <w:tab w:val="left" w:pos="-1440"/>
        <w:tab w:val="left" w:pos="-720"/>
        <w:tab w:val="right" w:pos="9360"/>
      </w:tabs>
      <w:rPr>
        <w:rFonts w:ascii="Arial" w:hAnsi="Arial"/>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D431D4">
      <w:rPr>
        <w:rFonts w:ascii="Arial" w:hAnsi="Arial"/>
        <w:b/>
        <w:noProof/>
      </w:rPr>
      <w:t>16</w:t>
    </w:r>
    <w:r>
      <w:rPr>
        <w:rFonts w:ascii="Arial" w:hAnsi="Arial"/>
        <w:b/>
      </w:rPr>
      <w:fldChar w:fldCharType="end"/>
    </w:r>
    <w:r>
      <w:rPr>
        <w:rFonts w:ascii="Arial" w:hAnsi="Arial"/>
        <w:b/>
      </w:rPr>
      <w:tab/>
      <w:t>9B18M078</w:t>
    </w:r>
  </w:p>
  <w:p w14:paraId="194840D8" w14:textId="77777777" w:rsidR="00596C33" w:rsidRPr="00C92CC4" w:rsidRDefault="00596C33" w:rsidP="0013576C">
    <w:pPr>
      <w:pStyle w:val="Header"/>
      <w:tabs>
        <w:tab w:val="clear" w:pos="4680"/>
      </w:tabs>
      <w:rPr>
        <w:sz w:val="18"/>
        <w:szCs w:val="18"/>
      </w:rPr>
    </w:pPr>
  </w:p>
  <w:p w14:paraId="03EC6D86" w14:textId="77777777" w:rsidR="00596C33" w:rsidRPr="00C92CC4" w:rsidRDefault="00596C33" w:rsidP="0013576C">
    <w:pPr>
      <w:pStyle w:val="Header"/>
      <w:tabs>
        <w:tab w:val="clear" w:pos="4680"/>
      </w:tabs>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F07A369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39C908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6A86A6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142113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25E37E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CFABC5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51CD06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E98341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50A36F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F9436B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CC62955"/>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0787BCD"/>
    <w:multiLevelType w:val="hybridMultilevel"/>
    <w:tmpl w:val="E7122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0A66AFC"/>
    <w:multiLevelType w:val="hybridMultilevel"/>
    <w:tmpl w:val="31B2B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7F83088"/>
    <w:multiLevelType w:val="hybridMultilevel"/>
    <w:tmpl w:val="44C6C3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F1E73C8"/>
    <w:multiLevelType w:val="hybridMultilevel"/>
    <w:tmpl w:val="1C08B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24162743"/>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EFC145C"/>
    <w:multiLevelType w:val="hybridMultilevel"/>
    <w:tmpl w:val="672CA208"/>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7" w15:restartNumberingAfterBreak="0">
    <w:nsid w:val="442E6B4B"/>
    <w:multiLevelType w:val="hybridMultilevel"/>
    <w:tmpl w:val="AA92502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9E34667"/>
    <w:multiLevelType w:val="hybridMultilevel"/>
    <w:tmpl w:val="568A6C28"/>
    <w:lvl w:ilvl="0" w:tplc="935A5A8E">
      <w:start w:val="20"/>
      <w:numFmt w:val="bullet"/>
      <w:lvlText w:val="-"/>
      <w:lvlJc w:val="left"/>
      <w:pPr>
        <w:ind w:left="405" w:hanging="360"/>
      </w:pPr>
      <w:rPr>
        <w:rFonts w:ascii="Times New Roman" w:eastAsia="Times New Roman" w:hAnsi="Times New Roman" w:cs="Times New Roman" w:hint="default"/>
      </w:rPr>
    </w:lvl>
    <w:lvl w:ilvl="1" w:tplc="10090003" w:tentative="1">
      <w:start w:val="1"/>
      <w:numFmt w:val="bullet"/>
      <w:lvlText w:val="o"/>
      <w:lvlJc w:val="left"/>
      <w:pPr>
        <w:ind w:left="1125" w:hanging="360"/>
      </w:pPr>
      <w:rPr>
        <w:rFonts w:ascii="Courier New" w:hAnsi="Courier New" w:cs="Courier New" w:hint="default"/>
      </w:rPr>
    </w:lvl>
    <w:lvl w:ilvl="2" w:tplc="10090005" w:tentative="1">
      <w:start w:val="1"/>
      <w:numFmt w:val="bullet"/>
      <w:lvlText w:val=""/>
      <w:lvlJc w:val="left"/>
      <w:pPr>
        <w:ind w:left="1845" w:hanging="360"/>
      </w:pPr>
      <w:rPr>
        <w:rFonts w:ascii="Wingdings" w:hAnsi="Wingdings" w:hint="default"/>
      </w:rPr>
    </w:lvl>
    <w:lvl w:ilvl="3" w:tplc="10090001" w:tentative="1">
      <w:start w:val="1"/>
      <w:numFmt w:val="bullet"/>
      <w:lvlText w:val=""/>
      <w:lvlJc w:val="left"/>
      <w:pPr>
        <w:ind w:left="2565" w:hanging="360"/>
      </w:pPr>
      <w:rPr>
        <w:rFonts w:ascii="Symbol" w:hAnsi="Symbol" w:hint="default"/>
      </w:rPr>
    </w:lvl>
    <w:lvl w:ilvl="4" w:tplc="10090003" w:tentative="1">
      <w:start w:val="1"/>
      <w:numFmt w:val="bullet"/>
      <w:lvlText w:val="o"/>
      <w:lvlJc w:val="left"/>
      <w:pPr>
        <w:ind w:left="3285" w:hanging="360"/>
      </w:pPr>
      <w:rPr>
        <w:rFonts w:ascii="Courier New" w:hAnsi="Courier New" w:cs="Courier New" w:hint="default"/>
      </w:rPr>
    </w:lvl>
    <w:lvl w:ilvl="5" w:tplc="10090005" w:tentative="1">
      <w:start w:val="1"/>
      <w:numFmt w:val="bullet"/>
      <w:lvlText w:val=""/>
      <w:lvlJc w:val="left"/>
      <w:pPr>
        <w:ind w:left="4005" w:hanging="360"/>
      </w:pPr>
      <w:rPr>
        <w:rFonts w:ascii="Wingdings" w:hAnsi="Wingdings" w:hint="default"/>
      </w:rPr>
    </w:lvl>
    <w:lvl w:ilvl="6" w:tplc="10090001" w:tentative="1">
      <w:start w:val="1"/>
      <w:numFmt w:val="bullet"/>
      <w:lvlText w:val=""/>
      <w:lvlJc w:val="left"/>
      <w:pPr>
        <w:ind w:left="4725" w:hanging="360"/>
      </w:pPr>
      <w:rPr>
        <w:rFonts w:ascii="Symbol" w:hAnsi="Symbol" w:hint="default"/>
      </w:rPr>
    </w:lvl>
    <w:lvl w:ilvl="7" w:tplc="10090003" w:tentative="1">
      <w:start w:val="1"/>
      <w:numFmt w:val="bullet"/>
      <w:lvlText w:val="o"/>
      <w:lvlJc w:val="left"/>
      <w:pPr>
        <w:ind w:left="5445" w:hanging="360"/>
      </w:pPr>
      <w:rPr>
        <w:rFonts w:ascii="Courier New" w:hAnsi="Courier New" w:cs="Courier New" w:hint="default"/>
      </w:rPr>
    </w:lvl>
    <w:lvl w:ilvl="8" w:tplc="10090005" w:tentative="1">
      <w:start w:val="1"/>
      <w:numFmt w:val="bullet"/>
      <w:lvlText w:val=""/>
      <w:lvlJc w:val="left"/>
      <w:pPr>
        <w:ind w:left="6165" w:hanging="360"/>
      </w:pPr>
      <w:rPr>
        <w:rFonts w:ascii="Wingdings" w:hAnsi="Wingdings" w:hint="default"/>
      </w:rPr>
    </w:lvl>
  </w:abstractNum>
  <w:abstractNum w:abstractNumId="19" w15:restartNumberingAfterBreak="0">
    <w:nsid w:val="542E2A27"/>
    <w:multiLevelType w:val="hybridMultilevel"/>
    <w:tmpl w:val="FBEE91EC"/>
    <w:lvl w:ilvl="0" w:tplc="BD5E4B5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15:restartNumberingAfterBreak="0">
    <w:nsid w:val="582A13C0"/>
    <w:multiLevelType w:val="hybridMultilevel"/>
    <w:tmpl w:val="A746AFAE"/>
    <w:lvl w:ilvl="0" w:tplc="EB862D92">
      <w:start w:val="7"/>
      <w:numFmt w:val="bullet"/>
      <w:lvlText w:val="-"/>
      <w:lvlJc w:val="left"/>
      <w:pPr>
        <w:ind w:left="360" w:hanging="360"/>
      </w:pPr>
      <w:rPr>
        <w:rFonts w:ascii="Times New Roman" w:eastAsia="Times New Roman" w:hAnsi="Times New Roman"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21" w15:restartNumberingAfterBreak="0">
    <w:nsid w:val="60B37735"/>
    <w:multiLevelType w:val="hybridMultilevel"/>
    <w:tmpl w:val="F182BBFA"/>
    <w:lvl w:ilvl="0" w:tplc="7DF80D64">
      <w:start w:val="15"/>
      <w:numFmt w:val="bullet"/>
      <w:lvlText w:val=""/>
      <w:lvlJc w:val="left"/>
      <w:pPr>
        <w:ind w:left="360" w:hanging="360"/>
      </w:pPr>
      <w:rPr>
        <w:rFonts w:ascii="Wingdings" w:eastAsia="Times New Roman" w:hAnsi="Wingdings"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22" w15:restartNumberingAfterBreak="0">
    <w:nsid w:val="66B46081"/>
    <w:multiLevelType w:val="multilevel"/>
    <w:tmpl w:val="0F54820C"/>
    <w:lvl w:ilvl="0">
      <w:start w:val="1"/>
      <w:numFmt w:val="bullet"/>
      <w:lvlText w:val=""/>
      <w:lvlJc w:val="left"/>
      <w:pPr>
        <w:tabs>
          <w:tab w:val="num" w:pos="720"/>
        </w:tabs>
        <w:ind w:left="720" w:hanging="360"/>
      </w:pPr>
      <w:rPr>
        <w:rFonts w:ascii="Symbol" w:hAnsi="Symbol" w:cs="Symbol" w:hint="default"/>
        <w:sz w:val="20"/>
        <w:szCs w:val="20"/>
      </w:rPr>
    </w:lvl>
    <w:lvl w:ilvl="1" w:tentative="1">
      <w:start w:val="1"/>
      <w:numFmt w:val="bullet"/>
      <w:lvlText w:val="o"/>
      <w:lvlJc w:val="left"/>
      <w:pPr>
        <w:tabs>
          <w:tab w:val="num" w:pos="1440"/>
        </w:tabs>
        <w:ind w:left="1440" w:hanging="360"/>
      </w:pPr>
      <w:rPr>
        <w:rFonts w:ascii="Courier New" w:hAnsi="Courier New" w:cs="Courier New" w:hint="default"/>
        <w:sz w:val="20"/>
        <w:szCs w:val="20"/>
      </w:rPr>
    </w:lvl>
    <w:lvl w:ilvl="2" w:tentative="1">
      <w:start w:val="1"/>
      <w:numFmt w:val="bullet"/>
      <w:lvlText w:val=""/>
      <w:lvlJc w:val="left"/>
      <w:pPr>
        <w:tabs>
          <w:tab w:val="num" w:pos="2160"/>
        </w:tabs>
        <w:ind w:left="2160" w:hanging="360"/>
      </w:pPr>
      <w:rPr>
        <w:rFonts w:ascii="Wingdings" w:hAnsi="Wingdings" w:cs="Wingdings" w:hint="default"/>
        <w:sz w:val="20"/>
        <w:szCs w:val="20"/>
      </w:rPr>
    </w:lvl>
    <w:lvl w:ilvl="3" w:tentative="1">
      <w:start w:val="1"/>
      <w:numFmt w:val="bullet"/>
      <w:lvlText w:val=""/>
      <w:lvlJc w:val="left"/>
      <w:pPr>
        <w:tabs>
          <w:tab w:val="num" w:pos="2880"/>
        </w:tabs>
        <w:ind w:left="2880" w:hanging="360"/>
      </w:pPr>
      <w:rPr>
        <w:rFonts w:ascii="Wingdings" w:hAnsi="Wingdings" w:cs="Wingdings" w:hint="default"/>
        <w:sz w:val="20"/>
        <w:szCs w:val="20"/>
      </w:rPr>
    </w:lvl>
    <w:lvl w:ilvl="4" w:tentative="1">
      <w:start w:val="1"/>
      <w:numFmt w:val="bullet"/>
      <w:lvlText w:val=""/>
      <w:lvlJc w:val="left"/>
      <w:pPr>
        <w:tabs>
          <w:tab w:val="num" w:pos="3600"/>
        </w:tabs>
        <w:ind w:left="3600" w:hanging="360"/>
      </w:pPr>
      <w:rPr>
        <w:rFonts w:ascii="Wingdings" w:hAnsi="Wingdings" w:cs="Wingdings" w:hint="default"/>
        <w:sz w:val="20"/>
        <w:szCs w:val="20"/>
      </w:rPr>
    </w:lvl>
    <w:lvl w:ilvl="5" w:tentative="1">
      <w:start w:val="1"/>
      <w:numFmt w:val="bullet"/>
      <w:lvlText w:val=""/>
      <w:lvlJc w:val="left"/>
      <w:pPr>
        <w:tabs>
          <w:tab w:val="num" w:pos="4320"/>
        </w:tabs>
        <w:ind w:left="4320" w:hanging="360"/>
      </w:pPr>
      <w:rPr>
        <w:rFonts w:ascii="Wingdings" w:hAnsi="Wingdings" w:cs="Wingdings" w:hint="default"/>
        <w:sz w:val="20"/>
        <w:szCs w:val="20"/>
      </w:rPr>
    </w:lvl>
    <w:lvl w:ilvl="6" w:tentative="1">
      <w:start w:val="1"/>
      <w:numFmt w:val="bullet"/>
      <w:lvlText w:val=""/>
      <w:lvlJc w:val="left"/>
      <w:pPr>
        <w:tabs>
          <w:tab w:val="num" w:pos="5040"/>
        </w:tabs>
        <w:ind w:left="5040" w:hanging="360"/>
      </w:pPr>
      <w:rPr>
        <w:rFonts w:ascii="Wingdings" w:hAnsi="Wingdings" w:cs="Wingdings" w:hint="default"/>
        <w:sz w:val="20"/>
        <w:szCs w:val="20"/>
      </w:rPr>
    </w:lvl>
    <w:lvl w:ilvl="7" w:tentative="1">
      <w:start w:val="1"/>
      <w:numFmt w:val="bullet"/>
      <w:lvlText w:val=""/>
      <w:lvlJc w:val="left"/>
      <w:pPr>
        <w:tabs>
          <w:tab w:val="num" w:pos="5760"/>
        </w:tabs>
        <w:ind w:left="5760" w:hanging="360"/>
      </w:pPr>
      <w:rPr>
        <w:rFonts w:ascii="Wingdings" w:hAnsi="Wingdings" w:cs="Wingdings" w:hint="default"/>
        <w:sz w:val="20"/>
        <w:szCs w:val="20"/>
      </w:rPr>
    </w:lvl>
    <w:lvl w:ilvl="8" w:tentative="1">
      <w:start w:val="1"/>
      <w:numFmt w:val="bullet"/>
      <w:lvlText w:val=""/>
      <w:lvlJc w:val="left"/>
      <w:pPr>
        <w:tabs>
          <w:tab w:val="num" w:pos="6480"/>
        </w:tabs>
        <w:ind w:left="6480" w:hanging="360"/>
      </w:pPr>
      <w:rPr>
        <w:rFonts w:ascii="Wingdings" w:hAnsi="Wingdings" w:cs="Wingdings" w:hint="default"/>
        <w:sz w:val="20"/>
        <w:szCs w:val="20"/>
      </w:rPr>
    </w:lvl>
  </w:abstractNum>
  <w:abstractNum w:abstractNumId="23" w15:restartNumberingAfterBreak="0">
    <w:nsid w:val="71AF048E"/>
    <w:multiLevelType w:val="hybridMultilevel"/>
    <w:tmpl w:val="BD341B84"/>
    <w:lvl w:ilvl="0" w:tplc="1206B516">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4" w15:restartNumberingAfterBreak="0">
    <w:nsid w:val="7AEA4386"/>
    <w:multiLevelType w:val="multilevel"/>
    <w:tmpl w:val="0000000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8"/>
  </w:num>
  <w:num w:numId="13">
    <w:abstractNumId w:val="12"/>
  </w:num>
  <w:num w:numId="14">
    <w:abstractNumId w:val="19"/>
  </w:num>
  <w:num w:numId="15">
    <w:abstractNumId w:val="20"/>
  </w:num>
  <w:num w:numId="16">
    <w:abstractNumId w:val="21"/>
  </w:num>
  <w:num w:numId="17">
    <w:abstractNumId w:val="15"/>
  </w:num>
  <w:num w:numId="18">
    <w:abstractNumId w:val="22"/>
  </w:num>
  <w:num w:numId="19">
    <w:abstractNumId w:val="11"/>
  </w:num>
  <w:num w:numId="20">
    <w:abstractNumId w:val="10"/>
  </w:num>
  <w:num w:numId="21">
    <w:abstractNumId w:val="23"/>
  </w:num>
  <w:num w:numId="22">
    <w:abstractNumId w:val="17"/>
  </w:num>
  <w:num w:numId="23">
    <w:abstractNumId w:val="24"/>
    <w:lvlOverride w:ilvl="0">
      <w:lvl w:ilvl="0">
        <w:start w:val="1"/>
        <w:numFmt w:val="decimal"/>
        <w:lvlText w:val="%1)"/>
        <w:lvlJc w:val="left"/>
      </w:lvl>
    </w:lvlOverride>
    <w:lvlOverride w:ilvl="1">
      <w:lvl w:ilvl="1">
        <w:start w:val="1"/>
        <w:numFmt w:val="lowerLetter"/>
        <w:lvlText w:val="%2)"/>
        <w:lvlJc w:val="left"/>
      </w:lvl>
    </w:lvlOverride>
    <w:lvlOverride w:ilvl="2">
      <w:lvl w:ilvl="2">
        <w:start w:val="1"/>
        <w:numFmt w:val="lowerRoman"/>
        <w:lvlText w:val="%3)"/>
        <w:lvlJc w:val="left"/>
      </w:lvl>
    </w:lvlOverride>
    <w:lvlOverride w:ilvl="3">
      <w:lvl w:ilvl="3">
        <w:start w:val="1"/>
        <w:numFmt w:val="decimal"/>
        <w:lvlText w:val="(%4)"/>
        <w:lvlJc w:val="left"/>
      </w:lvl>
    </w:lvlOverride>
    <w:lvlOverride w:ilvl="4">
      <w:lvl w:ilvl="4">
        <w:start w:val="1"/>
        <w:numFmt w:val="lowerLetter"/>
        <w:lvlText w:val="(%5)"/>
        <w:lvlJc w:val="left"/>
      </w:lvl>
    </w:lvlOverride>
    <w:lvlOverride w:ilvl="5">
      <w:lvl w:ilvl="5">
        <w:start w:val="1"/>
        <w:numFmt w:val="lowerRoman"/>
        <w:lvlText w:val="(%6)"/>
        <w:lvlJc w:val="left"/>
      </w:lvl>
    </w:lvlOverride>
    <w:lvlOverride w:ilvl="6">
      <w:lvl w:ilvl="6">
        <w:start w:val="1"/>
        <w:numFmt w:val="decimal"/>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4">
    <w:abstractNumId w:val="24"/>
    <w:lvlOverride w:ilvl="0">
      <w:lvl w:ilvl="0">
        <w:start w:val="1"/>
        <w:numFmt w:val="upperRoman"/>
        <w:lvlText w:val="%1."/>
        <w:lvlJc w:val="left"/>
      </w:lvl>
    </w:lvlOverride>
    <w:lvlOverride w:ilvl="1">
      <w:lvl w:ilvl="1">
        <w:start w:val="1"/>
        <w:numFmt w:val="upperLetter"/>
        <w:lvlText w:val="%2."/>
        <w:lvlJc w:val="left"/>
      </w:lvl>
    </w:lvlOverride>
    <w:lvlOverride w:ilvl="2">
      <w:lvl w:ilvl="2">
        <w:start w:val="1"/>
        <w:numFmt w:val="decimal"/>
        <w:lvlText w:val="%3."/>
        <w:lvlJc w:val="left"/>
      </w:lvl>
    </w:lvlOverride>
    <w:lvlOverride w:ilvl="3">
      <w:lvl w:ilvl="3">
        <w:start w:val="1"/>
        <w:numFmt w:val="lowerLetter"/>
        <w:lvlText w:val="%4)"/>
        <w:lvlJc w:val="left"/>
      </w:lvl>
    </w:lvlOverride>
    <w:lvlOverride w:ilvl="4">
      <w:lvl w:ilvl="4">
        <w:start w:val="1"/>
        <w:numFmt w:val="decimal"/>
        <w:lvlText w:val="(%5)"/>
        <w:lvlJc w:val="left"/>
      </w:lvl>
    </w:lvlOverride>
    <w:lvlOverride w:ilvl="5">
      <w:lvl w:ilvl="5">
        <w:start w:val="1"/>
        <w:numFmt w:val="lowerLetter"/>
        <w:lvlText w:val="(%6)"/>
        <w:lvlJc w:val="left"/>
      </w:lvl>
    </w:lvlOverride>
    <w:lvlOverride w:ilvl="6">
      <w:lvl w:ilvl="6">
        <w:start w:val="1"/>
        <w:numFmt w:val="lowerRoman"/>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5">
    <w:abstractNumId w:val="24"/>
    <w:lvlOverride w:ilvl="0">
      <w:lvl w:ilvl="0">
        <w:start w:val="1"/>
        <w:numFmt w:val="decimal"/>
        <w:lvlText w:val="%1."/>
        <w:lvlJc w:val="left"/>
      </w:lvl>
    </w:lvlOverride>
    <w:lvlOverride w:ilvl="1">
      <w:lvl w:ilvl="1">
        <w:start w:val="1"/>
        <w:numFmt w:val="decimal"/>
        <w:lvlText w:val="%1.%2."/>
        <w:lvlJc w:val="left"/>
      </w:lvl>
    </w:lvlOverride>
    <w:lvlOverride w:ilvl="2">
      <w:lvl w:ilvl="2">
        <w:start w:val="1"/>
        <w:numFmt w:val="decimal"/>
        <w:lvlText w:val="%1.%2.%3."/>
        <w:lvlJc w:val="left"/>
      </w:lvl>
    </w:lvlOverride>
    <w:lvlOverride w:ilvl="3">
      <w:lvl w:ilvl="3">
        <w:start w:val="1"/>
        <w:numFmt w:val="decimal"/>
        <w:lvlText w:val="%1.%2.%3.%4."/>
        <w:lvlJc w:val="left"/>
      </w:lvl>
    </w:lvlOverride>
    <w:lvlOverride w:ilvl="4">
      <w:lvl w:ilvl="4">
        <w:start w:val="1"/>
        <w:numFmt w:val="decimal"/>
        <w:lvlText w:val="%1.%2.%3.%4.%5."/>
        <w:lvlJc w:val="left"/>
      </w:lvl>
    </w:lvlOverride>
    <w:lvlOverride w:ilvl="5">
      <w:lvl w:ilvl="5">
        <w:start w:val="1"/>
        <w:numFmt w:val="decimal"/>
        <w:lvlText w:val="%1.%2.%3.%4.%5.%6."/>
        <w:lvlJc w:val="left"/>
      </w:lvl>
    </w:lvlOverride>
    <w:lvlOverride w:ilvl="6">
      <w:lvl w:ilvl="6">
        <w:start w:val="1"/>
        <w:numFmt w:val="decimal"/>
        <w:lvlText w:val="%1.%2.%3.%4.%5.%6.%7."/>
        <w:lvlJc w:val="left"/>
      </w:lvl>
    </w:lvlOverride>
    <w:lvlOverride w:ilvl="7">
      <w:lvl w:ilvl="7">
        <w:start w:val="1"/>
        <w:numFmt w:val="decimal"/>
        <w:lvlText w:val="%1.%2.%3.%4.%5.%6.%7.%8."/>
        <w:lvlJc w:val="left"/>
      </w:lvl>
    </w:lvlOverride>
    <w:lvlOverride w:ilvl="8">
      <w:lvl w:ilvl="8">
        <w:start w:val="1"/>
        <w:numFmt w:val="decimal"/>
        <w:lvlText w:val="%1.%2.%3.%4.%5.%6.%7.%8.%9."/>
        <w:lvlJc w:val="left"/>
      </w:lvl>
    </w:lvlOverride>
  </w:num>
  <w:num w:numId="26">
    <w:abstractNumId w:val="14"/>
  </w:num>
  <w:num w:numId="2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12289"/>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DC4"/>
    <w:rsid w:val="0000085A"/>
    <w:rsid w:val="000034D0"/>
    <w:rsid w:val="00006728"/>
    <w:rsid w:val="00013360"/>
    <w:rsid w:val="000134E4"/>
    <w:rsid w:val="000216CE"/>
    <w:rsid w:val="00025DC7"/>
    <w:rsid w:val="00026486"/>
    <w:rsid w:val="00044ECC"/>
    <w:rsid w:val="000531D3"/>
    <w:rsid w:val="0005646B"/>
    <w:rsid w:val="00060B19"/>
    <w:rsid w:val="0008102D"/>
    <w:rsid w:val="0008224C"/>
    <w:rsid w:val="00094C0E"/>
    <w:rsid w:val="00094DC6"/>
    <w:rsid w:val="000A6F5C"/>
    <w:rsid w:val="000C4618"/>
    <w:rsid w:val="000E2A53"/>
    <w:rsid w:val="000F0C22"/>
    <w:rsid w:val="000F6B09"/>
    <w:rsid w:val="000F6FDC"/>
    <w:rsid w:val="00103DDB"/>
    <w:rsid w:val="00104567"/>
    <w:rsid w:val="0012458F"/>
    <w:rsid w:val="0012732D"/>
    <w:rsid w:val="0013576C"/>
    <w:rsid w:val="00142C3E"/>
    <w:rsid w:val="00154FC9"/>
    <w:rsid w:val="00155E97"/>
    <w:rsid w:val="0019241A"/>
    <w:rsid w:val="0019638D"/>
    <w:rsid w:val="001A5335"/>
    <w:rsid w:val="001A5ECB"/>
    <w:rsid w:val="001A752D"/>
    <w:rsid w:val="001D655E"/>
    <w:rsid w:val="00203AA1"/>
    <w:rsid w:val="002074F1"/>
    <w:rsid w:val="00213E98"/>
    <w:rsid w:val="00214C57"/>
    <w:rsid w:val="0022707B"/>
    <w:rsid w:val="00234B42"/>
    <w:rsid w:val="00242E7E"/>
    <w:rsid w:val="00244E1F"/>
    <w:rsid w:val="002458CA"/>
    <w:rsid w:val="00267B43"/>
    <w:rsid w:val="00283449"/>
    <w:rsid w:val="00290D48"/>
    <w:rsid w:val="002A7B2F"/>
    <w:rsid w:val="002B16B6"/>
    <w:rsid w:val="002C131B"/>
    <w:rsid w:val="002C227B"/>
    <w:rsid w:val="002C7BF6"/>
    <w:rsid w:val="002E32F0"/>
    <w:rsid w:val="002F460C"/>
    <w:rsid w:val="002F48D6"/>
    <w:rsid w:val="00303A90"/>
    <w:rsid w:val="00304D3E"/>
    <w:rsid w:val="003161AD"/>
    <w:rsid w:val="00322612"/>
    <w:rsid w:val="00323FBB"/>
    <w:rsid w:val="003273E6"/>
    <w:rsid w:val="003319F5"/>
    <w:rsid w:val="00332FD8"/>
    <w:rsid w:val="003362BD"/>
    <w:rsid w:val="00343565"/>
    <w:rsid w:val="003524DC"/>
    <w:rsid w:val="00354899"/>
    <w:rsid w:val="00355FD6"/>
    <w:rsid w:val="00361924"/>
    <w:rsid w:val="00361C8E"/>
    <w:rsid w:val="00364A5C"/>
    <w:rsid w:val="00366BB3"/>
    <w:rsid w:val="0037240D"/>
    <w:rsid w:val="00373FB1"/>
    <w:rsid w:val="00383AD1"/>
    <w:rsid w:val="00385602"/>
    <w:rsid w:val="003B30D8"/>
    <w:rsid w:val="003B7EF2"/>
    <w:rsid w:val="003C0286"/>
    <w:rsid w:val="003C3E98"/>
    <w:rsid w:val="003C3FA4"/>
    <w:rsid w:val="003C5BB6"/>
    <w:rsid w:val="003C5EA1"/>
    <w:rsid w:val="003E2559"/>
    <w:rsid w:val="003F2B0C"/>
    <w:rsid w:val="003F49B1"/>
    <w:rsid w:val="00411089"/>
    <w:rsid w:val="00415358"/>
    <w:rsid w:val="00416933"/>
    <w:rsid w:val="00417778"/>
    <w:rsid w:val="00417BF6"/>
    <w:rsid w:val="004201B5"/>
    <w:rsid w:val="004221E4"/>
    <w:rsid w:val="00430A3B"/>
    <w:rsid w:val="004540DD"/>
    <w:rsid w:val="00455E4A"/>
    <w:rsid w:val="00456581"/>
    <w:rsid w:val="00471088"/>
    <w:rsid w:val="0047571D"/>
    <w:rsid w:val="00483AF9"/>
    <w:rsid w:val="004B1CCB"/>
    <w:rsid w:val="004B46B2"/>
    <w:rsid w:val="004D2B55"/>
    <w:rsid w:val="004D73A5"/>
    <w:rsid w:val="004E6E7E"/>
    <w:rsid w:val="004E7A37"/>
    <w:rsid w:val="00502311"/>
    <w:rsid w:val="0051558A"/>
    <w:rsid w:val="005240FD"/>
    <w:rsid w:val="00532CF5"/>
    <w:rsid w:val="005528CB"/>
    <w:rsid w:val="0056161F"/>
    <w:rsid w:val="00565BF1"/>
    <w:rsid w:val="00566771"/>
    <w:rsid w:val="00581E2E"/>
    <w:rsid w:val="00584F15"/>
    <w:rsid w:val="00593C73"/>
    <w:rsid w:val="005960E7"/>
    <w:rsid w:val="00596B8E"/>
    <w:rsid w:val="00596C33"/>
    <w:rsid w:val="005A094A"/>
    <w:rsid w:val="005B2BB0"/>
    <w:rsid w:val="005C5776"/>
    <w:rsid w:val="005D3D57"/>
    <w:rsid w:val="005F674A"/>
    <w:rsid w:val="00600623"/>
    <w:rsid w:val="006022F0"/>
    <w:rsid w:val="006163F7"/>
    <w:rsid w:val="00620BA8"/>
    <w:rsid w:val="00622DD6"/>
    <w:rsid w:val="0063030F"/>
    <w:rsid w:val="006465C0"/>
    <w:rsid w:val="00652606"/>
    <w:rsid w:val="0066396D"/>
    <w:rsid w:val="00663F6C"/>
    <w:rsid w:val="006772D2"/>
    <w:rsid w:val="00682754"/>
    <w:rsid w:val="00684CC2"/>
    <w:rsid w:val="006907E8"/>
    <w:rsid w:val="00691747"/>
    <w:rsid w:val="006A183C"/>
    <w:rsid w:val="006A58A9"/>
    <w:rsid w:val="006A606D"/>
    <w:rsid w:val="006A73B8"/>
    <w:rsid w:val="006B076B"/>
    <w:rsid w:val="006B7F7A"/>
    <w:rsid w:val="006C0371"/>
    <w:rsid w:val="006C08B6"/>
    <w:rsid w:val="006C0B1A"/>
    <w:rsid w:val="006C4384"/>
    <w:rsid w:val="006C6065"/>
    <w:rsid w:val="006C7F9F"/>
    <w:rsid w:val="006E2D67"/>
    <w:rsid w:val="006E2F6D"/>
    <w:rsid w:val="006E58F6"/>
    <w:rsid w:val="006E77E1"/>
    <w:rsid w:val="006F131D"/>
    <w:rsid w:val="006F5F39"/>
    <w:rsid w:val="0070318C"/>
    <w:rsid w:val="00704061"/>
    <w:rsid w:val="0075154D"/>
    <w:rsid w:val="00752BCD"/>
    <w:rsid w:val="00766DA1"/>
    <w:rsid w:val="00785A3D"/>
    <w:rsid w:val="007866A6"/>
    <w:rsid w:val="007A130D"/>
    <w:rsid w:val="007A233A"/>
    <w:rsid w:val="007A5C18"/>
    <w:rsid w:val="007B5486"/>
    <w:rsid w:val="007B570A"/>
    <w:rsid w:val="007D4102"/>
    <w:rsid w:val="007E2D1D"/>
    <w:rsid w:val="007E3404"/>
    <w:rsid w:val="007E5921"/>
    <w:rsid w:val="007F2664"/>
    <w:rsid w:val="007F51FC"/>
    <w:rsid w:val="00821FFC"/>
    <w:rsid w:val="008271CA"/>
    <w:rsid w:val="008348A5"/>
    <w:rsid w:val="008467D5"/>
    <w:rsid w:val="008532DB"/>
    <w:rsid w:val="00856D9F"/>
    <w:rsid w:val="008575B3"/>
    <w:rsid w:val="00866F6D"/>
    <w:rsid w:val="00896474"/>
    <w:rsid w:val="008A1BB9"/>
    <w:rsid w:val="008A4DC4"/>
    <w:rsid w:val="008D6313"/>
    <w:rsid w:val="008E02F9"/>
    <w:rsid w:val="008E4DD7"/>
    <w:rsid w:val="008F63C0"/>
    <w:rsid w:val="009067A4"/>
    <w:rsid w:val="0090722E"/>
    <w:rsid w:val="009340DB"/>
    <w:rsid w:val="009447AC"/>
    <w:rsid w:val="00951590"/>
    <w:rsid w:val="0095245E"/>
    <w:rsid w:val="00962C0A"/>
    <w:rsid w:val="00972498"/>
    <w:rsid w:val="0097374D"/>
    <w:rsid w:val="00974CC6"/>
    <w:rsid w:val="00976AD4"/>
    <w:rsid w:val="00977930"/>
    <w:rsid w:val="009919FD"/>
    <w:rsid w:val="009A312F"/>
    <w:rsid w:val="009A5348"/>
    <w:rsid w:val="009A67BB"/>
    <w:rsid w:val="009C76D5"/>
    <w:rsid w:val="009D421C"/>
    <w:rsid w:val="009E017C"/>
    <w:rsid w:val="009F4482"/>
    <w:rsid w:val="009F7AA4"/>
    <w:rsid w:val="00A3368D"/>
    <w:rsid w:val="00A43707"/>
    <w:rsid w:val="00A47C0E"/>
    <w:rsid w:val="00A559DB"/>
    <w:rsid w:val="00A6217E"/>
    <w:rsid w:val="00A6511C"/>
    <w:rsid w:val="00A65C8C"/>
    <w:rsid w:val="00A7339C"/>
    <w:rsid w:val="00A74758"/>
    <w:rsid w:val="00A81C15"/>
    <w:rsid w:val="00A93394"/>
    <w:rsid w:val="00AF35FC"/>
    <w:rsid w:val="00AF6F01"/>
    <w:rsid w:val="00B01637"/>
    <w:rsid w:val="00B03639"/>
    <w:rsid w:val="00B0652A"/>
    <w:rsid w:val="00B26D26"/>
    <w:rsid w:val="00B34E90"/>
    <w:rsid w:val="00B3757D"/>
    <w:rsid w:val="00B40937"/>
    <w:rsid w:val="00B423EF"/>
    <w:rsid w:val="00B453DE"/>
    <w:rsid w:val="00B4742F"/>
    <w:rsid w:val="00B567DB"/>
    <w:rsid w:val="00B64CD2"/>
    <w:rsid w:val="00B77ADC"/>
    <w:rsid w:val="00B901F9"/>
    <w:rsid w:val="00BB09BC"/>
    <w:rsid w:val="00BD0A0E"/>
    <w:rsid w:val="00BD6EFB"/>
    <w:rsid w:val="00BE1DA2"/>
    <w:rsid w:val="00BF2F44"/>
    <w:rsid w:val="00C15BE2"/>
    <w:rsid w:val="00C2037A"/>
    <w:rsid w:val="00C22219"/>
    <w:rsid w:val="00C31894"/>
    <w:rsid w:val="00C3447F"/>
    <w:rsid w:val="00C45BA5"/>
    <w:rsid w:val="00C50AAC"/>
    <w:rsid w:val="00C538F5"/>
    <w:rsid w:val="00C55178"/>
    <w:rsid w:val="00C65675"/>
    <w:rsid w:val="00C81491"/>
    <w:rsid w:val="00C81676"/>
    <w:rsid w:val="00C92CC4"/>
    <w:rsid w:val="00C96E20"/>
    <w:rsid w:val="00CA0AFB"/>
    <w:rsid w:val="00CA2CE1"/>
    <w:rsid w:val="00CA3976"/>
    <w:rsid w:val="00CA757B"/>
    <w:rsid w:val="00CC1787"/>
    <w:rsid w:val="00CC182C"/>
    <w:rsid w:val="00CC47EF"/>
    <w:rsid w:val="00CD0824"/>
    <w:rsid w:val="00CD24B4"/>
    <w:rsid w:val="00CD2908"/>
    <w:rsid w:val="00CE7E21"/>
    <w:rsid w:val="00CF255E"/>
    <w:rsid w:val="00CF45ED"/>
    <w:rsid w:val="00D03A82"/>
    <w:rsid w:val="00D04895"/>
    <w:rsid w:val="00D15344"/>
    <w:rsid w:val="00D268C4"/>
    <w:rsid w:val="00D31BEC"/>
    <w:rsid w:val="00D37B53"/>
    <w:rsid w:val="00D416AF"/>
    <w:rsid w:val="00D431D4"/>
    <w:rsid w:val="00D44643"/>
    <w:rsid w:val="00D63150"/>
    <w:rsid w:val="00D64A32"/>
    <w:rsid w:val="00D64EFC"/>
    <w:rsid w:val="00D73AD1"/>
    <w:rsid w:val="00D7401B"/>
    <w:rsid w:val="00D75295"/>
    <w:rsid w:val="00D76CE9"/>
    <w:rsid w:val="00D91DD1"/>
    <w:rsid w:val="00D97F12"/>
    <w:rsid w:val="00DA2F9F"/>
    <w:rsid w:val="00DB02B8"/>
    <w:rsid w:val="00DB42E7"/>
    <w:rsid w:val="00DD4C75"/>
    <w:rsid w:val="00DE5C0A"/>
    <w:rsid w:val="00DE6117"/>
    <w:rsid w:val="00DF20F0"/>
    <w:rsid w:val="00DF32C2"/>
    <w:rsid w:val="00DF49E3"/>
    <w:rsid w:val="00E15716"/>
    <w:rsid w:val="00E20F8C"/>
    <w:rsid w:val="00E213E0"/>
    <w:rsid w:val="00E25A80"/>
    <w:rsid w:val="00E36563"/>
    <w:rsid w:val="00E471A7"/>
    <w:rsid w:val="00E635CF"/>
    <w:rsid w:val="00E71B44"/>
    <w:rsid w:val="00E949FD"/>
    <w:rsid w:val="00E95317"/>
    <w:rsid w:val="00EA029D"/>
    <w:rsid w:val="00EB5410"/>
    <w:rsid w:val="00EB6D53"/>
    <w:rsid w:val="00EB7D0B"/>
    <w:rsid w:val="00EC6E0A"/>
    <w:rsid w:val="00ED4E18"/>
    <w:rsid w:val="00ED7730"/>
    <w:rsid w:val="00EE1F37"/>
    <w:rsid w:val="00EF32EE"/>
    <w:rsid w:val="00F0159C"/>
    <w:rsid w:val="00F079F4"/>
    <w:rsid w:val="00F105B7"/>
    <w:rsid w:val="00F17A21"/>
    <w:rsid w:val="00F204B8"/>
    <w:rsid w:val="00F33DF9"/>
    <w:rsid w:val="00F425C2"/>
    <w:rsid w:val="00F50479"/>
    <w:rsid w:val="00F50E91"/>
    <w:rsid w:val="00F57D29"/>
    <w:rsid w:val="00F8416C"/>
    <w:rsid w:val="00F859B2"/>
    <w:rsid w:val="00F92A99"/>
    <w:rsid w:val="00F96201"/>
    <w:rsid w:val="00FA1496"/>
    <w:rsid w:val="00FA5269"/>
    <w:rsid w:val="00FC30E9"/>
    <w:rsid w:val="00FD0B18"/>
    <w:rsid w:val="00FD0F82"/>
    <w:rsid w:val="00FE28B7"/>
    <w:rsid w:val="00FE4482"/>
    <w:rsid w:val="00FE7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7A13FE21"/>
  <w15:docId w15:val="{EBF235F1-A31B-4691-A0BD-C03DE938C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3">
    <w:name w:val="heading 3"/>
    <w:basedOn w:val="Normal"/>
    <w:link w:val="Heading3Char"/>
    <w:uiPriority w:val="9"/>
    <w:semiHidden/>
    <w:unhideWhenUsed/>
    <w:qFormat/>
    <w:rsid w:val="003C0286"/>
    <w:pPr>
      <w:spacing w:before="100" w:beforeAutospacing="1" w:after="100" w:afterAutospacing="1"/>
      <w:outlineLvl w:val="2"/>
    </w:pPr>
    <w:rPr>
      <w:rFonts w:ascii="Times" w:eastAsiaTheme="minorHAnsi" w:hAnsi="Times" w:cstheme="minorBidi"/>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2E32F0"/>
    <w:rPr>
      <w:i/>
      <w:u w:val="none"/>
    </w:rPr>
  </w:style>
  <w:style w:type="character" w:customStyle="1" w:styleId="Casehead4Char">
    <w:name w:val="Casehead 4 Char"/>
    <w:basedOn w:val="Casehead3Char"/>
    <w:link w:val="Casehead4"/>
    <w:rsid w:val="002E32F0"/>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343565"/>
    <w:pPr>
      <w:jc w:val="both"/>
    </w:pPr>
    <w:rPr>
      <w:rFonts w:ascii="Arial" w:hAnsi="Arial" w:cs="Arial"/>
      <w:sz w:val="17"/>
      <w:szCs w:val="17"/>
    </w:rPr>
  </w:style>
  <w:style w:type="character" w:customStyle="1" w:styleId="FootnoteChar">
    <w:name w:val="Footnote Char"/>
    <w:basedOn w:val="FootnoteTextChar"/>
    <w:link w:val="Footnote"/>
    <w:rsid w:val="00343565"/>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nhideWhenUsed/>
    <w:rsid w:val="009A5348"/>
  </w:style>
  <w:style w:type="character" w:customStyle="1" w:styleId="CommentTextChar">
    <w:name w:val="Comment Text Char"/>
    <w:basedOn w:val="DefaultParagraphFont"/>
    <w:link w:val="CommentText"/>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9A5348"/>
    <w:pPr>
      <w:tabs>
        <w:tab w:val="left" w:pos="-1440"/>
        <w:tab w:val="left" w:pos="-720"/>
        <w:tab w:val="left" w:pos="1"/>
        <w:tab w:val="right" w:pos="9000"/>
      </w:tabs>
      <w:jc w:val="both"/>
    </w:pPr>
    <w:rPr>
      <w:rFonts w:ascii="Arial" w:hAnsi="Arial" w:cs="Arial"/>
      <w:i/>
      <w:iCs/>
      <w:sz w:val="17"/>
      <w:szCs w:val="17"/>
    </w:rPr>
  </w:style>
  <w:style w:type="paragraph" w:styleId="NormalWeb">
    <w:name w:val="Normal (Web)"/>
    <w:basedOn w:val="Normal"/>
    <w:uiPriority w:val="99"/>
    <w:semiHidden/>
    <w:rsid w:val="00FD0F82"/>
    <w:pPr>
      <w:spacing w:before="100" w:beforeAutospacing="1" w:after="100" w:afterAutospacing="1"/>
    </w:pPr>
    <w:rPr>
      <w:rFonts w:ascii="PMingLiU" w:eastAsiaTheme="minorEastAsia" w:hAnsi="PMingLiU" w:cs="PMingLiU"/>
      <w:sz w:val="24"/>
      <w:szCs w:val="24"/>
      <w:lang w:eastAsia="zh-TW"/>
    </w:rPr>
  </w:style>
  <w:style w:type="numbering" w:customStyle="1" w:styleId="NoList1">
    <w:name w:val="No List1"/>
    <w:next w:val="NoList"/>
    <w:uiPriority w:val="99"/>
    <w:semiHidden/>
    <w:unhideWhenUsed/>
    <w:rsid w:val="00FD0F82"/>
  </w:style>
  <w:style w:type="table" w:styleId="TableGrid">
    <w:name w:val="Table Grid"/>
    <w:basedOn w:val="TableNormal"/>
    <w:uiPriority w:val="99"/>
    <w:rsid w:val="00FD0F82"/>
    <w:pPr>
      <w:spacing w:after="0" w:line="240" w:lineRule="auto"/>
    </w:pPr>
    <w:rPr>
      <w:rFonts w:ascii="Calibri" w:eastAsiaTheme="minorEastAsia" w:hAnsi="Calibri" w:cs="Calibri"/>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rsid w:val="00FD0F82"/>
    <w:rPr>
      <w:rFonts w:ascii="Consolas" w:eastAsiaTheme="minorEastAsia" w:hAnsi="Consolas" w:cs="Consolas"/>
      <w:sz w:val="21"/>
      <w:szCs w:val="21"/>
      <w:lang w:eastAsia="zh-CN"/>
    </w:rPr>
  </w:style>
  <w:style w:type="character" w:customStyle="1" w:styleId="PlainTextChar">
    <w:name w:val="Plain Text Char"/>
    <w:basedOn w:val="DefaultParagraphFont"/>
    <w:link w:val="PlainText"/>
    <w:uiPriority w:val="99"/>
    <w:rsid w:val="00FD0F82"/>
    <w:rPr>
      <w:rFonts w:ascii="Consolas" w:eastAsiaTheme="minorEastAsia" w:hAnsi="Consolas" w:cs="Consolas"/>
      <w:sz w:val="21"/>
      <w:szCs w:val="21"/>
      <w:lang w:eastAsia="zh-CN"/>
    </w:rPr>
  </w:style>
  <w:style w:type="character" w:styleId="Emphasis">
    <w:name w:val="Emphasis"/>
    <w:basedOn w:val="DefaultParagraphFont"/>
    <w:uiPriority w:val="99"/>
    <w:qFormat/>
    <w:rsid w:val="00FD0F82"/>
    <w:rPr>
      <w:i/>
      <w:iCs/>
    </w:rPr>
  </w:style>
  <w:style w:type="character" w:styleId="Strong">
    <w:name w:val="Strong"/>
    <w:basedOn w:val="DefaultParagraphFont"/>
    <w:uiPriority w:val="99"/>
    <w:qFormat/>
    <w:rsid w:val="00FD0F82"/>
    <w:rPr>
      <w:b/>
      <w:bCs/>
    </w:rPr>
  </w:style>
  <w:style w:type="character" w:customStyle="1" w:styleId="Title1">
    <w:name w:val="Title1"/>
    <w:basedOn w:val="DefaultParagraphFont"/>
    <w:uiPriority w:val="99"/>
    <w:rsid w:val="00FD0F82"/>
  </w:style>
  <w:style w:type="paragraph" w:styleId="Revision">
    <w:name w:val="Revision"/>
    <w:hidden/>
    <w:uiPriority w:val="99"/>
    <w:semiHidden/>
    <w:rsid w:val="00FD0F82"/>
    <w:pPr>
      <w:spacing w:after="0" w:line="240" w:lineRule="auto"/>
    </w:pPr>
    <w:rPr>
      <w:rFonts w:ascii="Calibri" w:eastAsiaTheme="minorEastAsia" w:hAnsi="Calibri" w:cs="Calibri"/>
      <w:lang w:eastAsia="zh-CN"/>
    </w:rPr>
  </w:style>
  <w:style w:type="character" w:customStyle="1" w:styleId="apple-converted-space">
    <w:name w:val="apple-converted-space"/>
    <w:basedOn w:val="DefaultParagraphFont"/>
    <w:rsid w:val="00FD0F82"/>
  </w:style>
  <w:style w:type="character" w:customStyle="1" w:styleId="apple-style-span">
    <w:name w:val="apple-style-span"/>
    <w:basedOn w:val="DefaultParagraphFont"/>
    <w:rsid w:val="00682754"/>
    <w:rPr>
      <w:rFonts w:ascii="Times New Roman" w:hAnsi="Times New Roman"/>
      <w:caps w:val="0"/>
      <w:smallCaps w:val="0"/>
      <w:strike w:val="0"/>
      <w:dstrike w:val="0"/>
      <w:vanish w:val="0"/>
      <w:sz w:val="22"/>
      <w:vertAlign w:val="baseline"/>
    </w:rPr>
  </w:style>
  <w:style w:type="paragraph" w:styleId="EndnoteText">
    <w:name w:val="endnote text"/>
    <w:basedOn w:val="Normal"/>
    <w:link w:val="EndnoteTextChar"/>
    <w:uiPriority w:val="99"/>
    <w:semiHidden/>
    <w:unhideWhenUsed/>
    <w:rsid w:val="00B4742F"/>
  </w:style>
  <w:style w:type="character" w:customStyle="1" w:styleId="EndnoteTextChar">
    <w:name w:val="Endnote Text Char"/>
    <w:basedOn w:val="DefaultParagraphFont"/>
    <w:link w:val="EndnoteText"/>
    <w:uiPriority w:val="99"/>
    <w:semiHidden/>
    <w:rsid w:val="00B4742F"/>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B4742F"/>
    <w:rPr>
      <w:vertAlign w:val="superscript"/>
    </w:rPr>
  </w:style>
  <w:style w:type="character" w:customStyle="1" w:styleId="Heading3Char">
    <w:name w:val="Heading 3 Char"/>
    <w:basedOn w:val="DefaultParagraphFont"/>
    <w:link w:val="Heading3"/>
    <w:uiPriority w:val="9"/>
    <w:semiHidden/>
    <w:rsid w:val="003C0286"/>
    <w:rPr>
      <w:rFonts w:ascii="Times" w:hAnsi="Times"/>
      <w:b/>
      <w:bCs/>
      <w:sz w:val="27"/>
      <w:szCs w:val="27"/>
    </w:rPr>
  </w:style>
  <w:style w:type="table" w:styleId="LightShading">
    <w:name w:val="Light Shading"/>
    <w:basedOn w:val="TableNormal"/>
    <w:uiPriority w:val="60"/>
    <w:semiHidden/>
    <w:unhideWhenUsed/>
    <w:rsid w:val="00332FD8"/>
    <w:pPr>
      <w:spacing w:after="0" w:line="240" w:lineRule="auto"/>
    </w:pPr>
    <w:rPr>
      <w:color w:val="000000" w:themeColor="text1" w:themeShade="BF"/>
      <w:sz w:val="24"/>
      <w:szCs w:val="24"/>
    </w:rPr>
    <w:tblPr>
      <w:tblStyleRowBandSize w:val="1"/>
      <w:tblStyleColBandSize w:val="1"/>
      <w:tblBorders>
        <w:top w:val="single" w:sz="8" w:space="0" w:color="000000" w:themeColor="text1"/>
        <w:bottom w:val="single" w:sz="8" w:space="0" w:color="000000" w:themeColor="text1"/>
      </w:tblBorders>
    </w:tblPr>
    <w:tblStylePr w:type="firstRow">
      <w:pPr>
        <w:spacing w:beforeLines="0" w:before="0" w:beforeAutospacing="0" w:afterLines="0" w:after="0" w:afterAutospacing="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8420686">
      <w:bodyDiv w:val="1"/>
      <w:marLeft w:val="0"/>
      <w:marRight w:val="0"/>
      <w:marTop w:val="0"/>
      <w:marBottom w:val="0"/>
      <w:divBdr>
        <w:top w:val="none" w:sz="0" w:space="0" w:color="auto"/>
        <w:left w:val="none" w:sz="0" w:space="0" w:color="auto"/>
        <w:bottom w:val="none" w:sz="0" w:space="0" w:color="auto"/>
        <w:right w:val="none" w:sz="0" w:space="0" w:color="auto"/>
      </w:divBdr>
    </w:div>
    <w:div w:id="504563274">
      <w:bodyDiv w:val="1"/>
      <w:marLeft w:val="0"/>
      <w:marRight w:val="0"/>
      <w:marTop w:val="0"/>
      <w:marBottom w:val="0"/>
      <w:divBdr>
        <w:top w:val="none" w:sz="0" w:space="0" w:color="auto"/>
        <w:left w:val="none" w:sz="0" w:space="0" w:color="auto"/>
        <w:bottom w:val="none" w:sz="0" w:space="0" w:color="auto"/>
        <w:right w:val="none" w:sz="0" w:space="0" w:color="auto"/>
      </w:divBdr>
    </w:div>
    <w:div w:id="608196728">
      <w:bodyDiv w:val="1"/>
      <w:marLeft w:val="0"/>
      <w:marRight w:val="0"/>
      <w:marTop w:val="0"/>
      <w:marBottom w:val="0"/>
      <w:divBdr>
        <w:top w:val="none" w:sz="0" w:space="0" w:color="auto"/>
        <w:left w:val="none" w:sz="0" w:space="0" w:color="auto"/>
        <w:bottom w:val="none" w:sz="0" w:space="0" w:color="auto"/>
        <w:right w:val="none" w:sz="0" w:space="0" w:color="auto"/>
      </w:divBdr>
    </w:div>
    <w:div w:id="836043522">
      <w:bodyDiv w:val="1"/>
      <w:marLeft w:val="0"/>
      <w:marRight w:val="0"/>
      <w:marTop w:val="0"/>
      <w:marBottom w:val="0"/>
      <w:divBdr>
        <w:top w:val="none" w:sz="0" w:space="0" w:color="auto"/>
        <w:left w:val="none" w:sz="0" w:space="0" w:color="auto"/>
        <w:bottom w:val="none" w:sz="0" w:space="0" w:color="auto"/>
        <w:right w:val="none" w:sz="0" w:space="0" w:color="auto"/>
      </w:divBdr>
    </w:div>
    <w:div w:id="852574706">
      <w:bodyDiv w:val="1"/>
      <w:marLeft w:val="0"/>
      <w:marRight w:val="0"/>
      <w:marTop w:val="0"/>
      <w:marBottom w:val="0"/>
      <w:divBdr>
        <w:top w:val="none" w:sz="0" w:space="0" w:color="auto"/>
        <w:left w:val="none" w:sz="0" w:space="0" w:color="auto"/>
        <w:bottom w:val="none" w:sz="0" w:space="0" w:color="auto"/>
        <w:right w:val="none" w:sz="0" w:space="0" w:color="auto"/>
      </w:divBdr>
    </w:div>
    <w:div w:id="1085766926">
      <w:bodyDiv w:val="1"/>
      <w:marLeft w:val="0"/>
      <w:marRight w:val="0"/>
      <w:marTop w:val="0"/>
      <w:marBottom w:val="0"/>
      <w:divBdr>
        <w:top w:val="none" w:sz="0" w:space="0" w:color="auto"/>
        <w:left w:val="none" w:sz="0" w:space="0" w:color="auto"/>
        <w:bottom w:val="none" w:sz="0" w:space="0" w:color="auto"/>
        <w:right w:val="none" w:sz="0" w:space="0" w:color="auto"/>
      </w:divBdr>
    </w:div>
    <w:div w:id="1189759636">
      <w:bodyDiv w:val="1"/>
      <w:marLeft w:val="0"/>
      <w:marRight w:val="0"/>
      <w:marTop w:val="0"/>
      <w:marBottom w:val="0"/>
      <w:divBdr>
        <w:top w:val="none" w:sz="0" w:space="0" w:color="auto"/>
        <w:left w:val="none" w:sz="0" w:space="0" w:color="auto"/>
        <w:bottom w:val="none" w:sz="0" w:space="0" w:color="auto"/>
        <w:right w:val="none" w:sz="0" w:space="0" w:color="auto"/>
      </w:divBdr>
    </w:div>
    <w:div w:id="1600025939">
      <w:bodyDiv w:val="1"/>
      <w:marLeft w:val="0"/>
      <w:marRight w:val="0"/>
      <w:marTop w:val="0"/>
      <w:marBottom w:val="0"/>
      <w:divBdr>
        <w:top w:val="none" w:sz="0" w:space="0" w:color="auto"/>
        <w:left w:val="none" w:sz="0" w:space="0" w:color="auto"/>
        <w:bottom w:val="none" w:sz="0" w:space="0" w:color="auto"/>
        <w:right w:val="none" w:sz="0" w:space="0" w:color="auto"/>
      </w:divBdr>
    </w:div>
    <w:div w:id="1610157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18" Type="http://schemas.openxmlformats.org/officeDocument/2006/relationships/header" Target="head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thegioimobi.com)" TargetMode="External"/><Relationship Id="rId17" Type="http://schemas.openxmlformats.org/officeDocument/2006/relationships/chart" Target="charts/chart2.xml"/><Relationship Id="rId2" Type="http://schemas.openxmlformats.org/officeDocument/2006/relationships/numbering" Target="numbering.xml"/><Relationship Id="rId16" Type="http://schemas.openxmlformats.org/officeDocument/2006/relationships/chart" Target="charts/chart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veycases.com" TargetMode="External"/><Relationship Id="rId24"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mailto:cases@ivey.ca"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2.xml"/></Relationships>
</file>

<file path=word/charts/_rels/chart1.xml.rels><?xml version="1.0" encoding="UTF-8" standalone="yes"?>
<Relationships xmlns="http://schemas.openxmlformats.org/package/2006/relationships"><Relationship Id="rId3" Type="http://schemas.openxmlformats.org/officeDocument/2006/relationships/oleObject" Target="file:///\\Users\markustaussig\Dropbox\Key%20ongoing%20stuff\MWG%20figure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markustaussig\Dropbox\Key%20ongoing%20stuff\MWG%20figures.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0"/>
    <c:plotArea>
      <c:layout/>
      <c:barChart>
        <c:barDir val="col"/>
        <c:grouping val="stacked"/>
        <c:varyColors val="0"/>
        <c:ser>
          <c:idx val="0"/>
          <c:order val="0"/>
          <c:tx>
            <c:strRef>
              <c:f>Sheet1!$C$57</c:f>
              <c:strCache>
                <c:ptCount val="1"/>
                <c:pt idx="0">
                  <c:v>Emerging Market PE Deals</c:v>
                </c:pt>
              </c:strCache>
            </c:strRef>
          </c:tx>
          <c:spPr>
            <a:gradFill rotWithShape="1">
              <a:gsLst>
                <a:gs pos="0">
                  <a:schemeClr val="dk1">
                    <a:tint val="88500"/>
                    <a:shade val="51000"/>
                    <a:satMod val="130000"/>
                  </a:schemeClr>
                </a:gs>
                <a:gs pos="80000">
                  <a:schemeClr val="dk1">
                    <a:tint val="88500"/>
                    <a:shade val="93000"/>
                    <a:satMod val="130000"/>
                  </a:schemeClr>
                </a:gs>
                <a:gs pos="100000">
                  <a:schemeClr val="dk1">
                    <a:tint val="88500"/>
                    <a:shade val="94000"/>
                    <a:satMod val="135000"/>
                  </a:schemeClr>
                </a:gs>
              </a:gsLst>
              <a:lin ang="16200000" scaled="0"/>
            </a:gradFill>
            <a:ln>
              <a:noFill/>
            </a:ln>
            <a:effectLst>
              <a:outerShdw blurRad="40000" dist="23000" dir="5400000" rotWithShape="0">
                <a:srgbClr val="000000">
                  <a:alpha val="35000"/>
                </a:srgbClr>
              </a:outerShdw>
            </a:effectLst>
          </c:spPr>
          <c:invertIfNegative val="0"/>
          <c:cat>
            <c:numRef>
              <c:f>Sheet1!$D$56:$L$56</c:f>
              <c:numCache>
                <c:formatCode>General</c:formatCode>
                <c:ptCount val="9"/>
                <c:pt idx="0">
                  <c:v>2000</c:v>
                </c:pt>
                <c:pt idx="1">
                  <c:v>2001</c:v>
                </c:pt>
                <c:pt idx="2">
                  <c:v>2002</c:v>
                </c:pt>
                <c:pt idx="3">
                  <c:v>2003</c:v>
                </c:pt>
                <c:pt idx="4">
                  <c:v>2004</c:v>
                </c:pt>
                <c:pt idx="5">
                  <c:v>2005</c:v>
                </c:pt>
                <c:pt idx="6">
                  <c:v>2006</c:v>
                </c:pt>
                <c:pt idx="7">
                  <c:v>2007</c:v>
                </c:pt>
                <c:pt idx="8">
                  <c:v>2008</c:v>
                </c:pt>
              </c:numCache>
            </c:numRef>
          </c:cat>
          <c:val>
            <c:numRef>
              <c:f>Sheet1!$D$57:$L$57</c:f>
              <c:numCache>
                <c:formatCode>General</c:formatCode>
                <c:ptCount val="9"/>
                <c:pt idx="0">
                  <c:v>23</c:v>
                </c:pt>
                <c:pt idx="1">
                  <c:v>28</c:v>
                </c:pt>
                <c:pt idx="2">
                  <c:v>34</c:v>
                </c:pt>
                <c:pt idx="3">
                  <c:v>55</c:v>
                </c:pt>
                <c:pt idx="4">
                  <c:v>61</c:v>
                </c:pt>
                <c:pt idx="5">
                  <c:v>104</c:v>
                </c:pt>
                <c:pt idx="6">
                  <c:v>172</c:v>
                </c:pt>
                <c:pt idx="7">
                  <c:v>207</c:v>
                </c:pt>
                <c:pt idx="8">
                  <c:v>166</c:v>
                </c:pt>
              </c:numCache>
            </c:numRef>
          </c:val>
          <c:extLst>
            <c:ext xmlns:c16="http://schemas.microsoft.com/office/drawing/2014/chart" uri="{C3380CC4-5D6E-409C-BE32-E72D297353CC}">
              <c16:uniqueId val="{00000000-9D20-4A18-A39E-FE702B4EBD5B}"/>
            </c:ext>
          </c:extLst>
        </c:ser>
        <c:ser>
          <c:idx val="1"/>
          <c:order val="1"/>
          <c:tx>
            <c:strRef>
              <c:f>Sheet1!$C$58</c:f>
              <c:strCache>
                <c:ptCount val="1"/>
                <c:pt idx="0">
                  <c:v>PE Deals in North America and Europe</c:v>
                </c:pt>
              </c:strCache>
            </c:strRef>
          </c:tx>
          <c:spPr>
            <a:gradFill rotWithShape="1">
              <a:gsLst>
                <a:gs pos="0">
                  <a:schemeClr val="dk1">
                    <a:tint val="55000"/>
                    <a:shade val="51000"/>
                    <a:satMod val="130000"/>
                  </a:schemeClr>
                </a:gs>
                <a:gs pos="80000">
                  <a:schemeClr val="dk1">
                    <a:tint val="55000"/>
                    <a:shade val="93000"/>
                    <a:satMod val="130000"/>
                  </a:schemeClr>
                </a:gs>
                <a:gs pos="100000">
                  <a:schemeClr val="dk1">
                    <a:tint val="55000"/>
                    <a:shade val="94000"/>
                    <a:satMod val="135000"/>
                  </a:schemeClr>
                </a:gs>
              </a:gsLst>
              <a:lin ang="16200000" scaled="0"/>
            </a:gradFill>
            <a:ln>
              <a:noFill/>
            </a:ln>
            <a:effectLst>
              <a:outerShdw blurRad="40000" dist="23000" dir="5400000" rotWithShape="0">
                <a:srgbClr val="000000">
                  <a:alpha val="35000"/>
                </a:srgbClr>
              </a:outerShdw>
            </a:effectLst>
          </c:spPr>
          <c:invertIfNegative val="0"/>
          <c:cat>
            <c:numRef>
              <c:f>Sheet1!$D$56:$L$56</c:f>
              <c:numCache>
                <c:formatCode>General</c:formatCode>
                <c:ptCount val="9"/>
                <c:pt idx="0">
                  <c:v>2000</c:v>
                </c:pt>
                <c:pt idx="1">
                  <c:v>2001</c:v>
                </c:pt>
                <c:pt idx="2">
                  <c:v>2002</c:v>
                </c:pt>
                <c:pt idx="3">
                  <c:v>2003</c:v>
                </c:pt>
                <c:pt idx="4">
                  <c:v>2004</c:v>
                </c:pt>
                <c:pt idx="5">
                  <c:v>2005</c:v>
                </c:pt>
                <c:pt idx="6">
                  <c:v>2006</c:v>
                </c:pt>
                <c:pt idx="7">
                  <c:v>2007</c:v>
                </c:pt>
                <c:pt idx="8">
                  <c:v>2008</c:v>
                </c:pt>
              </c:numCache>
            </c:numRef>
          </c:cat>
          <c:val>
            <c:numRef>
              <c:f>Sheet1!$D$58:$L$58</c:f>
              <c:numCache>
                <c:formatCode>General</c:formatCode>
                <c:ptCount val="9"/>
                <c:pt idx="0">
                  <c:v>310</c:v>
                </c:pt>
                <c:pt idx="1">
                  <c:v>328</c:v>
                </c:pt>
                <c:pt idx="2">
                  <c:v>341</c:v>
                </c:pt>
                <c:pt idx="3">
                  <c:v>490</c:v>
                </c:pt>
                <c:pt idx="4">
                  <c:v>613</c:v>
                </c:pt>
                <c:pt idx="5">
                  <c:v>763</c:v>
                </c:pt>
                <c:pt idx="6">
                  <c:v>782</c:v>
                </c:pt>
                <c:pt idx="7">
                  <c:v>777</c:v>
                </c:pt>
                <c:pt idx="8">
                  <c:v>524</c:v>
                </c:pt>
              </c:numCache>
            </c:numRef>
          </c:val>
          <c:extLst>
            <c:ext xmlns:c16="http://schemas.microsoft.com/office/drawing/2014/chart" uri="{C3380CC4-5D6E-409C-BE32-E72D297353CC}">
              <c16:uniqueId val="{00000001-9D20-4A18-A39E-FE702B4EBD5B}"/>
            </c:ext>
          </c:extLst>
        </c:ser>
        <c:dLbls>
          <c:showLegendKey val="0"/>
          <c:showVal val="0"/>
          <c:showCatName val="0"/>
          <c:showSerName val="0"/>
          <c:showPercent val="0"/>
          <c:showBubbleSize val="0"/>
        </c:dLbls>
        <c:gapWidth val="150"/>
        <c:overlap val="100"/>
        <c:axId val="151993656"/>
        <c:axId val="151828328"/>
      </c:barChart>
      <c:catAx>
        <c:axId val="151993656"/>
        <c:scaling>
          <c:orientation val="minMax"/>
        </c:scaling>
        <c:delete val="0"/>
        <c:axPos val="b"/>
        <c:numFmt formatCode="General" sourceLinked="1"/>
        <c:majorTickMark val="out"/>
        <c:minorTickMark val="none"/>
        <c:tickLblPos val="nextTo"/>
        <c:spPr>
          <a:noFill/>
          <a:ln w="9525" cap="flat" cmpd="sng" algn="ctr">
            <a:solidFill>
              <a:schemeClr val="tx1">
                <a:tint val="75000"/>
                <a:shade val="95000"/>
                <a:satMod val="105000"/>
              </a:schemeClr>
            </a:solidFill>
            <a:prstDash val="solid"/>
            <a:round/>
          </a:ln>
          <a:effectLst/>
        </c:spPr>
        <c:txPr>
          <a:bodyPr rot="-60000000" spcFirstLastPara="1" vertOverflow="ellipsis" vert="horz" wrap="square" anchor="ctr" anchorCtr="1"/>
          <a:lstStyle/>
          <a:p>
            <a:pPr>
              <a:defRPr sz="1000" b="0" i="0" u="none" strike="noStrike" kern="1200" baseline="0">
                <a:solidFill>
                  <a:schemeClr val="tx1"/>
                </a:solidFill>
                <a:latin typeface="+mn-lt"/>
                <a:ea typeface="+mn-ea"/>
                <a:cs typeface="+mn-cs"/>
              </a:defRPr>
            </a:pPr>
            <a:endParaRPr lang="en-US"/>
          </a:p>
        </c:txPr>
        <c:crossAx val="151828328"/>
        <c:crosses val="autoZero"/>
        <c:auto val="1"/>
        <c:lblAlgn val="ctr"/>
        <c:lblOffset val="100"/>
        <c:noMultiLvlLbl val="0"/>
      </c:catAx>
      <c:valAx>
        <c:axId val="151828328"/>
        <c:scaling>
          <c:orientation val="minMax"/>
        </c:scaling>
        <c:delete val="0"/>
        <c:axPos val="l"/>
        <c:majorGridlines>
          <c:spPr>
            <a:ln w="9525" cap="flat" cmpd="sng" algn="ctr">
              <a:solidFill>
                <a:schemeClr val="tx1">
                  <a:tint val="75000"/>
                  <a:shade val="95000"/>
                  <a:satMod val="105000"/>
                </a:schemeClr>
              </a:solidFill>
              <a:prstDash val="solid"/>
              <a:round/>
            </a:ln>
            <a:effectLst/>
          </c:spPr>
        </c:majorGridlines>
        <c:title>
          <c:tx>
            <c:rich>
              <a:bodyPr rot="-5400000" spcFirstLastPara="1" vertOverflow="ellipsis" vert="horz" wrap="square" anchor="ctr" anchorCtr="1"/>
              <a:lstStyle/>
              <a:p>
                <a:pPr>
                  <a:defRPr sz="1000" b="1" i="0" u="none" strike="noStrike" kern="1200" baseline="0">
                    <a:solidFill>
                      <a:schemeClr val="tx1"/>
                    </a:solidFill>
                    <a:latin typeface="+mn-lt"/>
                    <a:ea typeface="+mn-ea"/>
                    <a:cs typeface="+mn-cs"/>
                  </a:defRPr>
                </a:pPr>
                <a:r>
                  <a:rPr lang="en-US"/>
                  <a:t># of PE</a:t>
                </a:r>
                <a:r>
                  <a:rPr lang="en-US" baseline="0"/>
                  <a:t> Deals Per Year</a:t>
                </a:r>
                <a:endParaRPr lang="en-US"/>
              </a:p>
            </c:rich>
          </c:tx>
          <c:layout/>
          <c:overlay val="0"/>
          <c:spPr>
            <a:noFill/>
            <a:ln>
              <a:noFill/>
            </a:ln>
            <a:effectLst/>
          </c:spPr>
          <c:txPr>
            <a:bodyPr rot="-5400000" spcFirstLastPara="1" vertOverflow="ellipsis" vert="horz" wrap="square" anchor="ctr" anchorCtr="1"/>
            <a:lstStyle/>
            <a:p>
              <a:pPr>
                <a:defRPr sz="1000" b="1" i="0" u="none" strike="noStrike" kern="1200" baseline="0">
                  <a:solidFill>
                    <a:schemeClr val="tx1"/>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tint val="75000"/>
                <a:shade val="95000"/>
                <a:satMod val="105000"/>
              </a:schemeClr>
            </a:solidFill>
            <a:prstDash val="solid"/>
            <a:round/>
          </a:ln>
          <a:effectLst/>
        </c:spPr>
        <c:txPr>
          <a:bodyPr rot="-60000000" spcFirstLastPara="1" vertOverflow="ellipsis" vert="horz" wrap="square" anchor="ctr" anchorCtr="1"/>
          <a:lstStyle/>
          <a:p>
            <a:pPr>
              <a:defRPr sz="1000" b="0" i="0" u="none" strike="noStrike" kern="1200" baseline="0">
                <a:solidFill>
                  <a:schemeClr val="tx1"/>
                </a:solidFill>
                <a:latin typeface="+mn-lt"/>
                <a:ea typeface="+mn-ea"/>
                <a:cs typeface="+mn-cs"/>
              </a:defRPr>
            </a:pPr>
            <a:endParaRPr lang="en-US"/>
          </a:p>
        </c:txPr>
        <c:crossAx val="151993656"/>
        <c:crosses val="autoZero"/>
        <c:crossBetween val="between"/>
      </c:valAx>
      <c:spPr>
        <a:solidFill>
          <a:schemeClr val="bg1"/>
        </a:solidFill>
        <a:ln>
          <a:noFill/>
        </a:ln>
        <a:effectLst/>
      </c:spPr>
    </c:plotArea>
    <c:legend>
      <c:legendPos val="t"/>
      <c:layout/>
      <c:overlay val="0"/>
      <c:spPr>
        <a:noFill/>
        <a:ln>
          <a:noFill/>
        </a:ln>
        <a:effectLst/>
      </c:spPr>
      <c:txPr>
        <a:bodyPr rot="0" spcFirstLastPara="1" vertOverflow="ellipsis" vert="horz" wrap="square" anchor="ctr" anchorCtr="1"/>
        <a:lstStyle/>
        <a:p>
          <a:pPr>
            <a:defRPr sz="1000" b="0" i="0" u="none" strike="noStrike" kern="1200" baseline="0">
              <a:solidFill>
                <a:schemeClr val="tx1"/>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tint val="75000"/>
          <a:shade val="95000"/>
          <a:satMod val="105000"/>
        </a:schemeClr>
      </a:solidFill>
      <a:prstDash val="solid"/>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0"/>
    <c:plotArea>
      <c:layout/>
      <c:barChart>
        <c:barDir val="col"/>
        <c:grouping val="stacked"/>
        <c:varyColors val="0"/>
        <c:ser>
          <c:idx val="0"/>
          <c:order val="0"/>
          <c:tx>
            <c:strRef>
              <c:f>Sheet1!$C$62</c:f>
              <c:strCache>
                <c:ptCount val="1"/>
                <c:pt idx="0">
                  <c:v>Emerging Market PE Deal Volume</c:v>
                </c:pt>
              </c:strCache>
            </c:strRef>
          </c:tx>
          <c:spPr>
            <a:gradFill rotWithShape="1">
              <a:gsLst>
                <a:gs pos="0">
                  <a:schemeClr val="dk1">
                    <a:tint val="88500"/>
                    <a:shade val="51000"/>
                    <a:satMod val="130000"/>
                  </a:schemeClr>
                </a:gs>
                <a:gs pos="80000">
                  <a:schemeClr val="dk1">
                    <a:tint val="88500"/>
                    <a:shade val="93000"/>
                    <a:satMod val="130000"/>
                  </a:schemeClr>
                </a:gs>
                <a:gs pos="100000">
                  <a:schemeClr val="dk1">
                    <a:tint val="88500"/>
                    <a:shade val="94000"/>
                    <a:satMod val="135000"/>
                  </a:schemeClr>
                </a:gs>
              </a:gsLst>
              <a:lin ang="16200000" scaled="0"/>
            </a:gradFill>
            <a:ln>
              <a:noFill/>
            </a:ln>
            <a:effectLst>
              <a:outerShdw blurRad="40000" dist="23000" dir="5400000" rotWithShape="0">
                <a:srgbClr val="000000">
                  <a:alpha val="35000"/>
                </a:srgbClr>
              </a:outerShdw>
            </a:effectLst>
          </c:spPr>
          <c:invertIfNegative val="0"/>
          <c:cat>
            <c:numRef>
              <c:f>Sheet1!$D$61:$L$61</c:f>
              <c:numCache>
                <c:formatCode>General</c:formatCode>
                <c:ptCount val="9"/>
                <c:pt idx="0">
                  <c:v>2000</c:v>
                </c:pt>
                <c:pt idx="1">
                  <c:v>2001</c:v>
                </c:pt>
                <c:pt idx="2">
                  <c:v>2002</c:v>
                </c:pt>
                <c:pt idx="3">
                  <c:v>2003</c:v>
                </c:pt>
                <c:pt idx="4">
                  <c:v>2004</c:v>
                </c:pt>
                <c:pt idx="5">
                  <c:v>2005</c:v>
                </c:pt>
                <c:pt idx="6">
                  <c:v>2006</c:v>
                </c:pt>
                <c:pt idx="7">
                  <c:v>2007</c:v>
                </c:pt>
                <c:pt idx="8">
                  <c:v>2008</c:v>
                </c:pt>
              </c:numCache>
            </c:numRef>
          </c:cat>
          <c:val>
            <c:numRef>
              <c:f>Sheet1!$D$62:$L$62</c:f>
              <c:numCache>
                <c:formatCode>General</c:formatCode>
                <c:ptCount val="9"/>
                <c:pt idx="0">
                  <c:v>7.77</c:v>
                </c:pt>
                <c:pt idx="1">
                  <c:v>15.64</c:v>
                </c:pt>
                <c:pt idx="2">
                  <c:v>5.85</c:v>
                </c:pt>
                <c:pt idx="3">
                  <c:v>12.96</c:v>
                </c:pt>
                <c:pt idx="4">
                  <c:v>15.06</c:v>
                </c:pt>
                <c:pt idx="5">
                  <c:v>28.08</c:v>
                </c:pt>
                <c:pt idx="6">
                  <c:v>55.3</c:v>
                </c:pt>
                <c:pt idx="7">
                  <c:v>62.96</c:v>
                </c:pt>
                <c:pt idx="8">
                  <c:v>33.040000000000013</c:v>
                </c:pt>
              </c:numCache>
            </c:numRef>
          </c:val>
          <c:extLst>
            <c:ext xmlns:c16="http://schemas.microsoft.com/office/drawing/2014/chart" uri="{C3380CC4-5D6E-409C-BE32-E72D297353CC}">
              <c16:uniqueId val="{00000000-F3D2-4B32-925C-2F055B614C99}"/>
            </c:ext>
          </c:extLst>
        </c:ser>
        <c:ser>
          <c:idx val="1"/>
          <c:order val="1"/>
          <c:tx>
            <c:strRef>
              <c:f>Sheet1!$C$63</c:f>
              <c:strCache>
                <c:ptCount val="1"/>
                <c:pt idx="0">
                  <c:v>PE Deal Volume in North America and Europe</c:v>
                </c:pt>
              </c:strCache>
            </c:strRef>
          </c:tx>
          <c:spPr>
            <a:gradFill rotWithShape="1">
              <a:gsLst>
                <a:gs pos="0">
                  <a:schemeClr val="dk1">
                    <a:tint val="55000"/>
                    <a:shade val="51000"/>
                    <a:satMod val="130000"/>
                  </a:schemeClr>
                </a:gs>
                <a:gs pos="80000">
                  <a:schemeClr val="dk1">
                    <a:tint val="55000"/>
                    <a:shade val="93000"/>
                    <a:satMod val="130000"/>
                  </a:schemeClr>
                </a:gs>
                <a:gs pos="100000">
                  <a:schemeClr val="dk1">
                    <a:tint val="55000"/>
                    <a:shade val="94000"/>
                    <a:satMod val="135000"/>
                  </a:schemeClr>
                </a:gs>
              </a:gsLst>
              <a:lin ang="16200000" scaled="0"/>
            </a:gradFill>
            <a:ln>
              <a:noFill/>
            </a:ln>
            <a:effectLst>
              <a:outerShdw blurRad="40000" dist="23000" dir="5400000" rotWithShape="0">
                <a:srgbClr val="000000">
                  <a:alpha val="35000"/>
                </a:srgbClr>
              </a:outerShdw>
            </a:effectLst>
          </c:spPr>
          <c:invertIfNegative val="0"/>
          <c:cat>
            <c:numRef>
              <c:f>Sheet1!$D$61:$L$61</c:f>
              <c:numCache>
                <c:formatCode>General</c:formatCode>
                <c:ptCount val="9"/>
                <c:pt idx="0">
                  <c:v>2000</c:v>
                </c:pt>
                <c:pt idx="1">
                  <c:v>2001</c:v>
                </c:pt>
                <c:pt idx="2">
                  <c:v>2002</c:v>
                </c:pt>
                <c:pt idx="3">
                  <c:v>2003</c:v>
                </c:pt>
                <c:pt idx="4">
                  <c:v>2004</c:v>
                </c:pt>
                <c:pt idx="5">
                  <c:v>2005</c:v>
                </c:pt>
                <c:pt idx="6">
                  <c:v>2006</c:v>
                </c:pt>
                <c:pt idx="7">
                  <c:v>2007</c:v>
                </c:pt>
                <c:pt idx="8">
                  <c:v>2008</c:v>
                </c:pt>
              </c:numCache>
            </c:numRef>
          </c:cat>
          <c:val>
            <c:numRef>
              <c:f>Sheet1!$D$63:$L$63</c:f>
              <c:numCache>
                <c:formatCode>General</c:formatCode>
                <c:ptCount val="9"/>
                <c:pt idx="0">
                  <c:v>103.23</c:v>
                </c:pt>
                <c:pt idx="1">
                  <c:v>76.36</c:v>
                </c:pt>
                <c:pt idx="2">
                  <c:v>111.15</c:v>
                </c:pt>
                <c:pt idx="3">
                  <c:v>131.04</c:v>
                </c:pt>
                <c:pt idx="4">
                  <c:v>235.94</c:v>
                </c:pt>
                <c:pt idx="5">
                  <c:v>322.92</c:v>
                </c:pt>
                <c:pt idx="6">
                  <c:v>734.7</c:v>
                </c:pt>
                <c:pt idx="7">
                  <c:v>724.04</c:v>
                </c:pt>
                <c:pt idx="8">
                  <c:v>202.96</c:v>
                </c:pt>
              </c:numCache>
            </c:numRef>
          </c:val>
          <c:extLst>
            <c:ext xmlns:c16="http://schemas.microsoft.com/office/drawing/2014/chart" uri="{C3380CC4-5D6E-409C-BE32-E72D297353CC}">
              <c16:uniqueId val="{00000001-F3D2-4B32-925C-2F055B614C99}"/>
            </c:ext>
          </c:extLst>
        </c:ser>
        <c:dLbls>
          <c:showLegendKey val="0"/>
          <c:showVal val="0"/>
          <c:showCatName val="0"/>
          <c:showSerName val="0"/>
          <c:showPercent val="0"/>
          <c:showBubbleSize val="0"/>
        </c:dLbls>
        <c:gapWidth val="150"/>
        <c:overlap val="100"/>
        <c:axId val="149009872"/>
        <c:axId val="151877728"/>
      </c:barChart>
      <c:catAx>
        <c:axId val="149009872"/>
        <c:scaling>
          <c:orientation val="minMax"/>
        </c:scaling>
        <c:delete val="0"/>
        <c:axPos val="b"/>
        <c:numFmt formatCode="General" sourceLinked="1"/>
        <c:majorTickMark val="out"/>
        <c:minorTickMark val="none"/>
        <c:tickLblPos val="nextTo"/>
        <c:spPr>
          <a:noFill/>
          <a:ln w="9525" cap="flat" cmpd="sng" algn="ctr">
            <a:solidFill>
              <a:schemeClr val="tx1">
                <a:tint val="75000"/>
                <a:shade val="95000"/>
                <a:satMod val="105000"/>
              </a:schemeClr>
            </a:solidFill>
            <a:prstDash val="solid"/>
            <a:round/>
          </a:ln>
          <a:effectLst/>
        </c:spPr>
        <c:txPr>
          <a:bodyPr rot="-60000000" spcFirstLastPara="1" vertOverflow="ellipsis" vert="horz" wrap="square" anchor="ctr" anchorCtr="1"/>
          <a:lstStyle/>
          <a:p>
            <a:pPr>
              <a:defRPr sz="1000" b="0" i="0" u="none" strike="noStrike" kern="1200" baseline="0">
                <a:solidFill>
                  <a:schemeClr val="tx1"/>
                </a:solidFill>
                <a:latin typeface="+mn-lt"/>
                <a:ea typeface="+mn-ea"/>
                <a:cs typeface="+mn-cs"/>
              </a:defRPr>
            </a:pPr>
            <a:endParaRPr lang="en-US"/>
          </a:p>
        </c:txPr>
        <c:crossAx val="151877728"/>
        <c:crosses val="autoZero"/>
        <c:auto val="1"/>
        <c:lblAlgn val="ctr"/>
        <c:lblOffset val="100"/>
        <c:noMultiLvlLbl val="0"/>
      </c:catAx>
      <c:valAx>
        <c:axId val="151877728"/>
        <c:scaling>
          <c:orientation val="minMax"/>
        </c:scaling>
        <c:delete val="0"/>
        <c:axPos val="l"/>
        <c:majorGridlines>
          <c:spPr>
            <a:ln w="9525" cap="flat" cmpd="sng" algn="ctr">
              <a:solidFill>
                <a:schemeClr val="tx1">
                  <a:tint val="75000"/>
                  <a:shade val="95000"/>
                  <a:satMod val="105000"/>
                </a:schemeClr>
              </a:solidFill>
              <a:prstDash val="solid"/>
              <a:round/>
            </a:ln>
            <a:effectLst/>
          </c:spPr>
        </c:majorGridlines>
        <c:title>
          <c:tx>
            <c:rich>
              <a:bodyPr rot="-5400000" spcFirstLastPara="1" vertOverflow="ellipsis" vert="horz" wrap="square" anchor="ctr" anchorCtr="1"/>
              <a:lstStyle/>
              <a:p>
                <a:pPr>
                  <a:defRPr sz="1000" b="1" i="0" u="none" strike="noStrike" kern="1200" baseline="0">
                    <a:solidFill>
                      <a:schemeClr val="tx1"/>
                    </a:solidFill>
                    <a:latin typeface="+mn-lt"/>
                    <a:ea typeface="+mn-ea"/>
                    <a:cs typeface="+mn-cs"/>
                  </a:defRPr>
                </a:pPr>
                <a:r>
                  <a:rPr lang="en-US"/>
                  <a:t>US$ billions</a:t>
                </a:r>
              </a:p>
            </c:rich>
          </c:tx>
          <c:layout/>
          <c:overlay val="0"/>
          <c:spPr>
            <a:noFill/>
            <a:ln>
              <a:noFill/>
            </a:ln>
            <a:effectLst/>
          </c:spPr>
          <c:txPr>
            <a:bodyPr rot="-5400000" spcFirstLastPara="1" vertOverflow="ellipsis" vert="horz" wrap="square" anchor="ctr" anchorCtr="1"/>
            <a:lstStyle/>
            <a:p>
              <a:pPr>
                <a:defRPr sz="1000" b="1" i="0" u="none" strike="noStrike" kern="1200" baseline="0">
                  <a:solidFill>
                    <a:schemeClr val="tx1"/>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tint val="75000"/>
                <a:shade val="95000"/>
                <a:satMod val="105000"/>
              </a:schemeClr>
            </a:solidFill>
            <a:prstDash val="solid"/>
            <a:round/>
          </a:ln>
          <a:effectLst/>
        </c:spPr>
        <c:txPr>
          <a:bodyPr rot="-60000000" spcFirstLastPara="1" vertOverflow="ellipsis" vert="horz" wrap="square" anchor="ctr" anchorCtr="1"/>
          <a:lstStyle/>
          <a:p>
            <a:pPr>
              <a:defRPr sz="1000" b="0" i="0" u="none" strike="noStrike" kern="1200" baseline="0">
                <a:solidFill>
                  <a:schemeClr val="tx1"/>
                </a:solidFill>
                <a:latin typeface="+mn-lt"/>
                <a:ea typeface="+mn-ea"/>
                <a:cs typeface="+mn-cs"/>
              </a:defRPr>
            </a:pPr>
            <a:endParaRPr lang="en-US"/>
          </a:p>
        </c:txPr>
        <c:crossAx val="149009872"/>
        <c:crosses val="autoZero"/>
        <c:crossBetween val="between"/>
      </c:valAx>
      <c:spPr>
        <a:solidFill>
          <a:schemeClr val="bg1"/>
        </a:solidFill>
        <a:ln>
          <a:noFill/>
        </a:ln>
        <a:effectLst/>
      </c:spPr>
    </c:plotArea>
    <c:legend>
      <c:legendPos val="t"/>
      <c:layout/>
      <c:overlay val="0"/>
      <c:spPr>
        <a:noFill/>
        <a:ln>
          <a:noFill/>
        </a:ln>
        <a:effectLst/>
      </c:spPr>
      <c:txPr>
        <a:bodyPr rot="0" spcFirstLastPara="1" vertOverflow="ellipsis" vert="horz" wrap="square" anchor="ctr" anchorCtr="1"/>
        <a:lstStyle/>
        <a:p>
          <a:pPr>
            <a:defRPr sz="1000" b="0" i="0" u="none" strike="noStrike" kern="1200" baseline="0">
              <a:solidFill>
                <a:schemeClr val="tx1"/>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tint val="75000"/>
          <a:shade val="95000"/>
          <a:satMod val="105000"/>
        </a:schemeClr>
      </a:solidFill>
      <a:prstDash val="solid"/>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2.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style1.xml><?xml version="1.0" encoding="utf-8"?>
<cs:chartStyle xmlns:cs="http://schemas.microsoft.com/office/drawing/2012/chartStyle" xmlns:a="http://schemas.openxmlformats.org/drawingml/2006/main" id="118">
  <cs:axisTitle>
    <cs:lnRef idx="0"/>
    <cs:fillRef idx="0"/>
    <cs:effectRef idx="0"/>
    <cs:fontRef idx="minor">
      <a:schemeClr val="tx1"/>
    </cs:fontRef>
    <cs:defRPr sz="1000" b="1" kern="1200"/>
  </cs:axisTitle>
  <cs:categoryAxis>
    <cs:lnRef idx="1">
      <a:schemeClr val="tx1">
        <a:tint val="75000"/>
      </a:schemeClr>
    </cs:lnRef>
    <cs:fillRef idx="0"/>
    <cs:effectRef idx="0"/>
    <cs:fontRef idx="minor">
      <a:schemeClr val="tx1"/>
    </cs:fontRef>
    <cs:spPr>
      <a:ln>
        <a:round/>
      </a:ln>
    </cs:spPr>
    <cs:defRPr sz="1000" kern="1200"/>
  </cs:categoryAxis>
  <cs:chartArea mods="allowNoFillOverride allowNoLineOverride">
    <cs:lnRef idx="1">
      <a:schemeClr val="tx1">
        <a:tint val="75000"/>
      </a:schemeClr>
    </cs:lnRef>
    <cs:fillRef idx="1">
      <a:schemeClr val="bg1"/>
    </cs:fillRef>
    <cs:effectRef idx="0"/>
    <cs:fontRef idx="minor">
      <a:schemeClr val="tx1"/>
    </cs:fontRef>
    <cs:spPr>
      <a:ln>
        <a:round/>
      </a:ln>
    </cs:spPr>
    <cs:defRPr sz="1000" kern="1200"/>
  </cs:chartArea>
  <cs:dataLabel>
    <cs:lnRef idx="0"/>
    <cs:fillRef idx="0"/>
    <cs:effectRef idx="0"/>
    <cs:fontRef idx="minor">
      <a:schemeClr val="tx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0"/>
    <cs:fillRef idx="3">
      <cs:styleClr val="auto"/>
    </cs:fillRef>
    <cs:effectRef idx="2">
      <a:schemeClr val="dk1"/>
    </cs:effectRef>
    <cs:fontRef idx="minor">
      <a:schemeClr val="tx1"/>
    </cs:fontRef>
  </cs:dataPoint>
  <cs:dataPoint3D>
    <cs:lnRef idx="0"/>
    <cs:fillRef idx="3">
      <cs:styleClr val="auto"/>
    </cs:fillRef>
    <cs:effectRef idx="2">
      <a:schemeClr val="dk1"/>
    </cs:effectRef>
    <cs:fontRef idx="minor">
      <a:schemeClr val="tx1"/>
    </cs:fontRef>
  </cs:dataPoint3D>
  <cs:dataPointLine>
    <cs:lnRef idx="1">
      <cs:styleClr val="auto"/>
    </cs:lnRef>
    <cs:lineWidthScale>5</cs:lineWidthScale>
    <cs:fillRef idx="0"/>
    <cs:effectRef idx="0"/>
    <cs:fontRef idx="minor">
      <a:schemeClr val="tx1"/>
    </cs:fontRef>
    <cs:spPr>
      <a:ln cap="rnd">
        <a:round/>
      </a:ln>
    </cs:spPr>
  </cs:dataPointLine>
  <cs:dataPointMarker>
    <cs:lnRef idx="1">
      <cs:styleClr val="auto"/>
    </cs:lnRef>
    <cs:fillRef idx="3">
      <cs:styleClr val="auto"/>
    </cs:fillRef>
    <cs:effectRef idx="2">
      <a:schemeClr val="dk1"/>
    </cs:effectRef>
    <cs:fontRef idx="minor">
      <a:schemeClr val="tx1"/>
    </cs:fontRef>
    <cs:spPr>
      <a:ln>
        <a:round/>
      </a:ln>
    </cs:spPr>
  </cs:dataPointMarker>
  <cs:dataPointMarkerLayout/>
  <cs:dataPointWireframe>
    <cs:lnRef idx="1">
      <cs:styleClr val="auto"/>
    </cs:lnRef>
    <cs:fillRef idx="0"/>
    <cs:effectRef idx="0"/>
    <cs:fontRef idx="minor">
      <a:schemeClr val="tx1"/>
    </cs:fontRef>
    <cs:spPr>
      <a:ln>
        <a:round/>
      </a:ln>
    </cs:spPr>
  </cs:dataPointWireframe>
  <cs:dataTable>
    <cs:lnRef idx="1">
      <a:schemeClr val="tx1">
        <a:tint val="75000"/>
      </a:schemeClr>
    </cs:lnRef>
    <cs:fillRef idx="0"/>
    <cs:effectRef idx="0"/>
    <cs:fontRef idx="minor">
      <a:schemeClr val="tx1"/>
    </cs:fontRef>
    <cs:spPr>
      <a:ln>
        <a:round/>
      </a:ln>
    </cs:spPr>
    <cs:defRPr sz="1000" kern="1200"/>
  </cs:dataTable>
  <cs:downBar>
    <cs:lnRef idx="0"/>
    <cs:fillRef idx="3">
      <a:schemeClr val="dk1">
        <a:tint val="95000"/>
      </a:schemeClr>
    </cs:fillRef>
    <cs:effectRef idx="2">
      <a:schemeClr val="dk1"/>
    </cs:effectRef>
    <cs:fontRef idx="minor">
      <a:schemeClr val="tx1"/>
    </cs:fontRef>
  </cs:downBar>
  <cs:dropLine>
    <cs:lnRef idx="1">
      <a:schemeClr val="tx1"/>
    </cs:lnRef>
    <cs:fillRef idx="0"/>
    <cs:effectRef idx="0"/>
    <cs:fontRef idx="minor">
      <a:schemeClr val="tx1"/>
    </cs:fontRef>
    <cs:spPr>
      <a:ln>
        <a:round/>
      </a:ln>
    </cs:spPr>
  </cs:dropLine>
  <cs:errorBar>
    <cs:lnRef idx="1">
      <a:schemeClr val="tx1"/>
    </cs:lnRef>
    <cs:fillRef idx="1">
      <a:schemeClr val="tx1"/>
    </cs:fillRef>
    <cs:effectRef idx="0"/>
    <cs:fontRef idx="minor">
      <a:schemeClr val="tx1"/>
    </cs:fontRef>
    <cs:spPr>
      <a:ln>
        <a:round/>
      </a:ln>
    </cs:spPr>
  </cs:errorBar>
  <cs:floor>
    <cs:lnRef idx="1">
      <a:schemeClr val="tx1">
        <a:tint val="75000"/>
      </a:schemeClr>
    </cs:lnRef>
    <cs:fillRef idx="0"/>
    <cs:effectRef idx="0"/>
    <cs:fontRef idx="minor">
      <a:schemeClr val="tx1"/>
    </cs:fontRef>
    <cs:spPr>
      <a:ln>
        <a:round/>
      </a:ln>
    </cs:spPr>
  </cs:floor>
  <cs:gridlineMajor>
    <cs:lnRef idx="1">
      <a:schemeClr val="tx1">
        <a:tint val="75000"/>
      </a:schemeClr>
    </cs:lnRef>
    <cs:fillRef idx="0"/>
    <cs:effectRef idx="0"/>
    <cs:fontRef idx="minor">
      <a:schemeClr val="tx1"/>
    </cs:fontRef>
    <cs:spPr>
      <a:ln>
        <a:round/>
      </a:ln>
    </cs:spPr>
  </cs:gridlineMajor>
  <cs:gridlineMinor>
    <cs:lnRef idx="1">
      <a:schemeClr val="tx1">
        <a:tint val="50000"/>
      </a:schemeClr>
    </cs:lnRef>
    <cs:fillRef idx="0"/>
    <cs:effectRef idx="0"/>
    <cs:fontRef idx="minor">
      <a:schemeClr val="tx1"/>
    </cs:fontRef>
    <cs:spPr>
      <a:ln>
        <a:round/>
      </a:ln>
    </cs:spPr>
  </cs:gridlineMinor>
  <cs:hiLoLine>
    <cs:lnRef idx="1">
      <a:schemeClr val="tx1"/>
    </cs:lnRef>
    <cs:fillRef idx="0"/>
    <cs:effectRef idx="0"/>
    <cs:fontRef idx="minor">
      <a:schemeClr val="tx1"/>
    </cs:fontRef>
    <cs:spPr>
      <a:ln>
        <a:round/>
      </a:ln>
    </cs:spPr>
  </cs:hiLoLine>
  <cs:leaderLine>
    <cs:lnRef idx="1">
      <a:schemeClr val="tx1"/>
    </cs:lnRef>
    <cs:fillRef idx="0"/>
    <cs:effectRef idx="0"/>
    <cs:fontRef idx="minor">
      <a:schemeClr val="tx1"/>
    </cs:fontRef>
    <cs:spPr>
      <a:ln>
        <a:round/>
      </a:ln>
    </cs:spPr>
  </cs:leaderLine>
  <cs:legend>
    <cs:lnRef idx="0"/>
    <cs:fillRef idx="0"/>
    <cs:effectRef idx="0"/>
    <cs:fontRef idx="minor">
      <a:schemeClr val="tx1"/>
    </cs:fontRef>
    <cs:defRPr sz="1000" kern="1200"/>
  </cs:legend>
  <cs:plotArea mods="allowNoFillOverride allowNoLineOverride">
    <cs:lnRef idx="0"/>
    <cs:fillRef idx="1">
      <a:schemeClr val="bg1"/>
    </cs:fillRef>
    <cs:effectRef idx="0"/>
    <cs:fontRef idx="minor">
      <a:schemeClr val="tx1"/>
    </cs:fontRef>
  </cs:plotArea>
  <cs:plotArea3D>
    <cs:lnRef idx="0"/>
    <cs:fillRef idx="0"/>
    <cs:effectRef idx="0"/>
    <cs:fontRef idx="minor">
      <a:schemeClr val="tx1"/>
    </cs:fontRef>
  </cs:plotArea3D>
  <cs:seriesAxis>
    <cs:lnRef idx="1">
      <a:schemeClr val="tx1">
        <a:tint val="75000"/>
      </a:schemeClr>
    </cs:lnRef>
    <cs:fillRef idx="0"/>
    <cs:effectRef idx="0"/>
    <cs:fontRef idx="minor">
      <a:schemeClr val="tx1"/>
    </cs:fontRef>
    <cs:spPr>
      <a:ln>
        <a:round/>
      </a:ln>
    </cs:spPr>
    <cs:defRPr sz="1000" kern="1200"/>
  </cs:seriesAxis>
  <cs:seriesLine>
    <cs:lnRef idx="1">
      <a:schemeClr val="tx1"/>
    </cs:lnRef>
    <cs:fillRef idx="0"/>
    <cs:effectRef idx="0"/>
    <cs:fontRef idx="minor">
      <a:schemeClr val="tx1"/>
    </cs:fontRef>
    <cs:spPr>
      <a:ln>
        <a:round/>
      </a:ln>
    </cs:spPr>
  </cs:seriesLine>
  <cs:title>
    <cs:lnRef idx="0"/>
    <cs:fillRef idx="0"/>
    <cs:effectRef idx="0"/>
    <cs:fontRef idx="minor">
      <a:schemeClr val="tx1"/>
    </cs:fontRef>
    <cs:defRPr sz="1800" b="1" kern="1200"/>
  </cs:title>
  <cs:trendline>
    <cs:lnRef idx="1">
      <a:schemeClr val="tx1"/>
    </cs:lnRef>
    <cs:fillRef idx="0"/>
    <cs:effectRef idx="0"/>
    <cs:fontRef idx="minor">
      <a:schemeClr val="tx1"/>
    </cs:fontRef>
    <cs:spPr>
      <a:ln cap="rnd">
        <a:round/>
      </a:ln>
    </cs:spPr>
  </cs:trendline>
  <cs:trendlineLabel>
    <cs:lnRef idx="0"/>
    <cs:fillRef idx="0"/>
    <cs:effectRef idx="0"/>
    <cs:fontRef idx="minor">
      <a:schemeClr val="tx1"/>
    </cs:fontRef>
    <cs:defRPr sz="1000" kern="1200"/>
  </cs:trendlineLabel>
  <cs:upBar>
    <cs:lnRef idx="0"/>
    <cs:fillRef idx="3">
      <a:schemeClr val="dk1">
        <a:tint val="5000"/>
      </a:schemeClr>
    </cs:fillRef>
    <cs:effectRef idx="2">
      <a:schemeClr val="dk1"/>
    </cs:effectRef>
    <cs:fontRef idx="minor">
      <a:schemeClr val="tx1"/>
    </cs:fontRef>
  </cs:upBar>
  <cs:valueAxis>
    <cs:lnRef idx="1">
      <a:schemeClr val="tx1">
        <a:tint val="75000"/>
      </a:schemeClr>
    </cs:lnRef>
    <cs:fillRef idx="0"/>
    <cs:effectRef idx="0"/>
    <cs:fontRef idx="minor">
      <a:schemeClr val="tx1"/>
    </cs:fontRef>
    <cs:spPr>
      <a:ln>
        <a:round/>
      </a:ln>
    </cs:spPr>
    <cs:defRPr sz="1000" kern="12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118">
  <cs:axisTitle>
    <cs:lnRef idx="0"/>
    <cs:fillRef idx="0"/>
    <cs:effectRef idx="0"/>
    <cs:fontRef idx="minor">
      <a:schemeClr val="tx1"/>
    </cs:fontRef>
    <cs:defRPr sz="1000" b="1" kern="1200"/>
  </cs:axisTitle>
  <cs:categoryAxis>
    <cs:lnRef idx="1">
      <a:schemeClr val="tx1">
        <a:tint val="75000"/>
      </a:schemeClr>
    </cs:lnRef>
    <cs:fillRef idx="0"/>
    <cs:effectRef idx="0"/>
    <cs:fontRef idx="minor">
      <a:schemeClr val="tx1"/>
    </cs:fontRef>
    <cs:spPr>
      <a:ln>
        <a:round/>
      </a:ln>
    </cs:spPr>
    <cs:defRPr sz="1000" kern="1200"/>
  </cs:categoryAxis>
  <cs:chartArea mods="allowNoFillOverride allowNoLineOverride">
    <cs:lnRef idx="1">
      <a:schemeClr val="tx1">
        <a:tint val="75000"/>
      </a:schemeClr>
    </cs:lnRef>
    <cs:fillRef idx="1">
      <a:schemeClr val="bg1"/>
    </cs:fillRef>
    <cs:effectRef idx="0"/>
    <cs:fontRef idx="minor">
      <a:schemeClr val="tx1"/>
    </cs:fontRef>
    <cs:spPr>
      <a:ln>
        <a:round/>
      </a:ln>
    </cs:spPr>
    <cs:defRPr sz="1000" kern="1200"/>
  </cs:chartArea>
  <cs:dataLabel>
    <cs:lnRef idx="0"/>
    <cs:fillRef idx="0"/>
    <cs:effectRef idx="0"/>
    <cs:fontRef idx="minor">
      <a:schemeClr val="tx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0"/>
    <cs:fillRef idx="3">
      <cs:styleClr val="auto"/>
    </cs:fillRef>
    <cs:effectRef idx="2">
      <a:schemeClr val="dk1"/>
    </cs:effectRef>
    <cs:fontRef idx="minor">
      <a:schemeClr val="tx1"/>
    </cs:fontRef>
  </cs:dataPoint>
  <cs:dataPoint3D>
    <cs:lnRef idx="0"/>
    <cs:fillRef idx="3">
      <cs:styleClr val="auto"/>
    </cs:fillRef>
    <cs:effectRef idx="2">
      <a:schemeClr val="dk1"/>
    </cs:effectRef>
    <cs:fontRef idx="minor">
      <a:schemeClr val="tx1"/>
    </cs:fontRef>
  </cs:dataPoint3D>
  <cs:dataPointLine>
    <cs:lnRef idx="1">
      <cs:styleClr val="auto"/>
    </cs:lnRef>
    <cs:lineWidthScale>5</cs:lineWidthScale>
    <cs:fillRef idx="0"/>
    <cs:effectRef idx="0"/>
    <cs:fontRef idx="minor">
      <a:schemeClr val="tx1"/>
    </cs:fontRef>
    <cs:spPr>
      <a:ln cap="rnd">
        <a:round/>
      </a:ln>
    </cs:spPr>
  </cs:dataPointLine>
  <cs:dataPointMarker>
    <cs:lnRef idx="1">
      <cs:styleClr val="auto"/>
    </cs:lnRef>
    <cs:fillRef idx="3">
      <cs:styleClr val="auto"/>
    </cs:fillRef>
    <cs:effectRef idx="2">
      <a:schemeClr val="dk1"/>
    </cs:effectRef>
    <cs:fontRef idx="minor">
      <a:schemeClr val="tx1"/>
    </cs:fontRef>
    <cs:spPr>
      <a:ln>
        <a:round/>
      </a:ln>
    </cs:spPr>
  </cs:dataPointMarker>
  <cs:dataPointMarkerLayout/>
  <cs:dataPointWireframe>
    <cs:lnRef idx="1">
      <cs:styleClr val="auto"/>
    </cs:lnRef>
    <cs:fillRef idx="0"/>
    <cs:effectRef idx="0"/>
    <cs:fontRef idx="minor">
      <a:schemeClr val="tx1"/>
    </cs:fontRef>
    <cs:spPr>
      <a:ln>
        <a:round/>
      </a:ln>
    </cs:spPr>
  </cs:dataPointWireframe>
  <cs:dataTable>
    <cs:lnRef idx="1">
      <a:schemeClr val="tx1">
        <a:tint val="75000"/>
      </a:schemeClr>
    </cs:lnRef>
    <cs:fillRef idx="0"/>
    <cs:effectRef idx="0"/>
    <cs:fontRef idx="minor">
      <a:schemeClr val="tx1"/>
    </cs:fontRef>
    <cs:spPr>
      <a:ln>
        <a:round/>
      </a:ln>
    </cs:spPr>
    <cs:defRPr sz="1000" kern="1200"/>
  </cs:dataTable>
  <cs:downBar>
    <cs:lnRef idx="0"/>
    <cs:fillRef idx="3">
      <a:schemeClr val="dk1">
        <a:tint val="95000"/>
      </a:schemeClr>
    </cs:fillRef>
    <cs:effectRef idx="2">
      <a:schemeClr val="dk1"/>
    </cs:effectRef>
    <cs:fontRef idx="minor">
      <a:schemeClr val="tx1"/>
    </cs:fontRef>
  </cs:downBar>
  <cs:dropLine>
    <cs:lnRef idx="1">
      <a:schemeClr val="tx1"/>
    </cs:lnRef>
    <cs:fillRef idx="0"/>
    <cs:effectRef idx="0"/>
    <cs:fontRef idx="minor">
      <a:schemeClr val="tx1"/>
    </cs:fontRef>
    <cs:spPr>
      <a:ln>
        <a:round/>
      </a:ln>
    </cs:spPr>
  </cs:dropLine>
  <cs:errorBar>
    <cs:lnRef idx="1">
      <a:schemeClr val="tx1"/>
    </cs:lnRef>
    <cs:fillRef idx="1">
      <a:schemeClr val="tx1"/>
    </cs:fillRef>
    <cs:effectRef idx="0"/>
    <cs:fontRef idx="minor">
      <a:schemeClr val="tx1"/>
    </cs:fontRef>
    <cs:spPr>
      <a:ln>
        <a:round/>
      </a:ln>
    </cs:spPr>
  </cs:errorBar>
  <cs:floor>
    <cs:lnRef idx="1">
      <a:schemeClr val="tx1">
        <a:tint val="75000"/>
      </a:schemeClr>
    </cs:lnRef>
    <cs:fillRef idx="0"/>
    <cs:effectRef idx="0"/>
    <cs:fontRef idx="minor">
      <a:schemeClr val="tx1"/>
    </cs:fontRef>
    <cs:spPr>
      <a:ln>
        <a:round/>
      </a:ln>
    </cs:spPr>
  </cs:floor>
  <cs:gridlineMajor>
    <cs:lnRef idx="1">
      <a:schemeClr val="tx1">
        <a:tint val="75000"/>
      </a:schemeClr>
    </cs:lnRef>
    <cs:fillRef idx="0"/>
    <cs:effectRef idx="0"/>
    <cs:fontRef idx="minor">
      <a:schemeClr val="tx1"/>
    </cs:fontRef>
    <cs:spPr>
      <a:ln>
        <a:round/>
      </a:ln>
    </cs:spPr>
  </cs:gridlineMajor>
  <cs:gridlineMinor>
    <cs:lnRef idx="1">
      <a:schemeClr val="tx1">
        <a:tint val="50000"/>
      </a:schemeClr>
    </cs:lnRef>
    <cs:fillRef idx="0"/>
    <cs:effectRef idx="0"/>
    <cs:fontRef idx="minor">
      <a:schemeClr val="tx1"/>
    </cs:fontRef>
    <cs:spPr>
      <a:ln>
        <a:round/>
      </a:ln>
    </cs:spPr>
  </cs:gridlineMinor>
  <cs:hiLoLine>
    <cs:lnRef idx="1">
      <a:schemeClr val="tx1"/>
    </cs:lnRef>
    <cs:fillRef idx="0"/>
    <cs:effectRef idx="0"/>
    <cs:fontRef idx="minor">
      <a:schemeClr val="tx1"/>
    </cs:fontRef>
    <cs:spPr>
      <a:ln>
        <a:round/>
      </a:ln>
    </cs:spPr>
  </cs:hiLoLine>
  <cs:leaderLine>
    <cs:lnRef idx="1">
      <a:schemeClr val="tx1"/>
    </cs:lnRef>
    <cs:fillRef idx="0"/>
    <cs:effectRef idx="0"/>
    <cs:fontRef idx="minor">
      <a:schemeClr val="tx1"/>
    </cs:fontRef>
    <cs:spPr>
      <a:ln>
        <a:round/>
      </a:ln>
    </cs:spPr>
  </cs:leaderLine>
  <cs:legend>
    <cs:lnRef idx="0"/>
    <cs:fillRef idx="0"/>
    <cs:effectRef idx="0"/>
    <cs:fontRef idx="minor">
      <a:schemeClr val="tx1"/>
    </cs:fontRef>
    <cs:defRPr sz="1000" kern="1200"/>
  </cs:legend>
  <cs:plotArea mods="allowNoFillOverride allowNoLineOverride">
    <cs:lnRef idx="0"/>
    <cs:fillRef idx="1">
      <a:schemeClr val="bg1"/>
    </cs:fillRef>
    <cs:effectRef idx="0"/>
    <cs:fontRef idx="minor">
      <a:schemeClr val="tx1"/>
    </cs:fontRef>
  </cs:plotArea>
  <cs:plotArea3D>
    <cs:lnRef idx="0"/>
    <cs:fillRef idx="0"/>
    <cs:effectRef idx="0"/>
    <cs:fontRef idx="minor">
      <a:schemeClr val="tx1"/>
    </cs:fontRef>
  </cs:plotArea3D>
  <cs:seriesAxis>
    <cs:lnRef idx="1">
      <a:schemeClr val="tx1">
        <a:tint val="75000"/>
      </a:schemeClr>
    </cs:lnRef>
    <cs:fillRef idx="0"/>
    <cs:effectRef idx="0"/>
    <cs:fontRef idx="minor">
      <a:schemeClr val="tx1"/>
    </cs:fontRef>
    <cs:spPr>
      <a:ln>
        <a:round/>
      </a:ln>
    </cs:spPr>
    <cs:defRPr sz="1000" kern="1200"/>
  </cs:seriesAxis>
  <cs:seriesLine>
    <cs:lnRef idx="1">
      <a:schemeClr val="tx1"/>
    </cs:lnRef>
    <cs:fillRef idx="0"/>
    <cs:effectRef idx="0"/>
    <cs:fontRef idx="minor">
      <a:schemeClr val="tx1"/>
    </cs:fontRef>
    <cs:spPr>
      <a:ln>
        <a:round/>
      </a:ln>
    </cs:spPr>
  </cs:seriesLine>
  <cs:title>
    <cs:lnRef idx="0"/>
    <cs:fillRef idx="0"/>
    <cs:effectRef idx="0"/>
    <cs:fontRef idx="minor">
      <a:schemeClr val="tx1"/>
    </cs:fontRef>
    <cs:defRPr sz="1800" b="1" kern="1200"/>
  </cs:title>
  <cs:trendline>
    <cs:lnRef idx="1">
      <a:schemeClr val="tx1"/>
    </cs:lnRef>
    <cs:fillRef idx="0"/>
    <cs:effectRef idx="0"/>
    <cs:fontRef idx="minor">
      <a:schemeClr val="tx1"/>
    </cs:fontRef>
    <cs:spPr>
      <a:ln cap="rnd">
        <a:round/>
      </a:ln>
    </cs:spPr>
  </cs:trendline>
  <cs:trendlineLabel>
    <cs:lnRef idx="0"/>
    <cs:fillRef idx="0"/>
    <cs:effectRef idx="0"/>
    <cs:fontRef idx="minor">
      <a:schemeClr val="tx1"/>
    </cs:fontRef>
    <cs:defRPr sz="1000" kern="1200"/>
  </cs:trendlineLabel>
  <cs:upBar>
    <cs:lnRef idx="0"/>
    <cs:fillRef idx="3">
      <a:schemeClr val="dk1">
        <a:tint val="5000"/>
      </a:schemeClr>
    </cs:fillRef>
    <cs:effectRef idx="2">
      <a:schemeClr val="dk1"/>
    </cs:effectRef>
    <cs:fontRef idx="minor">
      <a:schemeClr val="tx1"/>
    </cs:fontRef>
  </cs:upBar>
  <cs:valueAxis>
    <cs:lnRef idx="1">
      <a:schemeClr val="tx1">
        <a:tint val="75000"/>
      </a:schemeClr>
    </cs:lnRef>
    <cs:fillRef idx="0"/>
    <cs:effectRef idx="0"/>
    <cs:fontRef idx="minor">
      <a:schemeClr val="tx1"/>
    </cs:fontRef>
    <cs:spPr>
      <a:ln>
        <a:round/>
      </a:ln>
    </cs:spPr>
    <cs:defRPr sz="1000" kern="12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620192-2218-4D2D-92C9-8481625933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16</Pages>
  <Words>6201</Words>
  <Characters>35349</Characters>
  <Application>Microsoft Office Word</Application>
  <DocSecurity>0</DocSecurity>
  <Lines>294</Lines>
  <Paragraphs>82</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41468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smuir</dc:creator>
  <cp:lastModifiedBy>Anderson, Cassandra</cp:lastModifiedBy>
  <cp:revision>5</cp:revision>
  <cp:lastPrinted>2018-05-04T17:10:00Z</cp:lastPrinted>
  <dcterms:created xsi:type="dcterms:W3CDTF">2018-04-27T12:24:00Z</dcterms:created>
  <dcterms:modified xsi:type="dcterms:W3CDTF">2018-05-04T17:12:00Z</dcterms:modified>
</cp:coreProperties>
</file>