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5B7A24" w14:paraId="2B03B1F1" w14:textId="77777777" w:rsidTr="00FB05A1">
        <w:tc>
          <w:tcPr>
            <w:tcW w:w="4788" w:type="dxa"/>
          </w:tcPr>
          <w:p w14:paraId="52202B17" w14:textId="77777777" w:rsidR="005B7A24" w:rsidRDefault="005B7A24" w:rsidP="00FB05A1">
            <w:pPr>
              <w:tabs>
                <w:tab w:val="left" w:pos="-1440"/>
                <w:tab w:val="left" w:pos="-720"/>
                <w:tab w:val="left" w:pos="1"/>
              </w:tabs>
              <w:jc w:val="both"/>
              <w:rPr>
                <w:rFonts w:ascii="Arial" w:hAnsi="Arial"/>
                <w:b/>
                <w:sz w:val="24"/>
              </w:rPr>
            </w:pPr>
            <w:r w:rsidRPr="00521B55">
              <w:rPr>
                <w:rFonts w:ascii="Arial" w:hAnsi="Arial"/>
                <w:b/>
                <w:noProof/>
                <w:sz w:val="24"/>
                <w:lang w:val="en-GB" w:eastAsia="en-GB"/>
              </w:rPr>
              <w:drawing>
                <wp:inline distT="0" distB="0" distL="0" distR="0" wp14:anchorId="47CE33C1" wp14:editId="4CA45EB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3721E966" w14:textId="77777777" w:rsidR="005B7A24" w:rsidRDefault="005B7A24" w:rsidP="00FB05A1">
            <w:pPr>
              <w:tabs>
                <w:tab w:val="left" w:pos="-1440"/>
                <w:tab w:val="left" w:pos="-720"/>
                <w:tab w:val="left" w:pos="1"/>
              </w:tabs>
              <w:jc w:val="both"/>
              <w:rPr>
                <w:rFonts w:ascii="Arial" w:hAnsi="Arial"/>
                <w:b/>
                <w:sz w:val="24"/>
              </w:rPr>
            </w:pPr>
            <w:r>
              <w:rPr>
                <w:rFonts w:ascii="Arial" w:hAnsi="Arial"/>
                <w:b/>
                <w:noProof/>
                <w:sz w:val="24"/>
                <w:lang w:val="en-GB" w:eastAsia="en-GB"/>
              </w:rPr>
              <w:drawing>
                <wp:anchor distT="0" distB="0" distL="114300" distR="114300" simplePos="0" relativeHeight="251659264" behindDoc="1" locked="0" layoutInCell="1" allowOverlap="1" wp14:anchorId="58D23FA9" wp14:editId="14E1248B">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9" name="Picture 9"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32C3F7A" w14:textId="77777777" w:rsidR="00856D9F" w:rsidRPr="005B7A24" w:rsidRDefault="00856D9F" w:rsidP="008467D5">
      <w:pPr>
        <w:pBdr>
          <w:bottom w:val="single" w:sz="18" w:space="1" w:color="auto"/>
        </w:pBdr>
        <w:tabs>
          <w:tab w:val="left" w:pos="-1440"/>
          <w:tab w:val="left" w:pos="-720"/>
          <w:tab w:val="left" w:pos="1"/>
        </w:tabs>
        <w:jc w:val="both"/>
        <w:rPr>
          <w:rFonts w:ascii="Arial" w:hAnsi="Arial"/>
          <w:b/>
          <w:sz w:val="2"/>
          <w:lang w:val="en-GB"/>
        </w:rPr>
      </w:pPr>
    </w:p>
    <w:p w14:paraId="738BEA2F" w14:textId="32C30A97" w:rsidR="00D75295" w:rsidRPr="00957693" w:rsidRDefault="00A774EB" w:rsidP="00BF47A8">
      <w:pPr>
        <w:pStyle w:val="ProductNumber"/>
        <w:outlineLvl w:val="0"/>
        <w:rPr>
          <w:lang w:val="en-GB"/>
        </w:rPr>
      </w:pPr>
      <w:r>
        <w:rPr>
          <w:lang w:val="en-GB"/>
        </w:rPr>
        <w:t>9B18M080</w:t>
      </w:r>
    </w:p>
    <w:p w14:paraId="59A3F61F" w14:textId="77777777" w:rsidR="00D75295" w:rsidRPr="00957693" w:rsidRDefault="00D75295" w:rsidP="00D75295">
      <w:pPr>
        <w:jc w:val="right"/>
        <w:rPr>
          <w:rFonts w:ascii="Arial" w:hAnsi="Arial"/>
          <w:b/>
          <w:sz w:val="28"/>
          <w:szCs w:val="28"/>
          <w:lang w:val="en-GB"/>
        </w:rPr>
      </w:pPr>
    </w:p>
    <w:p w14:paraId="0225F695" w14:textId="77777777" w:rsidR="00866F6D" w:rsidRPr="00957693" w:rsidRDefault="00866F6D" w:rsidP="00D75295">
      <w:pPr>
        <w:jc w:val="right"/>
        <w:rPr>
          <w:rFonts w:ascii="Arial" w:hAnsi="Arial"/>
          <w:b/>
          <w:sz w:val="28"/>
          <w:szCs w:val="28"/>
          <w:lang w:val="en-GB"/>
        </w:rPr>
      </w:pPr>
    </w:p>
    <w:p w14:paraId="05715426" w14:textId="515B152A" w:rsidR="00013360" w:rsidRPr="00957693" w:rsidRDefault="00926B70" w:rsidP="00013360">
      <w:pPr>
        <w:pStyle w:val="CaseTitle"/>
        <w:spacing w:after="0" w:line="240" w:lineRule="auto"/>
        <w:rPr>
          <w:lang w:val="en-GB"/>
        </w:rPr>
      </w:pPr>
      <w:r w:rsidRPr="00957693">
        <w:rPr>
          <w:lang w:val="en-GB"/>
        </w:rPr>
        <w:t>mekong capital</w:t>
      </w:r>
      <w:r w:rsidR="005B7A24">
        <w:rPr>
          <w:lang w:val="en-GB"/>
        </w:rPr>
        <w:t xml:space="preserve"> and</w:t>
      </w:r>
      <w:r w:rsidRPr="00957693">
        <w:rPr>
          <w:lang w:val="en-GB"/>
        </w:rPr>
        <w:t xml:space="preserve"> </w:t>
      </w:r>
      <w:r w:rsidR="00955B2D" w:rsidRPr="00957693">
        <w:rPr>
          <w:lang w:val="en-GB"/>
        </w:rPr>
        <w:t>Mobile World</w:t>
      </w:r>
      <w:r w:rsidRPr="00957693">
        <w:rPr>
          <w:lang w:val="en-GB"/>
        </w:rPr>
        <w:t xml:space="preserve"> (C): venturing into new </w:t>
      </w:r>
      <w:r w:rsidR="00520A01">
        <w:rPr>
          <w:lang w:val="en-GB"/>
        </w:rPr>
        <w:t xml:space="preserve">Countries and </w:t>
      </w:r>
      <w:r w:rsidRPr="00957693">
        <w:rPr>
          <w:lang w:val="en-GB"/>
        </w:rPr>
        <w:t>segments</w:t>
      </w:r>
    </w:p>
    <w:p w14:paraId="67B5FB1D" w14:textId="77777777" w:rsidR="00013360" w:rsidRPr="00957693" w:rsidRDefault="00013360" w:rsidP="00013360">
      <w:pPr>
        <w:pStyle w:val="CaseTitle"/>
        <w:spacing w:after="0" w:line="240" w:lineRule="auto"/>
        <w:rPr>
          <w:sz w:val="20"/>
          <w:szCs w:val="20"/>
          <w:lang w:val="en-GB"/>
        </w:rPr>
      </w:pPr>
    </w:p>
    <w:p w14:paraId="4B6F790B" w14:textId="77777777" w:rsidR="00CA3976" w:rsidRPr="00957693" w:rsidRDefault="00CA3976" w:rsidP="00013360">
      <w:pPr>
        <w:pStyle w:val="CaseTitle"/>
        <w:spacing w:after="0" w:line="240" w:lineRule="auto"/>
        <w:rPr>
          <w:sz w:val="20"/>
          <w:szCs w:val="20"/>
          <w:lang w:val="en-GB"/>
        </w:rPr>
      </w:pPr>
    </w:p>
    <w:p w14:paraId="0E836CAC" w14:textId="77777777" w:rsidR="00013360" w:rsidRPr="00957693" w:rsidRDefault="00013360" w:rsidP="00013360">
      <w:pPr>
        <w:pStyle w:val="CaseTitle"/>
        <w:spacing w:after="0" w:line="240" w:lineRule="auto"/>
        <w:rPr>
          <w:sz w:val="20"/>
          <w:szCs w:val="20"/>
          <w:lang w:val="en-GB"/>
        </w:rPr>
      </w:pPr>
    </w:p>
    <w:p w14:paraId="62ECB582" w14:textId="77777777" w:rsidR="00013360" w:rsidRPr="00957693" w:rsidRDefault="00926B70" w:rsidP="00104567">
      <w:pPr>
        <w:pStyle w:val="StyleCopyrightStatementAfter0ptBottomSinglesolidline1"/>
        <w:rPr>
          <w:lang w:val="en-GB"/>
        </w:rPr>
      </w:pPr>
      <w:r w:rsidRPr="00957693">
        <w:rPr>
          <w:lang w:val="en-GB"/>
        </w:rPr>
        <w:t xml:space="preserve">Andrew Delios and Markus </w:t>
      </w:r>
      <w:proofErr w:type="spellStart"/>
      <w:r w:rsidRPr="00957693">
        <w:rPr>
          <w:lang w:val="en-GB"/>
        </w:rPr>
        <w:t>Taussig</w:t>
      </w:r>
      <w:proofErr w:type="spellEnd"/>
      <w:r w:rsidR="007E5921" w:rsidRPr="00957693">
        <w:rPr>
          <w:lang w:val="en-GB"/>
        </w:rPr>
        <w:t xml:space="preserve"> wrote this case sol</w:t>
      </w:r>
      <w:r w:rsidR="00D75295" w:rsidRPr="0095769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0590BC3" w14:textId="77777777" w:rsidR="00104D58" w:rsidRPr="00957693" w:rsidRDefault="00104D58" w:rsidP="00104D58">
      <w:pPr>
        <w:pStyle w:val="StyleCopyrightStatementAfter0ptBottomSinglesolidline1"/>
        <w:rPr>
          <w:lang w:val="en-GB"/>
        </w:rPr>
      </w:pPr>
    </w:p>
    <w:p w14:paraId="232527EF" w14:textId="77777777" w:rsidR="00104D58" w:rsidRPr="00957693" w:rsidRDefault="00104D58" w:rsidP="00104D58">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957693">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957693">
          <w:rPr>
            <w:rFonts w:ascii="Arial" w:hAnsi="Arial"/>
            <w:i/>
            <w:iCs/>
            <w:color w:val="000000"/>
            <w:sz w:val="16"/>
            <w:lang w:val="en-GB"/>
          </w:rPr>
          <w:t>cases@ivey.ca</w:t>
        </w:r>
      </w:hyperlink>
      <w:r w:rsidRPr="00957693">
        <w:rPr>
          <w:rFonts w:ascii="Arial" w:hAnsi="Arial"/>
          <w:i/>
          <w:iCs/>
          <w:color w:val="000000"/>
          <w:sz w:val="16"/>
          <w:lang w:val="en-GB"/>
        </w:rPr>
        <w:t xml:space="preserve">; </w:t>
      </w:r>
      <w:hyperlink r:id="rId11" w:history="1">
        <w:r w:rsidRPr="00957693">
          <w:rPr>
            <w:rFonts w:ascii="Arial" w:hAnsi="Arial"/>
            <w:i/>
            <w:iCs/>
            <w:color w:val="000000"/>
            <w:sz w:val="16"/>
            <w:lang w:val="en-GB"/>
          </w:rPr>
          <w:t>www.iveycases.com</w:t>
        </w:r>
      </w:hyperlink>
      <w:r w:rsidRPr="00957693">
        <w:rPr>
          <w:rFonts w:ascii="Arial" w:hAnsi="Arial"/>
          <w:i/>
          <w:iCs/>
          <w:color w:val="000000"/>
          <w:sz w:val="16"/>
          <w:lang w:val="en-GB"/>
        </w:rPr>
        <w:t>.</w:t>
      </w:r>
    </w:p>
    <w:p w14:paraId="6379CB79" w14:textId="77777777" w:rsidR="00104D58" w:rsidRPr="00957693" w:rsidRDefault="00104D58" w:rsidP="00104D58">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527FBE04" w14:textId="76F6FDC0" w:rsidR="00104D58" w:rsidRPr="00957693" w:rsidRDefault="00104D58" w:rsidP="00104D58">
      <w:pPr>
        <w:pStyle w:val="StyleStyleCopyrightStatementAfter0ptBottomSinglesolid"/>
        <w:rPr>
          <w:lang w:val="en-GB"/>
        </w:rPr>
      </w:pPr>
      <w:r w:rsidRPr="00957693">
        <w:rPr>
          <w:rFonts w:cs="Arial"/>
          <w:szCs w:val="16"/>
          <w:lang w:val="en-GB"/>
        </w:rPr>
        <w:t xml:space="preserve">Copyright © 2018, </w:t>
      </w:r>
      <w:r w:rsidR="005B7A24">
        <w:rPr>
          <w:rFonts w:cs="Arial"/>
          <w:szCs w:val="16"/>
          <w:lang w:val="en-GB"/>
        </w:rPr>
        <w:t xml:space="preserve">National University of Singapore and </w:t>
      </w:r>
      <w:r w:rsidRPr="00957693">
        <w:rPr>
          <w:rFonts w:cs="Arial"/>
          <w:szCs w:val="16"/>
          <w:lang w:val="en-GB"/>
        </w:rPr>
        <w:t>Ivey Business School Foundation</w:t>
      </w:r>
      <w:r w:rsidRPr="00957693">
        <w:rPr>
          <w:rFonts w:cs="Arial"/>
          <w:szCs w:val="16"/>
          <w:lang w:val="en-GB"/>
        </w:rPr>
        <w:tab/>
      </w:r>
      <w:r w:rsidR="00433815">
        <w:rPr>
          <w:lang w:val="en-GB"/>
        </w:rPr>
        <w:t>Version: 2018-05-04</w:t>
      </w:r>
    </w:p>
    <w:p w14:paraId="58C96159" w14:textId="77777777" w:rsidR="003B7EF2" w:rsidRPr="00957693" w:rsidRDefault="003B7EF2" w:rsidP="00104567">
      <w:pPr>
        <w:pStyle w:val="StyleCopyrightStatementAfter0ptBottomSinglesolidline1"/>
        <w:rPr>
          <w:rFonts w:ascii="Times New Roman" w:hAnsi="Times New Roman"/>
          <w:sz w:val="20"/>
          <w:lang w:val="en-GB"/>
        </w:rPr>
      </w:pPr>
    </w:p>
    <w:p w14:paraId="40A872F1" w14:textId="77777777" w:rsidR="003B7EF2" w:rsidRPr="00957693" w:rsidRDefault="003B7EF2" w:rsidP="006B7F7A">
      <w:pPr>
        <w:pStyle w:val="BodyTextMain"/>
        <w:rPr>
          <w:lang w:val="en-GB"/>
        </w:rPr>
      </w:pPr>
    </w:p>
    <w:p w14:paraId="194E58B3" w14:textId="11A7BC96" w:rsidR="00784426" w:rsidRPr="00957693" w:rsidRDefault="00784426" w:rsidP="00784426">
      <w:pPr>
        <w:pStyle w:val="BodyTextMain"/>
        <w:rPr>
          <w:lang w:val="en-GB"/>
        </w:rPr>
      </w:pPr>
      <w:r w:rsidRPr="00957693">
        <w:rPr>
          <w:lang w:val="en-GB"/>
        </w:rPr>
        <w:t xml:space="preserve">By mid-2016, </w:t>
      </w:r>
      <w:r w:rsidR="00955B2D" w:rsidRPr="00957693">
        <w:rPr>
          <w:lang w:val="en-GB"/>
        </w:rPr>
        <w:t>Mobile World</w:t>
      </w:r>
      <w:r w:rsidRPr="00957693">
        <w:rPr>
          <w:lang w:val="en-GB"/>
        </w:rPr>
        <w:t xml:space="preserve"> had become dominant in the Vietnamese market. In the 12th year since the company’s founding, its </w:t>
      </w:r>
      <w:r w:rsidR="00955B2D" w:rsidRPr="00957693">
        <w:rPr>
          <w:lang w:val="en-GB"/>
        </w:rPr>
        <w:t>Mobile World</w:t>
      </w:r>
      <w:r w:rsidRPr="00957693">
        <w:rPr>
          <w:lang w:val="en-GB"/>
        </w:rPr>
        <w:t xml:space="preserve"> mobile phone stores</w:t>
      </w:r>
      <w:r w:rsidR="00E87900" w:rsidRPr="00957693">
        <w:rPr>
          <w:lang w:val="en-GB"/>
        </w:rPr>
        <w:t xml:space="preserve"> </w:t>
      </w:r>
      <w:r w:rsidRPr="00957693">
        <w:rPr>
          <w:lang w:val="en-GB"/>
        </w:rPr>
        <w:t>numbered nearly 1,000. Its rebranded Green Electronics</w:t>
      </w:r>
      <w:r w:rsidR="005B7A24">
        <w:rPr>
          <w:rStyle w:val="FootnoteReference"/>
          <w:lang w:val="en-GB"/>
        </w:rPr>
        <w:footnoteReference w:id="1"/>
      </w:r>
      <w:r w:rsidRPr="00957693">
        <w:rPr>
          <w:lang w:val="en-GB"/>
        </w:rPr>
        <w:t xml:space="preserve"> stores topped 200. Both chains had at least one store in each of Vietnam’s 63 provinces. </w:t>
      </w:r>
    </w:p>
    <w:p w14:paraId="6DAD9A00" w14:textId="77777777" w:rsidR="00784426" w:rsidRPr="00957693" w:rsidRDefault="00784426" w:rsidP="00784426">
      <w:pPr>
        <w:pStyle w:val="BodyTextMain"/>
        <w:rPr>
          <w:lang w:val="en-GB"/>
        </w:rPr>
      </w:pPr>
    </w:p>
    <w:p w14:paraId="37F9DD13" w14:textId="4EB75C81" w:rsidR="00784426" w:rsidRPr="00957693" w:rsidRDefault="00955B2D" w:rsidP="00784426">
      <w:pPr>
        <w:pStyle w:val="BodyTextMain"/>
        <w:rPr>
          <w:lang w:val="en-GB"/>
        </w:rPr>
      </w:pPr>
      <w:r w:rsidRPr="00957693">
        <w:rPr>
          <w:lang w:val="en-GB"/>
        </w:rPr>
        <w:t>Mobile World</w:t>
      </w:r>
      <w:r w:rsidR="00BF47A8" w:rsidRPr="00957693">
        <w:rPr>
          <w:lang w:val="en-GB"/>
        </w:rPr>
        <w:t xml:space="preserve">’s </w:t>
      </w:r>
      <w:r w:rsidR="00784426" w:rsidRPr="00957693">
        <w:rPr>
          <w:lang w:val="en-GB"/>
        </w:rPr>
        <w:t xml:space="preserve">revenues in 2015 were five-fold greater than 2011 revenues, exceeding </w:t>
      </w:r>
      <w:r w:rsidR="005B7A24">
        <w:rPr>
          <w:lang w:val="en-GB"/>
        </w:rPr>
        <w:t>US$1.1 billion</w:t>
      </w:r>
      <w:r w:rsidR="00784426" w:rsidRPr="00957693">
        <w:rPr>
          <w:lang w:val="en-GB"/>
        </w:rPr>
        <w:t>.</w:t>
      </w:r>
      <w:r w:rsidR="005B7A24">
        <w:rPr>
          <w:rStyle w:val="FootnoteReference"/>
          <w:lang w:val="en-GB"/>
        </w:rPr>
        <w:footnoteReference w:id="2"/>
      </w:r>
      <w:r w:rsidR="00784426" w:rsidRPr="00957693">
        <w:rPr>
          <w:lang w:val="en-GB"/>
        </w:rPr>
        <w:t xml:space="preserve"> Net profits passed the </w:t>
      </w:r>
      <w:r w:rsidR="005B7A24">
        <w:rPr>
          <w:lang w:val="en-GB"/>
        </w:rPr>
        <w:t>VND</w:t>
      </w:r>
      <w:r w:rsidR="00784426" w:rsidRPr="00957693">
        <w:rPr>
          <w:lang w:val="en-GB"/>
        </w:rPr>
        <w:t>1 trillion mark (see Exhibit 1).</w:t>
      </w:r>
      <w:r w:rsidR="005B7A24">
        <w:rPr>
          <w:rStyle w:val="FootnoteReference"/>
          <w:lang w:val="en-GB"/>
        </w:rPr>
        <w:footnoteReference w:id="3"/>
      </w:r>
      <w:r w:rsidR="00784426" w:rsidRPr="00957693">
        <w:rPr>
          <w:lang w:val="en-GB"/>
        </w:rPr>
        <w:t xml:space="preserve"> </w:t>
      </w:r>
      <w:r w:rsidRPr="00957693">
        <w:rPr>
          <w:lang w:val="en-GB"/>
        </w:rPr>
        <w:t>Mobile World</w:t>
      </w:r>
      <w:r w:rsidR="00784426" w:rsidRPr="00957693">
        <w:rPr>
          <w:lang w:val="en-GB"/>
        </w:rPr>
        <w:t xml:space="preserve"> was listed on the </w:t>
      </w:r>
      <w:proofErr w:type="spellStart"/>
      <w:r w:rsidR="00784426" w:rsidRPr="00957693">
        <w:rPr>
          <w:lang w:val="en-GB"/>
        </w:rPr>
        <w:t>Ho</w:t>
      </w:r>
      <w:proofErr w:type="spellEnd"/>
      <w:r w:rsidR="00784426" w:rsidRPr="00957693">
        <w:rPr>
          <w:lang w:val="en-GB"/>
        </w:rPr>
        <w:t xml:space="preserve"> Chi Minh City </w:t>
      </w:r>
      <w:r w:rsidR="00E87900" w:rsidRPr="00957693">
        <w:rPr>
          <w:lang w:val="en-GB"/>
        </w:rPr>
        <w:t>s</w:t>
      </w:r>
      <w:r w:rsidR="00784426" w:rsidRPr="00957693">
        <w:rPr>
          <w:lang w:val="en-GB"/>
        </w:rPr>
        <w:t xml:space="preserve">tock </w:t>
      </w:r>
      <w:r w:rsidR="00E87900" w:rsidRPr="00957693">
        <w:rPr>
          <w:lang w:val="en-GB"/>
        </w:rPr>
        <w:t>e</w:t>
      </w:r>
      <w:r w:rsidR="00784426" w:rsidRPr="00957693">
        <w:rPr>
          <w:lang w:val="en-GB"/>
        </w:rPr>
        <w:t xml:space="preserve">xchange in 2014. As of 2016, </w:t>
      </w:r>
      <w:r w:rsidRPr="00957693">
        <w:rPr>
          <w:lang w:val="en-GB"/>
        </w:rPr>
        <w:t>Mobile World</w:t>
      </w:r>
      <w:r w:rsidR="00784426" w:rsidRPr="00957693">
        <w:rPr>
          <w:lang w:val="en-GB"/>
        </w:rPr>
        <w:t xml:space="preserve"> </w:t>
      </w:r>
      <w:r w:rsidR="007A6F3B" w:rsidRPr="00957693">
        <w:rPr>
          <w:lang w:val="en-GB"/>
        </w:rPr>
        <w:t xml:space="preserve">had </w:t>
      </w:r>
      <w:r w:rsidR="00784426" w:rsidRPr="00957693">
        <w:rPr>
          <w:lang w:val="en-GB"/>
        </w:rPr>
        <w:t>claim</w:t>
      </w:r>
      <w:r w:rsidR="00E87900" w:rsidRPr="00957693">
        <w:rPr>
          <w:lang w:val="en-GB"/>
        </w:rPr>
        <w:t>ed</w:t>
      </w:r>
      <w:r w:rsidR="00784426" w:rsidRPr="00957693">
        <w:rPr>
          <w:lang w:val="en-GB"/>
        </w:rPr>
        <w:t xml:space="preserve"> 38</w:t>
      </w:r>
      <w:r w:rsidR="005113F3" w:rsidRPr="00957693">
        <w:rPr>
          <w:lang w:val="en-GB"/>
        </w:rPr>
        <w:t xml:space="preserve"> per cent</w:t>
      </w:r>
      <w:r w:rsidR="00784426" w:rsidRPr="00957693">
        <w:rPr>
          <w:lang w:val="en-GB"/>
        </w:rPr>
        <w:t xml:space="preserve"> of Vietnam’s mobile phone market and Green Electronics already had 12</w:t>
      </w:r>
      <w:r w:rsidR="005113F3" w:rsidRPr="00957693">
        <w:rPr>
          <w:lang w:val="en-GB"/>
        </w:rPr>
        <w:t xml:space="preserve"> per cent</w:t>
      </w:r>
      <w:r w:rsidR="00784426" w:rsidRPr="00957693">
        <w:rPr>
          <w:lang w:val="en-GB"/>
        </w:rPr>
        <w:t xml:space="preserve"> of the electronics market. The company’s website proudly marketed its recent award for “Best Working Environment, 2015</w:t>
      </w:r>
      <w:r w:rsidR="00B95781" w:rsidRPr="00957693">
        <w:rPr>
          <w:lang w:val="en-GB"/>
        </w:rPr>
        <w:t>–</w:t>
      </w:r>
      <w:r w:rsidR="00784426" w:rsidRPr="00957693">
        <w:rPr>
          <w:lang w:val="en-GB"/>
        </w:rPr>
        <w:t>2016</w:t>
      </w:r>
      <w:r w:rsidR="00B95781" w:rsidRPr="00957693">
        <w:rPr>
          <w:lang w:val="en-GB"/>
        </w:rPr>
        <w:t>.</w:t>
      </w:r>
      <w:r w:rsidR="00784426" w:rsidRPr="00957693">
        <w:rPr>
          <w:lang w:val="en-GB"/>
        </w:rPr>
        <w:t>”</w:t>
      </w:r>
    </w:p>
    <w:p w14:paraId="07A2EB1C" w14:textId="77777777" w:rsidR="00784426" w:rsidRPr="00957693" w:rsidRDefault="00784426" w:rsidP="00784426">
      <w:pPr>
        <w:pStyle w:val="BodyTextMain"/>
        <w:rPr>
          <w:lang w:val="en-GB"/>
        </w:rPr>
      </w:pPr>
    </w:p>
    <w:p w14:paraId="10225669" w14:textId="78DC9433" w:rsidR="00784426" w:rsidRPr="00957693" w:rsidRDefault="00BF47A8" w:rsidP="00784426">
      <w:pPr>
        <w:pStyle w:val="BodyTextMain"/>
        <w:rPr>
          <w:lang w:val="en-GB"/>
        </w:rPr>
      </w:pPr>
      <w:r w:rsidRPr="00957693">
        <w:rPr>
          <w:lang w:val="en-GB"/>
        </w:rPr>
        <w:t>Mobile</w:t>
      </w:r>
      <w:r w:rsidR="00957693">
        <w:rPr>
          <w:lang w:val="en-GB"/>
        </w:rPr>
        <w:t xml:space="preserve"> </w:t>
      </w:r>
      <w:r w:rsidRPr="00957693">
        <w:rPr>
          <w:lang w:val="en-GB"/>
        </w:rPr>
        <w:t>Worl</w:t>
      </w:r>
      <w:r w:rsidR="00957693">
        <w:rPr>
          <w:lang w:val="en-GB"/>
        </w:rPr>
        <w:t>d</w:t>
      </w:r>
      <w:r w:rsidR="00784426" w:rsidRPr="00957693">
        <w:rPr>
          <w:lang w:val="en-GB"/>
        </w:rPr>
        <w:t xml:space="preserve"> had become Vietnam’s leading consumer retail firm. Its founders’ full embrace of the concept of customer-centricity had </w:t>
      </w:r>
      <w:proofErr w:type="spellStart"/>
      <w:r w:rsidR="00784426" w:rsidRPr="00957693">
        <w:rPr>
          <w:lang w:val="en-GB"/>
        </w:rPr>
        <w:t>catalyzed</w:t>
      </w:r>
      <w:proofErr w:type="spellEnd"/>
      <w:r w:rsidR="00784426" w:rsidRPr="00957693">
        <w:rPr>
          <w:lang w:val="en-GB"/>
        </w:rPr>
        <w:t xml:space="preserve"> this growth. Over the past few years, </w:t>
      </w:r>
      <w:r w:rsidR="00955B2D" w:rsidRPr="00957693">
        <w:rPr>
          <w:lang w:val="en-GB"/>
        </w:rPr>
        <w:t>Mobile World</w:t>
      </w:r>
      <w:r w:rsidR="00784426" w:rsidRPr="00957693">
        <w:rPr>
          <w:lang w:val="en-GB"/>
        </w:rPr>
        <w:t xml:space="preserve"> stores had been dramatically redesigned. Employees were out from behind the counters, interacting directly with customers. The stores had greeters. These changes came about through experimentation and evidence-based decision</w:t>
      </w:r>
      <w:r w:rsidR="00B95781" w:rsidRPr="00957693">
        <w:rPr>
          <w:lang w:val="en-GB"/>
        </w:rPr>
        <w:t xml:space="preserve"> </w:t>
      </w:r>
      <w:r w:rsidR="00784426" w:rsidRPr="00957693">
        <w:rPr>
          <w:lang w:val="en-GB"/>
        </w:rPr>
        <w:t xml:space="preserve">making. Chris Freund, founding partner of </w:t>
      </w:r>
      <w:r w:rsidR="00323C79" w:rsidRPr="00957693">
        <w:rPr>
          <w:lang w:val="en-GB"/>
        </w:rPr>
        <w:t xml:space="preserve">private equity </w:t>
      </w:r>
      <w:r w:rsidR="00325241" w:rsidRPr="00957693">
        <w:rPr>
          <w:lang w:val="en-GB"/>
        </w:rPr>
        <w:t xml:space="preserve">firm </w:t>
      </w:r>
      <w:r w:rsidR="00784426" w:rsidRPr="00957693">
        <w:rPr>
          <w:lang w:val="en-GB"/>
        </w:rPr>
        <w:t>Mekong Capital</w:t>
      </w:r>
      <w:r w:rsidR="00325241" w:rsidRPr="00957693">
        <w:rPr>
          <w:lang w:val="en-GB"/>
        </w:rPr>
        <w:t xml:space="preserve"> (Mekong)</w:t>
      </w:r>
      <w:r w:rsidR="00784426" w:rsidRPr="00957693">
        <w:rPr>
          <w:lang w:val="en-GB"/>
        </w:rPr>
        <w:t>, noted:</w:t>
      </w:r>
    </w:p>
    <w:p w14:paraId="1059A754" w14:textId="77777777" w:rsidR="00784426" w:rsidRPr="00957693" w:rsidRDefault="00784426" w:rsidP="00784426">
      <w:pPr>
        <w:pStyle w:val="BodyTextMain"/>
        <w:rPr>
          <w:lang w:val="en-GB"/>
        </w:rPr>
      </w:pPr>
    </w:p>
    <w:p w14:paraId="5A75094C" w14:textId="2177AAAB" w:rsidR="00784426" w:rsidRPr="00957693" w:rsidRDefault="00784426" w:rsidP="00784426">
      <w:pPr>
        <w:pStyle w:val="BodyTextMain"/>
        <w:ind w:left="720"/>
        <w:rPr>
          <w:lang w:val="en-GB"/>
        </w:rPr>
      </w:pPr>
      <w:r w:rsidRPr="00957693">
        <w:rPr>
          <w:lang w:val="en-GB"/>
        </w:rPr>
        <w:t xml:space="preserve">They are experts at rapid trial and error now, they are good at rapid iterations. They change and tweak things much more rapidly than other retailers who are more stagnant. If a store is failing for three months, they shut it and move on. This was another idea that Bob </w:t>
      </w:r>
      <w:r w:rsidR="00B95781" w:rsidRPr="00957693">
        <w:rPr>
          <w:lang w:val="en-GB"/>
        </w:rPr>
        <w:t xml:space="preserve">[Willett] </w:t>
      </w:r>
      <w:r w:rsidRPr="00957693">
        <w:rPr>
          <w:lang w:val="en-GB"/>
        </w:rPr>
        <w:t>brought. Companies like Best</w:t>
      </w:r>
      <w:r w:rsidR="00B95781" w:rsidRPr="00957693">
        <w:rPr>
          <w:lang w:val="en-GB"/>
        </w:rPr>
        <w:t xml:space="preserve"> </w:t>
      </w:r>
      <w:r w:rsidRPr="00957693">
        <w:rPr>
          <w:lang w:val="en-GB"/>
        </w:rPr>
        <w:t>Buy have specific stores that are the test stores</w:t>
      </w:r>
      <w:r w:rsidR="00B95781" w:rsidRPr="00957693">
        <w:rPr>
          <w:lang w:val="en-GB"/>
        </w:rPr>
        <w:t>,</w:t>
      </w:r>
      <w:r w:rsidRPr="00957693">
        <w:rPr>
          <w:lang w:val="en-GB"/>
        </w:rPr>
        <w:t xml:space="preserve"> and any new initiative is tried out at these stores. And that’s exactly what </w:t>
      </w:r>
      <w:r w:rsidR="00955B2D" w:rsidRPr="00957693">
        <w:rPr>
          <w:lang w:val="en-GB"/>
        </w:rPr>
        <w:t>Mobile World</w:t>
      </w:r>
      <w:r w:rsidRPr="00957693">
        <w:rPr>
          <w:lang w:val="en-GB"/>
        </w:rPr>
        <w:t xml:space="preserve"> does now. It if works, they roll it out to the rest of the stores.</w:t>
      </w:r>
    </w:p>
    <w:p w14:paraId="309486AD" w14:textId="28618409" w:rsidR="00B95781" w:rsidRPr="00957693" w:rsidRDefault="00B95781" w:rsidP="0085071B">
      <w:pPr>
        <w:pStyle w:val="BodyTextMain"/>
        <w:rPr>
          <w:lang w:val="en-GB"/>
        </w:rPr>
      </w:pPr>
    </w:p>
    <w:p w14:paraId="4CFF5B83" w14:textId="519838DF" w:rsidR="00784426" w:rsidRPr="00957693" w:rsidRDefault="00E11297" w:rsidP="00784426">
      <w:pPr>
        <w:pStyle w:val="BodyTextMain"/>
        <w:rPr>
          <w:lang w:val="en-GB"/>
        </w:rPr>
      </w:pPr>
      <w:r>
        <w:rPr>
          <w:lang w:val="en-GB"/>
        </w:rPr>
        <w:t xml:space="preserve">Nguyen </w:t>
      </w:r>
      <w:proofErr w:type="spellStart"/>
      <w:r>
        <w:rPr>
          <w:lang w:val="en-GB"/>
        </w:rPr>
        <w:t>Duc</w:t>
      </w:r>
      <w:proofErr w:type="spellEnd"/>
      <w:r>
        <w:rPr>
          <w:lang w:val="en-GB"/>
        </w:rPr>
        <w:t xml:space="preserve"> Tai</w:t>
      </w:r>
      <w:r w:rsidR="00784426" w:rsidRPr="00957693">
        <w:rPr>
          <w:lang w:val="en-GB"/>
        </w:rPr>
        <w:t xml:space="preserve">, now </w:t>
      </w:r>
      <w:r w:rsidR="00955B2D" w:rsidRPr="00957693">
        <w:rPr>
          <w:lang w:val="en-GB"/>
        </w:rPr>
        <w:t>Mobile World</w:t>
      </w:r>
      <w:r w:rsidR="00784426" w:rsidRPr="00957693">
        <w:rPr>
          <w:lang w:val="en-GB"/>
        </w:rPr>
        <w:t xml:space="preserve"> </w:t>
      </w:r>
      <w:r w:rsidR="00B95781" w:rsidRPr="00957693">
        <w:rPr>
          <w:lang w:val="en-GB"/>
        </w:rPr>
        <w:t>c</w:t>
      </w:r>
      <w:r w:rsidR="00784426" w:rsidRPr="00957693">
        <w:rPr>
          <w:lang w:val="en-GB"/>
        </w:rPr>
        <w:t>hair, agreed:</w:t>
      </w:r>
    </w:p>
    <w:p w14:paraId="7B66810F" w14:textId="77777777" w:rsidR="00784426" w:rsidRPr="00957693" w:rsidRDefault="00784426" w:rsidP="00784426">
      <w:pPr>
        <w:pStyle w:val="BodyTextMain"/>
        <w:rPr>
          <w:lang w:val="en-GB"/>
        </w:rPr>
      </w:pPr>
    </w:p>
    <w:p w14:paraId="26721FCD" w14:textId="6C42259A" w:rsidR="00784426" w:rsidRPr="00957693" w:rsidRDefault="00784426" w:rsidP="00784426">
      <w:pPr>
        <w:pStyle w:val="BodyTextMain"/>
        <w:ind w:left="720"/>
        <w:rPr>
          <w:lang w:val="en-GB"/>
        </w:rPr>
      </w:pPr>
      <w:r w:rsidRPr="00957693">
        <w:rPr>
          <w:lang w:val="en-GB"/>
        </w:rPr>
        <w:lastRenderedPageBreak/>
        <w:t>We allow for a lot of change. Try and fail. We try so many things and sometimes we fail! So, then we destroy that. We tried one shop for second</w:t>
      </w:r>
      <w:r w:rsidR="00E87900" w:rsidRPr="00957693">
        <w:rPr>
          <w:lang w:val="en-GB"/>
        </w:rPr>
        <w:t>-</w:t>
      </w:r>
      <w:r w:rsidRPr="00957693">
        <w:rPr>
          <w:lang w:val="en-GB"/>
        </w:rPr>
        <w:t>hand phones and accessories, and then it doesn’t work out and we close it down. But if it works out, then we open a few hundred stores like that.</w:t>
      </w:r>
    </w:p>
    <w:p w14:paraId="033ABEFD" w14:textId="77777777" w:rsidR="00784426" w:rsidRPr="00957693" w:rsidRDefault="00784426" w:rsidP="00784426">
      <w:pPr>
        <w:pStyle w:val="BodyTextMain"/>
        <w:rPr>
          <w:lang w:val="en-GB"/>
        </w:rPr>
      </w:pPr>
    </w:p>
    <w:p w14:paraId="7FBD9645" w14:textId="40A96D05" w:rsidR="00784426" w:rsidRPr="00957693" w:rsidRDefault="00784426" w:rsidP="00784426">
      <w:pPr>
        <w:pStyle w:val="BodyTextMain"/>
        <w:rPr>
          <w:lang w:val="en-GB"/>
        </w:rPr>
      </w:pPr>
      <w:r w:rsidRPr="00957693">
        <w:rPr>
          <w:lang w:val="en-GB"/>
        </w:rPr>
        <w:t xml:space="preserve">Customer satisfaction had also been integrated into the company’s employee incentive scheme. In the words of Tai, “only customer satisfaction gives you the right to be promoted.” </w:t>
      </w:r>
    </w:p>
    <w:p w14:paraId="273AD546" w14:textId="77777777" w:rsidR="00784426" w:rsidRPr="00957693" w:rsidRDefault="00784426" w:rsidP="00784426">
      <w:pPr>
        <w:pStyle w:val="BodyTextMain"/>
        <w:rPr>
          <w:lang w:val="en-GB"/>
        </w:rPr>
      </w:pPr>
    </w:p>
    <w:p w14:paraId="1714A0BE" w14:textId="53E8D0AE" w:rsidR="00784426" w:rsidRPr="00957693" w:rsidRDefault="00325241" w:rsidP="00784426">
      <w:pPr>
        <w:pStyle w:val="BodyTextMain"/>
        <w:rPr>
          <w:lang w:val="en-GB"/>
        </w:rPr>
      </w:pPr>
      <w:r w:rsidRPr="00957693">
        <w:rPr>
          <w:lang w:val="en-GB"/>
        </w:rPr>
        <w:t>S</w:t>
      </w:r>
      <w:r w:rsidR="00784426" w:rsidRPr="00957693">
        <w:rPr>
          <w:lang w:val="en-GB"/>
        </w:rPr>
        <w:t>uccess had also resol</w:t>
      </w:r>
      <w:r w:rsidRPr="00957693">
        <w:rPr>
          <w:lang w:val="en-GB"/>
        </w:rPr>
        <w:t>ved</w:t>
      </w:r>
      <w:r w:rsidR="00784426" w:rsidRPr="00957693">
        <w:rPr>
          <w:lang w:val="en-GB"/>
        </w:rPr>
        <w:t xml:space="preserve"> old tensions. Willett and Tai were still arguing about moving products out from behind locked glass displays. </w:t>
      </w:r>
      <w:r w:rsidRPr="00957693">
        <w:rPr>
          <w:lang w:val="en-GB"/>
        </w:rPr>
        <w:t>However,</w:t>
      </w:r>
      <w:r w:rsidR="00784426" w:rsidRPr="00957693">
        <w:rPr>
          <w:lang w:val="en-GB"/>
        </w:rPr>
        <w:t xml:space="preserve"> the debate was no longer about whether to do it but instead about how far to take it. Willett wanted it all out, but Tai was not ready to go that far. “A lot of things he [Bob] said, even today, I don’t do!” exclaimed Tai with a big laugh. </w:t>
      </w:r>
    </w:p>
    <w:p w14:paraId="0D67695A" w14:textId="77777777" w:rsidR="00784426" w:rsidRPr="00957693" w:rsidRDefault="00784426" w:rsidP="00784426">
      <w:pPr>
        <w:pStyle w:val="BodyTextMain"/>
        <w:rPr>
          <w:lang w:val="en-GB"/>
        </w:rPr>
      </w:pPr>
    </w:p>
    <w:p w14:paraId="53414A61" w14:textId="324C1270" w:rsidR="00784426" w:rsidRPr="00957693" w:rsidRDefault="00784426" w:rsidP="00784426">
      <w:pPr>
        <w:pStyle w:val="BodyTextMain"/>
        <w:rPr>
          <w:lang w:val="en-GB"/>
        </w:rPr>
      </w:pPr>
      <w:r w:rsidRPr="00957693">
        <w:rPr>
          <w:lang w:val="en-GB"/>
        </w:rPr>
        <w:t xml:space="preserve">Tai took over the </w:t>
      </w:r>
      <w:r w:rsidR="00325241" w:rsidRPr="00957693">
        <w:rPr>
          <w:lang w:val="en-GB"/>
        </w:rPr>
        <w:t>c</w:t>
      </w:r>
      <w:r w:rsidRPr="00957693">
        <w:rPr>
          <w:lang w:val="en-GB"/>
        </w:rPr>
        <w:t>hai</w:t>
      </w:r>
      <w:r w:rsidR="00325241" w:rsidRPr="00957693">
        <w:rPr>
          <w:lang w:val="en-GB"/>
        </w:rPr>
        <w:t xml:space="preserve">r </w:t>
      </w:r>
      <w:r w:rsidRPr="00957693">
        <w:rPr>
          <w:lang w:val="en-GB"/>
        </w:rPr>
        <w:t xml:space="preserve">position from his brother-in-law and original co-founder Tran Le </w:t>
      </w:r>
      <w:proofErr w:type="spellStart"/>
      <w:r w:rsidRPr="00957693">
        <w:rPr>
          <w:lang w:val="en-GB"/>
        </w:rPr>
        <w:t>Quan</w:t>
      </w:r>
      <w:proofErr w:type="spellEnd"/>
      <w:r w:rsidRPr="00957693">
        <w:rPr>
          <w:lang w:val="en-GB"/>
        </w:rPr>
        <w:t xml:space="preserve"> (</w:t>
      </w:r>
      <w:proofErr w:type="spellStart"/>
      <w:r w:rsidRPr="00957693">
        <w:rPr>
          <w:lang w:val="en-GB"/>
        </w:rPr>
        <w:t>Quan</w:t>
      </w:r>
      <w:proofErr w:type="spellEnd"/>
      <w:r w:rsidRPr="00957693">
        <w:rPr>
          <w:lang w:val="en-GB"/>
        </w:rPr>
        <w:t>), who took on a less involved role. Meanwhile, another founder</w:t>
      </w:r>
      <w:r w:rsidR="00325241" w:rsidRPr="00957693">
        <w:rPr>
          <w:lang w:val="en-GB"/>
        </w:rPr>
        <w:t>,</w:t>
      </w:r>
      <w:r w:rsidRPr="00957693">
        <w:rPr>
          <w:lang w:val="en-GB"/>
        </w:rPr>
        <w:t xml:space="preserve"> </w:t>
      </w:r>
      <w:proofErr w:type="spellStart"/>
      <w:r w:rsidRPr="00957693">
        <w:rPr>
          <w:lang w:val="en-GB"/>
        </w:rPr>
        <w:t>Dinh</w:t>
      </w:r>
      <w:proofErr w:type="spellEnd"/>
      <w:r w:rsidRPr="00957693">
        <w:rPr>
          <w:lang w:val="en-GB"/>
        </w:rPr>
        <w:t xml:space="preserve"> </w:t>
      </w:r>
      <w:proofErr w:type="spellStart"/>
      <w:r w:rsidRPr="00957693">
        <w:rPr>
          <w:lang w:val="en-GB"/>
        </w:rPr>
        <w:t>Anh</w:t>
      </w:r>
      <w:proofErr w:type="spellEnd"/>
      <w:r w:rsidRPr="00957693">
        <w:rPr>
          <w:lang w:val="en-GB"/>
        </w:rPr>
        <w:t xml:space="preserve"> </w:t>
      </w:r>
      <w:proofErr w:type="spellStart"/>
      <w:r w:rsidRPr="00957693">
        <w:rPr>
          <w:lang w:val="en-GB"/>
        </w:rPr>
        <w:t>Huan</w:t>
      </w:r>
      <w:proofErr w:type="spellEnd"/>
      <w:r w:rsidRPr="00957693">
        <w:rPr>
          <w:lang w:val="en-GB"/>
        </w:rPr>
        <w:t xml:space="preserve"> (</w:t>
      </w:r>
      <w:proofErr w:type="spellStart"/>
      <w:r w:rsidRPr="00957693">
        <w:rPr>
          <w:lang w:val="en-GB"/>
        </w:rPr>
        <w:t>Huan</w:t>
      </w:r>
      <w:proofErr w:type="spellEnd"/>
      <w:r w:rsidRPr="00957693">
        <w:rPr>
          <w:lang w:val="en-GB"/>
        </w:rPr>
        <w:t xml:space="preserve">), the original driving force behind the Green Electronics chain, had cashed out his shares to create his own successful incubator/venture capital fund called Seedcom.vn. </w:t>
      </w:r>
    </w:p>
    <w:p w14:paraId="0ACF5D48" w14:textId="77777777" w:rsidR="00784426" w:rsidRPr="00957693" w:rsidRDefault="00784426" w:rsidP="00784426">
      <w:pPr>
        <w:pStyle w:val="BodyTextMain"/>
        <w:rPr>
          <w:lang w:val="en-GB"/>
        </w:rPr>
      </w:pPr>
    </w:p>
    <w:p w14:paraId="503A582A" w14:textId="412E57B9" w:rsidR="00784426" w:rsidRPr="00957693" w:rsidRDefault="00784426" w:rsidP="00784426">
      <w:pPr>
        <w:pStyle w:val="BodyTextMain"/>
        <w:rPr>
          <w:lang w:val="en-GB"/>
        </w:rPr>
      </w:pPr>
      <w:r w:rsidRPr="00957693">
        <w:rPr>
          <w:lang w:val="en-GB"/>
        </w:rPr>
        <w:t>Mekong was thrilled by the results and working on its long-delayed exit</w:t>
      </w:r>
      <w:r w:rsidR="00325241" w:rsidRPr="00957693">
        <w:rPr>
          <w:lang w:val="en-GB"/>
        </w:rPr>
        <w:t>. At the same time</w:t>
      </w:r>
      <w:r w:rsidRPr="00957693">
        <w:rPr>
          <w:lang w:val="en-GB"/>
        </w:rPr>
        <w:t xml:space="preserve">, Mekong had to convince prospective buyers of its shares that </w:t>
      </w:r>
      <w:r w:rsidR="00955B2D" w:rsidRPr="00957693">
        <w:rPr>
          <w:lang w:val="en-GB"/>
        </w:rPr>
        <w:t>Mobile World</w:t>
      </w:r>
      <w:r w:rsidRPr="00957693">
        <w:rPr>
          <w:lang w:val="en-GB"/>
        </w:rPr>
        <w:t xml:space="preserve"> had significant new growth to offer. Freund, Willett, and Tai gathered in a meeting room at Mekong headquarters in </w:t>
      </w:r>
      <w:proofErr w:type="spellStart"/>
      <w:r w:rsidRPr="00957693">
        <w:rPr>
          <w:lang w:val="en-GB"/>
        </w:rPr>
        <w:t>Ho</w:t>
      </w:r>
      <w:proofErr w:type="spellEnd"/>
      <w:r w:rsidRPr="00957693">
        <w:rPr>
          <w:lang w:val="en-GB"/>
        </w:rPr>
        <w:t xml:space="preserve"> Chi Minh City in June 2016 to brainstorm new growth initiatives </w:t>
      </w:r>
      <w:r w:rsidR="00325241" w:rsidRPr="00957693">
        <w:rPr>
          <w:lang w:val="en-GB"/>
        </w:rPr>
        <w:t xml:space="preserve">that </w:t>
      </w:r>
      <w:r w:rsidRPr="00957693">
        <w:rPr>
          <w:lang w:val="en-GB"/>
        </w:rPr>
        <w:t>might make the most sense. On the whiteboard</w:t>
      </w:r>
      <w:r w:rsidR="00325241" w:rsidRPr="00957693">
        <w:rPr>
          <w:lang w:val="en-GB"/>
        </w:rPr>
        <w:t>, t</w:t>
      </w:r>
      <w:r w:rsidRPr="00957693">
        <w:rPr>
          <w:lang w:val="en-GB"/>
        </w:rPr>
        <w:t>hey focused on several different possibilities for industry and geographic expansions</w:t>
      </w:r>
      <w:r w:rsidR="00325241" w:rsidRPr="00957693">
        <w:rPr>
          <w:lang w:val="en-GB"/>
        </w:rPr>
        <w:t xml:space="preserve">, </w:t>
      </w:r>
      <w:r w:rsidRPr="00957693">
        <w:rPr>
          <w:lang w:val="en-GB"/>
        </w:rPr>
        <w:t>most notably in pharmaceuticals and mid-size fresh produce retailing.</w:t>
      </w:r>
    </w:p>
    <w:p w14:paraId="69552842" w14:textId="77777777" w:rsidR="00784426" w:rsidRPr="00957693" w:rsidRDefault="00784426" w:rsidP="00784426">
      <w:pPr>
        <w:pStyle w:val="BodyTextMain"/>
        <w:rPr>
          <w:lang w:val="en-GB"/>
        </w:rPr>
      </w:pPr>
    </w:p>
    <w:p w14:paraId="02F6667D" w14:textId="77777777" w:rsidR="00784426" w:rsidRPr="00957693" w:rsidRDefault="00784426" w:rsidP="00784426">
      <w:pPr>
        <w:pStyle w:val="BodyTextMain"/>
        <w:rPr>
          <w:lang w:val="en-GB"/>
        </w:rPr>
      </w:pPr>
    </w:p>
    <w:p w14:paraId="41C67C36" w14:textId="289DF385" w:rsidR="00784426" w:rsidRPr="00957693" w:rsidRDefault="00955B2D" w:rsidP="00BF47A8">
      <w:pPr>
        <w:pStyle w:val="Casehead1"/>
        <w:outlineLvl w:val="0"/>
        <w:rPr>
          <w:lang w:val="en-GB"/>
        </w:rPr>
      </w:pPr>
      <w:r w:rsidRPr="00957693">
        <w:rPr>
          <w:lang w:val="en-GB"/>
        </w:rPr>
        <w:t>MOBILE WORLD</w:t>
      </w:r>
      <w:r w:rsidR="00784426" w:rsidRPr="00957693">
        <w:rPr>
          <w:lang w:val="en-GB"/>
        </w:rPr>
        <w:t>’s Challenge in 2016</w:t>
      </w:r>
    </w:p>
    <w:p w14:paraId="7698034D" w14:textId="77777777" w:rsidR="00784426" w:rsidRPr="00957693" w:rsidRDefault="00784426" w:rsidP="00784426">
      <w:pPr>
        <w:pStyle w:val="BodyTextMain"/>
        <w:rPr>
          <w:lang w:val="en-GB"/>
        </w:rPr>
      </w:pPr>
    </w:p>
    <w:p w14:paraId="40C39017" w14:textId="1FD94CCE" w:rsidR="00784426" w:rsidRPr="00957693" w:rsidRDefault="00784426" w:rsidP="00784426">
      <w:pPr>
        <w:pStyle w:val="BodyTextMain"/>
        <w:rPr>
          <w:lang w:val="en-GB"/>
        </w:rPr>
      </w:pPr>
      <w:r w:rsidRPr="00957693">
        <w:rPr>
          <w:lang w:val="en-GB"/>
        </w:rPr>
        <w:t xml:space="preserve">Much of what had enabled </w:t>
      </w:r>
      <w:r w:rsidR="00955B2D" w:rsidRPr="00957693">
        <w:rPr>
          <w:lang w:val="en-GB"/>
        </w:rPr>
        <w:t>Mobile World</w:t>
      </w:r>
      <w:r w:rsidRPr="00957693">
        <w:rPr>
          <w:lang w:val="en-GB"/>
        </w:rPr>
        <w:t xml:space="preserve"> to grow was closely aligned with Mekong’s value creation framework, Vision Driven Investing (</w:t>
      </w:r>
      <w:r w:rsidR="008912A7" w:rsidRPr="00957693">
        <w:rPr>
          <w:lang w:val="en-GB"/>
        </w:rPr>
        <w:t>see</w:t>
      </w:r>
      <w:r w:rsidR="00E87900" w:rsidRPr="00957693">
        <w:rPr>
          <w:lang w:val="en-GB"/>
        </w:rPr>
        <w:t xml:space="preserve"> </w:t>
      </w:r>
      <w:r w:rsidRPr="00957693">
        <w:rPr>
          <w:lang w:val="en-GB"/>
        </w:rPr>
        <w:t>Exhibit 2)</w:t>
      </w:r>
      <w:r w:rsidR="008912A7" w:rsidRPr="00957693">
        <w:rPr>
          <w:lang w:val="en-GB"/>
        </w:rPr>
        <w:t xml:space="preserve">. This framework </w:t>
      </w:r>
      <w:r w:rsidRPr="00957693">
        <w:rPr>
          <w:lang w:val="en-GB"/>
        </w:rPr>
        <w:t xml:space="preserve">was developed by Mekong </w:t>
      </w:r>
      <w:r w:rsidR="008912A7" w:rsidRPr="00957693">
        <w:rPr>
          <w:lang w:val="en-GB"/>
        </w:rPr>
        <w:t xml:space="preserve">by </w:t>
      </w:r>
      <w:r w:rsidRPr="00957693">
        <w:rPr>
          <w:lang w:val="en-GB"/>
        </w:rPr>
        <w:t xml:space="preserve">carefully </w:t>
      </w:r>
      <w:proofErr w:type="spellStart"/>
      <w:r w:rsidRPr="00957693">
        <w:rPr>
          <w:lang w:val="en-GB"/>
        </w:rPr>
        <w:t>analyzing</w:t>
      </w:r>
      <w:proofErr w:type="spellEnd"/>
      <w:r w:rsidRPr="00957693">
        <w:rPr>
          <w:lang w:val="en-GB"/>
        </w:rPr>
        <w:t xml:space="preserve"> what was consistently working or not working at Mekong’s investee companies. Some elements of Vision Driven Investing were new to </w:t>
      </w:r>
      <w:r w:rsidR="00955B2D" w:rsidRPr="00957693">
        <w:rPr>
          <w:lang w:val="en-GB"/>
        </w:rPr>
        <w:t>Mobile World</w:t>
      </w:r>
      <w:r w:rsidRPr="00957693">
        <w:rPr>
          <w:lang w:val="en-GB"/>
        </w:rPr>
        <w:t xml:space="preserve"> and contributed to </w:t>
      </w:r>
      <w:r w:rsidR="008912A7" w:rsidRPr="00957693">
        <w:rPr>
          <w:lang w:val="en-GB"/>
        </w:rPr>
        <w:t>its</w:t>
      </w:r>
      <w:r w:rsidRPr="00957693">
        <w:rPr>
          <w:lang w:val="en-GB"/>
        </w:rPr>
        <w:t xml:space="preserve"> growth</w:t>
      </w:r>
      <w:r w:rsidR="008912A7" w:rsidRPr="00957693">
        <w:rPr>
          <w:lang w:val="en-GB"/>
        </w:rPr>
        <w:t>. O</w:t>
      </w:r>
      <w:r w:rsidRPr="00957693">
        <w:rPr>
          <w:lang w:val="en-GB"/>
        </w:rPr>
        <w:t xml:space="preserve">ther elements were inspired by the success of </w:t>
      </w:r>
      <w:r w:rsidR="00955B2D" w:rsidRPr="00957693">
        <w:rPr>
          <w:lang w:val="en-GB"/>
        </w:rPr>
        <w:t>Mobile World</w:t>
      </w:r>
      <w:r w:rsidRPr="00957693">
        <w:rPr>
          <w:lang w:val="en-GB"/>
        </w:rPr>
        <w:t>. Freund elaborated:</w:t>
      </w:r>
    </w:p>
    <w:p w14:paraId="297BAA95" w14:textId="77777777" w:rsidR="00784426" w:rsidRPr="00957693" w:rsidRDefault="00784426" w:rsidP="00784426">
      <w:pPr>
        <w:pStyle w:val="BodyTextMain"/>
        <w:rPr>
          <w:lang w:val="en-GB"/>
        </w:rPr>
      </w:pPr>
    </w:p>
    <w:p w14:paraId="084BE302" w14:textId="6E6430A2" w:rsidR="00A21B65" w:rsidRPr="00957693" w:rsidRDefault="00784426" w:rsidP="00784426">
      <w:pPr>
        <w:pStyle w:val="BodyTextMain"/>
        <w:ind w:left="720"/>
        <w:rPr>
          <w:lang w:val="en-GB"/>
        </w:rPr>
      </w:pPr>
      <w:r w:rsidRPr="00957693">
        <w:rPr>
          <w:lang w:val="en-GB"/>
        </w:rPr>
        <w:t>We ourselves also learned from trial and error. Our track record got a lot better from 2010 onward. In 2008, we only had pieces of it: the vision and the recruitment side</w:t>
      </w:r>
      <w:r w:rsidR="00A21B65" w:rsidRPr="00957693">
        <w:rPr>
          <w:lang w:val="en-GB"/>
        </w:rPr>
        <w:t>,</w:t>
      </w:r>
      <w:r w:rsidRPr="00957693">
        <w:rPr>
          <w:lang w:val="en-GB"/>
        </w:rPr>
        <w:t xml:space="preserve"> and we were starting to see the importance of corporate culture. Now our methodology, called Vision Driven Investing, has 14 key components. A lot of them are based on patterns we saw about what was adding the most value at our investee companies such as </w:t>
      </w:r>
      <w:r w:rsidR="00955B2D" w:rsidRPr="00957693">
        <w:rPr>
          <w:lang w:val="en-GB"/>
        </w:rPr>
        <w:t>Mobile World</w:t>
      </w:r>
      <w:r w:rsidRPr="00957693">
        <w:rPr>
          <w:lang w:val="en-GB"/>
        </w:rPr>
        <w:t xml:space="preserve">. One component is focusing on the customer, what does the customer want? A lot of our companies don’t have the initiative to do that when we first invest. As such, part of what we do is make sure there’s a real effort to understand the customer and provide products that the customer wants. </w:t>
      </w:r>
    </w:p>
    <w:p w14:paraId="62508523" w14:textId="77777777" w:rsidR="00A21B65" w:rsidRPr="00957693" w:rsidRDefault="00A21B65" w:rsidP="00784426">
      <w:pPr>
        <w:pStyle w:val="BodyTextMain"/>
        <w:ind w:left="720"/>
        <w:rPr>
          <w:lang w:val="en-GB"/>
        </w:rPr>
      </w:pPr>
    </w:p>
    <w:p w14:paraId="46107F82" w14:textId="6EFEFF7D" w:rsidR="00784426" w:rsidRPr="00957693" w:rsidRDefault="00784426" w:rsidP="00784426">
      <w:pPr>
        <w:pStyle w:val="BodyTextMain"/>
        <w:ind w:left="720"/>
        <w:rPr>
          <w:lang w:val="en-GB"/>
        </w:rPr>
      </w:pPr>
      <w:r w:rsidRPr="00957693">
        <w:rPr>
          <w:lang w:val="en-GB"/>
        </w:rPr>
        <w:t>Another part of it is getting outside experts involved. Bob was the prototype. We didn’t realize it would work out like that</w:t>
      </w:r>
      <w:r w:rsidR="00A21B65" w:rsidRPr="00957693">
        <w:rPr>
          <w:lang w:val="en-GB"/>
        </w:rPr>
        <w:t>;</w:t>
      </w:r>
      <w:r w:rsidRPr="00957693">
        <w:rPr>
          <w:lang w:val="en-GB"/>
        </w:rPr>
        <w:t xml:space="preserve"> we just thought </w:t>
      </w:r>
      <w:r w:rsidR="00955B2D" w:rsidRPr="00957693">
        <w:rPr>
          <w:lang w:val="en-GB"/>
        </w:rPr>
        <w:t>Mobile World</w:t>
      </w:r>
      <w:r w:rsidRPr="00957693">
        <w:rPr>
          <w:lang w:val="en-GB"/>
        </w:rPr>
        <w:t xml:space="preserve"> needed an expert and we reached out to Bob and got him and it worked out so well, so we decided to apply it to our other companies and it worked out every time. On the other hand, there were things that </w:t>
      </w:r>
      <w:r w:rsidR="00955B2D" w:rsidRPr="00957693">
        <w:rPr>
          <w:lang w:val="en-GB"/>
        </w:rPr>
        <w:t>Mobile World</w:t>
      </w:r>
      <w:r w:rsidRPr="00957693">
        <w:rPr>
          <w:lang w:val="en-GB"/>
        </w:rPr>
        <w:t xml:space="preserve"> did very well without any contribution by us</w:t>
      </w:r>
      <w:r w:rsidR="00A21B65" w:rsidRPr="00957693">
        <w:rPr>
          <w:lang w:val="en-GB"/>
        </w:rPr>
        <w:t>—</w:t>
      </w:r>
      <w:r w:rsidRPr="00957693">
        <w:rPr>
          <w:lang w:val="en-GB"/>
        </w:rPr>
        <w:t>for example</w:t>
      </w:r>
      <w:r w:rsidR="00A21B65" w:rsidRPr="00957693">
        <w:rPr>
          <w:lang w:val="en-GB"/>
        </w:rPr>
        <w:t>,</w:t>
      </w:r>
      <w:r w:rsidRPr="00957693">
        <w:rPr>
          <w:lang w:val="en-GB"/>
        </w:rPr>
        <w:t xml:space="preserve"> its robust </w:t>
      </w:r>
      <w:r w:rsidR="00957693">
        <w:rPr>
          <w:lang w:val="en-GB"/>
        </w:rPr>
        <w:t xml:space="preserve">[information technology] </w:t>
      </w:r>
      <w:r w:rsidRPr="00957693">
        <w:rPr>
          <w:lang w:val="en-GB"/>
        </w:rPr>
        <w:t xml:space="preserve">IT systems and the ways in which they delegate accountability and decision-making rights deep down into the front </w:t>
      </w:r>
      <w:r w:rsidRPr="00957693">
        <w:rPr>
          <w:lang w:val="en-GB"/>
        </w:rPr>
        <w:lastRenderedPageBreak/>
        <w:t>lines</w:t>
      </w:r>
      <w:r w:rsidR="00A21B65" w:rsidRPr="00957693">
        <w:rPr>
          <w:lang w:val="en-GB"/>
        </w:rPr>
        <w:t>. T</w:t>
      </w:r>
      <w:r w:rsidRPr="00957693">
        <w:rPr>
          <w:lang w:val="en-GB"/>
        </w:rPr>
        <w:t xml:space="preserve">hese inspired the creation of some components of Vision Driven Investing when we saw that most of our best performing companies were typically doing those things </w:t>
      </w:r>
      <w:r w:rsidR="00E87900" w:rsidRPr="00957693">
        <w:rPr>
          <w:lang w:val="en-GB"/>
        </w:rPr>
        <w:t>too</w:t>
      </w:r>
      <w:r w:rsidRPr="00957693">
        <w:rPr>
          <w:lang w:val="en-GB"/>
        </w:rPr>
        <w:t>.</w:t>
      </w:r>
    </w:p>
    <w:p w14:paraId="01F8785F" w14:textId="77777777" w:rsidR="00EB7508" w:rsidRPr="00957693" w:rsidRDefault="00EB7508" w:rsidP="00784426">
      <w:pPr>
        <w:pStyle w:val="BodyTextMain"/>
        <w:rPr>
          <w:lang w:val="en-GB"/>
        </w:rPr>
      </w:pPr>
    </w:p>
    <w:p w14:paraId="342E7555" w14:textId="21318FA6" w:rsidR="00784426" w:rsidRPr="00957693" w:rsidRDefault="00955B2D" w:rsidP="00784426">
      <w:pPr>
        <w:pStyle w:val="BodyTextMain"/>
        <w:rPr>
          <w:lang w:val="en-GB"/>
        </w:rPr>
      </w:pPr>
      <w:r w:rsidRPr="00957693">
        <w:rPr>
          <w:lang w:val="en-GB"/>
        </w:rPr>
        <w:t>Mobile World</w:t>
      </w:r>
      <w:r w:rsidR="00784426" w:rsidRPr="00957693">
        <w:rPr>
          <w:lang w:val="en-GB"/>
        </w:rPr>
        <w:t>’s choice of new market was uncertain, but the decision to expand had been made. Even so, there were risks</w:t>
      </w:r>
      <w:r w:rsidR="00A21B65" w:rsidRPr="00957693">
        <w:rPr>
          <w:lang w:val="en-GB"/>
        </w:rPr>
        <w:t xml:space="preserve"> </w:t>
      </w:r>
      <w:r w:rsidR="00784426" w:rsidRPr="00957693">
        <w:rPr>
          <w:lang w:val="en-GB"/>
        </w:rPr>
        <w:t>underl</w:t>
      </w:r>
      <w:r w:rsidR="00A21B65" w:rsidRPr="00957693">
        <w:rPr>
          <w:lang w:val="en-GB"/>
        </w:rPr>
        <w:t>ying</w:t>
      </w:r>
      <w:r w:rsidR="00784426" w:rsidRPr="00957693">
        <w:rPr>
          <w:lang w:val="en-GB"/>
        </w:rPr>
        <w:t xml:space="preserve"> any expansion. One of those risks was the dilution of </w:t>
      </w:r>
      <w:r w:rsidRPr="00957693">
        <w:rPr>
          <w:lang w:val="en-GB"/>
        </w:rPr>
        <w:t>Mobile World</w:t>
      </w:r>
      <w:r w:rsidR="00E87900" w:rsidRPr="00957693">
        <w:rPr>
          <w:lang w:val="en-GB"/>
        </w:rPr>
        <w:t>’s focus</w:t>
      </w:r>
      <w:r w:rsidR="00784426" w:rsidRPr="00957693">
        <w:rPr>
          <w:lang w:val="en-GB"/>
        </w:rPr>
        <w:t>. Tai had been good at saying no to opportunities that were good ideas but detracted from</w:t>
      </w:r>
      <w:r w:rsidR="00A21B65" w:rsidRPr="00957693">
        <w:rPr>
          <w:lang w:val="en-GB"/>
        </w:rPr>
        <w:t xml:space="preserve"> </w:t>
      </w:r>
      <w:r w:rsidRPr="00957693">
        <w:rPr>
          <w:lang w:val="en-GB"/>
        </w:rPr>
        <w:t>Mobile World</w:t>
      </w:r>
      <w:r w:rsidR="00A21B65" w:rsidRPr="00957693">
        <w:rPr>
          <w:lang w:val="en-GB"/>
        </w:rPr>
        <w:t xml:space="preserve">’s </w:t>
      </w:r>
      <w:r w:rsidR="00784426" w:rsidRPr="00957693">
        <w:rPr>
          <w:lang w:val="en-GB"/>
        </w:rPr>
        <w:t xml:space="preserve">focus. </w:t>
      </w:r>
      <w:r w:rsidR="00EB7508" w:rsidRPr="00957693">
        <w:rPr>
          <w:lang w:val="en-GB"/>
        </w:rPr>
        <w:t>Freund noted</w:t>
      </w:r>
      <w:r w:rsidR="007A6F3B" w:rsidRPr="00957693">
        <w:rPr>
          <w:lang w:val="en-GB"/>
        </w:rPr>
        <w:t>,</w:t>
      </w:r>
      <w:r w:rsidR="00EB7508" w:rsidRPr="00957693">
        <w:rPr>
          <w:lang w:val="en-GB"/>
        </w:rPr>
        <w:t xml:space="preserve"> “</w:t>
      </w:r>
      <w:proofErr w:type="gramStart"/>
      <w:r w:rsidR="00E11297">
        <w:rPr>
          <w:lang w:val="en-GB"/>
        </w:rPr>
        <w:t>a</w:t>
      </w:r>
      <w:proofErr w:type="gramEnd"/>
      <w:r w:rsidR="00E11297">
        <w:rPr>
          <w:lang w:val="en-GB"/>
        </w:rPr>
        <w:t xml:space="preserve"> </w:t>
      </w:r>
      <w:r w:rsidR="00784426" w:rsidRPr="00957693">
        <w:rPr>
          <w:lang w:val="en-GB"/>
        </w:rPr>
        <w:t>risk is that they are expanding into too many areas, and they might lose their focus in their core businesses.”</w:t>
      </w:r>
    </w:p>
    <w:p w14:paraId="755806C9" w14:textId="77777777" w:rsidR="00784426" w:rsidRPr="00957693" w:rsidRDefault="00784426" w:rsidP="00784426">
      <w:pPr>
        <w:pStyle w:val="BodyTextMain"/>
        <w:rPr>
          <w:lang w:val="en-GB"/>
        </w:rPr>
      </w:pPr>
    </w:p>
    <w:p w14:paraId="4D0933BF" w14:textId="77777777" w:rsidR="00784426" w:rsidRPr="00957693" w:rsidRDefault="00784426" w:rsidP="00784426">
      <w:pPr>
        <w:pStyle w:val="BodyTextMain"/>
        <w:rPr>
          <w:lang w:val="en-GB"/>
        </w:rPr>
      </w:pPr>
    </w:p>
    <w:p w14:paraId="7513016C" w14:textId="77777777" w:rsidR="00784426" w:rsidRPr="00957693" w:rsidRDefault="00784426" w:rsidP="00BF47A8">
      <w:pPr>
        <w:pStyle w:val="Casehead1"/>
        <w:outlineLvl w:val="0"/>
        <w:rPr>
          <w:lang w:val="en-GB"/>
        </w:rPr>
      </w:pPr>
      <w:r w:rsidRPr="00957693">
        <w:rPr>
          <w:lang w:val="en-GB"/>
        </w:rPr>
        <w:t>Criteria for Expansion</w:t>
      </w:r>
    </w:p>
    <w:p w14:paraId="752A80AC" w14:textId="77777777" w:rsidR="00784426" w:rsidRPr="00957693" w:rsidRDefault="00784426" w:rsidP="00784426">
      <w:pPr>
        <w:pStyle w:val="BodyTextMain"/>
        <w:rPr>
          <w:lang w:val="en-GB"/>
        </w:rPr>
      </w:pPr>
    </w:p>
    <w:p w14:paraId="7A972ACF" w14:textId="77777777" w:rsidR="00784426" w:rsidRPr="00957693" w:rsidRDefault="00784426" w:rsidP="00784426">
      <w:pPr>
        <w:pStyle w:val="BodyTextMain"/>
        <w:rPr>
          <w:lang w:val="en-GB"/>
        </w:rPr>
      </w:pPr>
      <w:r w:rsidRPr="00957693">
        <w:rPr>
          <w:lang w:val="en-GB"/>
        </w:rPr>
        <w:t>Freund identified the logic that he, Willett, and Tai used to guide their brainstorming over expansion possibilities.</w:t>
      </w:r>
    </w:p>
    <w:p w14:paraId="14524FCC" w14:textId="77777777" w:rsidR="00784426" w:rsidRPr="00957693" w:rsidRDefault="00784426" w:rsidP="00784426">
      <w:pPr>
        <w:pStyle w:val="BodyTextMain"/>
        <w:rPr>
          <w:lang w:val="en-GB"/>
        </w:rPr>
      </w:pPr>
    </w:p>
    <w:p w14:paraId="34CBFDAE" w14:textId="381E7E99" w:rsidR="00784426" w:rsidRPr="00433815" w:rsidRDefault="00784426" w:rsidP="00784426">
      <w:pPr>
        <w:pStyle w:val="BodyTextMain"/>
        <w:ind w:left="720"/>
        <w:rPr>
          <w:spacing w:val="-4"/>
          <w:kern w:val="22"/>
          <w:lang w:val="en-GB"/>
        </w:rPr>
      </w:pPr>
      <w:r w:rsidRPr="00433815">
        <w:rPr>
          <w:spacing w:val="-4"/>
          <w:kern w:val="22"/>
          <w:lang w:val="en-GB"/>
        </w:rPr>
        <w:t xml:space="preserve">We created some core criteria: it has to be mass market, something that every Vietnamese family buys. There were </w:t>
      </w:r>
      <w:r w:rsidR="00620F1E" w:rsidRPr="00433815">
        <w:rPr>
          <w:spacing w:val="-4"/>
          <w:kern w:val="22"/>
          <w:lang w:val="en-GB"/>
        </w:rPr>
        <w:t>four</w:t>
      </w:r>
      <w:r w:rsidRPr="00433815">
        <w:rPr>
          <w:spacing w:val="-4"/>
          <w:kern w:val="22"/>
          <w:lang w:val="en-GB"/>
        </w:rPr>
        <w:t xml:space="preserve"> to </w:t>
      </w:r>
      <w:r w:rsidR="00620F1E" w:rsidRPr="00433815">
        <w:rPr>
          <w:spacing w:val="-4"/>
          <w:kern w:val="22"/>
          <w:lang w:val="en-GB"/>
        </w:rPr>
        <w:t>five</w:t>
      </w:r>
      <w:r w:rsidRPr="00433815">
        <w:rPr>
          <w:spacing w:val="-4"/>
          <w:kern w:val="22"/>
          <w:lang w:val="en-GB"/>
        </w:rPr>
        <w:t xml:space="preserve"> criteria we used to evaluate expansions. Based on these criteria</w:t>
      </w:r>
      <w:r w:rsidR="00620F1E" w:rsidRPr="00433815">
        <w:rPr>
          <w:spacing w:val="-4"/>
          <w:kern w:val="22"/>
          <w:lang w:val="en-GB"/>
        </w:rPr>
        <w:t>,</w:t>
      </w:r>
      <w:r w:rsidRPr="00433815">
        <w:rPr>
          <w:spacing w:val="-4"/>
          <w:kern w:val="22"/>
          <w:lang w:val="en-GB"/>
        </w:rPr>
        <w:t xml:space="preserve"> we shortlisted possibilities that might fit the criteria and then we explored them. It was Tai, and Bob, and me. </w:t>
      </w:r>
    </w:p>
    <w:p w14:paraId="10CFDB60" w14:textId="77777777" w:rsidR="00784426" w:rsidRPr="00957693" w:rsidRDefault="00784426" w:rsidP="00784426">
      <w:pPr>
        <w:pStyle w:val="BodyTextMain"/>
        <w:rPr>
          <w:lang w:val="en-GB"/>
        </w:rPr>
      </w:pPr>
    </w:p>
    <w:p w14:paraId="111F9937" w14:textId="04EB858F" w:rsidR="00784426" w:rsidRPr="00957693" w:rsidRDefault="00784426" w:rsidP="00784426">
      <w:pPr>
        <w:pStyle w:val="BodyTextMain"/>
        <w:rPr>
          <w:lang w:val="en-GB"/>
        </w:rPr>
      </w:pPr>
      <w:r w:rsidRPr="00957693">
        <w:rPr>
          <w:lang w:val="en-GB"/>
        </w:rPr>
        <w:t xml:space="preserve">These criteria connected to several </w:t>
      </w:r>
      <w:r w:rsidR="00E87900" w:rsidRPr="00957693">
        <w:rPr>
          <w:lang w:val="en-GB"/>
        </w:rPr>
        <w:t xml:space="preserve">of the company’s </w:t>
      </w:r>
      <w:r w:rsidRPr="00957693">
        <w:rPr>
          <w:lang w:val="en-GB"/>
        </w:rPr>
        <w:t>capabilities. Freund, Willett</w:t>
      </w:r>
      <w:r w:rsidR="00620F1E" w:rsidRPr="00957693">
        <w:rPr>
          <w:lang w:val="en-GB"/>
        </w:rPr>
        <w:t>,</w:t>
      </w:r>
      <w:r w:rsidRPr="00957693">
        <w:rPr>
          <w:lang w:val="en-GB"/>
        </w:rPr>
        <w:t xml:space="preserve"> and Tai saw the company as possessing a set of four core capabilities.</w:t>
      </w:r>
    </w:p>
    <w:p w14:paraId="04459452" w14:textId="77777777" w:rsidR="00784426" w:rsidRPr="00957693" w:rsidRDefault="00784426" w:rsidP="00784426">
      <w:pPr>
        <w:pStyle w:val="BodyTextMain"/>
        <w:rPr>
          <w:lang w:val="en-GB"/>
        </w:rPr>
      </w:pPr>
    </w:p>
    <w:p w14:paraId="7C57D03F" w14:textId="16F0AA38" w:rsidR="00784426" w:rsidRPr="00957693" w:rsidRDefault="00784426" w:rsidP="00247913">
      <w:pPr>
        <w:pStyle w:val="BodyTextMain"/>
        <w:rPr>
          <w:lang w:val="en-GB"/>
        </w:rPr>
      </w:pPr>
      <w:r w:rsidRPr="00957693">
        <w:rPr>
          <w:i/>
          <w:lang w:val="en-GB"/>
        </w:rPr>
        <w:t>Site Selection</w:t>
      </w:r>
      <w:r w:rsidR="00620F1E" w:rsidRPr="00957693">
        <w:rPr>
          <w:i/>
          <w:lang w:val="en-GB"/>
        </w:rPr>
        <w:t>:</w:t>
      </w:r>
      <w:r w:rsidR="00620F1E" w:rsidRPr="00957693">
        <w:rPr>
          <w:lang w:val="en-GB"/>
        </w:rPr>
        <w:t xml:space="preserve"> </w:t>
      </w:r>
      <w:r w:rsidR="00BF47A8" w:rsidRPr="00957693">
        <w:rPr>
          <w:lang w:val="en-GB"/>
        </w:rPr>
        <w:t xml:space="preserve"> </w:t>
      </w:r>
      <w:r w:rsidR="00955B2D" w:rsidRPr="00957693">
        <w:rPr>
          <w:lang w:val="en-GB"/>
        </w:rPr>
        <w:t>Mobile World</w:t>
      </w:r>
      <w:r w:rsidRPr="00957693">
        <w:rPr>
          <w:lang w:val="en-GB"/>
        </w:rPr>
        <w:t xml:space="preserve"> was skilled at finding good locations for its retail outlets.</w:t>
      </w:r>
      <w:r w:rsidR="000C6947" w:rsidRPr="00957693">
        <w:rPr>
          <w:lang w:val="en-GB"/>
        </w:rPr>
        <w:t xml:space="preserve"> The company</w:t>
      </w:r>
      <w:r w:rsidRPr="00957693">
        <w:rPr>
          <w:lang w:val="en-GB"/>
        </w:rPr>
        <w:t xml:space="preserve"> could locate high</w:t>
      </w:r>
      <w:r w:rsidR="00E87900" w:rsidRPr="00957693">
        <w:rPr>
          <w:lang w:val="en-GB"/>
        </w:rPr>
        <w:t>-</w:t>
      </w:r>
      <w:r w:rsidRPr="00957693">
        <w:rPr>
          <w:lang w:val="en-GB"/>
        </w:rPr>
        <w:t>traffic locations and organize the</w:t>
      </w:r>
      <w:r w:rsidR="000C6947" w:rsidRPr="00957693">
        <w:rPr>
          <w:lang w:val="en-GB"/>
        </w:rPr>
        <w:t xml:space="preserve">m </w:t>
      </w:r>
      <w:r w:rsidRPr="00957693">
        <w:rPr>
          <w:lang w:val="en-GB"/>
        </w:rPr>
        <w:t>to maximize customer reach.</w:t>
      </w:r>
    </w:p>
    <w:p w14:paraId="4FDD0582" w14:textId="77777777" w:rsidR="00620F1E" w:rsidRPr="00957693" w:rsidRDefault="00620F1E" w:rsidP="00247913">
      <w:pPr>
        <w:pStyle w:val="BodyTextMain"/>
        <w:rPr>
          <w:lang w:val="en-GB"/>
        </w:rPr>
      </w:pPr>
    </w:p>
    <w:p w14:paraId="6D29398B" w14:textId="29E81CF7" w:rsidR="00784426" w:rsidRPr="00957693" w:rsidRDefault="00784426" w:rsidP="00247913">
      <w:pPr>
        <w:pStyle w:val="BodyTextMain"/>
        <w:rPr>
          <w:lang w:val="en-GB"/>
        </w:rPr>
      </w:pPr>
      <w:r w:rsidRPr="00957693">
        <w:rPr>
          <w:i/>
          <w:lang w:val="en-GB"/>
        </w:rPr>
        <w:t>Multi-</w:t>
      </w:r>
      <w:r w:rsidR="00E87900" w:rsidRPr="00957693">
        <w:rPr>
          <w:i/>
          <w:lang w:val="en-GB"/>
        </w:rPr>
        <w:t>L</w:t>
      </w:r>
      <w:r w:rsidRPr="00957693">
        <w:rPr>
          <w:i/>
          <w:lang w:val="en-GB"/>
        </w:rPr>
        <w:t xml:space="preserve">ocation </w:t>
      </w:r>
      <w:r w:rsidR="00E87900" w:rsidRPr="00957693">
        <w:rPr>
          <w:i/>
          <w:lang w:val="en-GB"/>
        </w:rPr>
        <w:t>M</w:t>
      </w:r>
      <w:r w:rsidRPr="00957693">
        <w:rPr>
          <w:i/>
          <w:lang w:val="en-GB"/>
        </w:rPr>
        <w:t>anagement</w:t>
      </w:r>
      <w:r w:rsidR="00620F1E" w:rsidRPr="00957693">
        <w:rPr>
          <w:lang w:val="en-GB"/>
        </w:rPr>
        <w:t>:</w:t>
      </w:r>
      <w:r w:rsidRPr="00957693">
        <w:rPr>
          <w:lang w:val="en-GB"/>
        </w:rPr>
        <w:t xml:space="preserve"> With 1,000 stores in the </w:t>
      </w:r>
      <w:r w:rsidR="00955B2D" w:rsidRPr="00957693">
        <w:rPr>
          <w:lang w:val="en-GB"/>
        </w:rPr>
        <w:t>Mobile World</w:t>
      </w:r>
      <w:r w:rsidRPr="00957693">
        <w:rPr>
          <w:lang w:val="en-GB"/>
        </w:rPr>
        <w:t xml:space="preserve"> chain and 200 in the Green Electronics chain, </w:t>
      </w:r>
      <w:r w:rsidR="00955B2D" w:rsidRPr="00957693">
        <w:rPr>
          <w:lang w:val="en-GB"/>
        </w:rPr>
        <w:t>Mobile World</w:t>
      </w:r>
      <w:r w:rsidRPr="00957693">
        <w:rPr>
          <w:lang w:val="en-GB"/>
        </w:rPr>
        <w:t xml:space="preserve"> had become skilled at managing multiple disperse locations. This </w:t>
      </w:r>
      <w:r w:rsidR="000C6947" w:rsidRPr="00957693">
        <w:rPr>
          <w:lang w:val="en-GB"/>
        </w:rPr>
        <w:t xml:space="preserve">skill </w:t>
      </w:r>
      <w:r w:rsidRPr="00957693">
        <w:rPr>
          <w:lang w:val="en-GB"/>
        </w:rPr>
        <w:t>stemmed from its ability to effectively delegate throughout its organization by bringing in good people, training them as leaders, and empowering them to make the decisions they felt w</w:t>
      </w:r>
      <w:r w:rsidR="000C6947" w:rsidRPr="00957693">
        <w:rPr>
          <w:lang w:val="en-GB"/>
        </w:rPr>
        <w:t>ould</w:t>
      </w:r>
      <w:r w:rsidRPr="00957693">
        <w:rPr>
          <w:lang w:val="en-GB"/>
        </w:rPr>
        <w:t xml:space="preserve"> best achieve the company’s goals. Other organizations in Vietnam were bottle-necked at the top, but </w:t>
      </w:r>
      <w:r w:rsidR="00955B2D" w:rsidRPr="00957693">
        <w:rPr>
          <w:lang w:val="en-GB"/>
        </w:rPr>
        <w:t>Mobile World</w:t>
      </w:r>
      <w:r w:rsidRPr="00957693">
        <w:rPr>
          <w:lang w:val="en-GB"/>
        </w:rPr>
        <w:t xml:space="preserve"> had trained its leaders to take responsibility and make decisions.</w:t>
      </w:r>
    </w:p>
    <w:p w14:paraId="61918A39" w14:textId="77777777" w:rsidR="00620F1E" w:rsidRPr="00957693" w:rsidRDefault="00620F1E" w:rsidP="00247913">
      <w:pPr>
        <w:pStyle w:val="BodyTextMain"/>
        <w:rPr>
          <w:lang w:val="en-GB"/>
        </w:rPr>
      </w:pPr>
    </w:p>
    <w:p w14:paraId="277088F2" w14:textId="2472337F" w:rsidR="00784426" w:rsidRPr="00957693" w:rsidRDefault="00784426" w:rsidP="00247913">
      <w:pPr>
        <w:pStyle w:val="BodyTextMain"/>
        <w:rPr>
          <w:lang w:val="en-GB"/>
        </w:rPr>
      </w:pPr>
      <w:r w:rsidRPr="00957693">
        <w:rPr>
          <w:i/>
          <w:lang w:val="en-GB"/>
        </w:rPr>
        <w:t>Effective Supply Chain Management</w:t>
      </w:r>
      <w:r w:rsidR="00620F1E" w:rsidRPr="00957693">
        <w:rPr>
          <w:lang w:val="en-GB"/>
        </w:rPr>
        <w:t xml:space="preserve">: </w:t>
      </w:r>
      <w:r w:rsidRPr="00957693">
        <w:rPr>
          <w:lang w:val="en-GB"/>
        </w:rPr>
        <w:t xml:space="preserve">This resulted from significant management attention, enabled by </w:t>
      </w:r>
      <w:r w:rsidR="00E87900" w:rsidRPr="00957693">
        <w:rPr>
          <w:lang w:val="en-GB"/>
        </w:rPr>
        <w:t>the</w:t>
      </w:r>
      <w:r w:rsidRPr="00957693">
        <w:rPr>
          <w:lang w:val="en-GB"/>
        </w:rPr>
        <w:t xml:space="preserve"> internally developed </w:t>
      </w:r>
      <w:r w:rsidR="000C6947" w:rsidRPr="00957693">
        <w:rPr>
          <w:lang w:val="en-GB"/>
        </w:rPr>
        <w:t>enterprise resource planning</w:t>
      </w:r>
      <w:r w:rsidRPr="00957693">
        <w:rPr>
          <w:lang w:val="en-GB"/>
        </w:rPr>
        <w:t xml:space="preserve"> and </w:t>
      </w:r>
      <w:r w:rsidR="000C6947" w:rsidRPr="00957693">
        <w:rPr>
          <w:lang w:val="en-GB"/>
        </w:rPr>
        <w:t>information technology</w:t>
      </w:r>
      <w:r w:rsidRPr="00957693">
        <w:rPr>
          <w:lang w:val="en-GB"/>
        </w:rPr>
        <w:t xml:space="preserve"> systems.</w:t>
      </w:r>
    </w:p>
    <w:p w14:paraId="23427665" w14:textId="77777777" w:rsidR="00620F1E" w:rsidRPr="00957693" w:rsidRDefault="00620F1E" w:rsidP="00247913">
      <w:pPr>
        <w:pStyle w:val="BodyTextMain"/>
        <w:rPr>
          <w:lang w:val="en-GB"/>
        </w:rPr>
      </w:pPr>
    </w:p>
    <w:p w14:paraId="47C4C94C" w14:textId="295EC8F0" w:rsidR="00784426" w:rsidRPr="00957693" w:rsidRDefault="00784426" w:rsidP="00247913">
      <w:pPr>
        <w:pStyle w:val="BodyTextMain"/>
        <w:rPr>
          <w:lang w:val="en-GB"/>
        </w:rPr>
      </w:pPr>
      <w:r w:rsidRPr="00957693">
        <w:rPr>
          <w:i/>
          <w:lang w:val="en-GB"/>
        </w:rPr>
        <w:t>Good Financial Management</w:t>
      </w:r>
      <w:r w:rsidR="00620F1E" w:rsidRPr="00957693">
        <w:rPr>
          <w:i/>
          <w:lang w:val="en-GB"/>
        </w:rPr>
        <w:t>:</w:t>
      </w:r>
      <w:r w:rsidRPr="00957693">
        <w:rPr>
          <w:lang w:val="en-GB"/>
        </w:rPr>
        <w:t xml:space="preserve"> The growth had been impressive</w:t>
      </w:r>
      <w:r w:rsidR="000C6947" w:rsidRPr="00957693">
        <w:rPr>
          <w:lang w:val="en-GB"/>
        </w:rPr>
        <w:t>,</w:t>
      </w:r>
      <w:r w:rsidRPr="00957693">
        <w:rPr>
          <w:lang w:val="en-GB"/>
        </w:rPr>
        <w:t xml:space="preserve"> with a quick rollout of stores in the past decade,</w:t>
      </w:r>
      <w:r w:rsidR="000C6947" w:rsidRPr="00957693">
        <w:rPr>
          <w:lang w:val="en-GB"/>
        </w:rPr>
        <w:t xml:space="preserve"> </w:t>
      </w:r>
      <w:r w:rsidRPr="00957693">
        <w:rPr>
          <w:lang w:val="en-GB"/>
        </w:rPr>
        <w:t>done without burdening the company with high debt loads or weakening its balance sheet.</w:t>
      </w:r>
    </w:p>
    <w:p w14:paraId="636B42D2" w14:textId="77777777" w:rsidR="00784426" w:rsidRPr="00957693" w:rsidRDefault="00784426" w:rsidP="00784426">
      <w:pPr>
        <w:pStyle w:val="BodyTextMain"/>
        <w:rPr>
          <w:lang w:val="en-GB"/>
        </w:rPr>
      </w:pPr>
    </w:p>
    <w:p w14:paraId="24EF66CE" w14:textId="63CF6229" w:rsidR="00784426" w:rsidRPr="00957693" w:rsidRDefault="00784426" w:rsidP="00784426">
      <w:pPr>
        <w:pStyle w:val="BodyTextMain"/>
        <w:rPr>
          <w:lang w:val="en-GB"/>
        </w:rPr>
      </w:pPr>
      <w:r w:rsidRPr="00957693">
        <w:rPr>
          <w:lang w:val="en-GB"/>
        </w:rPr>
        <w:t xml:space="preserve">Whatever expansion they pursued, the business had to be one with large revenue potential. Ideally, it would be a market in which there </w:t>
      </w:r>
      <w:r w:rsidR="000C6947" w:rsidRPr="00957693">
        <w:rPr>
          <w:lang w:val="en-GB"/>
        </w:rPr>
        <w:t>was</w:t>
      </w:r>
      <w:r w:rsidRPr="00957693">
        <w:rPr>
          <w:lang w:val="en-GB"/>
        </w:rPr>
        <w:t xml:space="preserve"> a high frequency of purchase and connected to daily needs; that is, something that everyone b</w:t>
      </w:r>
      <w:r w:rsidR="000C6947" w:rsidRPr="00957693">
        <w:rPr>
          <w:lang w:val="en-GB"/>
        </w:rPr>
        <w:t>ought</w:t>
      </w:r>
      <w:r w:rsidRPr="00957693">
        <w:rPr>
          <w:lang w:val="en-GB"/>
        </w:rPr>
        <w:t xml:space="preserve">. </w:t>
      </w:r>
    </w:p>
    <w:p w14:paraId="0F47B1A0" w14:textId="77777777" w:rsidR="00784426" w:rsidRPr="00957693" w:rsidRDefault="00784426" w:rsidP="00784426">
      <w:pPr>
        <w:pStyle w:val="BodyTextMain"/>
        <w:rPr>
          <w:lang w:val="en-GB"/>
        </w:rPr>
      </w:pPr>
    </w:p>
    <w:p w14:paraId="4C75F0DC" w14:textId="6550A2D5" w:rsidR="00784426" w:rsidRPr="00957693" w:rsidRDefault="00784426" w:rsidP="00784426">
      <w:pPr>
        <w:pStyle w:val="BodyTextMain"/>
        <w:rPr>
          <w:lang w:val="en-GB"/>
        </w:rPr>
      </w:pPr>
      <w:r w:rsidRPr="00957693">
        <w:rPr>
          <w:lang w:val="en-GB"/>
        </w:rPr>
        <w:t xml:space="preserve">Finally, if </w:t>
      </w:r>
      <w:r w:rsidR="00955B2D" w:rsidRPr="00957693">
        <w:rPr>
          <w:lang w:val="en-GB"/>
        </w:rPr>
        <w:t>Mobile World</w:t>
      </w:r>
      <w:r w:rsidR="00BF47A8" w:rsidRPr="00957693">
        <w:rPr>
          <w:lang w:val="en-GB"/>
        </w:rPr>
        <w:t xml:space="preserve"> </w:t>
      </w:r>
      <w:r w:rsidRPr="00957693">
        <w:rPr>
          <w:lang w:val="en-GB"/>
        </w:rPr>
        <w:t xml:space="preserve">was to enter a market, it wanted to be able to dominate the market within a </w:t>
      </w:r>
      <w:r w:rsidR="000C6947" w:rsidRPr="00957693">
        <w:rPr>
          <w:lang w:val="en-GB"/>
        </w:rPr>
        <w:t>two</w:t>
      </w:r>
      <w:r w:rsidRPr="00957693">
        <w:rPr>
          <w:lang w:val="en-GB"/>
        </w:rPr>
        <w:t xml:space="preserve">- to </w:t>
      </w:r>
      <w:r w:rsidR="000C6947" w:rsidRPr="00957693">
        <w:rPr>
          <w:lang w:val="en-GB"/>
        </w:rPr>
        <w:t>three</w:t>
      </w:r>
      <w:r w:rsidRPr="00957693">
        <w:rPr>
          <w:lang w:val="en-GB"/>
        </w:rPr>
        <w:t xml:space="preserve">-year window. </w:t>
      </w:r>
      <w:r w:rsidR="00BF47A8" w:rsidRPr="00957693">
        <w:rPr>
          <w:lang w:val="en-GB"/>
        </w:rPr>
        <w:t xml:space="preserve"> </w:t>
      </w:r>
      <w:r w:rsidR="00955B2D" w:rsidRPr="00957693">
        <w:rPr>
          <w:lang w:val="en-GB"/>
        </w:rPr>
        <w:t>Mobile World</w:t>
      </w:r>
      <w:r w:rsidRPr="00957693">
        <w:rPr>
          <w:lang w:val="en-GB"/>
        </w:rPr>
        <w:t xml:space="preserve"> needed to establish a defensible position before other companies tried to replicate </w:t>
      </w:r>
      <w:r w:rsidR="000C6947" w:rsidRPr="00957693">
        <w:rPr>
          <w:lang w:val="en-GB"/>
        </w:rPr>
        <w:t>its</w:t>
      </w:r>
      <w:r w:rsidRPr="00957693">
        <w:rPr>
          <w:lang w:val="en-GB"/>
        </w:rPr>
        <w:t xml:space="preserve"> entry. </w:t>
      </w:r>
    </w:p>
    <w:p w14:paraId="739E3C00" w14:textId="40131859" w:rsidR="000C6947" w:rsidRPr="00957693" w:rsidRDefault="000C6947" w:rsidP="0085071B">
      <w:pPr>
        <w:pStyle w:val="BodyTextMain"/>
        <w:rPr>
          <w:lang w:val="en-GB"/>
        </w:rPr>
      </w:pPr>
    </w:p>
    <w:p w14:paraId="7561D37A" w14:textId="23765774" w:rsidR="00620F1E" w:rsidRPr="00957693" w:rsidRDefault="00784426" w:rsidP="00BF47A8">
      <w:pPr>
        <w:pStyle w:val="BodyTextMain"/>
        <w:outlineLvl w:val="0"/>
        <w:rPr>
          <w:lang w:val="en-GB"/>
        </w:rPr>
      </w:pPr>
      <w:r w:rsidRPr="00957693">
        <w:rPr>
          <w:lang w:val="en-GB"/>
        </w:rPr>
        <w:t xml:space="preserve">Among the many possibilities, three </w:t>
      </w:r>
      <w:r w:rsidR="00957693">
        <w:rPr>
          <w:lang w:val="en-GB"/>
        </w:rPr>
        <w:t xml:space="preserve">options </w:t>
      </w:r>
      <w:r w:rsidRPr="00957693">
        <w:rPr>
          <w:lang w:val="en-GB"/>
        </w:rPr>
        <w:t>stood out as particularly attractive</w:t>
      </w:r>
      <w:r w:rsidR="005A6040" w:rsidRPr="00957693">
        <w:rPr>
          <w:lang w:val="en-GB"/>
        </w:rPr>
        <w:t>.</w:t>
      </w:r>
    </w:p>
    <w:p w14:paraId="44FAE0FD" w14:textId="77777777" w:rsidR="005A6040" w:rsidRPr="00957693" w:rsidRDefault="005A6040" w:rsidP="00784426">
      <w:pPr>
        <w:pStyle w:val="Casehead2"/>
        <w:rPr>
          <w:lang w:val="en-GB"/>
        </w:rPr>
      </w:pPr>
    </w:p>
    <w:p w14:paraId="451FA143" w14:textId="5528DE71" w:rsidR="00DA736A" w:rsidRDefault="00DA736A">
      <w:pPr>
        <w:spacing w:after="200" w:line="276" w:lineRule="auto"/>
        <w:rPr>
          <w:rFonts w:ascii="Arial" w:hAnsi="Arial" w:cs="Arial"/>
          <w:b/>
          <w:lang w:val="en-GB"/>
        </w:rPr>
      </w:pPr>
      <w:r>
        <w:rPr>
          <w:lang w:val="en-GB"/>
        </w:rPr>
        <w:br w:type="page"/>
      </w:r>
    </w:p>
    <w:p w14:paraId="67961283" w14:textId="2C01A4A9" w:rsidR="00784426" w:rsidRDefault="00784426" w:rsidP="00BF47A8">
      <w:pPr>
        <w:pStyle w:val="Casehead2"/>
        <w:outlineLvl w:val="0"/>
        <w:rPr>
          <w:lang w:val="en-GB"/>
        </w:rPr>
      </w:pPr>
      <w:r w:rsidRPr="00957693">
        <w:rPr>
          <w:lang w:val="en-GB"/>
        </w:rPr>
        <w:t>Option 1: International Expansion in</w:t>
      </w:r>
      <w:r w:rsidR="004855A9" w:rsidRPr="00957693">
        <w:rPr>
          <w:lang w:val="en-GB"/>
        </w:rPr>
        <w:t>to</w:t>
      </w:r>
      <w:r w:rsidRPr="00957693">
        <w:rPr>
          <w:lang w:val="en-GB"/>
        </w:rPr>
        <w:t xml:space="preserve"> Mobile Phones and Electronics</w:t>
      </w:r>
    </w:p>
    <w:p w14:paraId="5616AC7A" w14:textId="77777777" w:rsidR="00DA736A" w:rsidRPr="00957693" w:rsidRDefault="00DA736A" w:rsidP="00BF47A8">
      <w:pPr>
        <w:pStyle w:val="Casehead2"/>
        <w:outlineLvl w:val="0"/>
        <w:rPr>
          <w:lang w:val="en-GB"/>
        </w:rPr>
      </w:pPr>
      <w:bookmarkStart w:id="0" w:name="_GoBack"/>
      <w:bookmarkEnd w:id="0"/>
    </w:p>
    <w:p w14:paraId="5C183BC5" w14:textId="48ABF184" w:rsidR="00784426" w:rsidRPr="00957693" w:rsidRDefault="00784426" w:rsidP="00784426">
      <w:pPr>
        <w:pStyle w:val="BodyTextMain"/>
        <w:rPr>
          <w:lang w:val="en-GB"/>
        </w:rPr>
      </w:pPr>
      <w:r w:rsidRPr="00957693">
        <w:rPr>
          <w:lang w:val="en-GB"/>
        </w:rPr>
        <w:lastRenderedPageBreak/>
        <w:t>A number of Vietnam’s neighbo</w:t>
      </w:r>
      <w:r w:rsidR="00957693">
        <w:rPr>
          <w:lang w:val="en-GB"/>
        </w:rPr>
        <w:t>u</w:t>
      </w:r>
      <w:r w:rsidRPr="00957693">
        <w:rPr>
          <w:lang w:val="en-GB"/>
        </w:rPr>
        <w:t xml:space="preserve">rs </w:t>
      </w:r>
      <w:r w:rsidR="000C6947" w:rsidRPr="00957693">
        <w:rPr>
          <w:lang w:val="en-GB"/>
        </w:rPr>
        <w:t xml:space="preserve">had </w:t>
      </w:r>
      <w:r w:rsidRPr="00957693">
        <w:rPr>
          <w:lang w:val="en-GB"/>
        </w:rPr>
        <w:t>surpassed Vietnam in recent years on the list of the world’s fastest</w:t>
      </w:r>
      <w:r w:rsidR="00957693">
        <w:rPr>
          <w:lang w:val="en-GB"/>
        </w:rPr>
        <w:t>-</w:t>
      </w:r>
      <w:r w:rsidRPr="00957693">
        <w:rPr>
          <w:lang w:val="en-GB"/>
        </w:rPr>
        <w:t xml:space="preserve">growing countries. These included the other two Indochinese transition economies, Cambodia and Laos. Furthermore, Myanmar, an only slightly more distant country of over 50 million people, was in many ways just starting its transition from central planning and opening up to the global economy. In each of these countries, the mobile phone and electronics markets were still just as fragmented as they had been in </w:t>
      </w:r>
      <w:proofErr w:type="spellStart"/>
      <w:r w:rsidRPr="00957693">
        <w:rPr>
          <w:lang w:val="en-GB"/>
        </w:rPr>
        <w:t>Ho</w:t>
      </w:r>
      <w:proofErr w:type="spellEnd"/>
      <w:r w:rsidRPr="00957693">
        <w:rPr>
          <w:lang w:val="en-GB"/>
        </w:rPr>
        <w:t xml:space="preserve"> Chi Minh City back in 2004.</w:t>
      </w:r>
    </w:p>
    <w:p w14:paraId="28B9DFB8" w14:textId="77777777" w:rsidR="003A2CDA" w:rsidRPr="00957693" w:rsidRDefault="003A2CDA" w:rsidP="00784426">
      <w:pPr>
        <w:pStyle w:val="Casehead2"/>
        <w:rPr>
          <w:lang w:val="en-GB"/>
        </w:rPr>
      </w:pPr>
    </w:p>
    <w:p w14:paraId="7DC85694" w14:textId="77777777" w:rsidR="003A2CDA" w:rsidRPr="00957693" w:rsidRDefault="003A2CDA" w:rsidP="00784426">
      <w:pPr>
        <w:pStyle w:val="Casehead2"/>
        <w:rPr>
          <w:lang w:val="en-GB"/>
        </w:rPr>
      </w:pPr>
    </w:p>
    <w:p w14:paraId="09AE6993" w14:textId="77777777" w:rsidR="00784426" w:rsidRPr="00957693" w:rsidRDefault="00784426" w:rsidP="00BF47A8">
      <w:pPr>
        <w:pStyle w:val="Casehead2"/>
        <w:outlineLvl w:val="0"/>
        <w:rPr>
          <w:lang w:val="en-GB"/>
        </w:rPr>
      </w:pPr>
      <w:r w:rsidRPr="00957693">
        <w:rPr>
          <w:lang w:val="en-GB"/>
        </w:rPr>
        <w:t>Option 2: Domestic Diversification into Retail Pharmaceuticals</w:t>
      </w:r>
    </w:p>
    <w:p w14:paraId="0314DEFC" w14:textId="77777777" w:rsidR="00784426" w:rsidRPr="00957693" w:rsidRDefault="00784426" w:rsidP="00784426">
      <w:pPr>
        <w:pStyle w:val="BodyTextMain"/>
        <w:rPr>
          <w:lang w:val="en-GB"/>
        </w:rPr>
      </w:pPr>
    </w:p>
    <w:p w14:paraId="52BB0DF6" w14:textId="075D413A" w:rsidR="00784426" w:rsidRPr="00957693" w:rsidRDefault="00784426" w:rsidP="00784426">
      <w:pPr>
        <w:pStyle w:val="BodyTextMain"/>
        <w:rPr>
          <w:lang w:val="en-GB"/>
        </w:rPr>
      </w:pPr>
      <w:r w:rsidRPr="00957693">
        <w:rPr>
          <w:lang w:val="en-GB"/>
        </w:rPr>
        <w:t>Like the mobile phone shop business, the pharmaceutical business in Vietnam was highly fragmented. Owner</w:t>
      </w:r>
      <w:r w:rsidR="004855A9" w:rsidRPr="00957693">
        <w:rPr>
          <w:lang w:val="en-GB"/>
        </w:rPr>
        <w:t>-</w:t>
      </w:r>
      <w:r w:rsidRPr="00957693">
        <w:rPr>
          <w:lang w:val="en-GB"/>
        </w:rPr>
        <w:t>operator shops abounded and could be found within easy walking distance of one another. There was little consolidation, with each pharmacy operating like a family-owned business, headed by a qualified pharmacist. Corporatization was rare. The consequence</w:t>
      </w:r>
      <w:r w:rsidR="00957693">
        <w:rPr>
          <w:lang w:val="en-GB"/>
        </w:rPr>
        <w:t>s</w:t>
      </w:r>
      <w:r w:rsidRPr="00957693">
        <w:rPr>
          <w:lang w:val="en-GB"/>
        </w:rPr>
        <w:t xml:space="preserve"> w</w:t>
      </w:r>
      <w:r w:rsidR="00957693">
        <w:rPr>
          <w:lang w:val="en-GB"/>
        </w:rPr>
        <w:t>ere</w:t>
      </w:r>
      <w:r w:rsidRPr="00957693">
        <w:rPr>
          <w:lang w:val="en-GB"/>
        </w:rPr>
        <w:t xml:space="preserve"> easy access for consumers, close associations between pharmacists and their customers</w:t>
      </w:r>
      <w:r w:rsidR="004855A9" w:rsidRPr="00957693">
        <w:rPr>
          <w:lang w:val="en-GB"/>
        </w:rPr>
        <w:t>,</w:t>
      </w:r>
      <w:r w:rsidRPr="00957693">
        <w:rPr>
          <w:lang w:val="en-GB"/>
        </w:rPr>
        <w:t xml:space="preserve"> and lax applications of rules and guidelines regarding the sale and distribution of controlled pharmaceutical customers. Off-prescription sales were the norm.</w:t>
      </w:r>
    </w:p>
    <w:p w14:paraId="6D137AD9" w14:textId="77777777" w:rsidR="00784426" w:rsidRPr="00957693" w:rsidRDefault="00784426" w:rsidP="00784426">
      <w:pPr>
        <w:pStyle w:val="BodyTextMain"/>
        <w:rPr>
          <w:lang w:val="en-GB"/>
        </w:rPr>
      </w:pPr>
    </w:p>
    <w:p w14:paraId="1F5CB791" w14:textId="77777777" w:rsidR="00784426" w:rsidRPr="00957693" w:rsidRDefault="00784426" w:rsidP="00784426">
      <w:pPr>
        <w:pStyle w:val="BodyTextMain"/>
        <w:rPr>
          <w:lang w:val="en-GB"/>
        </w:rPr>
      </w:pPr>
    </w:p>
    <w:p w14:paraId="42FAFC55" w14:textId="77777777" w:rsidR="00784426" w:rsidRPr="00957693" w:rsidRDefault="00784426" w:rsidP="00BF47A8">
      <w:pPr>
        <w:pStyle w:val="Casehead2"/>
        <w:outlineLvl w:val="0"/>
        <w:rPr>
          <w:lang w:val="en-GB"/>
        </w:rPr>
      </w:pPr>
      <w:r w:rsidRPr="00957693">
        <w:rPr>
          <w:lang w:val="en-GB"/>
        </w:rPr>
        <w:t>Option 3: Domestic Diversification into Mini-Mart Fresh Produce Retailing</w:t>
      </w:r>
    </w:p>
    <w:p w14:paraId="31AF2DBC" w14:textId="77777777" w:rsidR="00784426" w:rsidRPr="00957693" w:rsidRDefault="00784426" w:rsidP="00784426">
      <w:pPr>
        <w:pStyle w:val="BodyTextMain"/>
        <w:rPr>
          <w:lang w:val="en-GB"/>
        </w:rPr>
      </w:pPr>
    </w:p>
    <w:p w14:paraId="287A4B82" w14:textId="3642ADFF" w:rsidR="00784426" w:rsidRPr="00957693" w:rsidRDefault="00784426" w:rsidP="00784426">
      <w:pPr>
        <w:pStyle w:val="BodyTextMain"/>
        <w:rPr>
          <w:lang w:val="en-GB"/>
        </w:rPr>
      </w:pPr>
      <w:r w:rsidRPr="00957693">
        <w:rPr>
          <w:lang w:val="en-GB"/>
        </w:rPr>
        <w:t>Vietnamese families seldom bought and stored food at home, particularly fresh produce. Fruits and vegetables, as well as fresh fish, were commonly purchased from local vendors within just minutes of where it was to be cooked or served. This generally meant purchasing from small shops, which were run out of the ground-floor entrance ways to private houses, or from neighbo</w:t>
      </w:r>
      <w:r w:rsidR="004A3D1B">
        <w:rPr>
          <w:lang w:val="en-GB"/>
        </w:rPr>
        <w:t>u</w:t>
      </w:r>
      <w:r w:rsidRPr="00957693">
        <w:rPr>
          <w:lang w:val="en-GB"/>
        </w:rPr>
        <w:t>rhood wet markets. The purchasing process was simple</w:t>
      </w:r>
      <w:r w:rsidR="00A24AC6" w:rsidRPr="00957693">
        <w:rPr>
          <w:lang w:val="en-GB"/>
        </w:rPr>
        <w:t>. The c</w:t>
      </w:r>
      <w:r w:rsidRPr="00957693">
        <w:rPr>
          <w:lang w:val="en-GB"/>
        </w:rPr>
        <w:t>ustomer select</w:t>
      </w:r>
      <w:r w:rsidR="00A24AC6" w:rsidRPr="00957693">
        <w:rPr>
          <w:lang w:val="en-GB"/>
        </w:rPr>
        <w:t>ed</w:t>
      </w:r>
      <w:r w:rsidRPr="00957693">
        <w:rPr>
          <w:lang w:val="en-GB"/>
        </w:rPr>
        <w:t xml:space="preserve"> </w:t>
      </w:r>
      <w:r w:rsidR="00A24AC6" w:rsidRPr="00957693">
        <w:rPr>
          <w:lang w:val="en-GB"/>
        </w:rPr>
        <w:t>a</w:t>
      </w:r>
      <w:r w:rsidRPr="00957693">
        <w:rPr>
          <w:lang w:val="en-GB"/>
        </w:rPr>
        <w:t xml:space="preserve"> product from small baskets on the floor, the retailer weigh</w:t>
      </w:r>
      <w:r w:rsidR="00A24AC6" w:rsidRPr="00957693">
        <w:rPr>
          <w:lang w:val="en-GB"/>
        </w:rPr>
        <w:t>ed</w:t>
      </w:r>
      <w:r w:rsidRPr="00957693">
        <w:rPr>
          <w:lang w:val="en-GB"/>
        </w:rPr>
        <w:t xml:space="preserve"> the produce on the spot, and payment </w:t>
      </w:r>
      <w:r w:rsidR="00A24AC6" w:rsidRPr="00957693">
        <w:rPr>
          <w:lang w:val="en-GB"/>
        </w:rPr>
        <w:t xml:space="preserve">was </w:t>
      </w:r>
      <w:r w:rsidRPr="00957693">
        <w:rPr>
          <w:lang w:val="en-GB"/>
        </w:rPr>
        <w:t>made in cash. Repeat purchases and nearby competition kept prices reasonable. However, concerns abounded regarding safety in the food chain, especially how clean the produce</w:t>
      </w:r>
      <w:r w:rsidR="00A24AC6" w:rsidRPr="00957693">
        <w:rPr>
          <w:lang w:val="en-GB"/>
        </w:rPr>
        <w:t xml:space="preserve"> was </w:t>
      </w:r>
      <w:r w:rsidRPr="00957693">
        <w:rPr>
          <w:lang w:val="en-GB"/>
        </w:rPr>
        <w:t>in these small family shops. Observable dirt could be cleaned, but pesticides, herbicides</w:t>
      </w:r>
      <w:r w:rsidR="00A24AC6" w:rsidRPr="00957693">
        <w:rPr>
          <w:lang w:val="en-GB"/>
        </w:rPr>
        <w:t>,</w:t>
      </w:r>
      <w:r w:rsidRPr="00957693">
        <w:rPr>
          <w:lang w:val="en-GB"/>
        </w:rPr>
        <w:t xml:space="preserve"> and other chemical pollutants could not be detected by casual or close examination. Infiltration of food from China into the supply chain was also seen as a severe threat.</w:t>
      </w:r>
    </w:p>
    <w:p w14:paraId="76AF7544" w14:textId="77777777" w:rsidR="00784426" w:rsidRPr="00957693" w:rsidRDefault="00784426" w:rsidP="00784426">
      <w:pPr>
        <w:pStyle w:val="BodyTextMain"/>
        <w:rPr>
          <w:lang w:val="en-GB"/>
        </w:rPr>
      </w:pPr>
    </w:p>
    <w:p w14:paraId="4432B700" w14:textId="77777777" w:rsidR="00784426" w:rsidRPr="00957693" w:rsidRDefault="00784426" w:rsidP="00784426">
      <w:pPr>
        <w:pStyle w:val="BodyTextMain"/>
        <w:rPr>
          <w:lang w:val="en-GB"/>
        </w:rPr>
      </w:pPr>
    </w:p>
    <w:p w14:paraId="68A35A3B" w14:textId="0E1CA011" w:rsidR="00784426" w:rsidRPr="00957693" w:rsidRDefault="00784426" w:rsidP="00BF47A8">
      <w:pPr>
        <w:pStyle w:val="Casehead1"/>
        <w:outlineLvl w:val="0"/>
        <w:rPr>
          <w:lang w:val="en-GB"/>
        </w:rPr>
      </w:pPr>
      <w:r w:rsidRPr="00957693">
        <w:rPr>
          <w:lang w:val="en-GB"/>
        </w:rPr>
        <w:t>Decision</w:t>
      </w:r>
    </w:p>
    <w:p w14:paraId="5DC98477" w14:textId="77777777" w:rsidR="00784426" w:rsidRPr="00957693" w:rsidRDefault="00784426" w:rsidP="00784426">
      <w:pPr>
        <w:pStyle w:val="BodyTextMain"/>
        <w:rPr>
          <w:lang w:val="en-GB"/>
        </w:rPr>
      </w:pPr>
    </w:p>
    <w:p w14:paraId="16EBACD0" w14:textId="6183B552" w:rsidR="00784426" w:rsidRPr="00957693" w:rsidRDefault="00784426" w:rsidP="00784426">
      <w:pPr>
        <w:pStyle w:val="BodyTextMain"/>
        <w:rPr>
          <w:lang w:val="en-GB"/>
        </w:rPr>
      </w:pPr>
      <w:r w:rsidRPr="00957693">
        <w:rPr>
          <w:lang w:val="en-GB"/>
        </w:rPr>
        <w:t xml:space="preserve">For </w:t>
      </w:r>
      <w:r w:rsidR="00955B2D" w:rsidRPr="00957693">
        <w:rPr>
          <w:lang w:val="en-GB"/>
        </w:rPr>
        <w:t>Mobile World</w:t>
      </w:r>
      <w:r w:rsidRPr="00957693">
        <w:rPr>
          <w:lang w:val="en-GB"/>
        </w:rPr>
        <w:t xml:space="preserve"> to continue at the level of performance it had grown accustomed to, the time had come to expand beyond either country or industry borders. The criteria for selection were clear, as was the guiding paradigm for the management of the businesses. Although several options existed, the core leadership team had narrowed debate down to either regional expansion in the company’s core businesses or domestic diversification into a new industry</w:t>
      </w:r>
      <w:r w:rsidR="00E87900" w:rsidRPr="00957693">
        <w:rPr>
          <w:lang w:val="en-GB"/>
        </w:rPr>
        <w:t>—</w:t>
      </w:r>
      <w:r w:rsidRPr="00957693">
        <w:rPr>
          <w:lang w:val="en-GB"/>
        </w:rPr>
        <w:t>with the retail pharmaceutical and mini-mart fresh produce segments as the leading candidates. Each choice entailed its own set of risks and opportunities</w:t>
      </w:r>
      <w:r w:rsidR="00A24AC6" w:rsidRPr="00957693">
        <w:rPr>
          <w:lang w:val="en-GB"/>
        </w:rPr>
        <w:t>. E</w:t>
      </w:r>
      <w:r w:rsidRPr="00957693">
        <w:rPr>
          <w:lang w:val="en-GB"/>
        </w:rPr>
        <w:t>ach present</w:t>
      </w:r>
      <w:r w:rsidR="00A24AC6" w:rsidRPr="00957693">
        <w:rPr>
          <w:lang w:val="en-GB"/>
        </w:rPr>
        <w:t>ed</w:t>
      </w:r>
      <w:r w:rsidRPr="00957693">
        <w:rPr>
          <w:lang w:val="en-GB"/>
        </w:rPr>
        <w:t xml:space="preserve"> new challenges for the leadership that would involve careful reflection about which new core capabilities the company needed to develop.</w:t>
      </w:r>
    </w:p>
    <w:p w14:paraId="6A516A65" w14:textId="77777777" w:rsidR="00784426" w:rsidRPr="00957693" w:rsidRDefault="00784426">
      <w:pPr>
        <w:spacing w:after="200" w:line="276" w:lineRule="auto"/>
        <w:rPr>
          <w:sz w:val="22"/>
          <w:szCs w:val="22"/>
          <w:lang w:val="en-GB"/>
        </w:rPr>
      </w:pPr>
      <w:r w:rsidRPr="00957693">
        <w:rPr>
          <w:lang w:val="en-GB"/>
        </w:rPr>
        <w:br w:type="page"/>
      </w:r>
    </w:p>
    <w:p w14:paraId="506BA5CB" w14:textId="57BE855A" w:rsidR="00784426" w:rsidRPr="00957693" w:rsidRDefault="00784426" w:rsidP="00BF47A8">
      <w:pPr>
        <w:pStyle w:val="ExhibitHeading"/>
        <w:outlineLvl w:val="0"/>
        <w:rPr>
          <w:lang w:val="en-GB"/>
        </w:rPr>
      </w:pPr>
      <w:r w:rsidRPr="00957693">
        <w:rPr>
          <w:lang w:val="en-GB"/>
        </w:rPr>
        <w:lastRenderedPageBreak/>
        <w:t xml:space="preserve">Exhibit 1: </w:t>
      </w:r>
      <w:r w:rsidR="00955B2D" w:rsidRPr="00957693">
        <w:rPr>
          <w:lang w:val="en-GB"/>
        </w:rPr>
        <w:t>Mobile World</w:t>
      </w:r>
      <w:r w:rsidRPr="00957693">
        <w:rPr>
          <w:lang w:val="en-GB"/>
        </w:rPr>
        <w:t>’s Financial Performance, 2012</w:t>
      </w:r>
      <w:r w:rsidR="003A2CDA" w:rsidRPr="00957693">
        <w:rPr>
          <w:lang w:val="en-GB"/>
        </w:rPr>
        <w:t>–</w:t>
      </w:r>
      <w:r w:rsidRPr="00957693">
        <w:rPr>
          <w:lang w:val="en-GB"/>
        </w:rPr>
        <w:t>2015</w:t>
      </w:r>
      <w:r w:rsidR="00E11297">
        <w:rPr>
          <w:lang w:val="en-GB"/>
        </w:rPr>
        <w:t xml:space="preserve"> (in VND</w:t>
      </w:r>
      <w:r w:rsidR="003A2CDA" w:rsidRPr="00957693">
        <w:rPr>
          <w:lang w:val="en-GB"/>
        </w:rPr>
        <w:t xml:space="preserve"> millions)</w:t>
      </w:r>
    </w:p>
    <w:p w14:paraId="4CC43550" w14:textId="77777777" w:rsidR="00784426" w:rsidRPr="00957693" w:rsidRDefault="00784426" w:rsidP="005C430B">
      <w:pPr>
        <w:pStyle w:val="Footnote"/>
        <w:rPr>
          <w:lang w:val="en-GB"/>
        </w:rPr>
      </w:pPr>
    </w:p>
    <w:tbl>
      <w:tblPr>
        <w:tblStyle w:val="TableGrid"/>
        <w:tblW w:w="9123" w:type="dxa"/>
        <w:jc w:val="center"/>
        <w:tblLook w:val="04A0" w:firstRow="1" w:lastRow="0" w:firstColumn="1" w:lastColumn="0" w:noHBand="0" w:noVBand="1"/>
      </w:tblPr>
      <w:tblGrid>
        <w:gridCol w:w="3459"/>
        <w:gridCol w:w="1356"/>
        <w:gridCol w:w="1356"/>
        <w:gridCol w:w="1487"/>
        <w:gridCol w:w="1465"/>
      </w:tblGrid>
      <w:tr w:rsidR="00784426" w:rsidRPr="00957693" w14:paraId="4EE93A15" w14:textId="77777777" w:rsidTr="005113F3">
        <w:trPr>
          <w:trHeight w:val="296"/>
          <w:jc w:val="center"/>
        </w:trPr>
        <w:tc>
          <w:tcPr>
            <w:tcW w:w="3459" w:type="dxa"/>
            <w:noWrap/>
            <w:vAlign w:val="center"/>
            <w:hideMark/>
          </w:tcPr>
          <w:p w14:paraId="1E3E0C5D" w14:textId="77777777" w:rsidR="00784426" w:rsidRPr="00957693" w:rsidRDefault="00784426" w:rsidP="001577A1">
            <w:pPr>
              <w:rPr>
                <w:rFonts w:ascii="Arial" w:hAnsi="Arial" w:cs="Arial"/>
                <w:b/>
                <w:color w:val="000000"/>
                <w:lang w:val="en-GB"/>
              </w:rPr>
            </w:pPr>
            <w:r w:rsidRPr="00957693">
              <w:rPr>
                <w:rFonts w:ascii="Arial" w:hAnsi="Arial" w:cs="Arial"/>
                <w:b/>
                <w:color w:val="000000"/>
                <w:lang w:val="en-GB"/>
              </w:rPr>
              <w:t>YEAR</w:t>
            </w:r>
          </w:p>
        </w:tc>
        <w:tc>
          <w:tcPr>
            <w:tcW w:w="1356" w:type="dxa"/>
            <w:noWrap/>
            <w:vAlign w:val="center"/>
            <w:hideMark/>
          </w:tcPr>
          <w:p w14:paraId="4D6D1E81" w14:textId="77777777" w:rsidR="00784426" w:rsidRPr="00957693" w:rsidRDefault="00784426" w:rsidP="001577A1">
            <w:pPr>
              <w:jc w:val="right"/>
              <w:rPr>
                <w:rFonts w:ascii="Arial" w:hAnsi="Arial" w:cs="Arial"/>
                <w:b/>
                <w:color w:val="000000"/>
                <w:lang w:val="en-GB"/>
              </w:rPr>
            </w:pPr>
            <w:r w:rsidRPr="00957693">
              <w:rPr>
                <w:rFonts w:ascii="Arial" w:hAnsi="Arial" w:cs="Arial"/>
                <w:b/>
                <w:color w:val="000000"/>
                <w:lang w:val="en-GB"/>
              </w:rPr>
              <w:t>2012</w:t>
            </w:r>
          </w:p>
        </w:tc>
        <w:tc>
          <w:tcPr>
            <w:tcW w:w="1356" w:type="dxa"/>
            <w:noWrap/>
            <w:vAlign w:val="center"/>
            <w:hideMark/>
          </w:tcPr>
          <w:p w14:paraId="6E382915" w14:textId="77777777" w:rsidR="00784426" w:rsidRPr="00957693" w:rsidRDefault="00784426" w:rsidP="001577A1">
            <w:pPr>
              <w:jc w:val="right"/>
              <w:rPr>
                <w:rFonts w:ascii="Arial" w:hAnsi="Arial" w:cs="Arial"/>
                <w:b/>
                <w:color w:val="000000"/>
                <w:lang w:val="en-GB"/>
              </w:rPr>
            </w:pPr>
            <w:r w:rsidRPr="00957693">
              <w:rPr>
                <w:rFonts w:ascii="Arial" w:hAnsi="Arial" w:cs="Arial"/>
                <w:b/>
                <w:color w:val="000000"/>
                <w:lang w:val="en-GB"/>
              </w:rPr>
              <w:t>2013</w:t>
            </w:r>
          </w:p>
        </w:tc>
        <w:tc>
          <w:tcPr>
            <w:tcW w:w="1487" w:type="dxa"/>
            <w:noWrap/>
            <w:vAlign w:val="center"/>
            <w:hideMark/>
          </w:tcPr>
          <w:p w14:paraId="7B8CEBE2" w14:textId="77777777" w:rsidR="00784426" w:rsidRPr="00957693" w:rsidRDefault="00784426" w:rsidP="001577A1">
            <w:pPr>
              <w:jc w:val="right"/>
              <w:rPr>
                <w:rFonts w:ascii="Arial" w:hAnsi="Arial" w:cs="Arial"/>
                <w:b/>
                <w:color w:val="000000"/>
                <w:lang w:val="en-GB"/>
              </w:rPr>
            </w:pPr>
            <w:r w:rsidRPr="00957693">
              <w:rPr>
                <w:rFonts w:ascii="Arial" w:hAnsi="Arial" w:cs="Arial"/>
                <w:b/>
                <w:color w:val="000000"/>
                <w:lang w:val="en-GB"/>
              </w:rPr>
              <w:t>2014</w:t>
            </w:r>
          </w:p>
        </w:tc>
        <w:tc>
          <w:tcPr>
            <w:tcW w:w="1465" w:type="dxa"/>
            <w:vAlign w:val="center"/>
          </w:tcPr>
          <w:p w14:paraId="6842349C" w14:textId="77777777" w:rsidR="00784426" w:rsidRPr="00957693" w:rsidRDefault="00784426" w:rsidP="001577A1">
            <w:pPr>
              <w:jc w:val="right"/>
              <w:rPr>
                <w:rFonts w:ascii="Arial" w:hAnsi="Arial" w:cs="Arial"/>
                <w:b/>
                <w:color w:val="000000"/>
                <w:lang w:val="en-GB"/>
              </w:rPr>
            </w:pPr>
            <w:r w:rsidRPr="00957693">
              <w:rPr>
                <w:rFonts w:ascii="Arial" w:hAnsi="Arial" w:cs="Arial"/>
                <w:b/>
                <w:color w:val="000000"/>
                <w:lang w:val="en-GB"/>
              </w:rPr>
              <w:t>2015</w:t>
            </w:r>
          </w:p>
        </w:tc>
      </w:tr>
      <w:tr w:rsidR="00784426" w:rsidRPr="00957693" w14:paraId="7544ABE0" w14:textId="77777777" w:rsidTr="005113F3">
        <w:trPr>
          <w:trHeight w:val="521"/>
          <w:jc w:val="center"/>
        </w:trPr>
        <w:tc>
          <w:tcPr>
            <w:tcW w:w="3459" w:type="dxa"/>
            <w:noWrap/>
            <w:vAlign w:val="center"/>
            <w:hideMark/>
          </w:tcPr>
          <w:p w14:paraId="646629AB" w14:textId="332BDF1F" w:rsidR="00784426" w:rsidRPr="00957693" w:rsidRDefault="005113F3">
            <w:pPr>
              <w:rPr>
                <w:rFonts w:ascii="Arial" w:hAnsi="Arial" w:cs="Arial"/>
                <w:color w:val="000000"/>
                <w:lang w:val="en-GB"/>
              </w:rPr>
            </w:pPr>
            <w:r w:rsidRPr="00957693">
              <w:rPr>
                <w:rFonts w:ascii="Arial" w:hAnsi="Arial" w:cs="Arial"/>
                <w:color w:val="000000"/>
                <w:lang w:val="en-GB"/>
              </w:rPr>
              <w:t>Average e</w:t>
            </w:r>
            <w:r w:rsidR="00784426" w:rsidRPr="00957693">
              <w:rPr>
                <w:rFonts w:ascii="Arial" w:hAnsi="Arial" w:cs="Arial"/>
                <w:color w:val="000000"/>
                <w:lang w:val="en-GB"/>
              </w:rPr>
              <w:t>xchange rate in year</w:t>
            </w:r>
            <w:r w:rsidRPr="00957693">
              <w:rPr>
                <w:rFonts w:ascii="Arial" w:hAnsi="Arial" w:cs="Arial"/>
                <w:color w:val="000000"/>
                <w:lang w:val="en-GB"/>
              </w:rPr>
              <w:t xml:space="preserve"> (</w:t>
            </w:r>
            <w:r w:rsidR="00433815">
              <w:rPr>
                <w:rFonts w:ascii="Arial" w:hAnsi="Arial" w:cs="Arial"/>
                <w:color w:val="000000"/>
                <w:lang w:val="en-GB"/>
              </w:rPr>
              <w:t xml:space="preserve">VND </w:t>
            </w:r>
            <w:r w:rsidRPr="00957693">
              <w:rPr>
                <w:rFonts w:ascii="Arial" w:hAnsi="Arial" w:cs="Arial"/>
                <w:color w:val="000000"/>
                <w:lang w:val="en-GB"/>
              </w:rPr>
              <w:t>per US</w:t>
            </w:r>
            <w:r w:rsidR="003A2CDA" w:rsidRPr="00957693">
              <w:rPr>
                <w:rFonts w:ascii="Arial" w:hAnsi="Arial" w:cs="Arial"/>
                <w:color w:val="000000"/>
                <w:lang w:val="en-GB"/>
              </w:rPr>
              <w:t>$</w:t>
            </w:r>
            <w:r w:rsidRPr="00957693">
              <w:rPr>
                <w:rFonts w:ascii="Arial" w:hAnsi="Arial" w:cs="Arial"/>
                <w:color w:val="000000"/>
                <w:lang w:val="en-GB"/>
              </w:rPr>
              <w:t>)</w:t>
            </w:r>
          </w:p>
        </w:tc>
        <w:tc>
          <w:tcPr>
            <w:tcW w:w="1356" w:type="dxa"/>
            <w:noWrap/>
            <w:vAlign w:val="center"/>
          </w:tcPr>
          <w:p w14:paraId="3E59707E" w14:textId="77777777" w:rsidR="00784426" w:rsidRPr="00957693" w:rsidRDefault="00784426" w:rsidP="001577A1">
            <w:pPr>
              <w:jc w:val="right"/>
              <w:rPr>
                <w:rFonts w:ascii="Arial" w:hAnsi="Arial" w:cs="Arial"/>
                <w:color w:val="000000"/>
                <w:lang w:val="en-GB"/>
              </w:rPr>
            </w:pPr>
            <w:r w:rsidRPr="00957693">
              <w:rPr>
                <w:rFonts w:ascii="Arial" w:hAnsi="Arial" w:cs="Arial"/>
                <w:lang w:val="en-GB"/>
              </w:rPr>
              <w:t xml:space="preserve"> 20,966 </w:t>
            </w:r>
          </w:p>
        </w:tc>
        <w:tc>
          <w:tcPr>
            <w:tcW w:w="1356" w:type="dxa"/>
            <w:noWrap/>
            <w:vAlign w:val="center"/>
          </w:tcPr>
          <w:p w14:paraId="083D76C8" w14:textId="77777777" w:rsidR="00784426" w:rsidRPr="00957693" w:rsidRDefault="00784426" w:rsidP="001577A1">
            <w:pPr>
              <w:jc w:val="right"/>
              <w:rPr>
                <w:rFonts w:ascii="Arial" w:hAnsi="Arial" w:cs="Arial"/>
                <w:color w:val="000000"/>
                <w:lang w:val="en-GB"/>
              </w:rPr>
            </w:pPr>
            <w:r w:rsidRPr="00957693">
              <w:rPr>
                <w:rFonts w:ascii="Arial" w:hAnsi="Arial" w:cs="Arial"/>
                <w:lang w:val="en-GB"/>
              </w:rPr>
              <w:t xml:space="preserve"> 21,063 </w:t>
            </w:r>
          </w:p>
        </w:tc>
        <w:tc>
          <w:tcPr>
            <w:tcW w:w="1487" w:type="dxa"/>
            <w:noWrap/>
            <w:vAlign w:val="center"/>
          </w:tcPr>
          <w:p w14:paraId="39028470" w14:textId="77777777" w:rsidR="00784426" w:rsidRPr="00957693" w:rsidRDefault="00784426" w:rsidP="001577A1">
            <w:pPr>
              <w:jc w:val="right"/>
              <w:rPr>
                <w:rFonts w:ascii="Arial" w:hAnsi="Arial" w:cs="Arial"/>
                <w:color w:val="000000"/>
                <w:lang w:val="en-GB"/>
              </w:rPr>
            </w:pPr>
            <w:r w:rsidRPr="00957693">
              <w:rPr>
                <w:rFonts w:ascii="Arial" w:hAnsi="Arial" w:cs="Arial"/>
                <w:lang w:val="en-GB"/>
              </w:rPr>
              <w:t xml:space="preserve"> 21,241 </w:t>
            </w:r>
          </w:p>
        </w:tc>
        <w:tc>
          <w:tcPr>
            <w:tcW w:w="1465" w:type="dxa"/>
            <w:vAlign w:val="center"/>
          </w:tcPr>
          <w:p w14:paraId="309F95DA" w14:textId="77777777" w:rsidR="00784426" w:rsidRPr="00957693" w:rsidRDefault="00784426" w:rsidP="001577A1">
            <w:pPr>
              <w:jc w:val="right"/>
              <w:rPr>
                <w:rFonts w:ascii="Arial" w:hAnsi="Arial" w:cs="Arial"/>
                <w:lang w:val="en-GB"/>
              </w:rPr>
            </w:pPr>
            <w:r w:rsidRPr="00957693">
              <w:rPr>
                <w:rFonts w:ascii="Arial" w:hAnsi="Arial" w:cs="Arial"/>
                <w:lang w:val="en-GB"/>
              </w:rPr>
              <w:t xml:space="preserve"> 21,991 </w:t>
            </w:r>
          </w:p>
        </w:tc>
      </w:tr>
      <w:tr w:rsidR="00784426" w:rsidRPr="00957693" w14:paraId="556E1B2C" w14:textId="77777777" w:rsidTr="005113F3">
        <w:trPr>
          <w:trHeight w:val="350"/>
          <w:jc w:val="center"/>
        </w:trPr>
        <w:tc>
          <w:tcPr>
            <w:tcW w:w="3459" w:type="dxa"/>
            <w:noWrap/>
            <w:vAlign w:val="center"/>
            <w:hideMark/>
          </w:tcPr>
          <w:p w14:paraId="6682AEDA" w14:textId="77777777" w:rsidR="00784426" w:rsidRPr="00957693" w:rsidRDefault="005113F3" w:rsidP="001577A1">
            <w:pPr>
              <w:rPr>
                <w:rFonts w:ascii="Arial" w:hAnsi="Arial" w:cs="Arial"/>
                <w:color w:val="000000"/>
                <w:lang w:val="en-GB"/>
              </w:rPr>
            </w:pPr>
            <w:r w:rsidRPr="00957693">
              <w:rPr>
                <w:rFonts w:ascii="Arial" w:hAnsi="Arial" w:cs="Arial"/>
                <w:color w:val="000000"/>
                <w:lang w:val="en-GB"/>
              </w:rPr>
              <w:t>Total net revenue</w:t>
            </w:r>
          </w:p>
        </w:tc>
        <w:tc>
          <w:tcPr>
            <w:tcW w:w="1356" w:type="dxa"/>
            <w:noWrap/>
            <w:vAlign w:val="center"/>
          </w:tcPr>
          <w:p w14:paraId="3E7AD26A"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7,331,001 </w:t>
            </w:r>
          </w:p>
        </w:tc>
        <w:tc>
          <w:tcPr>
            <w:tcW w:w="1356" w:type="dxa"/>
            <w:noWrap/>
            <w:vAlign w:val="center"/>
          </w:tcPr>
          <w:p w14:paraId="08E6F198"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9,498,849 </w:t>
            </w:r>
          </w:p>
        </w:tc>
        <w:tc>
          <w:tcPr>
            <w:tcW w:w="1487" w:type="dxa"/>
            <w:noWrap/>
            <w:vAlign w:val="center"/>
          </w:tcPr>
          <w:p w14:paraId="1ECF19D4"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15,756,725 </w:t>
            </w:r>
          </w:p>
        </w:tc>
        <w:tc>
          <w:tcPr>
            <w:tcW w:w="1465" w:type="dxa"/>
            <w:vAlign w:val="center"/>
          </w:tcPr>
          <w:p w14:paraId="0A1EAA0B" w14:textId="77777777" w:rsidR="00784426" w:rsidRPr="00957693" w:rsidRDefault="00784426" w:rsidP="001577A1">
            <w:pPr>
              <w:jc w:val="right"/>
              <w:rPr>
                <w:rFonts w:ascii="Arial" w:hAnsi="Arial" w:cs="Arial"/>
                <w:bCs/>
                <w:lang w:val="en-GB"/>
              </w:rPr>
            </w:pPr>
            <w:r w:rsidRPr="00957693">
              <w:rPr>
                <w:rFonts w:ascii="Arial" w:hAnsi="Arial" w:cs="Arial"/>
                <w:bCs/>
                <w:lang w:val="en-GB"/>
              </w:rPr>
              <w:t xml:space="preserve"> 25,252,733 </w:t>
            </w:r>
          </w:p>
        </w:tc>
      </w:tr>
      <w:tr w:rsidR="00784426" w:rsidRPr="00957693" w14:paraId="42BC56A6" w14:textId="77777777" w:rsidTr="005113F3">
        <w:trPr>
          <w:trHeight w:val="359"/>
          <w:jc w:val="center"/>
        </w:trPr>
        <w:tc>
          <w:tcPr>
            <w:tcW w:w="3459" w:type="dxa"/>
            <w:noWrap/>
            <w:vAlign w:val="center"/>
            <w:hideMark/>
          </w:tcPr>
          <w:p w14:paraId="7C154325"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Growth rate</w:t>
            </w:r>
            <w:r w:rsidR="00BD61D6" w:rsidRPr="00957693">
              <w:rPr>
                <w:rFonts w:ascii="Arial" w:hAnsi="Arial" w:cs="Arial"/>
                <w:color w:val="000000"/>
                <w:lang w:val="en-GB"/>
              </w:rPr>
              <w:t xml:space="preserve"> (%)</w:t>
            </w:r>
          </w:p>
        </w:tc>
        <w:tc>
          <w:tcPr>
            <w:tcW w:w="1356" w:type="dxa"/>
            <w:noWrap/>
            <w:vAlign w:val="center"/>
          </w:tcPr>
          <w:p w14:paraId="56BDCC50"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36.1</w:t>
            </w:r>
          </w:p>
        </w:tc>
        <w:tc>
          <w:tcPr>
            <w:tcW w:w="1356" w:type="dxa"/>
            <w:noWrap/>
            <w:vAlign w:val="center"/>
          </w:tcPr>
          <w:p w14:paraId="4A540C3A"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29.6</w:t>
            </w:r>
          </w:p>
        </w:tc>
        <w:tc>
          <w:tcPr>
            <w:tcW w:w="1487" w:type="dxa"/>
            <w:noWrap/>
            <w:vAlign w:val="center"/>
          </w:tcPr>
          <w:p w14:paraId="1565EDE1"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65.9</w:t>
            </w:r>
          </w:p>
        </w:tc>
        <w:tc>
          <w:tcPr>
            <w:tcW w:w="1465" w:type="dxa"/>
            <w:vAlign w:val="center"/>
          </w:tcPr>
          <w:p w14:paraId="02639E4B"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60.3</w:t>
            </w:r>
          </w:p>
        </w:tc>
      </w:tr>
      <w:tr w:rsidR="00784426" w:rsidRPr="00957693" w14:paraId="289B3650" w14:textId="77777777" w:rsidTr="005113F3">
        <w:trPr>
          <w:trHeight w:val="350"/>
          <w:jc w:val="center"/>
        </w:trPr>
        <w:tc>
          <w:tcPr>
            <w:tcW w:w="3459" w:type="dxa"/>
            <w:noWrap/>
            <w:vAlign w:val="center"/>
            <w:hideMark/>
          </w:tcPr>
          <w:p w14:paraId="4E54E903"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Revenue from sale of goods</w:t>
            </w:r>
          </w:p>
        </w:tc>
        <w:tc>
          <w:tcPr>
            <w:tcW w:w="1356" w:type="dxa"/>
            <w:noWrap/>
            <w:vAlign w:val="center"/>
          </w:tcPr>
          <w:p w14:paraId="2A7BE63E"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7,289,064 </w:t>
            </w:r>
          </w:p>
        </w:tc>
        <w:tc>
          <w:tcPr>
            <w:tcW w:w="1356" w:type="dxa"/>
            <w:noWrap/>
            <w:vAlign w:val="center"/>
          </w:tcPr>
          <w:p w14:paraId="6E3C9D4E"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9,784,136 </w:t>
            </w:r>
          </w:p>
        </w:tc>
        <w:tc>
          <w:tcPr>
            <w:tcW w:w="1487" w:type="dxa"/>
            <w:noWrap/>
            <w:vAlign w:val="center"/>
          </w:tcPr>
          <w:p w14:paraId="266BAFCD"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15,679,168 </w:t>
            </w:r>
          </w:p>
        </w:tc>
        <w:tc>
          <w:tcPr>
            <w:tcW w:w="1465" w:type="dxa"/>
            <w:vAlign w:val="center"/>
          </w:tcPr>
          <w:p w14:paraId="0C4405B2" w14:textId="77777777" w:rsidR="00784426" w:rsidRPr="00957693" w:rsidRDefault="00784426" w:rsidP="001577A1">
            <w:pPr>
              <w:jc w:val="right"/>
              <w:rPr>
                <w:rFonts w:ascii="Arial" w:hAnsi="Arial" w:cs="Arial"/>
                <w:bCs/>
                <w:lang w:val="en-GB"/>
              </w:rPr>
            </w:pPr>
            <w:r w:rsidRPr="00957693">
              <w:rPr>
                <w:rFonts w:ascii="Arial" w:hAnsi="Arial" w:cs="Arial"/>
                <w:bCs/>
                <w:lang w:val="en-GB"/>
              </w:rPr>
              <w:t xml:space="preserve"> 25,251,007 </w:t>
            </w:r>
          </w:p>
        </w:tc>
      </w:tr>
      <w:tr w:rsidR="00784426" w:rsidRPr="00957693" w14:paraId="1F33DF6C" w14:textId="77777777" w:rsidTr="005113F3">
        <w:trPr>
          <w:trHeight w:val="350"/>
          <w:jc w:val="center"/>
        </w:trPr>
        <w:tc>
          <w:tcPr>
            <w:tcW w:w="3459" w:type="dxa"/>
            <w:noWrap/>
            <w:vAlign w:val="center"/>
            <w:hideMark/>
          </w:tcPr>
          <w:p w14:paraId="657F5AD3"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Growth rate</w:t>
            </w:r>
            <w:r w:rsidR="00BD61D6" w:rsidRPr="00957693">
              <w:rPr>
                <w:rFonts w:ascii="Arial" w:hAnsi="Arial" w:cs="Arial"/>
                <w:color w:val="000000"/>
                <w:lang w:val="en-GB"/>
              </w:rPr>
              <w:t xml:space="preserve"> (%)</w:t>
            </w:r>
          </w:p>
        </w:tc>
        <w:tc>
          <w:tcPr>
            <w:tcW w:w="1356" w:type="dxa"/>
            <w:noWrap/>
            <w:vAlign w:val="center"/>
          </w:tcPr>
          <w:p w14:paraId="61CC4098"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24.3</w:t>
            </w:r>
          </w:p>
        </w:tc>
        <w:tc>
          <w:tcPr>
            <w:tcW w:w="1356" w:type="dxa"/>
            <w:noWrap/>
            <w:vAlign w:val="center"/>
          </w:tcPr>
          <w:p w14:paraId="73D6EF4B"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34.2</w:t>
            </w:r>
          </w:p>
        </w:tc>
        <w:tc>
          <w:tcPr>
            <w:tcW w:w="1487" w:type="dxa"/>
            <w:noWrap/>
            <w:vAlign w:val="center"/>
          </w:tcPr>
          <w:p w14:paraId="17A6F58D"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60.3</w:t>
            </w:r>
          </w:p>
        </w:tc>
        <w:tc>
          <w:tcPr>
            <w:tcW w:w="1465" w:type="dxa"/>
            <w:vAlign w:val="center"/>
          </w:tcPr>
          <w:p w14:paraId="7B26EBE0"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61.0</w:t>
            </w:r>
          </w:p>
        </w:tc>
      </w:tr>
      <w:tr w:rsidR="00784426" w:rsidRPr="00957693" w14:paraId="3DC4D308" w14:textId="77777777" w:rsidTr="005113F3">
        <w:trPr>
          <w:trHeight w:val="350"/>
          <w:jc w:val="center"/>
        </w:trPr>
        <w:tc>
          <w:tcPr>
            <w:tcW w:w="3459" w:type="dxa"/>
            <w:noWrap/>
            <w:vAlign w:val="center"/>
            <w:hideMark/>
          </w:tcPr>
          <w:p w14:paraId="240EED34"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Online revenue</w:t>
            </w:r>
          </w:p>
        </w:tc>
        <w:tc>
          <w:tcPr>
            <w:tcW w:w="1356" w:type="dxa"/>
            <w:noWrap/>
            <w:vAlign w:val="center"/>
          </w:tcPr>
          <w:p w14:paraId="6BAEBBDB" w14:textId="77777777" w:rsidR="00784426" w:rsidRPr="00957693" w:rsidRDefault="00784426" w:rsidP="001577A1">
            <w:pPr>
              <w:jc w:val="right"/>
              <w:rPr>
                <w:rFonts w:ascii="Arial" w:hAnsi="Arial" w:cs="Arial"/>
                <w:color w:val="000000"/>
                <w:lang w:val="en-GB"/>
              </w:rPr>
            </w:pPr>
            <w:r w:rsidRPr="00957693">
              <w:rPr>
                <w:rFonts w:ascii="Arial" w:hAnsi="Arial" w:cs="Arial"/>
                <w:lang w:val="en-GB"/>
              </w:rPr>
              <w:t xml:space="preserve"> 357,203 </w:t>
            </w:r>
          </w:p>
        </w:tc>
        <w:tc>
          <w:tcPr>
            <w:tcW w:w="1356" w:type="dxa"/>
            <w:noWrap/>
            <w:vAlign w:val="center"/>
          </w:tcPr>
          <w:p w14:paraId="2969A3D7" w14:textId="77777777" w:rsidR="00784426" w:rsidRPr="00957693" w:rsidRDefault="00784426" w:rsidP="001577A1">
            <w:pPr>
              <w:jc w:val="right"/>
              <w:rPr>
                <w:rFonts w:ascii="Arial" w:hAnsi="Arial" w:cs="Arial"/>
                <w:color w:val="000000"/>
                <w:lang w:val="en-GB"/>
              </w:rPr>
            </w:pPr>
            <w:r w:rsidRPr="00957693">
              <w:rPr>
                <w:rFonts w:ascii="Arial" w:hAnsi="Arial" w:cs="Arial"/>
                <w:lang w:val="en-GB"/>
              </w:rPr>
              <w:t xml:space="preserve"> 448,980 </w:t>
            </w:r>
          </w:p>
        </w:tc>
        <w:tc>
          <w:tcPr>
            <w:tcW w:w="1487" w:type="dxa"/>
            <w:noWrap/>
            <w:vAlign w:val="center"/>
          </w:tcPr>
          <w:p w14:paraId="54BF3C81" w14:textId="77777777" w:rsidR="00784426" w:rsidRPr="00957693" w:rsidRDefault="00784426" w:rsidP="001577A1">
            <w:pPr>
              <w:jc w:val="right"/>
              <w:rPr>
                <w:rFonts w:ascii="Arial" w:hAnsi="Arial" w:cs="Arial"/>
                <w:color w:val="000000"/>
                <w:lang w:val="en-GB"/>
              </w:rPr>
            </w:pPr>
            <w:r w:rsidRPr="00957693">
              <w:rPr>
                <w:rFonts w:ascii="Arial" w:hAnsi="Arial" w:cs="Arial"/>
                <w:lang w:val="en-GB"/>
              </w:rPr>
              <w:t xml:space="preserve"> 895,591 </w:t>
            </w:r>
          </w:p>
        </w:tc>
        <w:tc>
          <w:tcPr>
            <w:tcW w:w="1465" w:type="dxa"/>
            <w:vAlign w:val="center"/>
          </w:tcPr>
          <w:p w14:paraId="4781130E" w14:textId="77777777" w:rsidR="00784426" w:rsidRPr="00957693" w:rsidRDefault="00784426" w:rsidP="001577A1">
            <w:pPr>
              <w:jc w:val="right"/>
              <w:rPr>
                <w:rFonts w:ascii="Arial" w:hAnsi="Arial" w:cs="Arial"/>
                <w:lang w:val="en-GB"/>
              </w:rPr>
            </w:pPr>
            <w:r w:rsidRPr="00957693">
              <w:rPr>
                <w:rFonts w:ascii="Arial" w:hAnsi="Arial" w:cs="Arial"/>
                <w:lang w:val="en-GB"/>
              </w:rPr>
              <w:t xml:space="preserve"> 1,650,452 </w:t>
            </w:r>
          </w:p>
        </w:tc>
      </w:tr>
      <w:tr w:rsidR="00784426" w:rsidRPr="00957693" w14:paraId="7DC8D22D" w14:textId="77777777" w:rsidTr="005113F3">
        <w:trPr>
          <w:trHeight w:val="350"/>
          <w:jc w:val="center"/>
        </w:trPr>
        <w:tc>
          <w:tcPr>
            <w:tcW w:w="3459" w:type="dxa"/>
            <w:noWrap/>
            <w:vAlign w:val="center"/>
            <w:hideMark/>
          </w:tcPr>
          <w:p w14:paraId="42E0B6AB"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Growth rate</w:t>
            </w:r>
            <w:r w:rsidR="00BD61D6" w:rsidRPr="00957693">
              <w:rPr>
                <w:rFonts w:ascii="Arial" w:hAnsi="Arial" w:cs="Arial"/>
                <w:color w:val="000000"/>
                <w:lang w:val="en-GB"/>
              </w:rPr>
              <w:t xml:space="preserve"> (%)</w:t>
            </w:r>
          </w:p>
        </w:tc>
        <w:tc>
          <w:tcPr>
            <w:tcW w:w="1356" w:type="dxa"/>
            <w:noWrap/>
            <w:vAlign w:val="center"/>
          </w:tcPr>
          <w:p w14:paraId="41CC9304"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15.1</w:t>
            </w:r>
          </w:p>
        </w:tc>
        <w:tc>
          <w:tcPr>
            <w:tcW w:w="1356" w:type="dxa"/>
            <w:noWrap/>
            <w:vAlign w:val="center"/>
          </w:tcPr>
          <w:p w14:paraId="6030D293" w14:textId="77777777" w:rsidR="00784426" w:rsidRPr="00957693" w:rsidRDefault="00784426" w:rsidP="001577A1">
            <w:pPr>
              <w:jc w:val="right"/>
              <w:rPr>
                <w:rFonts w:ascii="Arial" w:hAnsi="Arial" w:cs="Arial"/>
                <w:lang w:val="en-GB"/>
              </w:rPr>
            </w:pPr>
            <w:r w:rsidRPr="00957693">
              <w:rPr>
                <w:rFonts w:ascii="Arial" w:hAnsi="Arial" w:cs="Arial"/>
                <w:lang w:val="en-GB"/>
              </w:rPr>
              <w:t>25.7</w:t>
            </w:r>
          </w:p>
        </w:tc>
        <w:tc>
          <w:tcPr>
            <w:tcW w:w="1487" w:type="dxa"/>
            <w:noWrap/>
            <w:vAlign w:val="center"/>
          </w:tcPr>
          <w:p w14:paraId="4C0B2E3D" w14:textId="77777777" w:rsidR="00784426" w:rsidRPr="00957693" w:rsidRDefault="00784426" w:rsidP="001577A1">
            <w:pPr>
              <w:jc w:val="right"/>
              <w:rPr>
                <w:rFonts w:ascii="Arial" w:hAnsi="Arial" w:cs="Arial"/>
                <w:lang w:val="en-GB"/>
              </w:rPr>
            </w:pPr>
            <w:r w:rsidRPr="00957693">
              <w:rPr>
                <w:rFonts w:ascii="Arial" w:hAnsi="Arial" w:cs="Arial"/>
                <w:lang w:val="en-GB"/>
              </w:rPr>
              <w:t>99.5</w:t>
            </w:r>
          </w:p>
        </w:tc>
        <w:tc>
          <w:tcPr>
            <w:tcW w:w="1465" w:type="dxa"/>
            <w:vAlign w:val="center"/>
          </w:tcPr>
          <w:p w14:paraId="63F9B605" w14:textId="77777777" w:rsidR="00784426" w:rsidRPr="00957693" w:rsidRDefault="00784426" w:rsidP="001577A1">
            <w:pPr>
              <w:jc w:val="right"/>
              <w:rPr>
                <w:rFonts w:ascii="Arial" w:hAnsi="Arial" w:cs="Arial"/>
                <w:lang w:val="en-GB"/>
              </w:rPr>
            </w:pPr>
            <w:r w:rsidRPr="00957693">
              <w:rPr>
                <w:rFonts w:ascii="Arial" w:hAnsi="Arial" w:cs="Arial"/>
                <w:lang w:val="en-GB"/>
              </w:rPr>
              <w:t>84.3</w:t>
            </w:r>
          </w:p>
        </w:tc>
      </w:tr>
      <w:tr w:rsidR="00784426" w:rsidRPr="00957693" w14:paraId="069F2E55" w14:textId="77777777" w:rsidTr="005113F3">
        <w:trPr>
          <w:trHeight w:val="350"/>
          <w:jc w:val="center"/>
        </w:trPr>
        <w:tc>
          <w:tcPr>
            <w:tcW w:w="3459" w:type="dxa"/>
            <w:noWrap/>
            <w:vAlign w:val="center"/>
            <w:hideMark/>
          </w:tcPr>
          <w:p w14:paraId="1C340BED"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Service revenue</w:t>
            </w:r>
          </w:p>
        </w:tc>
        <w:tc>
          <w:tcPr>
            <w:tcW w:w="1356" w:type="dxa"/>
            <w:noWrap/>
            <w:vAlign w:val="center"/>
          </w:tcPr>
          <w:p w14:paraId="13BA3514"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41,937 </w:t>
            </w:r>
          </w:p>
        </w:tc>
        <w:tc>
          <w:tcPr>
            <w:tcW w:w="1356" w:type="dxa"/>
            <w:noWrap/>
            <w:vAlign w:val="center"/>
          </w:tcPr>
          <w:p w14:paraId="6992F9A9"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39,386 </w:t>
            </w:r>
          </w:p>
        </w:tc>
        <w:tc>
          <w:tcPr>
            <w:tcW w:w="1487" w:type="dxa"/>
            <w:noWrap/>
            <w:vAlign w:val="center"/>
          </w:tcPr>
          <w:p w14:paraId="4680A77A"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77,558 </w:t>
            </w:r>
          </w:p>
        </w:tc>
        <w:tc>
          <w:tcPr>
            <w:tcW w:w="1465" w:type="dxa"/>
            <w:vAlign w:val="center"/>
          </w:tcPr>
          <w:p w14:paraId="50A5E06A" w14:textId="77777777" w:rsidR="00784426" w:rsidRPr="00957693" w:rsidRDefault="00784426" w:rsidP="001577A1">
            <w:pPr>
              <w:jc w:val="right"/>
              <w:rPr>
                <w:rFonts w:ascii="Arial" w:hAnsi="Arial" w:cs="Arial"/>
                <w:bCs/>
                <w:lang w:val="en-GB"/>
              </w:rPr>
            </w:pPr>
            <w:r w:rsidRPr="00957693">
              <w:rPr>
                <w:rFonts w:ascii="Arial" w:hAnsi="Arial" w:cs="Arial"/>
                <w:bCs/>
                <w:lang w:val="en-GB"/>
              </w:rPr>
              <w:t>330,370</w:t>
            </w:r>
          </w:p>
        </w:tc>
      </w:tr>
      <w:tr w:rsidR="00784426" w:rsidRPr="00957693" w14:paraId="22164202" w14:textId="77777777" w:rsidTr="005113F3">
        <w:trPr>
          <w:trHeight w:val="350"/>
          <w:jc w:val="center"/>
        </w:trPr>
        <w:tc>
          <w:tcPr>
            <w:tcW w:w="3459" w:type="dxa"/>
            <w:noWrap/>
            <w:vAlign w:val="center"/>
            <w:hideMark/>
          </w:tcPr>
          <w:p w14:paraId="23C134F8"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Growth rate</w:t>
            </w:r>
            <w:r w:rsidR="00BD61D6" w:rsidRPr="00957693">
              <w:rPr>
                <w:rFonts w:ascii="Arial" w:hAnsi="Arial" w:cs="Arial"/>
                <w:color w:val="000000"/>
                <w:lang w:val="en-GB"/>
              </w:rPr>
              <w:t xml:space="preserve"> (%)</w:t>
            </w:r>
          </w:p>
        </w:tc>
        <w:tc>
          <w:tcPr>
            <w:tcW w:w="1356" w:type="dxa"/>
            <w:noWrap/>
            <w:vAlign w:val="center"/>
          </w:tcPr>
          <w:p w14:paraId="4619C983"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20.6</w:t>
            </w:r>
          </w:p>
        </w:tc>
        <w:tc>
          <w:tcPr>
            <w:tcW w:w="1356" w:type="dxa"/>
            <w:noWrap/>
            <w:vAlign w:val="center"/>
          </w:tcPr>
          <w:p w14:paraId="66548200" w14:textId="3BB62801" w:rsidR="00784426" w:rsidRPr="00957693" w:rsidRDefault="00AD7D17" w:rsidP="001577A1">
            <w:pPr>
              <w:jc w:val="right"/>
              <w:rPr>
                <w:rFonts w:ascii="Arial" w:hAnsi="Arial" w:cs="Arial"/>
                <w:lang w:val="en-GB"/>
              </w:rPr>
            </w:pPr>
            <w:r w:rsidRPr="00957693">
              <w:rPr>
                <w:rFonts w:ascii="Arial" w:hAnsi="Arial" w:cs="Arial"/>
                <w:lang w:val="en-GB"/>
              </w:rPr>
              <w:t>–</w:t>
            </w:r>
            <w:r w:rsidR="00784426" w:rsidRPr="00957693">
              <w:rPr>
                <w:rFonts w:ascii="Arial" w:hAnsi="Arial" w:cs="Arial"/>
                <w:lang w:val="en-GB"/>
              </w:rPr>
              <w:t>6.1</w:t>
            </w:r>
          </w:p>
        </w:tc>
        <w:tc>
          <w:tcPr>
            <w:tcW w:w="1487" w:type="dxa"/>
            <w:noWrap/>
            <w:vAlign w:val="center"/>
          </w:tcPr>
          <w:p w14:paraId="530C2AEB" w14:textId="77777777" w:rsidR="00784426" w:rsidRPr="00957693" w:rsidRDefault="00784426" w:rsidP="001577A1">
            <w:pPr>
              <w:jc w:val="right"/>
              <w:rPr>
                <w:rFonts w:ascii="Arial" w:hAnsi="Arial" w:cs="Arial"/>
                <w:color w:val="000000"/>
                <w:lang w:val="en-GB"/>
              </w:rPr>
            </w:pPr>
            <w:r w:rsidRPr="00957693">
              <w:rPr>
                <w:rFonts w:ascii="Arial" w:hAnsi="Arial" w:cs="Arial"/>
                <w:color w:val="000000"/>
                <w:lang w:val="en-GB"/>
              </w:rPr>
              <w:t>96.9</w:t>
            </w:r>
          </w:p>
        </w:tc>
        <w:tc>
          <w:tcPr>
            <w:tcW w:w="1465" w:type="dxa"/>
            <w:vAlign w:val="center"/>
          </w:tcPr>
          <w:p w14:paraId="14D748F3" w14:textId="77777777" w:rsidR="00784426" w:rsidRPr="00957693" w:rsidRDefault="00784426" w:rsidP="001577A1">
            <w:pPr>
              <w:jc w:val="right"/>
              <w:rPr>
                <w:rFonts w:ascii="Arial" w:hAnsi="Arial" w:cs="Arial"/>
                <w:lang w:val="en-GB"/>
              </w:rPr>
            </w:pPr>
            <w:r w:rsidRPr="00957693">
              <w:rPr>
                <w:rFonts w:ascii="Arial" w:hAnsi="Arial" w:cs="Arial"/>
                <w:lang w:val="en-GB"/>
              </w:rPr>
              <w:t>417</w:t>
            </w:r>
            <w:r w:rsidR="00E87900" w:rsidRPr="00957693">
              <w:rPr>
                <w:rFonts w:ascii="Arial" w:hAnsi="Arial" w:cs="Arial"/>
                <w:lang w:val="en-GB"/>
              </w:rPr>
              <w:t>.0</w:t>
            </w:r>
          </w:p>
        </w:tc>
      </w:tr>
      <w:tr w:rsidR="00784426" w:rsidRPr="00957693" w14:paraId="17E42060" w14:textId="77777777" w:rsidTr="005113F3">
        <w:trPr>
          <w:trHeight w:val="350"/>
          <w:jc w:val="center"/>
        </w:trPr>
        <w:tc>
          <w:tcPr>
            <w:tcW w:w="3459" w:type="dxa"/>
            <w:noWrap/>
            <w:vAlign w:val="center"/>
            <w:hideMark/>
          </w:tcPr>
          <w:p w14:paraId="4AEF1540" w14:textId="77777777" w:rsidR="00784426" w:rsidRPr="00957693" w:rsidRDefault="005113F3" w:rsidP="001577A1">
            <w:pPr>
              <w:rPr>
                <w:rFonts w:ascii="Arial" w:hAnsi="Arial" w:cs="Arial"/>
                <w:color w:val="000000"/>
                <w:lang w:val="en-GB"/>
              </w:rPr>
            </w:pPr>
            <w:r w:rsidRPr="00957693">
              <w:rPr>
                <w:rFonts w:ascii="Arial" w:hAnsi="Arial" w:cs="Arial"/>
                <w:color w:val="000000"/>
                <w:lang w:val="en-GB"/>
              </w:rPr>
              <w:t>Cost of goods sold</w:t>
            </w:r>
          </w:p>
        </w:tc>
        <w:tc>
          <w:tcPr>
            <w:tcW w:w="1356" w:type="dxa"/>
            <w:noWrap/>
            <w:vAlign w:val="center"/>
          </w:tcPr>
          <w:p w14:paraId="510F1FE0"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6,057,138 </w:t>
            </w:r>
          </w:p>
        </w:tc>
        <w:tc>
          <w:tcPr>
            <w:tcW w:w="1356" w:type="dxa"/>
            <w:noWrap/>
            <w:vAlign w:val="center"/>
          </w:tcPr>
          <w:p w14:paraId="4C46B63B"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8,091,484 </w:t>
            </w:r>
          </w:p>
        </w:tc>
        <w:tc>
          <w:tcPr>
            <w:tcW w:w="1487" w:type="dxa"/>
            <w:noWrap/>
            <w:vAlign w:val="center"/>
          </w:tcPr>
          <w:p w14:paraId="4FC9D7D0" w14:textId="77777777" w:rsidR="00784426" w:rsidRPr="00957693" w:rsidRDefault="00784426" w:rsidP="001577A1">
            <w:pPr>
              <w:jc w:val="right"/>
              <w:rPr>
                <w:rFonts w:ascii="Arial" w:hAnsi="Arial" w:cs="Arial"/>
                <w:color w:val="000000"/>
                <w:lang w:val="en-GB"/>
              </w:rPr>
            </w:pPr>
            <w:r w:rsidRPr="00957693">
              <w:rPr>
                <w:rFonts w:ascii="Arial" w:hAnsi="Arial" w:cs="Arial"/>
                <w:bCs/>
                <w:lang w:val="en-GB"/>
              </w:rPr>
              <w:t xml:space="preserve"> 13,360,606 </w:t>
            </w:r>
          </w:p>
        </w:tc>
        <w:tc>
          <w:tcPr>
            <w:tcW w:w="1465" w:type="dxa"/>
            <w:vAlign w:val="center"/>
          </w:tcPr>
          <w:p w14:paraId="0D69335D" w14:textId="77777777" w:rsidR="00784426" w:rsidRPr="00957693" w:rsidRDefault="00784426" w:rsidP="001577A1">
            <w:pPr>
              <w:jc w:val="right"/>
              <w:rPr>
                <w:rFonts w:ascii="Arial" w:hAnsi="Arial" w:cs="Arial"/>
                <w:bCs/>
                <w:lang w:val="en-GB"/>
              </w:rPr>
            </w:pPr>
            <w:r w:rsidRPr="00957693">
              <w:rPr>
                <w:rFonts w:ascii="Arial" w:hAnsi="Arial" w:cs="Arial"/>
                <w:bCs/>
                <w:lang w:val="en-GB"/>
              </w:rPr>
              <w:t xml:space="preserve"> 21,322,245 </w:t>
            </w:r>
          </w:p>
        </w:tc>
      </w:tr>
      <w:tr w:rsidR="00784426" w:rsidRPr="00957693" w14:paraId="458D8466" w14:textId="77777777" w:rsidTr="005113F3">
        <w:trPr>
          <w:trHeight w:val="350"/>
          <w:jc w:val="center"/>
        </w:trPr>
        <w:tc>
          <w:tcPr>
            <w:tcW w:w="3459" w:type="dxa"/>
            <w:noWrap/>
            <w:vAlign w:val="center"/>
          </w:tcPr>
          <w:p w14:paraId="25BAAF16"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Growth rate</w:t>
            </w:r>
            <w:r w:rsidR="00BD61D6" w:rsidRPr="00957693">
              <w:rPr>
                <w:rFonts w:ascii="Arial" w:hAnsi="Arial" w:cs="Arial"/>
                <w:color w:val="000000"/>
                <w:lang w:val="en-GB"/>
              </w:rPr>
              <w:t xml:space="preserve"> (%)</w:t>
            </w:r>
          </w:p>
        </w:tc>
        <w:tc>
          <w:tcPr>
            <w:tcW w:w="1356" w:type="dxa"/>
            <w:noWrap/>
            <w:vAlign w:val="center"/>
          </w:tcPr>
          <w:p w14:paraId="05DB98EA" w14:textId="77777777" w:rsidR="00784426" w:rsidRPr="00957693" w:rsidRDefault="00784426" w:rsidP="001577A1">
            <w:pPr>
              <w:jc w:val="right"/>
              <w:rPr>
                <w:rFonts w:ascii="Arial" w:hAnsi="Arial" w:cs="Arial"/>
                <w:bCs/>
                <w:lang w:val="en-GB"/>
              </w:rPr>
            </w:pPr>
            <w:r w:rsidRPr="00957693">
              <w:rPr>
                <w:rFonts w:ascii="Arial" w:hAnsi="Arial" w:cs="Arial"/>
                <w:bCs/>
                <w:lang w:val="en-GB"/>
              </w:rPr>
              <w:t>37.0</w:t>
            </w:r>
          </w:p>
        </w:tc>
        <w:tc>
          <w:tcPr>
            <w:tcW w:w="1356" w:type="dxa"/>
            <w:noWrap/>
            <w:vAlign w:val="center"/>
          </w:tcPr>
          <w:p w14:paraId="54860C25" w14:textId="77777777" w:rsidR="00784426" w:rsidRPr="00957693" w:rsidRDefault="00784426" w:rsidP="001577A1">
            <w:pPr>
              <w:jc w:val="right"/>
              <w:rPr>
                <w:rFonts w:ascii="Arial" w:hAnsi="Arial" w:cs="Arial"/>
                <w:bCs/>
                <w:lang w:val="en-GB"/>
              </w:rPr>
            </w:pPr>
            <w:r w:rsidRPr="00957693">
              <w:rPr>
                <w:rFonts w:ascii="Arial" w:hAnsi="Arial" w:cs="Arial"/>
                <w:bCs/>
                <w:lang w:val="en-GB"/>
              </w:rPr>
              <w:t>33.6</w:t>
            </w:r>
          </w:p>
        </w:tc>
        <w:tc>
          <w:tcPr>
            <w:tcW w:w="1487" w:type="dxa"/>
            <w:noWrap/>
            <w:vAlign w:val="center"/>
          </w:tcPr>
          <w:p w14:paraId="358CB7B1" w14:textId="77777777" w:rsidR="00784426" w:rsidRPr="00957693" w:rsidRDefault="00784426" w:rsidP="001577A1">
            <w:pPr>
              <w:jc w:val="right"/>
              <w:rPr>
                <w:rFonts w:ascii="Arial" w:hAnsi="Arial" w:cs="Arial"/>
                <w:bCs/>
                <w:lang w:val="en-GB"/>
              </w:rPr>
            </w:pPr>
            <w:r w:rsidRPr="00957693">
              <w:rPr>
                <w:rFonts w:ascii="Arial" w:hAnsi="Arial" w:cs="Arial"/>
                <w:bCs/>
                <w:lang w:val="en-GB"/>
              </w:rPr>
              <w:t>65.1</w:t>
            </w:r>
          </w:p>
        </w:tc>
        <w:tc>
          <w:tcPr>
            <w:tcW w:w="1465" w:type="dxa"/>
            <w:vAlign w:val="center"/>
          </w:tcPr>
          <w:p w14:paraId="726FC961" w14:textId="77777777" w:rsidR="00784426" w:rsidRPr="00957693" w:rsidRDefault="00784426" w:rsidP="001577A1">
            <w:pPr>
              <w:jc w:val="right"/>
              <w:rPr>
                <w:rFonts w:ascii="Arial" w:hAnsi="Arial" w:cs="Arial"/>
                <w:bCs/>
                <w:lang w:val="en-GB"/>
              </w:rPr>
            </w:pPr>
            <w:r w:rsidRPr="00957693">
              <w:rPr>
                <w:rFonts w:ascii="Arial" w:hAnsi="Arial" w:cs="Arial"/>
                <w:bCs/>
                <w:lang w:val="en-GB"/>
              </w:rPr>
              <w:t>59.6</w:t>
            </w:r>
          </w:p>
        </w:tc>
      </w:tr>
      <w:tr w:rsidR="00784426" w:rsidRPr="00957693" w14:paraId="62A06F7D" w14:textId="77777777" w:rsidTr="005113F3">
        <w:trPr>
          <w:trHeight w:val="350"/>
          <w:jc w:val="center"/>
        </w:trPr>
        <w:tc>
          <w:tcPr>
            <w:tcW w:w="3459" w:type="dxa"/>
            <w:noWrap/>
            <w:vAlign w:val="center"/>
          </w:tcPr>
          <w:p w14:paraId="611D2820" w14:textId="77777777" w:rsidR="00784426" w:rsidRPr="00957693" w:rsidRDefault="005113F3" w:rsidP="001577A1">
            <w:pPr>
              <w:rPr>
                <w:rFonts w:ascii="Arial" w:hAnsi="Arial" w:cs="Arial"/>
                <w:color w:val="000000"/>
                <w:lang w:val="en-GB"/>
              </w:rPr>
            </w:pPr>
            <w:r w:rsidRPr="00957693">
              <w:rPr>
                <w:rFonts w:ascii="Arial" w:hAnsi="Arial" w:cs="Arial"/>
                <w:color w:val="000000"/>
                <w:lang w:val="en-GB"/>
              </w:rPr>
              <w:t>Gross profit</w:t>
            </w:r>
          </w:p>
        </w:tc>
        <w:tc>
          <w:tcPr>
            <w:tcW w:w="1356" w:type="dxa"/>
            <w:noWrap/>
            <w:vAlign w:val="center"/>
          </w:tcPr>
          <w:p w14:paraId="3699431F" w14:textId="77777777" w:rsidR="00784426" w:rsidRPr="00957693" w:rsidRDefault="00784426" w:rsidP="001577A1">
            <w:pPr>
              <w:jc w:val="right"/>
              <w:rPr>
                <w:rFonts w:ascii="Arial" w:hAnsi="Arial" w:cs="Arial"/>
                <w:bCs/>
                <w:lang w:val="en-GB"/>
              </w:rPr>
            </w:pPr>
            <w:r w:rsidRPr="00957693">
              <w:rPr>
                <w:rFonts w:ascii="Arial" w:hAnsi="Arial" w:cs="Arial"/>
                <w:bCs/>
                <w:lang w:val="en-GB"/>
              </w:rPr>
              <w:t xml:space="preserve"> 1,273,863 </w:t>
            </w:r>
          </w:p>
        </w:tc>
        <w:tc>
          <w:tcPr>
            <w:tcW w:w="1356" w:type="dxa"/>
            <w:noWrap/>
            <w:vAlign w:val="center"/>
          </w:tcPr>
          <w:p w14:paraId="30B0BA87" w14:textId="77777777" w:rsidR="00784426" w:rsidRPr="00957693" w:rsidRDefault="00784426" w:rsidP="001577A1">
            <w:pPr>
              <w:jc w:val="right"/>
              <w:rPr>
                <w:rFonts w:ascii="Arial" w:hAnsi="Arial" w:cs="Arial"/>
                <w:bCs/>
                <w:lang w:val="en-GB"/>
              </w:rPr>
            </w:pPr>
            <w:r w:rsidRPr="00957693">
              <w:rPr>
                <w:rFonts w:ascii="Arial" w:hAnsi="Arial" w:cs="Arial"/>
                <w:bCs/>
                <w:lang w:val="en-GB"/>
              </w:rPr>
              <w:t xml:space="preserve"> 1,407,365 </w:t>
            </w:r>
          </w:p>
        </w:tc>
        <w:tc>
          <w:tcPr>
            <w:tcW w:w="1487" w:type="dxa"/>
            <w:noWrap/>
            <w:vAlign w:val="center"/>
          </w:tcPr>
          <w:p w14:paraId="06F0A4B6" w14:textId="77777777" w:rsidR="00784426" w:rsidRPr="00957693" w:rsidRDefault="00784426" w:rsidP="001577A1">
            <w:pPr>
              <w:jc w:val="right"/>
              <w:rPr>
                <w:rFonts w:ascii="Arial" w:hAnsi="Arial" w:cs="Arial"/>
                <w:bCs/>
                <w:lang w:val="en-GB"/>
              </w:rPr>
            </w:pPr>
            <w:r w:rsidRPr="00957693">
              <w:rPr>
                <w:rFonts w:ascii="Arial" w:hAnsi="Arial" w:cs="Arial"/>
                <w:bCs/>
                <w:lang w:val="en-GB"/>
              </w:rPr>
              <w:t xml:space="preserve"> 2,396,120 </w:t>
            </w:r>
          </w:p>
        </w:tc>
        <w:tc>
          <w:tcPr>
            <w:tcW w:w="1465" w:type="dxa"/>
            <w:vAlign w:val="center"/>
          </w:tcPr>
          <w:p w14:paraId="58EBA186" w14:textId="77777777" w:rsidR="00784426" w:rsidRPr="00957693" w:rsidRDefault="00784426" w:rsidP="001577A1">
            <w:pPr>
              <w:jc w:val="right"/>
              <w:rPr>
                <w:rFonts w:ascii="Arial" w:hAnsi="Arial" w:cs="Arial"/>
                <w:bCs/>
                <w:lang w:val="en-GB"/>
              </w:rPr>
            </w:pPr>
            <w:r w:rsidRPr="00957693">
              <w:rPr>
                <w:rFonts w:ascii="Arial" w:hAnsi="Arial" w:cs="Arial"/>
                <w:bCs/>
                <w:color w:val="000000"/>
                <w:lang w:val="en-GB"/>
              </w:rPr>
              <w:t>3,922,431</w:t>
            </w:r>
          </w:p>
        </w:tc>
      </w:tr>
      <w:tr w:rsidR="00784426" w:rsidRPr="00957693" w14:paraId="783E606B" w14:textId="77777777" w:rsidTr="005113F3">
        <w:trPr>
          <w:trHeight w:val="350"/>
          <w:jc w:val="center"/>
        </w:trPr>
        <w:tc>
          <w:tcPr>
            <w:tcW w:w="3459" w:type="dxa"/>
            <w:noWrap/>
            <w:vAlign w:val="center"/>
          </w:tcPr>
          <w:p w14:paraId="3FE1F822" w14:textId="77777777" w:rsidR="00784426" w:rsidRPr="00957693" w:rsidRDefault="00784426" w:rsidP="001577A1">
            <w:pPr>
              <w:rPr>
                <w:rFonts w:ascii="Arial" w:hAnsi="Arial" w:cs="Arial"/>
                <w:color w:val="000000"/>
                <w:lang w:val="en-GB"/>
              </w:rPr>
            </w:pPr>
            <w:r w:rsidRPr="00957693">
              <w:rPr>
                <w:rFonts w:ascii="Arial" w:hAnsi="Arial" w:cs="Arial"/>
                <w:color w:val="000000"/>
                <w:lang w:val="en-GB"/>
              </w:rPr>
              <w:t>Gross margin</w:t>
            </w:r>
            <w:r w:rsidR="00BD61D6" w:rsidRPr="00957693">
              <w:rPr>
                <w:rFonts w:ascii="Arial" w:hAnsi="Arial" w:cs="Arial"/>
                <w:color w:val="000000"/>
                <w:lang w:val="en-GB"/>
              </w:rPr>
              <w:t xml:space="preserve"> (%)</w:t>
            </w:r>
          </w:p>
        </w:tc>
        <w:tc>
          <w:tcPr>
            <w:tcW w:w="1356" w:type="dxa"/>
            <w:noWrap/>
            <w:vAlign w:val="center"/>
          </w:tcPr>
          <w:p w14:paraId="5AF91581" w14:textId="77777777" w:rsidR="00784426" w:rsidRPr="00957693" w:rsidRDefault="00784426" w:rsidP="001577A1">
            <w:pPr>
              <w:jc w:val="right"/>
              <w:rPr>
                <w:rFonts w:ascii="Arial" w:hAnsi="Arial" w:cs="Arial"/>
                <w:bCs/>
                <w:lang w:val="en-GB"/>
              </w:rPr>
            </w:pPr>
            <w:r w:rsidRPr="00957693">
              <w:rPr>
                <w:rFonts w:ascii="Arial" w:hAnsi="Arial" w:cs="Arial"/>
                <w:iCs/>
                <w:lang w:val="en-GB"/>
              </w:rPr>
              <w:t>17.4</w:t>
            </w:r>
          </w:p>
        </w:tc>
        <w:tc>
          <w:tcPr>
            <w:tcW w:w="1356" w:type="dxa"/>
            <w:noWrap/>
            <w:vAlign w:val="center"/>
          </w:tcPr>
          <w:p w14:paraId="20BAD7F2" w14:textId="77777777" w:rsidR="00784426" w:rsidRPr="00957693" w:rsidRDefault="00784426" w:rsidP="001577A1">
            <w:pPr>
              <w:jc w:val="right"/>
              <w:rPr>
                <w:rFonts w:ascii="Arial" w:hAnsi="Arial" w:cs="Arial"/>
                <w:bCs/>
                <w:lang w:val="en-GB"/>
              </w:rPr>
            </w:pPr>
            <w:r w:rsidRPr="00957693">
              <w:rPr>
                <w:rFonts w:ascii="Arial" w:hAnsi="Arial" w:cs="Arial"/>
                <w:iCs/>
                <w:lang w:val="en-GB"/>
              </w:rPr>
              <w:t>14.8</w:t>
            </w:r>
          </w:p>
        </w:tc>
        <w:tc>
          <w:tcPr>
            <w:tcW w:w="1487" w:type="dxa"/>
            <w:noWrap/>
            <w:vAlign w:val="center"/>
          </w:tcPr>
          <w:p w14:paraId="3AFB2FD6" w14:textId="77777777" w:rsidR="00784426" w:rsidRPr="00957693" w:rsidRDefault="00784426" w:rsidP="001577A1">
            <w:pPr>
              <w:jc w:val="right"/>
              <w:rPr>
                <w:rFonts w:ascii="Arial" w:hAnsi="Arial" w:cs="Arial"/>
                <w:bCs/>
                <w:lang w:val="en-GB"/>
              </w:rPr>
            </w:pPr>
            <w:r w:rsidRPr="00957693">
              <w:rPr>
                <w:rFonts w:ascii="Arial" w:hAnsi="Arial" w:cs="Arial"/>
                <w:iCs/>
                <w:lang w:val="en-GB"/>
              </w:rPr>
              <w:t>15.2</w:t>
            </w:r>
          </w:p>
        </w:tc>
        <w:tc>
          <w:tcPr>
            <w:tcW w:w="1465" w:type="dxa"/>
            <w:vAlign w:val="center"/>
          </w:tcPr>
          <w:p w14:paraId="5167052D" w14:textId="77777777" w:rsidR="00784426" w:rsidRPr="00957693" w:rsidRDefault="00784426" w:rsidP="001577A1">
            <w:pPr>
              <w:jc w:val="right"/>
              <w:rPr>
                <w:rFonts w:ascii="Arial" w:hAnsi="Arial" w:cs="Arial"/>
                <w:bCs/>
                <w:lang w:val="en-GB"/>
              </w:rPr>
            </w:pPr>
            <w:r w:rsidRPr="00957693">
              <w:rPr>
                <w:rFonts w:ascii="Arial" w:hAnsi="Arial" w:cs="Arial"/>
                <w:color w:val="000000"/>
                <w:lang w:val="en-GB"/>
              </w:rPr>
              <w:t>15.5</w:t>
            </w:r>
          </w:p>
        </w:tc>
      </w:tr>
      <w:tr w:rsidR="00784426" w:rsidRPr="00957693" w14:paraId="4B77533B" w14:textId="77777777" w:rsidTr="005113F3">
        <w:trPr>
          <w:trHeight w:val="350"/>
          <w:jc w:val="center"/>
        </w:trPr>
        <w:tc>
          <w:tcPr>
            <w:tcW w:w="3459" w:type="dxa"/>
            <w:noWrap/>
            <w:vAlign w:val="center"/>
          </w:tcPr>
          <w:p w14:paraId="0C05D73E" w14:textId="77777777" w:rsidR="00784426" w:rsidRPr="00957693" w:rsidRDefault="00784426" w:rsidP="001577A1">
            <w:pPr>
              <w:rPr>
                <w:rFonts w:ascii="Arial" w:hAnsi="Arial" w:cs="Arial"/>
                <w:b/>
                <w:color w:val="000000"/>
                <w:lang w:val="en-GB"/>
              </w:rPr>
            </w:pPr>
            <w:r w:rsidRPr="00957693">
              <w:rPr>
                <w:rFonts w:ascii="Arial" w:hAnsi="Arial" w:cs="Arial"/>
                <w:b/>
                <w:color w:val="000000"/>
                <w:lang w:val="en-GB"/>
              </w:rPr>
              <w:t>NET PROFIT AFTER TAX</w:t>
            </w:r>
          </w:p>
        </w:tc>
        <w:tc>
          <w:tcPr>
            <w:tcW w:w="1356" w:type="dxa"/>
            <w:noWrap/>
            <w:vAlign w:val="center"/>
          </w:tcPr>
          <w:p w14:paraId="571F2E6D" w14:textId="77777777" w:rsidR="00784426" w:rsidRPr="00957693" w:rsidRDefault="00784426" w:rsidP="001577A1">
            <w:pPr>
              <w:jc w:val="right"/>
              <w:rPr>
                <w:rFonts w:ascii="Arial" w:hAnsi="Arial" w:cs="Arial"/>
                <w:bCs/>
                <w:lang w:val="en-GB"/>
              </w:rPr>
            </w:pPr>
            <w:r w:rsidRPr="00957693">
              <w:rPr>
                <w:rFonts w:ascii="Arial" w:hAnsi="Arial" w:cs="Arial"/>
                <w:b/>
                <w:bCs/>
                <w:lang w:val="en-GB"/>
              </w:rPr>
              <w:t xml:space="preserve"> 122,076 </w:t>
            </w:r>
          </w:p>
        </w:tc>
        <w:tc>
          <w:tcPr>
            <w:tcW w:w="1356" w:type="dxa"/>
            <w:noWrap/>
            <w:vAlign w:val="center"/>
          </w:tcPr>
          <w:p w14:paraId="624501AF" w14:textId="77777777" w:rsidR="00784426" w:rsidRPr="00957693" w:rsidRDefault="00784426" w:rsidP="001577A1">
            <w:pPr>
              <w:jc w:val="right"/>
              <w:rPr>
                <w:rFonts w:ascii="Arial" w:hAnsi="Arial" w:cs="Arial"/>
                <w:bCs/>
                <w:lang w:val="en-GB"/>
              </w:rPr>
            </w:pPr>
            <w:r w:rsidRPr="00957693">
              <w:rPr>
                <w:rFonts w:ascii="Arial" w:hAnsi="Arial" w:cs="Arial"/>
                <w:b/>
                <w:bCs/>
                <w:lang w:val="en-GB"/>
              </w:rPr>
              <w:t xml:space="preserve"> 255,602 </w:t>
            </w:r>
          </w:p>
        </w:tc>
        <w:tc>
          <w:tcPr>
            <w:tcW w:w="1487" w:type="dxa"/>
            <w:noWrap/>
            <w:vAlign w:val="center"/>
          </w:tcPr>
          <w:p w14:paraId="0C5E7A9B" w14:textId="77777777" w:rsidR="00784426" w:rsidRPr="00957693" w:rsidRDefault="00784426" w:rsidP="001577A1">
            <w:pPr>
              <w:jc w:val="right"/>
              <w:rPr>
                <w:rFonts w:ascii="Arial" w:hAnsi="Arial" w:cs="Arial"/>
                <w:bCs/>
                <w:lang w:val="en-GB"/>
              </w:rPr>
            </w:pPr>
            <w:r w:rsidRPr="00957693">
              <w:rPr>
                <w:rFonts w:ascii="Arial" w:hAnsi="Arial" w:cs="Arial"/>
                <w:b/>
                <w:bCs/>
                <w:lang w:val="en-GB"/>
              </w:rPr>
              <w:t xml:space="preserve"> 668,106 </w:t>
            </w:r>
          </w:p>
        </w:tc>
        <w:tc>
          <w:tcPr>
            <w:tcW w:w="1465" w:type="dxa"/>
            <w:vAlign w:val="center"/>
          </w:tcPr>
          <w:p w14:paraId="1F925298" w14:textId="77777777" w:rsidR="00784426" w:rsidRPr="00957693" w:rsidRDefault="00784426" w:rsidP="001577A1">
            <w:pPr>
              <w:jc w:val="right"/>
              <w:rPr>
                <w:rFonts w:ascii="Arial" w:hAnsi="Arial" w:cs="Arial"/>
                <w:bCs/>
                <w:lang w:val="en-GB"/>
              </w:rPr>
            </w:pPr>
            <w:r w:rsidRPr="00957693">
              <w:rPr>
                <w:rFonts w:ascii="Arial" w:hAnsi="Arial" w:cs="Arial"/>
                <w:b/>
                <w:bCs/>
                <w:color w:val="000000"/>
                <w:lang w:val="en-GB"/>
              </w:rPr>
              <w:t>1,075,771</w:t>
            </w:r>
          </w:p>
        </w:tc>
      </w:tr>
    </w:tbl>
    <w:p w14:paraId="3BC0D93F" w14:textId="77777777" w:rsidR="00784426" w:rsidRPr="00957693" w:rsidRDefault="00784426" w:rsidP="005113F3">
      <w:pPr>
        <w:pStyle w:val="Footnote"/>
        <w:rPr>
          <w:lang w:val="en-GB"/>
        </w:rPr>
      </w:pPr>
    </w:p>
    <w:p w14:paraId="73B76A69" w14:textId="679CEDC8" w:rsidR="00BD61D6" w:rsidRPr="00957693" w:rsidRDefault="00784426" w:rsidP="00BD61D6">
      <w:pPr>
        <w:pStyle w:val="Footnote"/>
        <w:rPr>
          <w:lang w:val="en-GB"/>
        </w:rPr>
      </w:pPr>
      <w:r w:rsidRPr="00957693">
        <w:rPr>
          <w:lang w:val="en-GB"/>
        </w:rPr>
        <w:t xml:space="preserve">Source: </w:t>
      </w:r>
      <w:r w:rsidR="00E11297">
        <w:rPr>
          <w:lang w:val="en-GB"/>
        </w:rPr>
        <w:t>Company</w:t>
      </w:r>
      <w:r w:rsidRPr="00957693">
        <w:rPr>
          <w:lang w:val="en-GB"/>
        </w:rPr>
        <w:t xml:space="preserve"> documents.</w:t>
      </w:r>
    </w:p>
    <w:p w14:paraId="5E7A37C0" w14:textId="77777777" w:rsidR="005113F3" w:rsidRPr="00957693" w:rsidRDefault="00BD61D6" w:rsidP="00BD61D6">
      <w:pPr>
        <w:spacing w:after="200" w:line="276" w:lineRule="auto"/>
        <w:rPr>
          <w:rFonts w:ascii="Arial" w:hAnsi="Arial" w:cs="Arial"/>
          <w:sz w:val="17"/>
          <w:szCs w:val="17"/>
          <w:lang w:val="en-GB"/>
        </w:rPr>
      </w:pPr>
      <w:r w:rsidRPr="00957693">
        <w:rPr>
          <w:lang w:val="en-GB"/>
        </w:rPr>
        <w:br w:type="page"/>
      </w:r>
    </w:p>
    <w:p w14:paraId="11B9B976" w14:textId="12FEDD32" w:rsidR="00784426" w:rsidRPr="00957693" w:rsidRDefault="00784426" w:rsidP="00BF47A8">
      <w:pPr>
        <w:pStyle w:val="ExhibitHeading"/>
        <w:outlineLvl w:val="0"/>
        <w:rPr>
          <w:lang w:val="en-GB"/>
        </w:rPr>
      </w:pPr>
      <w:r w:rsidRPr="00957693">
        <w:rPr>
          <w:lang w:val="en-GB"/>
        </w:rPr>
        <w:lastRenderedPageBreak/>
        <w:t xml:space="preserve">Exhibit 2: Mekong Capital’s Vision Driven Investing </w:t>
      </w:r>
      <w:r w:rsidR="00E87900" w:rsidRPr="00957693">
        <w:rPr>
          <w:lang w:val="en-GB"/>
        </w:rPr>
        <w:t>framework</w:t>
      </w:r>
    </w:p>
    <w:p w14:paraId="1D0CAF3F" w14:textId="77777777" w:rsidR="00784426" w:rsidRPr="00957693" w:rsidRDefault="00784426" w:rsidP="005C430B">
      <w:pPr>
        <w:pStyle w:val="Footnote"/>
        <w:rPr>
          <w:lang w:val="en-GB"/>
        </w:rPr>
      </w:pPr>
    </w:p>
    <w:tbl>
      <w:tblPr>
        <w:tblStyle w:val="TableGrid"/>
        <w:tblW w:w="8185" w:type="dxa"/>
        <w:jc w:val="center"/>
        <w:tblLook w:val="04A0" w:firstRow="1" w:lastRow="0" w:firstColumn="1" w:lastColumn="0" w:noHBand="0" w:noVBand="1"/>
      </w:tblPr>
      <w:tblGrid>
        <w:gridCol w:w="2875"/>
        <w:gridCol w:w="5310"/>
      </w:tblGrid>
      <w:tr w:rsidR="00784426" w:rsidRPr="00957693" w14:paraId="3748E101" w14:textId="77777777" w:rsidTr="00BD61D6">
        <w:trPr>
          <w:trHeight w:val="386"/>
          <w:jc w:val="center"/>
        </w:trPr>
        <w:tc>
          <w:tcPr>
            <w:tcW w:w="2875" w:type="dxa"/>
            <w:vAlign w:val="center"/>
          </w:tcPr>
          <w:p w14:paraId="0AABD364" w14:textId="77777777" w:rsidR="00784426" w:rsidRPr="00957693" w:rsidRDefault="00784426" w:rsidP="00247913">
            <w:pPr>
              <w:pStyle w:val="BodyTextMain"/>
              <w:jc w:val="center"/>
              <w:rPr>
                <w:rFonts w:ascii="Arial" w:hAnsi="Arial" w:cs="Arial"/>
                <w:b/>
                <w:sz w:val="20"/>
                <w:szCs w:val="20"/>
                <w:lang w:val="en-GB"/>
              </w:rPr>
            </w:pPr>
            <w:r w:rsidRPr="00957693">
              <w:rPr>
                <w:rFonts w:ascii="Arial" w:hAnsi="Arial" w:cs="Arial"/>
                <w:b/>
                <w:sz w:val="20"/>
                <w:szCs w:val="20"/>
                <w:lang w:val="en-GB"/>
              </w:rPr>
              <w:t>Core Framework</w:t>
            </w:r>
          </w:p>
        </w:tc>
        <w:tc>
          <w:tcPr>
            <w:tcW w:w="5310" w:type="dxa"/>
            <w:vAlign w:val="center"/>
          </w:tcPr>
          <w:p w14:paraId="7CD94C16" w14:textId="77777777" w:rsidR="00784426" w:rsidRPr="00957693" w:rsidRDefault="00E87900" w:rsidP="00247913">
            <w:pPr>
              <w:pStyle w:val="BodyTextMain"/>
              <w:jc w:val="center"/>
              <w:rPr>
                <w:rFonts w:ascii="Arial" w:hAnsi="Arial" w:cs="Arial"/>
                <w:b/>
                <w:sz w:val="20"/>
                <w:szCs w:val="20"/>
                <w:lang w:val="en-GB"/>
              </w:rPr>
            </w:pPr>
            <w:r w:rsidRPr="00957693">
              <w:rPr>
                <w:rFonts w:ascii="Arial" w:hAnsi="Arial" w:cs="Arial"/>
                <w:b/>
                <w:sz w:val="20"/>
                <w:szCs w:val="20"/>
                <w:lang w:val="en-GB"/>
              </w:rPr>
              <w:t>Conditions at the Company</w:t>
            </w:r>
          </w:p>
        </w:tc>
      </w:tr>
      <w:tr w:rsidR="00784426" w:rsidRPr="00957693" w14:paraId="4ADF2B01" w14:textId="77777777" w:rsidTr="00BD61D6">
        <w:trPr>
          <w:trHeight w:val="530"/>
          <w:jc w:val="center"/>
        </w:trPr>
        <w:tc>
          <w:tcPr>
            <w:tcW w:w="2875" w:type="dxa"/>
            <w:vAlign w:val="center"/>
          </w:tcPr>
          <w:p w14:paraId="01ECA455"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Vision</w:t>
            </w:r>
          </w:p>
        </w:tc>
        <w:tc>
          <w:tcPr>
            <w:tcW w:w="5310" w:type="dxa"/>
            <w:vAlign w:val="center"/>
          </w:tcPr>
          <w:p w14:paraId="6E68F07F" w14:textId="663F602C"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Company has clear goal for 5</w:t>
            </w:r>
            <w:r w:rsidR="00406CCF" w:rsidRPr="00957693">
              <w:rPr>
                <w:rFonts w:ascii="Arial" w:hAnsi="Arial" w:cs="Arial"/>
                <w:sz w:val="20"/>
                <w:szCs w:val="20"/>
                <w:lang w:val="en-GB"/>
              </w:rPr>
              <w:t>–</w:t>
            </w:r>
            <w:r w:rsidRPr="00957693">
              <w:rPr>
                <w:rFonts w:ascii="Arial" w:hAnsi="Arial" w:cs="Arial"/>
                <w:sz w:val="20"/>
                <w:szCs w:val="20"/>
                <w:lang w:val="en-GB"/>
              </w:rPr>
              <w:t>8 years. All key stakeholders are enrolled and aligned. Stakeholders refer to vision as long</w:t>
            </w:r>
            <w:r w:rsidR="00406CCF" w:rsidRPr="00957693">
              <w:rPr>
                <w:rFonts w:ascii="Arial" w:hAnsi="Arial" w:cs="Arial"/>
                <w:sz w:val="20"/>
                <w:szCs w:val="20"/>
                <w:lang w:val="en-GB"/>
              </w:rPr>
              <w:t>-</w:t>
            </w:r>
            <w:r w:rsidRPr="00957693">
              <w:rPr>
                <w:rFonts w:ascii="Arial" w:hAnsi="Arial" w:cs="Arial"/>
                <w:sz w:val="20"/>
                <w:szCs w:val="20"/>
                <w:lang w:val="en-GB"/>
              </w:rPr>
              <w:t>term goal.</w:t>
            </w:r>
          </w:p>
        </w:tc>
      </w:tr>
      <w:tr w:rsidR="00784426" w:rsidRPr="00957693" w14:paraId="27A385CB" w14:textId="77777777" w:rsidTr="00BD61D6">
        <w:trPr>
          <w:trHeight w:val="530"/>
          <w:jc w:val="center"/>
        </w:trPr>
        <w:tc>
          <w:tcPr>
            <w:tcW w:w="2875" w:type="dxa"/>
            <w:vAlign w:val="center"/>
          </w:tcPr>
          <w:p w14:paraId="6E81A14C" w14:textId="07F222D1"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Drivers/</w:t>
            </w:r>
            <w:r w:rsidR="00AD7D17" w:rsidRPr="00957693">
              <w:rPr>
                <w:rFonts w:ascii="Arial" w:hAnsi="Arial" w:cs="Arial"/>
                <w:sz w:val="20"/>
                <w:szCs w:val="20"/>
                <w:lang w:val="en-GB"/>
              </w:rPr>
              <w:t>a</w:t>
            </w:r>
            <w:r w:rsidRPr="00957693">
              <w:rPr>
                <w:rFonts w:ascii="Arial" w:hAnsi="Arial" w:cs="Arial"/>
                <w:sz w:val="20"/>
                <w:szCs w:val="20"/>
                <w:lang w:val="en-GB"/>
              </w:rPr>
              <w:t xml:space="preserve">nnual </w:t>
            </w:r>
            <w:r w:rsidR="00AD7D17" w:rsidRPr="00957693">
              <w:rPr>
                <w:rFonts w:ascii="Arial" w:hAnsi="Arial" w:cs="Arial"/>
                <w:sz w:val="20"/>
                <w:szCs w:val="20"/>
                <w:lang w:val="en-GB"/>
              </w:rPr>
              <w:t>m</w:t>
            </w:r>
            <w:r w:rsidRPr="00957693">
              <w:rPr>
                <w:rFonts w:ascii="Arial" w:hAnsi="Arial" w:cs="Arial"/>
                <w:sz w:val="20"/>
                <w:szCs w:val="20"/>
                <w:lang w:val="en-GB"/>
              </w:rPr>
              <w:t>ilestones</w:t>
            </w:r>
          </w:p>
        </w:tc>
        <w:tc>
          <w:tcPr>
            <w:tcW w:w="5310" w:type="dxa"/>
            <w:vAlign w:val="center"/>
          </w:tcPr>
          <w:p w14:paraId="7E15DBF0" w14:textId="6F2E5E20"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Id</w:t>
            </w:r>
            <w:r w:rsidR="005C430B" w:rsidRPr="00957693">
              <w:rPr>
                <w:rFonts w:ascii="Arial" w:hAnsi="Arial" w:cs="Arial"/>
                <w:sz w:val="20"/>
                <w:szCs w:val="20"/>
                <w:lang w:val="en-GB"/>
              </w:rPr>
              <w:t xml:space="preserve">entified on an annual basis: </w:t>
            </w:r>
            <w:r w:rsidRPr="00957693">
              <w:rPr>
                <w:rFonts w:ascii="Arial" w:hAnsi="Arial" w:cs="Arial"/>
                <w:sz w:val="20"/>
                <w:szCs w:val="20"/>
                <w:lang w:val="en-GB"/>
              </w:rPr>
              <w:t xml:space="preserve">measurable targets that lead to the </w:t>
            </w:r>
            <w:r w:rsidR="00E87900" w:rsidRPr="00957693">
              <w:rPr>
                <w:rFonts w:ascii="Arial" w:hAnsi="Arial" w:cs="Arial"/>
                <w:sz w:val="20"/>
                <w:szCs w:val="20"/>
                <w:lang w:val="en-GB"/>
              </w:rPr>
              <w:t>v</w:t>
            </w:r>
            <w:r w:rsidRPr="00957693">
              <w:rPr>
                <w:rFonts w:ascii="Arial" w:hAnsi="Arial" w:cs="Arial"/>
                <w:sz w:val="20"/>
                <w:szCs w:val="20"/>
                <w:lang w:val="en-GB"/>
              </w:rPr>
              <w:t>ision being achieved.</w:t>
            </w:r>
          </w:p>
        </w:tc>
      </w:tr>
      <w:tr w:rsidR="00784426" w:rsidRPr="00957693" w14:paraId="25ACE3D3" w14:textId="77777777" w:rsidTr="00BD61D6">
        <w:trPr>
          <w:trHeight w:val="791"/>
          <w:jc w:val="center"/>
        </w:trPr>
        <w:tc>
          <w:tcPr>
            <w:tcW w:w="2875" w:type="dxa"/>
            <w:vAlign w:val="center"/>
          </w:tcPr>
          <w:p w14:paraId="47507D1C" w14:textId="60DDE649"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K</w:t>
            </w:r>
            <w:r w:rsidR="00AD7D17" w:rsidRPr="00957693">
              <w:rPr>
                <w:rFonts w:ascii="Arial" w:hAnsi="Arial" w:cs="Arial"/>
                <w:sz w:val="20"/>
                <w:szCs w:val="20"/>
                <w:lang w:val="en-GB"/>
              </w:rPr>
              <w:t>ey performance indicators</w:t>
            </w:r>
            <w:r w:rsidR="00F21E1F" w:rsidRPr="00957693">
              <w:rPr>
                <w:rFonts w:ascii="Arial" w:hAnsi="Arial" w:cs="Arial"/>
                <w:sz w:val="20"/>
                <w:szCs w:val="20"/>
                <w:lang w:val="en-GB"/>
              </w:rPr>
              <w:t xml:space="preserve"> (KPIs)</w:t>
            </w:r>
          </w:p>
        </w:tc>
        <w:tc>
          <w:tcPr>
            <w:tcW w:w="5310" w:type="dxa"/>
            <w:vAlign w:val="center"/>
          </w:tcPr>
          <w:p w14:paraId="75DC7622" w14:textId="538ABF68"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2</w:t>
            </w:r>
            <w:r w:rsidR="00406CCF" w:rsidRPr="00957693">
              <w:rPr>
                <w:rFonts w:ascii="Arial" w:hAnsi="Arial" w:cs="Arial"/>
                <w:sz w:val="20"/>
                <w:szCs w:val="20"/>
                <w:lang w:val="en-GB"/>
              </w:rPr>
              <w:t>–</w:t>
            </w:r>
            <w:r w:rsidRPr="00957693">
              <w:rPr>
                <w:rFonts w:ascii="Arial" w:hAnsi="Arial" w:cs="Arial"/>
                <w:sz w:val="20"/>
                <w:szCs w:val="20"/>
                <w:lang w:val="en-GB"/>
              </w:rPr>
              <w:t xml:space="preserve">5 </w:t>
            </w:r>
            <w:r w:rsidR="00F21E1F" w:rsidRPr="00957693">
              <w:rPr>
                <w:rFonts w:ascii="Arial" w:hAnsi="Arial" w:cs="Arial"/>
                <w:sz w:val="20"/>
                <w:szCs w:val="20"/>
                <w:lang w:val="en-GB"/>
              </w:rPr>
              <w:t>KPIs</w:t>
            </w:r>
            <w:r w:rsidR="00406CCF" w:rsidRPr="00957693">
              <w:rPr>
                <w:rFonts w:ascii="Arial" w:hAnsi="Arial" w:cs="Arial"/>
                <w:sz w:val="20"/>
                <w:szCs w:val="20"/>
                <w:lang w:val="en-GB"/>
              </w:rPr>
              <w:t xml:space="preserve"> </w:t>
            </w:r>
            <w:r w:rsidRPr="00957693">
              <w:rPr>
                <w:rFonts w:ascii="Arial" w:hAnsi="Arial" w:cs="Arial"/>
                <w:sz w:val="20"/>
                <w:szCs w:val="20"/>
                <w:lang w:val="en-GB"/>
              </w:rPr>
              <w:t>are tracked at least monthly. These connect to the drivers and annual milestones. If more than 5 KPI</w:t>
            </w:r>
            <w:r w:rsidR="00E87900" w:rsidRPr="00957693">
              <w:rPr>
                <w:rFonts w:ascii="Arial" w:hAnsi="Arial" w:cs="Arial"/>
                <w:sz w:val="20"/>
                <w:szCs w:val="20"/>
                <w:lang w:val="en-GB"/>
              </w:rPr>
              <w:t>s</w:t>
            </w:r>
            <w:r w:rsidRPr="00957693">
              <w:rPr>
                <w:rFonts w:ascii="Arial" w:hAnsi="Arial" w:cs="Arial"/>
                <w:sz w:val="20"/>
                <w:szCs w:val="20"/>
                <w:lang w:val="en-GB"/>
              </w:rPr>
              <w:t>, need to identify 5 most important.</w:t>
            </w:r>
          </w:p>
        </w:tc>
      </w:tr>
      <w:tr w:rsidR="00784426" w:rsidRPr="00957693" w14:paraId="47F71393" w14:textId="77777777" w:rsidTr="00BD61D6">
        <w:trPr>
          <w:trHeight w:val="530"/>
          <w:jc w:val="center"/>
        </w:trPr>
        <w:tc>
          <w:tcPr>
            <w:tcW w:w="2875" w:type="dxa"/>
            <w:vAlign w:val="center"/>
          </w:tcPr>
          <w:p w14:paraId="74ACD7A9" w14:textId="33A3FDEB"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Management </w:t>
            </w:r>
            <w:r w:rsidR="00AD7D17" w:rsidRPr="00957693">
              <w:rPr>
                <w:rFonts w:ascii="Arial" w:hAnsi="Arial" w:cs="Arial"/>
                <w:sz w:val="20"/>
                <w:szCs w:val="20"/>
                <w:lang w:val="en-GB"/>
              </w:rPr>
              <w:t>and f</w:t>
            </w:r>
            <w:r w:rsidRPr="00957693">
              <w:rPr>
                <w:rFonts w:ascii="Arial" w:hAnsi="Arial" w:cs="Arial"/>
                <w:sz w:val="20"/>
                <w:szCs w:val="20"/>
                <w:lang w:val="en-GB"/>
              </w:rPr>
              <w:t xml:space="preserve">inancial </w:t>
            </w:r>
            <w:r w:rsidR="00AD7D17" w:rsidRPr="00957693">
              <w:rPr>
                <w:rFonts w:ascii="Arial" w:hAnsi="Arial" w:cs="Arial"/>
                <w:sz w:val="20"/>
                <w:szCs w:val="20"/>
                <w:lang w:val="en-GB"/>
              </w:rPr>
              <w:t>r</w:t>
            </w:r>
            <w:r w:rsidRPr="00957693">
              <w:rPr>
                <w:rFonts w:ascii="Arial" w:hAnsi="Arial" w:cs="Arial"/>
                <w:sz w:val="20"/>
                <w:szCs w:val="20"/>
                <w:lang w:val="en-GB"/>
              </w:rPr>
              <w:t>eporting</w:t>
            </w:r>
          </w:p>
        </w:tc>
        <w:tc>
          <w:tcPr>
            <w:tcW w:w="5310" w:type="dxa"/>
            <w:vAlign w:val="center"/>
          </w:tcPr>
          <w:p w14:paraId="25DA6F93" w14:textId="3550FAF6"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Company tracks actual v</w:t>
            </w:r>
            <w:r w:rsidR="00406CCF" w:rsidRPr="00957693">
              <w:rPr>
                <w:rFonts w:ascii="Arial" w:hAnsi="Arial" w:cs="Arial"/>
                <w:sz w:val="20"/>
                <w:szCs w:val="20"/>
                <w:lang w:val="en-GB"/>
              </w:rPr>
              <w:t>ersus</w:t>
            </w:r>
            <w:r w:rsidRPr="00957693">
              <w:rPr>
                <w:rFonts w:ascii="Arial" w:hAnsi="Arial" w:cs="Arial"/>
                <w:sz w:val="20"/>
                <w:szCs w:val="20"/>
                <w:lang w:val="en-GB"/>
              </w:rPr>
              <w:t xml:space="preserve"> target for all KPIs. Identify breakdowns and reinforce what is working.</w:t>
            </w:r>
          </w:p>
        </w:tc>
      </w:tr>
      <w:tr w:rsidR="00784426" w:rsidRPr="00957693" w14:paraId="37F3187B" w14:textId="77777777" w:rsidTr="00BD61D6">
        <w:trPr>
          <w:trHeight w:val="548"/>
          <w:jc w:val="center"/>
        </w:trPr>
        <w:tc>
          <w:tcPr>
            <w:tcW w:w="2875" w:type="dxa"/>
            <w:vAlign w:val="center"/>
          </w:tcPr>
          <w:p w14:paraId="6CB6B894" w14:textId="7EB879FE"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Breakdown </w:t>
            </w:r>
            <w:r w:rsidR="00AD7D17" w:rsidRPr="00957693">
              <w:rPr>
                <w:rFonts w:ascii="Arial" w:hAnsi="Arial" w:cs="Arial"/>
                <w:sz w:val="20"/>
                <w:szCs w:val="20"/>
                <w:lang w:val="en-GB"/>
              </w:rPr>
              <w:t>a</w:t>
            </w:r>
            <w:r w:rsidRPr="00957693">
              <w:rPr>
                <w:rFonts w:ascii="Arial" w:hAnsi="Arial" w:cs="Arial"/>
                <w:sz w:val="20"/>
                <w:szCs w:val="20"/>
                <w:lang w:val="en-GB"/>
              </w:rPr>
              <w:t>nalysis</w:t>
            </w:r>
          </w:p>
        </w:tc>
        <w:tc>
          <w:tcPr>
            <w:tcW w:w="5310" w:type="dxa"/>
            <w:vAlign w:val="center"/>
          </w:tcPr>
          <w:p w14:paraId="38D3FF3A"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Use breakdowns to do analysis and learn from breakdowns to strengthen the organization</w:t>
            </w:r>
            <w:r w:rsidR="00406CCF" w:rsidRPr="00957693">
              <w:rPr>
                <w:rFonts w:ascii="Arial" w:hAnsi="Arial" w:cs="Arial"/>
                <w:sz w:val="20"/>
                <w:szCs w:val="20"/>
                <w:lang w:val="en-GB"/>
              </w:rPr>
              <w:t>.</w:t>
            </w:r>
          </w:p>
        </w:tc>
      </w:tr>
      <w:tr w:rsidR="00784426" w:rsidRPr="00957693" w14:paraId="7D948F28" w14:textId="77777777" w:rsidTr="00BD61D6">
        <w:trPr>
          <w:trHeight w:val="350"/>
          <w:jc w:val="center"/>
        </w:trPr>
        <w:tc>
          <w:tcPr>
            <w:tcW w:w="2875" w:type="dxa"/>
            <w:vAlign w:val="center"/>
          </w:tcPr>
          <w:p w14:paraId="03FEFA4F" w14:textId="77777777" w:rsidR="00784426" w:rsidRPr="00957693" w:rsidRDefault="00784426" w:rsidP="005C430B">
            <w:pPr>
              <w:pStyle w:val="BodyTextMain"/>
              <w:jc w:val="left"/>
              <w:rPr>
                <w:rFonts w:ascii="Arial" w:hAnsi="Arial" w:cs="Arial"/>
                <w:b/>
                <w:sz w:val="20"/>
                <w:szCs w:val="20"/>
                <w:lang w:val="en-GB"/>
              </w:rPr>
            </w:pPr>
            <w:r w:rsidRPr="00957693">
              <w:rPr>
                <w:rFonts w:ascii="Arial" w:hAnsi="Arial" w:cs="Arial"/>
                <w:b/>
                <w:sz w:val="20"/>
                <w:szCs w:val="20"/>
                <w:lang w:val="en-GB"/>
              </w:rPr>
              <w:t>People</w:t>
            </w:r>
          </w:p>
        </w:tc>
        <w:tc>
          <w:tcPr>
            <w:tcW w:w="5310" w:type="dxa"/>
            <w:vAlign w:val="center"/>
          </w:tcPr>
          <w:p w14:paraId="67D55115" w14:textId="77777777" w:rsidR="00784426" w:rsidRPr="00957693" w:rsidRDefault="00784426" w:rsidP="005C430B">
            <w:pPr>
              <w:pStyle w:val="BodyTextMain"/>
              <w:jc w:val="left"/>
              <w:rPr>
                <w:rFonts w:ascii="Arial" w:hAnsi="Arial" w:cs="Arial"/>
                <w:sz w:val="20"/>
                <w:szCs w:val="20"/>
                <w:lang w:val="en-GB"/>
              </w:rPr>
            </w:pPr>
          </w:p>
        </w:tc>
      </w:tr>
      <w:tr w:rsidR="00784426" w:rsidRPr="00957693" w14:paraId="3CC107B2" w14:textId="77777777" w:rsidTr="00BD61D6">
        <w:trPr>
          <w:trHeight w:val="521"/>
          <w:jc w:val="center"/>
        </w:trPr>
        <w:tc>
          <w:tcPr>
            <w:tcW w:w="2875" w:type="dxa"/>
            <w:vAlign w:val="center"/>
          </w:tcPr>
          <w:p w14:paraId="4744ED63" w14:textId="04312958"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Management </w:t>
            </w:r>
            <w:r w:rsidR="00AD7D17" w:rsidRPr="00957693">
              <w:rPr>
                <w:rFonts w:ascii="Arial" w:hAnsi="Arial" w:cs="Arial"/>
                <w:sz w:val="20"/>
                <w:szCs w:val="20"/>
                <w:lang w:val="en-GB"/>
              </w:rPr>
              <w:t>t</w:t>
            </w:r>
            <w:r w:rsidRPr="00957693">
              <w:rPr>
                <w:rFonts w:ascii="Arial" w:hAnsi="Arial" w:cs="Arial"/>
                <w:sz w:val="20"/>
                <w:szCs w:val="20"/>
                <w:lang w:val="en-GB"/>
              </w:rPr>
              <w:t>eam/</w:t>
            </w:r>
            <w:r w:rsidR="00AD7D17" w:rsidRPr="00957693">
              <w:rPr>
                <w:rFonts w:ascii="Arial" w:hAnsi="Arial" w:cs="Arial"/>
                <w:sz w:val="20"/>
                <w:szCs w:val="20"/>
                <w:lang w:val="en-GB"/>
              </w:rPr>
              <w:t>human resource</w:t>
            </w:r>
            <w:r w:rsidRPr="00957693">
              <w:rPr>
                <w:rFonts w:ascii="Arial" w:hAnsi="Arial" w:cs="Arial"/>
                <w:sz w:val="20"/>
                <w:szCs w:val="20"/>
                <w:lang w:val="en-GB"/>
              </w:rPr>
              <w:t xml:space="preserve"> </w:t>
            </w:r>
            <w:r w:rsidR="00AD7D17" w:rsidRPr="00957693">
              <w:rPr>
                <w:rFonts w:ascii="Arial" w:hAnsi="Arial" w:cs="Arial"/>
                <w:sz w:val="20"/>
                <w:szCs w:val="20"/>
                <w:lang w:val="en-GB"/>
              </w:rPr>
              <w:t>c</w:t>
            </w:r>
            <w:r w:rsidRPr="00957693">
              <w:rPr>
                <w:rFonts w:ascii="Arial" w:hAnsi="Arial" w:cs="Arial"/>
                <w:sz w:val="20"/>
                <w:szCs w:val="20"/>
                <w:lang w:val="en-GB"/>
              </w:rPr>
              <w:t>apability</w:t>
            </w:r>
          </w:p>
        </w:tc>
        <w:tc>
          <w:tcPr>
            <w:tcW w:w="5310" w:type="dxa"/>
            <w:vAlign w:val="center"/>
          </w:tcPr>
          <w:p w14:paraId="3A53D28C"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Proactively recruit a strong team. Company needs internal capability to recruit and train the team. Company must invest in training the team.</w:t>
            </w:r>
          </w:p>
        </w:tc>
      </w:tr>
      <w:tr w:rsidR="00784426" w:rsidRPr="00957693" w14:paraId="22F37ED9" w14:textId="77777777" w:rsidTr="00BD61D6">
        <w:trPr>
          <w:trHeight w:val="800"/>
          <w:jc w:val="center"/>
        </w:trPr>
        <w:tc>
          <w:tcPr>
            <w:tcW w:w="2875" w:type="dxa"/>
            <w:vAlign w:val="center"/>
          </w:tcPr>
          <w:p w14:paraId="54511267" w14:textId="1F019E3B"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Core </w:t>
            </w:r>
            <w:r w:rsidR="00AD7D17" w:rsidRPr="00957693">
              <w:rPr>
                <w:rFonts w:ascii="Arial" w:hAnsi="Arial" w:cs="Arial"/>
                <w:sz w:val="20"/>
                <w:szCs w:val="20"/>
                <w:lang w:val="en-GB"/>
              </w:rPr>
              <w:t>v</w:t>
            </w:r>
            <w:r w:rsidRPr="00957693">
              <w:rPr>
                <w:rFonts w:ascii="Arial" w:hAnsi="Arial" w:cs="Arial"/>
                <w:sz w:val="20"/>
                <w:szCs w:val="20"/>
                <w:lang w:val="en-GB"/>
              </w:rPr>
              <w:t>alues/</w:t>
            </w:r>
            <w:r w:rsidR="00AD7D17" w:rsidRPr="00957693">
              <w:rPr>
                <w:rFonts w:ascii="Arial" w:hAnsi="Arial" w:cs="Arial"/>
                <w:sz w:val="20"/>
                <w:szCs w:val="20"/>
                <w:lang w:val="en-GB"/>
              </w:rPr>
              <w:t>c</w:t>
            </w:r>
            <w:r w:rsidRPr="00957693">
              <w:rPr>
                <w:rFonts w:ascii="Arial" w:hAnsi="Arial" w:cs="Arial"/>
                <w:sz w:val="20"/>
                <w:szCs w:val="20"/>
                <w:lang w:val="en-GB"/>
              </w:rPr>
              <w:t>ulture</w:t>
            </w:r>
          </w:p>
        </w:tc>
        <w:tc>
          <w:tcPr>
            <w:tcW w:w="5310" w:type="dxa"/>
            <w:vAlign w:val="center"/>
          </w:tcPr>
          <w:p w14:paraId="453BD1FC" w14:textId="24B467F9" w:rsidR="00784426" w:rsidRPr="00957693" w:rsidRDefault="00784426" w:rsidP="00BF47A8">
            <w:pPr>
              <w:pStyle w:val="BodyTextMain"/>
              <w:jc w:val="left"/>
              <w:rPr>
                <w:rFonts w:ascii="Arial" w:hAnsi="Arial" w:cs="Arial"/>
                <w:sz w:val="20"/>
                <w:szCs w:val="20"/>
                <w:lang w:val="en-GB"/>
              </w:rPr>
            </w:pPr>
            <w:r w:rsidRPr="00957693">
              <w:rPr>
                <w:rFonts w:ascii="Arial" w:hAnsi="Arial" w:cs="Arial"/>
                <w:sz w:val="20"/>
                <w:szCs w:val="20"/>
                <w:lang w:val="en-GB"/>
              </w:rPr>
              <w:t xml:space="preserve">Need a clear set of core values consistent with the </w:t>
            </w:r>
            <w:r w:rsidR="00E87900" w:rsidRPr="00957693">
              <w:rPr>
                <w:rFonts w:ascii="Arial" w:hAnsi="Arial" w:cs="Arial"/>
                <w:sz w:val="20"/>
                <w:szCs w:val="20"/>
                <w:lang w:val="en-GB"/>
              </w:rPr>
              <w:t>v</w:t>
            </w:r>
            <w:r w:rsidRPr="00957693">
              <w:rPr>
                <w:rFonts w:ascii="Arial" w:hAnsi="Arial" w:cs="Arial"/>
                <w:sz w:val="20"/>
                <w:szCs w:val="20"/>
                <w:lang w:val="en-GB"/>
              </w:rPr>
              <w:t>ision. Culture helps guide employee behavio</w:t>
            </w:r>
            <w:r w:rsidR="004A3D1B">
              <w:rPr>
                <w:rFonts w:ascii="Arial" w:hAnsi="Arial" w:cs="Arial"/>
                <w:sz w:val="20"/>
                <w:szCs w:val="20"/>
                <w:lang w:val="en-GB"/>
              </w:rPr>
              <w:t>u</w:t>
            </w:r>
            <w:r w:rsidRPr="00957693">
              <w:rPr>
                <w:rFonts w:ascii="Arial" w:hAnsi="Arial" w:cs="Arial"/>
                <w:sz w:val="20"/>
                <w:szCs w:val="20"/>
                <w:lang w:val="en-GB"/>
              </w:rPr>
              <w:t xml:space="preserve">rs and actions. </w:t>
            </w:r>
            <w:r w:rsidR="00BF47A8" w:rsidRPr="00957693">
              <w:rPr>
                <w:rFonts w:ascii="Arial" w:hAnsi="Arial" w:cs="Arial"/>
                <w:sz w:val="20"/>
                <w:szCs w:val="20"/>
                <w:lang w:val="en-GB"/>
              </w:rPr>
              <w:t>E</w:t>
            </w:r>
            <w:r w:rsidRPr="00957693">
              <w:rPr>
                <w:rFonts w:ascii="Arial" w:hAnsi="Arial" w:cs="Arial"/>
                <w:sz w:val="20"/>
                <w:szCs w:val="20"/>
                <w:lang w:val="en-GB"/>
              </w:rPr>
              <w:t xml:space="preserve">mployees </w:t>
            </w:r>
            <w:r w:rsidR="00BF47A8" w:rsidRPr="00957693">
              <w:rPr>
                <w:rFonts w:ascii="Arial" w:hAnsi="Arial" w:cs="Arial"/>
                <w:sz w:val="20"/>
                <w:szCs w:val="20"/>
                <w:lang w:val="en-GB"/>
              </w:rPr>
              <w:t xml:space="preserve">who deal directly with customers </w:t>
            </w:r>
            <w:r w:rsidRPr="00957693">
              <w:rPr>
                <w:rFonts w:ascii="Arial" w:hAnsi="Arial" w:cs="Arial"/>
                <w:sz w:val="20"/>
                <w:szCs w:val="20"/>
                <w:lang w:val="en-GB"/>
              </w:rPr>
              <w:t>must demonstrate core values</w:t>
            </w:r>
            <w:r w:rsidR="00406CCF" w:rsidRPr="00957693">
              <w:rPr>
                <w:rFonts w:ascii="Arial" w:hAnsi="Arial" w:cs="Arial"/>
                <w:sz w:val="20"/>
                <w:szCs w:val="20"/>
                <w:lang w:val="en-GB"/>
              </w:rPr>
              <w:t>.</w:t>
            </w:r>
          </w:p>
        </w:tc>
      </w:tr>
      <w:tr w:rsidR="00784426" w:rsidRPr="00957693" w14:paraId="00BD0863" w14:textId="77777777" w:rsidTr="00BD61D6">
        <w:trPr>
          <w:trHeight w:val="521"/>
          <w:jc w:val="center"/>
        </w:trPr>
        <w:tc>
          <w:tcPr>
            <w:tcW w:w="2875" w:type="dxa"/>
            <w:vAlign w:val="center"/>
          </w:tcPr>
          <w:p w14:paraId="72561D8D" w14:textId="5BFC3F86"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Bonus </w:t>
            </w:r>
            <w:r w:rsidR="00AD7D17" w:rsidRPr="00957693">
              <w:rPr>
                <w:rFonts w:ascii="Arial" w:hAnsi="Arial" w:cs="Arial"/>
                <w:sz w:val="20"/>
                <w:szCs w:val="20"/>
                <w:lang w:val="en-GB"/>
              </w:rPr>
              <w:t>s</w:t>
            </w:r>
            <w:r w:rsidRPr="00957693">
              <w:rPr>
                <w:rFonts w:ascii="Arial" w:hAnsi="Arial" w:cs="Arial"/>
                <w:sz w:val="20"/>
                <w:szCs w:val="20"/>
                <w:lang w:val="en-GB"/>
              </w:rPr>
              <w:t>ystem</w:t>
            </w:r>
          </w:p>
        </w:tc>
        <w:tc>
          <w:tcPr>
            <w:tcW w:w="5310" w:type="dxa"/>
            <w:vAlign w:val="center"/>
          </w:tcPr>
          <w:p w14:paraId="6CB89871" w14:textId="771DDDCE"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Cash and bonus system must be gained with actions that lead to </w:t>
            </w:r>
            <w:r w:rsidR="00406CCF" w:rsidRPr="00957693">
              <w:rPr>
                <w:rFonts w:ascii="Arial" w:hAnsi="Arial" w:cs="Arial"/>
                <w:sz w:val="20"/>
                <w:szCs w:val="20"/>
                <w:lang w:val="en-GB"/>
              </w:rPr>
              <w:t>v</w:t>
            </w:r>
            <w:r w:rsidRPr="00957693">
              <w:rPr>
                <w:rFonts w:ascii="Arial" w:hAnsi="Arial" w:cs="Arial"/>
                <w:sz w:val="20"/>
                <w:szCs w:val="20"/>
                <w:lang w:val="en-GB"/>
              </w:rPr>
              <w:t>ision being achieved.</w:t>
            </w:r>
          </w:p>
        </w:tc>
      </w:tr>
      <w:tr w:rsidR="00784426" w:rsidRPr="00957693" w14:paraId="269229C3" w14:textId="77777777" w:rsidTr="00BD61D6">
        <w:trPr>
          <w:trHeight w:val="359"/>
          <w:jc w:val="center"/>
        </w:trPr>
        <w:tc>
          <w:tcPr>
            <w:tcW w:w="2875" w:type="dxa"/>
            <w:vAlign w:val="center"/>
          </w:tcPr>
          <w:p w14:paraId="6EF76FA4" w14:textId="4FD317C7" w:rsidR="00784426" w:rsidRPr="00957693" w:rsidRDefault="00784426" w:rsidP="005C430B">
            <w:pPr>
              <w:pStyle w:val="BodyTextMain"/>
              <w:jc w:val="left"/>
              <w:rPr>
                <w:rFonts w:ascii="Arial" w:hAnsi="Arial" w:cs="Arial"/>
                <w:b/>
                <w:sz w:val="20"/>
                <w:szCs w:val="20"/>
                <w:lang w:val="en-GB"/>
              </w:rPr>
            </w:pPr>
            <w:r w:rsidRPr="00957693">
              <w:rPr>
                <w:rFonts w:ascii="Arial" w:hAnsi="Arial" w:cs="Arial"/>
                <w:b/>
                <w:sz w:val="20"/>
                <w:szCs w:val="20"/>
                <w:lang w:val="en-GB"/>
              </w:rPr>
              <w:t xml:space="preserve">External </w:t>
            </w:r>
            <w:r w:rsidR="00AD7D17" w:rsidRPr="00957693">
              <w:rPr>
                <w:rFonts w:ascii="Arial" w:hAnsi="Arial" w:cs="Arial"/>
                <w:b/>
                <w:sz w:val="20"/>
                <w:szCs w:val="20"/>
                <w:lang w:val="en-GB"/>
              </w:rPr>
              <w:t>r</w:t>
            </w:r>
            <w:r w:rsidRPr="00957693">
              <w:rPr>
                <w:rFonts w:ascii="Arial" w:hAnsi="Arial" w:cs="Arial"/>
                <w:b/>
                <w:sz w:val="20"/>
                <w:szCs w:val="20"/>
                <w:lang w:val="en-GB"/>
              </w:rPr>
              <w:t>esources</w:t>
            </w:r>
          </w:p>
        </w:tc>
        <w:tc>
          <w:tcPr>
            <w:tcW w:w="5310" w:type="dxa"/>
            <w:vAlign w:val="center"/>
          </w:tcPr>
          <w:p w14:paraId="2582D0D4" w14:textId="77777777" w:rsidR="00784426" w:rsidRPr="00957693" w:rsidRDefault="00784426" w:rsidP="005C430B">
            <w:pPr>
              <w:pStyle w:val="BodyTextMain"/>
              <w:jc w:val="left"/>
              <w:rPr>
                <w:rFonts w:ascii="Arial" w:hAnsi="Arial" w:cs="Arial"/>
                <w:sz w:val="20"/>
                <w:szCs w:val="20"/>
                <w:lang w:val="en-GB"/>
              </w:rPr>
            </w:pPr>
          </w:p>
        </w:tc>
      </w:tr>
      <w:tr w:rsidR="00784426" w:rsidRPr="00957693" w14:paraId="4DDEF017" w14:textId="77777777" w:rsidTr="00BD61D6">
        <w:trPr>
          <w:trHeight w:val="350"/>
          <w:jc w:val="center"/>
        </w:trPr>
        <w:tc>
          <w:tcPr>
            <w:tcW w:w="2875" w:type="dxa"/>
            <w:vAlign w:val="center"/>
          </w:tcPr>
          <w:p w14:paraId="5058E206" w14:textId="70441584"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Corporate </w:t>
            </w:r>
            <w:r w:rsidR="00AD7D17" w:rsidRPr="00957693">
              <w:rPr>
                <w:rFonts w:ascii="Arial" w:hAnsi="Arial" w:cs="Arial"/>
                <w:sz w:val="20"/>
                <w:szCs w:val="20"/>
                <w:lang w:val="en-GB"/>
              </w:rPr>
              <w:t>g</w:t>
            </w:r>
            <w:r w:rsidRPr="00957693">
              <w:rPr>
                <w:rFonts w:ascii="Arial" w:hAnsi="Arial" w:cs="Arial"/>
                <w:sz w:val="20"/>
                <w:szCs w:val="20"/>
                <w:lang w:val="en-GB"/>
              </w:rPr>
              <w:t>overnance</w:t>
            </w:r>
          </w:p>
        </w:tc>
        <w:tc>
          <w:tcPr>
            <w:tcW w:w="5310" w:type="dxa"/>
            <w:vAlign w:val="center"/>
          </w:tcPr>
          <w:p w14:paraId="7CE3E541" w14:textId="65AFABB9"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Active</w:t>
            </w:r>
            <w:r w:rsidR="00406CCF" w:rsidRPr="00957693">
              <w:rPr>
                <w:rFonts w:ascii="Arial" w:hAnsi="Arial" w:cs="Arial"/>
                <w:sz w:val="20"/>
                <w:szCs w:val="20"/>
                <w:lang w:val="en-GB"/>
              </w:rPr>
              <w:t>,</w:t>
            </w:r>
            <w:r w:rsidRPr="00957693">
              <w:rPr>
                <w:rFonts w:ascii="Arial" w:hAnsi="Arial" w:cs="Arial"/>
                <w:sz w:val="20"/>
                <w:szCs w:val="20"/>
                <w:lang w:val="en-GB"/>
              </w:rPr>
              <w:t xml:space="preserve"> well-informed </w:t>
            </w:r>
            <w:r w:rsidR="00406CCF" w:rsidRPr="00957693">
              <w:rPr>
                <w:rFonts w:ascii="Arial" w:hAnsi="Arial" w:cs="Arial"/>
                <w:sz w:val="20"/>
                <w:szCs w:val="20"/>
                <w:lang w:val="en-GB"/>
              </w:rPr>
              <w:t>b</w:t>
            </w:r>
            <w:r w:rsidRPr="00957693">
              <w:rPr>
                <w:rFonts w:ascii="Arial" w:hAnsi="Arial" w:cs="Arial"/>
                <w:sz w:val="20"/>
                <w:szCs w:val="20"/>
                <w:lang w:val="en-GB"/>
              </w:rPr>
              <w:t xml:space="preserve">oard of </w:t>
            </w:r>
            <w:r w:rsidR="00406CCF" w:rsidRPr="00957693">
              <w:rPr>
                <w:rFonts w:ascii="Arial" w:hAnsi="Arial" w:cs="Arial"/>
                <w:sz w:val="20"/>
                <w:szCs w:val="20"/>
                <w:lang w:val="en-GB"/>
              </w:rPr>
              <w:t>d</w:t>
            </w:r>
            <w:r w:rsidRPr="00957693">
              <w:rPr>
                <w:rFonts w:ascii="Arial" w:hAnsi="Arial" w:cs="Arial"/>
                <w:sz w:val="20"/>
                <w:szCs w:val="20"/>
                <w:lang w:val="en-GB"/>
              </w:rPr>
              <w:t>irectors. No conflicts of interest.</w:t>
            </w:r>
          </w:p>
        </w:tc>
      </w:tr>
      <w:tr w:rsidR="00784426" w:rsidRPr="00957693" w14:paraId="606F8147" w14:textId="77777777" w:rsidTr="00BD61D6">
        <w:trPr>
          <w:trHeight w:val="989"/>
          <w:jc w:val="center"/>
        </w:trPr>
        <w:tc>
          <w:tcPr>
            <w:tcW w:w="2875" w:type="dxa"/>
            <w:vAlign w:val="center"/>
          </w:tcPr>
          <w:p w14:paraId="7CAD7765" w14:textId="1F5BD604"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Outside </w:t>
            </w:r>
            <w:r w:rsidR="00AD7D17" w:rsidRPr="00957693">
              <w:rPr>
                <w:rFonts w:ascii="Arial" w:hAnsi="Arial" w:cs="Arial"/>
                <w:sz w:val="20"/>
                <w:szCs w:val="20"/>
                <w:lang w:val="en-GB"/>
              </w:rPr>
              <w:t>e</w:t>
            </w:r>
            <w:r w:rsidRPr="00957693">
              <w:rPr>
                <w:rFonts w:ascii="Arial" w:hAnsi="Arial" w:cs="Arial"/>
                <w:sz w:val="20"/>
                <w:szCs w:val="20"/>
                <w:lang w:val="en-GB"/>
              </w:rPr>
              <w:t>xperts</w:t>
            </w:r>
          </w:p>
        </w:tc>
        <w:tc>
          <w:tcPr>
            <w:tcW w:w="5310" w:type="dxa"/>
            <w:vAlign w:val="center"/>
          </w:tcPr>
          <w:p w14:paraId="25CA641D" w14:textId="73E74F9C"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Company actively engages outside experts: value-added independent </w:t>
            </w:r>
            <w:r w:rsidR="00406CCF" w:rsidRPr="00957693">
              <w:rPr>
                <w:rFonts w:ascii="Arial" w:hAnsi="Arial" w:cs="Arial"/>
                <w:sz w:val="20"/>
                <w:szCs w:val="20"/>
                <w:lang w:val="en-GB"/>
              </w:rPr>
              <w:t>b</w:t>
            </w:r>
            <w:r w:rsidRPr="00957693">
              <w:rPr>
                <w:rFonts w:ascii="Arial" w:hAnsi="Arial" w:cs="Arial"/>
                <w:sz w:val="20"/>
                <w:szCs w:val="20"/>
                <w:lang w:val="en-GB"/>
              </w:rPr>
              <w:t>oard members, outside consultants</w:t>
            </w:r>
            <w:r w:rsidR="00406CCF" w:rsidRPr="00957693">
              <w:rPr>
                <w:rFonts w:ascii="Arial" w:hAnsi="Arial" w:cs="Arial"/>
                <w:sz w:val="20"/>
                <w:szCs w:val="20"/>
                <w:lang w:val="en-GB"/>
              </w:rPr>
              <w:t>,</w:t>
            </w:r>
            <w:r w:rsidRPr="00957693">
              <w:rPr>
                <w:rFonts w:ascii="Arial" w:hAnsi="Arial" w:cs="Arial"/>
                <w:sz w:val="20"/>
                <w:szCs w:val="20"/>
                <w:lang w:val="en-GB"/>
              </w:rPr>
              <w:t xml:space="preserve"> and </w:t>
            </w:r>
            <w:r w:rsidR="00406CCF" w:rsidRPr="00957693">
              <w:rPr>
                <w:rFonts w:ascii="Arial" w:hAnsi="Arial" w:cs="Arial"/>
                <w:sz w:val="20"/>
                <w:szCs w:val="20"/>
                <w:lang w:val="en-GB"/>
              </w:rPr>
              <w:t>third-</w:t>
            </w:r>
            <w:r w:rsidRPr="00957693">
              <w:rPr>
                <w:rFonts w:ascii="Arial" w:hAnsi="Arial" w:cs="Arial"/>
                <w:sz w:val="20"/>
                <w:szCs w:val="20"/>
                <w:lang w:val="en-GB"/>
              </w:rPr>
              <w:t>party service providers. Company implements insights and best practices from outside experts.</w:t>
            </w:r>
          </w:p>
        </w:tc>
      </w:tr>
      <w:tr w:rsidR="00784426" w:rsidRPr="00957693" w14:paraId="3A308DB0" w14:textId="77777777" w:rsidTr="00BD61D6">
        <w:trPr>
          <w:trHeight w:val="791"/>
          <w:jc w:val="center"/>
        </w:trPr>
        <w:tc>
          <w:tcPr>
            <w:tcW w:w="2875" w:type="dxa"/>
            <w:vAlign w:val="center"/>
          </w:tcPr>
          <w:p w14:paraId="30BF6B58"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Customer driven</w:t>
            </w:r>
          </w:p>
        </w:tc>
        <w:tc>
          <w:tcPr>
            <w:tcW w:w="5310" w:type="dxa"/>
            <w:vAlign w:val="center"/>
          </w:tcPr>
          <w:p w14:paraId="3A85CDAF"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Company organized around understanding what customer wants, how to improve customer experience and satisfaction</w:t>
            </w:r>
            <w:r w:rsidR="00406CCF" w:rsidRPr="00957693">
              <w:rPr>
                <w:rFonts w:ascii="Arial" w:hAnsi="Arial" w:cs="Arial"/>
                <w:sz w:val="20"/>
                <w:szCs w:val="20"/>
                <w:lang w:val="en-GB"/>
              </w:rPr>
              <w:t>,</w:t>
            </w:r>
            <w:r w:rsidRPr="00957693">
              <w:rPr>
                <w:rFonts w:ascii="Arial" w:hAnsi="Arial" w:cs="Arial"/>
                <w:sz w:val="20"/>
                <w:szCs w:val="20"/>
                <w:lang w:val="en-GB"/>
              </w:rPr>
              <w:t xml:space="preserve"> and what the market opportunity is. Products and services are developed accordingly.</w:t>
            </w:r>
          </w:p>
        </w:tc>
      </w:tr>
      <w:tr w:rsidR="00784426" w:rsidRPr="00957693" w14:paraId="52421D44" w14:textId="77777777" w:rsidTr="00BD61D6">
        <w:trPr>
          <w:trHeight w:val="350"/>
          <w:jc w:val="center"/>
        </w:trPr>
        <w:tc>
          <w:tcPr>
            <w:tcW w:w="2875" w:type="dxa"/>
            <w:vAlign w:val="center"/>
          </w:tcPr>
          <w:p w14:paraId="73B86DFA" w14:textId="77777777" w:rsidR="00784426" w:rsidRPr="00957693" w:rsidRDefault="00784426" w:rsidP="005C430B">
            <w:pPr>
              <w:pStyle w:val="BodyTextMain"/>
              <w:jc w:val="left"/>
              <w:rPr>
                <w:rFonts w:ascii="Arial" w:hAnsi="Arial" w:cs="Arial"/>
                <w:b/>
                <w:sz w:val="20"/>
                <w:szCs w:val="20"/>
                <w:lang w:val="en-GB"/>
              </w:rPr>
            </w:pPr>
            <w:r w:rsidRPr="00957693">
              <w:rPr>
                <w:rFonts w:ascii="Arial" w:hAnsi="Arial" w:cs="Arial"/>
                <w:b/>
                <w:sz w:val="20"/>
                <w:szCs w:val="20"/>
                <w:lang w:val="en-GB"/>
              </w:rPr>
              <w:t>Scalability</w:t>
            </w:r>
          </w:p>
        </w:tc>
        <w:tc>
          <w:tcPr>
            <w:tcW w:w="5310" w:type="dxa"/>
            <w:vAlign w:val="center"/>
          </w:tcPr>
          <w:p w14:paraId="0560163F" w14:textId="77777777" w:rsidR="00784426" w:rsidRPr="00957693" w:rsidRDefault="00784426" w:rsidP="005C430B">
            <w:pPr>
              <w:pStyle w:val="BodyTextMain"/>
              <w:jc w:val="left"/>
              <w:rPr>
                <w:rFonts w:ascii="Arial" w:hAnsi="Arial" w:cs="Arial"/>
                <w:sz w:val="20"/>
                <w:szCs w:val="20"/>
                <w:lang w:val="en-GB"/>
              </w:rPr>
            </w:pPr>
          </w:p>
        </w:tc>
      </w:tr>
      <w:tr w:rsidR="00784426" w:rsidRPr="00957693" w14:paraId="6AB241A0" w14:textId="77777777" w:rsidTr="00BD61D6">
        <w:trPr>
          <w:trHeight w:val="629"/>
          <w:jc w:val="center"/>
        </w:trPr>
        <w:tc>
          <w:tcPr>
            <w:tcW w:w="2875" w:type="dxa"/>
            <w:vAlign w:val="center"/>
          </w:tcPr>
          <w:p w14:paraId="4D69A440"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Focus</w:t>
            </w:r>
          </w:p>
        </w:tc>
        <w:tc>
          <w:tcPr>
            <w:tcW w:w="5310" w:type="dxa"/>
            <w:vAlign w:val="center"/>
          </w:tcPr>
          <w:p w14:paraId="68CF1053" w14:textId="0BE60D36" w:rsidR="00784426" w:rsidRPr="00957693" w:rsidRDefault="00406CCF" w:rsidP="005C430B">
            <w:pPr>
              <w:pStyle w:val="BodyTextMain"/>
              <w:jc w:val="left"/>
              <w:rPr>
                <w:rFonts w:ascii="Arial" w:hAnsi="Arial" w:cs="Arial"/>
                <w:sz w:val="20"/>
                <w:szCs w:val="20"/>
                <w:lang w:val="en-GB"/>
              </w:rPr>
            </w:pPr>
            <w:r w:rsidRPr="00957693">
              <w:rPr>
                <w:rFonts w:ascii="Arial" w:hAnsi="Arial" w:cs="Arial"/>
                <w:sz w:val="20"/>
                <w:szCs w:val="20"/>
                <w:lang w:val="en-GB"/>
              </w:rPr>
              <w:t>C</w:t>
            </w:r>
            <w:r w:rsidR="00784426" w:rsidRPr="00957693">
              <w:rPr>
                <w:rFonts w:ascii="Arial" w:hAnsi="Arial" w:cs="Arial"/>
                <w:sz w:val="20"/>
                <w:szCs w:val="20"/>
                <w:lang w:val="en-GB"/>
              </w:rPr>
              <w:t>ompany is focused on a single business, or related businesses with similar success drivers. There are no non-core businesses.</w:t>
            </w:r>
          </w:p>
        </w:tc>
      </w:tr>
      <w:tr w:rsidR="00784426" w:rsidRPr="00957693" w14:paraId="3501E8D3" w14:textId="77777777" w:rsidTr="00BD61D6">
        <w:trPr>
          <w:trHeight w:val="800"/>
          <w:jc w:val="center"/>
        </w:trPr>
        <w:tc>
          <w:tcPr>
            <w:tcW w:w="2875" w:type="dxa"/>
            <w:vAlign w:val="center"/>
          </w:tcPr>
          <w:p w14:paraId="538C9288" w14:textId="0DD76924"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E</w:t>
            </w:r>
            <w:r w:rsidR="00AD7D17" w:rsidRPr="00957693">
              <w:rPr>
                <w:rFonts w:ascii="Arial" w:hAnsi="Arial" w:cs="Arial"/>
                <w:sz w:val="20"/>
                <w:szCs w:val="20"/>
                <w:lang w:val="en-GB"/>
              </w:rPr>
              <w:t>nterprise resource planning</w:t>
            </w:r>
            <w:r w:rsidR="00F21E1F" w:rsidRPr="00957693">
              <w:rPr>
                <w:rFonts w:ascii="Arial" w:hAnsi="Arial" w:cs="Arial"/>
                <w:sz w:val="20"/>
                <w:szCs w:val="20"/>
                <w:lang w:val="en-GB"/>
              </w:rPr>
              <w:t xml:space="preserve"> (ERP)</w:t>
            </w:r>
            <w:r w:rsidR="00AD7D17" w:rsidRPr="00957693">
              <w:rPr>
                <w:rFonts w:ascii="Arial" w:hAnsi="Arial" w:cs="Arial"/>
                <w:sz w:val="20"/>
                <w:szCs w:val="20"/>
                <w:lang w:val="en-GB"/>
              </w:rPr>
              <w:t xml:space="preserve"> and</w:t>
            </w:r>
            <w:r w:rsidRPr="00957693">
              <w:rPr>
                <w:rFonts w:ascii="Arial" w:hAnsi="Arial" w:cs="Arial"/>
                <w:sz w:val="20"/>
                <w:szCs w:val="20"/>
                <w:lang w:val="en-GB"/>
              </w:rPr>
              <w:t xml:space="preserve"> </w:t>
            </w:r>
            <w:r w:rsidR="00AD7D17" w:rsidRPr="00957693">
              <w:rPr>
                <w:rFonts w:ascii="Arial" w:hAnsi="Arial" w:cs="Arial"/>
                <w:sz w:val="20"/>
                <w:szCs w:val="20"/>
                <w:lang w:val="en-GB"/>
              </w:rPr>
              <w:t>p</w:t>
            </w:r>
            <w:r w:rsidRPr="00957693">
              <w:rPr>
                <w:rFonts w:ascii="Arial" w:hAnsi="Arial" w:cs="Arial"/>
                <w:sz w:val="20"/>
                <w:szCs w:val="20"/>
                <w:lang w:val="en-GB"/>
              </w:rPr>
              <w:t xml:space="preserve">rocess </w:t>
            </w:r>
            <w:r w:rsidR="00AD7D17" w:rsidRPr="00957693">
              <w:rPr>
                <w:rFonts w:ascii="Arial" w:hAnsi="Arial" w:cs="Arial"/>
                <w:sz w:val="20"/>
                <w:szCs w:val="20"/>
                <w:lang w:val="en-GB"/>
              </w:rPr>
              <w:t>a</w:t>
            </w:r>
            <w:r w:rsidRPr="00957693">
              <w:rPr>
                <w:rFonts w:ascii="Arial" w:hAnsi="Arial" w:cs="Arial"/>
                <w:sz w:val="20"/>
                <w:szCs w:val="20"/>
                <w:lang w:val="en-GB"/>
              </w:rPr>
              <w:t>utomation</w:t>
            </w:r>
          </w:p>
        </w:tc>
        <w:tc>
          <w:tcPr>
            <w:tcW w:w="5310" w:type="dxa"/>
            <w:vAlign w:val="center"/>
          </w:tcPr>
          <w:p w14:paraId="52DE4B77" w14:textId="1BE94772"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Company has ERP/</w:t>
            </w:r>
            <w:r w:rsidR="00F21E1F" w:rsidRPr="00957693">
              <w:rPr>
                <w:rFonts w:ascii="Arial" w:hAnsi="Arial" w:cs="Arial"/>
                <w:sz w:val="20"/>
                <w:szCs w:val="20"/>
                <w:lang w:val="en-GB"/>
              </w:rPr>
              <w:t>information technology</w:t>
            </w:r>
            <w:r w:rsidRPr="00957693">
              <w:rPr>
                <w:rFonts w:ascii="Arial" w:hAnsi="Arial" w:cs="Arial"/>
                <w:sz w:val="20"/>
                <w:szCs w:val="20"/>
                <w:lang w:val="en-GB"/>
              </w:rPr>
              <w:t xml:space="preserve"> system and automated processes that are reliable and scalable. Can generate timely reports useful for management and optimizing KPIs. ERP is a key management tool.</w:t>
            </w:r>
          </w:p>
        </w:tc>
      </w:tr>
      <w:tr w:rsidR="00784426" w:rsidRPr="00957693" w14:paraId="0B2D03C3" w14:textId="77777777" w:rsidTr="00BD61D6">
        <w:trPr>
          <w:trHeight w:val="791"/>
          <w:jc w:val="center"/>
        </w:trPr>
        <w:tc>
          <w:tcPr>
            <w:tcW w:w="2875" w:type="dxa"/>
            <w:vAlign w:val="center"/>
          </w:tcPr>
          <w:p w14:paraId="254DC344" w14:textId="5F66B12F"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 xml:space="preserve">Delegation </w:t>
            </w:r>
            <w:r w:rsidR="00AD7D17" w:rsidRPr="00957693">
              <w:rPr>
                <w:rFonts w:ascii="Arial" w:hAnsi="Arial" w:cs="Arial"/>
                <w:sz w:val="20"/>
                <w:szCs w:val="20"/>
                <w:lang w:val="en-GB"/>
              </w:rPr>
              <w:t>and ac</w:t>
            </w:r>
            <w:r w:rsidRPr="00957693">
              <w:rPr>
                <w:rFonts w:ascii="Arial" w:hAnsi="Arial" w:cs="Arial"/>
                <w:sz w:val="20"/>
                <w:szCs w:val="20"/>
                <w:lang w:val="en-GB"/>
              </w:rPr>
              <w:t>countability</w:t>
            </w:r>
          </w:p>
        </w:tc>
        <w:tc>
          <w:tcPr>
            <w:tcW w:w="5310" w:type="dxa"/>
            <w:vAlign w:val="center"/>
          </w:tcPr>
          <w:p w14:paraId="3348CEA9" w14:textId="77777777" w:rsidR="00784426" w:rsidRPr="00957693" w:rsidRDefault="00784426" w:rsidP="005C430B">
            <w:pPr>
              <w:pStyle w:val="BodyTextMain"/>
              <w:jc w:val="left"/>
              <w:rPr>
                <w:rFonts w:ascii="Arial" w:hAnsi="Arial" w:cs="Arial"/>
                <w:sz w:val="20"/>
                <w:szCs w:val="20"/>
                <w:lang w:val="en-GB"/>
              </w:rPr>
            </w:pPr>
            <w:r w:rsidRPr="00957693">
              <w:rPr>
                <w:rFonts w:ascii="Arial" w:hAnsi="Arial" w:cs="Arial"/>
                <w:sz w:val="20"/>
                <w:szCs w:val="20"/>
                <w:lang w:val="en-GB"/>
              </w:rPr>
              <w:t>No person can be a bottleneck in the company. Accountability and decision rights are clearly delegated. Have clear job descriptions and performance expectations. KPIs cascade down to each position.</w:t>
            </w:r>
          </w:p>
        </w:tc>
      </w:tr>
    </w:tbl>
    <w:p w14:paraId="58F60590" w14:textId="77777777" w:rsidR="005C430B" w:rsidRPr="00957693" w:rsidRDefault="005C430B" w:rsidP="005C430B">
      <w:pPr>
        <w:pStyle w:val="Footnote"/>
        <w:rPr>
          <w:lang w:val="en-GB"/>
        </w:rPr>
      </w:pPr>
    </w:p>
    <w:p w14:paraId="71404837" w14:textId="4E0902BC" w:rsidR="00784426" w:rsidRPr="00957693" w:rsidRDefault="00784426" w:rsidP="005C430B">
      <w:pPr>
        <w:pStyle w:val="Footnote"/>
        <w:rPr>
          <w:lang w:val="en-GB"/>
        </w:rPr>
      </w:pPr>
      <w:r w:rsidRPr="00957693">
        <w:rPr>
          <w:lang w:val="en-GB"/>
        </w:rPr>
        <w:t xml:space="preserve">Source: </w:t>
      </w:r>
      <w:r w:rsidR="00E11297">
        <w:rPr>
          <w:lang w:val="en-GB"/>
        </w:rPr>
        <w:t>Company documents.</w:t>
      </w:r>
    </w:p>
    <w:sectPr w:rsidR="00784426" w:rsidRPr="00957693"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BE06E" w14:textId="77777777" w:rsidR="008A7851" w:rsidRDefault="008A7851" w:rsidP="00D75295">
      <w:r>
        <w:separator/>
      </w:r>
    </w:p>
  </w:endnote>
  <w:endnote w:type="continuationSeparator" w:id="0">
    <w:p w14:paraId="055B6952" w14:textId="77777777" w:rsidR="008A7851" w:rsidRDefault="008A785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59DE8" w14:textId="77777777" w:rsidR="008A7851" w:rsidRDefault="008A7851" w:rsidP="00D75295">
      <w:r>
        <w:separator/>
      </w:r>
    </w:p>
  </w:footnote>
  <w:footnote w:type="continuationSeparator" w:id="0">
    <w:p w14:paraId="505050CB" w14:textId="77777777" w:rsidR="008A7851" w:rsidRDefault="008A7851" w:rsidP="00D75295">
      <w:r>
        <w:continuationSeparator/>
      </w:r>
    </w:p>
  </w:footnote>
  <w:footnote w:id="1">
    <w:p w14:paraId="19BF4C49" w14:textId="5EB26AAA" w:rsidR="005B7A24" w:rsidRPr="005B7A24" w:rsidRDefault="005B7A24" w:rsidP="005B7A24">
      <w:pPr>
        <w:pStyle w:val="Footnote"/>
        <w:rPr>
          <w:lang w:val="en-GB"/>
        </w:rPr>
      </w:pPr>
      <w:r>
        <w:rPr>
          <w:rStyle w:val="FootnoteReference"/>
        </w:rPr>
        <w:footnoteRef/>
      </w:r>
      <w:r>
        <w:t xml:space="preserve"> </w:t>
      </w:r>
      <w:hyperlink r:id="rId1" w:history="1">
        <w:proofErr w:type="spellStart"/>
        <w:r w:rsidRPr="00957693">
          <w:rPr>
            <w:i/>
            <w:lang w:val="en-GB"/>
          </w:rPr>
          <w:t>Điện</w:t>
        </w:r>
        <w:proofErr w:type="spellEnd"/>
        <w:r w:rsidRPr="00957693">
          <w:rPr>
            <w:i/>
            <w:lang w:val="en-GB"/>
          </w:rPr>
          <w:t xml:space="preserve"> </w:t>
        </w:r>
        <w:proofErr w:type="spellStart"/>
        <w:r w:rsidRPr="00957693">
          <w:rPr>
            <w:i/>
            <w:lang w:val="en-GB"/>
          </w:rPr>
          <w:t>Máy</w:t>
        </w:r>
        <w:proofErr w:type="spellEnd"/>
        <w:r w:rsidRPr="00957693">
          <w:rPr>
            <w:i/>
            <w:lang w:val="en-GB"/>
          </w:rPr>
          <w:t xml:space="preserve"> </w:t>
        </w:r>
        <w:proofErr w:type="spellStart"/>
        <w:r w:rsidRPr="00957693">
          <w:rPr>
            <w:i/>
            <w:lang w:val="en-GB"/>
          </w:rPr>
          <w:t>Xanh</w:t>
        </w:r>
        <w:proofErr w:type="spellEnd"/>
      </w:hyperlink>
      <w:r w:rsidRPr="00957693">
        <w:rPr>
          <w:lang w:val="en-GB"/>
        </w:rPr>
        <w:t xml:space="preserve"> in Vietnamese</w:t>
      </w:r>
      <w:r>
        <w:rPr>
          <w:lang w:val="en-GB"/>
        </w:rPr>
        <w:t>.</w:t>
      </w:r>
    </w:p>
  </w:footnote>
  <w:footnote w:id="2">
    <w:p w14:paraId="3CB13991" w14:textId="1FC2AB49" w:rsidR="005B7A24" w:rsidRPr="005B7A24" w:rsidRDefault="005B7A24" w:rsidP="005B7A24">
      <w:pPr>
        <w:pStyle w:val="Footnote"/>
        <w:rPr>
          <w:lang w:val="en-GB"/>
        </w:rPr>
      </w:pPr>
      <w:r>
        <w:rPr>
          <w:rStyle w:val="FootnoteReference"/>
        </w:rPr>
        <w:footnoteRef/>
      </w:r>
      <w:r>
        <w:t xml:space="preserve"> </w:t>
      </w:r>
      <w:r>
        <w:rPr>
          <w:lang w:val="en-GB"/>
        </w:rPr>
        <w:t>All currency amounts are in US$ unless otherwise specified.</w:t>
      </w:r>
    </w:p>
  </w:footnote>
  <w:footnote w:id="3">
    <w:p w14:paraId="6B64ADCF" w14:textId="6CA6080E" w:rsidR="005B7A24" w:rsidRPr="005B7A24" w:rsidRDefault="005B7A24" w:rsidP="00E11297">
      <w:pPr>
        <w:pStyle w:val="Footnote"/>
        <w:rPr>
          <w:lang w:val="en-GB"/>
        </w:rPr>
      </w:pPr>
      <w:r>
        <w:rPr>
          <w:rStyle w:val="FootnoteReference"/>
        </w:rPr>
        <w:footnoteRef/>
      </w:r>
      <w:r>
        <w:t xml:space="preserve"> </w:t>
      </w:r>
      <w:r w:rsidR="00E11297">
        <w:rPr>
          <w:lang w:val="en-GB"/>
        </w:rPr>
        <w:t>VND = Vietnamese dong; VND1.00 = US$0.0001 on March 31, 2015.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59A1" w14:textId="139AA4D6"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A736A">
      <w:rPr>
        <w:rFonts w:ascii="Arial" w:hAnsi="Arial"/>
        <w:b/>
        <w:noProof/>
      </w:rPr>
      <w:t>6</w:t>
    </w:r>
    <w:r>
      <w:rPr>
        <w:rFonts w:ascii="Arial" w:hAnsi="Arial"/>
        <w:b/>
      </w:rPr>
      <w:fldChar w:fldCharType="end"/>
    </w:r>
    <w:r>
      <w:rPr>
        <w:rFonts w:ascii="Arial" w:hAnsi="Arial"/>
        <w:b/>
      </w:rPr>
      <w:tab/>
    </w:r>
    <w:r w:rsidR="00E11297">
      <w:rPr>
        <w:rFonts w:ascii="Arial" w:hAnsi="Arial"/>
        <w:b/>
      </w:rPr>
      <w:t>9B18M080</w:t>
    </w:r>
  </w:p>
  <w:p w14:paraId="43F67F35" w14:textId="77777777" w:rsidR="007E5921" w:rsidRPr="00C92CC4" w:rsidRDefault="007E5921">
    <w:pPr>
      <w:pStyle w:val="Header"/>
      <w:rPr>
        <w:sz w:val="18"/>
        <w:szCs w:val="18"/>
      </w:rPr>
    </w:pPr>
  </w:p>
  <w:p w14:paraId="627AE8B2"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F94394F"/>
    <w:multiLevelType w:val="hybridMultilevel"/>
    <w:tmpl w:val="7AB29C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094524"/>
    <w:multiLevelType w:val="hybridMultilevel"/>
    <w:tmpl w:val="362EE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94C0E"/>
    <w:rsid w:val="000C6947"/>
    <w:rsid w:val="000E2750"/>
    <w:rsid w:val="000F0C22"/>
    <w:rsid w:val="000F6B09"/>
    <w:rsid w:val="000F6FDC"/>
    <w:rsid w:val="00104567"/>
    <w:rsid w:val="00104D58"/>
    <w:rsid w:val="0012732D"/>
    <w:rsid w:val="001416CF"/>
    <w:rsid w:val="00154FC9"/>
    <w:rsid w:val="001670DF"/>
    <w:rsid w:val="0019241A"/>
    <w:rsid w:val="001A5335"/>
    <w:rsid w:val="001A752D"/>
    <w:rsid w:val="00203AA1"/>
    <w:rsid w:val="00213E98"/>
    <w:rsid w:val="00233416"/>
    <w:rsid w:val="00247913"/>
    <w:rsid w:val="002E32F0"/>
    <w:rsid w:val="002F460C"/>
    <w:rsid w:val="002F48D6"/>
    <w:rsid w:val="00323C79"/>
    <w:rsid w:val="00325241"/>
    <w:rsid w:val="00343565"/>
    <w:rsid w:val="00354899"/>
    <w:rsid w:val="00355FD6"/>
    <w:rsid w:val="00361C8E"/>
    <w:rsid w:val="00364A5C"/>
    <w:rsid w:val="00373FB1"/>
    <w:rsid w:val="00383622"/>
    <w:rsid w:val="003A2CDA"/>
    <w:rsid w:val="003B30D8"/>
    <w:rsid w:val="003B7EF2"/>
    <w:rsid w:val="003C3FA4"/>
    <w:rsid w:val="003F2B0C"/>
    <w:rsid w:val="00406CCF"/>
    <w:rsid w:val="004119C6"/>
    <w:rsid w:val="004221E4"/>
    <w:rsid w:val="00433815"/>
    <w:rsid w:val="00471088"/>
    <w:rsid w:val="00483AF9"/>
    <w:rsid w:val="004855A9"/>
    <w:rsid w:val="004A3D1B"/>
    <w:rsid w:val="004B1CCB"/>
    <w:rsid w:val="004D73A5"/>
    <w:rsid w:val="005113F3"/>
    <w:rsid w:val="00520A01"/>
    <w:rsid w:val="005323CF"/>
    <w:rsid w:val="00532CF5"/>
    <w:rsid w:val="005528CB"/>
    <w:rsid w:val="00566771"/>
    <w:rsid w:val="00581E2E"/>
    <w:rsid w:val="00584F15"/>
    <w:rsid w:val="005A6040"/>
    <w:rsid w:val="005B7A24"/>
    <w:rsid w:val="005C430B"/>
    <w:rsid w:val="005C69D6"/>
    <w:rsid w:val="006163F7"/>
    <w:rsid w:val="00620F1E"/>
    <w:rsid w:val="00652606"/>
    <w:rsid w:val="00682754"/>
    <w:rsid w:val="006A58A9"/>
    <w:rsid w:val="006A606D"/>
    <w:rsid w:val="006B7F7A"/>
    <w:rsid w:val="006C0371"/>
    <w:rsid w:val="006C08B6"/>
    <w:rsid w:val="006C0B1A"/>
    <w:rsid w:val="006C4384"/>
    <w:rsid w:val="006C6065"/>
    <w:rsid w:val="006C7F9F"/>
    <w:rsid w:val="006D5042"/>
    <w:rsid w:val="006E2F6D"/>
    <w:rsid w:val="006E58F6"/>
    <w:rsid w:val="006E77E1"/>
    <w:rsid w:val="006F131D"/>
    <w:rsid w:val="00704355"/>
    <w:rsid w:val="00752BCD"/>
    <w:rsid w:val="00766DA1"/>
    <w:rsid w:val="00784426"/>
    <w:rsid w:val="007866A6"/>
    <w:rsid w:val="007A130D"/>
    <w:rsid w:val="007A6F3B"/>
    <w:rsid w:val="007D4102"/>
    <w:rsid w:val="007E5921"/>
    <w:rsid w:val="007F51FC"/>
    <w:rsid w:val="00821FFC"/>
    <w:rsid w:val="008271CA"/>
    <w:rsid w:val="008467D5"/>
    <w:rsid w:val="0085071B"/>
    <w:rsid w:val="00856D9F"/>
    <w:rsid w:val="008575B3"/>
    <w:rsid w:val="00866F6D"/>
    <w:rsid w:val="008912A7"/>
    <w:rsid w:val="008A4DC4"/>
    <w:rsid w:val="008A7851"/>
    <w:rsid w:val="008E41CF"/>
    <w:rsid w:val="009067A4"/>
    <w:rsid w:val="0090722E"/>
    <w:rsid w:val="00926B70"/>
    <w:rsid w:val="009340DB"/>
    <w:rsid w:val="00955B2D"/>
    <w:rsid w:val="00957693"/>
    <w:rsid w:val="00972498"/>
    <w:rsid w:val="00974CC6"/>
    <w:rsid w:val="00976AD4"/>
    <w:rsid w:val="009A312F"/>
    <w:rsid w:val="009A3878"/>
    <w:rsid w:val="009A5348"/>
    <w:rsid w:val="009A67BB"/>
    <w:rsid w:val="009C76D5"/>
    <w:rsid w:val="009D0430"/>
    <w:rsid w:val="009F7AA4"/>
    <w:rsid w:val="00A15724"/>
    <w:rsid w:val="00A21B65"/>
    <w:rsid w:val="00A24AC6"/>
    <w:rsid w:val="00A47DA1"/>
    <w:rsid w:val="00A559DB"/>
    <w:rsid w:val="00A774EB"/>
    <w:rsid w:val="00A8516F"/>
    <w:rsid w:val="00AD7D17"/>
    <w:rsid w:val="00AF35FC"/>
    <w:rsid w:val="00AF5393"/>
    <w:rsid w:val="00B03639"/>
    <w:rsid w:val="00B0652A"/>
    <w:rsid w:val="00B3757D"/>
    <w:rsid w:val="00B40937"/>
    <w:rsid w:val="00B423EF"/>
    <w:rsid w:val="00B453DE"/>
    <w:rsid w:val="00B4742F"/>
    <w:rsid w:val="00B75A01"/>
    <w:rsid w:val="00B901F9"/>
    <w:rsid w:val="00B95781"/>
    <w:rsid w:val="00BD61D6"/>
    <w:rsid w:val="00BD6EFB"/>
    <w:rsid w:val="00BF47A8"/>
    <w:rsid w:val="00C15BE2"/>
    <w:rsid w:val="00C21221"/>
    <w:rsid w:val="00C22219"/>
    <w:rsid w:val="00C3447F"/>
    <w:rsid w:val="00C81491"/>
    <w:rsid w:val="00C81676"/>
    <w:rsid w:val="00C92CC4"/>
    <w:rsid w:val="00CA0AFB"/>
    <w:rsid w:val="00CA2CE1"/>
    <w:rsid w:val="00CA3976"/>
    <w:rsid w:val="00CA757B"/>
    <w:rsid w:val="00CC1787"/>
    <w:rsid w:val="00CC182C"/>
    <w:rsid w:val="00CD0824"/>
    <w:rsid w:val="00CD2908"/>
    <w:rsid w:val="00D03A82"/>
    <w:rsid w:val="00D15344"/>
    <w:rsid w:val="00D24364"/>
    <w:rsid w:val="00D31BEC"/>
    <w:rsid w:val="00D63150"/>
    <w:rsid w:val="00D64A32"/>
    <w:rsid w:val="00D64EFC"/>
    <w:rsid w:val="00D75295"/>
    <w:rsid w:val="00D76CE9"/>
    <w:rsid w:val="00D801B3"/>
    <w:rsid w:val="00D97F12"/>
    <w:rsid w:val="00DA203D"/>
    <w:rsid w:val="00DA736A"/>
    <w:rsid w:val="00DB42E7"/>
    <w:rsid w:val="00DF32C2"/>
    <w:rsid w:val="00E11297"/>
    <w:rsid w:val="00E116EE"/>
    <w:rsid w:val="00E17833"/>
    <w:rsid w:val="00E471A7"/>
    <w:rsid w:val="00E47861"/>
    <w:rsid w:val="00E635CF"/>
    <w:rsid w:val="00E87900"/>
    <w:rsid w:val="00EB5410"/>
    <w:rsid w:val="00EB7508"/>
    <w:rsid w:val="00EC6E0A"/>
    <w:rsid w:val="00ED4E18"/>
    <w:rsid w:val="00EE1F37"/>
    <w:rsid w:val="00F0159C"/>
    <w:rsid w:val="00F105B7"/>
    <w:rsid w:val="00F17A21"/>
    <w:rsid w:val="00F21E1F"/>
    <w:rsid w:val="00F50E91"/>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5C4621"/>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3">
    <w:name w:val="heading 3"/>
    <w:basedOn w:val="Normal"/>
    <w:link w:val="Heading3Char"/>
    <w:uiPriority w:val="9"/>
    <w:qFormat/>
    <w:rsid w:val="00784426"/>
    <w:pPr>
      <w:spacing w:before="100" w:beforeAutospacing="1" w:after="100" w:afterAutospacing="1"/>
      <w:outlineLvl w:val="2"/>
    </w:pPr>
    <w:rPr>
      <w:rFonts w:eastAsiaTheme="minorHAns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3Char">
    <w:name w:val="Heading 3 Char"/>
    <w:basedOn w:val="DefaultParagraphFont"/>
    <w:link w:val="Heading3"/>
    <w:uiPriority w:val="9"/>
    <w:rsid w:val="00784426"/>
    <w:rPr>
      <w:rFonts w:ascii="Times New Roman" w:hAnsi="Times New Roman" w:cs="Times New Roman"/>
      <w:b/>
      <w:bCs/>
      <w:sz w:val="27"/>
      <w:szCs w:val="27"/>
    </w:rPr>
  </w:style>
  <w:style w:type="paragraph" w:styleId="DocumentMap">
    <w:name w:val="Document Map"/>
    <w:basedOn w:val="Normal"/>
    <w:link w:val="DocumentMapChar"/>
    <w:uiPriority w:val="99"/>
    <w:semiHidden/>
    <w:unhideWhenUsed/>
    <w:rsid w:val="00BF47A8"/>
    <w:rPr>
      <w:sz w:val="24"/>
      <w:szCs w:val="24"/>
    </w:rPr>
  </w:style>
  <w:style w:type="character" w:customStyle="1" w:styleId="DocumentMapChar">
    <w:name w:val="Document Map Char"/>
    <w:basedOn w:val="DefaultParagraphFont"/>
    <w:link w:val="DocumentMap"/>
    <w:uiPriority w:val="99"/>
    <w:semiHidden/>
    <w:rsid w:val="00BF47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BJDa-C_9Cq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4C3F8-0D90-44E1-8191-265F8AA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2391</Words>
  <Characters>13634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6</cp:revision>
  <cp:lastPrinted>2018-05-04T17:43:00Z</cp:lastPrinted>
  <dcterms:created xsi:type="dcterms:W3CDTF">2018-04-27T14:09:00Z</dcterms:created>
  <dcterms:modified xsi:type="dcterms:W3CDTF">2018-05-04T17:44:00Z</dcterms:modified>
</cp:coreProperties>
</file>