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FE095" w14:textId="64BFABD5" w:rsidR="007D1A2D" w:rsidRDefault="00B70102" w:rsidP="00532D05">
      <w:pPr>
        <w:pBdr>
          <w:bottom w:val="single" w:sz="18" w:space="1" w:color="auto"/>
        </w:pBdr>
        <w:tabs>
          <w:tab w:val="left" w:pos="-1440"/>
          <w:tab w:val="left" w:pos="-720"/>
          <w:tab w:val="left" w:pos="1"/>
        </w:tabs>
        <w:rPr>
          <w:rFonts w:ascii="Arial" w:hAnsi="Arial"/>
          <w:b/>
          <w:noProof/>
          <w:sz w:val="24"/>
        </w:rPr>
      </w:pPr>
      <w:r>
        <w:rPr>
          <w:rFonts w:ascii="Arial" w:hAnsi="Arial"/>
          <w:b/>
          <w:noProof/>
          <w:sz w:val="24"/>
        </w:rPr>
        <w:drawing>
          <wp:inline distT="0" distB="0" distL="0" distR="0" wp14:anchorId="3296D589" wp14:editId="0B148C0B">
            <wp:extent cx="261556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r w:rsidR="00D53627">
        <w:rPr>
          <w:rFonts w:ascii="Arial" w:hAnsi="Arial"/>
          <w:b/>
          <w:noProof/>
          <w:sz w:val="24"/>
        </w:rPr>
        <w:t xml:space="preserve">          </w:t>
      </w:r>
      <w:r w:rsidR="00D53627">
        <w:rPr>
          <w:rFonts w:ascii="Arial" w:hAnsi="Arial" w:cs="Calibri"/>
          <w:b/>
          <w:noProof/>
          <w:sz w:val="24"/>
        </w:rPr>
        <w:drawing>
          <wp:inline distT="0" distB="0" distL="0" distR="0" wp14:anchorId="4740AC5F" wp14:editId="7D61FFF4">
            <wp:extent cx="2902585" cy="551815"/>
            <wp:effectExtent l="0" t="0" r="0" b="635"/>
            <wp:docPr id="7" name="Picture 7" descr="UC-hashayn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C-hashayne-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2585" cy="551815"/>
                    </a:xfrm>
                    <a:prstGeom prst="rect">
                      <a:avLst/>
                    </a:prstGeom>
                    <a:noFill/>
                    <a:ln>
                      <a:noFill/>
                    </a:ln>
                  </pic:spPr>
                </pic:pic>
              </a:graphicData>
            </a:graphic>
          </wp:inline>
        </w:drawing>
      </w:r>
    </w:p>
    <w:p w14:paraId="70E79DDA" w14:textId="1F9E6DBE" w:rsidR="00D75295" w:rsidRDefault="007513B6" w:rsidP="00F105B7">
      <w:pPr>
        <w:pStyle w:val="ProductNumber"/>
      </w:pPr>
      <w:r>
        <w:t>9B18M083</w:t>
      </w:r>
    </w:p>
    <w:p w14:paraId="009F996D" w14:textId="77777777" w:rsidR="00D75295" w:rsidRPr="003D0BA1" w:rsidRDefault="00D75295" w:rsidP="00D75295">
      <w:pPr>
        <w:jc w:val="right"/>
        <w:rPr>
          <w:rFonts w:ascii="Arial" w:hAnsi="Arial"/>
          <w:b/>
          <w:sz w:val="28"/>
          <w:szCs w:val="28"/>
        </w:rPr>
      </w:pPr>
    </w:p>
    <w:p w14:paraId="05CDAD5D" w14:textId="77777777" w:rsidR="00013360" w:rsidRPr="003D0BA1" w:rsidRDefault="00013360" w:rsidP="00D75295">
      <w:pPr>
        <w:jc w:val="right"/>
        <w:rPr>
          <w:rFonts w:ascii="Arial" w:hAnsi="Arial"/>
          <w:b/>
          <w:sz w:val="28"/>
          <w:szCs w:val="28"/>
        </w:rPr>
      </w:pPr>
    </w:p>
    <w:p w14:paraId="789B9D5D" w14:textId="57264C62" w:rsidR="00B623FA" w:rsidRDefault="00532D05" w:rsidP="00013360">
      <w:pPr>
        <w:pStyle w:val="CaseTitle"/>
        <w:spacing w:after="0" w:line="240" w:lineRule="auto"/>
        <w:rPr>
          <w:rFonts w:eastAsia="Times New Roman"/>
          <w:szCs w:val="20"/>
          <w:lang w:val="en-CA"/>
        </w:rPr>
      </w:pPr>
      <w:r w:rsidRPr="00532D05">
        <w:rPr>
          <w:rFonts w:eastAsia="Times New Roman"/>
          <w:szCs w:val="20"/>
          <w:lang w:val="en-CA"/>
        </w:rPr>
        <w:t>KNIGHTSBR</w:t>
      </w:r>
      <w:r w:rsidR="007A09E6">
        <w:rPr>
          <w:rFonts w:eastAsia="Times New Roman"/>
          <w:szCs w:val="20"/>
          <w:lang w:val="en-CA"/>
        </w:rPr>
        <w:t>IDGE CUSTOM HOMEBUILDERS LTd.</w:t>
      </w:r>
      <w:r w:rsidR="00D53627">
        <w:rPr>
          <w:rFonts w:eastAsia="Times New Roman"/>
          <w:szCs w:val="20"/>
          <w:lang w:val="en-CA"/>
        </w:rPr>
        <w:t>:</w:t>
      </w:r>
    </w:p>
    <w:p w14:paraId="3E807631" w14:textId="04F10175" w:rsidR="00013360" w:rsidRDefault="00532D05" w:rsidP="00013360">
      <w:pPr>
        <w:pStyle w:val="CaseTitle"/>
        <w:spacing w:after="0" w:line="240" w:lineRule="auto"/>
        <w:rPr>
          <w:sz w:val="20"/>
          <w:szCs w:val="20"/>
        </w:rPr>
      </w:pPr>
      <w:r w:rsidRPr="00532D05">
        <w:rPr>
          <w:rFonts w:eastAsia="Times New Roman"/>
          <w:szCs w:val="20"/>
          <w:lang w:val="en-CA"/>
        </w:rPr>
        <w:t>COMMITMENT TO CORE VALUES</w:t>
      </w:r>
    </w:p>
    <w:p w14:paraId="61431DFB" w14:textId="77777777" w:rsidR="00CA3976" w:rsidRDefault="00CA3976" w:rsidP="00013360">
      <w:pPr>
        <w:pStyle w:val="CaseTitle"/>
        <w:spacing w:after="0" w:line="240" w:lineRule="auto"/>
        <w:rPr>
          <w:sz w:val="20"/>
          <w:szCs w:val="20"/>
        </w:rPr>
      </w:pPr>
    </w:p>
    <w:p w14:paraId="66E22183" w14:textId="77777777" w:rsidR="00013360" w:rsidRPr="00013360" w:rsidRDefault="00013360" w:rsidP="00013360">
      <w:pPr>
        <w:pStyle w:val="CaseTitle"/>
        <w:spacing w:after="0" w:line="240" w:lineRule="auto"/>
        <w:rPr>
          <w:sz w:val="20"/>
          <w:szCs w:val="20"/>
        </w:rPr>
      </w:pPr>
    </w:p>
    <w:p w14:paraId="0C2C9E0C" w14:textId="7845699B" w:rsidR="00627C63" w:rsidRPr="00627C63" w:rsidRDefault="00DC0957" w:rsidP="00627C63">
      <w:pPr>
        <w:pStyle w:val="StyleCopyrightStatementAfter0ptBottomSinglesolidline1"/>
      </w:pPr>
      <w:hyperlink r:id="rId10" w:history="1">
        <w:proofErr w:type="spellStart"/>
        <w:r w:rsidR="00532D05" w:rsidRPr="00532D05">
          <w:rPr>
            <w:rStyle w:val="Hyperlink"/>
            <w:color w:val="auto"/>
            <w:u w:val="none"/>
          </w:rPr>
          <w:t>Pernille</w:t>
        </w:r>
        <w:proofErr w:type="spellEnd"/>
        <w:r w:rsidR="00532D05" w:rsidRPr="00532D05">
          <w:rPr>
            <w:rStyle w:val="Hyperlink"/>
            <w:color w:val="auto"/>
            <w:u w:val="none"/>
          </w:rPr>
          <w:t xml:space="preserve"> </w:t>
        </w:r>
        <w:proofErr w:type="spellStart"/>
        <w:r w:rsidR="00532D05" w:rsidRPr="00532D05">
          <w:rPr>
            <w:rStyle w:val="Hyperlink"/>
            <w:color w:val="auto"/>
            <w:u w:val="none"/>
          </w:rPr>
          <w:t>Goodbrand</w:t>
        </w:r>
        <w:proofErr w:type="spellEnd"/>
      </w:hyperlink>
      <w:r w:rsidR="00532D05" w:rsidRPr="00532D05">
        <w:rPr>
          <w:color w:val="auto"/>
        </w:rPr>
        <w:t xml:space="preserve">, </w:t>
      </w:r>
      <w:hyperlink r:id="rId11" w:history="1">
        <w:proofErr w:type="spellStart"/>
        <w:r w:rsidR="00532D05" w:rsidRPr="00532D05">
          <w:rPr>
            <w:rStyle w:val="Hyperlink"/>
            <w:color w:val="auto"/>
            <w:u w:val="none"/>
          </w:rPr>
          <w:t>Jyoti</w:t>
        </w:r>
        <w:proofErr w:type="spellEnd"/>
        <w:r w:rsidR="00532D05" w:rsidRPr="00532D05">
          <w:rPr>
            <w:rStyle w:val="Hyperlink"/>
            <w:color w:val="auto"/>
            <w:u w:val="none"/>
          </w:rPr>
          <w:t xml:space="preserve"> </w:t>
        </w:r>
        <w:proofErr w:type="spellStart"/>
        <w:r w:rsidR="00532D05" w:rsidRPr="00532D05">
          <w:rPr>
            <w:rStyle w:val="Hyperlink"/>
            <w:color w:val="auto"/>
            <w:u w:val="none"/>
          </w:rPr>
          <w:t>Gondek</w:t>
        </w:r>
        <w:proofErr w:type="spellEnd"/>
      </w:hyperlink>
      <w:r w:rsidR="00532D05" w:rsidRPr="00532D05">
        <w:rPr>
          <w:color w:val="auto"/>
        </w:rPr>
        <w:t xml:space="preserve">, and </w:t>
      </w:r>
      <w:hyperlink r:id="rId12" w:history="1">
        <w:r w:rsidR="00532D05" w:rsidRPr="00532D05">
          <w:rPr>
            <w:rStyle w:val="Hyperlink"/>
            <w:color w:val="auto"/>
            <w:u w:val="none"/>
          </w:rPr>
          <w:t xml:space="preserve">Cheryl </w:t>
        </w:r>
        <w:proofErr w:type="spellStart"/>
        <w:r w:rsidR="00532D05" w:rsidRPr="00532D05">
          <w:rPr>
            <w:rStyle w:val="Hyperlink"/>
            <w:color w:val="auto"/>
            <w:u w:val="none"/>
          </w:rPr>
          <w:t>Brazell</w:t>
        </w:r>
        <w:proofErr w:type="spellEnd"/>
      </w:hyperlink>
      <w:r w:rsidR="00532D05" w:rsidRPr="00532D05">
        <w:rPr>
          <w:color w:val="auto"/>
        </w:rPr>
        <w:t xml:space="preserve"> </w:t>
      </w:r>
      <w:r w:rsidR="004B632F" w:rsidRPr="00532D05">
        <w:rPr>
          <w:color w:val="auto"/>
        </w:rPr>
        <w:t>wrot</w:t>
      </w:r>
      <w:r w:rsidR="004B632F" w:rsidRPr="00104567">
        <w: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26B7E4B7" w14:textId="77777777" w:rsidR="00751E0B" w:rsidRDefault="00751E0B" w:rsidP="00751E0B">
      <w:pPr>
        <w:pStyle w:val="StyleCopyrightStatementAfter0ptBottomSinglesolidline1"/>
      </w:pPr>
    </w:p>
    <w:p w14:paraId="4E06F70C" w14:textId="459BD735" w:rsidR="00B70102" w:rsidRPr="00B70102" w:rsidRDefault="00B70102" w:rsidP="00B70102">
      <w:pPr>
        <w:pStyle w:val="StyleStyleCopyrightStatementAfter0ptBottomSinglesolid"/>
        <w:rPr>
          <w:lang w:val="en-CA"/>
        </w:rPr>
      </w:pPr>
      <w:r w:rsidRPr="00B70102">
        <w:rPr>
          <w:lang w:val="en-CA"/>
        </w:rPr>
        <w:t>This publication may not be transmitted, photocopied, digitized</w:t>
      </w:r>
      <w:r w:rsidR="00B623FA">
        <w:rPr>
          <w:lang w:val="en-CA"/>
        </w:rPr>
        <w:t>,</w:t>
      </w:r>
      <w:r w:rsidRPr="00B70102">
        <w:rPr>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7C405B80" w14:textId="77777777" w:rsidR="00B70102" w:rsidRPr="00B70102" w:rsidRDefault="00B70102" w:rsidP="00B70102">
      <w:pPr>
        <w:pStyle w:val="StyleStyleCopyrightStatementAfter0ptBottomSinglesolid"/>
      </w:pPr>
    </w:p>
    <w:p w14:paraId="1F15B83C" w14:textId="46F3EAE5" w:rsidR="00751E0B" w:rsidRDefault="00B70102" w:rsidP="00B70102">
      <w:pPr>
        <w:pStyle w:val="StyleStyleCopyrightStatementAfter0ptBottomSinglesolid"/>
      </w:pPr>
      <w:r>
        <w:t>Copyright © 2018</w:t>
      </w:r>
      <w:r w:rsidRPr="00B70102">
        <w:t>, Ivey Business School Foundation</w:t>
      </w:r>
      <w:r w:rsidR="00A569EA">
        <w:rPr>
          <w:rFonts w:cs="Arial"/>
          <w:szCs w:val="16"/>
          <w:lang w:val="en-CA"/>
        </w:rPr>
        <w:tab/>
      </w:r>
      <w:r w:rsidR="00751E0B">
        <w:t xml:space="preserve">Version: </w:t>
      </w:r>
      <w:r w:rsidR="003D0BA1">
        <w:t>20</w:t>
      </w:r>
      <w:r w:rsidR="00532D05">
        <w:t>18</w:t>
      </w:r>
      <w:r w:rsidR="001C7777">
        <w:t>-</w:t>
      </w:r>
      <w:r w:rsidR="006E3656">
        <w:t>05</w:t>
      </w:r>
      <w:r w:rsidR="00751E0B">
        <w:t>-</w:t>
      </w:r>
      <w:r w:rsidR="00DC0957">
        <w:t>08</w:t>
      </w:r>
      <w:bookmarkStart w:id="0" w:name="_GoBack"/>
      <w:bookmarkEnd w:id="0"/>
    </w:p>
    <w:p w14:paraId="1F499EDB" w14:textId="77777777" w:rsidR="00751E0B" w:rsidRPr="003B7EF2" w:rsidRDefault="00751E0B" w:rsidP="00751E0B">
      <w:pPr>
        <w:pStyle w:val="StyleCopyrightStatementAfter0ptBottomSinglesolidline1"/>
        <w:rPr>
          <w:rFonts w:ascii="Times New Roman" w:hAnsi="Times New Roman"/>
          <w:sz w:val="20"/>
        </w:rPr>
      </w:pPr>
    </w:p>
    <w:p w14:paraId="665FEEDB" w14:textId="77777777" w:rsidR="004B632F" w:rsidRDefault="004B632F" w:rsidP="004B632F">
      <w:pPr>
        <w:pStyle w:val="StyleCopyrightStatementAfter0ptBottomSinglesolidline1"/>
        <w:rPr>
          <w:rFonts w:ascii="Times New Roman" w:hAnsi="Times New Roman"/>
          <w:sz w:val="20"/>
        </w:rPr>
      </w:pPr>
    </w:p>
    <w:p w14:paraId="095B2359" w14:textId="25D7466D" w:rsidR="00532D05" w:rsidRPr="00532D05" w:rsidRDefault="00E86D7B" w:rsidP="00480CF5">
      <w:pPr>
        <w:pStyle w:val="BodyTextMain"/>
        <w:rPr>
          <w:rFonts w:eastAsia="MS Mincho"/>
          <w:lang w:val="en-CA"/>
        </w:rPr>
      </w:pPr>
      <w:r>
        <w:rPr>
          <w:rFonts w:eastAsia="MS Mincho"/>
          <w:lang w:val="en-CA"/>
        </w:rPr>
        <w:t xml:space="preserve">It was 2014, </w:t>
      </w:r>
      <w:r w:rsidR="00476648">
        <w:rPr>
          <w:rFonts w:eastAsia="MS Mincho"/>
          <w:lang w:val="en-CA"/>
        </w:rPr>
        <w:t xml:space="preserve">and </w:t>
      </w:r>
      <w:r w:rsidR="00532D05" w:rsidRPr="00532D05">
        <w:rPr>
          <w:rFonts w:eastAsia="MS Mincho"/>
          <w:lang w:val="en-CA"/>
        </w:rPr>
        <w:t xml:space="preserve">Joe </w:t>
      </w:r>
      <w:proofErr w:type="spellStart"/>
      <w:r w:rsidR="00532D05" w:rsidRPr="00532D05">
        <w:rPr>
          <w:rFonts w:eastAsia="MS Mincho"/>
          <w:lang w:val="en-CA"/>
        </w:rPr>
        <w:t>Starkman</w:t>
      </w:r>
      <w:proofErr w:type="spellEnd"/>
      <w:r w:rsidR="00532D05" w:rsidRPr="00532D05">
        <w:rPr>
          <w:rFonts w:eastAsia="MS Mincho"/>
          <w:lang w:val="en-CA"/>
        </w:rPr>
        <w:t xml:space="preserve">, </w:t>
      </w:r>
      <w:r w:rsidR="00D4592E">
        <w:rPr>
          <w:rFonts w:eastAsia="MS Mincho"/>
          <w:lang w:val="en-CA"/>
        </w:rPr>
        <w:t>chief executive officer (</w:t>
      </w:r>
      <w:r w:rsidR="00EE1E10" w:rsidRPr="00D4592E">
        <w:rPr>
          <w:rFonts w:eastAsia="MS Mincho"/>
          <w:lang w:val="en-CA"/>
        </w:rPr>
        <w:t>CEO</w:t>
      </w:r>
      <w:r w:rsidR="00D4592E">
        <w:rPr>
          <w:rFonts w:eastAsia="MS Mincho"/>
          <w:lang w:val="en-CA"/>
        </w:rPr>
        <w:t>)</w:t>
      </w:r>
      <w:r w:rsidR="00EE1E10">
        <w:rPr>
          <w:rFonts w:eastAsia="MS Mincho"/>
          <w:lang w:val="en-CA"/>
        </w:rPr>
        <w:t xml:space="preserve"> </w:t>
      </w:r>
      <w:r w:rsidR="00532D05" w:rsidRPr="00532D05">
        <w:rPr>
          <w:rFonts w:eastAsia="MS Mincho"/>
          <w:lang w:val="en-CA"/>
        </w:rPr>
        <w:t xml:space="preserve">of Knightsbridge Custom Homebuilders Limited (Knightsbridge), smiled and shook his head as he </w:t>
      </w:r>
      <w:r w:rsidR="004F7F41">
        <w:rPr>
          <w:rFonts w:eastAsia="MS Mincho"/>
          <w:lang w:val="en-CA"/>
        </w:rPr>
        <w:t>ended his</w:t>
      </w:r>
      <w:r w:rsidR="00532D05" w:rsidRPr="00532D05">
        <w:rPr>
          <w:rFonts w:eastAsia="MS Mincho"/>
          <w:lang w:val="en-CA"/>
        </w:rPr>
        <w:t xml:space="preserve"> phone call with his daughter. Did she really mean it when she said she did not want a car? Could sh</w:t>
      </w:r>
      <w:r w:rsidR="009C1BBB">
        <w:rPr>
          <w:rFonts w:eastAsia="MS Mincho"/>
          <w:lang w:val="en-CA"/>
        </w:rPr>
        <w:t>e be right when she said</w:t>
      </w:r>
      <w:r w:rsidR="00532D05" w:rsidRPr="00532D05">
        <w:rPr>
          <w:rFonts w:eastAsia="MS Mincho"/>
          <w:lang w:val="en-CA"/>
        </w:rPr>
        <w:t xml:space="preserve"> no one her age was interested in owning cars? </w:t>
      </w:r>
      <w:proofErr w:type="spellStart"/>
      <w:r w:rsidR="00532D05" w:rsidRPr="00532D05">
        <w:rPr>
          <w:rFonts w:eastAsia="MS Mincho"/>
          <w:lang w:val="en-CA"/>
        </w:rPr>
        <w:t>Starkman</w:t>
      </w:r>
      <w:proofErr w:type="spellEnd"/>
      <w:r w:rsidR="00532D05" w:rsidRPr="00532D05">
        <w:rPr>
          <w:rFonts w:eastAsia="MS Mincho"/>
          <w:lang w:val="en-CA"/>
        </w:rPr>
        <w:t xml:space="preserve"> continued to think about his daughter’s comments as he looked down at the dirt of the site he had purchased for his next project in </w:t>
      </w:r>
      <w:r w:rsidR="00683268">
        <w:rPr>
          <w:rFonts w:eastAsia="MS Mincho"/>
          <w:lang w:val="en-CA"/>
        </w:rPr>
        <w:t>the</w:t>
      </w:r>
      <w:r w:rsidR="00683268" w:rsidRPr="00532D05">
        <w:rPr>
          <w:rFonts w:eastAsia="MS Mincho"/>
          <w:lang w:val="en-CA"/>
        </w:rPr>
        <w:t xml:space="preserve"> </w:t>
      </w:r>
      <w:r w:rsidR="00532D05" w:rsidRPr="00532D05">
        <w:rPr>
          <w:rFonts w:eastAsia="MS Mincho"/>
          <w:lang w:val="en-CA"/>
        </w:rPr>
        <w:t>rapidly gentrifying East Village neighbourhood</w:t>
      </w:r>
      <w:r w:rsidR="00476648">
        <w:rPr>
          <w:rFonts w:eastAsia="MS Mincho"/>
          <w:lang w:val="en-CA"/>
        </w:rPr>
        <w:t xml:space="preserve"> of Calgary, Alberta</w:t>
      </w:r>
      <w:r w:rsidR="00532D05" w:rsidRPr="00532D05">
        <w:rPr>
          <w:rFonts w:eastAsia="MS Mincho"/>
          <w:lang w:val="en-CA"/>
        </w:rPr>
        <w:t>. Buying the site was the culmination of years of success</w:t>
      </w:r>
      <w:r w:rsidR="00415FA4">
        <w:rPr>
          <w:rFonts w:eastAsia="MS Mincho"/>
          <w:lang w:val="en-CA"/>
        </w:rPr>
        <w:t>, which</w:t>
      </w:r>
      <w:r w:rsidR="00683268">
        <w:rPr>
          <w:rFonts w:eastAsia="MS Mincho"/>
          <w:lang w:val="en-CA"/>
        </w:rPr>
        <w:t xml:space="preserve"> </w:t>
      </w:r>
      <w:proofErr w:type="spellStart"/>
      <w:r w:rsidR="00683268">
        <w:rPr>
          <w:rFonts w:eastAsia="MS Mincho"/>
          <w:lang w:val="en-CA"/>
        </w:rPr>
        <w:t>Starkman’s</w:t>
      </w:r>
      <w:proofErr w:type="spellEnd"/>
      <w:r w:rsidR="00683268">
        <w:rPr>
          <w:rFonts w:eastAsia="MS Mincho"/>
          <w:lang w:val="en-CA"/>
        </w:rPr>
        <w:t xml:space="preserve"> Calgary-based firm had</w:t>
      </w:r>
      <w:r w:rsidR="00532D05" w:rsidRPr="00532D05">
        <w:rPr>
          <w:rFonts w:eastAsia="MS Mincho"/>
          <w:lang w:val="en-CA"/>
        </w:rPr>
        <w:t xml:space="preserve"> achieved by </w:t>
      </w:r>
      <w:r w:rsidR="00683268">
        <w:rPr>
          <w:rFonts w:eastAsia="MS Mincho"/>
          <w:lang w:val="en-CA"/>
        </w:rPr>
        <w:t>prioritizing</w:t>
      </w:r>
      <w:r w:rsidR="00532D05" w:rsidRPr="00532D05">
        <w:rPr>
          <w:rFonts w:eastAsia="MS Mincho"/>
          <w:lang w:val="en-CA"/>
        </w:rPr>
        <w:t xml:space="preserve"> three core values: great location</w:t>
      </w:r>
      <w:r w:rsidR="00683268">
        <w:rPr>
          <w:rFonts w:eastAsia="MS Mincho"/>
          <w:lang w:val="en-CA"/>
        </w:rPr>
        <w:t>s</w:t>
      </w:r>
      <w:r w:rsidR="00532D05" w:rsidRPr="00532D05">
        <w:rPr>
          <w:rFonts w:eastAsia="MS Mincho"/>
          <w:lang w:val="en-CA"/>
        </w:rPr>
        <w:t>, underserved markets, and niche products. Then, it hit him</w:t>
      </w:r>
      <w:r w:rsidR="00683268">
        <w:rPr>
          <w:rFonts w:eastAsia="MS Mincho"/>
          <w:lang w:val="en-CA"/>
        </w:rPr>
        <w:t>:</w:t>
      </w:r>
      <w:r w:rsidR="00532D05" w:rsidRPr="00532D05">
        <w:rPr>
          <w:rFonts w:eastAsia="MS Mincho"/>
          <w:lang w:val="en-CA"/>
        </w:rPr>
        <w:t xml:space="preserve"> </w:t>
      </w:r>
      <w:r w:rsidR="00683268">
        <w:rPr>
          <w:rFonts w:eastAsia="MS Mincho"/>
          <w:lang w:val="en-CA"/>
        </w:rPr>
        <w:t>t</w:t>
      </w:r>
      <w:r w:rsidR="00532D05" w:rsidRPr="00532D05">
        <w:rPr>
          <w:rFonts w:eastAsia="MS Mincho"/>
          <w:lang w:val="en-CA"/>
        </w:rPr>
        <w:t>he long</w:t>
      </w:r>
      <w:r w:rsidR="002557D4">
        <w:rPr>
          <w:rFonts w:eastAsia="MS Mincho"/>
          <w:lang w:val="en-CA"/>
        </w:rPr>
        <w:t>, recent</w:t>
      </w:r>
      <w:r w:rsidR="00532D05" w:rsidRPr="00532D05">
        <w:rPr>
          <w:rFonts w:eastAsia="MS Mincho"/>
          <w:lang w:val="en-CA"/>
        </w:rPr>
        <w:t xml:space="preserve"> meetings focused on how to accommodate parking at the site may have been all in v</w:t>
      </w:r>
      <w:r w:rsidR="00703447">
        <w:rPr>
          <w:rFonts w:eastAsia="MS Mincho"/>
          <w:lang w:val="en-CA"/>
        </w:rPr>
        <w:t>ain. Perhaps Knightsbridge</w:t>
      </w:r>
      <w:r w:rsidR="00532D05" w:rsidRPr="00532D05">
        <w:rPr>
          <w:rFonts w:eastAsia="MS Mincho"/>
          <w:lang w:val="en-CA"/>
        </w:rPr>
        <w:t xml:space="preserve"> did not need to determine how to accommodate parking; perhaps </w:t>
      </w:r>
      <w:r w:rsidR="00683268">
        <w:rPr>
          <w:rFonts w:eastAsia="MS Mincho"/>
          <w:lang w:val="en-CA"/>
        </w:rPr>
        <w:t>it simply</w:t>
      </w:r>
      <w:r w:rsidR="00532D05" w:rsidRPr="00532D05">
        <w:rPr>
          <w:rFonts w:eastAsia="MS Mincho"/>
          <w:lang w:val="en-CA"/>
        </w:rPr>
        <w:t xml:space="preserve"> needed</w:t>
      </w:r>
      <w:r w:rsidR="00683268">
        <w:rPr>
          <w:rFonts w:eastAsia="MS Mincho"/>
          <w:lang w:val="en-CA"/>
        </w:rPr>
        <w:t xml:space="preserve"> </w:t>
      </w:r>
      <w:r w:rsidR="00532D05" w:rsidRPr="00532D05">
        <w:rPr>
          <w:rFonts w:eastAsia="MS Mincho"/>
          <w:lang w:val="en-CA"/>
        </w:rPr>
        <w:t>to offer high-rise living wi</w:t>
      </w:r>
      <w:r w:rsidR="00D4592E">
        <w:rPr>
          <w:rFonts w:eastAsia="MS Mincho"/>
          <w:lang w:val="en-CA"/>
        </w:rPr>
        <w:t xml:space="preserve">thout parking, which would </w:t>
      </w:r>
      <w:r w:rsidR="00683268">
        <w:rPr>
          <w:rFonts w:eastAsia="MS Mincho"/>
          <w:lang w:val="en-CA"/>
        </w:rPr>
        <w:t>be an entirely</w:t>
      </w:r>
      <w:r w:rsidR="00D4592E">
        <w:rPr>
          <w:rFonts w:eastAsia="MS Mincho"/>
          <w:lang w:val="en-CA"/>
        </w:rPr>
        <w:t xml:space="preserve"> new </w:t>
      </w:r>
      <w:r w:rsidR="00683268">
        <w:rPr>
          <w:rFonts w:eastAsia="MS Mincho"/>
          <w:lang w:val="en-CA"/>
        </w:rPr>
        <w:t>concept in</w:t>
      </w:r>
      <w:r w:rsidR="00D4592E">
        <w:rPr>
          <w:rFonts w:eastAsia="MS Mincho"/>
          <w:lang w:val="en-CA"/>
        </w:rPr>
        <w:t xml:space="preserve"> Calgary.</w:t>
      </w:r>
      <w:r w:rsidR="00D11051" w:rsidRPr="00D11051">
        <w:rPr>
          <w:rFonts w:eastAsia="MS Mincho"/>
          <w:color w:val="000000"/>
          <w:lang w:val="en-CA"/>
        </w:rPr>
        <w:t xml:space="preserve"> </w:t>
      </w:r>
      <w:r w:rsidR="002557D4">
        <w:rPr>
          <w:rFonts w:eastAsia="MS Mincho"/>
          <w:color w:val="000000"/>
          <w:lang w:val="en-CA"/>
        </w:rPr>
        <w:t>But w</w:t>
      </w:r>
      <w:r w:rsidR="00D11051">
        <w:rPr>
          <w:rFonts w:eastAsia="MS Mincho"/>
          <w:color w:val="000000"/>
          <w:lang w:val="en-CA"/>
        </w:rPr>
        <w:t>as</w:t>
      </w:r>
      <w:r w:rsidR="00D11051" w:rsidRPr="00532D05">
        <w:rPr>
          <w:rFonts w:eastAsia="MS Mincho"/>
          <w:color w:val="000000"/>
          <w:lang w:val="en-CA"/>
        </w:rPr>
        <w:t xml:space="preserve"> developing a residential site without parking</w:t>
      </w:r>
      <w:r w:rsidR="00D11051">
        <w:rPr>
          <w:rFonts w:eastAsia="MS Mincho"/>
          <w:color w:val="000000"/>
          <w:lang w:val="en-CA"/>
        </w:rPr>
        <w:t xml:space="preserve"> a</w:t>
      </w:r>
      <w:r w:rsidR="00D11051" w:rsidRPr="00532D05">
        <w:rPr>
          <w:rFonts w:eastAsia="MS Mincho"/>
          <w:color w:val="000000"/>
          <w:lang w:val="en-CA"/>
        </w:rPr>
        <w:t xml:space="preserve"> viable</w:t>
      </w:r>
      <w:r w:rsidR="00D11051">
        <w:rPr>
          <w:rFonts w:eastAsia="MS Mincho"/>
          <w:color w:val="000000"/>
          <w:lang w:val="en-CA"/>
        </w:rPr>
        <w:t xml:space="preserve"> plan in this growing city</w:t>
      </w:r>
      <w:r w:rsidR="00D11051" w:rsidRPr="00532D05">
        <w:rPr>
          <w:rFonts w:eastAsia="MS Mincho"/>
          <w:color w:val="000000"/>
          <w:lang w:val="en-CA"/>
        </w:rPr>
        <w:t xml:space="preserve">? </w:t>
      </w:r>
    </w:p>
    <w:p w14:paraId="0867D45E" w14:textId="77777777" w:rsidR="00532D05" w:rsidRDefault="00532D05" w:rsidP="00480CF5">
      <w:pPr>
        <w:pStyle w:val="BodyTextMain"/>
        <w:rPr>
          <w:rFonts w:eastAsia="MS Mincho"/>
          <w:lang w:val="en-CA"/>
        </w:rPr>
      </w:pPr>
    </w:p>
    <w:p w14:paraId="124AD51F" w14:textId="77777777" w:rsidR="00480CF5" w:rsidRPr="00532D05" w:rsidRDefault="00480CF5" w:rsidP="00480CF5">
      <w:pPr>
        <w:pStyle w:val="BodyTextMain"/>
        <w:rPr>
          <w:rFonts w:eastAsia="MS Mincho"/>
          <w:lang w:val="en-CA"/>
        </w:rPr>
      </w:pPr>
    </w:p>
    <w:p w14:paraId="5BDEB7DD" w14:textId="77777777" w:rsidR="00532D05" w:rsidRPr="00532D05" w:rsidRDefault="00532D05" w:rsidP="00480CF5">
      <w:pPr>
        <w:pStyle w:val="Casehead1"/>
        <w:rPr>
          <w:rFonts w:eastAsia="MS Mincho"/>
          <w:lang w:val="en-CA"/>
        </w:rPr>
      </w:pPr>
      <w:r w:rsidRPr="00532D05">
        <w:rPr>
          <w:rFonts w:eastAsia="MS Mincho"/>
          <w:lang w:val="en-CA"/>
        </w:rPr>
        <w:t>CONTEXT OF THE CALGARY HOUSING MARKET</w:t>
      </w:r>
    </w:p>
    <w:p w14:paraId="0A407C92" w14:textId="77777777" w:rsidR="00480CF5" w:rsidRPr="00532D05" w:rsidRDefault="00480CF5" w:rsidP="00480CF5">
      <w:pPr>
        <w:pStyle w:val="BodyTextMain"/>
        <w:rPr>
          <w:rFonts w:eastAsia="MS Mincho"/>
          <w:lang w:val="en-CA"/>
        </w:rPr>
      </w:pPr>
    </w:p>
    <w:p w14:paraId="66F79400" w14:textId="0622A46C" w:rsidR="00532D05" w:rsidRPr="00827D09" w:rsidRDefault="00532D05" w:rsidP="00480CF5">
      <w:pPr>
        <w:pStyle w:val="BodyTextMain"/>
        <w:rPr>
          <w:rFonts w:eastAsia="MS Mincho"/>
          <w:color w:val="000000"/>
          <w:spacing w:val="-2"/>
          <w:kern w:val="22"/>
          <w:lang w:val="en-CA"/>
        </w:rPr>
      </w:pPr>
      <w:r w:rsidRPr="00827D09">
        <w:rPr>
          <w:rFonts w:eastAsia="MS Mincho"/>
          <w:color w:val="000000"/>
          <w:spacing w:val="-2"/>
          <w:kern w:val="22"/>
          <w:lang w:val="en-CA"/>
        </w:rPr>
        <w:t>Between 2006 and 201</w:t>
      </w:r>
      <w:r w:rsidR="00E86D7B" w:rsidRPr="00827D09">
        <w:rPr>
          <w:rFonts w:eastAsia="MS Mincho"/>
          <w:color w:val="000000"/>
          <w:spacing w:val="-2"/>
          <w:kern w:val="22"/>
          <w:lang w:val="en-CA"/>
        </w:rPr>
        <w:t>4</w:t>
      </w:r>
      <w:r w:rsidRPr="00827D09">
        <w:rPr>
          <w:rFonts w:eastAsia="MS Mincho"/>
          <w:color w:val="000000"/>
          <w:spacing w:val="-2"/>
          <w:kern w:val="22"/>
          <w:lang w:val="en-CA"/>
        </w:rPr>
        <w:t>, Calgary experienced unparalleled population growth rates</w:t>
      </w:r>
      <w:r w:rsidR="002557D4" w:rsidRPr="00827D09">
        <w:rPr>
          <w:rFonts w:eastAsia="MS Mincho"/>
          <w:color w:val="000000"/>
          <w:spacing w:val="-2"/>
          <w:kern w:val="22"/>
          <w:lang w:val="en-CA"/>
        </w:rPr>
        <w:t>—</w:t>
      </w:r>
      <w:r w:rsidR="00683268" w:rsidRPr="00827D09">
        <w:rPr>
          <w:rFonts w:eastAsia="MS Mincho"/>
          <w:color w:val="000000"/>
          <w:spacing w:val="-2"/>
          <w:kern w:val="22"/>
          <w:lang w:val="en-CA"/>
        </w:rPr>
        <w:t xml:space="preserve">the highest of </w:t>
      </w:r>
      <w:r w:rsidRPr="00827D09">
        <w:rPr>
          <w:rFonts w:eastAsia="MS Mincho"/>
          <w:color w:val="000000"/>
          <w:spacing w:val="-2"/>
          <w:kern w:val="22"/>
          <w:lang w:val="en-CA"/>
        </w:rPr>
        <w:t xml:space="preserve">any metropolitan area in Canada. It became </w:t>
      </w:r>
      <w:r w:rsidR="007E1DDA" w:rsidRPr="00827D09">
        <w:rPr>
          <w:rFonts w:eastAsia="MS Mincho"/>
          <w:color w:val="000000"/>
          <w:spacing w:val="-2"/>
          <w:kern w:val="22"/>
          <w:lang w:val="en-CA"/>
        </w:rPr>
        <w:t xml:space="preserve">the country’s </w:t>
      </w:r>
      <w:r w:rsidRPr="00827D09">
        <w:rPr>
          <w:rFonts w:eastAsia="MS Mincho"/>
          <w:color w:val="000000"/>
          <w:spacing w:val="-2"/>
          <w:kern w:val="22"/>
          <w:lang w:val="en-CA"/>
        </w:rPr>
        <w:t>fourth</w:t>
      </w:r>
      <w:r w:rsidR="00683268" w:rsidRPr="00827D09">
        <w:rPr>
          <w:rFonts w:eastAsia="MS Mincho"/>
          <w:color w:val="000000"/>
          <w:spacing w:val="-2"/>
          <w:kern w:val="22"/>
          <w:lang w:val="en-CA"/>
        </w:rPr>
        <w:t>-</w:t>
      </w:r>
      <w:r w:rsidRPr="00827D09">
        <w:rPr>
          <w:rFonts w:eastAsia="MS Mincho"/>
          <w:color w:val="000000"/>
          <w:spacing w:val="-2"/>
          <w:kern w:val="22"/>
          <w:lang w:val="en-CA"/>
        </w:rPr>
        <w:t>largest census metropolita</w:t>
      </w:r>
      <w:r w:rsidR="00C67AB8" w:rsidRPr="00827D09">
        <w:rPr>
          <w:rFonts w:eastAsia="MS Mincho"/>
          <w:color w:val="000000"/>
          <w:spacing w:val="-2"/>
          <w:kern w:val="22"/>
          <w:lang w:val="en-CA"/>
        </w:rPr>
        <w:t>n area (CMA) with 1.4 million</w:t>
      </w:r>
      <w:r w:rsidRPr="00827D09">
        <w:rPr>
          <w:rFonts w:eastAsia="MS Mincho"/>
          <w:color w:val="000000"/>
          <w:spacing w:val="-2"/>
          <w:kern w:val="22"/>
          <w:lang w:val="en-CA"/>
        </w:rPr>
        <w:t xml:space="preserve"> people. Th</w:t>
      </w:r>
      <w:r w:rsidR="00683268" w:rsidRPr="00827D09">
        <w:rPr>
          <w:rFonts w:eastAsia="MS Mincho"/>
          <w:color w:val="000000"/>
          <w:spacing w:val="-2"/>
          <w:kern w:val="22"/>
          <w:lang w:val="en-CA"/>
        </w:rPr>
        <w:t>is</w:t>
      </w:r>
      <w:r w:rsidRPr="00827D09">
        <w:rPr>
          <w:rFonts w:eastAsia="MS Mincho"/>
          <w:color w:val="000000"/>
          <w:spacing w:val="-2"/>
          <w:kern w:val="22"/>
          <w:lang w:val="en-CA"/>
        </w:rPr>
        <w:t xml:space="preserve"> growth was largely due to a booming oil and gas industry, and supporting services that offered employment opportunities for interprovincial and international migrants.</w:t>
      </w:r>
      <w:r w:rsidR="00E86D7B" w:rsidRPr="00827D09">
        <w:rPr>
          <w:rFonts w:eastAsia="MS Mincho"/>
          <w:color w:val="000000"/>
          <w:spacing w:val="-2"/>
          <w:kern w:val="22"/>
          <w:lang w:val="en-CA"/>
        </w:rPr>
        <w:t xml:space="preserve"> </w:t>
      </w:r>
      <w:r w:rsidRPr="00827D09">
        <w:rPr>
          <w:rFonts w:eastAsia="MS Mincho"/>
          <w:color w:val="000000"/>
          <w:spacing w:val="-2"/>
          <w:kern w:val="22"/>
          <w:lang w:val="en-CA"/>
        </w:rPr>
        <w:t>The</w:t>
      </w:r>
      <w:r w:rsidR="00E86D7B" w:rsidRPr="00827D09">
        <w:rPr>
          <w:rFonts w:eastAsia="MS Mincho"/>
          <w:color w:val="000000"/>
          <w:spacing w:val="-2"/>
          <w:kern w:val="22"/>
          <w:lang w:val="en-CA"/>
        </w:rPr>
        <w:t xml:space="preserve"> </w:t>
      </w:r>
      <w:r w:rsidRPr="00827D09">
        <w:rPr>
          <w:rFonts w:eastAsia="MS Mincho"/>
          <w:color w:val="000000"/>
          <w:spacing w:val="-2"/>
          <w:kern w:val="22"/>
          <w:lang w:val="en-CA"/>
        </w:rPr>
        <w:t>unprecedented number of new arrivals resulted in vast changes to the physical layout of the city. No quadrant was immune to development, and surrounding counties inside and outside the CMA were also swept up in the building frenzy</w:t>
      </w:r>
      <w:r w:rsidR="00A018CE" w:rsidRPr="00827D09">
        <w:rPr>
          <w:rFonts w:eastAsia="MS Mincho"/>
          <w:color w:val="000000"/>
          <w:spacing w:val="-2"/>
          <w:kern w:val="22"/>
          <w:lang w:val="en-CA"/>
        </w:rPr>
        <w:t>.</w:t>
      </w:r>
    </w:p>
    <w:p w14:paraId="42F5AF39" w14:textId="77777777" w:rsidR="00532D05" w:rsidRPr="00532D05" w:rsidRDefault="00532D05" w:rsidP="00480CF5">
      <w:pPr>
        <w:pStyle w:val="BodyTextMain"/>
        <w:rPr>
          <w:rFonts w:eastAsia="MS Mincho"/>
          <w:color w:val="000000"/>
          <w:lang w:val="en-CA"/>
        </w:rPr>
      </w:pPr>
    </w:p>
    <w:p w14:paraId="664FF4C6" w14:textId="1BCF0F4B" w:rsidR="00532D05" w:rsidRPr="00532D05" w:rsidRDefault="007F4338" w:rsidP="00480CF5">
      <w:pPr>
        <w:pStyle w:val="BodyTextMain"/>
        <w:rPr>
          <w:rFonts w:eastAsia="MS Mincho"/>
          <w:color w:val="000000"/>
          <w:lang w:val="en-CA"/>
        </w:rPr>
      </w:pPr>
      <w:r>
        <w:rPr>
          <w:rFonts w:eastAsia="MS Mincho"/>
          <w:color w:val="000000"/>
          <w:lang w:val="en-CA"/>
        </w:rPr>
        <w:t>The h</w:t>
      </w:r>
      <w:r w:rsidR="00B623FA">
        <w:rPr>
          <w:rFonts w:eastAsia="MS Mincho"/>
          <w:color w:val="000000"/>
          <w:lang w:val="en-CA"/>
        </w:rPr>
        <w:t>ealth of Calgary’s economy rose and fell</w:t>
      </w:r>
      <w:r>
        <w:rPr>
          <w:rFonts w:eastAsia="MS Mincho"/>
          <w:color w:val="000000"/>
          <w:lang w:val="en-CA"/>
        </w:rPr>
        <w:t xml:space="preserve"> with fluctuations in oil prices. </w:t>
      </w:r>
      <w:r w:rsidR="00B623FA">
        <w:rPr>
          <w:rFonts w:eastAsia="MS Mincho"/>
          <w:color w:val="000000"/>
          <w:lang w:val="en-CA"/>
        </w:rPr>
        <w:t>The periods of “booms”</w:t>
      </w:r>
      <w:r w:rsidR="004B27FD">
        <w:rPr>
          <w:rFonts w:eastAsia="MS Mincho"/>
          <w:color w:val="000000"/>
          <w:lang w:val="en-CA"/>
        </w:rPr>
        <w:t xml:space="preserve"> a</w:t>
      </w:r>
      <w:r w:rsidR="00B623FA">
        <w:rPr>
          <w:rFonts w:eastAsia="MS Mincho"/>
          <w:color w:val="000000"/>
          <w:lang w:val="en-CA"/>
        </w:rPr>
        <w:t>nd impending “busts” were</w:t>
      </w:r>
      <w:r w:rsidR="004B27FD">
        <w:rPr>
          <w:rFonts w:eastAsia="MS Mincho"/>
          <w:color w:val="000000"/>
          <w:lang w:val="en-CA"/>
        </w:rPr>
        <w:t xml:space="preserve"> difficu</w:t>
      </w:r>
      <w:r w:rsidR="00B623FA">
        <w:rPr>
          <w:rFonts w:eastAsia="MS Mincho"/>
          <w:color w:val="000000"/>
          <w:lang w:val="en-CA"/>
        </w:rPr>
        <w:t xml:space="preserve">lt to predict, but always left </w:t>
      </w:r>
      <w:r w:rsidR="004B27FD">
        <w:rPr>
          <w:rFonts w:eastAsia="MS Mincho"/>
          <w:color w:val="000000"/>
          <w:lang w:val="en-CA"/>
        </w:rPr>
        <w:t xml:space="preserve">their mark on the built environment. </w:t>
      </w:r>
      <w:r w:rsidR="00532D05" w:rsidRPr="00532D05">
        <w:rPr>
          <w:rFonts w:eastAsia="MS Mincho"/>
          <w:color w:val="000000"/>
          <w:lang w:val="en-CA"/>
        </w:rPr>
        <w:t>Calgary had experience</w:t>
      </w:r>
      <w:r w:rsidR="00834A1C">
        <w:rPr>
          <w:rFonts w:eastAsia="MS Mincho"/>
          <w:color w:val="000000"/>
          <w:lang w:val="en-CA"/>
        </w:rPr>
        <w:t>d</w:t>
      </w:r>
      <w:r w:rsidR="00532D05" w:rsidRPr="00532D05">
        <w:rPr>
          <w:rFonts w:eastAsia="MS Mincho"/>
          <w:color w:val="000000"/>
          <w:lang w:val="en-CA"/>
        </w:rPr>
        <w:t xml:space="preserve"> the consequences of develop</w:t>
      </w:r>
      <w:r w:rsidR="00B623FA">
        <w:rPr>
          <w:rFonts w:eastAsia="MS Mincho"/>
          <w:color w:val="000000"/>
          <w:lang w:val="en-CA"/>
        </w:rPr>
        <w:t>ment during an economic upswing</w:t>
      </w:r>
      <w:r w:rsidR="00532D05" w:rsidRPr="00532D05">
        <w:rPr>
          <w:rFonts w:eastAsia="MS Mincho"/>
          <w:color w:val="000000"/>
          <w:lang w:val="en-CA"/>
        </w:rPr>
        <w:t xml:space="preserve"> </w:t>
      </w:r>
      <w:r w:rsidR="00834A1C">
        <w:rPr>
          <w:rFonts w:eastAsia="MS Mincho"/>
          <w:color w:val="000000"/>
          <w:lang w:val="en-CA"/>
        </w:rPr>
        <w:t xml:space="preserve">and </w:t>
      </w:r>
      <w:r w:rsidR="00532D05" w:rsidRPr="00532D05">
        <w:rPr>
          <w:rFonts w:eastAsia="MS Mincho"/>
          <w:color w:val="000000"/>
          <w:lang w:val="en-CA"/>
        </w:rPr>
        <w:t xml:space="preserve">was determined to manage its urban growth in a sustainable manner. In 2005, </w:t>
      </w:r>
      <w:r w:rsidR="00827D09">
        <w:rPr>
          <w:rFonts w:eastAsia="MS Mincho"/>
          <w:color w:val="000000"/>
          <w:lang w:val="en-CA"/>
        </w:rPr>
        <w:t>the city</w:t>
      </w:r>
      <w:r w:rsidR="00532D05" w:rsidRPr="00532D05">
        <w:rPr>
          <w:rFonts w:eastAsia="MS Mincho"/>
          <w:color w:val="000000"/>
          <w:lang w:val="en-CA"/>
        </w:rPr>
        <w:t xml:space="preserve"> launched </w:t>
      </w:r>
      <w:proofErr w:type="spellStart"/>
      <w:r w:rsidR="00532D05" w:rsidRPr="00532D05">
        <w:rPr>
          <w:rFonts w:eastAsia="MS Mincho"/>
          <w:color w:val="000000"/>
          <w:lang w:val="en-CA"/>
        </w:rPr>
        <w:t>ImagineCALGARY</w:t>
      </w:r>
      <w:proofErr w:type="spellEnd"/>
      <w:r w:rsidR="00532D05" w:rsidRPr="00532D05">
        <w:rPr>
          <w:rFonts w:eastAsia="MS Mincho"/>
          <w:color w:val="000000"/>
          <w:lang w:val="en-CA"/>
        </w:rPr>
        <w:t xml:space="preserve">, “a community visioning and consultation process.” Two years later, it released </w:t>
      </w:r>
      <w:proofErr w:type="spellStart"/>
      <w:r w:rsidR="00532D05" w:rsidRPr="00532D05">
        <w:rPr>
          <w:rFonts w:eastAsia="MS Mincho"/>
          <w:color w:val="000000"/>
          <w:lang w:val="en-CA"/>
        </w:rPr>
        <w:t>PlanIt</w:t>
      </w:r>
      <w:proofErr w:type="spellEnd"/>
      <w:r w:rsidR="00532D05" w:rsidRPr="00532D05">
        <w:rPr>
          <w:rFonts w:eastAsia="MS Mincho"/>
          <w:color w:val="000000"/>
          <w:lang w:val="en-CA"/>
        </w:rPr>
        <w:t xml:space="preserve"> Calgary. These initiatives laid out land use and mobility plans to guide policies and actions on growth into the future. Both </w:t>
      </w:r>
      <w:proofErr w:type="spellStart"/>
      <w:r w:rsidR="00532D05" w:rsidRPr="00532D05">
        <w:rPr>
          <w:rFonts w:eastAsia="MS Mincho"/>
          <w:color w:val="000000"/>
          <w:lang w:val="en-CA"/>
        </w:rPr>
        <w:t>ImagineCALGARY</w:t>
      </w:r>
      <w:proofErr w:type="spellEnd"/>
      <w:r w:rsidR="00532D05" w:rsidRPr="00532D05">
        <w:rPr>
          <w:rFonts w:eastAsia="MS Mincho"/>
          <w:color w:val="000000"/>
          <w:lang w:val="en-CA"/>
        </w:rPr>
        <w:t xml:space="preserve"> and </w:t>
      </w:r>
      <w:proofErr w:type="spellStart"/>
      <w:r w:rsidR="00532D05" w:rsidRPr="00532D05">
        <w:rPr>
          <w:rFonts w:eastAsia="MS Mincho"/>
          <w:color w:val="000000"/>
          <w:lang w:val="en-CA"/>
        </w:rPr>
        <w:t>PlanIt</w:t>
      </w:r>
      <w:proofErr w:type="spellEnd"/>
      <w:r w:rsidR="00532D05" w:rsidRPr="00532D05">
        <w:rPr>
          <w:rFonts w:eastAsia="MS Mincho"/>
          <w:color w:val="000000"/>
          <w:lang w:val="en-CA"/>
        </w:rPr>
        <w:t xml:space="preserve"> Calgary employed </w:t>
      </w:r>
      <w:r w:rsidR="007E1DDA">
        <w:rPr>
          <w:rFonts w:eastAsia="MS Mincho"/>
          <w:color w:val="000000"/>
          <w:lang w:val="en-CA"/>
        </w:rPr>
        <w:t xml:space="preserve">the </w:t>
      </w:r>
      <w:r w:rsidR="00532D05" w:rsidRPr="00532D05">
        <w:rPr>
          <w:rFonts w:eastAsia="MS Mincho"/>
          <w:color w:val="000000"/>
          <w:lang w:val="en-CA"/>
        </w:rPr>
        <w:t>“smart growth” principles that</w:t>
      </w:r>
      <w:r w:rsidR="007E1DDA">
        <w:rPr>
          <w:rFonts w:eastAsia="MS Mincho"/>
          <w:color w:val="000000"/>
          <w:lang w:val="en-CA"/>
        </w:rPr>
        <w:t xml:space="preserve"> had</w:t>
      </w:r>
      <w:r w:rsidR="00532D05" w:rsidRPr="00532D05">
        <w:rPr>
          <w:rFonts w:eastAsia="MS Mincho"/>
          <w:color w:val="000000"/>
          <w:lang w:val="en-CA"/>
        </w:rPr>
        <w:t xml:space="preserve"> informed the Municipal Development Plan</w:t>
      </w:r>
      <w:r w:rsidR="00373D2A">
        <w:rPr>
          <w:rFonts w:eastAsia="MS Mincho"/>
          <w:color w:val="000000"/>
          <w:lang w:val="en-CA"/>
        </w:rPr>
        <w:t xml:space="preserve"> </w:t>
      </w:r>
      <w:r w:rsidR="00532D05" w:rsidRPr="00532D05">
        <w:rPr>
          <w:rFonts w:eastAsia="MS Mincho"/>
          <w:color w:val="000000"/>
          <w:lang w:val="en-CA"/>
        </w:rPr>
        <w:t xml:space="preserve">adopted by </w:t>
      </w:r>
      <w:r w:rsidR="00373D2A">
        <w:rPr>
          <w:rFonts w:eastAsia="MS Mincho"/>
          <w:color w:val="000000"/>
          <w:lang w:val="en-CA"/>
        </w:rPr>
        <w:t>the c</w:t>
      </w:r>
      <w:r w:rsidR="00532D05" w:rsidRPr="00532D05">
        <w:rPr>
          <w:rFonts w:eastAsia="MS Mincho"/>
          <w:color w:val="000000"/>
          <w:lang w:val="en-CA"/>
        </w:rPr>
        <w:t xml:space="preserve">ity </w:t>
      </w:r>
      <w:r w:rsidR="00373D2A">
        <w:rPr>
          <w:rFonts w:eastAsia="MS Mincho"/>
          <w:color w:val="000000"/>
          <w:lang w:val="en-CA"/>
        </w:rPr>
        <w:t>c</w:t>
      </w:r>
      <w:r w:rsidR="00532D05" w:rsidRPr="00532D05">
        <w:rPr>
          <w:rFonts w:eastAsia="MS Mincho"/>
          <w:color w:val="000000"/>
          <w:lang w:val="en-CA"/>
        </w:rPr>
        <w:t>ouncil in 2009. It was the</w:t>
      </w:r>
      <w:r w:rsidR="005A70B4">
        <w:rPr>
          <w:rFonts w:eastAsia="MS Mincho"/>
          <w:color w:val="000000"/>
          <w:lang w:val="en-CA"/>
        </w:rPr>
        <w:t xml:space="preserve"> c</w:t>
      </w:r>
      <w:r w:rsidR="00532D05" w:rsidRPr="00532D05">
        <w:rPr>
          <w:rFonts w:eastAsia="MS Mincho"/>
          <w:color w:val="000000"/>
          <w:lang w:val="en-CA"/>
        </w:rPr>
        <w:t>ity’s goal to keep 50 per</w:t>
      </w:r>
      <w:r w:rsidR="005A70B4">
        <w:rPr>
          <w:rFonts w:eastAsia="MS Mincho"/>
          <w:color w:val="000000"/>
          <w:lang w:val="en-CA"/>
        </w:rPr>
        <w:t xml:space="preserve"> </w:t>
      </w:r>
      <w:r w:rsidR="00532D05" w:rsidRPr="00532D05">
        <w:rPr>
          <w:rFonts w:eastAsia="MS Mincho"/>
          <w:color w:val="000000"/>
          <w:lang w:val="en-CA"/>
        </w:rPr>
        <w:t xml:space="preserve">cent </w:t>
      </w:r>
      <w:r w:rsidR="00532D05" w:rsidRPr="00532D05">
        <w:rPr>
          <w:rFonts w:eastAsia="MS Mincho"/>
          <w:color w:val="000000"/>
          <w:lang w:val="en-CA"/>
        </w:rPr>
        <w:lastRenderedPageBreak/>
        <w:t>of population growth inside developed areas.</w:t>
      </w:r>
      <w:r w:rsidR="00532D05" w:rsidRPr="00532D05">
        <w:rPr>
          <w:rFonts w:eastAsia="MS Mincho"/>
          <w:color w:val="000000"/>
          <w:vertAlign w:val="superscript"/>
          <w:lang w:val="en-CA"/>
        </w:rPr>
        <w:footnoteReference w:id="1"/>
      </w:r>
      <w:r w:rsidR="00532D05" w:rsidRPr="00532D05">
        <w:rPr>
          <w:rFonts w:eastAsia="MS Mincho"/>
          <w:color w:val="000000"/>
          <w:lang w:val="en-CA"/>
        </w:rPr>
        <w:t xml:space="preserve"> This target presented a major challenge for developers and home builders specializing in new communities</w:t>
      </w:r>
      <w:r w:rsidR="007E1DDA">
        <w:rPr>
          <w:rFonts w:eastAsia="MS Mincho"/>
          <w:color w:val="000000"/>
          <w:lang w:val="en-CA"/>
        </w:rPr>
        <w:t>;</w:t>
      </w:r>
      <w:r w:rsidR="00532D05" w:rsidRPr="00532D05">
        <w:rPr>
          <w:rFonts w:eastAsia="MS Mincho"/>
          <w:color w:val="000000"/>
          <w:lang w:val="en-CA"/>
        </w:rPr>
        <w:t xml:space="preserve"> </w:t>
      </w:r>
      <w:r w:rsidR="007E1DDA">
        <w:rPr>
          <w:rFonts w:eastAsia="MS Mincho"/>
          <w:color w:val="000000"/>
          <w:lang w:val="en-CA"/>
        </w:rPr>
        <w:t>h</w:t>
      </w:r>
      <w:r w:rsidR="00532D05" w:rsidRPr="00532D05">
        <w:rPr>
          <w:rFonts w:eastAsia="MS Mincho"/>
          <w:color w:val="000000"/>
          <w:lang w:val="en-CA"/>
        </w:rPr>
        <w:t xml:space="preserve">owever, it also created an opportunity for developers who were able to adapt to a changing regulatory environment. </w:t>
      </w:r>
    </w:p>
    <w:p w14:paraId="246E2C51" w14:textId="77777777" w:rsidR="00532D05" w:rsidRDefault="00532D05" w:rsidP="00480CF5">
      <w:pPr>
        <w:pStyle w:val="BodyTextMain"/>
        <w:rPr>
          <w:rFonts w:eastAsia="MS Mincho"/>
          <w:color w:val="000000"/>
          <w:lang w:val="en-CA"/>
        </w:rPr>
      </w:pPr>
    </w:p>
    <w:p w14:paraId="31A6F7D8" w14:textId="77777777" w:rsidR="00480CF5" w:rsidRPr="00532D05" w:rsidRDefault="00480CF5" w:rsidP="00480CF5">
      <w:pPr>
        <w:pStyle w:val="BodyTextMain"/>
        <w:rPr>
          <w:rFonts w:eastAsia="MS Mincho"/>
          <w:color w:val="000000"/>
          <w:lang w:val="en-CA"/>
        </w:rPr>
      </w:pPr>
    </w:p>
    <w:p w14:paraId="6D7ED9D4" w14:textId="77777777" w:rsidR="00532D05" w:rsidRPr="00532D05" w:rsidRDefault="00532D05" w:rsidP="00480CF5">
      <w:pPr>
        <w:pStyle w:val="Casehead1"/>
        <w:rPr>
          <w:rFonts w:eastAsia="MS Mincho"/>
          <w:lang w:val="en-CA"/>
        </w:rPr>
      </w:pPr>
      <w:r w:rsidRPr="00532D05">
        <w:rPr>
          <w:rFonts w:eastAsia="MS Mincho"/>
          <w:lang w:val="en-CA"/>
        </w:rPr>
        <w:t>KNIGHTSBRIDGE: A HYBRID BEGINNING</w:t>
      </w:r>
    </w:p>
    <w:p w14:paraId="36779B58" w14:textId="77777777" w:rsidR="00532D05" w:rsidRPr="00532D05" w:rsidRDefault="00532D05" w:rsidP="00480CF5">
      <w:pPr>
        <w:pStyle w:val="BodyTextMain"/>
        <w:rPr>
          <w:rFonts w:eastAsia="MS Mincho"/>
          <w:lang w:val="en-CA"/>
        </w:rPr>
      </w:pPr>
    </w:p>
    <w:p w14:paraId="212C8585" w14:textId="4DC98818" w:rsidR="00532D05" w:rsidRPr="00532D05" w:rsidRDefault="00532D05" w:rsidP="00480CF5">
      <w:pPr>
        <w:pStyle w:val="BodyTextMain"/>
        <w:rPr>
          <w:rFonts w:eastAsia="MS Mincho"/>
          <w:color w:val="000000"/>
          <w:lang w:val="en-CA"/>
        </w:rPr>
      </w:pPr>
      <w:r w:rsidRPr="00532D05">
        <w:rPr>
          <w:rFonts w:eastAsia="MS Mincho"/>
          <w:color w:val="000000"/>
          <w:lang w:val="en-CA"/>
        </w:rPr>
        <w:t xml:space="preserve">Founded in 1990, Knightsbridge </w:t>
      </w:r>
      <w:r w:rsidR="00827558">
        <w:rPr>
          <w:rFonts w:eastAsia="MS Mincho"/>
          <w:color w:val="000000"/>
          <w:lang w:val="en-CA"/>
        </w:rPr>
        <w:t>i</w:t>
      </w:r>
      <w:r w:rsidRPr="00532D05">
        <w:rPr>
          <w:rFonts w:eastAsia="MS Mincho"/>
          <w:color w:val="000000"/>
          <w:lang w:val="en-CA"/>
        </w:rPr>
        <w:t>nitially</w:t>
      </w:r>
      <w:r w:rsidR="00827558">
        <w:rPr>
          <w:rFonts w:eastAsia="MS Mincho"/>
          <w:color w:val="000000"/>
          <w:lang w:val="en-CA"/>
        </w:rPr>
        <w:t xml:space="preserve"> </w:t>
      </w:r>
      <w:r w:rsidRPr="00532D05">
        <w:rPr>
          <w:rFonts w:eastAsia="MS Mincho"/>
          <w:color w:val="000000"/>
          <w:lang w:val="en-CA"/>
        </w:rPr>
        <w:t>had a dual focus.</w:t>
      </w:r>
      <w:r w:rsidR="002C2A22">
        <w:rPr>
          <w:rFonts w:eastAsia="MS Mincho"/>
          <w:color w:val="000000"/>
          <w:lang w:val="en-CA"/>
        </w:rPr>
        <w:t xml:space="preserve"> One of its objectives was to</w:t>
      </w:r>
      <w:r w:rsidRPr="00532D05">
        <w:rPr>
          <w:rFonts w:eastAsia="MS Mincho"/>
          <w:color w:val="000000"/>
          <w:lang w:val="en-CA"/>
        </w:rPr>
        <w:t xml:space="preserve"> build infill homes in three of Calgary’s inner-city communities</w:t>
      </w:r>
      <w:r w:rsidR="00C45D50">
        <w:rPr>
          <w:rFonts w:eastAsia="MS Mincho"/>
          <w:color w:val="000000"/>
          <w:lang w:val="en-CA"/>
        </w:rPr>
        <w:t>—</w:t>
      </w:r>
      <w:r w:rsidR="00D4592E">
        <w:rPr>
          <w:rFonts w:eastAsia="MS Mincho"/>
          <w:color w:val="000000"/>
          <w:lang w:val="en-CA"/>
        </w:rPr>
        <w:t>Sunnyside</w:t>
      </w:r>
      <w:r w:rsidR="00373D2A">
        <w:rPr>
          <w:rFonts w:eastAsia="MS Mincho"/>
          <w:color w:val="000000"/>
          <w:lang w:val="en-CA"/>
        </w:rPr>
        <w:t xml:space="preserve">, </w:t>
      </w:r>
      <w:proofErr w:type="spellStart"/>
      <w:r w:rsidRPr="00532D05">
        <w:rPr>
          <w:rFonts w:eastAsia="MS Mincho"/>
          <w:color w:val="000000"/>
          <w:lang w:val="en-CA"/>
        </w:rPr>
        <w:t>Hillhurst</w:t>
      </w:r>
      <w:proofErr w:type="spellEnd"/>
      <w:r w:rsidR="00373D2A">
        <w:rPr>
          <w:rFonts w:eastAsia="MS Mincho"/>
          <w:color w:val="000000"/>
          <w:lang w:val="en-CA"/>
        </w:rPr>
        <w:t>,</w:t>
      </w:r>
      <w:r w:rsidRPr="00532D05">
        <w:rPr>
          <w:rFonts w:eastAsia="MS Mincho"/>
          <w:color w:val="000000"/>
          <w:lang w:val="en-CA"/>
        </w:rPr>
        <w:t xml:space="preserve"> and Parkdale</w:t>
      </w:r>
      <w:r w:rsidR="00C45D50">
        <w:rPr>
          <w:rFonts w:eastAsia="MS Mincho"/>
          <w:color w:val="000000"/>
          <w:lang w:val="en-CA"/>
        </w:rPr>
        <w:t>—</w:t>
      </w:r>
      <w:r w:rsidRPr="00532D05">
        <w:rPr>
          <w:rFonts w:eastAsia="MS Mincho"/>
          <w:color w:val="000000"/>
          <w:lang w:val="en-CA"/>
        </w:rPr>
        <w:t xml:space="preserve">where gentrification </w:t>
      </w:r>
      <w:r w:rsidR="003F071E">
        <w:rPr>
          <w:rFonts w:eastAsia="MS Mincho"/>
          <w:color w:val="000000"/>
          <w:lang w:val="en-CA"/>
        </w:rPr>
        <w:t xml:space="preserve">was occurring as </w:t>
      </w:r>
      <w:r w:rsidRPr="00532D05">
        <w:rPr>
          <w:rFonts w:eastAsia="MS Mincho"/>
          <w:color w:val="000000"/>
          <w:lang w:val="en-CA"/>
        </w:rPr>
        <w:t>a result of the market recognizing the amenity-based advantage of living in these established communities. With walkability to shops, restaurants</w:t>
      </w:r>
      <w:r w:rsidR="00373D2A">
        <w:rPr>
          <w:rFonts w:eastAsia="MS Mincho"/>
          <w:color w:val="000000"/>
          <w:lang w:val="en-CA"/>
        </w:rPr>
        <w:t>,</w:t>
      </w:r>
      <w:r w:rsidRPr="00532D05">
        <w:rPr>
          <w:rFonts w:eastAsia="MS Mincho"/>
          <w:color w:val="000000"/>
          <w:lang w:val="en-CA"/>
        </w:rPr>
        <w:t xml:space="preserve"> and pathways that encouraged people to reconnect with their communities, these areas of the city began to see buyers who were interested in combining location with a more contemporary home. With builders like Knightsbridge providing infill products that addressed these needs, established inner-city neighbourhoods in Calgary began to see changes in their physical and social landscapes.</w:t>
      </w:r>
    </w:p>
    <w:p w14:paraId="440AFD5B" w14:textId="77777777" w:rsidR="00532D05" w:rsidRPr="00532D05" w:rsidRDefault="00532D05" w:rsidP="00480CF5">
      <w:pPr>
        <w:pStyle w:val="BodyTextMain"/>
        <w:rPr>
          <w:rFonts w:eastAsia="MS Mincho"/>
          <w:color w:val="000000"/>
          <w:lang w:val="en-CA"/>
        </w:rPr>
      </w:pPr>
      <w:r w:rsidRPr="00532D05">
        <w:rPr>
          <w:rFonts w:eastAsia="MS Mincho"/>
          <w:color w:val="000000"/>
          <w:lang w:val="en-CA"/>
        </w:rPr>
        <w:t> </w:t>
      </w:r>
    </w:p>
    <w:p w14:paraId="74A6752E" w14:textId="15D25CC4" w:rsidR="00532D05" w:rsidRPr="00532D05" w:rsidRDefault="00116107" w:rsidP="00480CF5">
      <w:pPr>
        <w:pStyle w:val="BodyTextMain"/>
        <w:rPr>
          <w:rFonts w:eastAsia="MS Mincho"/>
          <w:color w:val="000000"/>
          <w:lang w:val="en-CA"/>
        </w:rPr>
      </w:pPr>
      <w:r>
        <w:rPr>
          <w:rFonts w:eastAsia="MS Mincho"/>
          <w:color w:val="000000"/>
          <w:lang w:val="en-CA"/>
        </w:rPr>
        <w:t>Knightsbridge’s</w:t>
      </w:r>
      <w:r w:rsidR="00532D05" w:rsidRPr="00532D05">
        <w:rPr>
          <w:rFonts w:eastAsia="MS Mincho"/>
          <w:color w:val="000000"/>
          <w:lang w:val="en-CA"/>
        </w:rPr>
        <w:t xml:space="preserve"> </w:t>
      </w:r>
      <w:r>
        <w:rPr>
          <w:rFonts w:eastAsia="MS Mincho"/>
          <w:color w:val="000000"/>
          <w:lang w:val="en-CA"/>
        </w:rPr>
        <w:t>second</w:t>
      </w:r>
      <w:r w:rsidR="00532D05" w:rsidRPr="00532D05">
        <w:rPr>
          <w:rFonts w:eastAsia="MS Mincho"/>
          <w:color w:val="000000"/>
          <w:lang w:val="en-CA"/>
        </w:rPr>
        <w:t xml:space="preserve"> focus was on designing and constructing estate homes in the upscale communities of Heritage Pointe, </w:t>
      </w:r>
      <w:proofErr w:type="spellStart"/>
      <w:r w:rsidR="00532D05" w:rsidRPr="00532D05">
        <w:rPr>
          <w:rFonts w:eastAsia="MS Mincho"/>
          <w:color w:val="000000"/>
          <w:lang w:val="en-CA"/>
        </w:rPr>
        <w:t>Springbank</w:t>
      </w:r>
      <w:proofErr w:type="spellEnd"/>
      <w:r w:rsidR="00373D2A">
        <w:rPr>
          <w:rFonts w:eastAsia="MS Mincho"/>
          <w:color w:val="000000"/>
          <w:lang w:val="en-CA"/>
        </w:rPr>
        <w:t>,</w:t>
      </w:r>
      <w:r w:rsidR="00532D05" w:rsidRPr="00532D05">
        <w:rPr>
          <w:rFonts w:eastAsia="MS Mincho"/>
          <w:color w:val="000000"/>
          <w:lang w:val="en-CA"/>
        </w:rPr>
        <w:t xml:space="preserve"> and Elbow Valley</w:t>
      </w:r>
      <w:r>
        <w:rPr>
          <w:rFonts w:eastAsia="MS Mincho"/>
          <w:color w:val="000000"/>
          <w:lang w:val="en-CA"/>
        </w:rPr>
        <w:t>,</w:t>
      </w:r>
      <w:r w:rsidR="00532D05" w:rsidRPr="00532D05">
        <w:rPr>
          <w:rFonts w:eastAsia="MS Mincho"/>
          <w:color w:val="000000"/>
          <w:lang w:val="en-CA"/>
        </w:rPr>
        <w:t xml:space="preserve"> immediately outside Calgary’s city limits. Here, </w:t>
      </w:r>
      <w:r>
        <w:rPr>
          <w:rFonts w:eastAsia="MS Mincho"/>
          <w:color w:val="000000"/>
          <w:lang w:val="en-CA"/>
        </w:rPr>
        <w:t>the company</w:t>
      </w:r>
      <w:r w:rsidRPr="00532D05">
        <w:rPr>
          <w:rFonts w:eastAsia="MS Mincho"/>
          <w:color w:val="000000"/>
          <w:lang w:val="en-CA"/>
        </w:rPr>
        <w:t xml:space="preserve"> </w:t>
      </w:r>
      <w:r w:rsidR="00532D05" w:rsidRPr="00532D05">
        <w:rPr>
          <w:rFonts w:eastAsia="MS Mincho"/>
          <w:color w:val="000000"/>
          <w:lang w:val="en-CA"/>
        </w:rPr>
        <w:t>differentiated itself from most developers</w:t>
      </w:r>
      <w:r>
        <w:rPr>
          <w:rFonts w:eastAsia="MS Mincho"/>
          <w:color w:val="000000"/>
          <w:lang w:val="en-CA"/>
        </w:rPr>
        <w:t xml:space="preserve"> by</w:t>
      </w:r>
      <w:r w:rsidR="00532D05" w:rsidRPr="00532D05">
        <w:rPr>
          <w:rFonts w:eastAsia="MS Mincho"/>
          <w:color w:val="000000"/>
          <w:lang w:val="en-CA"/>
        </w:rPr>
        <w:t xml:space="preserve"> </w:t>
      </w:r>
      <w:r>
        <w:rPr>
          <w:rFonts w:eastAsia="MS Mincho"/>
          <w:color w:val="000000"/>
          <w:lang w:val="en-CA"/>
        </w:rPr>
        <w:t>taking</w:t>
      </w:r>
      <w:r w:rsidR="00532D05" w:rsidRPr="00532D05">
        <w:rPr>
          <w:rFonts w:eastAsia="MS Mincho"/>
          <w:color w:val="000000"/>
          <w:lang w:val="en-CA"/>
        </w:rPr>
        <w:t xml:space="preserve"> a risk and present</w:t>
      </w:r>
      <w:r>
        <w:rPr>
          <w:rFonts w:eastAsia="MS Mincho"/>
          <w:color w:val="000000"/>
          <w:lang w:val="en-CA"/>
        </w:rPr>
        <w:t>ing</w:t>
      </w:r>
      <w:r w:rsidR="00532D05" w:rsidRPr="00532D05">
        <w:rPr>
          <w:rFonts w:eastAsia="MS Mincho"/>
          <w:color w:val="000000"/>
          <w:lang w:val="en-CA"/>
        </w:rPr>
        <w:t xml:space="preserve"> something new in a market that was already well</w:t>
      </w:r>
      <w:r>
        <w:rPr>
          <w:rFonts w:eastAsia="MS Mincho"/>
          <w:color w:val="000000"/>
          <w:lang w:val="en-CA"/>
        </w:rPr>
        <w:t xml:space="preserve"> </w:t>
      </w:r>
      <w:r w:rsidR="00532D05" w:rsidRPr="00532D05">
        <w:rPr>
          <w:rFonts w:eastAsia="MS Mincho"/>
          <w:color w:val="000000"/>
          <w:lang w:val="en-CA"/>
        </w:rPr>
        <w:t>established. Specifically,</w:t>
      </w:r>
      <w:r w:rsidR="00215A87">
        <w:rPr>
          <w:rFonts w:eastAsia="MS Mincho"/>
          <w:color w:val="000000"/>
          <w:lang w:val="en-CA"/>
        </w:rPr>
        <w:t xml:space="preserve"> Knightsbridge</w:t>
      </w:r>
      <w:r w:rsidR="00532D05" w:rsidRPr="00532D05">
        <w:rPr>
          <w:rFonts w:eastAsia="MS Mincho"/>
          <w:color w:val="000000"/>
          <w:lang w:val="en-CA"/>
        </w:rPr>
        <w:t xml:space="preserve"> began offering multifamily options in the form of high-end villas</w:t>
      </w:r>
      <w:r w:rsidR="00493D57">
        <w:rPr>
          <w:rFonts w:eastAsia="MS Mincho"/>
          <w:color w:val="000000"/>
          <w:lang w:val="en-CA"/>
        </w:rPr>
        <w:t>.</w:t>
      </w:r>
      <w:r w:rsidR="00215A87">
        <w:rPr>
          <w:rFonts w:eastAsia="MS Mincho"/>
          <w:color w:val="000000"/>
          <w:lang w:val="en-CA"/>
        </w:rPr>
        <w:t xml:space="preserve"> </w:t>
      </w:r>
      <w:r w:rsidR="00493D57">
        <w:rPr>
          <w:rFonts w:eastAsia="MS Mincho"/>
          <w:color w:val="000000"/>
          <w:lang w:val="en-CA"/>
        </w:rPr>
        <w:t>I</w:t>
      </w:r>
      <w:r w:rsidR="00532D05" w:rsidRPr="00532D05">
        <w:rPr>
          <w:rFonts w:eastAsia="MS Mincho"/>
          <w:color w:val="000000"/>
          <w:lang w:val="en-CA"/>
        </w:rPr>
        <w:t>n doing so,</w:t>
      </w:r>
      <w:r w:rsidR="00493D57">
        <w:rPr>
          <w:rFonts w:eastAsia="MS Mincho"/>
          <w:color w:val="000000"/>
          <w:lang w:val="en-CA"/>
        </w:rPr>
        <w:t xml:space="preserve"> the firm</w:t>
      </w:r>
      <w:r w:rsidR="00532D05" w:rsidRPr="00532D05">
        <w:rPr>
          <w:rFonts w:eastAsia="MS Mincho"/>
          <w:color w:val="000000"/>
          <w:lang w:val="en-CA"/>
        </w:rPr>
        <w:t xml:space="preserve"> exposed a new market opportunity within a location that typically contained only single-detached dwellings. </w:t>
      </w:r>
    </w:p>
    <w:p w14:paraId="30EA5FD8" w14:textId="77777777" w:rsidR="00532D05" w:rsidRPr="00532D05" w:rsidRDefault="00532D05" w:rsidP="00480CF5">
      <w:pPr>
        <w:pStyle w:val="BodyTextMain"/>
        <w:rPr>
          <w:rFonts w:eastAsia="MS Mincho"/>
          <w:color w:val="000000"/>
          <w:lang w:val="en-CA"/>
        </w:rPr>
      </w:pPr>
    </w:p>
    <w:p w14:paraId="2A6BBE4E" w14:textId="62676258" w:rsidR="00532D05" w:rsidRPr="00532D05" w:rsidRDefault="00532D05" w:rsidP="00480CF5">
      <w:pPr>
        <w:pStyle w:val="BodyTextMain"/>
        <w:rPr>
          <w:rFonts w:eastAsia="MS Mincho"/>
          <w:color w:val="000000"/>
          <w:lang w:val="en-CA"/>
        </w:rPr>
      </w:pPr>
      <w:r w:rsidRPr="00532D05">
        <w:rPr>
          <w:rFonts w:eastAsia="MS Mincho"/>
          <w:color w:val="000000"/>
          <w:lang w:val="en-CA"/>
        </w:rPr>
        <w:t xml:space="preserve">Both the infill and estate divisions were successful, and </w:t>
      </w:r>
      <w:r w:rsidR="00215A87">
        <w:rPr>
          <w:rFonts w:eastAsia="MS Mincho"/>
          <w:color w:val="000000"/>
          <w:lang w:val="en-CA"/>
        </w:rPr>
        <w:t xml:space="preserve">Knightsbridge’s </w:t>
      </w:r>
      <w:r w:rsidRPr="00532D05">
        <w:rPr>
          <w:rFonts w:eastAsia="MS Mincho"/>
          <w:color w:val="000000"/>
          <w:lang w:val="en-CA"/>
        </w:rPr>
        <w:t xml:space="preserve">revenues </w:t>
      </w:r>
      <w:r w:rsidR="00215A87">
        <w:rPr>
          <w:rFonts w:eastAsia="MS Mincho"/>
          <w:color w:val="000000"/>
          <w:lang w:val="en-CA"/>
        </w:rPr>
        <w:t>continued to</w:t>
      </w:r>
      <w:r w:rsidRPr="00532D05">
        <w:rPr>
          <w:rFonts w:eastAsia="MS Mincho"/>
          <w:color w:val="000000"/>
          <w:lang w:val="en-CA"/>
        </w:rPr>
        <w:t xml:space="preserve"> increas</w:t>
      </w:r>
      <w:r w:rsidR="00215A87">
        <w:rPr>
          <w:rFonts w:eastAsia="MS Mincho"/>
          <w:color w:val="000000"/>
          <w:lang w:val="en-CA"/>
        </w:rPr>
        <w:t>e</w:t>
      </w:r>
      <w:r w:rsidR="00493D57">
        <w:rPr>
          <w:rFonts w:eastAsia="MS Mincho"/>
          <w:color w:val="000000"/>
          <w:lang w:val="en-CA"/>
        </w:rPr>
        <w:t>;</w:t>
      </w:r>
      <w:r w:rsidRPr="00532D05">
        <w:rPr>
          <w:rFonts w:eastAsia="MS Mincho"/>
          <w:color w:val="000000"/>
          <w:lang w:val="en-CA"/>
        </w:rPr>
        <w:t xml:space="preserve"> </w:t>
      </w:r>
      <w:r w:rsidR="00493D57">
        <w:rPr>
          <w:rFonts w:eastAsia="MS Mincho"/>
          <w:color w:val="000000"/>
          <w:lang w:val="en-CA"/>
        </w:rPr>
        <w:t>h</w:t>
      </w:r>
      <w:r w:rsidRPr="00532D05">
        <w:rPr>
          <w:rFonts w:eastAsia="MS Mincho"/>
          <w:color w:val="000000"/>
          <w:lang w:val="en-CA"/>
        </w:rPr>
        <w:t>owever,</w:t>
      </w:r>
      <w:r w:rsidR="00215A87">
        <w:rPr>
          <w:rFonts w:eastAsia="MS Mincho"/>
          <w:color w:val="000000"/>
          <w:lang w:val="en-CA"/>
        </w:rPr>
        <w:t xml:space="preserve"> its </w:t>
      </w:r>
      <w:r w:rsidRPr="00532D05">
        <w:rPr>
          <w:rFonts w:eastAsia="MS Mincho"/>
          <w:color w:val="000000"/>
          <w:lang w:val="en-CA"/>
        </w:rPr>
        <w:t>construction costs</w:t>
      </w:r>
      <w:r w:rsidR="00215A87">
        <w:rPr>
          <w:rFonts w:eastAsia="MS Mincho"/>
          <w:color w:val="000000"/>
          <w:lang w:val="en-CA"/>
        </w:rPr>
        <w:t xml:space="preserve"> also rose</w:t>
      </w:r>
      <w:r w:rsidRPr="00532D05">
        <w:rPr>
          <w:rFonts w:eastAsia="MS Mincho"/>
          <w:color w:val="000000"/>
          <w:lang w:val="en-CA"/>
        </w:rPr>
        <w:t>,</w:t>
      </w:r>
      <w:r w:rsidR="00215A87">
        <w:rPr>
          <w:rFonts w:eastAsia="MS Mincho"/>
          <w:color w:val="000000"/>
          <w:lang w:val="en-CA"/>
        </w:rPr>
        <w:t xml:space="preserve"> </w:t>
      </w:r>
      <w:r w:rsidR="00493D57">
        <w:rPr>
          <w:rFonts w:eastAsia="MS Mincho"/>
          <w:color w:val="000000"/>
          <w:lang w:val="en-CA"/>
        </w:rPr>
        <w:t>negatively affecting its</w:t>
      </w:r>
      <w:r w:rsidRPr="00532D05">
        <w:rPr>
          <w:rFonts w:eastAsia="MS Mincho"/>
          <w:color w:val="000000"/>
          <w:lang w:val="en-CA"/>
        </w:rPr>
        <w:t xml:space="preserve"> margins. A</w:t>
      </w:r>
      <w:r w:rsidR="00B67ABC">
        <w:rPr>
          <w:rFonts w:eastAsia="MS Mincho"/>
          <w:color w:val="000000"/>
          <w:lang w:val="en-CA"/>
        </w:rPr>
        <w:t>s the company approached its 10</w:t>
      </w:r>
      <w:r w:rsidRPr="00532D05">
        <w:rPr>
          <w:rFonts w:eastAsia="MS Mincho"/>
          <w:color w:val="000000"/>
          <w:lang w:val="en-CA"/>
        </w:rPr>
        <w:t xml:space="preserve">th anniversary in 2000, Knightsbridge proudly offered products that reflected </w:t>
      </w:r>
      <w:r w:rsidR="0074730A">
        <w:rPr>
          <w:rFonts w:eastAsia="MS Mincho"/>
          <w:color w:val="000000"/>
          <w:lang w:val="en-CA"/>
        </w:rPr>
        <w:t>its</w:t>
      </w:r>
      <w:r w:rsidR="0074730A" w:rsidRPr="00532D05">
        <w:rPr>
          <w:rFonts w:eastAsia="MS Mincho"/>
          <w:color w:val="000000"/>
          <w:lang w:val="en-CA"/>
        </w:rPr>
        <w:t xml:space="preserve"> </w:t>
      </w:r>
      <w:r w:rsidRPr="00532D05">
        <w:rPr>
          <w:rFonts w:eastAsia="MS Mincho"/>
          <w:color w:val="000000"/>
          <w:lang w:val="en-CA"/>
        </w:rPr>
        <w:t>core values, but these products were not scalable</w:t>
      </w:r>
      <w:r w:rsidR="00D0131B">
        <w:rPr>
          <w:rFonts w:eastAsia="MS Mincho"/>
          <w:color w:val="000000"/>
          <w:lang w:val="en-CA"/>
        </w:rPr>
        <w:t xml:space="preserve"> (see Exhibit 1). </w:t>
      </w:r>
      <w:proofErr w:type="spellStart"/>
      <w:r w:rsidRPr="00532D05">
        <w:rPr>
          <w:rFonts w:eastAsia="MS Mincho"/>
          <w:color w:val="000000"/>
          <w:lang w:val="en-CA"/>
        </w:rPr>
        <w:t>Starkman</w:t>
      </w:r>
      <w:proofErr w:type="spellEnd"/>
      <w:r w:rsidRPr="00532D05">
        <w:rPr>
          <w:rFonts w:eastAsia="MS Mincho"/>
          <w:color w:val="000000"/>
          <w:lang w:val="en-CA"/>
        </w:rPr>
        <w:t xml:space="preserve"> knew that to successfully scale the business, he needed to try something different while still adhering to the company’s values. He was convinced that he </w:t>
      </w:r>
      <w:r w:rsidR="00493D57">
        <w:rPr>
          <w:rFonts w:eastAsia="MS Mincho"/>
          <w:color w:val="000000"/>
          <w:lang w:val="en-CA"/>
        </w:rPr>
        <w:t>should</w:t>
      </w:r>
      <w:r w:rsidR="00493D57" w:rsidRPr="00532D05">
        <w:rPr>
          <w:rFonts w:eastAsia="MS Mincho"/>
          <w:color w:val="000000"/>
          <w:lang w:val="en-CA"/>
        </w:rPr>
        <w:t xml:space="preserve"> </w:t>
      </w:r>
      <w:r w:rsidRPr="00532D05">
        <w:rPr>
          <w:rFonts w:eastAsia="MS Mincho"/>
          <w:color w:val="000000"/>
          <w:lang w:val="en-CA"/>
        </w:rPr>
        <w:t>take a more innovative approach</w:t>
      </w:r>
      <w:r w:rsidR="0098640B">
        <w:rPr>
          <w:rFonts w:eastAsia="MS Mincho"/>
          <w:color w:val="000000"/>
          <w:lang w:val="en-CA"/>
        </w:rPr>
        <w:t xml:space="preserve"> and </w:t>
      </w:r>
      <w:r w:rsidR="002116AA">
        <w:rPr>
          <w:rFonts w:eastAsia="MS Mincho"/>
          <w:color w:val="000000"/>
          <w:lang w:val="en-CA"/>
        </w:rPr>
        <w:t>create</w:t>
      </w:r>
      <w:r w:rsidR="0098640B">
        <w:rPr>
          <w:rFonts w:eastAsia="MS Mincho"/>
          <w:color w:val="000000"/>
          <w:lang w:val="en-CA"/>
        </w:rPr>
        <w:t xml:space="preserve"> something completely new</w:t>
      </w:r>
      <w:r w:rsidR="00493D57">
        <w:rPr>
          <w:rFonts w:eastAsia="MS Mincho"/>
          <w:color w:val="000000"/>
          <w:lang w:val="en-CA"/>
        </w:rPr>
        <w:t>,</w:t>
      </w:r>
      <w:r w:rsidRPr="00532D05">
        <w:rPr>
          <w:rFonts w:eastAsia="MS Mincho"/>
          <w:color w:val="000000"/>
          <w:lang w:val="en-CA"/>
        </w:rPr>
        <w:t xml:space="preserve"> </w:t>
      </w:r>
      <w:r w:rsidR="00493D57">
        <w:rPr>
          <w:rFonts w:eastAsia="MS Mincho"/>
          <w:color w:val="000000"/>
          <w:lang w:val="en-CA"/>
        </w:rPr>
        <w:t>avoid</w:t>
      </w:r>
      <w:r w:rsidR="0098640B">
        <w:rPr>
          <w:rFonts w:eastAsia="MS Mincho"/>
          <w:color w:val="000000"/>
          <w:lang w:val="en-CA"/>
        </w:rPr>
        <w:t>ing</w:t>
      </w:r>
      <w:r w:rsidRPr="00532D05">
        <w:rPr>
          <w:rFonts w:eastAsia="MS Mincho"/>
          <w:color w:val="000000"/>
          <w:lang w:val="en-CA"/>
        </w:rPr>
        <w:t xml:space="preserve"> what he felt was </w:t>
      </w:r>
      <w:r w:rsidRPr="00D4592E">
        <w:rPr>
          <w:rFonts w:eastAsia="MS Mincho"/>
          <w:color w:val="000000"/>
          <w:lang w:val="en-CA"/>
        </w:rPr>
        <w:t xml:space="preserve">the </w:t>
      </w:r>
      <w:r w:rsidR="00D4592E">
        <w:rPr>
          <w:rFonts w:eastAsia="MS Mincho"/>
          <w:color w:val="000000"/>
          <w:lang w:val="en-CA"/>
        </w:rPr>
        <w:t>norm</w:t>
      </w:r>
      <w:r w:rsidRPr="00532D05">
        <w:rPr>
          <w:rFonts w:eastAsia="MS Mincho"/>
          <w:color w:val="000000"/>
          <w:lang w:val="en-CA"/>
        </w:rPr>
        <w:t xml:space="preserve"> in the Calgary market</w:t>
      </w:r>
      <w:r w:rsidR="00D0131B">
        <w:rPr>
          <w:rFonts w:eastAsia="MS Mincho"/>
          <w:color w:val="000000"/>
          <w:lang w:val="en-CA"/>
        </w:rPr>
        <w:t>.</w:t>
      </w:r>
    </w:p>
    <w:p w14:paraId="02709234" w14:textId="77777777" w:rsidR="00532D05" w:rsidRDefault="00532D05" w:rsidP="00480CF5">
      <w:pPr>
        <w:pStyle w:val="BodyTextMain"/>
        <w:rPr>
          <w:rFonts w:eastAsia="MS Mincho"/>
          <w:color w:val="000000"/>
          <w:lang w:val="en-CA"/>
        </w:rPr>
      </w:pPr>
    </w:p>
    <w:p w14:paraId="33A57C87" w14:textId="77777777" w:rsidR="00480CF5" w:rsidRPr="00532D05" w:rsidRDefault="00480CF5" w:rsidP="00480CF5">
      <w:pPr>
        <w:pStyle w:val="BodyTextMain"/>
        <w:rPr>
          <w:rFonts w:eastAsia="MS Mincho"/>
          <w:color w:val="000000"/>
          <w:lang w:val="en-CA"/>
        </w:rPr>
      </w:pPr>
    </w:p>
    <w:p w14:paraId="6EA72441" w14:textId="2A12D88B" w:rsidR="00532D05" w:rsidRPr="00532D05" w:rsidRDefault="00532D05" w:rsidP="00480CF5">
      <w:pPr>
        <w:pStyle w:val="Casehead1"/>
        <w:rPr>
          <w:rFonts w:eastAsia="MS Mincho"/>
          <w:lang w:val="en-CA"/>
        </w:rPr>
      </w:pPr>
      <w:r w:rsidRPr="00532D05">
        <w:rPr>
          <w:rFonts w:eastAsia="MS Mincho"/>
          <w:lang w:val="en-CA"/>
        </w:rPr>
        <w:t xml:space="preserve">BREAKING AWAY FROM THE </w:t>
      </w:r>
      <w:r w:rsidR="00D4592E">
        <w:rPr>
          <w:rFonts w:eastAsia="MS Mincho"/>
          <w:lang w:val="en-CA"/>
        </w:rPr>
        <w:t>norm</w:t>
      </w:r>
    </w:p>
    <w:p w14:paraId="1D26C0F6" w14:textId="77777777" w:rsidR="00532D05" w:rsidRPr="00532D05" w:rsidRDefault="00532D05" w:rsidP="00480CF5">
      <w:pPr>
        <w:pStyle w:val="BodyTextMain"/>
        <w:rPr>
          <w:rFonts w:eastAsia="MS Mincho"/>
          <w:lang w:val="en-CA"/>
        </w:rPr>
      </w:pPr>
    </w:p>
    <w:p w14:paraId="72C54DD8" w14:textId="54CC596C" w:rsidR="00532D05" w:rsidRPr="00532D05" w:rsidRDefault="00532D05" w:rsidP="00480CF5">
      <w:pPr>
        <w:pStyle w:val="BodyTextMain"/>
        <w:rPr>
          <w:rFonts w:eastAsia="MS Mincho"/>
          <w:lang w:val="en-CA"/>
        </w:rPr>
      </w:pPr>
      <w:proofErr w:type="spellStart"/>
      <w:r w:rsidRPr="00532D05">
        <w:rPr>
          <w:rFonts w:eastAsia="MS Mincho"/>
          <w:lang w:val="en-CA"/>
        </w:rPr>
        <w:t>Starkman</w:t>
      </w:r>
      <w:proofErr w:type="spellEnd"/>
      <w:r w:rsidRPr="00532D05">
        <w:rPr>
          <w:rFonts w:eastAsia="MS Mincho"/>
          <w:lang w:val="en-CA"/>
        </w:rPr>
        <w:t xml:space="preserve"> was aware that it would be a challenge to break away from the status quo. Still, he remained optimistic. He </w:t>
      </w:r>
      <w:r w:rsidR="00CA7513">
        <w:rPr>
          <w:rFonts w:eastAsia="MS Mincho"/>
          <w:lang w:val="en-CA"/>
        </w:rPr>
        <w:t>believed</w:t>
      </w:r>
      <w:r w:rsidRPr="00532D05">
        <w:rPr>
          <w:rFonts w:eastAsia="MS Mincho"/>
          <w:lang w:val="en-CA"/>
        </w:rPr>
        <w:t xml:space="preserve"> that his core values held the key to scaling </w:t>
      </w:r>
      <w:r w:rsidR="0098640B">
        <w:rPr>
          <w:rFonts w:eastAsia="MS Mincho"/>
          <w:lang w:val="en-CA"/>
        </w:rPr>
        <w:t>Knightsbridge</w:t>
      </w:r>
      <w:r w:rsidRPr="00532D05">
        <w:rPr>
          <w:rFonts w:eastAsia="MS Mincho"/>
          <w:lang w:val="en-CA"/>
        </w:rPr>
        <w:t xml:space="preserve">, and that successful growth could be obtained by sticking to them. Cities </w:t>
      </w:r>
      <w:r w:rsidR="00CA7513">
        <w:rPr>
          <w:rFonts w:eastAsia="MS Mincho"/>
          <w:lang w:val="en-CA"/>
        </w:rPr>
        <w:t>represented</w:t>
      </w:r>
      <w:r w:rsidRPr="00532D05">
        <w:rPr>
          <w:rFonts w:eastAsia="MS Mincho"/>
          <w:lang w:val="en-CA"/>
        </w:rPr>
        <w:t xml:space="preserve"> intersection</w:t>
      </w:r>
      <w:r w:rsidR="00CA7513">
        <w:rPr>
          <w:rFonts w:eastAsia="MS Mincho"/>
          <w:lang w:val="en-CA"/>
        </w:rPr>
        <w:t>s</w:t>
      </w:r>
      <w:r w:rsidRPr="00532D05">
        <w:rPr>
          <w:rFonts w:eastAsia="MS Mincho"/>
          <w:lang w:val="en-CA"/>
        </w:rPr>
        <w:t xml:space="preserve"> of people and place, and </w:t>
      </w:r>
      <w:proofErr w:type="spellStart"/>
      <w:r w:rsidRPr="00532D05">
        <w:rPr>
          <w:rFonts w:eastAsia="MS Mincho"/>
          <w:lang w:val="en-CA"/>
        </w:rPr>
        <w:t>Starkman</w:t>
      </w:r>
      <w:proofErr w:type="spellEnd"/>
      <w:r w:rsidRPr="00532D05">
        <w:rPr>
          <w:rFonts w:eastAsia="MS Mincho"/>
          <w:lang w:val="en-CA"/>
        </w:rPr>
        <w:t xml:space="preserve"> knew the importance of talking to people and understanding their needs rather than focusing on </w:t>
      </w:r>
      <w:r w:rsidR="00CA7513">
        <w:rPr>
          <w:rFonts w:eastAsia="MS Mincho"/>
          <w:lang w:val="en-CA"/>
        </w:rPr>
        <w:t>designs and materials</w:t>
      </w:r>
      <w:r w:rsidRPr="00532D05">
        <w:rPr>
          <w:rFonts w:eastAsia="MS Mincho"/>
          <w:lang w:val="en-CA"/>
        </w:rPr>
        <w:t xml:space="preserve"> and expecting people to adapt. </w:t>
      </w:r>
      <w:r w:rsidR="00D4592E">
        <w:rPr>
          <w:rFonts w:eastAsia="MS Mincho"/>
          <w:lang w:val="en-CA"/>
        </w:rPr>
        <w:t>Staying informed</w:t>
      </w:r>
      <w:r w:rsidRPr="00532D05">
        <w:rPr>
          <w:rFonts w:eastAsia="MS Mincho"/>
          <w:lang w:val="en-CA"/>
        </w:rPr>
        <w:t xml:space="preserve"> provided </w:t>
      </w:r>
      <w:proofErr w:type="spellStart"/>
      <w:r w:rsidRPr="00532D05">
        <w:rPr>
          <w:rFonts w:eastAsia="MS Mincho"/>
          <w:lang w:val="en-CA"/>
        </w:rPr>
        <w:t>Starkman</w:t>
      </w:r>
      <w:proofErr w:type="spellEnd"/>
      <w:r w:rsidRPr="00532D05">
        <w:rPr>
          <w:rFonts w:eastAsia="MS Mincho"/>
          <w:lang w:val="en-CA"/>
        </w:rPr>
        <w:t xml:space="preserve"> with unique insight into underserved markets. In 2004,</w:t>
      </w:r>
      <w:r w:rsidR="00CA7513">
        <w:rPr>
          <w:rFonts w:eastAsia="MS Mincho"/>
          <w:lang w:val="en-CA"/>
        </w:rPr>
        <w:t xml:space="preserve"> he</w:t>
      </w:r>
      <w:r w:rsidRPr="00532D05">
        <w:rPr>
          <w:rFonts w:eastAsia="MS Mincho"/>
          <w:lang w:val="en-CA"/>
        </w:rPr>
        <w:t xml:space="preserve"> saw an opportunit</w:t>
      </w:r>
      <w:r w:rsidR="00B623FA">
        <w:rPr>
          <w:rFonts w:eastAsia="MS Mincho"/>
          <w:lang w:val="en-CA"/>
        </w:rPr>
        <w:t>y to shift Knightsbridge toward</w:t>
      </w:r>
      <w:r w:rsidRPr="00532D05">
        <w:rPr>
          <w:rFonts w:eastAsia="MS Mincho"/>
          <w:lang w:val="en-CA"/>
        </w:rPr>
        <w:t xml:space="preserve"> higher</w:t>
      </w:r>
      <w:r w:rsidR="00B623FA">
        <w:rPr>
          <w:rFonts w:eastAsia="MS Mincho"/>
          <w:lang w:val="en-CA"/>
        </w:rPr>
        <w:t xml:space="preserve"> </w:t>
      </w:r>
      <w:r w:rsidRPr="00532D05">
        <w:rPr>
          <w:rFonts w:eastAsia="MS Mincho"/>
          <w:lang w:val="en-CA"/>
        </w:rPr>
        <w:t xml:space="preserve">density </w:t>
      </w:r>
      <w:r w:rsidR="00CA7513">
        <w:rPr>
          <w:rFonts w:eastAsia="MS Mincho"/>
          <w:lang w:val="en-CA"/>
        </w:rPr>
        <w:t>development,</w:t>
      </w:r>
      <w:r w:rsidRPr="00532D05">
        <w:rPr>
          <w:rFonts w:eastAsia="MS Mincho"/>
          <w:lang w:val="en-CA"/>
        </w:rPr>
        <w:t xml:space="preserve"> starting with the 120-unit Villa </w:t>
      </w:r>
      <w:proofErr w:type="spellStart"/>
      <w:r w:rsidRPr="00532D05">
        <w:rPr>
          <w:rFonts w:eastAsia="MS Mincho"/>
          <w:lang w:val="en-CA"/>
        </w:rPr>
        <w:t>D’Este</w:t>
      </w:r>
      <w:proofErr w:type="spellEnd"/>
      <w:r w:rsidRPr="00532D05">
        <w:rPr>
          <w:rFonts w:eastAsia="MS Mincho"/>
          <w:lang w:val="en-CA"/>
        </w:rPr>
        <w:t xml:space="preserve"> in the </w:t>
      </w:r>
      <w:r w:rsidR="00CA7513">
        <w:rPr>
          <w:rFonts w:eastAsia="MS Mincho"/>
          <w:lang w:val="en-CA"/>
        </w:rPr>
        <w:t xml:space="preserve">Northwest </w:t>
      </w:r>
      <w:r w:rsidRPr="00532D05">
        <w:rPr>
          <w:rFonts w:eastAsia="MS Mincho"/>
          <w:lang w:val="en-CA"/>
        </w:rPr>
        <w:t>Calgary</w:t>
      </w:r>
      <w:r w:rsidR="00CA7513">
        <w:rPr>
          <w:rFonts w:eastAsia="MS Mincho"/>
          <w:lang w:val="en-CA"/>
        </w:rPr>
        <w:t xml:space="preserve"> community of Tuscany</w:t>
      </w:r>
      <w:r w:rsidRPr="00532D05">
        <w:rPr>
          <w:rFonts w:eastAsia="MS Mincho"/>
          <w:lang w:val="en-CA"/>
        </w:rPr>
        <w:t xml:space="preserve">. </w:t>
      </w:r>
      <w:r w:rsidR="00CA7513">
        <w:rPr>
          <w:rFonts w:eastAsia="MS Mincho"/>
          <w:lang w:val="en-CA"/>
        </w:rPr>
        <w:t>In this way, one</w:t>
      </w:r>
      <w:r w:rsidRPr="00532D05">
        <w:rPr>
          <w:rFonts w:eastAsia="MS Mincho"/>
          <w:lang w:val="en-CA"/>
        </w:rPr>
        <w:t xml:space="preserve"> year later, when the </w:t>
      </w:r>
      <w:r w:rsidR="008422B4">
        <w:rPr>
          <w:rFonts w:eastAsia="MS Mincho"/>
          <w:lang w:val="en-CA"/>
        </w:rPr>
        <w:t>city</w:t>
      </w:r>
      <w:r w:rsidRPr="00532D05">
        <w:rPr>
          <w:rFonts w:eastAsia="MS Mincho"/>
          <w:lang w:val="en-CA"/>
        </w:rPr>
        <w:t xml:space="preserve"> initiated </w:t>
      </w:r>
      <w:proofErr w:type="spellStart"/>
      <w:r w:rsidRPr="00532D05">
        <w:rPr>
          <w:rFonts w:eastAsia="MS Mincho"/>
          <w:lang w:val="en-CA"/>
        </w:rPr>
        <w:t>ImagineCALGARY</w:t>
      </w:r>
      <w:proofErr w:type="spellEnd"/>
      <w:r w:rsidRPr="00532D05">
        <w:rPr>
          <w:rFonts w:eastAsia="MS Mincho"/>
          <w:lang w:val="en-CA"/>
        </w:rPr>
        <w:t xml:space="preserve">, </w:t>
      </w:r>
      <w:proofErr w:type="spellStart"/>
      <w:r w:rsidRPr="00532D05">
        <w:rPr>
          <w:rFonts w:eastAsia="MS Mincho"/>
          <w:lang w:val="en-CA"/>
        </w:rPr>
        <w:t>Starkman</w:t>
      </w:r>
      <w:proofErr w:type="spellEnd"/>
      <w:r w:rsidRPr="00532D05">
        <w:rPr>
          <w:rFonts w:eastAsia="MS Mincho"/>
          <w:lang w:val="en-CA"/>
        </w:rPr>
        <w:t xml:space="preserve"> was already ahead of the </w:t>
      </w:r>
      <w:r w:rsidR="00CA7513">
        <w:rPr>
          <w:rFonts w:eastAsia="MS Mincho"/>
          <w:lang w:val="en-CA"/>
        </w:rPr>
        <w:t>curve</w:t>
      </w:r>
      <w:r w:rsidRPr="00532D05">
        <w:rPr>
          <w:rFonts w:eastAsia="MS Mincho"/>
          <w:lang w:val="en-CA"/>
        </w:rPr>
        <w:t xml:space="preserve">.  </w:t>
      </w:r>
    </w:p>
    <w:p w14:paraId="16484551" w14:textId="77777777" w:rsidR="00532D05" w:rsidRPr="00532D05" w:rsidRDefault="00532D05" w:rsidP="00480CF5">
      <w:pPr>
        <w:pStyle w:val="BodyTextMain"/>
        <w:rPr>
          <w:rFonts w:eastAsia="MS Mincho"/>
          <w:lang w:val="en-CA"/>
        </w:rPr>
      </w:pPr>
    </w:p>
    <w:p w14:paraId="6D97F2FD" w14:textId="44C242D6" w:rsidR="00532D05" w:rsidRPr="00532D05" w:rsidRDefault="00532D05" w:rsidP="00480CF5">
      <w:pPr>
        <w:pStyle w:val="BodyTextMain"/>
        <w:rPr>
          <w:rFonts w:eastAsia="MS Mincho"/>
          <w:lang w:val="en-CA"/>
        </w:rPr>
      </w:pPr>
      <w:r w:rsidRPr="00532D05">
        <w:rPr>
          <w:rFonts w:eastAsia="MS Mincho"/>
          <w:lang w:val="en-CA"/>
        </w:rPr>
        <w:t xml:space="preserve">Villa </w:t>
      </w:r>
      <w:proofErr w:type="spellStart"/>
      <w:r w:rsidRPr="00532D05">
        <w:rPr>
          <w:rFonts w:eastAsia="MS Mincho"/>
          <w:lang w:val="en-CA"/>
        </w:rPr>
        <w:t>D’Este</w:t>
      </w:r>
      <w:proofErr w:type="spellEnd"/>
      <w:r w:rsidRPr="00532D05">
        <w:rPr>
          <w:rFonts w:eastAsia="MS Mincho"/>
          <w:lang w:val="en-CA"/>
        </w:rPr>
        <w:t xml:space="preserve"> was the first step on a path not yet taken by others in Calgary’s home-building industry. </w:t>
      </w:r>
      <w:r w:rsidR="006A1706">
        <w:rPr>
          <w:rFonts w:eastAsia="MS Mincho"/>
          <w:lang w:val="en-CA"/>
        </w:rPr>
        <w:t>The development</w:t>
      </w:r>
      <w:r w:rsidRPr="00532D05">
        <w:rPr>
          <w:rFonts w:eastAsia="MS Mincho"/>
          <w:lang w:val="en-CA"/>
        </w:rPr>
        <w:t xml:space="preserve"> catered to people</w:t>
      </w:r>
      <w:r w:rsidR="006A1706">
        <w:rPr>
          <w:rFonts w:eastAsia="MS Mincho"/>
          <w:lang w:val="en-CA"/>
        </w:rPr>
        <w:t>—</w:t>
      </w:r>
      <w:r w:rsidR="009E14E2">
        <w:rPr>
          <w:rFonts w:eastAsia="MS Mincho"/>
          <w:lang w:val="en-CA"/>
        </w:rPr>
        <w:t>espe</w:t>
      </w:r>
      <w:r w:rsidR="00C1168C">
        <w:rPr>
          <w:rFonts w:eastAsia="MS Mincho"/>
          <w:lang w:val="en-CA"/>
        </w:rPr>
        <w:t>cially</w:t>
      </w:r>
      <w:r w:rsidR="00CA7513">
        <w:rPr>
          <w:rFonts w:eastAsia="MS Mincho"/>
          <w:lang w:val="en-CA"/>
        </w:rPr>
        <w:t xml:space="preserve"> older parents with children who had left home (also known as</w:t>
      </w:r>
      <w:r w:rsidRPr="00532D05">
        <w:rPr>
          <w:rFonts w:eastAsia="MS Mincho"/>
          <w:lang w:val="en-CA"/>
        </w:rPr>
        <w:t xml:space="preserve"> </w:t>
      </w:r>
      <w:r w:rsidR="00CA7513">
        <w:rPr>
          <w:rFonts w:eastAsia="MS Mincho"/>
          <w:lang w:val="en-CA"/>
        </w:rPr>
        <w:t>“</w:t>
      </w:r>
      <w:r w:rsidRPr="00532D05">
        <w:rPr>
          <w:rFonts w:eastAsia="MS Mincho"/>
          <w:lang w:val="en-CA"/>
        </w:rPr>
        <w:t>empty nesters</w:t>
      </w:r>
      <w:r w:rsidR="00CA7513">
        <w:rPr>
          <w:rFonts w:eastAsia="MS Mincho"/>
          <w:lang w:val="en-CA"/>
        </w:rPr>
        <w:t>”)</w:t>
      </w:r>
      <w:r w:rsidR="006A1706">
        <w:rPr>
          <w:rFonts w:eastAsia="MS Mincho"/>
          <w:lang w:val="en-CA"/>
        </w:rPr>
        <w:t>—</w:t>
      </w:r>
      <w:r w:rsidRPr="00532D05">
        <w:rPr>
          <w:rFonts w:eastAsia="MS Mincho"/>
          <w:lang w:val="en-CA"/>
        </w:rPr>
        <w:t>who preferred the estate lifestyle, open floorplans</w:t>
      </w:r>
      <w:r w:rsidR="00CA7513">
        <w:rPr>
          <w:rFonts w:eastAsia="MS Mincho"/>
          <w:lang w:val="en-CA"/>
        </w:rPr>
        <w:t>,</w:t>
      </w:r>
      <w:r w:rsidRPr="00532D05">
        <w:rPr>
          <w:rFonts w:eastAsia="MS Mincho"/>
          <w:lang w:val="en-CA"/>
        </w:rPr>
        <w:t xml:space="preserve"> and high-end design that </w:t>
      </w:r>
      <w:r w:rsidRPr="00532D05">
        <w:rPr>
          <w:rFonts w:eastAsia="MS Mincho"/>
          <w:lang w:val="en-CA"/>
        </w:rPr>
        <w:lastRenderedPageBreak/>
        <w:t xml:space="preserve">Knightsbridge had perfected, but presented </w:t>
      </w:r>
      <w:r w:rsidRPr="00101E18">
        <w:rPr>
          <w:rFonts w:eastAsia="MS Mincho"/>
          <w:lang w:val="en-CA"/>
        </w:rPr>
        <w:t>in a “lock and go” package</w:t>
      </w:r>
      <w:r w:rsidRPr="00532D05">
        <w:rPr>
          <w:rFonts w:eastAsia="MS Mincho"/>
          <w:lang w:val="en-CA"/>
        </w:rPr>
        <w:t>.</w:t>
      </w:r>
      <w:r w:rsidR="00F730A9">
        <w:rPr>
          <w:rStyle w:val="FootnoteReference"/>
          <w:rFonts w:eastAsia="MS Mincho"/>
          <w:lang w:val="en-CA"/>
        </w:rPr>
        <w:footnoteReference w:id="2"/>
      </w:r>
      <w:r w:rsidRPr="00532D05">
        <w:rPr>
          <w:rFonts w:eastAsia="MS Mincho"/>
          <w:lang w:val="en-CA"/>
        </w:rPr>
        <w:t xml:space="preserve"> Villa </w:t>
      </w:r>
      <w:proofErr w:type="spellStart"/>
      <w:r w:rsidRPr="00532D05">
        <w:rPr>
          <w:rFonts w:eastAsia="MS Mincho"/>
          <w:lang w:val="en-CA"/>
        </w:rPr>
        <w:t>D’Este</w:t>
      </w:r>
      <w:proofErr w:type="spellEnd"/>
      <w:r w:rsidRPr="00532D05">
        <w:rPr>
          <w:rFonts w:eastAsia="MS Mincho"/>
          <w:lang w:val="en-CA"/>
        </w:rPr>
        <w:t xml:space="preserve"> offered a suburban environment with easy access to the Rocky Mountains and downtown Calgary, as well as to retail and health services in the vicinity, but without the maintenance often required in estate homes.</w:t>
      </w:r>
      <w:r w:rsidR="00C1168C">
        <w:rPr>
          <w:rFonts w:eastAsia="MS Mincho"/>
          <w:lang w:val="en-CA"/>
        </w:rPr>
        <w:t xml:space="preserve"> Each </w:t>
      </w:r>
      <w:r w:rsidRPr="00532D05">
        <w:rPr>
          <w:rFonts w:eastAsia="MS Mincho"/>
          <w:lang w:val="en-CA"/>
        </w:rPr>
        <w:t xml:space="preserve">unit had storage, a large master suite, and </w:t>
      </w:r>
      <w:r w:rsidR="00C1168C">
        <w:rPr>
          <w:rFonts w:eastAsia="MS Mincho"/>
          <w:lang w:val="en-CA"/>
        </w:rPr>
        <w:t xml:space="preserve">a </w:t>
      </w:r>
      <w:r w:rsidRPr="00532D05">
        <w:rPr>
          <w:rFonts w:eastAsia="MS Mincho"/>
          <w:lang w:val="en-CA"/>
        </w:rPr>
        <w:t>titled parking spot in an underground parkade</w:t>
      </w:r>
      <w:r w:rsidR="006E21DD">
        <w:rPr>
          <w:rFonts w:eastAsia="MS Mincho"/>
          <w:lang w:val="en-CA"/>
        </w:rPr>
        <w:t xml:space="preserve"> (a multistory parking garage)</w:t>
      </w:r>
      <w:r w:rsidRPr="00532D05">
        <w:rPr>
          <w:rFonts w:eastAsia="MS Mincho"/>
          <w:lang w:val="en-CA"/>
        </w:rPr>
        <w:t xml:space="preserve">. </w:t>
      </w:r>
      <w:r w:rsidR="00C1168C">
        <w:rPr>
          <w:rFonts w:eastAsia="MS Mincho"/>
          <w:lang w:val="en-CA"/>
        </w:rPr>
        <w:t>For most buyers, these units represented a “</w:t>
      </w:r>
      <w:r w:rsidRPr="00532D05">
        <w:rPr>
          <w:rFonts w:eastAsia="MS Mincho"/>
          <w:lang w:val="en-CA"/>
        </w:rPr>
        <w:t>downsiz</w:t>
      </w:r>
      <w:r w:rsidR="00C1168C">
        <w:rPr>
          <w:rFonts w:eastAsia="MS Mincho"/>
          <w:lang w:val="en-CA"/>
        </w:rPr>
        <w:t>e</w:t>
      </w:r>
      <w:r w:rsidRPr="00532D05">
        <w:rPr>
          <w:rFonts w:eastAsia="MS Mincho"/>
          <w:lang w:val="en-CA"/>
        </w:rPr>
        <w:t>,</w:t>
      </w:r>
      <w:r w:rsidR="00C1168C">
        <w:rPr>
          <w:rFonts w:eastAsia="MS Mincho"/>
          <w:lang w:val="en-CA"/>
        </w:rPr>
        <w:t>”</w:t>
      </w:r>
      <w:r w:rsidRPr="00532D05">
        <w:rPr>
          <w:rFonts w:eastAsia="MS Mincho"/>
          <w:lang w:val="en-CA"/>
        </w:rPr>
        <w:t xml:space="preserve"> but without sacrificing lifestyle. There was no equivalent </w:t>
      </w:r>
      <w:r w:rsidR="002116AA">
        <w:rPr>
          <w:rFonts w:eastAsia="MS Mincho"/>
          <w:lang w:val="en-CA"/>
        </w:rPr>
        <w:t xml:space="preserve">to </w:t>
      </w:r>
      <w:r w:rsidR="002116AA" w:rsidRPr="00532D05">
        <w:rPr>
          <w:rFonts w:eastAsia="MS Mincho"/>
          <w:lang w:val="en-CA"/>
        </w:rPr>
        <w:t xml:space="preserve">Villa </w:t>
      </w:r>
      <w:proofErr w:type="spellStart"/>
      <w:r w:rsidR="002116AA" w:rsidRPr="00532D05">
        <w:rPr>
          <w:rFonts w:eastAsia="MS Mincho"/>
          <w:lang w:val="en-CA"/>
        </w:rPr>
        <w:t>D’Este</w:t>
      </w:r>
      <w:proofErr w:type="spellEnd"/>
      <w:r w:rsidR="002116AA" w:rsidRPr="00532D05">
        <w:rPr>
          <w:rFonts w:eastAsia="MS Mincho"/>
          <w:lang w:val="en-CA"/>
        </w:rPr>
        <w:t xml:space="preserve"> </w:t>
      </w:r>
      <w:r w:rsidRPr="00532D05">
        <w:rPr>
          <w:rFonts w:eastAsia="MS Mincho"/>
          <w:lang w:val="en-CA"/>
        </w:rPr>
        <w:t>in the market</w:t>
      </w:r>
      <w:r w:rsidR="002116AA">
        <w:rPr>
          <w:rFonts w:eastAsia="MS Mincho"/>
          <w:lang w:val="en-CA"/>
        </w:rPr>
        <w:t>,</w:t>
      </w:r>
      <w:r w:rsidRPr="00532D05">
        <w:rPr>
          <w:rFonts w:eastAsia="MS Mincho"/>
          <w:lang w:val="en-CA"/>
        </w:rPr>
        <w:t xml:space="preserve"> which made mar</w:t>
      </w:r>
      <w:r w:rsidR="00B623FA">
        <w:rPr>
          <w:rFonts w:eastAsia="MS Mincho"/>
          <w:lang w:val="en-CA"/>
        </w:rPr>
        <w:t xml:space="preserve">keting a challenge. However, </w:t>
      </w:r>
      <w:proofErr w:type="spellStart"/>
      <w:r w:rsidRPr="00532D05">
        <w:rPr>
          <w:rFonts w:eastAsia="MS Mincho"/>
          <w:lang w:val="en-CA"/>
        </w:rPr>
        <w:t>Starkman</w:t>
      </w:r>
      <w:proofErr w:type="spellEnd"/>
      <w:r w:rsidRPr="00532D05">
        <w:rPr>
          <w:rFonts w:eastAsia="MS Mincho"/>
          <w:lang w:val="en-CA"/>
        </w:rPr>
        <w:t xml:space="preserve"> maintained that Knightsbridge simply had to highlight the lifestyle</w:t>
      </w:r>
      <w:r w:rsidR="002116AA">
        <w:rPr>
          <w:rFonts w:eastAsia="MS Mincho"/>
          <w:lang w:val="en-CA"/>
        </w:rPr>
        <w:t xml:space="preserve"> advantages</w:t>
      </w:r>
      <w:r w:rsidRPr="00532D05">
        <w:rPr>
          <w:rFonts w:eastAsia="MS Mincho"/>
          <w:lang w:val="en-CA"/>
        </w:rPr>
        <w:t xml:space="preserve"> and amenities</w:t>
      </w:r>
      <w:r w:rsidR="002116AA">
        <w:rPr>
          <w:rFonts w:eastAsia="MS Mincho"/>
          <w:lang w:val="en-CA"/>
        </w:rPr>
        <w:t xml:space="preserve"> on offer</w:t>
      </w:r>
      <w:r w:rsidRPr="00532D05">
        <w:rPr>
          <w:rFonts w:eastAsia="MS Mincho"/>
          <w:lang w:val="en-CA"/>
        </w:rPr>
        <w:t>, which would speak to an underserved market.</w:t>
      </w:r>
    </w:p>
    <w:p w14:paraId="7951C772" w14:textId="77777777" w:rsidR="00532D05" w:rsidRPr="00532D05" w:rsidRDefault="00532D05" w:rsidP="00480CF5">
      <w:pPr>
        <w:pStyle w:val="BodyTextMain"/>
        <w:rPr>
          <w:rFonts w:eastAsia="MS Mincho"/>
          <w:lang w:val="en-CA"/>
        </w:rPr>
      </w:pPr>
    </w:p>
    <w:p w14:paraId="2ED3DDE1" w14:textId="2BE9B345" w:rsidR="008E3B02" w:rsidRDefault="002116AA" w:rsidP="00480CF5">
      <w:pPr>
        <w:pStyle w:val="BodyTextMain"/>
        <w:rPr>
          <w:rFonts w:eastAsia="MS Mincho"/>
          <w:lang w:val="en-CA"/>
        </w:rPr>
      </w:pPr>
      <w:proofErr w:type="spellStart"/>
      <w:r>
        <w:rPr>
          <w:rFonts w:eastAsia="MS Mincho"/>
          <w:lang w:val="en-CA"/>
        </w:rPr>
        <w:t>Starkman</w:t>
      </w:r>
      <w:proofErr w:type="spellEnd"/>
      <w:r w:rsidR="00532D05" w:rsidRPr="00532D05">
        <w:rPr>
          <w:rFonts w:eastAsia="MS Mincho"/>
          <w:lang w:val="en-CA"/>
        </w:rPr>
        <w:t xml:space="preserve"> was right. Villa </w:t>
      </w:r>
      <w:proofErr w:type="spellStart"/>
      <w:r w:rsidR="00532D05" w:rsidRPr="00532D05">
        <w:rPr>
          <w:rFonts w:eastAsia="MS Mincho"/>
          <w:lang w:val="en-CA"/>
        </w:rPr>
        <w:t>D’Este’s</w:t>
      </w:r>
      <w:proofErr w:type="spellEnd"/>
      <w:r w:rsidR="00532D05" w:rsidRPr="00532D05">
        <w:rPr>
          <w:rFonts w:eastAsia="MS Mincho"/>
          <w:lang w:val="en-CA"/>
        </w:rPr>
        <w:t xml:space="preserve"> three phases sold out. The first two phases sold out within a year. The release of the third phase coincided with the 2008</w:t>
      </w:r>
      <w:r>
        <w:rPr>
          <w:rFonts w:eastAsia="MS Mincho"/>
          <w:lang w:val="en-CA"/>
        </w:rPr>
        <w:t xml:space="preserve"> global</w:t>
      </w:r>
      <w:r w:rsidR="00532D05" w:rsidRPr="00532D05">
        <w:rPr>
          <w:rFonts w:eastAsia="MS Mincho"/>
          <w:lang w:val="en-CA"/>
        </w:rPr>
        <w:t xml:space="preserve"> recession, which </w:t>
      </w:r>
      <w:r w:rsidR="00592139">
        <w:rPr>
          <w:rFonts w:eastAsia="MS Mincho"/>
          <w:lang w:val="en-CA"/>
        </w:rPr>
        <w:t>affected</w:t>
      </w:r>
      <w:r w:rsidR="00592139" w:rsidRPr="00532D05">
        <w:rPr>
          <w:rFonts w:eastAsia="MS Mincho"/>
          <w:lang w:val="en-CA"/>
        </w:rPr>
        <w:t xml:space="preserve"> </w:t>
      </w:r>
      <w:r w:rsidR="00532D05" w:rsidRPr="00532D05">
        <w:rPr>
          <w:rFonts w:eastAsia="MS Mincho"/>
          <w:lang w:val="en-CA"/>
        </w:rPr>
        <w:t xml:space="preserve">sales, but the phase still sold out in two and a half years. </w:t>
      </w:r>
    </w:p>
    <w:p w14:paraId="754EDA5C" w14:textId="77777777" w:rsidR="008E3B02" w:rsidRPr="00532D05" w:rsidRDefault="008E3B02" w:rsidP="00480CF5">
      <w:pPr>
        <w:pStyle w:val="BodyTextMain"/>
        <w:rPr>
          <w:rFonts w:eastAsia="MS Mincho"/>
          <w:lang w:val="en-CA"/>
        </w:rPr>
      </w:pPr>
    </w:p>
    <w:p w14:paraId="0192C98E" w14:textId="4ACA507D" w:rsidR="00532D05" w:rsidRPr="00E96597" w:rsidRDefault="00532D05" w:rsidP="00480CF5">
      <w:pPr>
        <w:pStyle w:val="BodyTextMain"/>
        <w:rPr>
          <w:rFonts w:eastAsia="MS Mincho"/>
          <w:spacing w:val="-2"/>
          <w:kern w:val="22"/>
          <w:lang w:val="en-CA"/>
        </w:rPr>
      </w:pPr>
      <w:r w:rsidRPr="00E96597">
        <w:rPr>
          <w:rFonts w:eastAsia="MS Mincho"/>
          <w:spacing w:val="-2"/>
          <w:kern w:val="22"/>
          <w:lang w:val="en-CA"/>
        </w:rPr>
        <w:t xml:space="preserve">Villa </w:t>
      </w:r>
      <w:proofErr w:type="spellStart"/>
      <w:r w:rsidRPr="00E96597">
        <w:rPr>
          <w:rFonts w:eastAsia="MS Mincho"/>
          <w:spacing w:val="-2"/>
          <w:kern w:val="22"/>
          <w:lang w:val="en-CA"/>
        </w:rPr>
        <w:t>D’Este</w:t>
      </w:r>
      <w:proofErr w:type="spellEnd"/>
      <w:r w:rsidRPr="00E96597">
        <w:rPr>
          <w:rFonts w:eastAsia="MS Mincho"/>
          <w:spacing w:val="-2"/>
          <w:kern w:val="22"/>
          <w:lang w:val="en-CA"/>
        </w:rPr>
        <w:t xml:space="preserve"> had been a success, but </w:t>
      </w:r>
      <w:proofErr w:type="spellStart"/>
      <w:r w:rsidRPr="00E96597">
        <w:rPr>
          <w:rFonts w:eastAsia="MS Mincho"/>
          <w:spacing w:val="-2"/>
          <w:kern w:val="22"/>
          <w:lang w:val="en-CA"/>
        </w:rPr>
        <w:t>Starkman</w:t>
      </w:r>
      <w:proofErr w:type="spellEnd"/>
      <w:r w:rsidRPr="00E96597">
        <w:rPr>
          <w:rFonts w:eastAsia="MS Mincho"/>
          <w:spacing w:val="-2"/>
          <w:kern w:val="22"/>
          <w:lang w:val="en-CA"/>
        </w:rPr>
        <w:t xml:space="preserve"> was still looking for a more desirable location for his next project. </w:t>
      </w:r>
      <w:r w:rsidR="008E3B02" w:rsidRPr="00E96597">
        <w:rPr>
          <w:rFonts w:eastAsia="MS Mincho"/>
          <w:spacing w:val="-2"/>
          <w:kern w:val="22"/>
          <w:lang w:val="en-CA"/>
        </w:rPr>
        <w:t>T</w:t>
      </w:r>
      <w:r w:rsidRPr="00E96597">
        <w:rPr>
          <w:rFonts w:eastAsia="MS Mincho"/>
          <w:spacing w:val="-2"/>
          <w:kern w:val="22"/>
          <w:lang w:val="en-CA"/>
        </w:rPr>
        <w:t xml:space="preserve">he City of Calgary </w:t>
      </w:r>
      <w:r w:rsidR="008E3B02" w:rsidRPr="00E96597">
        <w:rPr>
          <w:rFonts w:eastAsia="MS Mincho"/>
          <w:spacing w:val="-2"/>
          <w:kern w:val="22"/>
          <w:lang w:val="en-CA"/>
        </w:rPr>
        <w:t xml:space="preserve">had argued that “smart growth” policies were </w:t>
      </w:r>
      <w:r w:rsidRPr="00E96597">
        <w:rPr>
          <w:rFonts w:eastAsia="MS Mincho"/>
          <w:spacing w:val="-2"/>
          <w:kern w:val="22"/>
          <w:lang w:val="en-CA"/>
        </w:rPr>
        <w:t>the key to better planning and design in the city</w:t>
      </w:r>
      <w:r w:rsidR="008E3B02" w:rsidRPr="00E96597">
        <w:rPr>
          <w:rFonts w:eastAsia="MS Mincho"/>
          <w:spacing w:val="-2"/>
          <w:kern w:val="22"/>
          <w:lang w:val="en-CA"/>
        </w:rPr>
        <w:t xml:space="preserve">. </w:t>
      </w:r>
      <w:proofErr w:type="spellStart"/>
      <w:r w:rsidR="008E3B02" w:rsidRPr="00E96597">
        <w:rPr>
          <w:rFonts w:eastAsia="MS Mincho"/>
          <w:spacing w:val="-2"/>
          <w:kern w:val="22"/>
          <w:lang w:val="en-CA"/>
        </w:rPr>
        <w:t>Starkman</w:t>
      </w:r>
      <w:proofErr w:type="spellEnd"/>
      <w:r w:rsidR="008E3B02" w:rsidRPr="00E96597">
        <w:rPr>
          <w:rFonts w:eastAsia="MS Mincho"/>
          <w:spacing w:val="-2"/>
          <w:kern w:val="22"/>
          <w:lang w:val="en-CA"/>
        </w:rPr>
        <w:t xml:space="preserve"> wanted to find a site to redevelop where he could exemplify these policies, which emphasized</w:t>
      </w:r>
      <w:r w:rsidRPr="00E96597">
        <w:rPr>
          <w:rFonts w:eastAsia="MS Mincho"/>
          <w:spacing w:val="-2"/>
          <w:kern w:val="22"/>
          <w:lang w:val="en-CA"/>
        </w:rPr>
        <w:t xml:space="preserve"> “compact, diversified urban districts, densifying along transportation corridors, promoting and requiring development within existing urban boundaries, as well as intensification, walkability</w:t>
      </w:r>
      <w:r w:rsidR="00F65653" w:rsidRPr="00E96597">
        <w:rPr>
          <w:rFonts w:eastAsia="MS Mincho"/>
          <w:spacing w:val="-2"/>
          <w:kern w:val="22"/>
          <w:lang w:val="en-CA"/>
        </w:rPr>
        <w:t>,</w:t>
      </w:r>
      <w:r w:rsidRPr="00E96597">
        <w:rPr>
          <w:rFonts w:eastAsia="MS Mincho"/>
          <w:spacing w:val="-2"/>
          <w:kern w:val="22"/>
          <w:lang w:val="en-CA"/>
        </w:rPr>
        <w:t xml:space="preserve"> and reduced reliance on car</w:t>
      </w:r>
      <w:r w:rsidR="00F65653" w:rsidRPr="00E96597">
        <w:rPr>
          <w:rFonts w:eastAsia="MS Mincho"/>
          <w:spacing w:val="-2"/>
          <w:kern w:val="22"/>
          <w:lang w:val="en-CA"/>
        </w:rPr>
        <w:t>s</w:t>
      </w:r>
      <w:r w:rsidRPr="00E96597">
        <w:rPr>
          <w:rFonts w:eastAsia="MS Mincho"/>
          <w:spacing w:val="-2"/>
          <w:kern w:val="22"/>
          <w:lang w:val="en-CA"/>
        </w:rPr>
        <w:t xml:space="preserve"> to accomplish most tasks</w:t>
      </w:r>
      <w:r w:rsidR="00101E18" w:rsidRPr="00E96597">
        <w:rPr>
          <w:rFonts w:eastAsia="MS Mincho"/>
          <w:spacing w:val="-2"/>
          <w:kern w:val="22"/>
          <w:lang w:val="en-CA"/>
        </w:rPr>
        <w:t>.”</w:t>
      </w:r>
      <w:r w:rsidRPr="00E96597">
        <w:rPr>
          <w:rFonts w:eastAsia="MS Mincho"/>
          <w:spacing w:val="-2"/>
          <w:kern w:val="22"/>
          <w:vertAlign w:val="superscript"/>
          <w:lang w:val="en-CA"/>
        </w:rPr>
        <w:footnoteReference w:id="3"/>
      </w:r>
      <w:r w:rsidRPr="00E96597">
        <w:rPr>
          <w:rFonts w:eastAsia="MS Mincho"/>
          <w:spacing w:val="-2"/>
          <w:kern w:val="22"/>
          <w:lang w:val="en-CA"/>
        </w:rPr>
        <w:t xml:space="preserve"> With these principles in mind, </w:t>
      </w:r>
      <w:proofErr w:type="spellStart"/>
      <w:r w:rsidRPr="00E96597">
        <w:rPr>
          <w:rFonts w:eastAsia="MS Mincho"/>
          <w:spacing w:val="-2"/>
          <w:kern w:val="22"/>
          <w:lang w:val="en-CA"/>
        </w:rPr>
        <w:t>Starkman</w:t>
      </w:r>
      <w:proofErr w:type="spellEnd"/>
      <w:r w:rsidRPr="00E96597">
        <w:rPr>
          <w:rFonts w:eastAsia="MS Mincho"/>
          <w:spacing w:val="-2"/>
          <w:kern w:val="22"/>
          <w:lang w:val="en-CA"/>
        </w:rPr>
        <w:t xml:space="preserve"> started exploring opportunities in communities that lent themselves well to this kind of development. </w:t>
      </w:r>
    </w:p>
    <w:p w14:paraId="774B024E" w14:textId="77777777" w:rsidR="00532D05" w:rsidRDefault="00532D05" w:rsidP="00480CF5">
      <w:pPr>
        <w:pStyle w:val="BodyTextMain"/>
        <w:rPr>
          <w:rFonts w:eastAsia="MS Mincho"/>
          <w:lang w:val="en-CA"/>
        </w:rPr>
      </w:pPr>
    </w:p>
    <w:p w14:paraId="13A4739C" w14:textId="77777777" w:rsidR="00480CF5" w:rsidRPr="00532D05" w:rsidRDefault="00480CF5" w:rsidP="00480CF5">
      <w:pPr>
        <w:pStyle w:val="BodyTextMain"/>
        <w:rPr>
          <w:rFonts w:eastAsia="MS Mincho"/>
          <w:lang w:val="en-CA"/>
        </w:rPr>
      </w:pPr>
    </w:p>
    <w:p w14:paraId="26F3DDB2" w14:textId="77777777" w:rsidR="00532D05" w:rsidRPr="00532D05" w:rsidRDefault="00532D05" w:rsidP="00480CF5">
      <w:pPr>
        <w:pStyle w:val="Casehead1"/>
        <w:rPr>
          <w:rFonts w:eastAsia="MS Mincho"/>
          <w:lang w:val="en-CA"/>
        </w:rPr>
      </w:pPr>
      <w:r w:rsidRPr="00532D05">
        <w:rPr>
          <w:rFonts w:eastAsia="MS Mincho"/>
          <w:lang w:val="en-CA"/>
        </w:rPr>
        <w:t>WHERE DO EMPTY NESTERS’ CHILDREN GO?</w:t>
      </w:r>
    </w:p>
    <w:p w14:paraId="748CCE14" w14:textId="77777777" w:rsidR="00532D05" w:rsidRPr="00532D05" w:rsidRDefault="00532D05" w:rsidP="00480CF5">
      <w:pPr>
        <w:pStyle w:val="BodyTextMain"/>
        <w:rPr>
          <w:rFonts w:eastAsia="MS Mincho"/>
          <w:lang w:val="en-CA"/>
        </w:rPr>
      </w:pPr>
    </w:p>
    <w:p w14:paraId="58CABBFE" w14:textId="4E7EB38F" w:rsidR="00532D05" w:rsidRPr="00532D05" w:rsidRDefault="00532D05" w:rsidP="00480CF5">
      <w:pPr>
        <w:pStyle w:val="BodyTextMain"/>
        <w:rPr>
          <w:rFonts w:eastAsia="MS Mincho"/>
          <w:lang w:val="en-CA"/>
        </w:rPr>
      </w:pPr>
      <w:r w:rsidRPr="00532D05">
        <w:rPr>
          <w:rFonts w:eastAsia="MS Mincho"/>
          <w:lang w:val="en-CA"/>
        </w:rPr>
        <w:t xml:space="preserve">Calgary was often labelled as both sprawling and car centric, but with initiatives such as </w:t>
      </w:r>
      <w:proofErr w:type="spellStart"/>
      <w:r w:rsidRPr="00532D05">
        <w:rPr>
          <w:rFonts w:eastAsia="MS Mincho"/>
          <w:lang w:val="en-CA"/>
        </w:rPr>
        <w:t>ImagineCALGARY</w:t>
      </w:r>
      <w:proofErr w:type="spellEnd"/>
      <w:r w:rsidRPr="00532D05">
        <w:rPr>
          <w:rFonts w:eastAsia="MS Mincho"/>
          <w:lang w:val="en-CA"/>
        </w:rPr>
        <w:t xml:space="preserve">, the </w:t>
      </w:r>
      <w:r w:rsidR="007B4513">
        <w:rPr>
          <w:rFonts w:eastAsia="MS Mincho"/>
          <w:lang w:val="en-CA"/>
        </w:rPr>
        <w:t>city</w:t>
      </w:r>
      <w:r w:rsidRPr="00532D05">
        <w:rPr>
          <w:rFonts w:eastAsia="MS Mincho"/>
          <w:lang w:val="en-CA"/>
        </w:rPr>
        <w:t xml:space="preserve"> showed that it was starting to think </w:t>
      </w:r>
      <w:r w:rsidR="002E01C1">
        <w:rPr>
          <w:rFonts w:eastAsia="MS Mincho"/>
          <w:lang w:val="en-CA"/>
        </w:rPr>
        <w:t>differently about density. The c</w:t>
      </w:r>
      <w:r w:rsidRPr="00532D05">
        <w:rPr>
          <w:rFonts w:eastAsia="MS Mincho"/>
          <w:lang w:val="en-CA"/>
        </w:rPr>
        <w:t>ity</w:t>
      </w:r>
      <w:r w:rsidR="004F37CC">
        <w:rPr>
          <w:rFonts w:eastAsia="MS Mincho"/>
          <w:lang w:val="en-CA"/>
        </w:rPr>
        <w:t xml:space="preserve"> council</w:t>
      </w:r>
      <w:r w:rsidRPr="00532D05">
        <w:rPr>
          <w:rFonts w:eastAsia="MS Mincho"/>
          <w:lang w:val="en-CA"/>
        </w:rPr>
        <w:t xml:space="preserve">’s desire to better utilize space within established neighbourhoods gave </w:t>
      </w:r>
      <w:proofErr w:type="spellStart"/>
      <w:r w:rsidRPr="00532D05">
        <w:rPr>
          <w:rFonts w:eastAsia="MS Mincho"/>
          <w:lang w:val="en-CA"/>
        </w:rPr>
        <w:t>Starkman</w:t>
      </w:r>
      <w:proofErr w:type="spellEnd"/>
      <w:r w:rsidRPr="00532D05">
        <w:rPr>
          <w:rFonts w:eastAsia="MS Mincho"/>
          <w:lang w:val="en-CA"/>
        </w:rPr>
        <w:t xml:space="preserve"> the confidence to seek a location closer to Calgary’s downtown core</w:t>
      </w:r>
      <w:r w:rsidR="00AA0024">
        <w:rPr>
          <w:rFonts w:eastAsia="MS Mincho"/>
          <w:lang w:val="en-CA"/>
        </w:rPr>
        <w:t>;</w:t>
      </w:r>
      <w:r w:rsidRPr="00532D05">
        <w:rPr>
          <w:rFonts w:eastAsia="MS Mincho"/>
          <w:lang w:val="en-CA"/>
        </w:rPr>
        <w:t xml:space="preserve"> however, land costs </w:t>
      </w:r>
      <w:r w:rsidR="00AA0024">
        <w:rPr>
          <w:rFonts w:eastAsia="MS Mincho"/>
          <w:lang w:val="en-CA"/>
        </w:rPr>
        <w:t xml:space="preserve">in such locations </w:t>
      </w:r>
      <w:r w:rsidRPr="00532D05">
        <w:rPr>
          <w:rFonts w:eastAsia="MS Mincho"/>
          <w:lang w:val="en-CA"/>
        </w:rPr>
        <w:t>were prohibitive for Knightsbridge to manage on its own. Fortunately, in 2006</w:t>
      </w:r>
      <w:r w:rsidR="00D11051">
        <w:rPr>
          <w:rFonts w:eastAsia="MS Mincho"/>
          <w:lang w:val="en-CA"/>
        </w:rPr>
        <w:t>,</w:t>
      </w:r>
      <w:r w:rsidRPr="00532D05">
        <w:rPr>
          <w:rFonts w:eastAsia="MS Mincho"/>
          <w:lang w:val="en-CA"/>
        </w:rPr>
        <w:t xml:space="preserve"> </w:t>
      </w:r>
      <w:r w:rsidR="00D11051">
        <w:rPr>
          <w:rFonts w:eastAsia="MS Mincho"/>
          <w:lang w:val="en-CA"/>
        </w:rPr>
        <w:t xml:space="preserve">a </w:t>
      </w:r>
      <w:r w:rsidRPr="00532D05">
        <w:rPr>
          <w:rFonts w:eastAsia="MS Mincho"/>
          <w:lang w:val="en-CA"/>
        </w:rPr>
        <w:t xml:space="preserve">Toronto-based developer and long-time friend of </w:t>
      </w:r>
      <w:proofErr w:type="spellStart"/>
      <w:r w:rsidRPr="00532D05">
        <w:rPr>
          <w:rFonts w:eastAsia="MS Mincho"/>
          <w:lang w:val="en-CA"/>
        </w:rPr>
        <w:t>Starkman</w:t>
      </w:r>
      <w:r w:rsidR="00D11051">
        <w:rPr>
          <w:rFonts w:eastAsia="MS Mincho"/>
          <w:lang w:val="en-CA"/>
        </w:rPr>
        <w:t>’s</w:t>
      </w:r>
      <w:proofErr w:type="spellEnd"/>
      <w:r w:rsidRPr="00532D05">
        <w:rPr>
          <w:rFonts w:eastAsia="MS Mincho"/>
          <w:lang w:val="en-CA"/>
        </w:rPr>
        <w:t xml:space="preserve">, Howard </w:t>
      </w:r>
      <w:proofErr w:type="spellStart"/>
      <w:r w:rsidRPr="00532D05">
        <w:rPr>
          <w:rFonts w:eastAsia="MS Mincho"/>
          <w:lang w:val="en-CA"/>
        </w:rPr>
        <w:t>Sokolowski</w:t>
      </w:r>
      <w:proofErr w:type="spellEnd"/>
      <w:r w:rsidRPr="00532D05">
        <w:rPr>
          <w:rFonts w:eastAsia="MS Mincho"/>
          <w:lang w:val="en-CA"/>
        </w:rPr>
        <w:t xml:space="preserve">, CEO of </w:t>
      </w:r>
      <w:proofErr w:type="spellStart"/>
      <w:r w:rsidRPr="00532D05">
        <w:rPr>
          <w:rFonts w:eastAsia="MS Mincho"/>
          <w:lang w:val="en-CA"/>
        </w:rPr>
        <w:t>Metropia</w:t>
      </w:r>
      <w:proofErr w:type="spellEnd"/>
      <w:r w:rsidRPr="00532D05">
        <w:rPr>
          <w:rFonts w:eastAsia="MS Mincho"/>
          <w:lang w:val="en-CA"/>
        </w:rPr>
        <w:t xml:space="preserve"> Urban Landscapes</w:t>
      </w:r>
      <w:r w:rsidR="00AA0024">
        <w:rPr>
          <w:rFonts w:eastAsia="MS Mincho"/>
          <w:lang w:val="en-CA"/>
        </w:rPr>
        <w:t xml:space="preserve"> (</w:t>
      </w:r>
      <w:proofErr w:type="spellStart"/>
      <w:r w:rsidR="00AA0024">
        <w:rPr>
          <w:rFonts w:eastAsia="MS Mincho"/>
          <w:lang w:val="en-CA"/>
        </w:rPr>
        <w:t>Metropia</w:t>
      </w:r>
      <w:proofErr w:type="spellEnd"/>
      <w:r w:rsidR="00AA0024">
        <w:rPr>
          <w:rFonts w:eastAsia="MS Mincho"/>
          <w:lang w:val="en-CA"/>
        </w:rPr>
        <w:t>)</w:t>
      </w:r>
      <w:r w:rsidRPr="00532D05">
        <w:rPr>
          <w:rFonts w:eastAsia="MS Mincho"/>
          <w:lang w:val="en-CA"/>
        </w:rPr>
        <w:t xml:space="preserve">, reached out to </w:t>
      </w:r>
      <w:proofErr w:type="spellStart"/>
      <w:r w:rsidRPr="00532D05">
        <w:rPr>
          <w:rFonts w:eastAsia="MS Mincho"/>
          <w:lang w:val="en-CA"/>
        </w:rPr>
        <w:t>Starkman</w:t>
      </w:r>
      <w:proofErr w:type="spellEnd"/>
      <w:r w:rsidRPr="00532D05">
        <w:rPr>
          <w:rFonts w:eastAsia="MS Mincho"/>
          <w:lang w:val="en-CA"/>
        </w:rPr>
        <w:t xml:space="preserve"> to express his interest in expanding to Calgary. </w:t>
      </w:r>
    </w:p>
    <w:p w14:paraId="749ADA4F" w14:textId="77777777" w:rsidR="00532D05" w:rsidRPr="00532D05" w:rsidRDefault="00532D05" w:rsidP="00480CF5">
      <w:pPr>
        <w:pStyle w:val="BodyTextMain"/>
        <w:rPr>
          <w:rFonts w:eastAsia="MS Mincho"/>
          <w:lang w:val="en-CA"/>
        </w:rPr>
      </w:pPr>
    </w:p>
    <w:p w14:paraId="73B5FD23" w14:textId="6B8AD253" w:rsidR="00532D05" w:rsidRPr="00532D05" w:rsidRDefault="00532D05" w:rsidP="00480CF5">
      <w:pPr>
        <w:pStyle w:val="BodyTextMain"/>
        <w:rPr>
          <w:rFonts w:eastAsia="MS Mincho"/>
          <w:lang w:val="en-CA"/>
        </w:rPr>
      </w:pPr>
      <w:proofErr w:type="spellStart"/>
      <w:r w:rsidRPr="00532D05">
        <w:rPr>
          <w:rFonts w:eastAsia="MS Mincho"/>
          <w:lang w:val="en-CA"/>
        </w:rPr>
        <w:t>Sokolowski</w:t>
      </w:r>
      <w:proofErr w:type="spellEnd"/>
      <w:r w:rsidRPr="00532D05">
        <w:rPr>
          <w:rFonts w:eastAsia="MS Mincho"/>
          <w:lang w:val="en-CA"/>
        </w:rPr>
        <w:t xml:space="preserve"> had built </w:t>
      </w:r>
      <w:proofErr w:type="spellStart"/>
      <w:r w:rsidRPr="00532D05">
        <w:rPr>
          <w:rFonts w:eastAsia="MS Mincho"/>
          <w:lang w:val="en-CA"/>
        </w:rPr>
        <w:t>Metropia</w:t>
      </w:r>
      <w:proofErr w:type="spellEnd"/>
      <w:r w:rsidRPr="00532D05">
        <w:rPr>
          <w:rFonts w:eastAsia="MS Mincho"/>
          <w:lang w:val="en-CA"/>
        </w:rPr>
        <w:t xml:space="preserve"> on a vision of seeing beyond current trends to provide a variety of housing options at different price points. This vision meshed well with Knightsbridge’s core value</w:t>
      </w:r>
      <w:r w:rsidR="00AA0024">
        <w:rPr>
          <w:rFonts w:eastAsia="MS Mincho"/>
          <w:lang w:val="en-CA"/>
        </w:rPr>
        <w:t>s</w:t>
      </w:r>
      <w:r w:rsidRPr="00532D05">
        <w:rPr>
          <w:rFonts w:eastAsia="MS Mincho"/>
          <w:lang w:val="en-CA"/>
        </w:rPr>
        <w:t xml:space="preserve"> of location, underserved markets, and niche products. </w:t>
      </w:r>
      <w:proofErr w:type="spellStart"/>
      <w:r w:rsidRPr="00532D05">
        <w:rPr>
          <w:rFonts w:eastAsia="MS Mincho"/>
          <w:lang w:val="en-CA"/>
        </w:rPr>
        <w:t>Sokolowski</w:t>
      </w:r>
      <w:proofErr w:type="spellEnd"/>
      <w:r w:rsidRPr="00532D05">
        <w:rPr>
          <w:rFonts w:eastAsia="MS Mincho"/>
          <w:lang w:val="en-CA"/>
        </w:rPr>
        <w:t xml:space="preserve"> was interested in a site in Calgary’s Brentwood community after Rio Can, Canada’s larges</w:t>
      </w:r>
      <w:r w:rsidR="002E01C1">
        <w:rPr>
          <w:rFonts w:eastAsia="MS Mincho"/>
          <w:lang w:val="en-CA"/>
        </w:rPr>
        <w:t xml:space="preserve">t real estate investment trust, </w:t>
      </w:r>
      <w:r w:rsidRPr="00532D05">
        <w:rPr>
          <w:rFonts w:eastAsia="MS Mincho"/>
          <w:lang w:val="en-CA"/>
        </w:rPr>
        <w:t xml:space="preserve">approached </w:t>
      </w:r>
      <w:proofErr w:type="spellStart"/>
      <w:r w:rsidRPr="00532D05">
        <w:rPr>
          <w:rFonts w:eastAsia="MS Mincho"/>
          <w:lang w:val="en-CA"/>
        </w:rPr>
        <w:t>Metropia</w:t>
      </w:r>
      <w:proofErr w:type="spellEnd"/>
      <w:r w:rsidRPr="00532D05">
        <w:rPr>
          <w:rFonts w:eastAsia="MS Mincho"/>
          <w:lang w:val="en-CA"/>
        </w:rPr>
        <w:t xml:space="preserve"> to form a partnership to redevel</w:t>
      </w:r>
      <w:r w:rsidRPr="00AA0024">
        <w:rPr>
          <w:rFonts w:eastAsia="MS Mincho"/>
          <w:lang w:val="en-CA"/>
        </w:rPr>
        <w:t xml:space="preserve">op the site to its </w:t>
      </w:r>
      <w:r w:rsidR="00AA0024">
        <w:rPr>
          <w:rFonts w:eastAsia="MS Mincho"/>
          <w:lang w:val="en-CA"/>
        </w:rPr>
        <w:t>“</w:t>
      </w:r>
      <w:r w:rsidRPr="00AA0024">
        <w:rPr>
          <w:rFonts w:eastAsia="MS Mincho"/>
          <w:lang w:val="en-CA"/>
        </w:rPr>
        <w:t>highest and best use</w:t>
      </w:r>
      <w:r w:rsidR="00AA0024" w:rsidRPr="00AA0024">
        <w:rPr>
          <w:rFonts w:eastAsia="MS Mincho"/>
          <w:lang w:val="en-CA"/>
        </w:rPr>
        <w:t>,</w:t>
      </w:r>
      <w:r w:rsidR="00AA0024">
        <w:rPr>
          <w:rFonts w:eastAsia="MS Mincho"/>
          <w:lang w:val="en-CA"/>
        </w:rPr>
        <w:t>”</w:t>
      </w:r>
      <w:r w:rsidR="00AA0024" w:rsidRPr="00AA0024">
        <w:rPr>
          <w:rFonts w:eastAsia="MS Mincho"/>
          <w:lang w:val="en-CA"/>
        </w:rPr>
        <w:t xml:space="preserve"> </w:t>
      </w:r>
      <w:r w:rsidR="00AA0024">
        <w:rPr>
          <w:rFonts w:eastAsia="MS Mincho"/>
          <w:lang w:val="en-CA"/>
        </w:rPr>
        <w:t>which was defined as</w:t>
      </w:r>
      <w:r w:rsidR="00AA0024" w:rsidRPr="00AA0024">
        <w:rPr>
          <w:rFonts w:eastAsia="MS Mincho"/>
          <w:lang w:val="en-CA"/>
        </w:rPr>
        <w:t xml:space="preserve"> “</w:t>
      </w:r>
      <w:r w:rsidR="00AA0024" w:rsidRPr="00C25BC6">
        <w:t>the reasonable probable an</w:t>
      </w:r>
      <w:r w:rsidR="00AA0024">
        <w:t>d</w:t>
      </w:r>
      <w:r w:rsidR="00AA0024" w:rsidRPr="00AA0024">
        <w:t xml:space="preserve"> legal use of vaca</w:t>
      </w:r>
      <w:r w:rsidR="00AA0024" w:rsidRPr="00C25BC6">
        <w:t>nt land or an improved property that is physically possible, appropriately supported, and financially feasible</w:t>
      </w:r>
      <w:r w:rsidR="00AA0024">
        <w:t>,</w:t>
      </w:r>
      <w:r w:rsidR="00AA0024" w:rsidRPr="00C25BC6">
        <w:t xml:space="preserve"> and that results in the highest value.”</w:t>
      </w:r>
      <w:r w:rsidR="00610854">
        <w:rPr>
          <w:rStyle w:val="FootnoteReference"/>
          <w:rFonts w:eastAsia="MS Mincho"/>
          <w:lang w:val="en-CA"/>
        </w:rPr>
        <w:footnoteReference w:id="4"/>
      </w:r>
      <w:r w:rsidRPr="00532D05">
        <w:rPr>
          <w:rFonts w:eastAsia="MS Mincho"/>
          <w:lang w:val="en-CA"/>
        </w:rPr>
        <w:t xml:space="preserve"> </w:t>
      </w:r>
    </w:p>
    <w:p w14:paraId="27BD0C0C" w14:textId="77777777" w:rsidR="00532D05" w:rsidRPr="00532D05" w:rsidRDefault="00532D05" w:rsidP="00480CF5">
      <w:pPr>
        <w:pStyle w:val="BodyTextMain"/>
        <w:rPr>
          <w:rFonts w:eastAsia="MS Mincho"/>
          <w:lang w:val="en-CA"/>
        </w:rPr>
      </w:pPr>
    </w:p>
    <w:p w14:paraId="1A83E43B" w14:textId="09545A24" w:rsidR="00532D05" w:rsidRPr="00E96597" w:rsidRDefault="00532D05" w:rsidP="00480CF5">
      <w:pPr>
        <w:pStyle w:val="BodyTextMain"/>
        <w:rPr>
          <w:rFonts w:eastAsia="MS Mincho"/>
          <w:spacing w:val="-2"/>
          <w:kern w:val="22"/>
          <w:lang w:val="en-CA"/>
        </w:rPr>
      </w:pPr>
      <w:r w:rsidRPr="00E96597">
        <w:rPr>
          <w:rFonts w:eastAsia="MS Mincho"/>
          <w:spacing w:val="-2"/>
          <w:kern w:val="22"/>
          <w:lang w:val="en-CA"/>
        </w:rPr>
        <w:t xml:space="preserve">Brentwood was an established neighbourhood in </w:t>
      </w:r>
      <w:r w:rsidR="00316643" w:rsidRPr="00E96597">
        <w:rPr>
          <w:rFonts w:eastAsia="MS Mincho"/>
          <w:spacing w:val="-2"/>
          <w:kern w:val="22"/>
          <w:lang w:val="en-CA"/>
        </w:rPr>
        <w:t>N</w:t>
      </w:r>
      <w:r w:rsidRPr="00E96597">
        <w:rPr>
          <w:rFonts w:eastAsia="MS Mincho"/>
          <w:spacing w:val="-2"/>
          <w:kern w:val="22"/>
          <w:lang w:val="en-CA"/>
        </w:rPr>
        <w:t>orthwes</w:t>
      </w:r>
      <w:r w:rsidR="008A791E" w:rsidRPr="00E96597">
        <w:rPr>
          <w:rFonts w:eastAsia="MS Mincho"/>
          <w:spacing w:val="-2"/>
          <w:kern w:val="22"/>
          <w:lang w:val="en-CA"/>
        </w:rPr>
        <w:t>t Calgary bordering the</w:t>
      </w:r>
      <w:r w:rsidR="00316643" w:rsidRPr="00E96597">
        <w:rPr>
          <w:rFonts w:eastAsia="MS Mincho"/>
          <w:spacing w:val="-2"/>
          <w:kern w:val="22"/>
          <w:lang w:val="en-CA"/>
        </w:rPr>
        <w:t xml:space="preserve"> red line of the</w:t>
      </w:r>
      <w:r w:rsidR="008A791E" w:rsidRPr="00E96597">
        <w:rPr>
          <w:rFonts w:eastAsia="MS Mincho"/>
          <w:spacing w:val="-2"/>
          <w:kern w:val="22"/>
          <w:lang w:val="en-CA"/>
        </w:rPr>
        <w:t xml:space="preserve"> city’s light rail t</w:t>
      </w:r>
      <w:r w:rsidRPr="00E96597">
        <w:rPr>
          <w:rFonts w:eastAsia="MS Mincho"/>
          <w:spacing w:val="-2"/>
          <w:kern w:val="22"/>
          <w:lang w:val="en-CA"/>
        </w:rPr>
        <w:t xml:space="preserve">ransit (LRT) and the University of Calgary’s main campus and </w:t>
      </w:r>
      <w:proofErr w:type="gramStart"/>
      <w:r w:rsidRPr="00E96597">
        <w:rPr>
          <w:rFonts w:eastAsia="MS Mincho"/>
          <w:spacing w:val="-2"/>
          <w:kern w:val="22"/>
          <w:lang w:val="en-CA"/>
        </w:rPr>
        <w:t>research park</w:t>
      </w:r>
      <w:proofErr w:type="gramEnd"/>
      <w:r w:rsidRPr="00E96597">
        <w:rPr>
          <w:rFonts w:eastAsia="MS Mincho"/>
          <w:spacing w:val="-2"/>
          <w:kern w:val="22"/>
          <w:lang w:val="en-CA"/>
        </w:rPr>
        <w:t xml:space="preserve">. </w:t>
      </w:r>
      <w:r w:rsidR="00316643" w:rsidRPr="00E96597">
        <w:rPr>
          <w:rFonts w:eastAsia="MS Mincho"/>
          <w:spacing w:val="-2"/>
          <w:kern w:val="22"/>
          <w:lang w:val="en-CA"/>
        </w:rPr>
        <w:t>Most of</w:t>
      </w:r>
      <w:r w:rsidRPr="00E96597">
        <w:rPr>
          <w:rFonts w:eastAsia="MS Mincho"/>
          <w:spacing w:val="-2"/>
          <w:kern w:val="22"/>
          <w:lang w:val="en-CA"/>
        </w:rPr>
        <w:t xml:space="preserve"> the community consisted of single</w:t>
      </w:r>
      <w:r w:rsidR="00316643" w:rsidRPr="00E96597">
        <w:rPr>
          <w:rFonts w:eastAsia="MS Mincho"/>
          <w:spacing w:val="-2"/>
          <w:kern w:val="22"/>
          <w:lang w:val="en-CA"/>
        </w:rPr>
        <w:t>-</w:t>
      </w:r>
      <w:r w:rsidRPr="00E96597">
        <w:rPr>
          <w:rFonts w:eastAsia="MS Mincho"/>
          <w:spacing w:val="-2"/>
          <w:kern w:val="22"/>
          <w:lang w:val="en-CA"/>
        </w:rPr>
        <w:t xml:space="preserve">family dwellings. The site that </w:t>
      </w:r>
      <w:proofErr w:type="spellStart"/>
      <w:r w:rsidRPr="00E96597">
        <w:rPr>
          <w:rFonts w:eastAsia="MS Mincho"/>
          <w:spacing w:val="-2"/>
          <w:kern w:val="22"/>
          <w:lang w:val="en-CA"/>
        </w:rPr>
        <w:t>Metropia</w:t>
      </w:r>
      <w:proofErr w:type="spellEnd"/>
      <w:r w:rsidRPr="00E96597">
        <w:rPr>
          <w:rFonts w:eastAsia="MS Mincho"/>
          <w:spacing w:val="-2"/>
          <w:kern w:val="22"/>
          <w:lang w:val="en-CA"/>
        </w:rPr>
        <w:t xml:space="preserve"> was interested in was home to the aging Brentwood Village shopping centre</w:t>
      </w:r>
      <w:r w:rsidR="00101E18" w:rsidRPr="00E96597">
        <w:rPr>
          <w:rFonts w:eastAsia="MS Mincho"/>
          <w:spacing w:val="-2"/>
          <w:kern w:val="22"/>
          <w:lang w:val="en-CA"/>
        </w:rPr>
        <w:t>,</w:t>
      </w:r>
      <w:r w:rsidRPr="00E96597">
        <w:rPr>
          <w:rFonts w:eastAsia="MS Mincho"/>
          <w:spacing w:val="-2"/>
          <w:kern w:val="22"/>
          <w:lang w:val="en-CA"/>
        </w:rPr>
        <w:t xml:space="preserve"> which offered health services</w:t>
      </w:r>
      <w:r w:rsidR="00E37EA0" w:rsidRPr="00E96597">
        <w:rPr>
          <w:rFonts w:eastAsia="MS Mincho"/>
          <w:spacing w:val="-2"/>
          <w:kern w:val="22"/>
          <w:lang w:val="en-CA"/>
        </w:rPr>
        <w:t>,</w:t>
      </w:r>
      <w:r w:rsidR="00101E18" w:rsidRPr="00E96597">
        <w:rPr>
          <w:rFonts w:eastAsia="MS Mincho"/>
          <w:spacing w:val="-2"/>
          <w:kern w:val="22"/>
          <w:lang w:val="en-CA"/>
        </w:rPr>
        <w:t xml:space="preserve"> fast</w:t>
      </w:r>
      <w:r w:rsidR="00B44F2B" w:rsidRPr="00E96597">
        <w:rPr>
          <w:rFonts w:eastAsia="MS Mincho"/>
          <w:spacing w:val="-2"/>
          <w:kern w:val="22"/>
          <w:lang w:val="en-CA"/>
        </w:rPr>
        <w:t>-</w:t>
      </w:r>
      <w:r w:rsidR="00101E18" w:rsidRPr="00E96597">
        <w:rPr>
          <w:rFonts w:eastAsia="MS Mincho"/>
          <w:spacing w:val="-2"/>
          <w:kern w:val="22"/>
          <w:lang w:val="en-CA"/>
        </w:rPr>
        <w:t>food restaurants</w:t>
      </w:r>
      <w:r w:rsidR="00E37EA0" w:rsidRPr="00E96597">
        <w:rPr>
          <w:rFonts w:eastAsia="MS Mincho"/>
          <w:spacing w:val="-2"/>
          <w:kern w:val="22"/>
          <w:lang w:val="en-CA"/>
        </w:rPr>
        <w:t>,</w:t>
      </w:r>
      <w:r w:rsidR="00101E18" w:rsidRPr="00E96597">
        <w:rPr>
          <w:rFonts w:eastAsia="MS Mincho"/>
          <w:spacing w:val="-2"/>
          <w:kern w:val="22"/>
          <w:lang w:val="en-CA"/>
        </w:rPr>
        <w:t xml:space="preserve"> bars</w:t>
      </w:r>
      <w:r w:rsidR="00E37EA0" w:rsidRPr="00E96597">
        <w:rPr>
          <w:rFonts w:eastAsia="MS Mincho"/>
          <w:spacing w:val="-2"/>
          <w:kern w:val="22"/>
          <w:lang w:val="en-CA"/>
        </w:rPr>
        <w:t>,</w:t>
      </w:r>
      <w:r w:rsidR="00101E18" w:rsidRPr="00E96597">
        <w:rPr>
          <w:rFonts w:eastAsia="MS Mincho"/>
          <w:spacing w:val="-2"/>
          <w:kern w:val="22"/>
          <w:lang w:val="en-CA"/>
        </w:rPr>
        <w:t xml:space="preserve"> home décor</w:t>
      </w:r>
      <w:r w:rsidR="00B44F2B" w:rsidRPr="00E96597">
        <w:rPr>
          <w:rFonts w:eastAsia="MS Mincho"/>
          <w:spacing w:val="-2"/>
          <w:kern w:val="22"/>
          <w:lang w:val="en-CA"/>
        </w:rPr>
        <w:t xml:space="preserve"> </w:t>
      </w:r>
      <w:r w:rsidR="00B44F2B" w:rsidRPr="00E96597">
        <w:rPr>
          <w:rFonts w:eastAsia="MS Mincho"/>
          <w:spacing w:val="-2"/>
          <w:kern w:val="22"/>
          <w:lang w:val="en-CA"/>
        </w:rPr>
        <w:lastRenderedPageBreak/>
        <w:t>stores,</w:t>
      </w:r>
      <w:r w:rsidR="00101E18" w:rsidRPr="00E96597">
        <w:rPr>
          <w:rFonts w:eastAsia="MS Mincho"/>
          <w:spacing w:val="-2"/>
          <w:kern w:val="22"/>
          <w:lang w:val="en-CA"/>
        </w:rPr>
        <w:t xml:space="preserve"> </w:t>
      </w:r>
      <w:r w:rsidR="00E37EA0" w:rsidRPr="00E96597">
        <w:rPr>
          <w:rFonts w:eastAsia="MS Mincho"/>
          <w:spacing w:val="-2"/>
          <w:kern w:val="22"/>
          <w:lang w:val="en-CA"/>
        </w:rPr>
        <w:t>pharmacies,</w:t>
      </w:r>
      <w:r w:rsidR="00101E18" w:rsidRPr="00E96597">
        <w:rPr>
          <w:rFonts w:eastAsia="MS Mincho"/>
          <w:spacing w:val="-2"/>
          <w:kern w:val="22"/>
          <w:lang w:val="en-CA"/>
        </w:rPr>
        <w:t xml:space="preserve"> and grocery stores</w:t>
      </w:r>
      <w:r w:rsidRPr="00E96597">
        <w:rPr>
          <w:rFonts w:eastAsia="MS Mincho"/>
          <w:spacing w:val="-2"/>
          <w:kern w:val="22"/>
          <w:lang w:val="en-CA"/>
        </w:rPr>
        <w:t xml:space="preserve"> surrounded by vast parking lots. The location was adjacent to </w:t>
      </w:r>
      <w:r w:rsidR="00E37EA0" w:rsidRPr="00E96597">
        <w:rPr>
          <w:rFonts w:eastAsia="MS Mincho"/>
          <w:spacing w:val="-2"/>
          <w:kern w:val="22"/>
          <w:lang w:val="en-CA"/>
        </w:rPr>
        <w:t>public</w:t>
      </w:r>
      <w:r w:rsidRPr="00E96597">
        <w:rPr>
          <w:rFonts w:eastAsia="MS Mincho"/>
          <w:spacing w:val="-2"/>
          <w:kern w:val="22"/>
          <w:lang w:val="en-CA"/>
        </w:rPr>
        <w:t xml:space="preserve"> transit and had easy access to the university</w:t>
      </w:r>
      <w:r w:rsidR="00E37EA0" w:rsidRPr="00E96597">
        <w:rPr>
          <w:rFonts w:eastAsia="MS Mincho"/>
          <w:spacing w:val="-2"/>
          <w:kern w:val="22"/>
          <w:lang w:val="en-CA"/>
        </w:rPr>
        <w:t>,</w:t>
      </w:r>
      <w:r w:rsidRPr="00E96597">
        <w:rPr>
          <w:rFonts w:eastAsia="MS Mincho"/>
          <w:spacing w:val="-2"/>
          <w:kern w:val="22"/>
          <w:lang w:val="en-CA"/>
        </w:rPr>
        <w:t xml:space="preserve"> as well as to employment hubs </w:t>
      </w:r>
      <w:r w:rsidR="00E37EA0" w:rsidRPr="00E96597">
        <w:rPr>
          <w:rFonts w:eastAsia="MS Mincho"/>
          <w:spacing w:val="-2"/>
          <w:kern w:val="22"/>
          <w:lang w:val="en-CA"/>
        </w:rPr>
        <w:t>(</w:t>
      </w:r>
      <w:r w:rsidRPr="00E96597">
        <w:rPr>
          <w:rFonts w:eastAsia="MS Mincho"/>
          <w:spacing w:val="-2"/>
          <w:kern w:val="22"/>
          <w:lang w:val="en-CA"/>
        </w:rPr>
        <w:t>downtown and nearby hospitals</w:t>
      </w:r>
      <w:r w:rsidR="00E37EA0" w:rsidRPr="00E96597">
        <w:rPr>
          <w:rFonts w:eastAsia="MS Mincho"/>
          <w:spacing w:val="-2"/>
          <w:kern w:val="22"/>
          <w:lang w:val="en-CA"/>
        </w:rPr>
        <w:t>),</w:t>
      </w:r>
      <w:r w:rsidRPr="00E96597">
        <w:rPr>
          <w:rFonts w:eastAsia="MS Mincho"/>
          <w:spacing w:val="-2"/>
          <w:kern w:val="22"/>
          <w:lang w:val="en-CA"/>
        </w:rPr>
        <w:t xml:space="preserve"> which made it an ideal candidate for </w:t>
      </w:r>
      <w:r w:rsidR="00101E18" w:rsidRPr="00E96597">
        <w:rPr>
          <w:rFonts w:eastAsia="MS Mincho"/>
          <w:spacing w:val="-2"/>
          <w:kern w:val="22"/>
          <w:lang w:val="en-CA"/>
        </w:rPr>
        <w:t>transit</w:t>
      </w:r>
      <w:r w:rsidR="00E37EA0" w:rsidRPr="00E96597">
        <w:rPr>
          <w:rFonts w:eastAsia="MS Mincho"/>
          <w:spacing w:val="-2"/>
          <w:kern w:val="22"/>
          <w:lang w:val="en-CA"/>
        </w:rPr>
        <w:t>-</w:t>
      </w:r>
      <w:r w:rsidR="00101E18" w:rsidRPr="00E96597">
        <w:rPr>
          <w:rFonts w:eastAsia="MS Mincho"/>
          <w:spacing w:val="-2"/>
          <w:kern w:val="22"/>
          <w:lang w:val="en-CA"/>
        </w:rPr>
        <w:t>oriented development (</w:t>
      </w:r>
      <w:r w:rsidRPr="00E96597">
        <w:rPr>
          <w:rFonts w:eastAsia="MS Mincho"/>
          <w:spacing w:val="-2"/>
          <w:kern w:val="22"/>
          <w:lang w:val="en-CA"/>
        </w:rPr>
        <w:t>TOD).</w:t>
      </w:r>
      <w:r w:rsidR="00365296" w:rsidRPr="00E96597">
        <w:rPr>
          <w:rFonts w:eastAsia="MS Mincho"/>
          <w:spacing w:val="-2"/>
          <w:kern w:val="22"/>
          <w:lang w:val="en-CA"/>
        </w:rPr>
        <w:t xml:space="preserve"> However</w:t>
      </w:r>
      <w:r w:rsidRPr="00E96597">
        <w:rPr>
          <w:rFonts w:eastAsia="MS Mincho"/>
          <w:spacing w:val="-2"/>
          <w:kern w:val="22"/>
          <w:lang w:val="en-CA"/>
        </w:rPr>
        <w:t xml:space="preserve">, </w:t>
      </w:r>
      <w:proofErr w:type="spellStart"/>
      <w:r w:rsidRPr="00E96597">
        <w:rPr>
          <w:rFonts w:eastAsia="MS Mincho"/>
          <w:spacing w:val="-2"/>
          <w:kern w:val="22"/>
          <w:lang w:val="en-CA"/>
        </w:rPr>
        <w:t>Metropia</w:t>
      </w:r>
      <w:proofErr w:type="spellEnd"/>
      <w:r w:rsidRPr="00E96597">
        <w:rPr>
          <w:rFonts w:eastAsia="MS Mincho"/>
          <w:spacing w:val="-2"/>
          <w:kern w:val="22"/>
          <w:lang w:val="en-CA"/>
        </w:rPr>
        <w:t xml:space="preserve"> had little </w:t>
      </w:r>
      <w:r w:rsidR="00E37EA0" w:rsidRPr="00E96597">
        <w:rPr>
          <w:rFonts w:eastAsia="MS Mincho"/>
          <w:spacing w:val="-2"/>
          <w:kern w:val="22"/>
          <w:lang w:val="en-CA"/>
        </w:rPr>
        <w:t>knowledge of</w:t>
      </w:r>
      <w:r w:rsidRPr="00E96597">
        <w:rPr>
          <w:rFonts w:eastAsia="MS Mincho"/>
          <w:spacing w:val="-2"/>
          <w:kern w:val="22"/>
          <w:lang w:val="en-CA"/>
        </w:rPr>
        <w:t xml:space="preserve"> the Calgary market and recognized that Knightsbridge could provide essential local expertise. </w:t>
      </w:r>
    </w:p>
    <w:p w14:paraId="50D763EE" w14:textId="77777777" w:rsidR="00532D05" w:rsidRPr="00532D05" w:rsidRDefault="00532D05" w:rsidP="00480CF5">
      <w:pPr>
        <w:pStyle w:val="BodyTextMain"/>
        <w:rPr>
          <w:rFonts w:eastAsia="MS Mincho"/>
          <w:lang w:val="en-CA"/>
        </w:rPr>
      </w:pPr>
      <w:r w:rsidRPr="00532D05">
        <w:rPr>
          <w:rFonts w:eastAsia="MS Mincho"/>
          <w:lang w:val="en-CA"/>
        </w:rPr>
        <w:t xml:space="preserve"> </w:t>
      </w:r>
    </w:p>
    <w:p w14:paraId="722179A6" w14:textId="4FDC8209" w:rsidR="00532D05" w:rsidRPr="00532D05" w:rsidRDefault="00532D05" w:rsidP="00480CF5">
      <w:pPr>
        <w:pStyle w:val="BodyTextMain"/>
        <w:rPr>
          <w:rFonts w:eastAsia="MS Mincho"/>
          <w:lang w:val="en-CA"/>
        </w:rPr>
      </w:pPr>
      <w:r w:rsidRPr="00532D05">
        <w:rPr>
          <w:rFonts w:eastAsia="MS Mincho"/>
          <w:lang w:val="en-CA"/>
        </w:rPr>
        <w:t xml:space="preserve">For Knightsbridge, the partnership would enable the company to take on a project of a much larger scale, while benefitting from working with a </w:t>
      </w:r>
      <w:r w:rsidR="00720619">
        <w:rPr>
          <w:rFonts w:eastAsia="MS Mincho"/>
          <w:lang w:val="en-CA"/>
        </w:rPr>
        <w:t>firm</w:t>
      </w:r>
      <w:r w:rsidR="00720619" w:rsidRPr="00532D05">
        <w:rPr>
          <w:rFonts w:eastAsia="MS Mincho"/>
          <w:lang w:val="en-CA"/>
        </w:rPr>
        <w:t xml:space="preserve"> </w:t>
      </w:r>
      <w:r w:rsidRPr="00532D05">
        <w:rPr>
          <w:rFonts w:eastAsia="MS Mincho"/>
          <w:lang w:val="en-CA"/>
        </w:rPr>
        <w:t>that had done similar developments in Toronto. Because of the land cost</w:t>
      </w:r>
      <w:r w:rsidR="00720619">
        <w:rPr>
          <w:rFonts w:eastAsia="MS Mincho"/>
          <w:lang w:val="en-CA"/>
        </w:rPr>
        <w:t>s</w:t>
      </w:r>
      <w:r w:rsidRPr="00532D05">
        <w:rPr>
          <w:rFonts w:eastAsia="MS Mincho"/>
          <w:lang w:val="en-CA"/>
        </w:rPr>
        <w:t xml:space="preserve"> associated with the site, it was clear to </w:t>
      </w:r>
      <w:proofErr w:type="spellStart"/>
      <w:r w:rsidRPr="00532D05">
        <w:rPr>
          <w:rFonts w:eastAsia="MS Mincho"/>
          <w:lang w:val="en-CA"/>
        </w:rPr>
        <w:t>Starkman</w:t>
      </w:r>
      <w:proofErr w:type="spellEnd"/>
      <w:r w:rsidRPr="00532D05">
        <w:rPr>
          <w:rFonts w:eastAsia="MS Mincho"/>
          <w:lang w:val="en-CA"/>
        </w:rPr>
        <w:t xml:space="preserve"> that the development would need to </w:t>
      </w:r>
      <w:r w:rsidR="00B41F30">
        <w:rPr>
          <w:rFonts w:eastAsia="MS Mincho"/>
          <w:lang w:val="en-CA"/>
        </w:rPr>
        <w:t xml:space="preserve">accommodate </w:t>
      </w:r>
      <w:r w:rsidRPr="00532D05">
        <w:rPr>
          <w:rFonts w:eastAsia="MS Mincho"/>
          <w:lang w:val="en-CA"/>
        </w:rPr>
        <w:t xml:space="preserve">significantly higher </w:t>
      </w:r>
      <w:r w:rsidR="00B41F30">
        <w:rPr>
          <w:rFonts w:eastAsia="MS Mincho"/>
          <w:lang w:val="en-CA"/>
        </w:rPr>
        <w:t xml:space="preserve">population density </w:t>
      </w:r>
      <w:r w:rsidRPr="00532D05">
        <w:rPr>
          <w:rFonts w:eastAsia="MS Mincho"/>
          <w:lang w:val="en-CA"/>
        </w:rPr>
        <w:t>than the surrounding areas</w:t>
      </w:r>
      <w:r w:rsidR="00367349">
        <w:rPr>
          <w:rFonts w:eastAsia="MS Mincho"/>
          <w:lang w:val="en-CA"/>
        </w:rPr>
        <w:t xml:space="preserve">—an idea </w:t>
      </w:r>
      <w:r w:rsidR="00B623FA">
        <w:rPr>
          <w:rFonts w:eastAsia="MS Mincho"/>
          <w:lang w:val="en-CA"/>
        </w:rPr>
        <w:t xml:space="preserve">that </w:t>
      </w:r>
      <w:r w:rsidR="00367349">
        <w:rPr>
          <w:rFonts w:eastAsia="MS Mincho"/>
          <w:lang w:val="en-CA"/>
        </w:rPr>
        <w:t xml:space="preserve">displeased the local </w:t>
      </w:r>
      <w:r w:rsidRPr="00532D05">
        <w:rPr>
          <w:rFonts w:eastAsia="MS Mincho"/>
          <w:lang w:val="en-CA"/>
        </w:rPr>
        <w:t xml:space="preserve">community. Further, </w:t>
      </w:r>
      <w:proofErr w:type="spellStart"/>
      <w:r w:rsidRPr="00532D05">
        <w:rPr>
          <w:rFonts w:eastAsia="MS Mincho"/>
          <w:lang w:val="en-CA"/>
        </w:rPr>
        <w:t>Starkman</w:t>
      </w:r>
      <w:proofErr w:type="spellEnd"/>
      <w:r w:rsidRPr="00532D05">
        <w:rPr>
          <w:rFonts w:eastAsia="MS Mincho"/>
          <w:lang w:val="en-CA"/>
        </w:rPr>
        <w:t xml:space="preserve"> knew that</w:t>
      </w:r>
      <w:r w:rsidR="00E001DC">
        <w:rPr>
          <w:rFonts w:eastAsia="MS Mincho"/>
          <w:lang w:val="en-CA"/>
        </w:rPr>
        <w:t xml:space="preserve"> in order</w:t>
      </w:r>
      <w:r w:rsidRPr="00532D05">
        <w:rPr>
          <w:rFonts w:eastAsia="MS Mincho"/>
          <w:lang w:val="en-CA"/>
        </w:rPr>
        <w:t xml:space="preserve"> to appeal to the buyer segment most interested in this location</w:t>
      </w:r>
      <w:r w:rsidR="008E0DEB">
        <w:rPr>
          <w:rFonts w:eastAsia="MS Mincho"/>
          <w:lang w:val="en-CA"/>
        </w:rPr>
        <w:t xml:space="preserve"> (</w:t>
      </w:r>
      <w:r w:rsidRPr="00532D05">
        <w:rPr>
          <w:rFonts w:eastAsia="MS Mincho"/>
          <w:lang w:val="en-CA"/>
        </w:rPr>
        <w:t>which market research had shown would likely be millennials and investors</w:t>
      </w:r>
      <w:r w:rsidR="008E0DEB">
        <w:rPr>
          <w:rFonts w:eastAsia="MS Mincho"/>
          <w:lang w:val="en-CA"/>
        </w:rPr>
        <w:t>)</w:t>
      </w:r>
      <w:r w:rsidRPr="00532D05">
        <w:rPr>
          <w:rFonts w:eastAsia="MS Mincho"/>
          <w:lang w:val="en-CA"/>
        </w:rPr>
        <w:t xml:space="preserve">, Knightsbridge and </w:t>
      </w:r>
      <w:proofErr w:type="spellStart"/>
      <w:r w:rsidRPr="00532D05">
        <w:rPr>
          <w:rFonts w:eastAsia="MS Mincho"/>
          <w:lang w:val="en-CA"/>
        </w:rPr>
        <w:t>Metropia</w:t>
      </w:r>
      <w:proofErr w:type="spellEnd"/>
      <w:r w:rsidRPr="00532D05">
        <w:rPr>
          <w:rFonts w:eastAsia="MS Mincho"/>
          <w:lang w:val="en-CA"/>
        </w:rPr>
        <w:t xml:space="preserve"> would need to identify exactly what these groups wanted. Their marketing research showed that the key demand was affordability. In return for a lower entry point, prospective buyers were willing to sacrifice square footage, but not functionality. With this key point in mind, Knightsbridge and </w:t>
      </w:r>
      <w:proofErr w:type="spellStart"/>
      <w:r w:rsidRPr="00532D05">
        <w:rPr>
          <w:rFonts w:eastAsia="MS Mincho"/>
          <w:lang w:val="en-CA"/>
        </w:rPr>
        <w:t>Metropia</w:t>
      </w:r>
      <w:proofErr w:type="spellEnd"/>
      <w:r w:rsidRPr="00532D05">
        <w:rPr>
          <w:rFonts w:eastAsia="MS Mincho"/>
          <w:lang w:val="en-CA"/>
        </w:rPr>
        <w:t xml:space="preserve"> established their vision for the site and started planning.</w:t>
      </w:r>
    </w:p>
    <w:p w14:paraId="0944CD7E" w14:textId="77777777" w:rsidR="00532D05" w:rsidRPr="00532D05" w:rsidRDefault="00532D05" w:rsidP="00480CF5">
      <w:pPr>
        <w:pStyle w:val="BodyTextMain"/>
        <w:rPr>
          <w:rFonts w:eastAsia="MS Mincho"/>
          <w:lang w:val="en-CA"/>
        </w:rPr>
      </w:pPr>
    </w:p>
    <w:p w14:paraId="2F8C1BBD" w14:textId="49CEB893" w:rsidR="00532D05" w:rsidRPr="00532D05" w:rsidRDefault="00532D05" w:rsidP="00480CF5">
      <w:pPr>
        <w:pStyle w:val="BodyTextMain"/>
        <w:rPr>
          <w:rFonts w:eastAsia="MS Mincho"/>
          <w:lang w:val="en-CA"/>
        </w:rPr>
      </w:pPr>
      <w:r w:rsidRPr="00532D05">
        <w:rPr>
          <w:rFonts w:eastAsia="MS Mincho"/>
          <w:lang w:val="en-CA"/>
        </w:rPr>
        <w:t>The vision became “University City</w:t>
      </w:r>
      <w:r w:rsidR="008E0DEB">
        <w:rPr>
          <w:rFonts w:eastAsia="MS Mincho"/>
          <w:lang w:val="en-CA"/>
        </w:rPr>
        <w:t>,</w:t>
      </w:r>
      <w:r w:rsidRPr="00532D05">
        <w:rPr>
          <w:rFonts w:eastAsia="MS Mincho"/>
          <w:lang w:val="en-CA"/>
        </w:rPr>
        <w:t>”</w:t>
      </w:r>
      <w:r w:rsidR="008E0DEB">
        <w:rPr>
          <w:rFonts w:eastAsia="MS Mincho"/>
          <w:lang w:val="en-CA"/>
        </w:rPr>
        <w:t xml:space="preserve"> </w:t>
      </w:r>
      <w:r w:rsidRPr="00532D05">
        <w:rPr>
          <w:rFonts w:eastAsia="MS Mincho"/>
          <w:lang w:val="en-CA"/>
        </w:rPr>
        <w:t>a 716-unit master planned condominium</w:t>
      </w:r>
      <w:r w:rsidR="0038440F">
        <w:rPr>
          <w:rFonts w:eastAsia="MS Mincho"/>
          <w:lang w:val="en-CA"/>
        </w:rPr>
        <w:t xml:space="preserve"> (condo)</w:t>
      </w:r>
      <w:r w:rsidRPr="00532D05">
        <w:rPr>
          <w:rFonts w:eastAsia="MS Mincho"/>
          <w:lang w:val="en-CA"/>
        </w:rPr>
        <w:t xml:space="preserve"> community on top of retail podiums that was introduced in two phases. Phase </w:t>
      </w:r>
      <w:r w:rsidR="007357B9">
        <w:rPr>
          <w:rFonts w:eastAsia="MS Mincho"/>
          <w:lang w:val="en-CA"/>
        </w:rPr>
        <w:t>one</w:t>
      </w:r>
      <w:r w:rsidRPr="00532D05">
        <w:rPr>
          <w:rFonts w:eastAsia="MS Mincho"/>
          <w:lang w:val="en-CA"/>
        </w:rPr>
        <w:t xml:space="preserve"> consisted of two high</w:t>
      </w:r>
      <w:r w:rsidRPr="00AD7846">
        <w:rPr>
          <w:rFonts w:eastAsia="MS Mincho"/>
          <w:lang w:val="en-CA"/>
        </w:rPr>
        <w:t>-rise</w:t>
      </w:r>
      <w:r w:rsidR="00AD7846" w:rsidRPr="00AD7846">
        <w:rPr>
          <w:rFonts w:eastAsia="MS Mincho"/>
          <w:lang w:val="en-CA"/>
        </w:rPr>
        <w:t xml:space="preserve"> buildings (</w:t>
      </w:r>
      <w:r w:rsidR="00AD7846">
        <w:rPr>
          <w:rFonts w:eastAsia="MS Mincho"/>
          <w:lang w:val="en-CA"/>
        </w:rPr>
        <w:t>or</w:t>
      </w:r>
      <w:r w:rsidR="00AD7846" w:rsidRPr="00AD7846">
        <w:rPr>
          <w:rFonts w:eastAsia="MS Mincho"/>
          <w:lang w:val="en-CA"/>
        </w:rPr>
        <w:t xml:space="preserve"> “high-rises”)</w:t>
      </w:r>
      <w:r w:rsidR="007357B9">
        <w:rPr>
          <w:rFonts w:eastAsia="MS Mincho"/>
          <w:lang w:val="en-CA"/>
        </w:rPr>
        <w:t>, and phase two</w:t>
      </w:r>
      <w:r w:rsidRPr="00AD7846">
        <w:rPr>
          <w:rFonts w:eastAsia="MS Mincho"/>
          <w:lang w:val="en-CA"/>
        </w:rPr>
        <w:t xml:space="preserve"> </w:t>
      </w:r>
      <w:r w:rsidR="00AD7846">
        <w:rPr>
          <w:rFonts w:eastAsia="MS Mincho"/>
          <w:lang w:val="en-CA"/>
        </w:rPr>
        <w:t xml:space="preserve">consisted </w:t>
      </w:r>
      <w:r w:rsidRPr="00AD7846">
        <w:rPr>
          <w:rFonts w:eastAsia="MS Mincho"/>
          <w:lang w:val="en-CA"/>
        </w:rPr>
        <w:t>of two mid-rises</w:t>
      </w:r>
      <w:r w:rsidR="00AD7846">
        <w:rPr>
          <w:rFonts w:eastAsia="MS Mincho"/>
          <w:lang w:val="en-CA"/>
        </w:rPr>
        <w:t>. Both types of buildings</w:t>
      </w:r>
      <w:r w:rsidRPr="00AD7846">
        <w:rPr>
          <w:rFonts w:eastAsia="MS Mincho"/>
          <w:lang w:val="en-CA"/>
        </w:rPr>
        <w:t xml:space="preserve"> featur</w:t>
      </w:r>
      <w:r w:rsidR="00AD7846">
        <w:rPr>
          <w:rFonts w:eastAsia="MS Mincho"/>
          <w:lang w:val="en-CA"/>
        </w:rPr>
        <w:t>ed</w:t>
      </w:r>
      <w:r w:rsidRPr="00AD7846">
        <w:rPr>
          <w:rFonts w:eastAsia="MS Mincho"/>
          <w:lang w:val="en-CA"/>
        </w:rPr>
        <w:t xml:space="preserve"> apartment</w:t>
      </w:r>
      <w:r w:rsidR="00AD7846">
        <w:rPr>
          <w:rFonts w:eastAsia="MS Mincho"/>
          <w:lang w:val="en-CA"/>
        </w:rPr>
        <w:t>-</w:t>
      </w:r>
      <w:r w:rsidRPr="00AD7846">
        <w:rPr>
          <w:rFonts w:eastAsia="MS Mincho"/>
          <w:lang w:val="en-CA"/>
        </w:rPr>
        <w:t xml:space="preserve">style condos varying from 343 square feet to 718 square feet in size. The development </w:t>
      </w:r>
      <w:r w:rsidRPr="00532D05">
        <w:rPr>
          <w:rFonts w:eastAsia="MS Mincho"/>
          <w:lang w:val="en-CA"/>
        </w:rPr>
        <w:t>also included a townhouse complex</w:t>
      </w:r>
      <w:r w:rsidR="00AD7846">
        <w:rPr>
          <w:rFonts w:eastAsia="MS Mincho"/>
          <w:lang w:val="en-CA"/>
        </w:rPr>
        <w:t>,</w:t>
      </w:r>
      <w:r w:rsidRPr="00532D05">
        <w:rPr>
          <w:rFonts w:eastAsia="MS Mincho"/>
          <w:lang w:val="en-CA"/>
        </w:rPr>
        <w:t xml:space="preserve"> which was later named “Brentwood on the Park</w:t>
      </w:r>
      <w:r w:rsidR="00AD7846">
        <w:rPr>
          <w:rFonts w:eastAsia="MS Mincho"/>
          <w:lang w:val="en-CA"/>
        </w:rPr>
        <w:t>.</w:t>
      </w:r>
      <w:r w:rsidRPr="00532D05">
        <w:rPr>
          <w:rFonts w:eastAsia="MS Mincho"/>
          <w:lang w:val="en-CA"/>
        </w:rPr>
        <w:t>” The variety of units</w:t>
      </w:r>
      <w:r w:rsidR="0038440F">
        <w:rPr>
          <w:rFonts w:eastAsia="MS Mincho"/>
          <w:lang w:val="en-CA"/>
        </w:rPr>
        <w:t xml:space="preserve"> (</w:t>
      </w:r>
      <w:r w:rsidRPr="00532D05">
        <w:rPr>
          <w:rFonts w:eastAsia="MS Mincho"/>
          <w:lang w:val="en-CA"/>
        </w:rPr>
        <w:t>bachelor, one</w:t>
      </w:r>
      <w:r w:rsidR="0038440F">
        <w:rPr>
          <w:rFonts w:eastAsia="MS Mincho"/>
          <w:lang w:val="en-CA"/>
        </w:rPr>
        <w:t>-,</w:t>
      </w:r>
      <w:r w:rsidRPr="00532D05">
        <w:rPr>
          <w:rFonts w:eastAsia="MS Mincho"/>
          <w:lang w:val="en-CA"/>
        </w:rPr>
        <w:t xml:space="preserve"> and two</w:t>
      </w:r>
      <w:r w:rsidR="0038440F">
        <w:rPr>
          <w:rFonts w:eastAsia="MS Mincho"/>
          <w:lang w:val="en-CA"/>
        </w:rPr>
        <w:t>-</w:t>
      </w:r>
      <w:r w:rsidRPr="00532D05">
        <w:rPr>
          <w:rFonts w:eastAsia="MS Mincho"/>
          <w:lang w:val="en-CA"/>
        </w:rPr>
        <w:t>bedroom</w:t>
      </w:r>
      <w:r w:rsidR="00A6103E">
        <w:rPr>
          <w:rFonts w:eastAsia="MS Mincho"/>
          <w:lang w:val="en-CA"/>
        </w:rPr>
        <w:t xml:space="preserve"> condos;</w:t>
      </w:r>
      <w:r w:rsidR="0038440F">
        <w:rPr>
          <w:rFonts w:eastAsia="MS Mincho"/>
          <w:lang w:val="en-CA"/>
        </w:rPr>
        <w:t xml:space="preserve"> as well as</w:t>
      </w:r>
      <w:r w:rsidRPr="00532D05">
        <w:rPr>
          <w:rFonts w:eastAsia="MS Mincho"/>
          <w:lang w:val="en-CA"/>
        </w:rPr>
        <w:t xml:space="preserve"> one</w:t>
      </w:r>
      <w:r w:rsidR="0038440F">
        <w:rPr>
          <w:rFonts w:eastAsia="MS Mincho"/>
          <w:lang w:val="en-CA"/>
        </w:rPr>
        <w:t>-</w:t>
      </w:r>
      <w:r w:rsidRPr="00532D05">
        <w:rPr>
          <w:rFonts w:eastAsia="MS Mincho"/>
          <w:lang w:val="en-CA"/>
        </w:rPr>
        <w:t>, two</w:t>
      </w:r>
      <w:r w:rsidR="0038440F">
        <w:rPr>
          <w:rFonts w:eastAsia="MS Mincho"/>
          <w:lang w:val="en-CA"/>
        </w:rPr>
        <w:t>-</w:t>
      </w:r>
      <w:r w:rsidRPr="00532D05">
        <w:rPr>
          <w:rFonts w:eastAsia="MS Mincho"/>
          <w:lang w:val="en-CA"/>
        </w:rPr>
        <w:t>, and three-bedroom townhouses</w:t>
      </w:r>
      <w:r w:rsidR="0038440F">
        <w:rPr>
          <w:rFonts w:eastAsia="MS Mincho"/>
          <w:lang w:val="en-CA"/>
        </w:rPr>
        <w:t>)</w:t>
      </w:r>
      <w:r w:rsidRPr="00532D05">
        <w:rPr>
          <w:rFonts w:eastAsia="MS Mincho"/>
          <w:lang w:val="en-CA"/>
        </w:rPr>
        <w:t xml:space="preserve"> ensured a diversification in the offerings, which was essential for a b</w:t>
      </w:r>
      <w:r w:rsidR="0038572C">
        <w:rPr>
          <w:rFonts w:eastAsia="MS Mincho"/>
          <w:lang w:val="en-CA"/>
        </w:rPr>
        <w:t>road appeal. Bachelor units in p</w:t>
      </w:r>
      <w:r w:rsidR="007357B9">
        <w:rPr>
          <w:rFonts w:eastAsia="MS Mincho"/>
          <w:lang w:val="en-CA"/>
        </w:rPr>
        <w:t>hase one</w:t>
      </w:r>
      <w:r w:rsidRPr="00532D05">
        <w:rPr>
          <w:rFonts w:eastAsia="MS Mincho"/>
          <w:lang w:val="en-CA"/>
        </w:rPr>
        <w:t xml:space="preserve"> started at </w:t>
      </w:r>
      <w:r w:rsidR="0008208C">
        <w:rPr>
          <w:rFonts w:eastAsia="MS Mincho"/>
          <w:lang w:val="en-CA"/>
        </w:rPr>
        <w:t>CA</w:t>
      </w:r>
      <w:r w:rsidRPr="00532D05">
        <w:rPr>
          <w:rFonts w:eastAsia="MS Mincho"/>
          <w:lang w:val="en-CA"/>
        </w:rPr>
        <w:t>$159,900,</w:t>
      </w:r>
      <w:r w:rsidR="00E86D7B">
        <w:rPr>
          <w:rStyle w:val="FootnoteReference"/>
          <w:rFonts w:eastAsia="MS Mincho"/>
          <w:lang w:val="en-CA"/>
        </w:rPr>
        <w:footnoteReference w:id="5"/>
      </w:r>
      <w:r w:rsidRPr="00532D05">
        <w:rPr>
          <w:rFonts w:eastAsia="MS Mincho"/>
          <w:lang w:val="en-CA"/>
        </w:rPr>
        <w:t xml:space="preserve"> which Knightsbridge considered an “entry-level price.” On the other end of the spectrum, the largest townhouse in the “</w:t>
      </w:r>
      <w:r w:rsidR="00367349">
        <w:rPr>
          <w:rFonts w:eastAsia="MS Mincho"/>
          <w:lang w:val="en-CA"/>
        </w:rPr>
        <w:t xml:space="preserve">Brentwood on the </w:t>
      </w:r>
      <w:r w:rsidRPr="00532D05">
        <w:rPr>
          <w:rFonts w:eastAsia="MS Mincho"/>
          <w:lang w:val="en-CA"/>
        </w:rPr>
        <w:t xml:space="preserve">Park” development started at $649,000. Because the </w:t>
      </w:r>
      <w:r w:rsidR="00367349">
        <w:rPr>
          <w:rFonts w:eastAsia="MS Mincho"/>
          <w:lang w:val="en-CA"/>
        </w:rPr>
        <w:t>project</w:t>
      </w:r>
      <w:r w:rsidR="00367349" w:rsidRPr="00532D05">
        <w:rPr>
          <w:rFonts w:eastAsia="MS Mincho"/>
          <w:lang w:val="en-CA"/>
        </w:rPr>
        <w:t xml:space="preserve"> </w:t>
      </w:r>
      <w:r w:rsidRPr="00532D05">
        <w:rPr>
          <w:rFonts w:eastAsia="MS Mincho"/>
          <w:lang w:val="en-CA"/>
        </w:rPr>
        <w:t xml:space="preserve">was a TOD, Knightsbridge and </w:t>
      </w:r>
      <w:proofErr w:type="spellStart"/>
      <w:r w:rsidRPr="00532D05">
        <w:rPr>
          <w:rFonts w:eastAsia="MS Mincho"/>
          <w:lang w:val="en-CA"/>
        </w:rPr>
        <w:t>Metropia</w:t>
      </w:r>
      <w:proofErr w:type="spellEnd"/>
      <w:r w:rsidRPr="00532D05">
        <w:rPr>
          <w:rFonts w:eastAsia="MS Mincho"/>
          <w:lang w:val="en-CA"/>
        </w:rPr>
        <w:t xml:space="preserve"> recognized that </w:t>
      </w:r>
      <w:r w:rsidR="00367349">
        <w:rPr>
          <w:rFonts w:eastAsia="MS Mincho"/>
          <w:lang w:val="en-CA"/>
        </w:rPr>
        <w:t xml:space="preserve">buyers </w:t>
      </w:r>
      <w:r w:rsidRPr="00532D05">
        <w:rPr>
          <w:rFonts w:eastAsia="MS Mincho"/>
          <w:lang w:val="en-CA"/>
        </w:rPr>
        <w:t xml:space="preserve">would not </w:t>
      </w:r>
      <w:r w:rsidR="00367349">
        <w:rPr>
          <w:rFonts w:eastAsia="MS Mincho"/>
          <w:lang w:val="en-CA"/>
        </w:rPr>
        <w:t xml:space="preserve">necessarily require </w:t>
      </w:r>
      <w:r w:rsidRPr="00532D05">
        <w:rPr>
          <w:rFonts w:eastAsia="MS Mincho"/>
          <w:lang w:val="en-CA"/>
        </w:rPr>
        <w:t>a car</w:t>
      </w:r>
      <w:r w:rsidR="00367349">
        <w:rPr>
          <w:rFonts w:eastAsia="MS Mincho"/>
          <w:lang w:val="en-CA"/>
        </w:rPr>
        <w:t>;</w:t>
      </w:r>
      <w:r w:rsidRPr="00532D05">
        <w:rPr>
          <w:rFonts w:eastAsia="MS Mincho"/>
          <w:lang w:val="en-CA"/>
        </w:rPr>
        <w:t xml:space="preserve"> therefore</w:t>
      </w:r>
      <w:r w:rsidRPr="0038572C">
        <w:rPr>
          <w:rFonts w:eastAsia="MS Mincho"/>
          <w:lang w:val="en-CA"/>
        </w:rPr>
        <w:t xml:space="preserve">, buying a parking </w:t>
      </w:r>
      <w:r w:rsidR="0038572C" w:rsidRPr="0038572C">
        <w:rPr>
          <w:rFonts w:eastAsia="MS Mincho"/>
          <w:lang w:val="en-CA"/>
        </w:rPr>
        <w:t xml:space="preserve">spot </w:t>
      </w:r>
      <w:r w:rsidR="00367349">
        <w:rPr>
          <w:rFonts w:eastAsia="MS Mincho"/>
          <w:lang w:val="en-CA"/>
        </w:rPr>
        <w:t xml:space="preserve">became an </w:t>
      </w:r>
      <w:r w:rsidRPr="0038572C">
        <w:rPr>
          <w:rFonts w:eastAsia="MS Mincho"/>
          <w:lang w:val="en-CA"/>
        </w:rPr>
        <w:t>optional</w:t>
      </w:r>
      <w:r w:rsidR="00367349">
        <w:rPr>
          <w:rFonts w:eastAsia="MS Mincho"/>
          <w:lang w:val="en-CA"/>
        </w:rPr>
        <w:t xml:space="preserve"> add-on at </w:t>
      </w:r>
      <w:r w:rsidRPr="00532D05">
        <w:rPr>
          <w:rFonts w:eastAsia="MS Mincho"/>
          <w:lang w:val="en-CA"/>
        </w:rPr>
        <w:t>$11,900</w:t>
      </w:r>
      <w:r w:rsidR="00367349">
        <w:rPr>
          <w:rFonts w:eastAsia="MS Mincho"/>
          <w:lang w:val="en-CA"/>
        </w:rPr>
        <w:t xml:space="preserve"> each</w:t>
      </w:r>
      <w:r w:rsidRPr="00532D05">
        <w:rPr>
          <w:rFonts w:eastAsia="MS Mincho"/>
          <w:lang w:val="en-CA"/>
        </w:rPr>
        <w:t xml:space="preserve">. </w:t>
      </w:r>
    </w:p>
    <w:p w14:paraId="2D10E7A5" w14:textId="77777777" w:rsidR="00532D05" w:rsidRPr="00532D05" w:rsidRDefault="00532D05" w:rsidP="00480CF5">
      <w:pPr>
        <w:pStyle w:val="BodyTextMain"/>
        <w:rPr>
          <w:rFonts w:eastAsia="MS Mincho"/>
          <w:lang w:val="en-CA"/>
        </w:rPr>
      </w:pPr>
    </w:p>
    <w:p w14:paraId="7C937171" w14:textId="63EF8D98" w:rsidR="00532D05" w:rsidRPr="00A64CC5" w:rsidRDefault="00532D05" w:rsidP="00480CF5">
      <w:pPr>
        <w:pStyle w:val="BodyTextMain"/>
        <w:rPr>
          <w:rFonts w:eastAsia="MS Mincho"/>
          <w:spacing w:val="-2"/>
          <w:kern w:val="22"/>
          <w:lang w:val="en-CA"/>
        </w:rPr>
      </w:pPr>
      <w:r w:rsidRPr="00A64CC5">
        <w:rPr>
          <w:rFonts w:eastAsia="MS Mincho"/>
          <w:spacing w:val="-2"/>
          <w:kern w:val="22"/>
          <w:lang w:val="en-CA"/>
        </w:rPr>
        <w:t>Not everyone was excited about the vision for the area. The 2008 Brentwood Station Area Development Plan (</w:t>
      </w:r>
      <w:r w:rsidR="00D33AC0">
        <w:rPr>
          <w:rFonts w:eastAsia="MS Mincho"/>
          <w:spacing w:val="-2"/>
          <w:kern w:val="22"/>
          <w:lang w:val="en-CA"/>
        </w:rPr>
        <w:t xml:space="preserve">Brentwood </w:t>
      </w:r>
      <w:r w:rsidRPr="00A64CC5">
        <w:rPr>
          <w:rFonts w:eastAsia="MS Mincho"/>
          <w:spacing w:val="-2"/>
          <w:kern w:val="22"/>
          <w:lang w:val="en-CA"/>
        </w:rPr>
        <w:t>SARP)</w:t>
      </w:r>
      <w:r w:rsidR="00367349">
        <w:rPr>
          <w:rFonts w:eastAsia="MS Mincho"/>
          <w:spacing w:val="-2"/>
          <w:kern w:val="22"/>
          <w:lang w:val="en-CA"/>
        </w:rPr>
        <w:t>,</w:t>
      </w:r>
      <w:r w:rsidRPr="00A64CC5">
        <w:rPr>
          <w:rFonts w:eastAsia="MS Mincho"/>
          <w:spacing w:val="-2"/>
          <w:kern w:val="22"/>
          <w:lang w:val="en-CA"/>
        </w:rPr>
        <w:t xml:space="preserve"> which paved the way for development</w:t>
      </w:r>
      <w:r w:rsidR="00367349">
        <w:rPr>
          <w:rFonts w:eastAsia="MS Mincho"/>
          <w:spacing w:val="-2"/>
          <w:kern w:val="22"/>
          <w:lang w:val="en-CA"/>
        </w:rPr>
        <w:t>,</w:t>
      </w:r>
      <w:r w:rsidRPr="00A64CC5">
        <w:rPr>
          <w:rFonts w:eastAsia="MS Mincho"/>
          <w:spacing w:val="-2"/>
          <w:kern w:val="22"/>
          <w:lang w:val="en-CA"/>
        </w:rPr>
        <w:t xml:space="preserve"> was met with opposition from the Brentwood Community Association, as well as the nearby Varsity Community Association. In fact, 100 </w:t>
      </w:r>
      <w:r w:rsidR="00367349">
        <w:rPr>
          <w:rFonts w:eastAsia="MS Mincho"/>
          <w:spacing w:val="-2"/>
          <w:kern w:val="22"/>
          <w:lang w:val="en-CA"/>
        </w:rPr>
        <w:t xml:space="preserve">local </w:t>
      </w:r>
      <w:r w:rsidRPr="00A64CC5">
        <w:rPr>
          <w:rFonts w:eastAsia="MS Mincho"/>
          <w:spacing w:val="-2"/>
          <w:kern w:val="22"/>
          <w:lang w:val="en-CA"/>
        </w:rPr>
        <w:t xml:space="preserve">residents </w:t>
      </w:r>
      <w:r w:rsidR="00367349">
        <w:rPr>
          <w:rFonts w:eastAsia="MS Mincho"/>
          <w:spacing w:val="-2"/>
          <w:kern w:val="22"/>
          <w:lang w:val="en-CA"/>
        </w:rPr>
        <w:t>attended a meeting</w:t>
      </w:r>
      <w:r w:rsidRPr="00A64CC5">
        <w:rPr>
          <w:rFonts w:eastAsia="MS Mincho"/>
          <w:spacing w:val="-2"/>
          <w:kern w:val="22"/>
          <w:lang w:val="en-CA"/>
        </w:rPr>
        <w:t xml:space="preserve"> at City Hall to oppose</w:t>
      </w:r>
      <w:r w:rsidR="00D33AC0">
        <w:rPr>
          <w:rFonts w:eastAsia="MS Mincho"/>
          <w:spacing w:val="-2"/>
          <w:kern w:val="22"/>
          <w:lang w:val="en-CA"/>
        </w:rPr>
        <w:t xml:space="preserve"> the Brentwood</w:t>
      </w:r>
      <w:r w:rsidRPr="00A64CC5">
        <w:rPr>
          <w:rFonts w:eastAsia="MS Mincho"/>
          <w:spacing w:val="-2"/>
          <w:kern w:val="22"/>
          <w:lang w:val="en-CA"/>
        </w:rPr>
        <w:t xml:space="preserve"> </w:t>
      </w:r>
      <w:r w:rsidR="00367349">
        <w:rPr>
          <w:rFonts w:eastAsia="MS Mincho"/>
          <w:spacing w:val="-2"/>
          <w:kern w:val="22"/>
          <w:lang w:val="en-CA"/>
        </w:rPr>
        <w:t>SARP</w:t>
      </w:r>
      <w:r w:rsidRPr="00A64CC5">
        <w:rPr>
          <w:rFonts w:eastAsia="MS Mincho"/>
          <w:spacing w:val="-2"/>
          <w:kern w:val="22"/>
          <w:lang w:val="en-CA"/>
        </w:rPr>
        <w:t xml:space="preserve">. The increase in </w:t>
      </w:r>
      <w:r w:rsidR="00367349">
        <w:rPr>
          <w:rFonts w:eastAsia="MS Mincho"/>
          <w:spacing w:val="-2"/>
          <w:kern w:val="22"/>
          <w:lang w:val="en-CA"/>
        </w:rPr>
        <w:t xml:space="preserve">population </w:t>
      </w:r>
      <w:r w:rsidRPr="00A64CC5">
        <w:rPr>
          <w:rFonts w:eastAsia="MS Mincho"/>
          <w:spacing w:val="-2"/>
          <w:kern w:val="22"/>
          <w:lang w:val="en-CA"/>
        </w:rPr>
        <w:t>density was cited as a concern for existing residents</w:t>
      </w:r>
      <w:r w:rsidR="00367349">
        <w:rPr>
          <w:rFonts w:eastAsia="MS Mincho"/>
          <w:spacing w:val="-2"/>
          <w:kern w:val="22"/>
          <w:lang w:val="en-CA"/>
        </w:rPr>
        <w:t>,</w:t>
      </w:r>
      <w:r w:rsidRPr="00A64CC5">
        <w:rPr>
          <w:rFonts w:eastAsia="MS Mincho"/>
          <w:spacing w:val="-2"/>
          <w:kern w:val="22"/>
          <w:lang w:val="en-CA"/>
        </w:rPr>
        <w:t xml:space="preserve"> who claimed that the development would have a major impact on the</w:t>
      </w:r>
      <w:r w:rsidR="00367349">
        <w:rPr>
          <w:rFonts w:eastAsia="MS Mincho"/>
          <w:spacing w:val="-2"/>
          <w:kern w:val="22"/>
          <w:lang w:val="en-CA"/>
        </w:rPr>
        <w:t>ir</w:t>
      </w:r>
      <w:r w:rsidRPr="00A64CC5">
        <w:rPr>
          <w:rFonts w:eastAsia="MS Mincho"/>
          <w:spacing w:val="-2"/>
          <w:kern w:val="22"/>
          <w:lang w:val="en-CA"/>
        </w:rPr>
        <w:t xml:space="preserve"> way of life. </w:t>
      </w:r>
    </w:p>
    <w:p w14:paraId="3F73E759" w14:textId="77777777" w:rsidR="00532D05" w:rsidRPr="00532D05" w:rsidRDefault="00532D05" w:rsidP="00480CF5">
      <w:pPr>
        <w:pStyle w:val="BodyTextMain"/>
        <w:rPr>
          <w:rFonts w:eastAsia="MS Mincho"/>
          <w:lang w:val="en-CA"/>
        </w:rPr>
      </w:pPr>
    </w:p>
    <w:p w14:paraId="5C7F1F5E" w14:textId="1C9FFA10" w:rsidR="00532D05" w:rsidRPr="00532D05" w:rsidRDefault="00532D05" w:rsidP="00480CF5">
      <w:pPr>
        <w:pStyle w:val="BodyTextMain"/>
        <w:rPr>
          <w:rFonts w:eastAsia="MS Mincho"/>
          <w:lang w:val="en-CA"/>
        </w:rPr>
      </w:pPr>
      <w:r w:rsidRPr="00532D05">
        <w:rPr>
          <w:rFonts w:eastAsia="MS Mincho"/>
          <w:lang w:val="en-CA"/>
        </w:rPr>
        <w:t xml:space="preserve">Knightsbridge and </w:t>
      </w:r>
      <w:proofErr w:type="spellStart"/>
      <w:r w:rsidRPr="00532D05">
        <w:rPr>
          <w:rFonts w:eastAsia="MS Mincho"/>
          <w:lang w:val="en-CA"/>
        </w:rPr>
        <w:t>Metropia</w:t>
      </w:r>
      <w:proofErr w:type="spellEnd"/>
      <w:r w:rsidRPr="00532D05">
        <w:rPr>
          <w:rFonts w:eastAsia="MS Mincho"/>
          <w:lang w:val="en-CA"/>
        </w:rPr>
        <w:t xml:space="preserve"> managed to appease the community associations by addressing most of their concerns</w:t>
      </w:r>
      <w:r w:rsidR="00CB424D">
        <w:rPr>
          <w:rFonts w:eastAsia="MS Mincho"/>
          <w:lang w:val="en-CA"/>
        </w:rPr>
        <w:t>.</w:t>
      </w:r>
      <w:r w:rsidRPr="00532D05">
        <w:rPr>
          <w:rFonts w:eastAsia="MS Mincho"/>
          <w:vertAlign w:val="superscript"/>
          <w:lang w:val="en-CA"/>
        </w:rPr>
        <w:footnoteReference w:id="6"/>
      </w:r>
      <w:r w:rsidRPr="00532D05">
        <w:rPr>
          <w:rFonts w:eastAsia="MS Mincho"/>
          <w:lang w:val="en-CA"/>
        </w:rPr>
        <w:t xml:space="preserve"> To minimize the impact of the development</w:t>
      </w:r>
      <w:r w:rsidR="00D33AC0">
        <w:rPr>
          <w:rFonts w:eastAsia="MS Mincho"/>
          <w:lang w:val="en-CA"/>
        </w:rPr>
        <w:t>, the companies planned</w:t>
      </w:r>
      <w:r w:rsidRPr="00532D05">
        <w:rPr>
          <w:rFonts w:eastAsia="MS Mincho"/>
          <w:lang w:val="en-CA"/>
        </w:rPr>
        <w:t xml:space="preserve"> to create a height transition</w:t>
      </w:r>
      <w:r w:rsidR="00D33AC0">
        <w:rPr>
          <w:rFonts w:eastAsia="MS Mincho"/>
          <w:lang w:val="en-CA"/>
        </w:rPr>
        <w:t>,</w:t>
      </w:r>
      <w:r w:rsidRPr="00532D05">
        <w:rPr>
          <w:rFonts w:eastAsia="MS Mincho"/>
          <w:lang w:val="en-CA"/>
        </w:rPr>
        <w:t xml:space="preserve"> situating the townhouses closest to the existing neighbourhood and gradually increasing the height</w:t>
      </w:r>
      <w:r w:rsidR="00D33AC0">
        <w:rPr>
          <w:rFonts w:eastAsia="MS Mincho"/>
          <w:lang w:val="en-CA"/>
        </w:rPr>
        <w:t xml:space="preserve"> of the new buildings (i.e.,</w:t>
      </w:r>
      <w:r w:rsidRPr="00532D05">
        <w:rPr>
          <w:rFonts w:eastAsia="MS Mincho"/>
          <w:lang w:val="en-CA"/>
        </w:rPr>
        <w:t xml:space="preserve"> with the mid-rise buildings in the middle of the site, and finally, the high-rises closest to the LRT line</w:t>
      </w:r>
      <w:r w:rsidR="00D33AC0">
        <w:rPr>
          <w:rFonts w:eastAsia="MS Mincho"/>
          <w:lang w:val="en-CA"/>
        </w:rPr>
        <w:t>)</w:t>
      </w:r>
      <w:r w:rsidRPr="00532D05">
        <w:rPr>
          <w:rFonts w:eastAsia="MS Mincho"/>
          <w:lang w:val="en-CA"/>
        </w:rPr>
        <w:t xml:space="preserve">. Knightsbridge and </w:t>
      </w:r>
      <w:proofErr w:type="spellStart"/>
      <w:r w:rsidRPr="00532D05">
        <w:rPr>
          <w:rFonts w:eastAsia="MS Mincho"/>
          <w:lang w:val="en-CA"/>
        </w:rPr>
        <w:t>Metropia</w:t>
      </w:r>
      <w:proofErr w:type="spellEnd"/>
      <w:r w:rsidRPr="00532D05">
        <w:rPr>
          <w:rFonts w:eastAsia="MS Mincho"/>
          <w:lang w:val="en-CA"/>
        </w:rPr>
        <w:t xml:space="preserve"> also addressed parking and landscaping concerns in great detail. The land use changes required for the master plan were approved in 2008, and the Brentwood SARP was approved in November 2009. </w:t>
      </w:r>
    </w:p>
    <w:p w14:paraId="13E3316B" w14:textId="77777777" w:rsidR="00532D05" w:rsidRPr="00532D05" w:rsidRDefault="00532D05" w:rsidP="00480CF5">
      <w:pPr>
        <w:pStyle w:val="BodyTextMain"/>
        <w:rPr>
          <w:rFonts w:eastAsia="MS Mincho"/>
          <w:lang w:val="en-CA"/>
        </w:rPr>
      </w:pPr>
    </w:p>
    <w:p w14:paraId="0DEB884D" w14:textId="310195D5" w:rsidR="00532D05" w:rsidRPr="00A64CC5" w:rsidRDefault="00532D05" w:rsidP="00480CF5">
      <w:pPr>
        <w:pStyle w:val="BodyTextMain"/>
        <w:rPr>
          <w:rFonts w:eastAsia="MS Mincho"/>
          <w:spacing w:val="-2"/>
          <w:kern w:val="22"/>
          <w:lang w:val="en-CA"/>
        </w:rPr>
      </w:pPr>
      <w:r w:rsidRPr="00A64CC5">
        <w:rPr>
          <w:rFonts w:eastAsia="MS Mincho"/>
          <w:spacing w:val="-2"/>
          <w:kern w:val="22"/>
          <w:lang w:val="en-CA"/>
        </w:rPr>
        <w:t xml:space="preserve">Unfortunately, other issues surfaced during this time. The global recession </w:t>
      </w:r>
      <w:r w:rsidR="00997E98">
        <w:rPr>
          <w:rFonts w:eastAsia="MS Mincho"/>
          <w:spacing w:val="-2"/>
          <w:kern w:val="22"/>
          <w:lang w:val="en-CA"/>
        </w:rPr>
        <w:t xml:space="preserve">that </w:t>
      </w:r>
      <w:r w:rsidRPr="00A64CC5">
        <w:rPr>
          <w:rFonts w:eastAsia="MS Mincho"/>
          <w:spacing w:val="-2"/>
          <w:kern w:val="22"/>
          <w:lang w:val="en-CA"/>
        </w:rPr>
        <w:t xml:space="preserve">had </w:t>
      </w:r>
      <w:r w:rsidR="00592139">
        <w:rPr>
          <w:rFonts w:eastAsia="MS Mincho"/>
          <w:spacing w:val="-2"/>
          <w:kern w:val="22"/>
          <w:lang w:val="en-CA"/>
        </w:rPr>
        <w:t xml:space="preserve">affected </w:t>
      </w:r>
      <w:r w:rsidRPr="00A64CC5">
        <w:rPr>
          <w:rFonts w:eastAsia="MS Mincho"/>
          <w:spacing w:val="-2"/>
          <w:kern w:val="22"/>
          <w:lang w:val="en-CA"/>
        </w:rPr>
        <w:t xml:space="preserve">sales at Villa </w:t>
      </w:r>
      <w:proofErr w:type="spellStart"/>
      <w:r w:rsidRPr="00A64CC5">
        <w:rPr>
          <w:rFonts w:eastAsia="MS Mincho"/>
          <w:spacing w:val="-2"/>
          <w:kern w:val="22"/>
          <w:lang w:val="en-CA"/>
        </w:rPr>
        <w:t>D’Este</w:t>
      </w:r>
      <w:proofErr w:type="spellEnd"/>
      <w:r w:rsidRPr="00A64CC5">
        <w:rPr>
          <w:rFonts w:eastAsia="MS Mincho"/>
          <w:spacing w:val="-2"/>
          <w:kern w:val="22"/>
          <w:lang w:val="en-CA"/>
        </w:rPr>
        <w:t xml:space="preserve"> also </w:t>
      </w:r>
      <w:r w:rsidR="00592139">
        <w:rPr>
          <w:rFonts w:eastAsia="MS Mincho"/>
          <w:spacing w:val="-2"/>
          <w:kern w:val="22"/>
          <w:lang w:val="en-CA"/>
        </w:rPr>
        <w:t>affected</w:t>
      </w:r>
      <w:r w:rsidR="00592139" w:rsidRPr="00A64CC5">
        <w:rPr>
          <w:rFonts w:eastAsia="MS Mincho"/>
          <w:spacing w:val="-2"/>
          <w:kern w:val="22"/>
          <w:lang w:val="en-CA"/>
        </w:rPr>
        <w:t xml:space="preserve"> </w:t>
      </w:r>
      <w:r w:rsidRPr="00A64CC5">
        <w:rPr>
          <w:rFonts w:eastAsia="MS Mincho"/>
          <w:spacing w:val="-2"/>
          <w:kern w:val="22"/>
          <w:lang w:val="en-CA"/>
        </w:rPr>
        <w:t>University City</w:t>
      </w:r>
      <w:r w:rsidR="00A75384">
        <w:rPr>
          <w:rFonts w:eastAsia="MS Mincho"/>
          <w:spacing w:val="-2"/>
          <w:kern w:val="22"/>
          <w:lang w:val="en-CA"/>
        </w:rPr>
        <w:t>,</w:t>
      </w:r>
      <w:r w:rsidR="00414400">
        <w:rPr>
          <w:rFonts w:eastAsia="MS Mincho"/>
          <w:spacing w:val="-2"/>
          <w:kern w:val="22"/>
          <w:lang w:val="en-CA"/>
        </w:rPr>
        <w:t xml:space="preserve"> slowing</w:t>
      </w:r>
      <w:r w:rsidRPr="00A64CC5">
        <w:rPr>
          <w:rFonts w:eastAsia="MS Mincho"/>
          <w:spacing w:val="-2"/>
          <w:kern w:val="22"/>
          <w:lang w:val="en-CA"/>
        </w:rPr>
        <w:t xml:space="preserve"> the demand for housing as vacancy rates rose and property values declined. </w:t>
      </w:r>
      <w:r w:rsidR="00D33AC0">
        <w:rPr>
          <w:rFonts w:eastAsia="MS Mincho"/>
          <w:spacing w:val="-2"/>
          <w:kern w:val="22"/>
          <w:lang w:val="en-CA"/>
        </w:rPr>
        <w:t>Moreover, t</w:t>
      </w:r>
      <w:r w:rsidRPr="00A64CC5">
        <w:rPr>
          <w:rFonts w:eastAsia="MS Mincho"/>
          <w:spacing w:val="-2"/>
          <w:kern w:val="22"/>
          <w:lang w:val="en-CA"/>
        </w:rPr>
        <w:t xml:space="preserve">he uncertainty of the market </w:t>
      </w:r>
      <w:r w:rsidR="00674B70">
        <w:rPr>
          <w:rFonts w:eastAsia="MS Mincho"/>
          <w:spacing w:val="-2"/>
          <w:kern w:val="22"/>
          <w:lang w:val="en-CA"/>
        </w:rPr>
        <w:t>limited</w:t>
      </w:r>
      <w:r w:rsidR="00674B70" w:rsidRPr="00A64CC5">
        <w:rPr>
          <w:rFonts w:eastAsia="MS Mincho"/>
          <w:spacing w:val="-2"/>
          <w:kern w:val="22"/>
          <w:lang w:val="en-CA"/>
        </w:rPr>
        <w:t xml:space="preserve"> </w:t>
      </w:r>
      <w:r w:rsidRPr="00A64CC5">
        <w:rPr>
          <w:rFonts w:eastAsia="MS Mincho"/>
          <w:spacing w:val="-2"/>
          <w:kern w:val="22"/>
          <w:lang w:val="en-CA"/>
        </w:rPr>
        <w:t>financing options</w:t>
      </w:r>
      <w:r w:rsidR="00D33AC0">
        <w:rPr>
          <w:rFonts w:eastAsia="MS Mincho"/>
          <w:spacing w:val="-2"/>
          <w:kern w:val="22"/>
          <w:lang w:val="en-CA"/>
        </w:rPr>
        <w:t>.</w:t>
      </w:r>
      <w:r w:rsidRPr="00A64CC5">
        <w:rPr>
          <w:rFonts w:eastAsia="MS Mincho"/>
          <w:spacing w:val="-2"/>
          <w:kern w:val="22"/>
          <w:lang w:val="en-CA"/>
        </w:rPr>
        <w:t xml:space="preserve"> </w:t>
      </w:r>
      <w:r w:rsidR="00D33AC0">
        <w:rPr>
          <w:rFonts w:eastAsia="MS Mincho"/>
          <w:spacing w:val="-2"/>
          <w:kern w:val="22"/>
          <w:lang w:val="en-CA"/>
        </w:rPr>
        <w:t>M</w:t>
      </w:r>
      <w:r w:rsidRPr="00A64CC5">
        <w:rPr>
          <w:rFonts w:eastAsia="MS Mincho"/>
          <w:spacing w:val="-2"/>
          <w:kern w:val="22"/>
          <w:lang w:val="en-CA"/>
        </w:rPr>
        <w:t xml:space="preserve">ost developers would </w:t>
      </w:r>
      <w:r w:rsidRPr="00A64CC5">
        <w:rPr>
          <w:rFonts w:eastAsia="MS Mincho"/>
          <w:spacing w:val="-2"/>
          <w:kern w:val="22"/>
          <w:lang w:val="en-CA"/>
        </w:rPr>
        <w:lastRenderedPageBreak/>
        <w:t>usually attempt to finance at least 75 per</w:t>
      </w:r>
      <w:r w:rsidR="00AC3424" w:rsidRPr="00A64CC5">
        <w:rPr>
          <w:rFonts w:eastAsia="MS Mincho"/>
          <w:spacing w:val="-2"/>
          <w:kern w:val="22"/>
          <w:lang w:val="en-CA"/>
        </w:rPr>
        <w:t xml:space="preserve"> </w:t>
      </w:r>
      <w:r w:rsidRPr="00A64CC5">
        <w:rPr>
          <w:rFonts w:eastAsia="MS Mincho"/>
          <w:spacing w:val="-2"/>
          <w:kern w:val="22"/>
          <w:lang w:val="en-CA"/>
        </w:rPr>
        <w:t>cent of total project cost</w:t>
      </w:r>
      <w:r w:rsidR="000415E8">
        <w:rPr>
          <w:rFonts w:eastAsia="MS Mincho"/>
          <w:spacing w:val="-2"/>
          <w:kern w:val="22"/>
          <w:lang w:val="en-CA"/>
        </w:rPr>
        <w:t>s</w:t>
      </w:r>
      <w:r w:rsidRPr="00A64CC5">
        <w:rPr>
          <w:rFonts w:eastAsia="MS Mincho"/>
          <w:spacing w:val="-2"/>
          <w:kern w:val="22"/>
          <w:lang w:val="en-CA"/>
        </w:rPr>
        <w:t xml:space="preserve"> prior to construction,</w:t>
      </w:r>
      <w:r w:rsidRPr="00A64CC5">
        <w:rPr>
          <w:rFonts w:eastAsia="MS Mincho"/>
          <w:spacing w:val="-2"/>
          <w:kern w:val="22"/>
          <w:vertAlign w:val="superscript"/>
          <w:lang w:val="en-CA"/>
        </w:rPr>
        <w:footnoteReference w:id="7"/>
      </w:r>
      <w:r w:rsidRPr="00A64CC5">
        <w:rPr>
          <w:rFonts w:eastAsia="MS Mincho"/>
          <w:spacing w:val="-2"/>
          <w:kern w:val="22"/>
          <w:lang w:val="en-CA"/>
        </w:rPr>
        <w:t xml:space="preserve"> but financing restrictions in the wake of </w:t>
      </w:r>
      <w:r w:rsidR="00674B70">
        <w:rPr>
          <w:rFonts w:eastAsia="MS Mincho"/>
          <w:spacing w:val="-2"/>
          <w:kern w:val="22"/>
          <w:lang w:val="en-CA"/>
        </w:rPr>
        <w:t xml:space="preserve">the </w:t>
      </w:r>
      <w:r w:rsidRPr="00A64CC5">
        <w:rPr>
          <w:rFonts w:eastAsia="MS Mincho"/>
          <w:spacing w:val="-2"/>
          <w:kern w:val="22"/>
          <w:lang w:val="en-CA"/>
        </w:rPr>
        <w:t>recession meant that</w:t>
      </w:r>
      <w:r w:rsidR="00674B70">
        <w:rPr>
          <w:rFonts w:eastAsia="MS Mincho"/>
          <w:spacing w:val="-2"/>
          <w:kern w:val="22"/>
          <w:lang w:val="en-CA"/>
        </w:rPr>
        <w:t xml:space="preserve"> in order to secure financing,</w:t>
      </w:r>
      <w:r w:rsidRPr="00A64CC5">
        <w:rPr>
          <w:rFonts w:eastAsia="MS Mincho"/>
          <w:spacing w:val="-2"/>
          <w:kern w:val="22"/>
          <w:lang w:val="en-CA"/>
        </w:rPr>
        <w:t xml:space="preserve"> Knigh</w:t>
      </w:r>
      <w:r w:rsidR="00082270" w:rsidRPr="00A64CC5">
        <w:rPr>
          <w:rFonts w:eastAsia="MS Mincho"/>
          <w:spacing w:val="-2"/>
          <w:kern w:val="22"/>
          <w:lang w:val="en-CA"/>
        </w:rPr>
        <w:t xml:space="preserve">tsbridge and </w:t>
      </w:r>
      <w:proofErr w:type="spellStart"/>
      <w:r w:rsidR="00082270" w:rsidRPr="00A64CC5">
        <w:rPr>
          <w:rFonts w:eastAsia="MS Mincho"/>
          <w:spacing w:val="-2"/>
          <w:kern w:val="22"/>
          <w:lang w:val="en-CA"/>
        </w:rPr>
        <w:t>Metropia</w:t>
      </w:r>
      <w:proofErr w:type="spellEnd"/>
      <w:r w:rsidR="00082270" w:rsidRPr="00A64CC5">
        <w:rPr>
          <w:rFonts w:eastAsia="MS Mincho"/>
          <w:spacing w:val="-2"/>
          <w:kern w:val="22"/>
          <w:lang w:val="en-CA"/>
        </w:rPr>
        <w:t xml:space="preserve"> needed 25 per cent</w:t>
      </w:r>
      <w:r w:rsidRPr="00A64CC5">
        <w:rPr>
          <w:rFonts w:eastAsia="MS Mincho"/>
          <w:spacing w:val="-2"/>
          <w:kern w:val="22"/>
          <w:lang w:val="en-CA"/>
        </w:rPr>
        <w:t xml:space="preserve"> equity upfront plus 80 per</w:t>
      </w:r>
      <w:r w:rsidR="00082270" w:rsidRPr="00A64CC5">
        <w:rPr>
          <w:rFonts w:eastAsia="MS Mincho"/>
          <w:spacing w:val="-2"/>
          <w:kern w:val="22"/>
          <w:lang w:val="en-CA"/>
        </w:rPr>
        <w:t xml:space="preserve"> </w:t>
      </w:r>
      <w:r w:rsidRPr="00A64CC5">
        <w:rPr>
          <w:rFonts w:eastAsia="MS Mincho"/>
          <w:spacing w:val="-2"/>
          <w:kern w:val="22"/>
          <w:lang w:val="en-CA"/>
        </w:rPr>
        <w:t xml:space="preserve">cent of units sold prior to construction. </w:t>
      </w:r>
    </w:p>
    <w:p w14:paraId="1FD8AED1" w14:textId="77777777" w:rsidR="00532D05" w:rsidRPr="00532D05" w:rsidRDefault="00532D05" w:rsidP="00480CF5">
      <w:pPr>
        <w:pStyle w:val="BodyTextMain"/>
        <w:rPr>
          <w:rFonts w:eastAsia="MS Mincho"/>
          <w:lang w:val="en-CA"/>
        </w:rPr>
      </w:pPr>
    </w:p>
    <w:p w14:paraId="56B74E48" w14:textId="1E16ED05" w:rsidR="00532D05" w:rsidRPr="00550EB8" w:rsidRDefault="00532D05" w:rsidP="00480CF5">
      <w:pPr>
        <w:pStyle w:val="BodyTextMain"/>
        <w:rPr>
          <w:rFonts w:eastAsia="MS Mincho"/>
          <w:spacing w:val="-2"/>
          <w:kern w:val="22"/>
          <w:lang w:val="en-CA"/>
        </w:rPr>
      </w:pPr>
      <w:r w:rsidRPr="00550EB8">
        <w:rPr>
          <w:rFonts w:eastAsia="MS Mincho"/>
          <w:spacing w:val="-2"/>
          <w:kern w:val="22"/>
          <w:lang w:val="en-CA"/>
        </w:rPr>
        <w:t xml:space="preserve">With the economy still </w:t>
      </w:r>
      <w:r w:rsidR="00674B70" w:rsidRPr="00550EB8">
        <w:rPr>
          <w:rFonts w:eastAsia="MS Mincho"/>
          <w:spacing w:val="-2"/>
          <w:kern w:val="22"/>
          <w:lang w:val="en-CA"/>
        </w:rPr>
        <w:t>struggling</w:t>
      </w:r>
      <w:r w:rsidRPr="00550EB8">
        <w:rPr>
          <w:rFonts w:eastAsia="MS Mincho"/>
          <w:spacing w:val="-2"/>
          <w:kern w:val="22"/>
          <w:lang w:val="en-CA"/>
        </w:rPr>
        <w:t>, sales began in Novemb</w:t>
      </w:r>
      <w:r w:rsidR="00A94B8B" w:rsidRPr="00550EB8">
        <w:rPr>
          <w:rFonts w:eastAsia="MS Mincho"/>
          <w:spacing w:val="-2"/>
          <w:kern w:val="22"/>
          <w:lang w:val="en-CA"/>
        </w:rPr>
        <w:t>er 2010. The first tower in p</w:t>
      </w:r>
      <w:r w:rsidR="005F155A" w:rsidRPr="00550EB8">
        <w:rPr>
          <w:rFonts w:eastAsia="MS Mincho"/>
          <w:spacing w:val="-2"/>
          <w:kern w:val="22"/>
          <w:lang w:val="en-CA"/>
        </w:rPr>
        <w:t>hase one</w:t>
      </w:r>
      <w:r w:rsidRPr="00550EB8">
        <w:rPr>
          <w:rFonts w:eastAsia="MS Mincho"/>
          <w:spacing w:val="-2"/>
          <w:kern w:val="22"/>
          <w:lang w:val="en-CA"/>
        </w:rPr>
        <w:t xml:space="preserve"> (216 units) sold out on the first day, and the second tower within four days. To </w:t>
      </w:r>
      <w:proofErr w:type="spellStart"/>
      <w:r w:rsidRPr="00550EB8">
        <w:rPr>
          <w:rFonts w:eastAsia="MS Mincho"/>
          <w:spacing w:val="-2"/>
          <w:kern w:val="22"/>
          <w:lang w:val="en-CA"/>
        </w:rPr>
        <w:t>Starkman</w:t>
      </w:r>
      <w:r w:rsidR="00B623FA" w:rsidRPr="00550EB8">
        <w:rPr>
          <w:rFonts w:eastAsia="MS Mincho"/>
          <w:spacing w:val="-2"/>
          <w:kern w:val="22"/>
          <w:lang w:val="en-CA"/>
        </w:rPr>
        <w:t>’s</w:t>
      </w:r>
      <w:proofErr w:type="spellEnd"/>
      <w:r w:rsidRPr="00550EB8">
        <w:rPr>
          <w:rFonts w:eastAsia="MS Mincho"/>
          <w:spacing w:val="-2"/>
          <w:kern w:val="22"/>
          <w:lang w:val="en-CA"/>
        </w:rPr>
        <w:t xml:space="preserve"> and his employees’ surprise, it was not only mill</w:t>
      </w:r>
      <w:r w:rsidR="00B623FA" w:rsidRPr="00550EB8">
        <w:rPr>
          <w:rFonts w:eastAsia="MS Mincho"/>
          <w:spacing w:val="-2"/>
          <w:kern w:val="22"/>
          <w:lang w:val="en-CA"/>
        </w:rPr>
        <w:t>ennials, but also their parents</w:t>
      </w:r>
      <w:r w:rsidRPr="00550EB8">
        <w:rPr>
          <w:rFonts w:eastAsia="MS Mincho"/>
          <w:spacing w:val="-2"/>
          <w:kern w:val="22"/>
          <w:lang w:val="en-CA"/>
        </w:rPr>
        <w:t xml:space="preserve"> and investors who were interested in the units</w:t>
      </w:r>
      <w:r w:rsidR="00D33AC0" w:rsidRPr="00550EB8">
        <w:rPr>
          <w:rFonts w:eastAsia="MS Mincho"/>
          <w:spacing w:val="-2"/>
          <w:kern w:val="22"/>
          <w:lang w:val="en-CA"/>
        </w:rPr>
        <w:t>.</w:t>
      </w:r>
      <w:r w:rsidRPr="00550EB8">
        <w:rPr>
          <w:rFonts w:eastAsia="MS Mincho"/>
          <w:spacing w:val="-2"/>
          <w:kern w:val="22"/>
          <w:lang w:val="en-CA"/>
        </w:rPr>
        <w:t xml:space="preserve"> </w:t>
      </w:r>
      <w:r w:rsidR="00D33AC0" w:rsidRPr="00550EB8">
        <w:rPr>
          <w:rFonts w:eastAsia="MS Mincho"/>
          <w:spacing w:val="-2"/>
          <w:kern w:val="22"/>
          <w:lang w:val="en-CA"/>
        </w:rPr>
        <w:t>P</w:t>
      </w:r>
      <w:r w:rsidRPr="00550EB8">
        <w:rPr>
          <w:rFonts w:eastAsia="MS Mincho"/>
          <w:spacing w:val="-2"/>
          <w:kern w:val="22"/>
          <w:lang w:val="en-CA"/>
        </w:rPr>
        <w:t>eople of all ages working in the surrounding areas were interested</w:t>
      </w:r>
      <w:r w:rsidR="00370CEF" w:rsidRPr="00550EB8">
        <w:rPr>
          <w:rFonts w:eastAsia="MS Mincho"/>
          <w:spacing w:val="-2"/>
          <w:kern w:val="22"/>
          <w:lang w:val="en-CA"/>
        </w:rPr>
        <w:t xml:space="preserve"> — e</w:t>
      </w:r>
      <w:r w:rsidR="0011302D" w:rsidRPr="00550EB8">
        <w:rPr>
          <w:rFonts w:eastAsia="MS Mincho"/>
          <w:spacing w:val="-2"/>
          <w:kern w:val="22"/>
          <w:lang w:val="en-CA"/>
        </w:rPr>
        <w:t xml:space="preserve">mpty nesters </w:t>
      </w:r>
      <w:r w:rsidR="007347A8" w:rsidRPr="00550EB8">
        <w:rPr>
          <w:rFonts w:eastAsia="MS Mincho"/>
          <w:spacing w:val="-2"/>
          <w:kern w:val="22"/>
          <w:lang w:val="en-CA"/>
        </w:rPr>
        <w:t>represented</w:t>
      </w:r>
      <w:r w:rsidR="0011302D" w:rsidRPr="00550EB8">
        <w:rPr>
          <w:rFonts w:eastAsia="MS Mincho"/>
          <w:spacing w:val="-2"/>
          <w:kern w:val="22"/>
          <w:lang w:val="en-CA"/>
        </w:rPr>
        <w:t xml:space="preserve"> 10 per cent of buyers. </w:t>
      </w:r>
      <w:r w:rsidRPr="00550EB8">
        <w:rPr>
          <w:rFonts w:eastAsia="MS Mincho"/>
          <w:spacing w:val="-2"/>
          <w:kern w:val="22"/>
          <w:lang w:val="en-CA"/>
        </w:rPr>
        <w:t>In the midst of an economic slump, the Calgary media was suddenly talking about “condo frenzy.”</w:t>
      </w:r>
      <w:r w:rsidR="00930436" w:rsidRPr="00550EB8">
        <w:rPr>
          <w:rStyle w:val="FootnoteReference"/>
          <w:rFonts w:eastAsia="MS Mincho"/>
          <w:spacing w:val="-2"/>
          <w:kern w:val="22"/>
          <w:lang w:val="en-CA"/>
        </w:rPr>
        <w:footnoteReference w:id="8"/>
      </w:r>
      <w:r w:rsidRPr="00550EB8">
        <w:rPr>
          <w:rFonts w:eastAsia="MS Mincho"/>
          <w:spacing w:val="-2"/>
          <w:kern w:val="22"/>
          <w:lang w:val="en-CA"/>
        </w:rPr>
        <w:t xml:space="preserve"> With 100 per</w:t>
      </w:r>
      <w:r w:rsidR="00DF0ABF" w:rsidRPr="00550EB8">
        <w:rPr>
          <w:rFonts w:eastAsia="MS Mincho"/>
          <w:spacing w:val="-2"/>
          <w:kern w:val="22"/>
          <w:lang w:val="en-CA"/>
        </w:rPr>
        <w:t xml:space="preserve"> </w:t>
      </w:r>
      <w:r w:rsidRPr="00550EB8">
        <w:rPr>
          <w:rFonts w:eastAsia="MS Mincho"/>
          <w:spacing w:val="-2"/>
          <w:kern w:val="22"/>
          <w:lang w:val="en-CA"/>
        </w:rPr>
        <w:t>cent of the units</w:t>
      </w:r>
      <w:r w:rsidR="00014EF4" w:rsidRPr="00550EB8">
        <w:rPr>
          <w:rFonts w:eastAsia="MS Mincho"/>
          <w:spacing w:val="-2"/>
          <w:kern w:val="22"/>
          <w:lang w:val="en-CA"/>
        </w:rPr>
        <w:t xml:space="preserve"> in University City</w:t>
      </w:r>
      <w:r w:rsidRPr="00550EB8">
        <w:rPr>
          <w:rFonts w:eastAsia="MS Mincho"/>
          <w:spacing w:val="-2"/>
          <w:kern w:val="22"/>
          <w:lang w:val="en-CA"/>
        </w:rPr>
        <w:t xml:space="preserve"> sold, </w:t>
      </w:r>
      <w:r w:rsidR="005F155A" w:rsidRPr="00550EB8">
        <w:rPr>
          <w:rFonts w:eastAsia="MS Mincho"/>
          <w:spacing w:val="-2"/>
          <w:kern w:val="22"/>
          <w:lang w:val="en-CA"/>
        </w:rPr>
        <w:t xml:space="preserve">Knightsbridge and </w:t>
      </w:r>
      <w:proofErr w:type="spellStart"/>
      <w:r w:rsidR="005F155A" w:rsidRPr="00550EB8">
        <w:rPr>
          <w:rFonts w:eastAsia="MS Mincho"/>
          <w:spacing w:val="-2"/>
          <w:kern w:val="22"/>
          <w:lang w:val="en-CA"/>
        </w:rPr>
        <w:t>Metropia</w:t>
      </w:r>
      <w:proofErr w:type="spellEnd"/>
      <w:r w:rsidRPr="00550EB8">
        <w:rPr>
          <w:rFonts w:eastAsia="MS Mincho"/>
          <w:spacing w:val="-2"/>
          <w:kern w:val="22"/>
          <w:lang w:val="en-CA"/>
        </w:rPr>
        <w:t xml:space="preserve"> secured financing and broke ground. </w:t>
      </w:r>
    </w:p>
    <w:p w14:paraId="51430F80" w14:textId="77777777" w:rsidR="00532D05" w:rsidRPr="00532D05" w:rsidRDefault="00532D05" w:rsidP="00480CF5">
      <w:pPr>
        <w:pStyle w:val="BodyTextMain"/>
        <w:rPr>
          <w:rFonts w:eastAsia="MS Mincho"/>
          <w:lang w:val="en-CA"/>
        </w:rPr>
      </w:pPr>
    </w:p>
    <w:p w14:paraId="14B67832" w14:textId="3F667FCE" w:rsidR="00532D05" w:rsidRPr="00532D05" w:rsidRDefault="00DF0ABF" w:rsidP="00480CF5">
      <w:pPr>
        <w:pStyle w:val="BodyTextMain"/>
        <w:rPr>
          <w:rFonts w:eastAsia="MS Mincho"/>
          <w:lang w:val="en-CA"/>
        </w:rPr>
      </w:pPr>
      <w:r>
        <w:rPr>
          <w:rFonts w:eastAsia="MS Mincho"/>
          <w:lang w:val="en-CA"/>
        </w:rPr>
        <w:t>Construction on p</w:t>
      </w:r>
      <w:r w:rsidR="00640CF0">
        <w:rPr>
          <w:rFonts w:eastAsia="MS Mincho"/>
          <w:lang w:val="en-CA"/>
        </w:rPr>
        <w:t>hase one</w:t>
      </w:r>
      <w:r w:rsidR="00532D05" w:rsidRPr="00532D05">
        <w:rPr>
          <w:rFonts w:eastAsia="MS Mincho"/>
          <w:lang w:val="en-CA"/>
        </w:rPr>
        <w:t xml:space="preserve"> commenced in November 2010. The recession was a concern, but the timing afforded Knightsbridge and </w:t>
      </w:r>
      <w:proofErr w:type="spellStart"/>
      <w:r w:rsidR="00532D05" w:rsidRPr="00532D05">
        <w:rPr>
          <w:rFonts w:eastAsia="MS Mincho"/>
          <w:lang w:val="en-CA"/>
        </w:rPr>
        <w:t>Metropia</w:t>
      </w:r>
      <w:proofErr w:type="spellEnd"/>
      <w:r w:rsidR="00532D05" w:rsidRPr="00532D05">
        <w:rPr>
          <w:rFonts w:eastAsia="MS Mincho"/>
          <w:lang w:val="en-CA"/>
        </w:rPr>
        <w:t xml:space="preserve"> some respite. They were able to </w:t>
      </w:r>
      <w:r w:rsidR="00532D05" w:rsidRPr="00101E18">
        <w:rPr>
          <w:rFonts w:eastAsia="MS Mincho"/>
          <w:lang w:val="en-CA"/>
        </w:rPr>
        <w:t>secure ITC Construction Group</w:t>
      </w:r>
      <w:r w:rsidR="00AA4283">
        <w:rPr>
          <w:rFonts w:eastAsia="MS Mincho"/>
          <w:lang w:val="en-CA"/>
        </w:rPr>
        <w:t xml:space="preserve"> (ITC)</w:t>
      </w:r>
      <w:r w:rsidR="00532D05" w:rsidRPr="00532D05">
        <w:rPr>
          <w:rFonts w:eastAsia="MS Mincho"/>
          <w:lang w:val="en-CA"/>
        </w:rPr>
        <w:t>, a Vancouver-based construction company specializing in residential high-rises and mixed-use developments, just as the</w:t>
      </w:r>
      <w:r w:rsidR="007E4934">
        <w:rPr>
          <w:rFonts w:eastAsia="MS Mincho"/>
          <w:lang w:val="en-CA"/>
        </w:rPr>
        <w:t xml:space="preserve"> firm</w:t>
      </w:r>
      <w:r w:rsidR="00532D05" w:rsidRPr="00532D05">
        <w:rPr>
          <w:rFonts w:eastAsia="MS Mincho"/>
          <w:lang w:val="en-CA"/>
        </w:rPr>
        <w:t xml:space="preserve"> finished projects for the Vancouver Olympics and </w:t>
      </w:r>
      <w:r w:rsidR="007E4934">
        <w:rPr>
          <w:rFonts w:eastAsia="MS Mincho"/>
          <w:lang w:val="en-CA"/>
        </w:rPr>
        <w:t>was</w:t>
      </w:r>
      <w:r w:rsidR="007E4934" w:rsidRPr="00532D05">
        <w:rPr>
          <w:rFonts w:eastAsia="MS Mincho"/>
          <w:lang w:val="en-CA"/>
        </w:rPr>
        <w:t xml:space="preserve"> </w:t>
      </w:r>
      <w:r w:rsidR="00532D05" w:rsidRPr="00532D05">
        <w:rPr>
          <w:rFonts w:eastAsia="MS Mincho"/>
          <w:lang w:val="en-CA"/>
        </w:rPr>
        <w:t xml:space="preserve">looking for another large-scale project. ITC had a solid track record </w:t>
      </w:r>
      <w:r w:rsidR="007E4934">
        <w:rPr>
          <w:rFonts w:eastAsia="MS Mincho"/>
          <w:lang w:val="en-CA"/>
        </w:rPr>
        <w:t>of</w:t>
      </w:r>
      <w:r w:rsidR="00532D05" w:rsidRPr="00532D05">
        <w:rPr>
          <w:rFonts w:eastAsia="MS Mincho"/>
          <w:lang w:val="en-CA"/>
        </w:rPr>
        <w:t xml:space="preserve"> finishing projects on time, and</w:t>
      </w:r>
      <w:r w:rsidR="007E4934">
        <w:rPr>
          <w:rFonts w:eastAsia="MS Mincho"/>
          <w:lang w:val="en-CA"/>
        </w:rPr>
        <w:t xml:space="preserve"> its</w:t>
      </w:r>
      <w:r w:rsidR="00532D05" w:rsidRPr="00532D05">
        <w:rPr>
          <w:rFonts w:eastAsia="MS Mincho"/>
          <w:lang w:val="en-CA"/>
        </w:rPr>
        <w:t xml:space="preserve"> reliability and construction innovation ensured that delays were avoided. </w:t>
      </w:r>
      <w:r w:rsidR="007E4934">
        <w:rPr>
          <w:rFonts w:eastAsia="MS Mincho"/>
          <w:lang w:val="en-CA"/>
        </w:rPr>
        <w:t>The company</w:t>
      </w:r>
      <w:r w:rsidR="007E4934" w:rsidRPr="00532D05">
        <w:rPr>
          <w:rFonts w:eastAsia="MS Mincho"/>
          <w:lang w:val="en-CA"/>
        </w:rPr>
        <w:t xml:space="preserve"> </w:t>
      </w:r>
      <w:r w:rsidR="00532D05" w:rsidRPr="00532D05">
        <w:rPr>
          <w:rFonts w:eastAsia="MS Mincho"/>
          <w:lang w:val="en-CA"/>
        </w:rPr>
        <w:t>used unique concrete shoring systems and a technique called a “window-wall” system</w:t>
      </w:r>
      <w:r w:rsidR="007E4934">
        <w:rPr>
          <w:rFonts w:eastAsia="MS Mincho"/>
          <w:lang w:val="en-CA"/>
        </w:rPr>
        <w:t xml:space="preserve"> that</w:t>
      </w:r>
      <w:r w:rsidR="00532D05" w:rsidRPr="00532D05">
        <w:rPr>
          <w:rFonts w:eastAsia="MS Mincho"/>
          <w:lang w:val="en-CA"/>
        </w:rPr>
        <w:t xml:space="preserve"> allow</w:t>
      </w:r>
      <w:r w:rsidR="007E4934">
        <w:rPr>
          <w:rFonts w:eastAsia="MS Mincho"/>
          <w:lang w:val="en-CA"/>
        </w:rPr>
        <w:t>ed it</w:t>
      </w:r>
      <w:r w:rsidR="00532D05" w:rsidRPr="00532D05">
        <w:rPr>
          <w:rFonts w:eastAsia="MS Mincho"/>
          <w:lang w:val="en-CA"/>
        </w:rPr>
        <w:t xml:space="preserve"> to assemble walls from the inside rather than outside.</w:t>
      </w:r>
    </w:p>
    <w:p w14:paraId="372DCFB6" w14:textId="77777777" w:rsidR="00532D05" w:rsidRPr="00532D05" w:rsidRDefault="00532D05" w:rsidP="00480CF5">
      <w:pPr>
        <w:pStyle w:val="BodyTextMain"/>
        <w:rPr>
          <w:rFonts w:eastAsia="MS Mincho"/>
          <w:lang w:val="en-CA"/>
        </w:rPr>
      </w:pPr>
    </w:p>
    <w:p w14:paraId="73863FC6" w14:textId="4F81D9B0" w:rsidR="00532D05" w:rsidRPr="00532D05" w:rsidRDefault="00532D05" w:rsidP="00480CF5">
      <w:pPr>
        <w:pStyle w:val="BodyTextMain"/>
        <w:rPr>
          <w:rFonts w:eastAsia="MS Mincho"/>
          <w:lang w:val="en-CA"/>
        </w:rPr>
      </w:pPr>
      <w:r w:rsidRPr="00532D05">
        <w:rPr>
          <w:rFonts w:eastAsia="MS Mincho"/>
          <w:lang w:val="en-CA"/>
        </w:rPr>
        <w:t>Despite making progress on the</w:t>
      </w:r>
      <w:r w:rsidR="007E4934">
        <w:rPr>
          <w:rFonts w:eastAsia="MS Mincho"/>
          <w:lang w:val="en-CA"/>
        </w:rPr>
        <w:t xml:space="preserve"> </w:t>
      </w:r>
      <w:r w:rsidRPr="00532D05">
        <w:rPr>
          <w:rFonts w:eastAsia="MS Mincho"/>
          <w:lang w:val="en-CA"/>
        </w:rPr>
        <w:t xml:space="preserve">project, Knightsbridge’s troubles were not </w:t>
      </w:r>
      <w:r w:rsidRPr="00101E18">
        <w:rPr>
          <w:rFonts w:eastAsia="MS Mincho"/>
          <w:lang w:val="en-CA"/>
        </w:rPr>
        <w:t xml:space="preserve">over. </w:t>
      </w:r>
      <w:r w:rsidR="00F730A9">
        <w:rPr>
          <w:rFonts w:eastAsia="MS Mincho"/>
          <w:lang w:val="en-CA"/>
        </w:rPr>
        <w:t xml:space="preserve">August </w:t>
      </w:r>
      <w:r w:rsidRPr="00101E18">
        <w:rPr>
          <w:rFonts w:eastAsia="MS Mincho"/>
          <w:lang w:val="en-CA"/>
        </w:rPr>
        <w:t>2011</w:t>
      </w:r>
      <w:r w:rsidRPr="00532D05">
        <w:rPr>
          <w:rFonts w:eastAsia="MS Mincho"/>
          <w:lang w:val="en-CA"/>
        </w:rPr>
        <w:t xml:space="preserve"> saw an appeal from a few Brentwood citizens to revoke the development permit for </w:t>
      </w:r>
      <w:r w:rsidR="00930436">
        <w:rPr>
          <w:rFonts w:eastAsia="MS Mincho"/>
          <w:lang w:val="en-CA"/>
        </w:rPr>
        <w:t xml:space="preserve">University City </w:t>
      </w:r>
      <w:r w:rsidRPr="00532D05">
        <w:rPr>
          <w:rFonts w:eastAsia="MS Mincho"/>
          <w:lang w:val="en-CA"/>
        </w:rPr>
        <w:t>due to traffic concerns</w:t>
      </w:r>
      <w:r w:rsidR="007E4934">
        <w:rPr>
          <w:rFonts w:eastAsia="MS Mincho"/>
          <w:lang w:val="en-CA"/>
        </w:rPr>
        <w:t>,</w:t>
      </w:r>
      <w:r w:rsidRPr="00532D05">
        <w:rPr>
          <w:rFonts w:eastAsia="MS Mincho"/>
          <w:lang w:val="en-CA"/>
        </w:rPr>
        <w:t xml:space="preserve"> temporarily</w:t>
      </w:r>
      <w:r w:rsidR="007E4934">
        <w:rPr>
          <w:rFonts w:eastAsia="MS Mincho"/>
          <w:lang w:val="en-CA"/>
        </w:rPr>
        <w:t xml:space="preserve"> halting </w:t>
      </w:r>
      <w:r w:rsidRPr="00532D05">
        <w:rPr>
          <w:rFonts w:eastAsia="MS Mincho"/>
          <w:lang w:val="en-CA"/>
        </w:rPr>
        <w:t>development</w:t>
      </w:r>
      <w:r w:rsidR="007E4934">
        <w:rPr>
          <w:rFonts w:eastAsia="MS Mincho"/>
          <w:lang w:val="en-CA"/>
        </w:rPr>
        <w:t>.</w:t>
      </w:r>
      <w:r w:rsidRPr="00532D05">
        <w:rPr>
          <w:rFonts w:eastAsia="MS Mincho"/>
          <w:vertAlign w:val="superscript"/>
          <w:lang w:val="en-CA"/>
        </w:rPr>
        <w:footnoteReference w:id="9"/>
      </w:r>
      <w:r w:rsidR="00B8388F">
        <w:rPr>
          <w:rFonts w:eastAsia="MS Mincho"/>
          <w:lang w:val="en-CA"/>
        </w:rPr>
        <w:t xml:space="preserve"> </w:t>
      </w:r>
      <w:r w:rsidR="00472A9B">
        <w:rPr>
          <w:rFonts w:eastAsia="MS Mincho"/>
          <w:lang w:val="en-CA"/>
        </w:rPr>
        <w:t>U</w:t>
      </w:r>
      <w:r w:rsidR="007E4934">
        <w:rPr>
          <w:rFonts w:eastAsia="MS Mincho"/>
          <w:lang w:val="en-CA"/>
        </w:rPr>
        <w:t xml:space="preserve">ltimately, </w:t>
      </w:r>
      <w:r w:rsidR="00B8388F">
        <w:rPr>
          <w:rFonts w:eastAsia="MS Mincho"/>
          <w:lang w:val="en-CA"/>
        </w:rPr>
        <w:t>c</w:t>
      </w:r>
      <w:r w:rsidRPr="00532D05">
        <w:rPr>
          <w:rFonts w:eastAsia="MS Mincho"/>
          <w:lang w:val="en-CA"/>
        </w:rPr>
        <w:t>ity planners disagreed</w:t>
      </w:r>
      <w:r w:rsidR="007E4934">
        <w:rPr>
          <w:rFonts w:eastAsia="MS Mincho"/>
          <w:lang w:val="en-CA"/>
        </w:rPr>
        <w:t xml:space="preserve"> with the appeal,</w:t>
      </w:r>
      <w:r w:rsidRPr="00532D05">
        <w:rPr>
          <w:rFonts w:eastAsia="MS Mincho"/>
          <w:lang w:val="en-CA"/>
        </w:rPr>
        <w:t xml:space="preserve"> citing few concerns about vehicular traffic at the TOD site</w:t>
      </w:r>
      <w:r w:rsidR="00472A9B">
        <w:rPr>
          <w:rFonts w:eastAsia="MS Mincho"/>
          <w:lang w:val="en-CA"/>
        </w:rPr>
        <w:t>;</w:t>
      </w:r>
      <w:r w:rsidRPr="00532D05">
        <w:rPr>
          <w:rFonts w:eastAsia="MS Mincho"/>
          <w:lang w:val="en-CA"/>
        </w:rPr>
        <w:t xml:space="preserve"> </w:t>
      </w:r>
      <w:r w:rsidR="00472A9B">
        <w:rPr>
          <w:rFonts w:eastAsia="MS Mincho"/>
          <w:lang w:val="en-CA"/>
        </w:rPr>
        <w:t>s</w:t>
      </w:r>
      <w:r w:rsidRPr="00532D05">
        <w:rPr>
          <w:rFonts w:eastAsia="MS Mincho"/>
          <w:lang w:val="en-CA"/>
        </w:rPr>
        <w:t>till, the appeal meant months of delay</w:t>
      </w:r>
      <w:r w:rsidR="00472A9B">
        <w:rPr>
          <w:rFonts w:eastAsia="MS Mincho"/>
          <w:lang w:val="en-CA"/>
        </w:rPr>
        <w:t>,</w:t>
      </w:r>
      <w:r w:rsidRPr="00532D05">
        <w:rPr>
          <w:rFonts w:eastAsia="MS Mincho"/>
          <w:lang w:val="en-CA"/>
        </w:rPr>
        <w:t xml:space="preserve"> substantially </w:t>
      </w:r>
      <w:r w:rsidR="00472A9B">
        <w:rPr>
          <w:rFonts w:eastAsia="MS Mincho"/>
          <w:lang w:val="en-CA"/>
        </w:rPr>
        <w:t>increasing</w:t>
      </w:r>
      <w:r w:rsidRPr="00532D05">
        <w:rPr>
          <w:rFonts w:eastAsia="MS Mincho"/>
          <w:lang w:val="en-CA"/>
        </w:rPr>
        <w:t xml:space="preserve"> the soft costs of the project</w:t>
      </w:r>
      <w:r w:rsidR="00472A9B">
        <w:rPr>
          <w:rFonts w:eastAsia="MS Mincho"/>
          <w:lang w:val="en-CA"/>
        </w:rPr>
        <w:t>,</w:t>
      </w:r>
      <w:r w:rsidRPr="00532D05">
        <w:rPr>
          <w:rFonts w:eastAsia="MS Mincho"/>
          <w:lang w:val="en-CA"/>
        </w:rPr>
        <w:t xml:space="preserve"> w</w:t>
      </w:r>
      <w:r w:rsidR="000F2157">
        <w:rPr>
          <w:rFonts w:eastAsia="MS Mincho"/>
          <w:lang w:val="en-CA"/>
        </w:rPr>
        <w:t>hich had to be recouped. Phase one</w:t>
      </w:r>
      <w:r w:rsidRPr="00532D05">
        <w:rPr>
          <w:rFonts w:eastAsia="MS Mincho"/>
          <w:lang w:val="en-CA"/>
        </w:rPr>
        <w:t xml:space="preserve"> was completed in November 2013</w:t>
      </w:r>
      <w:r w:rsidR="007E4934">
        <w:rPr>
          <w:rFonts w:eastAsia="MS Mincho"/>
          <w:lang w:val="en-CA"/>
        </w:rPr>
        <w:t>—</w:t>
      </w:r>
      <w:r w:rsidRPr="00532D05">
        <w:rPr>
          <w:rFonts w:eastAsia="MS Mincho"/>
          <w:lang w:val="en-CA"/>
        </w:rPr>
        <w:t xml:space="preserve">almost a year after </w:t>
      </w:r>
      <w:r w:rsidRPr="009777A0">
        <w:rPr>
          <w:rFonts w:eastAsia="MS Mincho"/>
          <w:lang w:val="en-CA"/>
        </w:rPr>
        <w:t>it was slated for comp</w:t>
      </w:r>
      <w:r w:rsidR="009777A0" w:rsidRPr="009777A0">
        <w:rPr>
          <w:rFonts w:eastAsia="MS Mincho"/>
          <w:lang w:val="en-CA"/>
        </w:rPr>
        <w:t>letion (December 2012). Phase two</w:t>
      </w:r>
      <w:r w:rsidRPr="009777A0">
        <w:rPr>
          <w:rFonts w:eastAsia="MS Mincho"/>
          <w:lang w:val="en-CA"/>
        </w:rPr>
        <w:t>, which also sold out</w:t>
      </w:r>
      <w:r w:rsidR="003B4BC8" w:rsidRPr="009777A0">
        <w:rPr>
          <w:rFonts w:eastAsia="MS Mincho"/>
          <w:lang w:val="en-CA"/>
        </w:rPr>
        <w:t xml:space="preserve"> (</w:t>
      </w:r>
      <w:r w:rsidRPr="009777A0">
        <w:rPr>
          <w:rFonts w:eastAsia="MS Mincho"/>
          <w:lang w:val="en-CA"/>
        </w:rPr>
        <w:t>albeit not as quickly</w:t>
      </w:r>
      <w:r w:rsidR="003B4BC8" w:rsidRPr="009777A0">
        <w:rPr>
          <w:rFonts w:eastAsia="MS Mincho"/>
          <w:lang w:val="en-CA"/>
        </w:rPr>
        <w:t>)</w:t>
      </w:r>
      <w:r w:rsidRPr="009777A0">
        <w:rPr>
          <w:rFonts w:eastAsia="MS Mincho"/>
          <w:lang w:val="en-CA"/>
        </w:rPr>
        <w:t>, was launched in</w:t>
      </w:r>
      <w:r w:rsidR="0076746A" w:rsidRPr="009777A0">
        <w:rPr>
          <w:rFonts w:eastAsia="MS Mincho"/>
          <w:lang w:val="en-CA"/>
        </w:rPr>
        <w:t xml:space="preserve"> April</w:t>
      </w:r>
      <w:r w:rsidRPr="009777A0">
        <w:rPr>
          <w:rFonts w:eastAsia="MS Mincho"/>
          <w:lang w:val="en-CA"/>
        </w:rPr>
        <w:t xml:space="preserve"> 2013, and completed</w:t>
      </w:r>
      <w:r w:rsidRPr="00532D05">
        <w:rPr>
          <w:rFonts w:eastAsia="MS Mincho"/>
          <w:lang w:val="en-CA"/>
        </w:rPr>
        <w:t xml:space="preserve"> in </w:t>
      </w:r>
      <w:r w:rsidR="00B623FA">
        <w:rPr>
          <w:rFonts w:eastAsia="MS Mincho"/>
          <w:lang w:val="en-CA"/>
        </w:rPr>
        <w:t>January</w:t>
      </w:r>
      <w:r w:rsidR="0076746A">
        <w:rPr>
          <w:rFonts w:eastAsia="MS Mincho"/>
          <w:lang w:val="en-CA"/>
        </w:rPr>
        <w:t xml:space="preserve"> </w:t>
      </w:r>
      <w:r w:rsidRPr="00532D05">
        <w:rPr>
          <w:rFonts w:eastAsia="MS Mincho"/>
          <w:lang w:val="en-CA"/>
        </w:rPr>
        <w:t>201</w:t>
      </w:r>
      <w:r w:rsidR="0076746A">
        <w:rPr>
          <w:rFonts w:eastAsia="MS Mincho"/>
          <w:lang w:val="en-CA"/>
        </w:rPr>
        <w:t>6</w:t>
      </w:r>
      <w:r w:rsidRPr="00532D05">
        <w:rPr>
          <w:rFonts w:eastAsia="MS Mincho"/>
          <w:lang w:val="en-CA"/>
        </w:rPr>
        <w:t xml:space="preserve">. </w:t>
      </w:r>
    </w:p>
    <w:p w14:paraId="004973CA" w14:textId="77777777" w:rsidR="00532D05" w:rsidRDefault="00532D05" w:rsidP="00480CF5">
      <w:pPr>
        <w:pStyle w:val="BodyTextMain"/>
        <w:rPr>
          <w:rFonts w:eastAsia="MS Mincho"/>
          <w:lang w:val="en-CA"/>
        </w:rPr>
      </w:pPr>
    </w:p>
    <w:p w14:paraId="1CEBAC61" w14:textId="77777777" w:rsidR="00480CF5" w:rsidRPr="00532D05" w:rsidRDefault="00480CF5" w:rsidP="00480CF5">
      <w:pPr>
        <w:pStyle w:val="BodyTextMain"/>
        <w:rPr>
          <w:rFonts w:eastAsia="MS Mincho"/>
          <w:lang w:val="en-CA"/>
        </w:rPr>
      </w:pPr>
    </w:p>
    <w:p w14:paraId="1840CE39" w14:textId="613AFB3B" w:rsidR="00532D05" w:rsidRPr="00532D05" w:rsidRDefault="00E8108D" w:rsidP="00480CF5">
      <w:pPr>
        <w:pStyle w:val="Casehead1"/>
        <w:rPr>
          <w:rFonts w:eastAsia="MS Mincho"/>
        </w:rPr>
      </w:pPr>
      <w:r>
        <w:rPr>
          <w:rFonts w:eastAsia="MS Mincho"/>
        </w:rPr>
        <w:t>A “NEW” OPPORTUNITY</w:t>
      </w:r>
    </w:p>
    <w:p w14:paraId="09341F6D" w14:textId="77777777" w:rsidR="00532D05" w:rsidRPr="00532D05" w:rsidRDefault="00532D05" w:rsidP="00480CF5">
      <w:pPr>
        <w:pStyle w:val="BodyTextMain"/>
        <w:rPr>
          <w:rFonts w:eastAsia="MS Mincho"/>
        </w:rPr>
      </w:pPr>
    </w:p>
    <w:p w14:paraId="2FA64D59" w14:textId="28D098FB" w:rsidR="00532D05" w:rsidRPr="00532D05" w:rsidRDefault="00532D05" w:rsidP="00480CF5">
      <w:pPr>
        <w:pStyle w:val="BodyTextMain"/>
        <w:rPr>
          <w:rFonts w:eastAsia="MS Mincho"/>
          <w:color w:val="262626"/>
        </w:rPr>
      </w:pPr>
      <w:r w:rsidRPr="00532D05">
        <w:rPr>
          <w:rFonts w:eastAsia="MS Mincho"/>
          <w:color w:val="262626"/>
        </w:rPr>
        <w:t xml:space="preserve">In 2014, Knightsbridge and </w:t>
      </w:r>
      <w:proofErr w:type="spellStart"/>
      <w:r w:rsidRPr="00532D05">
        <w:rPr>
          <w:rFonts w:eastAsia="MS Mincho"/>
          <w:color w:val="262626"/>
        </w:rPr>
        <w:t>Metropia</w:t>
      </w:r>
      <w:proofErr w:type="spellEnd"/>
      <w:r w:rsidRPr="00532D05">
        <w:rPr>
          <w:rFonts w:eastAsia="MS Mincho"/>
          <w:color w:val="262626"/>
        </w:rPr>
        <w:t xml:space="preserve"> acquired a parcel of land in Calgary’s East Village </w:t>
      </w:r>
      <w:proofErr w:type="spellStart"/>
      <w:r w:rsidRPr="00532D05">
        <w:rPr>
          <w:rFonts w:eastAsia="MS Mincho"/>
          <w:color w:val="262626"/>
        </w:rPr>
        <w:t>neighbo</w:t>
      </w:r>
      <w:r w:rsidR="00DC0C18">
        <w:rPr>
          <w:rFonts w:eastAsia="MS Mincho"/>
          <w:color w:val="262626"/>
        </w:rPr>
        <w:t>u</w:t>
      </w:r>
      <w:r w:rsidRPr="00532D05">
        <w:rPr>
          <w:rFonts w:eastAsia="MS Mincho"/>
          <w:color w:val="262626"/>
        </w:rPr>
        <w:t>rhood</w:t>
      </w:r>
      <w:proofErr w:type="spellEnd"/>
      <w:r w:rsidRPr="00532D05">
        <w:rPr>
          <w:rFonts w:eastAsia="MS Mincho"/>
          <w:color w:val="262626"/>
        </w:rPr>
        <w:t xml:space="preserve"> (</w:t>
      </w:r>
      <w:r w:rsidR="00823412">
        <w:rPr>
          <w:rFonts w:eastAsia="MS Mincho"/>
          <w:color w:val="262626"/>
        </w:rPr>
        <w:t xml:space="preserve">see </w:t>
      </w:r>
      <w:r w:rsidRPr="00532D05">
        <w:rPr>
          <w:rFonts w:eastAsia="MS Mincho"/>
          <w:color w:val="262626"/>
        </w:rPr>
        <w:t>Exhibit</w:t>
      </w:r>
      <w:r w:rsidR="006C0753">
        <w:rPr>
          <w:rFonts w:eastAsia="MS Mincho"/>
          <w:color w:val="262626"/>
        </w:rPr>
        <w:t>s</w:t>
      </w:r>
      <w:r w:rsidRPr="00532D05">
        <w:rPr>
          <w:rFonts w:eastAsia="MS Mincho"/>
          <w:color w:val="262626"/>
        </w:rPr>
        <w:t xml:space="preserve"> 2</w:t>
      </w:r>
      <w:r w:rsidR="00CC5C42">
        <w:rPr>
          <w:rFonts w:eastAsia="MS Mincho"/>
          <w:color w:val="262626"/>
        </w:rPr>
        <w:t xml:space="preserve"> and 3</w:t>
      </w:r>
      <w:r w:rsidRPr="00532D05">
        <w:rPr>
          <w:rFonts w:eastAsia="MS Mincho"/>
          <w:color w:val="262626"/>
        </w:rPr>
        <w:t>). East Village was located on the east</w:t>
      </w:r>
      <w:r w:rsidR="006150E9">
        <w:rPr>
          <w:rFonts w:eastAsia="MS Mincho"/>
          <w:color w:val="262626"/>
        </w:rPr>
        <w:t xml:space="preserve"> </w:t>
      </w:r>
      <w:r w:rsidRPr="00532D05">
        <w:rPr>
          <w:rFonts w:eastAsia="MS Mincho"/>
          <w:color w:val="262626"/>
        </w:rPr>
        <w:t>side of Calgary’s downtown core</w:t>
      </w:r>
      <w:r w:rsidR="00092D76">
        <w:rPr>
          <w:rFonts w:eastAsia="MS Mincho"/>
          <w:color w:val="262626"/>
        </w:rPr>
        <w:t>,</w:t>
      </w:r>
      <w:r w:rsidRPr="00532D05">
        <w:rPr>
          <w:rFonts w:eastAsia="MS Mincho"/>
          <w:color w:val="262626"/>
        </w:rPr>
        <w:t xml:space="preserve"> only a short walk </w:t>
      </w:r>
      <w:r w:rsidR="006150E9" w:rsidRPr="00532D05">
        <w:rPr>
          <w:rFonts w:eastAsia="MS Mincho"/>
          <w:color w:val="262626"/>
        </w:rPr>
        <w:t>to transit</w:t>
      </w:r>
      <w:r w:rsidR="006150E9">
        <w:rPr>
          <w:rFonts w:eastAsia="MS Mincho"/>
          <w:color w:val="262626"/>
        </w:rPr>
        <w:t xml:space="preserve"> and</w:t>
      </w:r>
      <w:r w:rsidR="006150E9" w:rsidRPr="00532D05">
        <w:rPr>
          <w:rFonts w:eastAsia="MS Mincho"/>
          <w:color w:val="262626"/>
        </w:rPr>
        <w:t xml:space="preserve"> </w:t>
      </w:r>
      <w:r w:rsidR="006150E9">
        <w:rPr>
          <w:rFonts w:eastAsia="MS Mincho"/>
          <w:color w:val="262626"/>
        </w:rPr>
        <w:t xml:space="preserve">the </w:t>
      </w:r>
      <w:r w:rsidR="00092D76">
        <w:rPr>
          <w:rFonts w:eastAsia="MS Mincho"/>
          <w:color w:val="262626"/>
        </w:rPr>
        <w:t xml:space="preserve">city </w:t>
      </w:r>
      <w:proofErr w:type="spellStart"/>
      <w:r w:rsidR="006150E9">
        <w:rPr>
          <w:rFonts w:eastAsia="MS Mincho"/>
          <w:color w:val="262626"/>
        </w:rPr>
        <w:t>centre</w:t>
      </w:r>
      <w:proofErr w:type="spellEnd"/>
      <w:r w:rsidRPr="00532D05">
        <w:rPr>
          <w:rFonts w:eastAsia="MS Mincho"/>
          <w:color w:val="262626"/>
        </w:rPr>
        <w:t>.</w:t>
      </w:r>
      <w:r w:rsidR="00C31A75">
        <w:rPr>
          <w:rFonts w:eastAsia="MS Mincho"/>
          <w:color w:val="262626"/>
        </w:rPr>
        <w:t xml:space="preserve"> </w:t>
      </w:r>
      <w:r w:rsidR="00DC0C18">
        <w:rPr>
          <w:rFonts w:eastAsia="MS Mincho"/>
          <w:color w:val="262626"/>
        </w:rPr>
        <w:t>The area</w:t>
      </w:r>
      <w:r w:rsidR="00C31A75">
        <w:rPr>
          <w:rFonts w:eastAsia="MS Mincho"/>
          <w:color w:val="262626"/>
        </w:rPr>
        <w:t xml:space="preserve"> was in </w:t>
      </w:r>
      <w:r w:rsidR="00092D76">
        <w:rPr>
          <w:rFonts w:eastAsia="MS Mincho"/>
          <w:color w:val="262626"/>
        </w:rPr>
        <w:t xml:space="preserve">a </w:t>
      </w:r>
      <w:r w:rsidR="00C31A75">
        <w:rPr>
          <w:rFonts w:eastAsia="MS Mincho"/>
          <w:color w:val="262626"/>
        </w:rPr>
        <w:t>flood zone and</w:t>
      </w:r>
      <w:r w:rsidR="00092D76">
        <w:rPr>
          <w:rFonts w:eastAsia="MS Mincho"/>
          <w:color w:val="262626"/>
        </w:rPr>
        <w:t xml:space="preserve"> had</w:t>
      </w:r>
      <w:r w:rsidR="00C31A75">
        <w:rPr>
          <w:rFonts w:eastAsia="MS Mincho"/>
          <w:color w:val="262626"/>
        </w:rPr>
        <w:t xml:space="preserve"> flooded in 2013</w:t>
      </w:r>
      <w:r w:rsidR="001E4C28">
        <w:rPr>
          <w:rFonts w:eastAsia="MS Mincho"/>
          <w:color w:val="262626"/>
        </w:rPr>
        <w:t>, but u</w:t>
      </w:r>
      <w:r w:rsidRPr="00532D05">
        <w:rPr>
          <w:rFonts w:eastAsia="MS Mincho"/>
          <w:color w:val="262626"/>
        </w:rPr>
        <w:t xml:space="preserve">nder the leadership of Calgary Municipal Land Corporation, </w:t>
      </w:r>
      <w:r w:rsidR="00DC0C18">
        <w:rPr>
          <w:rFonts w:eastAsia="MS Mincho"/>
          <w:color w:val="262626"/>
        </w:rPr>
        <w:t>it</w:t>
      </w:r>
      <w:r w:rsidRPr="00532D05">
        <w:rPr>
          <w:rFonts w:eastAsia="MS Mincho"/>
          <w:color w:val="262626"/>
        </w:rPr>
        <w:t xml:space="preserve"> was undergoing almost complete redevelopment that would eventually see </w:t>
      </w:r>
      <w:r w:rsidR="00DC0C18">
        <w:rPr>
          <w:rFonts w:eastAsia="MS Mincho"/>
          <w:color w:val="262626"/>
        </w:rPr>
        <w:t>East Village</w:t>
      </w:r>
      <w:r w:rsidRPr="00532D05">
        <w:rPr>
          <w:rFonts w:eastAsia="MS Mincho"/>
          <w:color w:val="262626"/>
        </w:rPr>
        <w:t xml:space="preserve"> transform</w:t>
      </w:r>
      <w:r w:rsidR="00092D76">
        <w:rPr>
          <w:rFonts w:eastAsia="MS Mincho"/>
          <w:color w:val="262626"/>
        </w:rPr>
        <w:t>ed</w:t>
      </w:r>
      <w:r w:rsidRPr="00532D05">
        <w:rPr>
          <w:rFonts w:eastAsia="MS Mincho"/>
          <w:color w:val="262626"/>
        </w:rPr>
        <w:t xml:space="preserve"> from an </w:t>
      </w:r>
      <w:r w:rsidR="00B623FA">
        <w:rPr>
          <w:rFonts w:eastAsia="MS Mincho"/>
          <w:color w:val="262626"/>
        </w:rPr>
        <w:t>underused</w:t>
      </w:r>
      <w:r w:rsidRPr="00101E18">
        <w:rPr>
          <w:rFonts w:eastAsia="MS Mincho"/>
          <w:color w:val="262626"/>
        </w:rPr>
        <w:t xml:space="preserve"> brownfield</w:t>
      </w:r>
      <w:r w:rsidR="0035771C">
        <w:rPr>
          <w:rStyle w:val="FootnoteReference"/>
          <w:rFonts w:eastAsia="MS Mincho"/>
          <w:color w:val="262626"/>
        </w:rPr>
        <w:footnoteReference w:id="10"/>
      </w:r>
      <w:r w:rsidRPr="00532D05">
        <w:rPr>
          <w:rFonts w:eastAsia="MS Mincho"/>
          <w:color w:val="262626"/>
        </w:rPr>
        <w:t xml:space="preserve"> dominated by surface parking lots </w:t>
      </w:r>
      <w:r w:rsidR="00B623FA">
        <w:rPr>
          <w:rFonts w:eastAsia="MS Mincho"/>
          <w:color w:val="262626"/>
        </w:rPr>
        <w:t>in</w:t>
      </w:r>
      <w:r w:rsidRPr="00532D05">
        <w:rPr>
          <w:rFonts w:eastAsia="MS Mincho"/>
          <w:color w:val="262626"/>
        </w:rPr>
        <w:t xml:space="preserve">to a thriving </w:t>
      </w:r>
      <w:proofErr w:type="spellStart"/>
      <w:r w:rsidRPr="00532D05">
        <w:rPr>
          <w:rFonts w:eastAsia="MS Mincho"/>
          <w:color w:val="262626"/>
        </w:rPr>
        <w:t>neighbo</w:t>
      </w:r>
      <w:r w:rsidR="00DC0C18">
        <w:rPr>
          <w:rFonts w:eastAsia="MS Mincho"/>
          <w:color w:val="262626"/>
        </w:rPr>
        <w:t>u</w:t>
      </w:r>
      <w:r w:rsidRPr="00532D05">
        <w:rPr>
          <w:rFonts w:eastAsia="MS Mincho"/>
          <w:color w:val="262626"/>
        </w:rPr>
        <w:t>rhood</w:t>
      </w:r>
      <w:proofErr w:type="spellEnd"/>
      <w:r w:rsidRPr="00532D05">
        <w:rPr>
          <w:rFonts w:eastAsia="MS Mincho"/>
          <w:color w:val="262626"/>
        </w:rPr>
        <w:t xml:space="preserve"> and shopping destination. The red</w:t>
      </w:r>
      <w:r w:rsidR="000739DC">
        <w:rPr>
          <w:rFonts w:eastAsia="MS Mincho"/>
          <w:color w:val="262626"/>
        </w:rPr>
        <w:t>evelopment strictly adhered to</w:t>
      </w:r>
      <w:r w:rsidRPr="00532D05">
        <w:rPr>
          <w:rFonts w:eastAsia="MS Mincho"/>
          <w:color w:val="262626"/>
        </w:rPr>
        <w:t xml:space="preserve"> smart growth principles. The necessary infrastructure had been put in place, heritage buildings were renovated, and the first mixed-use developments were under construction.</w:t>
      </w:r>
      <w:r w:rsidR="00D677A0">
        <w:rPr>
          <w:rFonts w:eastAsia="MS Mincho"/>
          <w:color w:val="262626"/>
        </w:rPr>
        <w:t xml:space="preserve"> </w:t>
      </w:r>
      <w:r w:rsidR="00CF58C9">
        <w:rPr>
          <w:rFonts w:eastAsia="MS Mincho"/>
          <w:color w:val="262626"/>
        </w:rPr>
        <w:t>East Village</w:t>
      </w:r>
      <w:r w:rsidR="001E4C28">
        <w:rPr>
          <w:rFonts w:eastAsia="MS Mincho"/>
          <w:color w:val="262626"/>
        </w:rPr>
        <w:t xml:space="preserve"> </w:t>
      </w:r>
      <w:r w:rsidR="008060A8">
        <w:rPr>
          <w:rFonts w:eastAsia="MS Mincho"/>
          <w:color w:val="262626"/>
        </w:rPr>
        <w:t>offered prospective residents</w:t>
      </w:r>
      <w:r w:rsidR="001E4C28">
        <w:rPr>
          <w:rFonts w:eastAsia="MS Mincho"/>
          <w:color w:val="262626"/>
        </w:rPr>
        <w:t xml:space="preserve"> an opportunity for a new attitude, </w:t>
      </w:r>
      <w:r w:rsidR="00CF58C9">
        <w:rPr>
          <w:rFonts w:eastAsia="MS Mincho"/>
          <w:color w:val="262626"/>
        </w:rPr>
        <w:t xml:space="preserve">a </w:t>
      </w:r>
      <w:r w:rsidR="001E4C28">
        <w:rPr>
          <w:rFonts w:eastAsia="MS Mincho"/>
          <w:color w:val="262626"/>
        </w:rPr>
        <w:t>new vision</w:t>
      </w:r>
      <w:r w:rsidR="00CF58C9">
        <w:rPr>
          <w:rFonts w:eastAsia="MS Mincho"/>
          <w:color w:val="262626"/>
        </w:rPr>
        <w:t>,</w:t>
      </w:r>
      <w:r w:rsidR="001E4C28">
        <w:rPr>
          <w:rFonts w:eastAsia="MS Mincho"/>
          <w:color w:val="262626"/>
        </w:rPr>
        <w:t xml:space="preserve"> and a new lifestyle</w:t>
      </w:r>
      <w:r w:rsidR="00CF58C9">
        <w:rPr>
          <w:rFonts w:eastAsia="MS Mincho"/>
          <w:color w:val="262626"/>
        </w:rPr>
        <w:t>.</w:t>
      </w:r>
    </w:p>
    <w:p w14:paraId="796A56EE" w14:textId="70F4E9B7" w:rsidR="00532D05" w:rsidRPr="00A64CC5" w:rsidRDefault="00532D05" w:rsidP="00480CF5">
      <w:pPr>
        <w:pStyle w:val="BodyTextMain"/>
        <w:rPr>
          <w:rFonts w:eastAsia="MS Mincho"/>
          <w:color w:val="000000"/>
          <w:spacing w:val="-2"/>
          <w:kern w:val="22"/>
          <w:lang w:val="en-CA"/>
        </w:rPr>
      </w:pPr>
      <w:r w:rsidRPr="00A64CC5">
        <w:rPr>
          <w:rFonts w:eastAsia="MS Mincho"/>
          <w:color w:val="262626"/>
          <w:spacing w:val="-2"/>
          <w:kern w:val="22"/>
        </w:rPr>
        <w:lastRenderedPageBreak/>
        <w:t xml:space="preserve">As </w:t>
      </w:r>
      <w:proofErr w:type="spellStart"/>
      <w:r w:rsidRPr="00A64CC5">
        <w:rPr>
          <w:rFonts w:eastAsia="MS Mincho"/>
          <w:color w:val="262626"/>
          <w:spacing w:val="-2"/>
          <w:kern w:val="22"/>
        </w:rPr>
        <w:t>Starkman</w:t>
      </w:r>
      <w:proofErr w:type="spellEnd"/>
      <w:r w:rsidRPr="00A64CC5">
        <w:rPr>
          <w:rFonts w:eastAsia="MS Mincho"/>
          <w:color w:val="262626"/>
          <w:spacing w:val="-2"/>
          <w:kern w:val="22"/>
        </w:rPr>
        <w:t xml:space="preserve"> stood on the recently acquired piece of land in </w:t>
      </w:r>
      <w:r w:rsidR="008060A8">
        <w:rPr>
          <w:rFonts w:eastAsia="MS Mincho"/>
          <w:color w:val="262626"/>
          <w:spacing w:val="-2"/>
          <w:kern w:val="22"/>
        </w:rPr>
        <w:t>this</w:t>
      </w:r>
      <w:r w:rsidRPr="00A64CC5">
        <w:rPr>
          <w:rFonts w:eastAsia="MS Mincho"/>
          <w:color w:val="262626"/>
          <w:spacing w:val="-2"/>
          <w:kern w:val="22"/>
        </w:rPr>
        <w:t xml:space="preserve"> area that did not cater to vehicles, he thought about what his daughter had just said. Eliminating parking would require a customized land use designation, </w:t>
      </w:r>
      <w:r w:rsidR="008060A8">
        <w:rPr>
          <w:rFonts w:eastAsia="MS Mincho"/>
          <w:color w:val="262626"/>
          <w:spacing w:val="-2"/>
          <w:kern w:val="22"/>
        </w:rPr>
        <w:t>which</w:t>
      </w:r>
      <w:r w:rsidRPr="00A64CC5">
        <w:rPr>
          <w:rFonts w:eastAsia="MS Mincho"/>
          <w:color w:val="262626"/>
          <w:spacing w:val="-2"/>
          <w:kern w:val="22"/>
        </w:rPr>
        <w:t xml:space="preserve"> could </w:t>
      </w:r>
      <w:r w:rsidR="008060A8">
        <w:rPr>
          <w:rFonts w:eastAsia="MS Mincho"/>
          <w:color w:val="262626"/>
          <w:spacing w:val="-2"/>
          <w:kern w:val="22"/>
        </w:rPr>
        <w:t>prove</w:t>
      </w:r>
      <w:r w:rsidR="00591E87">
        <w:rPr>
          <w:rFonts w:eastAsia="MS Mincho"/>
          <w:color w:val="262626"/>
          <w:spacing w:val="-2"/>
          <w:kern w:val="22"/>
        </w:rPr>
        <w:t xml:space="preserve"> c</w:t>
      </w:r>
      <w:r w:rsidRPr="00A64CC5">
        <w:rPr>
          <w:rFonts w:eastAsia="MS Mincho"/>
          <w:color w:val="262626"/>
          <w:spacing w:val="-2"/>
          <w:kern w:val="22"/>
        </w:rPr>
        <w:t>omplicated and time consuming</w:t>
      </w:r>
      <w:r w:rsidR="00CC5C42">
        <w:rPr>
          <w:rFonts w:eastAsia="MS Mincho"/>
          <w:color w:val="262626"/>
          <w:spacing w:val="-2"/>
          <w:kern w:val="22"/>
        </w:rPr>
        <w:t xml:space="preserve"> (see Exhibit 3)</w:t>
      </w:r>
      <w:r w:rsidR="008060A8">
        <w:rPr>
          <w:rFonts w:eastAsia="MS Mincho"/>
          <w:color w:val="262626"/>
          <w:spacing w:val="-2"/>
          <w:kern w:val="22"/>
        </w:rPr>
        <w:t>.</w:t>
      </w:r>
      <w:r w:rsidRPr="00A64CC5">
        <w:rPr>
          <w:rFonts w:eastAsia="MS Mincho"/>
          <w:color w:val="262626"/>
          <w:spacing w:val="-2"/>
          <w:kern w:val="22"/>
        </w:rPr>
        <w:t xml:space="preserve"> </w:t>
      </w:r>
      <w:r w:rsidR="008060A8">
        <w:rPr>
          <w:rFonts w:eastAsia="MS Mincho"/>
          <w:color w:val="262626"/>
          <w:spacing w:val="-2"/>
          <w:kern w:val="22"/>
        </w:rPr>
        <w:t>H</w:t>
      </w:r>
      <w:r w:rsidRPr="00A64CC5">
        <w:rPr>
          <w:rFonts w:eastAsia="MS Mincho"/>
          <w:color w:val="262626"/>
          <w:spacing w:val="-2"/>
          <w:kern w:val="22"/>
        </w:rPr>
        <w:t xml:space="preserve">owever, </w:t>
      </w:r>
      <w:r w:rsidR="008060A8">
        <w:rPr>
          <w:rFonts w:eastAsia="MS Mincho"/>
          <w:color w:val="262626"/>
          <w:spacing w:val="-2"/>
          <w:kern w:val="22"/>
        </w:rPr>
        <w:t>doing so</w:t>
      </w:r>
      <w:r w:rsidRPr="00A64CC5">
        <w:rPr>
          <w:rFonts w:eastAsia="MS Mincho"/>
          <w:color w:val="262626"/>
          <w:spacing w:val="-2"/>
          <w:kern w:val="22"/>
        </w:rPr>
        <w:t xml:space="preserve"> would also save significant construction time if rezoning was successful</w:t>
      </w:r>
      <w:r w:rsidR="008060A8">
        <w:rPr>
          <w:rFonts w:eastAsia="MS Mincho"/>
          <w:color w:val="262626"/>
          <w:spacing w:val="-2"/>
          <w:kern w:val="22"/>
        </w:rPr>
        <w:t>;</w:t>
      </w:r>
      <w:r w:rsidRPr="00A64CC5">
        <w:rPr>
          <w:rFonts w:eastAsia="MS Mincho"/>
          <w:color w:val="262626"/>
          <w:spacing w:val="-2"/>
          <w:kern w:val="22"/>
        </w:rPr>
        <w:t xml:space="preserve"> </w:t>
      </w:r>
      <w:proofErr w:type="spellStart"/>
      <w:r w:rsidR="001D6CBC">
        <w:rPr>
          <w:rFonts w:eastAsia="MS Mincho"/>
          <w:color w:val="262626"/>
          <w:spacing w:val="-2"/>
          <w:kern w:val="22"/>
        </w:rPr>
        <w:t>Starkman</w:t>
      </w:r>
      <w:proofErr w:type="spellEnd"/>
      <w:r w:rsidR="001D6CBC">
        <w:rPr>
          <w:rFonts w:eastAsia="MS Mincho"/>
          <w:color w:val="262626"/>
          <w:spacing w:val="-2"/>
          <w:kern w:val="22"/>
        </w:rPr>
        <w:t xml:space="preserve"> estimated that </w:t>
      </w:r>
      <w:r w:rsidR="008060A8">
        <w:rPr>
          <w:rFonts w:eastAsia="MS Mincho"/>
          <w:color w:val="262626"/>
          <w:spacing w:val="-2"/>
          <w:kern w:val="22"/>
        </w:rPr>
        <w:t>Knightsbridge</w:t>
      </w:r>
      <w:r w:rsidR="001D6CBC">
        <w:rPr>
          <w:rFonts w:eastAsia="MS Mincho"/>
          <w:color w:val="262626"/>
          <w:spacing w:val="-2"/>
          <w:kern w:val="22"/>
        </w:rPr>
        <w:t xml:space="preserve"> could save $75,000 to $85,000 per unit.</w:t>
      </w:r>
    </w:p>
    <w:p w14:paraId="7F95E36A" w14:textId="77777777" w:rsidR="00532D05" w:rsidRPr="00532D05" w:rsidRDefault="00532D05" w:rsidP="00480CF5">
      <w:pPr>
        <w:pStyle w:val="BodyTextMain"/>
        <w:rPr>
          <w:rFonts w:eastAsia="MS Mincho"/>
          <w:color w:val="262626"/>
        </w:rPr>
      </w:pPr>
    </w:p>
    <w:p w14:paraId="4962E2E6" w14:textId="77777777" w:rsidR="003E45AD" w:rsidRDefault="00A64CC5" w:rsidP="00A64CC5">
      <w:pPr>
        <w:pStyle w:val="BodyTextMain"/>
        <w:rPr>
          <w:rFonts w:eastAsia="MS Mincho"/>
          <w:color w:val="000000"/>
          <w:lang w:val="en-CA"/>
        </w:rPr>
      </w:pPr>
      <w:r>
        <w:rPr>
          <w:rFonts w:eastAsia="MS Mincho"/>
          <w:color w:val="000000"/>
          <w:lang w:val="en-CA"/>
        </w:rPr>
        <w:t xml:space="preserve">Considering </w:t>
      </w:r>
      <w:r w:rsidR="00532D05" w:rsidRPr="00532D05">
        <w:rPr>
          <w:rFonts w:eastAsia="MS Mincho"/>
          <w:color w:val="000000"/>
          <w:lang w:val="en-CA"/>
        </w:rPr>
        <w:t>Knightsbridge’s thre</w:t>
      </w:r>
      <w:r>
        <w:rPr>
          <w:rFonts w:eastAsia="MS Mincho"/>
          <w:color w:val="000000"/>
          <w:lang w:val="en-CA"/>
        </w:rPr>
        <w:t>e core values</w:t>
      </w:r>
      <w:r w:rsidR="008060A8">
        <w:rPr>
          <w:rFonts w:eastAsia="MS Mincho"/>
          <w:color w:val="000000"/>
          <w:lang w:val="en-CA"/>
        </w:rPr>
        <w:t>,</w:t>
      </w:r>
      <w:r>
        <w:rPr>
          <w:rFonts w:eastAsia="MS Mincho"/>
          <w:color w:val="000000"/>
          <w:lang w:val="en-CA"/>
        </w:rPr>
        <w:t xml:space="preserve"> </w:t>
      </w:r>
      <w:r w:rsidR="00532D05" w:rsidRPr="00532D05">
        <w:rPr>
          <w:rFonts w:eastAsia="MS Mincho"/>
          <w:color w:val="000000"/>
          <w:lang w:val="en-CA"/>
        </w:rPr>
        <w:t xml:space="preserve">as well as the </w:t>
      </w:r>
      <w:r w:rsidR="00D11051">
        <w:rPr>
          <w:rFonts w:eastAsia="MS Mincho"/>
          <w:color w:val="000000"/>
          <w:lang w:val="en-CA"/>
        </w:rPr>
        <w:t xml:space="preserve">company’s </w:t>
      </w:r>
      <w:r w:rsidR="00532D05" w:rsidRPr="00532D05">
        <w:rPr>
          <w:rFonts w:eastAsia="MS Mincho"/>
          <w:color w:val="000000"/>
          <w:lang w:val="en-CA"/>
        </w:rPr>
        <w:t xml:space="preserve">experiences from previous projects, how </w:t>
      </w:r>
      <w:r>
        <w:rPr>
          <w:rFonts w:eastAsia="MS Mincho"/>
          <w:color w:val="000000"/>
          <w:lang w:val="en-CA"/>
        </w:rPr>
        <w:t>should</w:t>
      </w:r>
      <w:r w:rsidR="00532D05" w:rsidRPr="00532D05">
        <w:rPr>
          <w:rFonts w:eastAsia="MS Mincho"/>
          <w:color w:val="000000"/>
          <w:lang w:val="en-CA"/>
        </w:rPr>
        <w:t xml:space="preserve"> </w:t>
      </w:r>
      <w:r w:rsidR="00D11051">
        <w:rPr>
          <w:rFonts w:eastAsia="MS Mincho"/>
          <w:color w:val="000000"/>
          <w:lang w:val="en-CA"/>
        </w:rPr>
        <w:t>it</w:t>
      </w:r>
      <w:r w:rsidR="00532D05" w:rsidRPr="00532D05">
        <w:rPr>
          <w:rFonts w:eastAsia="MS Mincho"/>
          <w:color w:val="000000"/>
          <w:lang w:val="en-CA"/>
        </w:rPr>
        <w:t xml:space="preserve"> approach the East Village site? </w:t>
      </w:r>
      <w:r w:rsidR="00D11051">
        <w:rPr>
          <w:rFonts w:eastAsia="MS Mincho"/>
          <w:color w:val="000000"/>
          <w:lang w:val="en-CA"/>
        </w:rPr>
        <w:t>Was</w:t>
      </w:r>
      <w:r w:rsidR="00532D05" w:rsidRPr="00532D05">
        <w:rPr>
          <w:rFonts w:eastAsia="MS Mincho"/>
          <w:color w:val="000000"/>
          <w:lang w:val="en-CA"/>
        </w:rPr>
        <w:t xml:space="preserve"> developing a residential site without parking</w:t>
      </w:r>
      <w:r w:rsidR="00D11051">
        <w:rPr>
          <w:rFonts w:eastAsia="MS Mincho"/>
          <w:color w:val="000000"/>
          <w:lang w:val="en-CA"/>
        </w:rPr>
        <w:t xml:space="preserve"> a</w:t>
      </w:r>
      <w:r w:rsidR="00532D05" w:rsidRPr="00532D05">
        <w:rPr>
          <w:rFonts w:eastAsia="MS Mincho"/>
          <w:color w:val="000000"/>
          <w:lang w:val="en-CA"/>
        </w:rPr>
        <w:t xml:space="preserve"> viable</w:t>
      </w:r>
      <w:r w:rsidR="00D11051">
        <w:rPr>
          <w:rFonts w:eastAsia="MS Mincho"/>
          <w:color w:val="000000"/>
          <w:lang w:val="en-CA"/>
        </w:rPr>
        <w:t xml:space="preserve"> plan</w:t>
      </w:r>
      <w:r w:rsidR="00532D05" w:rsidRPr="00532D05">
        <w:rPr>
          <w:rFonts w:eastAsia="MS Mincho"/>
          <w:color w:val="000000"/>
          <w:lang w:val="en-CA"/>
        </w:rPr>
        <w:t xml:space="preserve">? </w:t>
      </w:r>
      <w:r w:rsidR="00D11051">
        <w:rPr>
          <w:rFonts w:eastAsia="MS Mincho"/>
          <w:color w:val="000000"/>
          <w:lang w:val="en-CA"/>
        </w:rPr>
        <w:t>Current z</w:t>
      </w:r>
      <w:r w:rsidR="00532D05" w:rsidRPr="00532D05">
        <w:rPr>
          <w:rFonts w:eastAsia="MS Mincho"/>
          <w:color w:val="000000"/>
          <w:lang w:val="en-CA"/>
        </w:rPr>
        <w:t>oning d</w:t>
      </w:r>
      <w:r w:rsidR="00D11051">
        <w:rPr>
          <w:rFonts w:eastAsia="MS Mincho"/>
          <w:color w:val="000000"/>
          <w:lang w:val="en-CA"/>
        </w:rPr>
        <w:t>id</w:t>
      </w:r>
      <w:r w:rsidR="00532D05" w:rsidRPr="00532D05">
        <w:rPr>
          <w:rFonts w:eastAsia="MS Mincho"/>
          <w:color w:val="000000"/>
          <w:lang w:val="en-CA"/>
        </w:rPr>
        <w:t xml:space="preserve"> not allow for a structure with no parking. </w:t>
      </w:r>
      <w:r>
        <w:rPr>
          <w:rFonts w:eastAsia="MS Mincho"/>
          <w:color w:val="000000"/>
          <w:lang w:val="en-CA"/>
        </w:rPr>
        <w:t xml:space="preserve">Should </w:t>
      </w:r>
      <w:r w:rsidR="008060A8">
        <w:rPr>
          <w:rFonts w:eastAsia="MS Mincho"/>
          <w:color w:val="000000"/>
          <w:lang w:val="en-CA"/>
        </w:rPr>
        <w:t>the firm</w:t>
      </w:r>
      <w:r w:rsidR="00532D05" w:rsidRPr="00532D05">
        <w:rPr>
          <w:rFonts w:eastAsia="MS Mincho"/>
          <w:color w:val="000000"/>
          <w:lang w:val="en-CA"/>
        </w:rPr>
        <w:t xml:space="preserve"> </w:t>
      </w:r>
      <w:r w:rsidR="008060A8">
        <w:rPr>
          <w:rFonts w:eastAsia="MS Mincho"/>
          <w:color w:val="000000"/>
          <w:lang w:val="en-CA"/>
        </w:rPr>
        <w:t xml:space="preserve">proceed within the conventional building parameters or </w:t>
      </w:r>
      <w:r w:rsidR="00532D05" w:rsidRPr="00532D05">
        <w:rPr>
          <w:rFonts w:eastAsia="MS Mincho"/>
          <w:color w:val="000000"/>
          <w:lang w:val="en-CA"/>
        </w:rPr>
        <w:t>take another chance?</w:t>
      </w:r>
    </w:p>
    <w:p w14:paraId="3E3A5A17" w14:textId="51A910CA" w:rsidR="003E45AD" w:rsidRDefault="003E45AD" w:rsidP="00A64CC5">
      <w:pPr>
        <w:pStyle w:val="BodyTextMain"/>
        <w:rPr>
          <w:rFonts w:eastAsia="MS Mincho"/>
          <w:color w:val="000000"/>
          <w:lang w:val="en-CA"/>
        </w:rPr>
      </w:pPr>
    </w:p>
    <w:p w14:paraId="5F9EEE02" w14:textId="5DF5EA46" w:rsidR="003E45AD" w:rsidRDefault="00C76026" w:rsidP="00A64CC5">
      <w:pPr>
        <w:pStyle w:val="BodyTextMain"/>
        <w:rPr>
          <w:rFonts w:eastAsia="MS Mincho"/>
          <w:color w:val="000000"/>
          <w:lang w:val="en-CA"/>
        </w:rPr>
      </w:pPr>
      <w:r w:rsidRPr="00C76026">
        <w:rPr>
          <w:rFonts w:eastAsia="MS Mincho"/>
          <w:noProof/>
          <w:color w:val="000000"/>
        </w:rPr>
        <mc:AlternateContent>
          <mc:Choice Requires="wps">
            <w:drawing>
              <wp:anchor distT="45720" distB="45720" distL="114300" distR="114300" simplePos="0" relativeHeight="251659264" behindDoc="0" locked="0" layoutInCell="1" allowOverlap="1" wp14:anchorId="6F76BEB2" wp14:editId="74434F53">
                <wp:simplePos x="0" y="0"/>
                <wp:positionH relativeFrom="column">
                  <wp:posOffset>900260</wp:posOffset>
                </wp:positionH>
                <wp:positionV relativeFrom="paragraph">
                  <wp:posOffset>30850</wp:posOffset>
                </wp:positionV>
                <wp:extent cx="4427855" cy="1404620"/>
                <wp:effectExtent l="0" t="0" r="1079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855" cy="1404620"/>
                        </a:xfrm>
                        <a:prstGeom prst="rect">
                          <a:avLst/>
                        </a:prstGeom>
                        <a:solidFill>
                          <a:srgbClr val="FFFFFF"/>
                        </a:solidFill>
                        <a:ln w="9525">
                          <a:solidFill>
                            <a:srgbClr val="000000"/>
                          </a:solidFill>
                          <a:miter lim="800000"/>
                          <a:headEnd/>
                          <a:tailEnd/>
                        </a:ln>
                      </wps:spPr>
                      <wps:txbx>
                        <w:txbxContent>
                          <w:p w14:paraId="2EDE1574" w14:textId="318B9F8E" w:rsidR="00C76026" w:rsidRPr="00AE1961" w:rsidRDefault="00C76026" w:rsidP="00C76026">
                            <w:pPr>
                              <w:jc w:val="center"/>
                              <w:rPr>
                                <w:rFonts w:ascii="Arial" w:hAnsi="Arial" w:cs="Arial"/>
                                <w:sz w:val="18"/>
                              </w:rPr>
                            </w:pPr>
                            <w:r w:rsidRPr="00AE1961">
                              <w:rPr>
                                <w:rFonts w:ascii="Arial" w:hAnsi="Arial" w:cs="Arial"/>
                                <w:sz w:val="18"/>
                              </w:rPr>
                              <w:t xml:space="preserve">This case was made possible through the generous support of the </w:t>
                            </w:r>
                            <w:proofErr w:type="spellStart"/>
                            <w:r w:rsidRPr="00AE1961">
                              <w:rPr>
                                <w:rFonts w:ascii="Arial" w:hAnsi="Arial" w:cs="Arial"/>
                                <w:sz w:val="18"/>
                              </w:rPr>
                              <w:t>Westman</w:t>
                            </w:r>
                            <w:proofErr w:type="spellEnd"/>
                            <w:r w:rsidRPr="00AE1961">
                              <w:rPr>
                                <w:rFonts w:ascii="Arial" w:hAnsi="Arial" w:cs="Arial"/>
                                <w:sz w:val="18"/>
                              </w:rPr>
                              <w:t xml:space="preserve"> Centre for Real Estate Studies, Haskayne School of Business, </w:t>
                            </w:r>
                            <w:proofErr w:type="gramStart"/>
                            <w:r w:rsidRPr="00AE1961">
                              <w:rPr>
                                <w:rFonts w:ascii="Arial" w:hAnsi="Arial" w:cs="Arial"/>
                                <w:sz w:val="18"/>
                              </w:rPr>
                              <w:t>University</w:t>
                            </w:r>
                            <w:proofErr w:type="gramEnd"/>
                            <w:r w:rsidRPr="00AE1961">
                              <w:rPr>
                                <w:rFonts w:ascii="Arial" w:hAnsi="Arial" w:cs="Arial"/>
                                <w:sz w:val="18"/>
                              </w:rPr>
                              <w:t xml:space="preserve"> of Calgary.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6BEB2" id="_x0000_t202" coordsize="21600,21600" o:spt="202" path="m,l,21600r21600,l21600,xe">
                <v:stroke joinstyle="miter"/>
                <v:path gradientshapeok="t" o:connecttype="rect"/>
              </v:shapetype>
              <v:shape id="Text Box 2" o:spid="_x0000_s1026" type="#_x0000_t202" style="position:absolute;left:0;text-align:left;margin-left:70.9pt;margin-top:2.45pt;width:348.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">
                <v:textbox style="mso-fit-shape-to-text:t">
                  <w:txbxContent>
                    <w:p w14:paraId="2EDE1574" w14:textId="318B9F8E" w:rsidR="00C76026" w:rsidRPr="00AE1961" w:rsidRDefault="00C76026" w:rsidP="00C76026">
                      <w:pPr>
                        <w:jc w:val="center"/>
                        <w:rPr>
                          <w:rFonts w:ascii="Arial" w:hAnsi="Arial" w:cs="Arial"/>
                          <w:sz w:val="18"/>
                        </w:rPr>
                      </w:pPr>
                      <w:r w:rsidRPr="00AE1961">
                        <w:rPr>
                          <w:rFonts w:ascii="Arial" w:hAnsi="Arial" w:cs="Arial"/>
                          <w:sz w:val="18"/>
                        </w:rPr>
                        <w:t xml:space="preserve">This case was made possible through the generous support of the </w:t>
                      </w:r>
                      <w:proofErr w:type="spellStart"/>
                      <w:r w:rsidRPr="00AE1961">
                        <w:rPr>
                          <w:rFonts w:ascii="Arial" w:hAnsi="Arial" w:cs="Arial"/>
                          <w:sz w:val="18"/>
                        </w:rPr>
                        <w:t>Westman</w:t>
                      </w:r>
                      <w:proofErr w:type="spellEnd"/>
                      <w:r w:rsidRPr="00AE1961">
                        <w:rPr>
                          <w:rFonts w:ascii="Arial" w:hAnsi="Arial" w:cs="Arial"/>
                          <w:sz w:val="18"/>
                        </w:rPr>
                        <w:t xml:space="preserve"> Centre for Real Estate Studies, Haskayne School of Business, </w:t>
                      </w:r>
                      <w:proofErr w:type="gramStart"/>
                      <w:r w:rsidRPr="00AE1961">
                        <w:rPr>
                          <w:rFonts w:ascii="Arial" w:hAnsi="Arial" w:cs="Arial"/>
                          <w:sz w:val="18"/>
                        </w:rPr>
                        <w:t>University</w:t>
                      </w:r>
                      <w:proofErr w:type="gramEnd"/>
                      <w:r w:rsidRPr="00AE1961">
                        <w:rPr>
                          <w:rFonts w:ascii="Arial" w:hAnsi="Arial" w:cs="Arial"/>
                          <w:sz w:val="18"/>
                        </w:rPr>
                        <w:t xml:space="preserve"> of Calgary.</w:t>
                      </w:r>
                    </w:p>
                  </w:txbxContent>
                </v:textbox>
                <w10:wrap type="square"/>
              </v:shape>
            </w:pict>
          </mc:Fallback>
        </mc:AlternateContent>
      </w:r>
    </w:p>
    <w:p w14:paraId="70E5A7F2" w14:textId="514E10CC" w:rsidR="00532D05" w:rsidRDefault="00532D05" w:rsidP="00A64CC5">
      <w:pPr>
        <w:pStyle w:val="BodyTextMain"/>
        <w:rPr>
          <w:rFonts w:eastAsia="MS Mincho"/>
          <w:color w:val="000000"/>
          <w:lang w:val="en-CA"/>
        </w:rPr>
      </w:pPr>
      <w:r>
        <w:rPr>
          <w:rFonts w:eastAsia="MS Mincho"/>
          <w:color w:val="000000"/>
          <w:lang w:val="en-CA"/>
        </w:rPr>
        <w:br w:type="page"/>
      </w:r>
    </w:p>
    <w:p w14:paraId="3568F27D" w14:textId="07DC3437" w:rsidR="00532D05" w:rsidRDefault="00532D05" w:rsidP="00480CF5">
      <w:pPr>
        <w:pStyle w:val="ExhibitHeading"/>
        <w:rPr>
          <w:rFonts w:eastAsia="MS Mincho"/>
          <w:lang w:val="en-CA"/>
        </w:rPr>
      </w:pPr>
      <w:r w:rsidRPr="00532D05">
        <w:rPr>
          <w:rFonts w:eastAsia="MS Mincho"/>
          <w:lang w:val="en-CA"/>
        </w:rPr>
        <w:lastRenderedPageBreak/>
        <w:t xml:space="preserve">EXHIBIT 1: MAP OF CALGARY </w:t>
      </w:r>
      <w:r w:rsidR="00D9323E">
        <w:rPr>
          <w:rFonts w:eastAsia="MS Mincho"/>
          <w:lang w:val="en-CA"/>
        </w:rPr>
        <w:t>SHOWING</w:t>
      </w:r>
      <w:r w:rsidRPr="00532D05">
        <w:rPr>
          <w:rFonts w:eastAsia="MS Mincho"/>
          <w:lang w:val="en-CA"/>
        </w:rPr>
        <w:t xml:space="preserve"> KNIGHTSBRIDGE PROJECTS </w:t>
      </w:r>
      <w:r w:rsidR="005707B1">
        <w:rPr>
          <w:rFonts w:eastAsia="MS Mincho"/>
          <w:lang w:val="en-CA"/>
        </w:rPr>
        <w:t>(</w:t>
      </w:r>
      <w:r w:rsidR="00480CF5">
        <w:rPr>
          <w:rFonts w:eastAsia="MS Mincho"/>
          <w:lang w:val="en-CA"/>
        </w:rPr>
        <w:t>1990</w:t>
      </w:r>
      <w:r w:rsidR="005707B1">
        <w:rPr>
          <w:rFonts w:eastAsia="MS Mincho"/>
          <w:lang w:val="en-CA"/>
        </w:rPr>
        <w:t>–</w:t>
      </w:r>
      <w:r w:rsidR="004A4E8C">
        <w:rPr>
          <w:rFonts w:eastAsia="MS Mincho"/>
          <w:lang w:val="en-CA"/>
        </w:rPr>
        <w:t>2014</w:t>
      </w:r>
      <w:r w:rsidR="005707B1">
        <w:rPr>
          <w:rFonts w:eastAsia="MS Mincho"/>
          <w:lang w:val="en-CA"/>
        </w:rPr>
        <w:t>)</w:t>
      </w:r>
    </w:p>
    <w:p w14:paraId="0D9EE6E4" w14:textId="77777777" w:rsidR="000C4792" w:rsidRDefault="000C4792" w:rsidP="00480CF5">
      <w:pPr>
        <w:pStyle w:val="ExhibitHeading"/>
        <w:rPr>
          <w:rFonts w:eastAsia="MS Mincho"/>
          <w:lang w:val="en-CA"/>
        </w:rPr>
      </w:pPr>
    </w:p>
    <w:p w14:paraId="240C72F9" w14:textId="77777777" w:rsidR="000C4792" w:rsidRDefault="000C4792" w:rsidP="00480CF5">
      <w:pPr>
        <w:pStyle w:val="ExhibitHeading"/>
        <w:rPr>
          <w:rFonts w:eastAsia="MS Mincho"/>
          <w:lang w:val="en-CA"/>
        </w:rPr>
      </w:pPr>
    </w:p>
    <w:p w14:paraId="50BA85BC" w14:textId="45705624" w:rsidR="000C4792" w:rsidRDefault="000C4792" w:rsidP="00480CF5">
      <w:pPr>
        <w:pStyle w:val="ExhibitHeading"/>
        <w:rPr>
          <w:rFonts w:eastAsia="MS Mincho"/>
          <w:lang w:val="en-CA"/>
        </w:rPr>
      </w:pPr>
      <w:r>
        <w:rPr>
          <w:noProof/>
        </w:rPr>
        <w:drawing>
          <wp:inline distT="0" distB="0" distL="0" distR="0" wp14:anchorId="01A58F6E" wp14:editId="049EAFD8">
            <wp:extent cx="5019239" cy="642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8475" cy="6435481"/>
                    </a:xfrm>
                    <a:prstGeom prst="rect">
                      <a:avLst/>
                    </a:prstGeom>
                  </pic:spPr>
                </pic:pic>
              </a:graphicData>
            </a:graphic>
          </wp:inline>
        </w:drawing>
      </w:r>
    </w:p>
    <w:p w14:paraId="780BF9DB" w14:textId="77777777" w:rsidR="004A4E8C" w:rsidRDefault="004A4E8C" w:rsidP="00480CF5">
      <w:pPr>
        <w:pStyle w:val="ExhibitHeading"/>
        <w:rPr>
          <w:rFonts w:eastAsia="MS Mincho"/>
          <w:lang w:val="en-CA"/>
        </w:rPr>
      </w:pPr>
    </w:p>
    <w:p w14:paraId="162B7DC1" w14:textId="77777777" w:rsidR="00532D05" w:rsidRPr="00532D05" w:rsidRDefault="00532D05" w:rsidP="00480CF5">
      <w:pPr>
        <w:pStyle w:val="ExhibitText"/>
        <w:rPr>
          <w:rFonts w:eastAsia="MS Mincho"/>
          <w:sz w:val="22"/>
          <w:szCs w:val="22"/>
          <w:lang w:val="en-CA"/>
        </w:rPr>
      </w:pPr>
    </w:p>
    <w:p w14:paraId="1D840E83" w14:textId="7B0EA59C" w:rsidR="005A0903" w:rsidRDefault="005A0903" w:rsidP="005A0903">
      <w:pPr>
        <w:jc w:val="center"/>
        <w:rPr>
          <w:rFonts w:eastAsia="MS Mincho"/>
          <w:color w:val="000000"/>
          <w:sz w:val="22"/>
          <w:szCs w:val="22"/>
          <w:lang w:val="en-CA"/>
        </w:rPr>
      </w:pPr>
    </w:p>
    <w:p w14:paraId="6E2D704F" w14:textId="77777777" w:rsidR="005A0903" w:rsidRDefault="005A0903" w:rsidP="005A0903">
      <w:pPr>
        <w:pStyle w:val="ExhibitText"/>
        <w:rPr>
          <w:rFonts w:eastAsia="MS Mincho"/>
          <w:lang w:val="en-CA"/>
        </w:rPr>
      </w:pPr>
    </w:p>
    <w:p w14:paraId="603A73CB" w14:textId="6FC3231A" w:rsidR="0016292F" w:rsidRDefault="00532D05" w:rsidP="005A0903">
      <w:pPr>
        <w:pStyle w:val="Footnote"/>
        <w:rPr>
          <w:rFonts w:eastAsia="MS Mincho"/>
          <w:lang w:val="en-CA"/>
        </w:rPr>
      </w:pPr>
      <w:r w:rsidRPr="00344124">
        <w:rPr>
          <w:rFonts w:eastAsia="MS Mincho"/>
          <w:lang w:val="en-CA"/>
        </w:rPr>
        <w:t>Source:</w:t>
      </w:r>
      <w:r w:rsidR="005707B1" w:rsidRPr="00344124">
        <w:rPr>
          <w:rFonts w:eastAsia="MS Mincho"/>
          <w:lang w:val="en-CA"/>
        </w:rPr>
        <w:t xml:space="preserve"> C</w:t>
      </w:r>
      <w:r w:rsidRPr="00344124">
        <w:rPr>
          <w:rFonts w:eastAsia="MS Mincho"/>
          <w:lang w:val="en-CA"/>
        </w:rPr>
        <w:t xml:space="preserve">reated by </w:t>
      </w:r>
      <w:proofErr w:type="spellStart"/>
      <w:r w:rsidR="00745659" w:rsidRPr="00344124">
        <w:rPr>
          <w:rFonts w:eastAsia="MS Mincho"/>
          <w:lang w:val="en-CA"/>
        </w:rPr>
        <w:t>Kwangyul</w:t>
      </w:r>
      <w:proofErr w:type="spellEnd"/>
      <w:r w:rsidR="00745659" w:rsidRPr="00344124">
        <w:rPr>
          <w:rFonts w:eastAsia="MS Mincho"/>
          <w:lang w:val="en-CA"/>
        </w:rPr>
        <w:t xml:space="preserve"> Choi </w:t>
      </w:r>
      <w:r w:rsidR="00D9323E" w:rsidRPr="00344124">
        <w:rPr>
          <w:rFonts w:eastAsia="MS Mincho"/>
          <w:lang w:val="en-CA"/>
        </w:rPr>
        <w:t>based on “</w:t>
      </w:r>
      <w:r w:rsidR="00344124" w:rsidRPr="00344124">
        <w:rPr>
          <w:rFonts w:eastAsia="MS Mincho"/>
          <w:lang w:val="en-CA"/>
        </w:rPr>
        <w:t>City Quadrants”</w:t>
      </w:r>
      <w:r w:rsidR="00D9323E" w:rsidRPr="00344124">
        <w:rPr>
          <w:rFonts w:eastAsia="MS Mincho"/>
          <w:lang w:val="en-CA"/>
        </w:rPr>
        <w:t xml:space="preserve"> </w:t>
      </w:r>
      <w:r w:rsidRPr="00344124">
        <w:rPr>
          <w:rFonts w:eastAsia="MS Mincho"/>
          <w:lang w:val="en-CA"/>
        </w:rPr>
        <w:t>City of Calgary</w:t>
      </w:r>
      <w:r w:rsidR="00186C44" w:rsidRPr="00344124">
        <w:rPr>
          <w:rFonts w:eastAsia="MS Mincho"/>
          <w:lang w:val="en-CA"/>
        </w:rPr>
        <w:t xml:space="preserve"> website</w:t>
      </w:r>
      <w:r w:rsidR="00344124" w:rsidRPr="00344124">
        <w:rPr>
          <w:rFonts w:eastAsia="MS Mincho"/>
          <w:lang w:val="en-CA"/>
        </w:rPr>
        <w:t xml:space="preserve">, November 13, 2017, </w:t>
      </w:r>
      <w:r w:rsidR="00652EDC" w:rsidRPr="00344124">
        <w:rPr>
          <w:rFonts w:eastAsia="MS Mincho"/>
          <w:lang w:val="en-CA"/>
        </w:rPr>
        <w:t xml:space="preserve">accessed </w:t>
      </w:r>
      <w:r w:rsidR="00344124" w:rsidRPr="00344124">
        <w:rPr>
          <w:rFonts w:eastAsia="MS Mincho"/>
          <w:lang w:val="en-CA"/>
        </w:rPr>
        <w:t>April</w:t>
      </w:r>
      <w:r w:rsidR="00D8143B">
        <w:rPr>
          <w:rFonts w:eastAsia="MS Mincho"/>
          <w:lang w:val="en-CA"/>
        </w:rPr>
        <w:t> </w:t>
      </w:r>
      <w:r w:rsidR="00344124" w:rsidRPr="00344124">
        <w:rPr>
          <w:rFonts w:eastAsia="MS Mincho"/>
          <w:lang w:val="en-CA"/>
        </w:rPr>
        <w:t>25, 2018,</w:t>
      </w:r>
      <w:r w:rsidR="00652EDC" w:rsidRPr="00344124">
        <w:rPr>
          <w:rFonts w:eastAsia="MS Mincho"/>
          <w:lang w:val="en-CA"/>
        </w:rPr>
        <w:t xml:space="preserve"> </w:t>
      </w:r>
      <w:r w:rsidR="00344124" w:rsidRPr="00344124">
        <w:rPr>
          <w:rFonts w:eastAsia="MS Mincho"/>
          <w:lang w:val="en-CA"/>
        </w:rPr>
        <w:t>https://data.calgary.ca/Base-Maps/City-Quadrants/g8ma-sywr</w:t>
      </w:r>
      <w:r w:rsidR="00D8143B">
        <w:rPr>
          <w:rFonts w:eastAsia="MS Mincho"/>
          <w:lang w:val="en-CA"/>
        </w:rPr>
        <w:t>.</w:t>
      </w:r>
    </w:p>
    <w:p w14:paraId="3EE151D5" w14:textId="77777777" w:rsidR="0016292F" w:rsidRDefault="0016292F">
      <w:pPr>
        <w:spacing w:after="200" w:line="276" w:lineRule="auto"/>
        <w:rPr>
          <w:rFonts w:ascii="Arial" w:eastAsia="MS Mincho" w:hAnsi="Arial" w:cs="Arial"/>
          <w:sz w:val="17"/>
          <w:szCs w:val="17"/>
          <w:lang w:val="en-CA"/>
        </w:rPr>
      </w:pPr>
      <w:r>
        <w:rPr>
          <w:rFonts w:eastAsia="MS Mincho"/>
          <w:lang w:val="en-CA"/>
        </w:rPr>
        <w:br w:type="page"/>
      </w:r>
    </w:p>
    <w:p w14:paraId="3D791E92" w14:textId="77777777" w:rsidR="00532D05" w:rsidRDefault="00532D05" w:rsidP="00CF4E1F">
      <w:pPr>
        <w:pStyle w:val="ExhibitHeading"/>
        <w:rPr>
          <w:rFonts w:eastAsia="MS Mincho"/>
          <w:lang w:val="en-CA"/>
        </w:rPr>
      </w:pPr>
      <w:r w:rsidRPr="00532D05">
        <w:rPr>
          <w:rFonts w:eastAsia="MS Mincho"/>
          <w:lang w:val="en-CA"/>
        </w:rPr>
        <w:lastRenderedPageBreak/>
        <w:t>EXHIBIT 2: EAST VILLAGE SITE CONTEXT</w:t>
      </w:r>
    </w:p>
    <w:p w14:paraId="6A968920" w14:textId="77777777" w:rsidR="00CF4E1F" w:rsidRPr="00532D05" w:rsidRDefault="00CF4E1F" w:rsidP="00CF4E1F">
      <w:pPr>
        <w:pStyle w:val="ExhibitText"/>
        <w:rPr>
          <w:rFonts w:eastAsia="MS Mincho"/>
          <w:lang w:val="en-CA"/>
        </w:rPr>
      </w:pPr>
    </w:p>
    <w:p w14:paraId="2C177268" w14:textId="77777777" w:rsidR="00532D05" w:rsidRPr="00532D05" w:rsidRDefault="00532D05" w:rsidP="00532D05">
      <w:pPr>
        <w:jc w:val="center"/>
        <w:rPr>
          <w:rFonts w:eastAsia="MS Mincho"/>
          <w:color w:val="000000"/>
          <w:sz w:val="22"/>
          <w:szCs w:val="22"/>
          <w:lang w:val="en-CA"/>
        </w:rPr>
      </w:pPr>
      <w:r w:rsidRPr="00532D05">
        <w:rPr>
          <w:rFonts w:eastAsia="MS Mincho"/>
          <w:noProof/>
          <w:color w:val="000000"/>
          <w:sz w:val="22"/>
          <w:szCs w:val="22"/>
        </w:rPr>
        <w:drawing>
          <wp:inline distT="0" distB="0" distL="0" distR="0" wp14:anchorId="25DB049C" wp14:editId="5E4CA9CA">
            <wp:extent cx="3965326" cy="3357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 Context 3.JPG"/>
                    <pic:cNvPicPr/>
                  </pic:nvPicPr>
                  <pic:blipFill>
                    <a:blip r:embed="rId14">
                      <a:extLst>
                        <a:ext uri="{28A0092B-C50C-407E-A947-70E740481C1C}">
                          <a14:useLocalDpi xmlns:a14="http://schemas.microsoft.com/office/drawing/2010/main" val="0"/>
                        </a:ext>
                      </a:extLst>
                    </a:blip>
                    <a:stretch>
                      <a:fillRect/>
                    </a:stretch>
                  </pic:blipFill>
                  <pic:spPr>
                    <a:xfrm>
                      <a:off x="0" y="0"/>
                      <a:ext cx="3995302" cy="3383059"/>
                    </a:xfrm>
                    <a:prstGeom prst="rect">
                      <a:avLst/>
                    </a:prstGeom>
                  </pic:spPr>
                </pic:pic>
              </a:graphicData>
            </a:graphic>
          </wp:inline>
        </w:drawing>
      </w:r>
    </w:p>
    <w:p w14:paraId="1A8CDB32" w14:textId="77777777" w:rsidR="00532D05" w:rsidRPr="00532D05" w:rsidRDefault="00532D05" w:rsidP="00532D05">
      <w:pPr>
        <w:rPr>
          <w:rFonts w:eastAsia="MS Mincho"/>
          <w:color w:val="000000"/>
          <w:sz w:val="22"/>
          <w:szCs w:val="22"/>
          <w:lang w:val="en-CA"/>
        </w:rPr>
      </w:pPr>
    </w:p>
    <w:p w14:paraId="28C1D7B8" w14:textId="682DAB73" w:rsidR="00532D05" w:rsidRDefault="00532D05" w:rsidP="00CF4E1F">
      <w:pPr>
        <w:pStyle w:val="ExhibitText"/>
        <w:jc w:val="center"/>
        <w:rPr>
          <w:rFonts w:eastAsia="MS Mincho"/>
          <w:lang w:val="en-CA"/>
        </w:rPr>
      </w:pPr>
      <w:r w:rsidRPr="00532D05">
        <w:rPr>
          <w:rFonts w:eastAsia="MS Mincho"/>
          <w:noProof/>
        </w:rPr>
        <w:drawing>
          <wp:inline distT="0" distB="0" distL="0" distR="0" wp14:anchorId="225C6044" wp14:editId="3B173837">
            <wp:extent cx="4286809" cy="32684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Context_2.JPG"/>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323166" cy="3296177"/>
                    </a:xfrm>
                    <a:prstGeom prst="rect">
                      <a:avLst/>
                    </a:prstGeom>
                  </pic:spPr>
                </pic:pic>
              </a:graphicData>
            </a:graphic>
          </wp:inline>
        </w:drawing>
      </w:r>
    </w:p>
    <w:p w14:paraId="2F7D7D6B" w14:textId="77777777" w:rsidR="00CF4E1F" w:rsidRPr="00CF4E1F" w:rsidRDefault="00CF4E1F" w:rsidP="00CF4E1F">
      <w:pPr>
        <w:pStyle w:val="ExhibitText"/>
        <w:rPr>
          <w:rFonts w:eastAsia="MS Mincho"/>
        </w:rPr>
      </w:pPr>
    </w:p>
    <w:p w14:paraId="21989D1D" w14:textId="2C2683C6" w:rsidR="00186C44" w:rsidRDefault="00532D05" w:rsidP="008F508E">
      <w:pPr>
        <w:pStyle w:val="Footnote"/>
        <w:rPr>
          <w:rFonts w:eastAsia="MS Mincho"/>
          <w:lang w:val="en-CA"/>
        </w:rPr>
      </w:pPr>
      <w:r w:rsidRPr="00532D05">
        <w:rPr>
          <w:rFonts w:eastAsia="MS Mincho"/>
          <w:lang w:val="en-CA"/>
        </w:rPr>
        <w:t xml:space="preserve">Source: City of Calgary, </w:t>
      </w:r>
      <w:r w:rsidRPr="008F508E">
        <w:rPr>
          <w:rFonts w:eastAsia="MS Mincho"/>
          <w:i/>
          <w:lang w:val="en-CA"/>
        </w:rPr>
        <w:t>Report to the Calgary Planning Commission</w:t>
      </w:r>
      <w:r w:rsidR="00814768">
        <w:rPr>
          <w:rFonts w:eastAsia="MS Mincho"/>
          <w:lang w:val="en-CA"/>
        </w:rPr>
        <w:t>—</w:t>
      </w:r>
      <w:r w:rsidRPr="008F508E">
        <w:rPr>
          <w:rFonts w:eastAsia="MS Mincho"/>
          <w:i/>
          <w:lang w:val="en-CA"/>
        </w:rPr>
        <w:t>CPC2015-066</w:t>
      </w:r>
      <w:r w:rsidRPr="00532D05">
        <w:rPr>
          <w:rFonts w:eastAsia="MS Mincho"/>
          <w:lang w:val="en-CA"/>
        </w:rPr>
        <w:t xml:space="preserve">, </w:t>
      </w:r>
      <w:r w:rsidR="00814768">
        <w:rPr>
          <w:rFonts w:eastAsia="MS Mincho"/>
          <w:lang w:val="en-CA"/>
        </w:rPr>
        <w:t xml:space="preserve">2015, </w:t>
      </w:r>
      <w:r w:rsidRPr="00532D05">
        <w:rPr>
          <w:rFonts w:eastAsia="MS Mincho"/>
          <w:lang w:val="en-CA"/>
        </w:rPr>
        <w:t>accessed November 15, 2017</w:t>
      </w:r>
      <w:r w:rsidR="006E2780">
        <w:rPr>
          <w:rFonts w:eastAsia="MS Mincho"/>
          <w:lang w:val="en-CA"/>
        </w:rPr>
        <w:t>,</w:t>
      </w:r>
      <w:r w:rsidRPr="00532D05">
        <w:rPr>
          <w:rFonts w:eastAsia="MS Mincho"/>
          <w:lang w:val="en-CA"/>
        </w:rPr>
        <w:t xml:space="preserve"> </w:t>
      </w:r>
      <w:r w:rsidR="00EC11FB" w:rsidRPr="00EC11FB">
        <w:rPr>
          <w:rFonts w:eastAsia="MS Mincho"/>
          <w:lang w:val="en-CA"/>
        </w:rPr>
        <w:t>http://publicaccess.calgary.ca/searchCCProc/index.htm</w:t>
      </w:r>
      <w:r w:rsidR="00D8143B">
        <w:rPr>
          <w:rFonts w:eastAsia="MS Mincho"/>
          <w:lang w:val="en-CA"/>
        </w:rPr>
        <w:t>.</w:t>
      </w:r>
    </w:p>
    <w:p w14:paraId="313C14B7" w14:textId="77777777" w:rsidR="00EC11FB" w:rsidRDefault="00EC11FB" w:rsidP="008F508E">
      <w:pPr>
        <w:pStyle w:val="Footnote"/>
        <w:rPr>
          <w:rFonts w:eastAsia="MS Mincho"/>
          <w:lang w:val="en-CA"/>
        </w:rPr>
      </w:pPr>
    </w:p>
    <w:p w14:paraId="6F729D41" w14:textId="5C9A08FC" w:rsidR="00D8143B" w:rsidRDefault="00D8143B">
      <w:pPr>
        <w:spacing w:after="200" w:line="276" w:lineRule="auto"/>
        <w:rPr>
          <w:rFonts w:ascii="Arial" w:eastAsia="MS Mincho" w:hAnsi="Arial" w:cs="Arial"/>
          <w:sz w:val="17"/>
          <w:szCs w:val="17"/>
          <w:lang w:val="en-CA"/>
        </w:rPr>
      </w:pPr>
      <w:r>
        <w:rPr>
          <w:rFonts w:eastAsia="MS Mincho"/>
          <w:lang w:val="en-CA"/>
        </w:rPr>
        <w:br w:type="page"/>
      </w:r>
    </w:p>
    <w:p w14:paraId="1B07AE3E" w14:textId="77777777" w:rsidR="00532D05" w:rsidRPr="00532D05" w:rsidRDefault="00532D05" w:rsidP="00CF4E1F">
      <w:pPr>
        <w:pStyle w:val="ExhibitHeading"/>
        <w:rPr>
          <w:rFonts w:eastAsia="MS Mincho"/>
          <w:lang w:val="en-CA"/>
        </w:rPr>
      </w:pPr>
      <w:r w:rsidRPr="00532D05">
        <w:rPr>
          <w:rFonts w:eastAsia="MS Mincho"/>
          <w:lang w:val="en-CA"/>
        </w:rPr>
        <w:lastRenderedPageBreak/>
        <w:t xml:space="preserve">EXHIBIT 3: EAST VILLAGE LAND USE DISTRICTS/ZONES </w:t>
      </w:r>
    </w:p>
    <w:p w14:paraId="10B43C18" w14:textId="77777777" w:rsidR="00532D05" w:rsidRPr="00532D05" w:rsidRDefault="00532D05" w:rsidP="00CF4E1F">
      <w:pPr>
        <w:pStyle w:val="ExhibitText"/>
        <w:rPr>
          <w:rFonts w:eastAsia="MS Mincho"/>
          <w:lang w:val="en-CA"/>
        </w:rPr>
      </w:pPr>
    </w:p>
    <w:p w14:paraId="6D7227B4" w14:textId="77777777" w:rsidR="00532D05" w:rsidRPr="00E91512" w:rsidRDefault="00532D05" w:rsidP="00E91512">
      <w:pPr>
        <w:pStyle w:val="ExhibitText"/>
        <w:rPr>
          <w:b/>
        </w:rPr>
      </w:pPr>
      <w:r w:rsidRPr="00E91512">
        <w:rPr>
          <w:b/>
        </w:rPr>
        <w:t>CC-EIR</w:t>
      </w:r>
    </w:p>
    <w:p w14:paraId="4F6A0D11" w14:textId="77777777" w:rsidR="00E91512" w:rsidRPr="00E91512" w:rsidRDefault="00532D05" w:rsidP="00E91512">
      <w:pPr>
        <w:pStyle w:val="ExhibitText"/>
        <w:rPr>
          <w:b/>
        </w:rPr>
      </w:pPr>
      <w:r w:rsidRPr="00E91512">
        <w:rPr>
          <w:b/>
          <w:bdr w:val="none" w:sz="0" w:space="0" w:color="auto" w:frame="1"/>
        </w:rPr>
        <w:t>Centre City East Village Integrated Residential District (CC-EIR)</w:t>
      </w:r>
    </w:p>
    <w:p w14:paraId="32841593" w14:textId="77777777" w:rsidR="00532D05" w:rsidRPr="00532D05" w:rsidRDefault="00532D05" w:rsidP="00E91512">
      <w:pPr>
        <w:pStyle w:val="ExhibitText"/>
        <w:rPr>
          <w:bdr w:val="none" w:sz="0" w:space="0" w:color="auto" w:frame="1"/>
        </w:rPr>
      </w:pPr>
      <w:r w:rsidRPr="00532D05">
        <w:t>The CC-EIR designation is for intensive residential development integrated with a broad range of support commercial uses in the East Village area. </w:t>
      </w:r>
      <w:r w:rsidRPr="00532D05">
        <w:rPr>
          <w:bdr w:val="none" w:sz="0" w:space="0" w:color="auto" w:frame="1"/>
        </w:rPr>
        <w:t>Land Use Bylaw - CC-EIR</w:t>
      </w:r>
    </w:p>
    <w:p w14:paraId="103C7E6C" w14:textId="77777777" w:rsidR="00532D05" w:rsidRPr="00532D05" w:rsidRDefault="00532D05" w:rsidP="00E91512">
      <w:pPr>
        <w:pStyle w:val="ExhibitText"/>
      </w:pPr>
    </w:p>
    <w:p w14:paraId="7BCABCCA" w14:textId="77777777" w:rsidR="00532D05" w:rsidRPr="00E91512" w:rsidRDefault="00532D05" w:rsidP="00E91512">
      <w:pPr>
        <w:pStyle w:val="ExhibitText"/>
        <w:rPr>
          <w:b/>
        </w:rPr>
      </w:pPr>
      <w:r w:rsidRPr="00E91512">
        <w:rPr>
          <w:b/>
        </w:rPr>
        <w:t>CC-EMU</w:t>
      </w:r>
    </w:p>
    <w:p w14:paraId="2BB97D22" w14:textId="77777777" w:rsidR="00E91512" w:rsidRPr="00E91512" w:rsidRDefault="00532D05" w:rsidP="00E91512">
      <w:pPr>
        <w:pStyle w:val="ExhibitText"/>
        <w:rPr>
          <w:b/>
        </w:rPr>
      </w:pPr>
      <w:r w:rsidRPr="00E91512">
        <w:rPr>
          <w:b/>
          <w:bdr w:val="none" w:sz="0" w:space="0" w:color="auto" w:frame="1"/>
        </w:rPr>
        <w:t>Centre City East Village Mixed Use District (CC-EMU)</w:t>
      </w:r>
    </w:p>
    <w:p w14:paraId="06023CA0" w14:textId="77777777" w:rsidR="00532D05" w:rsidRPr="00532D05" w:rsidRDefault="00532D05" w:rsidP="00E91512">
      <w:pPr>
        <w:pStyle w:val="ExhibitText"/>
        <w:rPr>
          <w:bdr w:val="none" w:sz="0" w:space="0" w:color="auto" w:frame="1"/>
        </w:rPr>
      </w:pPr>
      <w:r w:rsidRPr="00532D05">
        <w:t>The CC-EMU designation is for a mix of commercial and residential uses in mid- and high-rise buildings in the East Village area. </w:t>
      </w:r>
      <w:r w:rsidRPr="00532D05">
        <w:rPr>
          <w:bdr w:val="none" w:sz="0" w:space="0" w:color="auto" w:frame="1"/>
        </w:rPr>
        <w:t>Land Use Bylaw - CC-EMU</w:t>
      </w:r>
    </w:p>
    <w:p w14:paraId="1EDC6D3D" w14:textId="77777777" w:rsidR="00532D05" w:rsidRPr="00532D05" w:rsidRDefault="00532D05" w:rsidP="00E91512">
      <w:pPr>
        <w:pStyle w:val="ExhibitText"/>
      </w:pPr>
    </w:p>
    <w:p w14:paraId="09578FF6" w14:textId="77777777" w:rsidR="00532D05" w:rsidRPr="00E91512" w:rsidRDefault="00532D05" w:rsidP="00E91512">
      <w:pPr>
        <w:pStyle w:val="ExhibitText"/>
        <w:rPr>
          <w:b/>
        </w:rPr>
      </w:pPr>
      <w:r w:rsidRPr="00E91512">
        <w:rPr>
          <w:b/>
        </w:rPr>
        <w:t>CC-EPR</w:t>
      </w:r>
    </w:p>
    <w:p w14:paraId="7F3A78D3" w14:textId="77777777" w:rsidR="00E91512" w:rsidRPr="00E91512" w:rsidRDefault="00532D05" w:rsidP="00E91512">
      <w:pPr>
        <w:pStyle w:val="ExhibitText"/>
        <w:rPr>
          <w:b/>
        </w:rPr>
      </w:pPr>
      <w:r w:rsidRPr="00E91512">
        <w:rPr>
          <w:b/>
          <w:bdr w:val="none" w:sz="0" w:space="0" w:color="auto" w:frame="1"/>
        </w:rPr>
        <w:t>Centre City East Village Primarily Residential District (CC-EPR)</w:t>
      </w:r>
    </w:p>
    <w:p w14:paraId="013A3A28" w14:textId="77777777" w:rsidR="00532D05" w:rsidRPr="00532D05" w:rsidRDefault="00532D05" w:rsidP="00E91512">
      <w:pPr>
        <w:pStyle w:val="ExhibitText"/>
        <w:rPr>
          <w:bdr w:val="none" w:sz="0" w:space="0" w:color="auto" w:frame="1"/>
        </w:rPr>
      </w:pPr>
      <w:r w:rsidRPr="00532D05">
        <w:t>The CC-EPR designation is for intensive residential development with some support commercial uses in the East Village area. </w:t>
      </w:r>
      <w:r w:rsidRPr="00532D05">
        <w:rPr>
          <w:bdr w:val="none" w:sz="0" w:space="0" w:color="auto" w:frame="1"/>
        </w:rPr>
        <w:t>Land Use Bylaw - CC-EPR</w:t>
      </w:r>
    </w:p>
    <w:p w14:paraId="31D5BB9E" w14:textId="77777777" w:rsidR="00532D05" w:rsidRPr="00532D05" w:rsidRDefault="00532D05" w:rsidP="00E91512">
      <w:pPr>
        <w:pStyle w:val="ExhibitText"/>
      </w:pPr>
    </w:p>
    <w:p w14:paraId="6F8B60E2" w14:textId="77777777" w:rsidR="00532D05" w:rsidRPr="00E91512" w:rsidRDefault="00532D05" w:rsidP="00E91512">
      <w:pPr>
        <w:pStyle w:val="ExhibitText"/>
        <w:rPr>
          <w:b/>
        </w:rPr>
      </w:pPr>
      <w:r w:rsidRPr="00E91512">
        <w:rPr>
          <w:b/>
        </w:rPr>
        <w:t>CC-ER</w:t>
      </w:r>
    </w:p>
    <w:p w14:paraId="5110A431" w14:textId="77777777" w:rsidR="00E91512" w:rsidRPr="00E91512" w:rsidRDefault="00532D05" w:rsidP="00E91512">
      <w:pPr>
        <w:pStyle w:val="ExhibitText"/>
        <w:rPr>
          <w:b/>
        </w:rPr>
      </w:pPr>
      <w:r w:rsidRPr="00E91512">
        <w:rPr>
          <w:b/>
          <w:bdr w:val="none" w:sz="0" w:space="0" w:color="auto" w:frame="1"/>
        </w:rPr>
        <w:t>Centre City East Village Recreational District (CC-ER)</w:t>
      </w:r>
    </w:p>
    <w:p w14:paraId="0677C532" w14:textId="77777777" w:rsidR="00532D05" w:rsidRPr="00532D05" w:rsidRDefault="00532D05" w:rsidP="00E91512">
      <w:pPr>
        <w:pStyle w:val="ExhibitText"/>
        <w:rPr>
          <w:bdr w:val="none" w:sz="0" w:space="0" w:color="auto" w:frame="1"/>
        </w:rPr>
      </w:pPr>
      <w:r w:rsidRPr="00532D05">
        <w:t>The CC-ER designation is intended for public plazas next to the Bow River in the East Village area. </w:t>
      </w:r>
      <w:r w:rsidRPr="00532D05">
        <w:rPr>
          <w:bdr w:val="none" w:sz="0" w:space="0" w:color="auto" w:frame="1"/>
        </w:rPr>
        <w:t>Land Use Bylaw - CC-ER</w:t>
      </w:r>
    </w:p>
    <w:p w14:paraId="3BD4B707" w14:textId="77777777" w:rsidR="00532D05" w:rsidRPr="00532D05" w:rsidRDefault="00532D05" w:rsidP="00E91512">
      <w:pPr>
        <w:pStyle w:val="ExhibitText"/>
      </w:pPr>
    </w:p>
    <w:p w14:paraId="6A7E534B" w14:textId="77777777" w:rsidR="00532D05" w:rsidRPr="00E91512" w:rsidRDefault="00532D05" w:rsidP="00E91512">
      <w:pPr>
        <w:pStyle w:val="ExhibitText"/>
        <w:rPr>
          <w:b/>
        </w:rPr>
      </w:pPr>
      <w:r w:rsidRPr="00E91512">
        <w:rPr>
          <w:b/>
        </w:rPr>
        <w:t>CC-ERR</w:t>
      </w:r>
    </w:p>
    <w:p w14:paraId="0B4E5697" w14:textId="77777777" w:rsidR="00E91512" w:rsidRPr="00E91512" w:rsidRDefault="00532D05" w:rsidP="00E91512">
      <w:pPr>
        <w:pStyle w:val="ExhibitText"/>
        <w:rPr>
          <w:b/>
        </w:rPr>
      </w:pPr>
      <w:r w:rsidRPr="00E91512">
        <w:rPr>
          <w:b/>
          <w:bdr w:val="none" w:sz="0" w:space="0" w:color="auto" w:frame="1"/>
        </w:rPr>
        <w:t>Centre City East Village River Residential District (CC-ERR)</w:t>
      </w:r>
    </w:p>
    <w:p w14:paraId="575C9960" w14:textId="77777777" w:rsidR="00532D05" w:rsidRPr="00532D05" w:rsidRDefault="00532D05" w:rsidP="00E91512">
      <w:pPr>
        <w:pStyle w:val="ExhibitText"/>
        <w:rPr>
          <w:bdr w:val="none" w:sz="0" w:space="0" w:color="auto" w:frame="1"/>
        </w:rPr>
      </w:pPr>
      <w:r w:rsidRPr="00532D05">
        <w:t>The CC-ERR designation is for intensive residential development with ground floor commercial on sites strategically located with riverfront views in the East Village area. </w:t>
      </w:r>
      <w:r w:rsidRPr="00532D05">
        <w:rPr>
          <w:bdr w:val="none" w:sz="0" w:space="0" w:color="auto" w:frame="1"/>
        </w:rPr>
        <w:t>Land Use Bylaw - CC-ERR</w:t>
      </w:r>
    </w:p>
    <w:p w14:paraId="1674CC66" w14:textId="77777777" w:rsidR="00532D05" w:rsidRPr="00532D05" w:rsidRDefault="00532D05" w:rsidP="00E91512">
      <w:pPr>
        <w:pStyle w:val="ExhibitText"/>
      </w:pPr>
    </w:p>
    <w:p w14:paraId="19D21456" w14:textId="77777777" w:rsidR="00532D05" w:rsidRPr="00E91512" w:rsidRDefault="00532D05" w:rsidP="00E91512">
      <w:pPr>
        <w:pStyle w:val="ExhibitText"/>
        <w:rPr>
          <w:b/>
        </w:rPr>
      </w:pPr>
      <w:r w:rsidRPr="00E91512">
        <w:rPr>
          <w:b/>
        </w:rPr>
        <w:t>CC-ET</w:t>
      </w:r>
    </w:p>
    <w:p w14:paraId="2B62F252" w14:textId="77777777" w:rsidR="00E91512" w:rsidRPr="00E91512" w:rsidRDefault="00532D05" w:rsidP="00E91512">
      <w:pPr>
        <w:pStyle w:val="ExhibitText"/>
        <w:rPr>
          <w:b/>
        </w:rPr>
      </w:pPr>
      <w:r w:rsidRPr="00E91512">
        <w:rPr>
          <w:b/>
          <w:bdr w:val="none" w:sz="0" w:space="0" w:color="auto" w:frame="1"/>
        </w:rPr>
        <w:t>Centre City East Village Transition District (CC-ET)</w:t>
      </w:r>
    </w:p>
    <w:p w14:paraId="0DF70DC8" w14:textId="6188BB78" w:rsidR="00532D05" w:rsidRPr="00532D05" w:rsidRDefault="00532D05" w:rsidP="00E91512">
      <w:pPr>
        <w:pStyle w:val="ExhibitText"/>
        <w:rPr>
          <w:bdr w:val="none" w:sz="0" w:space="0" w:color="auto" w:frame="1"/>
        </w:rPr>
      </w:pPr>
      <w:r w:rsidRPr="00532D05">
        <w:t>The CC-ET designation is for a mix of commercial, residential</w:t>
      </w:r>
      <w:r w:rsidR="00D9323E">
        <w:t>,</w:t>
      </w:r>
      <w:r w:rsidRPr="00532D05">
        <w:t xml:space="preserve"> and institutional uses that provide an appropriate transition between the higher density downtown core and the more residential East Village. </w:t>
      </w:r>
      <w:r w:rsidRPr="00532D05">
        <w:rPr>
          <w:bdr w:val="none" w:sz="0" w:space="0" w:color="auto" w:frame="1"/>
        </w:rPr>
        <w:t>Land Use Bylaw - CC-ET</w:t>
      </w:r>
    </w:p>
    <w:p w14:paraId="59D86AE6" w14:textId="77777777" w:rsidR="00532D05" w:rsidRPr="00532D05" w:rsidRDefault="00532D05" w:rsidP="00E91512">
      <w:pPr>
        <w:pStyle w:val="ExhibitText"/>
      </w:pPr>
    </w:p>
    <w:p w14:paraId="5E89F110" w14:textId="77777777" w:rsidR="00532D05" w:rsidRPr="00E91512" w:rsidRDefault="00532D05" w:rsidP="00E91512">
      <w:pPr>
        <w:pStyle w:val="ExhibitText"/>
        <w:rPr>
          <w:rFonts w:eastAsia="MS Gothic"/>
          <w:b/>
          <w:lang w:val="en-CA"/>
        </w:rPr>
      </w:pPr>
      <w:r w:rsidRPr="00E91512">
        <w:rPr>
          <w:rFonts w:eastAsia="MS Gothic"/>
          <w:b/>
          <w:lang w:val="en-CA"/>
        </w:rPr>
        <w:t>DC</w:t>
      </w:r>
    </w:p>
    <w:p w14:paraId="6CF1E826" w14:textId="77777777" w:rsidR="00E91512" w:rsidRPr="00E91512" w:rsidRDefault="00532D05" w:rsidP="00E91512">
      <w:pPr>
        <w:pStyle w:val="ExhibitText"/>
        <w:rPr>
          <w:b/>
        </w:rPr>
      </w:pPr>
      <w:r w:rsidRPr="00E91512">
        <w:rPr>
          <w:b/>
          <w:bdr w:val="none" w:sz="0" w:space="0" w:color="auto" w:frame="1"/>
        </w:rPr>
        <w:t>Direct Control District, (DC)</w:t>
      </w:r>
    </w:p>
    <w:p w14:paraId="1763E4E1" w14:textId="08CB00DF" w:rsidR="00532D05" w:rsidRPr="00532D05" w:rsidRDefault="00532D05" w:rsidP="00E91512">
      <w:pPr>
        <w:pStyle w:val="ExhibitText"/>
        <w:rPr>
          <w:u w:val="single"/>
          <w:bdr w:val="none" w:sz="0" w:space="0" w:color="auto" w:frame="1"/>
        </w:rPr>
      </w:pPr>
      <w:r w:rsidRPr="00532D05">
        <w:t>A Direct Control (DC) is a customized land use designation. It has a list of allowable uses and a set of rules specific to a particular property or development. Most DC designations include a cross-reference to the rules of one of the standard designati</w:t>
      </w:r>
      <w:r w:rsidR="00D8143B">
        <w:t>ons of the Land Use Bylaw (</w:t>
      </w:r>
      <w:r w:rsidRPr="00532D05">
        <w:t>R-1, R-2, I-G, etc.). </w:t>
      </w:r>
      <w:r w:rsidRPr="00532D05">
        <w:rPr>
          <w:bdr w:val="none" w:sz="0" w:space="0" w:color="auto" w:frame="1"/>
        </w:rPr>
        <w:t>Land Use Bylaw</w:t>
      </w:r>
      <w:r w:rsidR="00D8143B">
        <w:rPr>
          <w:bdr w:val="none" w:sz="0" w:space="0" w:color="auto" w:frame="1"/>
        </w:rPr>
        <w:t> </w:t>
      </w:r>
      <w:r w:rsidRPr="00532D05">
        <w:rPr>
          <w:bdr w:val="none" w:sz="0" w:space="0" w:color="auto" w:frame="1"/>
        </w:rPr>
        <w:t>-</w:t>
      </w:r>
      <w:r w:rsidR="00D8143B">
        <w:rPr>
          <w:bdr w:val="none" w:sz="0" w:space="0" w:color="auto" w:frame="1"/>
        </w:rPr>
        <w:t> </w:t>
      </w:r>
      <w:r w:rsidRPr="00532D05">
        <w:rPr>
          <w:bdr w:val="none" w:sz="0" w:space="0" w:color="auto" w:frame="1"/>
        </w:rPr>
        <w:t>DC</w:t>
      </w:r>
    </w:p>
    <w:p w14:paraId="6E5054F1" w14:textId="77777777" w:rsidR="00532D05" w:rsidRPr="00532D05" w:rsidRDefault="00532D05" w:rsidP="00532D05">
      <w:pPr>
        <w:shd w:val="clear" w:color="auto" w:fill="FFFFFF"/>
        <w:rPr>
          <w:sz w:val="24"/>
          <w:szCs w:val="24"/>
          <w:u w:val="single"/>
          <w:bdr w:val="none" w:sz="0" w:space="0" w:color="auto" w:frame="1"/>
        </w:rPr>
      </w:pPr>
    </w:p>
    <w:p w14:paraId="1AD78D27" w14:textId="4F3EEDE0" w:rsidR="00465348" w:rsidRPr="009C2666" w:rsidRDefault="00532D05" w:rsidP="00E91512">
      <w:pPr>
        <w:pStyle w:val="Footnote"/>
      </w:pPr>
      <w:r w:rsidRPr="00532D05">
        <w:rPr>
          <w:rFonts w:eastAsia="MS Mincho"/>
          <w:bdr w:val="none" w:sz="0" w:space="0" w:color="auto" w:frame="1"/>
          <w:lang w:val="en-CA"/>
        </w:rPr>
        <w:t xml:space="preserve">Source: </w:t>
      </w:r>
      <w:r w:rsidR="00186C44">
        <w:rPr>
          <w:rFonts w:eastAsia="MS Mincho"/>
          <w:bdr w:val="none" w:sz="0" w:space="0" w:color="auto" w:frame="1"/>
          <w:lang w:val="en-CA"/>
        </w:rPr>
        <w:t>“</w:t>
      </w:r>
      <w:r w:rsidRPr="00532D05">
        <w:rPr>
          <w:rFonts w:eastAsia="MS Mincho"/>
          <w:bdr w:val="none" w:sz="0" w:space="0" w:color="auto" w:frame="1"/>
          <w:lang w:val="en-CA"/>
        </w:rPr>
        <w:t xml:space="preserve">Land </w:t>
      </w:r>
      <w:r w:rsidR="00186C44">
        <w:rPr>
          <w:rFonts w:eastAsia="MS Mincho"/>
          <w:bdr w:val="none" w:sz="0" w:space="0" w:color="auto" w:frame="1"/>
          <w:lang w:val="en-CA"/>
        </w:rPr>
        <w:t>U</w:t>
      </w:r>
      <w:r w:rsidRPr="00532D05">
        <w:rPr>
          <w:rFonts w:eastAsia="MS Mincho"/>
          <w:bdr w:val="none" w:sz="0" w:space="0" w:color="auto" w:frame="1"/>
          <w:lang w:val="en-CA"/>
        </w:rPr>
        <w:t xml:space="preserve">se </w:t>
      </w:r>
      <w:r w:rsidR="00186C44">
        <w:rPr>
          <w:rFonts w:eastAsia="MS Mincho"/>
          <w:bdr w:val="none" w:sz="0" w:space="0" w:color="auto" w:frame="1"/>
          <w:lang w:val="en-CA"/>
        </w:rPr>
        <w:t>D</w:t>
      </w:r>
      <w:r w:rsidRPr="00532D05">
        <w:rPr>
          <w:rFonts w:eastAsia="MS Mincho"/>
          <w:bdr w:val="none" w:sz="0" w:space="0" w:color="auto" w:frame="1"/>
          <w:lang w:val="en-CA"/>
        </w:rPr>
        <w:t>istricts/</w:t>
      </w:r>
      <w:r w:rsidR="00186C44">
        <w:rPr>
          <w:rFonts w:eastAsia="MS Mincho"/>
          <w:bdr w:val="none" w:sz="0" w:space="0" w:color="auto" w:frame="1"/>
          <w:lang w:val="en-CA"/>
        </w:rPr>
        <w:t>Z</w:t>
      </w:r>
      <w:r w:rsidRPr="00532D05">
        <w:rPr>
          <w:rFonts w:eastAsia="MS Mincho"/>
          <w:bdr w:val="none" w:sz="0" w:space="0" w:color="auto" w:frame="1"/>
          <w:lang w:val="en-CA"/>
        </w:rPr>
        <w:t>ones,</w:t>
      </w:r>
      <w:r w:rsidR="00186C44">
        <w:rPr>
          <w:rFonts w:eastAsia="MS Mincho"/>
          <w:bdr w:val="none" w:sz="0" w:space="0" w:color="auto" w:frame="1"/>
          <w:lang w:val="en-CA"/>
        </w:rPr>
        <w:t>” City of Calgary website,</w:t>
      </w:r>
      <w:r w:rsidRPr="00532D05">
        <w:rPr>
          <w:rFonts w:eastAsia="MS Mincho"/>
          <w:bdr w:val="none" w:sz="0" w:space="0" w:color="auto" w:frame="1"/>
          <w:lang w:val="en-CA"/>
        </w:rPr>
        <w:t xml:space="preserve"> </w:t>
      </w:r>
      <w:r w:rsidR="00186C44">
        <w:rPr>
          <w:rFonts w:eastAsia="MS Mincho"/>
          <w:bdr w:val="none" w:sz="0" w:space="0" w:color="auto" w:frame="1"/>
          <w:lang w:val="en-CA"/>
        </w:rPr>
        <w:t xml:space="preserve">2017, </w:t>
      </w:r>
      <w:r w:rsidRPr="00532D05">
        <w:rPr>
          <w:rFonts w:eastAsia="MS Mincho"/>
          <w:bdr w:val="none" w:sz="0" w:space="0" w:color="auto" w:frame="1"/>
          <w:lang w:val="en-CA"/>
        </w:rPr>
        <w:t>accessed November 15, 2017</w:t>
      </w:r>
      <w:r w:rsidR="00373D2A">
        <w:rPr>
          <w:rFonts w:eastAsia="MS Mincho"/>
          <w:bdr w:val="none" w:sz="0" w:space="0" w:color="auto" w:frame="1"/>
          <w:lang w:val="en-CA"/>
        </w:rPr>
        <w:t xml:space="preserve">, </w:t>
      </w:r>
      <w:r w:rsidR="00E91512" w:rsidRPr="00E91512">
        <w:rPr>
          <w:rFonts w:eastAsia="MS Mincho"/>
          <w:color w:val="000000"/>
          <w:bdr w:val="none" w:sz="0" w:space="0" w:color="auto" w:frame="1"/>
          <w:lang w:val="en-CA"/>
        </w:rPr>
        <w:t>www.calgary.ca/PDA/pd/Pages/Calgary-Land-Use-bylaw-1P2007/Land-Use-Bylaw-Land-Use-Districts.aspx</w:t>
      </w:r>
      <w:r w:rsidR="00E91512">
        <w:rPr>
          <w:rFonts w:eastAsia="MS Mincho"/>
          <w:bdr w:val="none" w:sz="0" w:space="0" w:color="auto" w:frame="1"/>
          <w:lang w:val="en-CA"/>
        </w:rPr>
        <w:t>.</w:t>
      </w:r>
    </w:p>
    <w:sectPr w:rsidR="00465348" w:rsidRPr="009C2666" w:rsidSect="00751E0B">
      <w:headerReference w:type="default" r:id="rId17"/>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E67E0" w14:textId="77777777" w:rsidR="006D7F2D" w:rsidRDefault="006D7F2D" w:rsidP="00D75295">
      <w:r>
        <w:separator/>
      </w:r>
    </w:p>
  </w:endnote>
  <w:endnote w:type="continuationSeparator" w:id="0">
    <w:p w14:paraId="022BECB2" w14:textId="77777777" w:rsidR="006D7F2D" w:rsidRDefault="006D7F2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13364" w14:textId="77777777" w:rsidR="006D7F2D" w:rsidRDefault="006D7F2D" w:rsidP="00D75295">
      <w:r>
        <w:separator/>
      </w:r>
    </w:p>
  </w:footnote>
  <w:footnote w:type="continuationSeparator" w:id="0">
    <w:p w14:paraId="30DE8ABE" w14:textId="77777777" w:rsidR="006D7F2D" w:rsidRDefault="006D7F2D" w:rsidP="00D75295">
      <w:r>
        <w:continuationSeparator/>
      </w:r>
    </w:p>
  </w:footnote>
  <w:footnote w:id="1">
    <w:p w14:paraId="0882DB8A" w14:textId="0F6B6C2B" w:rsidR="00930436" w:rsidRPr="00627D88" w:rsidRDefault="00930436" w:rsidP="00480CF5">
      <w:pPr>
        <w:pStyle w:val="Footnote"/>
      </w:pPr>
      <w:r>
        <w:rPr>
          <w:rStyle w:val="FootnoteReference"/>
        </w:rPr>
        <w:footnoteRef/>
      </w:r>
      <w:r>
        <w:t xml:space="preserve"> City of Calgary, </w:t>
      </w:r>
      <w:r w:rsidRPr="008F508E">
        <w:rPr>
          <w:i/>
        </w:rPr>
        <w:t>Municipal Development Plan</w:t>
      </w:r>
      <w:r>
        <w:t>, September 2009,</w:t>
      </w:r>
      <w:r w:rsidR="00B623FA">
        <w:t xml:space="preserve"> </w:t>
      </w:r>
      <w:r>
        <w:t>Section 5.2, page 5-5</w:t>
      </w:r>
      <w:r w:rsidR="00B623FA">
        <w:t>,</w:t>
      </w:r>
      <w:r>
        <w:t xml:space="preserve"> accessed November 15, 2017, </w:t>
      </w:r>
      <w:r w:rsidRPr="00627D88">
        <w:t>www.calgary.ca/PDA/pd/Documents/planning_policy_information/mdp-municipal-development-plan.pdf</w:t>
      </w:r>
      <w:r>
        <w:t>.</w:t>
      </w:r>
    </w:p>
  </w:footnote>
  <w:footnote w:id="2">
    <w:p w14:paraId="76E90BD5" w14:textId="75039BDC" w:rsidR="00930436" w:rsidRDefault="00930436">
      <w:pPr>
        <w:pStyle w:val="FootnoteText"/>
      </w:pPr>
      <w:r w:rsidRPr="00B70102">
        <w:rPr>
          <w:rStyle w:val="FootnoteChar"/>
          <w:vertAlign w:val="superscript"/>
        </w:rPr>
        <w:footnoteRef/>
      </w:r>
      <w:r w:rsidRPr="00B70102">
        <w:rPr>
          <w:vertAlign w:val="superscript"/>
        </w:rPr>
        <w:t xml:space="preserve"> </w:t>
      </w:r>
      <w:r w:rsidRPr="00615737">
        <w:rPr>
          <w:rFonts w:ascii="Arial" w:hAnsi="Arial" w:cs="Arial"/>
          <w:sz w:val="17"/>
          <w:szCs w:val="17"/>
        </w:rPr>
        <w:t>A “lock and go” package refer</w:t>
      </w:r>
      <w:r>
        <w:rPr>
          <w:rFonts w:ascii="Arial" w:hAnsi="Arial" w:cs="Arial"/>
          <w:sz w:val="17"/>
          <w:szCs w:val="17"/>
        </w:rPr>
        <w:t>red</w:t>
      </w:r>
      <w:r w:rsidRPr="00615737">
        <w:rPr>
          <w:rFonts w:ascii="Arial" w:hAnsi="Arial" w:cs="Arial"/>
          <w:sz w:val="17"/>
          <w:szCs w:val="17"/>
        </w:rPr>
        <w:t xml:space="preserve"> to a housing option</w:t>
      </w:r>
      <w:r>
        <w:rPr>
          <w:rFonts w:ascii="Arial" w:hAnsi="Arial" w:cs="Arial"/>
          <w:sz w:val="17"/>
          <w:szCs w:val="17"/>
        </w:rPr>
        <w:t xml:space="preserve"> (</w:t>
      </w:r>
      <w:r w:rsidRPr="00615737">
        <w:rPr>
          <w:rFonts w:ascii="Arial" w:hAnsi="Arial" w:cs="Arial"/>
          <w:sz w:val="17"/>
          <w:szCs w:val="17"/>
        </w:rPr>
        <w:t>often apartments, condo</w:t>
      </w:r>
      <w:r>
        <w:rPr>
          <w:rFonts w:ascii="Arial" w:hAnsi="Arial" w:cs="Arial"/>
          <w:sz w:val="17"/>
          <w:szCs w:val="17"/>
        </w:rPr>
        <w:t>minium</w:t>
      </w:r>
      <w:r w:rsidRPr="00615737">
        <w:rPr>
          <w:rFonts w:ascii="Arial" w:hAnsi="Arial" w:cs="Arial"/>
          <w:sz w:val="17"/>
          <w:szCs w:val="17"/>
        </w:rPr>
        <w:t>s</w:t>
      </w:r>
      <w:r>
        <w:rPr>
          <w:rFonts w:ascii="Arial" w:hAnsi="Arial" w:cs="Arial"/>
          <w:sz w:val="17"/>
          <w:szCs w:val="17"/>
        </w:rPr>
        <w:t>,</w:t>
      </w:r>
      <w:r w:rsidRPr="00615737">
        <w:rPr>
          <w:rFonts w:ascii="Arial" w:hAnsi="Arial" w:cs="Arial"/>
          <w:sz w:val="17"/>
          <w:szCs w:val="17"/>
        </w:rPr>
        <w:t xml:space="preserve"> or townhouses</w:t>
      </w:r>
      <w:r>
        <w:rPr>
          <w:rFonts w:ascii="Arial" w:hAnsi="Arial" w:cs="Arial"/>
          <w:sz w:val="17"/>
          <w:szCs w:val="17"/>
        </w:rPr>
        <w:t>)</w:t>
      </w:r>
      <w:r w:rsidRPr="00615737">
        <w:rPr>
          <w:rFonts w:ascii="Arial" w:hAnsi="Arial" w:cs="Arial"/>
          <w:sz w:val="17"/>
          <w:szCs w:val="17"/>
        </w:rPr>
        <w:t xml:space="preserve"> where there </w:t>
      </w:r>
      <w:r>
        <w:rPr>
          <w:rFonts w:ascii="Arial" w:hAnsi="Arial" w:cs="Arial"/>
          <w:sz w:val="17"/>
          <w:szCs w:val="17"/>
        </w:rPr>
        <w:t>wa</w:t>
      </w:r>
      <w:r w:rsidRPr="00615737">
        <w:rPr>
          <w:rFonts w:ascii="Arial" w:hAnsi="Arial" w:cs="Arial"/>
          <w:sz w:val="17"/>
          <w:szCs w:val="17"/>
        </w:rPr>
        <w:t>s little or no maintenance associated with ownership</w:t>
      </w:r>
      <w:r>
        <w:rPr>
          <w:rFonts w:ascii="Arial" w:hAnsi="Arial" w:cs="Arial"/>
          <w:sz w:val="17"/>
          <w:szCs w:val="17"/>
        </w:rPr>
        <w:t>,</w:t>
      </w:r>
      <w:r w:rsidRPr="00615737">
        <w:rPr>
          <w:rFonts w:ascii="Arial" w:hAnsi="Arial" w:cs="Arial"/>
          <w:sz w:val="17"/>
          <w:szCs w:val="17"/>
        </w:rPr>
        <w:t xml:space="preserve"> allowing people to simply lock the unit and leave </w:t>
      </w:r>
      <w:r>
        <w:rPr>
          <w:rFonts w:ascii="Arial" w:hAnsi="Arial" w:cs="Arial"/>
          <w:sz w:val="17"/>
          <w:szCs w:val="17"/>
        </w:rPr>
        <w:t xml:space="preserve">when they wanted to go away </w:t>
      </w:r>
      <w:r w:rsidRPr="00615737">
        <w:rPr>
          <w:rFonts w:ascii="Arial" w:hAnsi="Arial" w:cs="Arial"/>
          <w:sz w:val="17"/>
          <w:szCs w:val="17"/>
        </w:rPr>
        <w:t xml:space="preserve">without worrying about mowing </w:t>
      </w:r>
      <w:r>
        <w:rPr>
          <w:rFonts w:ascii="Arial" w:hAnsi="Arial" w:cs="Arial"/>
          <w:sz w:val="17"/>
          <w:szCs w:val="17"/>
        </w:rPr>
        <w:t>grass,</w:t>
      </w:r>
      <w:r w:rsidRPr="00615737">
        <w:rPr>
          <w:rFonts w:ascii="Arial" w:hAnsi="Arial" w:cs="Arial"/>
          <w:sz w:val="17"/>
          <w:szCs w:val="17"/>
        </w:rPr>
        <w:t xml:space="preserve"> </w:t>
      </w:r>
      <w:r w:rsidR="00D85BBE" w:rsidRPr="00615737">
        <w:rPr>
          <w:rFonts w:ascii="Arial" w:hAnsi="Arial" w:cs="Arial"/>
          <w:sz w:val="17"/>
          <w:szCs w:val="17"/>
        </w:rPr>
        <w:t>shove</w:t>
      </w:r>
      <w:r w:rsidR="00D85BBE">
        <w:rPr>
          <w:rFonts w:ascii="Arial" w:hAnsi="Arial" w:cs="Arial"/>
          <w:sz w:val="17"/>
          <w:szCs w:val="17"/>
        </w:rPr>
        <w:t>l</w:t>
      </w:r>
      <w:r w:rsidR="00D85BBE" w:rsidRPr="00615737">
        <w:rPr>
          <w:rFonts w:ascii="Arial" w:hAnsi="Arial" w:cs="Arial"/>
          <w:sz w:val="17"/>
          <w:szCs w:val="17"/>
        </w:rPr>
        <w:t>ing</w:t>
      </w:r>
      <w:r w:rsidRPr="00615737">
        <w:rPr>
          <w:rFonts w:ascii="Arial" w:hAnsi="Arial" w:cs="Arial"/>
          <w:sz w:val="17"/>
          <w:szCs w:val="17"/>
        </w:rPr>
        <w:t xml:space="preserve"> snow</w:t>
      </w:r>
      <w:r>
        <w:rPr>
          <w:rFonts w:ascii="Arial" w:hAnsi="Arial" w:cs="Arial"/>
          <w:sz w:val="17"/>
          <w:szCs w:val="17"/>
        </w:rPr>
        <w:t>, and so on</w:t>
      </w:r>
      <w:r w:rsidRPr="00615737">
        <w:rPr>
          <w:rFonts w:ascii="Arial" w:hAnsi="Arial" w:cs="Arial"/>
          <w:sz w:val="17"/>
          <w:szCs w:val="17"/>
        </w:rPr>
        <w:t>.</w:t>
      </w:r>
      <w:r>
        <w:t xml:space="preserve"> </w:t>
      </w:r>
    </w:p>
  </w:footnote>
  <w:footnote w:id="3">
    <w:p w14:paraId="18347813" w14:textId="2942D555" w:rsidR="00930436" w:rsidRPr="00746565" w:rsidRDefault="00930436" w:rsidP="00480CF5">
      <w:pPr>
        <w:pStyle w:val="Footnote"/>
      </w:pPr>
      <w:r>
        <w:rPr>
          <w:rStyle w:val="FootnoteReference"/>
        </w:rPr>
        <w:footnoteRef/>
      </w:r>
      <w:r>
        <w:t xml:space="preserve"> S. Michael Brooks, </w:t>
      </w:r>
      <w:r w:rsidRPr="001A5FE0">
        <w:rPr>
          <w:i/>
        </w:rPr>
        <w:t>Canadian Commercial Real Estate: Theory, Practice, Strategy</w:t>
      </w:r>
      <w:r>
        <w:t xml:space="preserve"> (Toronto, ON: </w:t>
      </w:r>
      <w:proofErr w:type="spellStart"/>
      <w:r>
        <w:t>RealPac</w:t>
      </w:r>
      <w:proofErr w:type="spellEnd"/>
      <w:r>
        <w:t>, 2016), 156.</w:t>
      </w:r>
    </w:p>
  </w:footnote>
  <w:footnote w:id="4">
    <w:p w14:paraId="7F3D033F" w14:textId="031F36E7" w:rsidR="00930436" w:rsidRPr="00615737" w:rsidRDefault="00930436">
      <w:pPr>
        <w:pStyle w:val="FootnoteText"/>
        <w:rPr>
          <w:rFonts w:ascii="Arial" w:hAnsi="Arial" w:cs="Arial"/>
          <w:sz w:val="17"/>
          <w:szCs w:val="17"/>
        </w:rPr>
      </w:pPr>
      <w:r w:rsidRPr="00615737">
        <w:rPr>
          <w:rStyle w:val="FootnoteReference"/>
          <w:rFonts w:ascii="Arial" w:hAnsi="Arial" w:cs="Arial"/>
          <w:sz w:val="17"/>
          <w:szCs w:val="17"/>
        </w:rPr>
        <w:footnoteRef/>
      </w:r>
      <w:r w:rsidRPr="00615737">
        <w:rPr>
          <w:rFonts w:ascii="Arial" w:hAnsi="Arial" w:cs="Arial"/>
          <w:sz w:val="17"/>
          <w:szCs w:val="17"/>
        </w:rPr>
        <w:t xml:space="preserve"> Appraisal </w:t>
      </w:r>
      <w:r w:rsidRPr="008F508E">
        <w:rPr>
          <w:rStyle w:val="FootnoteChar"/>
          <w:rFonts w:eastAsia="Calibri"/>
        </w:rPr>
        <w:t xml:space="preserve">Institute of Canada, “Chapter 12: Highest and Best Use Analysis,” </w:t>
      </w:r>
      <w:r w:rsidRPr="00B623FA">
        <w:rPr>
          <w:rStyle w:val="FootnoteChar"/>
          <w:rFonts w:eastAsia="Calibri"/>
          <w:i/>
        </w:rPr>
        <w:t>The Appraisal of Real Estate</w:t>
      </w:r>
      <w:r w:rsidRPr="008F508E">
        <w:rPr>
          <w:rStyle w:val="FootnoteChar"/>
          <w:rFonts w:eastAsia="Calibri"/>
        </w:rPr>
        <w:t xml:space="preserve"> (Vancouver, BC: UBC Real Estate Division, 2010),</w:t>
      </w:r>
      <w:r>
        <w:rPr>
          <w:rStyle w:val="FootnoteChar"/>
          <w:rFonts w:eastAsia="Calibri"/>
        </w:rPr>
        <w:t xml:space="preserve"> Section 12.1</w:t>
      </w:r>
      <w:r w:rsidR="00130F35">
        <w:rPr>
          <w:rStyle w:val="FootnoteChar"/>
          <w:rFonts w:eastAsia="Calibri"/>
        </w:rPr>
        <w:t>.</w:t>
      </w:r>
    </w:p>
  </w:footnote>
  <w:footnote w:id="5">
    <w:p w14:paraId="63E26F41" w14:textId="200CDAED" w:rsidR="00930436" w:rsidRDefault="00930436">
      <w:pPr>
        <w:pStyle w:val="FootnoteText"/>
      </w:pPr>
      <w:r w:rsidRPr="00B70102">
        <w:rPr>
          <w:rStyle w:val="FootnoteChar"/>
          <w:sz w:val="18"/>
          <w:vertAlign w:val="superscript"/>
        </w:rPr>
        <w:footnoteRef/>
      </w:r>
      <w:r>
        <w:t xml:space="preserve"> </w:t>
      </w:r>
      <w:r w:rsidRPr="00023BC1">
        <w:rPr>
          <w:rFonts w:ascii="Arial" w:hAnsi="Arial" w:cs="Arial"/>
          <w:sz w:val="17"/>
          <w:szCs w:val="17"/>
        </w:rPr>
        <w:t xml:space="preserve">All </w:t>
      </w:r>
      <w:r>
        <w:rPr>
          <w:rFonts w:ascii="Arial" w:hAnsi="Arial" w:cs="Arial"/>
          <w:sz w:val="17"/>
          <w:szCs w:val="17"/>
        </w:rPr>
        <w:t xml:space="preserve">currency </w:t>
      </w:r>
      <w:r w:rsidRPr="00023BC1">
        <w:rPr>
          <w:rFonts w:ascii="Arial" w:hAnsi="Arial" w:cs="Arial"/>
          <w:sz w:val="17"/>
          <w:szCs w:val="17"/>
        </w:rPr>
        <w:t xml:space="preserve">amounts are in </w:t>
      </w:r>
      <w:r>
        <w:rPr>
          <w:rFonts w:ascii="Arial" w:hAnsi="Arial" w:cs="Arial"/>
          <w:sz w:val="17"/>
          <w:szCs w:val="17"/>
        </w:rPr>
        <w:t xml:space="preserve">CA$ </w:t>
      </w:r>
      <w:r w:rsidRPr="00023BC1">
        <w:rPr>
          <w:rFonts w:ascii="Arial" w:hAnsi="Arial" w:cs="Arial"/>
          <w:sz w:val="17"/>
          <w:szCs w:val="17"/>
        </w:rPr>
        <w:t xml:space="preserve">unless otherwise </w:t>
      </w:r>
      <w:r>
        <w:rPr>
          <w:rFonts w:ascii="Arial" w:hAnsi="Arial" w:cs="Arial"/>
          <w:sz w:val="17"/>
          <w:szCs w:val="17"/>
        </w:rPr>
        <w:t xml:space="preserve">specified. </w:t>
      </w:r>
    </w:p>
  </w:footnote>
  <w:footnote w:id="6">
    <w:p w14:paraId="04872C96" w14:textId="2F796366" w:rsidR="00930436" w:rsidRPr="003F0C10" w:rsidRDefault="00930436" w:rsidP="00480CF5">
      <w:pPr>
        <w:pStyle w:val="Footnote"/>
      </w:pPr>
      <w:r>
        <w:rPr>
          <w:rStyle w:val="FootnoteReference"/>
        </w:rPr>
        <w:footnoteRef/>
      </w:r>
      <w:r>
        <w:t xml:space="preserve"> City of Calgary,</w:t>
      </w:r>
      <w:r w:rsidRPr="008F508E">
        <w:rPr>
          <w:i/>
        </w:rPr>
        <w:t xml:space="preserve"> Report to the Calgary Planning Commission</w:t>
      </w:r>
      <w:r w:rsidRPr="009404BC">
        <w:t>—</w:t>
      </w:r>
      <w:r w:rsidRPr="008F508E">
        <w:rPr>
          <w:i/>
        </w:rPr>
        <w:t>DP no: DP2010-4889</w:t>
      </w:r>
      <w:r>
        <w:t xml:space="preserve">, </w:t>
      </w:r>
      <w:r w:rsidR="00B623FA" w:rsidRPr="00D96293">
        <w:t>2011</w:t>
      </w:r>
      <w:r w:rsidR="00B623FA">
        <w:t>, 15–</w:t>
      </w:r>
      <w:r w:rsidR="005937C7">
        <w:t>16</w:t>
      </w:r>
      <w:r>
        <w:t xml:space="preserve">, </w:t>
      </w:r>
      <w:r w:rsidRPr="00D96293">
        <w:t>accessed April 20, 2018</w:t>
      </w:r>
      <w:r w:rsidR="005937C7" w:rsidRPr="00D96293">
        <w:rPr>
          <w:rFonts w:eastAsia="MS Mincho"/>
          <w:lang w:val="en-CA"/>
        </w:rPr>
        <w:t>,</w:t>
      </w:r>
      <w:r w:rsidR="00B623FA">
        <w:t xml:space="preserve"> </w:t>
      </w:r>
      <w:r w:rsidRPr="00D96293">
        <w:t>www.brentwoodcommunity.com/images/DP2010-4889_Report_to_Calg_Planning_Commissi</w:t>
      </w:r>
      <w:r w:rsidRPr="00FB06BF">
        <w:t>on.pdf</w:t>
      </w:r>
      <w:r w:rsidR="00B623FA">
        <w:t>.</w:t>
      </w:r>
      <w:r w:rsidRPr="00FB06BF" w:rsidDel="00FB06BF">
        <w:t xml:space="preserve"> </w:t>
      </w:r>
    </w:p>
  </w:footnote>
  <w:footnote w:id="7">
    <w:p w14:paraId="50C62C11" w14:textId="6D6830DF" w:rsidR="00930436" w:rsidRPr="009B0097" w:rsidRDefault="00930436" w:rsidP="007C1B1F">
      <w:pPr>
        <w:pStyle w:val="Footnote"/>
      </w:pPr>
      <w:r>
        <w:rPr>
          <w:rStyle w:val="FootnoteReference"/>
        </w:rPr>
        <w:footnoteRef/>
      </w:r>
      <w:r>
        <w:t xml:space="preserve"> Brooks, op. cit., 278.</w:t>
      </w:r>
    </w:p>
  </w:footnote>
  <w:footnote w:id="8">
    <w:p w14:paraId="2B4E889A" w14:textId="4C98C885" w:rsidR="00930436" w:rsidRDefault="00930436" w:rsidP="007C1B1F">
      <w:pPr>
        <w:pStyle w:val="Footnote"/>
      </w:pPr>
      <w:r>
        <w:rPr>
          <w:rStyle w:val="FootnoteReference"/>
        </w:rPr>
        <w:footnoteRef/>
      </w:r>
      <w:r>
        <w:t xml:space="preserve"> </w:t>
      </w:r>
      <w:r w:rsidR="005F155A">
        <w:t>“</w:t>
      </w:r>
      <w:r w:rsidR="00591E87">
        <w:t>Buyers L</w:t>
      </w:r>
      <w:r>
        <w:t>ine up for Calg</w:t>
      </w:r>
      <w:r w:rsidR="00591E87">
        <w:t>ary Condo P</w:t>
      </w:r>
      <w:r w:rsidR="00DA2B67">
        <w:t>roject</w:t>
      </w:r>
      <w:r w:rsidR="00591E87">
        <w:t>,</w:t>
      </w:r>
      <w:r w:rsidR="005F155A">
        <w:t>”</w:t>
      </w:r>
      <w:r w:rsidR="00DA2B67">
        <w:t xml:space="preserve"> </w:t>
      </w:r>
      <w:proofErr w:type="spellStart"/>
      <w:r w:rsidR="00591E87">
        <w:t>Belmor</w:t>
      </w:r>
      <w:proofErr w:type="spellEnd"/>
      <w:r w:rsidR="00591E87">
        <w:t xml:space="preserve"> Mortgage News, 2010, </w:t>
      </w:r>
      <w:r w:rsidR="00DA2B67">
        <w:t>accessed April 20, 2018,</w:t>
      </w:r>
      <w:r>
        <w:t xml:space="preserve"> </w:t>
      </w:r>
      <w:r w:rsidRPr="00930436">
        <w:t>http://belmormortgage.com/buyers-line-up-for-calgary-condo-project/</w:t>
      </w:r>
      <w:r w:rsidR="00591E87">
        <w:t>.</w:t>
      </w:r>
    </w:p>
  </w:footnote>
  <w:footnote w:id="9">
    <w:p w14:paraId="46232D88" w14:textId="5DE9B988" w:rsidR="00930436" w:rsidRPr="00FE38FA" w:rsidRDefault="00930436" w:rsidP="007C1B1F">
      <w:pPr>
        <w:pStyle w:val="Footnote"/>
      </w:pPr>
      <w:r>
        <w:rPr>
          <w:rStyle w:val="FootnoteReference"/>
        </w:rPr>
        <w:footnoteRef/>
      </w:r>
      <w:r w:rsidR="00591E87">
        <w:t xml:space="preserve"> Jason </w:t>
      </w:r>
      <w:proofErr w:type="spellStart"/>
      <w:r w:rsidR="00591E87">
        <w:t>Markusoff</w:t>
      </w:r>
      <w:proofErr w:type="spellEnd"/>
      <w:r w:rsidR="00591E87">
        <w:t>, “</w:t>
      </w:r>
      <w:r>
        <w:t xml:space="preserve">Protests </w:t>
      </w:r>
      <w:r w:rsidR="00591E87">
        <w:t>Stall Condo Project at LRT Stop,”</w:t>
      </w:r>
      <w:r>
        <w:t xml:space="preserve"> </w:t>
      </w:r>
      <w:r w:rsidRPr="00591E87">
        <w:rPr>
          <w:i/>
        </w:rPr>
        <w:t>Calgary Herald,</w:t>
      </w:r>
      <w:r>
        <w:t xml:space="preserve"> Aug. 10, 2011, accessed November 15, 2017, </w:t>
      </w:r>
      <w:r w:rsidRPr="00480365">
        <w:t>https://www.pressreader.com/canada/calgary-herald/20110810/292195216499967</w:t>
      </w:r>
      <w:r>
        <w:t>.</w:t>
      </w:r>
    </w:p>
  </w:footnote>
  <w:footnote w:id="10">
    <w:p w14:paraId="63DBDA6B" w14:textId="1F019175" w:rsidR="00930436" w:rsidRPr="003B27C0" w:rsidRDefault="00930436" w:rsidP="007C1B1F">
      <w:pPr>
        <w:pStyle w:val="Footnote"/>
      </w:pPr>
      <w:r w:rsidRPr="00E96597">
        <w:rPr>
          <w:rStyle w:val="FootnoteChar"/>
          <w:vertAlign w:val="superscript"/>
        </w:rPr>
        <w:footnoteRef/>
      </w:r>
      <w:r>
        <w:t xml:space="preserve"> The Government of Canada defined brownfields as follows: </w:t>
      </w:r>
      <w:r w:rsidRPr="00240349">
        <w:t>“</w:t>
      </w:r>
      <w:r w:rsidRPr="00240349">
        <w:rPr>
          <w:shd w:val="clear" w:color="auto" w:fill="F9F9F9"/>
        </w:rPr>
        <w:t>Brownfields are abandoned, idle or underutilized commercial or industrial properties where past actions have caused environmental contamination, but which still have potential for redevelopment or other economic opportunities.</w:t>
      </w:r>
      <w:r w:rsidRPr="008F508E">
        <w:t xml:space="preserve"> Brownfields </w:t>
      </w:r>
      <w:r w:rsidRPr="00DC0C18">
        <w:rPr>
          <w:shd w:val="clear" w:color="auto" w:fill="F9F9F9"/>
        </w:rPr>
        <w:t xml:space="preserve">are typically located </w:t>
      </w:r>
      <w:r w:rsidRPr="008F508E">
        <w:t>in urban areas.</w:t>
      </w:r>
      <w:r>
        <w:t>”</w:t>
      </w:r>
      <w:r w:rsidRPr="008F508E">
        <w:t xml:space="preserve"> </w:t>
      </w:r>
      <w:r>
        <w:t>(“</w:t>
      </w:r>
      <w:r w:rsidRPr="008F508E">
        <w:t>About Contamina</w:t>
      </w:r>
      <w:r>
        <w:t>t</w:t>
      </w:r>
      <w:r w:rsidRPr="008F508E">
        <w:t>ed Sites</w:t>
      </w:r>
      <w:r>
        <w:t>,”</w:t>
      </w:r>
      <w:r w:rsidRPr="008F508E">
        <w:t xml:space="preserve"> </w:t>
      </w:r>
      <w:r w:rsidRPr="002877E3">
        <w:t>Government of Canada</w:t>
      </w:r>
      <w:r>
        <w:t xml:space="preserve"> website</w:t>
      </w:r>
      <w:r w:rsidRPr="002877E3">
        <w:t>,</w:t>
      </w:r>
      <w:r>
        <w:t xml:space="preserve"> October 3, 2016, a</w:t>
      </w:r>
      <w:r w:rsidRPr="008F508E">
        <w:t>ccessed March 23, 2018, www.canada.ca/en/environment-climate-change/services/federal-contaminated-sites/about.html</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C216C" w14:textId="7845F43F" w:rsidR="00930436" w:rsidRPr="00C92CC4" w:rsidRDefault="0093043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C0957">
      <w:rPr>
        <w:rFonts w:ascii="Arial" w:hAnsi="Arial"/>
        <w:b/>
        <w:noProof/>
      </w:rPr>
      <w:t>9</w:t>
    </w:r>
    <w:r>
      <w:rPr>
        <w:rFonts w:ascii="Arial" w:hAnsi="Arial"/>
        <w:b/>
      </w:rPr>
      <w:fldChar w:fldCharType="end"/>
    </w:r>
    <w:r>
      <w:rPr>
        <w:rFonts w:ascii="Arial" w:hAnsi="Arial"/>
        <w:b/>
      </w:rPr>
      <w:tab/>
    </w:r>
    <w:r w:rsidR="007513B6">
      <w:rPr>
        <w:rFonts w:ascii="Arial" w:hAnsi="Arial"/>
        <w:b/>
      </w:rPr>
      <w:t>9B18M083</w:t>
    </w:r>
  </w:p>
  <w:p w14:paraId="52BB28EA" w14:textId="77777777" w:rsidR="00930436" w:rsidRDefault="00930436" w:rsidP="00D13667">
    <w:pPr>
      <w:pStyle w:val="Header"/>
      <w:tabs>
        <w:tab w:val="clear" w:pos="4680"/>
      </w:tabs>
      <w:rPr>
        <w:sz w:val="18"/>
        <w:szCs w:val="18"/>
      </w:rPr>
    </w:pPr>
  </w:p>
  <w:p w14:paraId="711D7C6F" w14:textId="77777777" w:rsidR="00930436" w:rsidRPr="00C92CC4" w:rsidRDefault="0093043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BCA"/>
    <w:rsid w:val="00007757"/>
    <w:rsid w:val="00013360"/>
    <w:rsid w:val="00014EF4"/>
    <w:rsid w:val="00016759"/>
    <w:rsid w:val="000216CE"/>
    <w:rsid w:val="00023BC1"/>
    <w:rsid w:val="00024ED4"/>
    <w:rsid w:val="00025DC7"/>
    <w:rsid w:val="00035F09"/>
    <w:rsid w:val="000415E8"/>
    <w:rsid w:val="000426F4"/>
    <w:rsid w:val="00044ECC"/>
    <w:rsid w:val="000531D3"/>
    <w:rsid w:val="0005646B"/>
    <w:rsid w:val="00061AE1"/>
    <w:rsid w:val="00065EF0"/>
    <w:rsid w:val="000739DC"/>
    <w:rsid w:val="0008102D"/>
    <w:rsid w:val="0008208C"/>
    <w:rsid w:val="00082270"/>
    <w:rsid w:val="0009247C"/>
    <w:rsid w:val="00092D76"/>
    <w:rsid w:val="00094C0E"/>
    <w:rsid w:val="000C4792"/>
    <w:rsid w:val="000D3813"/>
    <w:rsid w:val="000D4FE0"/>
    <w:rsid w:val="000D7091"/>
    <w:rsid w:val="000E0BB8"/>
    <w:rsid w:val="000F0C22"/>
    <w:rsid w:val="000F2157"/>
    <w:rsid w:val="000F6589"/>
    <w:rsid w:val="000F6B09"/>
    <w:rsid w:val="000F6FDC"/>
    <w:rsid w:val="00101E18"/>
    <w:rsid w:val="00104567"/>
    <w:rsid w:val="00104916"/>
    <w:rsid w:val="00104AA7"/>
    <w:rsid w:val="0011302D"/>
    <w:rsid w:val="00116107"/>
    <w:rsid w:val="00126789"/>
    <w:rsid w:val="0012732D"/>
    <w:rsid w:val="00130F35"/>
    <w:rsid w:val="0013502D"/>
    <w:rsid w:val="00143F25"/>
    <w:rsid w:val="001479CD"/>
    <w:rsid w:val="00152682"/>
    <w:rsid w:val="00154FC9"/>
    <w:rsid w:val="001627DA"/>
    <w:rsid w:val="0016292F"/>
    <w:rsid w:val="00186C44"/>
    <w:rsid w:val="0019241A"/>
    <w:rsid w:val="001A22D1"/>
    <w:rsid w:val="001A752D"/>
    <w:rsid w:val="001A757E"/>
    <w:rsid w:val="001B06EA"/>
    <w:rsid w:val="001B5032"/>
    <w:rsid w:val="001C7543"/>
    <w:rsid w:val="001C7777"/>
    <w:rsid w:val="001D1A01"/>
    <w:rsid w:val="001D6CBC"/>
    <w:rsid w:val="001E364F"/>
    <w:rsid w:val="001E4C28"/>
    <w:rsid w:val="001F4222"/>
    <w:rsid w:val="00203AA1"/>
    <w:rsid w:val="002116AA"/>
    <w:rsid w:val="00213E98"/>
    <w:rsid w:val="00215A87"/>
    <w:rsid w:val="0023081A"/>
    <w:rsid w:val="00233D48"/>
    <w:rsid w:val="00240349"/>
    <w:rsid w:val="0024409C"/>
    <w:rsid w:val="002557D4"/>
    <w:rsid w:val="00256A85"/>
    <w:rsid w:val="0026468D"/>
    <w:rsid w:val="00282D38"/>
    <w:rsid w:val="00292A30"/>
    <w:rsid w:val="002C2A22"/>
    <w:rsid w:val="002E01C1"/>
    <w:rsid w:val="002F460C"/>
    <w:rsid w:val="002F48D6"/>
    <w:rsid w:val="002F51BF"/>
    <w:rsid w:val="00316643"/>
    <w:rsid w:val="00317391"/>
    <w:rsid w:val="00320903"/>
    <w:rsid w:val="00321F72"/>
    <w:rsid w:val="00326216"/>
    <w:rsid w:val="003270F5"/>
    <w:rsid w:val="00336580"/>
    <w:rsid w:val="00342DFE"/>
    <w:rsid w:val="00344124"/>
    <w:rsid w:val="00354899"/>
    <w:rsid w:val="00355FD6"/>
    <w:rsid w:val="0035771C"/>
    <w:rsid w:val="003635B1"/>
    <w:rsid w:val="00364A5C"/>
    <w:rsid w:val="00365296"/>
    <w:rsid w:val="00367349"/>
    <w:rsid w:val="00370CEF"/>
    <w:rsid w:val="00373D2A"/>
    <w:rsid w:val="00373FB1"/>
    <w:rsid w:val="0038440F"/>
    <w:rsid w:val="0038572C"/>
    <w:rsid w:val="00394BB1"/>
    <w:rsid w:val="00396C76"/>
    <w:rsid w:val="003A2DEC"/>
    <w:rsid w:val="003B27C0"/>
    <w:rsid w:val="003B30D8"/>
    <w:rsid w:val="003B4BC8"/>
    <w:rsid w:val="003B7296"/>
    <w:rsid w:val="003B7EF2"/>
    <w:rsid w:val="003C3FA4"/>
    <w:rsid w:val="003D0BA1"/>
    <w:rsid w:val="003D50E5"/>
    <w:rsid w:val="003E45AD"/>
    <w:rsid w:val="003F071E"/>
    <w:rsid w:val="003F2B0C"/>
    <w:rsid w:val="00403384"/>
    <w:rsid w:val="00407758"/>
    <w:rsid w:val="004105B2"/>
    <w:rsid w:val="00412900"/>
    <w:rsid w:val="00414400"/>
    <w:rsid w:val="00415FA4"/>
    <w:rsid w:val="0042150B"/>
    <w:rsid w:val="004221E4"/>
    <w:rsid w:val="004273F8"/>
    <w:rsid w:val="00430B44"/>
    <w:rsid w:val="0043512F"/>
    <w:rsid w:val="004355A3"/>
    <w:rsid w:val="00446546"/>
    <w:rsid w:val="00452769"/>
    <w:rsid w:val="0045394E"/>
    <w:rsid w:val="00465348"/>
    <w:rsid w:val="00472A9B"/>
    <w:rsid w:val="00476648"/>
    <w:rsid w:val="00480CF5"/>
    <w:rsid w:val="00493D57"/>
    <w:rsid w:val="004A4E8C"/>
    <w:rsid w:val="004B1CCB"/>
    <w:rsid w:val="004B27FD"/>
    <w:rsid w:val="004B632F"/>
    <w:rsid w:val="004C38BE"/>
    <w:rsid w:val="004D3FB1"/>
    <w:rsid w:val="004D53CC"/>
    <w:rsid w:val="004D6F21"/>
    <w:rsid w:val="004D73A5"/>
    <w:rsid w:val="004F37CC"/>
    <w:rsid w:val="004F410C"/>
    <w:rsid w:val="004F7758"/>
    <w:rsid w:val="004F7F41"/>
    <w:rsid w:val="00506097"/>
    <w:rsid w:val="005160F1"/>
    <w:rsid w:val="00524F2F"/>
    <w:rsid w:val="00527E5C"/>
    <w:rsid w:val="0053258D"/>
    <w:rsid w:val="00532CF5"/>
    <w:rsid w:val="00532D05"/>
    <w:rsid w:val="00536211"/>
    <w:rsid w:val="00543246"/>
    <w:rsid w:val="00545ABC"/>
    <w:rsid w:val="005466C2"/>
    <w:rsid w:val="00550EB8"/>
    <w:rsid w:val="005528CB"/>
    <w:rsid w:val="00563424"/>
    <w:rsid w:val="00566771"/>
    <w:rsid w:val="005707B1"/>
    <w:rsid w:val="0057114A"/>
    <w:rsid w:val="00573070"/>
    <w:rsid w:val="005756A1"/>
    <w:rsid w:val="00581E2E"/>
    <w:rsid w:val="00584F15"/>
    <w:rsid w:val="00591E87"/>
    <w:rsid w:val="00592139"/>
    <w:rsid w:val="005937C7"/>
    <w:rsid w:val="0059514B"/>
    <w:rsid w:val="005A0903"/>
    <w:rsid w:val="005A1B0F"/>
    <w:rsid w:val="005A70B4"/>
    <w:rsid w:val="005B357C"/>
    <w:rsid w:val="005B5664"/>
    <w:rsid w:val="005B7DBF"/>
    <w:rsid w:val="005D29A4"/>
    <w:rsid w:val="005D3092"/>
    <w:rsid w:val="005F155A"/>
    <w:rsid w:val="00600B12"/>
    <w:rsid w:val="00605F4B"/>
    <w:rsid w:val="00610854"/>
    <w:rsid w:val="0061270D"/>
    <w:rsid w:val="006150E9"/>
    <w:rsid w:val="00615737"/>
    <w:rsid w:val="006163F7"/>
    <w:rsid w:val="00627C63"/>
    <w:rsid w:val="0063350B"/>
    <w:rsid w:val="00640CF0"/>
    <w:rsid w:val="00652606"/>
    <w:rsid w:val="00652EDC"/>
    <w:rsid w:val="00657C39"/>
    <w:rsid w:val="00673EA0"/>
    <w:rsid w:val="00674B70"/>
    <w:rsid w:val="00683268"/>
    <w:rsid w:val="00685819"/>
    <w:rsid w:val="006946EE"/>
    <w:rsid w:val="006952F3"/>
    <w:rsid w:val="006A1706"/>
    <w:rsid w:val="006A58A9"/>
    <w:rsid w:val="006A606D"/>
    <w:rsid w:val="006C0371"/>
    <w:rsid w:val="006C0753"/>
    <w:rsid w:val="006C08B6"/>
    <w:rsid w:val="006C0B1A"/>
    <w:rsid w:val="006C6065"/>
    <w:rsid w:val="006C7F9F"/>
    <w:rsid w:val="006D330A"/>
    <w:rsid w:val="006D7F2D"/>
    <w:rsid w:val="006E21DD"/>
    <w:rsid w:val="006E2780"/>
    <w:rsid w:val="006E2F6D"/>
    <w:rsid w:val="006E3656"/>
    <w:rsid w:val="006E58F6"/>
    <w:rsid w:val="006E77E1"/>
    <w:rsid w:val="006F131D"/>
    <w:rsid w:val="006F2D43"/>
    <w:rsid w:val="006F6C22"/>
    <w:rsid w:val="00703447"/>
    <w:rsid w:val="00711642"/>
    <w:rsid w:val="00720619"/>
    <w:rsid w:val="00730766"/>
    <w:rsid w:val="007347A8"/>
    <w:rsid w:val="00734FC0"/>
    <w:rsid w:val="007357B9"/>
    <w:rsid w:val="0074217D"/>
    <w:rsid w:val="00742213"/>
    <w:rsid w:val="00745659"/>
    <w:rsid w:val="0074730A"/>
    <w:rsid w:val="007507C6"/>
    <w:rsid w:val="007513B6"/>
    <w:rsid w:val="00751E0B"/>
    <w:rsid w:val="00752BCD"/>
    <w:rsid w:val="00766DA1"/>
    <w:rsid w:val="0076746A"/>
    <w:rsid w:val="00780D94"/>
    <w:rsid w:val="00782BC7"/>
    <w:rsid w:val="007866A6"/>
    <w:rsid w:val="00787BD1"/>
    <w:rsid w:val="007A09E6"/>
    <w:rsid w:val="007A130D"/>
    <w:rsid w:val="007A5BDC"/>
    <w:rsid w:val="007B4513"/>
    <w:rsid w:val="007C1B1F"/>
    <w:rsid w:val="007D1A2D"/>
    <w:rsid w:val="007D4102"/>
    <w:rsid w:val="007E1DDA"/>
    <w:rsid w:val="007E3BBD"/>
    <w:rsid w:val="007E4934"/>
    <w:rsid w:val="007F4338"/>
    <w:rsid w:val="007F43B7"/>
    <w:rsid w:val="007F5814"/>
    <w:rsid w:val="0080272B"/>
    <w:rsid w:val="008060A8"/>
    <w:rsid w:val="00814768"/>
    <w:rsid w:val="00821FFC"/>
    <w:rsid w:val="008227E2"/>
    <w:rsid w:val="00823412"/>
    <w:rsid w:val="008271CA"/>
    <w:rsid w:val="00827558"/>
    <w:rsid w:val="00827D09"/>
    <w:rsid w:val="00834A1C"/>
    <w:rsid w:val="008422B4"/>
    <w:rsid w:val="008467D5"/>
    <w:rsid w:val="00852B79"/>
    <w:rsid w:val="00854088"/>
    <w:rsid w:val="008A4DC4"/>
    <w:rsid w:val="008A791E"/>
    <w:rsid w:val="008B438C"/>
    <w:rsid w:val="008C36D0"/>
    <w:rsid w:val="008C5E43"/>
    <w:rsid w:val="008D06CA"/>
    <w:rsid w:val="008D3A46"/>
    <w:rsid w:val="008D555B"/>
    <w:rsid w:val="008E0DEB"/>
    <w:rsid w:val="008E3B02"/>
    <w:rsid w:val="008F508E"/>
    <w:rsid w:val="00901DFE"/>
    <w:rsid w:val="009067A4"/>
    <w:rsid w:val="00907B92"/>
    <w:rsid w:val="00930436"/>
    <w:rsid w:val="00930885"/>
    <w:rsid w:val="00933D68"/>
    <w:rsid w:val="009340DB"/>
    <w:rsid w:val="009345B9"/>
    <w:rsid w:val="009404BC"/>
    <w:rsid w:val="0094618C"/>
    <w:rsid w:val="00950683"/>
    <w:rsid w:val="009515BD"/>
    <w:rsid w:val="0095684B"/>
    <w:rsid w:val="009706CB"/>
    <w:rsid w:val="0097140D"/>
    <w:rsid w:val="00972498"/>
    <w:rsid w:val="0097481F"/>
    <w:rsid w:val="00974CC6"/>
    <w:rsid w:val="00976AD4"/>
    <w:rsid w:val="009777A0"/>
    <w:rsid w:val="0098640B"/>
    <w:rsid w:val="009941F9"/>
    <w:rsid w:val="00995547"/>
    <w:rsid w:val="00997E98"/>
    <w:rsid w:val="009A312F"/>
    <w:rsid w:val="009A3F69"/>
    <w:rsid w:val="009A5348"/>
    <w:rsid w:val="009B0AB7"/>
    <w:rsid w:val="009C1BBB"/>
    <w:rsid w:val="009C2E10"/>
    <w:rsid w:val="009C76D5"/>
    <w:rsid w:val="009D6D79"/>
    <w:rsid w:val="009E14E2"/>
    <w:rsid w:val="009F7AA4"/>
    <w:rsid w:val="00A018CE"/>
    <w:rsid w:val="00A10AD7"/>
    <w:rsid w:val="00A12628"/>
    <w:rsid w:val="00A277A3"/>
    <w:rsid w:val="00A315B8"/>
    <w:rsid w:val="00A559DB"/>
    <w:rsid w:val="00A569EA"/>
    <w:rsid w:val="00A6103E"/>
    <w:rsid w:val="00A61F81"/>
    <w:rsid w:val="00A64CC5"/>
    <w:rsid w:val="00A71540"/>
    <w:rsid w:val="00A75384"/>
    <w:rsid w:val="00A94B8B"/>
    <w:rsid w:val="00A9533E"/>
    <w:rsid w:val="00AA0024"/>
    <w:rsid w:val="00AA4283"/>
    <w:rsid w:val="00AB69C4"/>
    <w:rsid w:val="00AC0EC2"/>
    <w:rsid w:val="00AC3424"/>
    <w:rsid w:val="00AD477A"/>
    <w:rsid w:val="00AD6D1E"/>
    <w:rsid w:val="00AD7846"/>
    <w:rsid w:val="00AE1961"/>
    <w:rsid w:val="00AE6CCA"/>
    <w:rsid w:val="00AF35FC"/>
    <w:rsid w:val="00AF5556"/>
    <w:rsid w:val="00B03639"/>
    <w:rsid w:val="00B0652A"/>
    <w:rsid w:val="00B102AB"/>
    <w:rsid w:val="00B132CD"/>
    <w:rsid w:val="00B13FCB"/>
    <w:rsid w:val="00B154B4"/>
    <w:rsid w:val="00B25D18"/>
    <w:rsid w:val="00B3274D"/>
    <w:rsid w:val="00B37F12"/>
    <w:rsid w:val="00B40937"/>
    <w:rsid w:val="00B41F30"/>
    <w:rsid w:val="00B423EF"/>
    <w:rsid w:val="00B44F2B"/>
    <w:rsid w:val="00B453DE"/>
    <w:rsid w:val="00B4697E"/>
    <w:rsid w:val="00B623FA"/>
    <w:rsid w:val="00B67ABC"/>
    <w:rsid w:val="00B70102"/>
    <w:rsid w:val="00B717E2"/>
    <w:rsid w:val="00B719D0"/>
    <w:rsid w:val="00B72597"/>
    <w:rsid w:val="00B8388F"/>
    <w:rsid w:val="00B901F9"/>
    <w:rsid w:val="00BA09E4"/>
    <w:rsid w:val="00BA280E"/>
    <w:rsid w:val="00BB4299"/>
    <w:rsid w:val="00BB74AB"/>
    <w:rsid w:val="00BC0D30"/>
    <w:rsid w:val="00BD6EFB"/>
    <w:rsid w:val="00C1168C"/>
    <w:rsid w:val="00C1584D"/>
    <w:rsid w:val="00C15BE2"/>
    <w:rsid w:val="00C16F67"/>
    <w:rsid w:val="00C25BC6"/>
    <w:rsid w:val="00C31A75"/>
    <w:rsid w:val="00C3447F"/>
    <w:rsid w:val="00C45D50"/>
    <w:rsid w:val="00C67102"/>
    <w:rsid w:val="00C67AB8"/>
    <w:rsid w:val="00C73654"/>
    <w:rsid w:val="00C76026"/>
    <w:rsid w:val="00C81491"/>
    <w:rsid w:val="00C81676"/>
    <w:rsid w:val="00C82249"/>
    <w:rsid w:val="00C85363"/>
    <w:rsid w:val="00C85C5D"/>
    <w:rsid w:val="00C85EDC"/>
    <w:rsid w:val="00C92CC4"/>
    <w:rsid w:val="00CA0AFB"/>
    <w:rsid w:val="00CA2CE1"/>
    <w:rsid w:val="00CA3976"/>
    <w:rsid w:val="00CA50E3"/>
    <w:rsid w:val="00CA7513"/>
    <w:rsid w:val="00CA757B"/>
    <w:rsid w:val="00CB424D"/>
    <w:rsid w:val="00CC1787"/>
    <w:rsid w:val="00CC182C"/>
    <w:rsid w:val="00CC2AA6"/>
    <w:rsid w:val="00CC5C42"/>
    <w:rsid w:val="00CC7B5C"/>
    <w:rsid w:val="00CD0824"/>
    <w:rsid w:val="00CD2908"/>
    <w:rsid w:val="00CF4E1F"/>
    <w:rsid w:val="00CF58C9"/>
    <w:rsid w:val="00D0131B"/>
    <w:rsid w:val="00D03A82"/>
    <w:rsid w:val="00D04333"/>
    <w:rsid w:val="00D06FA2"/>
    <w:rsid w:val="00D11051"/>
    <w:rsid w:val="00D13667"/>
    <w:rsid w:val="00D15344"/>
    <w:rsid w:val="00D23F57"/>
    <w:rsid w:val="00D2456F"/>
    <w:rsid w:val="00D31BEC"/>
    <w:rsid w:val="00D32BBA"/>
    <w:rsid w:val="00D336E5"/>
    <w:rsid w:val="00D33AC0"/>
    <w:rsid w:val="00D4592E"/>
    <w:rsid w:val="00D47264"/>
    <w:rsid w:val="00D53627"/>
    <w:rsid w:val="00D63150"/>
    <w:rsid w:val="00D636BA"/>
    <w:rsid w:val="00D64A32"/>
    <w:rsid w:val="00D64EFC"/>
    <w:rsid w:val="00D651B8"/>
    <w:rsid w:val="00D66E6A"/>
    <w:rsid w:val="00D67353"/>
    <w:rsid w:val="00D677A0"/>
    <w:rsid w:val="00D75295"/>
    <w:rsid w:val="00D76CE9"/>
    <w:rsid w:val="00D76DFF"/>
    <w:rsid w:val="00D8143B"/>
    <w:rsid w:val="00D85BBE"/>
    <w:rsid w:val="00D920C2"/>
    <w:rsid w:val="00D9323E"/>
    <w:rsid w:val="00D93919"/>
    <w:rsid w:val="00D96293"/>
    <w:rsid w:val="00D97F12"/>
    <w:rsid w:val="00DA2B67"/>
    <w:rsid w:val="00DA6095"/>
    <w:rsid w:val="00DB2497"/>
    <w:rsid w:val="00DB42E7"/>
    <w:rsid w:val="00DC0957"/>
    <w:rsid w:val="00DC0C18"/>
    <w:rsid w:val="00DC6E84"/>
    <w:rsid w:val="00DD0E9E"/>
    <w:rsid w:val="00DD58F7"/>
    <w:rsid w:val="00DE0007"/>
    <w:rsid w:val="00DE01A6"/>
    <w:rsid w:val="00DE5054"/>
    <w:rsid w:val="00DE7A98"/>
    <w:rsid w:val="00DF0ABF"/>
    <w:rsid w:val="00DF32C2"/>
    <w:rsid w:val="00DF73C5"/>
    <w:rsid w:val="00E001DC"/>
    <w:rsid w:val="00E20474"/>
    <w:rsid w:val="00E37EA0"/>
    <w:rsid w:val="00E43E37"/>
    <w:rsid w:val="00E471A7"/>
    <w:rsid w:val="00E504A5"/>
    <w:rsid w:val="00E572A5"/>
    <w:rsid w:val="00E635CF"/>
    <w:rsid w:val="00E756F8"/>
    <w:rsid w:val="00E8108D"/>
    <w:rsid w:val="00E86D7B"/>
    <w:rsid w:val="00E91512"/>
    <w:rsid w:val="00E95CEF"/>
    <w:rsid w:val="00E96597"/>
    <w:rsid w:val="00EC11FB"/>
    <w:rsid w:val="00EC5D0E"/>
    <w:rsid w:val="00EC6E0A"/>
    <w:rsid w:val="00ED08CC"/>
    <w:rsid w:val="00ED4E18"/>
    <w:rsid w:val="00EE1E10"/>
    <w:rsid w:val="00EE1F37"/>
    <w:rsid w:val="00EF35A2"/>
    <w:rsid w:val="00F0159C"/>
    <w:rsid w:val="00F03C20"/>
    <w:rsid w:val="00F105B7"/>
    <w:rsid w:val="00F13220"/>
    <w:rsid w:val="00F14E15"/>
    <w:rsid w:val="00F16222"/>
    <w:rsid w:val="00F17A21"/>
    <w:rsid w:val="00F327A7"/>
    <w:rsid w:val="00F37B27"/>
    <w:rsid w:val="00F46556"/>
    <w:rsid w:val="00F50E91"/>
    <w:rsid w:val="00F53392"/>
    <w:rsid w:val="00F53DA6"/>
    <w:rsid w:val="00F57D29"/>
    <w:rsid w:val="00F65653"/>
    <w:rsid w:val="00F730A9"/>
    <w:rsid w:val="00F8424C"/>
    <w:rsid w:val="00F96201"/>
    <w:rsid w:val="00FA3F5A"/>
    <w:rsid w:val="00FB06BF"/>
    <w:rsid w:val="00FB41CC"/>
    <w:rsid w:val="00FC766D"/>
    <w:rsid w:val="00FD0B18"/>
    <w:rsid w:val="00FD2FAD"/>
    <w:rsid w:val="00FD4311"/>
    <w:rsid w:val="00FE66A1"/>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6240FB"/>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veypubs.my.salesforce.com/003A000001toeQS"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1hbuI"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veypubs.my.salesforce.com/003A000001xLo8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52FAB-A548-4432-9A25-2EC274EF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Gow, Jasmin</cp:lastModifiedBy>
  <cp:revision>10</cp:revision>
  <cp:lastPrinted>2018-05-04T13:44:00Z</cp:lastPrinted>
  <dcterms:created xsi:type="dcterms:W3CDTF">2018-05-04T14:48:00Z</dcterms:created>
  <dcterms:modified xsi:type="dcterms:W3CDTF">2018-05-08T18:16:00Z</dcterms:modified>
</cp:coreProperties>
</file>