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81775" w14:textId="6B3324EC" w:rsidR="007D1A2D" w:rsidRDefault="00A569EA" w:rsidP="00DF0557">
      <w:pPr>
        <w:pBdr>
          <w:bottom w:val="single" w:sz="18" w:space="1" w:color="auto"/>
        </w:pBdr>
        <w:tabs>
          <w:tab w:val="left" w:pos="-1440"/>
          <w:tab w:val="left" w:pos="-720"/>
          <w:tab w:val="left" w:pos="1"/>
        </w:tabs>
        <w:jc w:val="right"/>
        <w:rPr>
          <w:rFonts w:ascii="Arial" w:hAnsi="Arial"/>
          <w:b/>
          <w:sz w:val="24"/>
        </w:rPr>
      </w:pPr>
      <w:r w:rsidRPr="00A569EA">
        <w:rPr>
          <w:rFonts w:ascii="Arial" w:hAnsi="Arial"/>
          <w:b/>
          <w:noProof/>
          <w:sz w:val="24"/>
        </w:rPr>
        <w:drawing>
          <wp:inline distT="0" distB="0" distL="0" distR="0" wp14:anchorId="445B4E47" wp14:editId="7DD6C2E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001AE5">
        <w:rPr>
          <w:rFonts w:ascii="Arial" w:hAnsi="Arial"/>
          <w:b/>
          <w:sz w:val="24"/>
        </w:rPr>
        <w:tab/>
        <w:t xml:space="preserve">    </w:t>
      </w:r>
      <w:r w:rsidR="00DF0557">
        <w:rPr>
          <w:rFonts w:ascii="Arial" w:hAnsi="Arial"/>
          <w:b/>
          <w:sz w:val="24"/>
        </w:rPr>
        <w:t xml:space="preserve"> </w:t>
      </w:r>
      <w:r w:rsidR="00001AE5">
        <w:rPr>
          <w:rFonts w:ascii="Arial" w:hAnsi="Arial"/>
          <w:b/>
          <w:sz w:val="24"/>
        </w:rPr>
        <w:t xml:space="preserve">   </w:t>
      </w:r>
      <w:r w:rsidR="00DF0557">
        <w:rPr>
          <w:noProof/>
        </w:rPr>
        <w:drawing>
          <wp:inline distT="0" distB="0" distL="0" distR="0" wp14:anchorId="068B9642" wp14:editId="01747181">
            <wp:extent cx="2813999" cy="5413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810" cy="571106"/>
                    </a:xfrm>
                    <a:prstGeom prst="rect">
                      <a:avLst/>
                    </a:prstGeom>
                  </pic:spPr>
                </pic:pic>
              </a:graphicData>
            </a:graphic>
          </wp:inline>
        </w:drawing>
      </w:r>
    </w:p>
    <w:p w14:paraId="1B28E668" w14:textId="63B8AA94" w:rsidR="00D75295" w:rsidRDefault="008D050E" w:rsidP="00F105B7">
      <w:pPr>
        <w:pStyle w:val="ProductNumber"/>
      </w:pPr>
      <w:r>
        <w:t>9b18m087</w:t>
      </w:r>
    </w:p>
    <w:p w14:paraId="0B1BE3D9" w14:textId="77777777" w:rsidR="00D75295" w:rsidRPr="003D0BA1" w:rsidRDefault="00D75295" w:rsidP="00D75295">
      <w:pPr>
        <w:jc w:val="right"/>
        <w:rPr>
          <w:rFonts w:ascii="Arial" w:hAnsi="Arial"/>
          <w:b/>
          <w:sz w:val="28"/>
          <w:szCs w:val="28"/>
        </w:rPr>
      </w:pPr>
    </w:p>
    <w:p w14:paraId="4800BAEC" w14:textId="77777777" w:rsidR="00013360" w:rsidRPr="003D0BA1" w:rsidRDefault="00013360" w:rsidP="00D75295">
      <w:pPr>
        <w:jc w:val="right"/>
        <w:rPr>
          <w:rFonts w:ascii="Arial" w:hAnsi="Arial"/>
          <w:b/>
          <w:sz w:val="28"/>
          <w:szCs w:val="28"/>
        </w:rPr>
      </w:pPr>
    </w:p>
    <w:p w14:paraId="5F0FC753" w14:textId="77777777" w:rsidR="00013360" w:rsidRDefault="00001AE5" w:rsidP="00013360">
      <w:pPr>
        <w:pStyle w:val="CaseTitle"/>
        <w:spacing w:after="0" w:line="240" w:lineRule="auto"/>
        <w:rPr>
          <w:sz w:val="20"/>
          <w:szCs w:val="20"/>
        </w:rPr>
      </w:pPr>
      <w:r w:rsidRPr="00001AE5">
        <w:rPr>
          <w:rFonts w:eastAsia="Times New Roman"/>
          <w:szCs w:val="20"/>
          <w:lang w:val="en-GB"/>
        </w:rPr>
        <w:t>HARLEY-DAVIDSON: INTERNATIONALIZATION IN the TRUMP ERA</w:t>
      </w:r>
      <w:r>
        <w:rPr>
          <w:rStyle w:val="EndnoteReference"/>
          <w:rFonts w:eastAsia="Times New Roman"/>
          <w:szCs w:val="20"/>
          <w:lang w:val="en-GB"/>
        </w:rPr>
        <w:endnoteReference w:id="1"/>
      </w:r>
    </w:p>
    <w:p w14:paraId="7B5EA1F3" w14:textId="77777777" w:rsidR="00CA3976" w:rsidRDefault="00CA3976" w:rsidP="00013360">
      <w:pPr>
        <w:pStyle w:val="CaseTitle"/>
        <w:spacing w:after="0" w:line="240" w:lineRule="auto"/>
        <w:rPr>
          <w:sz w:val="20"/>
          <w:szCs w:val="20"/>
        </w:rPr>
      </w:pPr>
    </w:p>
    <w:p w14:paraId="7877EF92" w14:textId="77777777" w:rsidR="00013360" w:rsidRPr="00013360" w:rsidRDefault="00013360" w:rsidP="00013360">
      <w:pPr>
        <w:pStyle w:val="CaseTitle"/>
        <w:spacing w:after="0" w:line="240" w:lineRule="auto"/>
        <w:rPr>
          <w:sz w:val="20"/>
          <w:szCs w:val="20"/>
        </w:rPr>
      </w:pPr>
    </w:p>
    <w:p w14:paraId="2C2E9D77" w14:textId="77777777" w:rsidR="00627C63" w:rsidRPr="00627C63" w:rsidRDefault="009B4F44" w:rsidP="00627C63">
      <w:pPr>
        <w:pStyle w:val="StyleCopyrightStatementAfter0ptBottomSinglesolidline1"/>
      </w:pPr>
      <w:hyperlink r:id="rId10" w:history="1">
        <w:r w:rsidR="00001AE5" w:rsidRPr="00001AE5">
          <w:rPr>
            <w:rStyle w:val="Hyperlink"/>
            <w:color w:val="auto"/>
            <w:u w:val="none"/>
            <w:lang w:val="en-GB"/>
          </w:rPr>
          <w:t xml:space="preserve">Bertrand </w:t>
        </w:r>
        <w:proofErr w:type="spellStart"/>
        <w:r w:rsidR="00001AE5" w:rsidRPr="00001AE5">
          <w:rPr>
            <w:rStyle w:val="Hyperlink"/>
            <w:color w:val="auto"/>
            <w:u w:val="none"/>
            <w:lang w:val="en-GB"/>
          </w:rPr>
          <w:t>Guillotin</w:t>
        </w:r>
        <w:proofErr w:type="spellEnd"/>
      </w:hyperlink>
      <w:r w:rsidR="00001AE5" w:rsidRPr="00001AE5">
        <w:rPr>
          <w:color w:val="auto"/>
          <w:lang w:val="en-GB"/>
        </w:rPr>
        <w:t xml:space="preserve"> and </w:t>
      </w:r>
      <w:hyperlink r:id="rId11" w:history="1">
        <w:proofErr w:type="spellStart"/>
        <w:r w:rsidR="00001AE5" w:rsidRPr="00001AE5">
          <w:rPr>
            <w:rStyle w:val="Hyperlink"/>
            <w:color w:val="auto"/>
            <w:u w:val="none"/>
            <w:lang w:val="en-GB"/>
          </w:rPr>
          <w:t>Seok</w:t>
        </w:r>
        <w:proofErr w:type="spellEnd"/>
        <w:r w:rsidR="00001AE5" w:rsidRPr="00001AE5">
          <w:rPr>
            <w:rStyle w:val="Hyperlink"/>
            <w:color w:val="auto"/>
            <w:u w:val="none"/>
            <w:lang w:val="en-GB"/>
          </w:rPr>
          <w:t>-Woo Kwon</w:t>
        </w:r>
      </w:hyperlink>
      <w:r w:rsidR="00001AE5" w:rsidRPr="00001AE5">
        <w:rPr>
          <w:color w:val="auto"/>
        </w:rPr>
        <w:t xml:space="preserve"> </w:t>
      </w:r>
      <w:r w:rsidR="004B632F" w:rsidRPr="00001AE5">
        <w:rPr>
          <w:color w:val="auto"/>
        </w:rPr>
        <w:t>wrote t</w:t>
      </w:r>
      <w:r w:rsidR="004B632F" w:rsidRPr="00104567">
        <w: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135BA797" w14:textId="77777777" w:rsidR="00751E0B" w:rsidRDefault="00751E0B" w:rsidP="00751E0B">
      <w:pPr>
        <w:pStyle w:val="StyleCopyrightStatementAfter0ptBottomSinglesolidline1"/>
      </w:pPr>
    </w:p>
    <w:p w14:paraId="3E38F8AA" w14:textId="77777777" w:rsidR="00A569EA" w:rsidRPr="00E23AB7" w:rsidRDefault="00A569EA" w:rsidP="004308C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2AA85D10" w14:textId="77777777" w:rsidR="00A569EA" w:rsidRPr="00E23AB7" w:rsidRDefault="00A569EA" w:rsidP="004308C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1806F759" w14:textId="7DC96E04" w:rsidR="00751E0B" w:rsidRDefault="00A569EA" w:rsidP="00751E0B">
      <w:pPr>
        <w:pStyle w:val="StyleStyleCopyrightStatementAfter0ptBottomSinglesolid"/>
      </w:pPr>
      <w:r w:rsidRPr="00E23AB7">
        <w:rPr>
          <w:rFonts w:cs="Arial"/>
          <w:szCs w:val="16"/>
        </w:rPr>
        <w:t>Copyright © 20</w:t>
      </w:r>
      <w:r w:rsidR="00001AE5">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001AE5">
        <w:t>18</w:t>
      </w:r>
      <w:r w:rsidR="001C7777">
        <w:t>-</w:t>
      </w:r>
      <w:r w:rsidR="00001AE5">
        <w:t>0</w:t>
      </w:r>
      <w:r w:rsidR="009B4F44">
        <w:t>8</w:t>
      </w:r>
      <w:bookmarkStart w:id="0" w:name="_GoBack"/>
      <w:bookmarkEnd w:id="0"/>
      <w:r w:rsidR="00751E0B">
        <w:t>-</w:t>
      </w:r>
      <w:r w:rsidR="00303FD1">
        <w:t>01</w:t>
      </w:r>
    </w:p>
    <w:p w14:paraId="5E4BBE36" w14:textId="77777777" w:rsidR="00751E0B" w:rsidRPr="003B7EF2" w:rsidRDefault="00751E0B" w:rsidP="00751E0B">
      <w:pPr>
        <w:pStyle w:val="StyleCopyrightStatementAfter0ptBottomSinglesolidline1"/>
        <w:rPr>
          <w:rFonts w:ascii="Times New Roman" w:hAnsi="Times New Roman"/>
          <w:sz w:val="20"/>
        </w:rPr>
      </w:pPr>
    </w:p>
    <w:p w14:paraId="1ACD1641" w14:textId="77777777" w:rsidR="004B632F" w:rsidRDefault="004B632F" w:rsidP="004B632F">
      <w:pPr>
        <w:pStyle w:val="StyleCopyrightStatementAfter0ptBottomSinglesolidline1"/>
        <w:rPr>
          <w:rFonts w:ascii="Times New Roman" w:hAnsi="Times New Roman"/>
          <w:sz w:val="20"/>
        </w:rPr>
      </w:pPr>
    </w:p>
    <w:p w14:paraId="48DB8006" w14:textId="04DC3DEF" w:rsidR="00001AE5" w:rsidRPr="00A61AEE" w:rsidRDefault="00001AE5" w:rsidP="00001AE5">
      <w:pPr>
        <w:pStyle w:val="BodyTextMain"/>
        <w:rPr>
          <w:rFonts w:eastAsia="Calibri"/>
          <w:spacing w:val="-2"/>
          <w:kern w:val="22"/>
          <w:lang w:val="en-GB"/>
        </w:rPr>
      </w:pPr>
      <w:r w:rsidRPr="00A61AEE">
        <w:rPr>
          <w:rFonts w:eastAsia="Calibri"/>
          <w:spacing w:val="-2"/>
          <w:kern w:val="22"/>
          <w:lang w:val="en-GB"/>
        </w:rPr>
        <w:t xml:space="preserve">“We’re proud of you! Made in America: Harley-Davidson,” President Donald J. Trump </w:t>
      </w:r>
      <w:r w:rsidR="004E5732">
        <w:rPr>
          <w:rFonts w:eastAsia="Calibri"/>
          <w:spacing w:val="-2"/>
          <w:kern w:val="22"/>
          <w:lang w:val="en-GB"/>
        </w:rPr>
        <w:t>praised</w:t>
      </w:r>
      <w:r w:rsidRPr="00A61AEE">
        <w:rPr>
          <w:rFonts w:eastAsia="Calibri"/>
          <w:spacing w:val="-2"/>
          <w:kern w:val="22"/>
          <w:lang w:val="en-GB"/>
        </w:rPr>
        <w:t xml:space="preserve"> the motorcycle company’s executives and union leaders on February 2, 2017. When he left the meeting at the White House that day, Matthew S. Levatich, the chief executive officer (CEO) of Harley-Davidson Inc. (Harley-Davidson), was impressed by the Trump administration.</w:t>
      </w:r>
      <w:r w:rsidRPr="00A61AEE">
        <w:rPr>
          <w:rFonts w:eastAsia="Calibri"/>
          <w:spacing w:val="-2"/>
          <w:kern w:val="22"/>
          <w:vertAlign w:val="superscript"/>
          <w:lang w:val="en-GB"/>
        </w:rPr>
        <w:endnoteReference w:id="2"/>
      </w:r>
      <w:r w:rsidRPr="00A61AEE">
        <w:rPr>
          <w:rFonts w:eastAsia="Calibri"/>
          <w:spacing w:val="-2"/>
          <w:kern w:val="22"/>
          <w:lang w:val="en-GB"/>
        </w:rPr>
        <w:t xml:space="preserve"> The meeting had occurred less than two weeks after Trump had released his America First foreign policy,</w:t>
      </w:r>
      <w:r w:rsidRPr="00A61AEE">
        <w:rPr>
          <w:rStyle w:val="EndnoteReference"/>
          <w:rFonts w:eastAsia="Calibri"/>
          <w:spacing w:val="-2"/>
          <w:kern w:val="22"/>
          <w:lang w:val="en-GB"/>
        </w:rPr>
        <w:endnoteReference w:id="3"/>
      </w:r>
      <w:r w:rsidRPr="00A61AEE">
        <w:rPr>
          <w:rFonts w:eastAsia="Calibri"/>
          <w:spacing w:val="-2"/>
          <w:kern w:val="22"/>
          <w:lang w:val="en-GB"/>
        </w:rPr>
        <w:t xml:space="preserve"> </w:t>
      </w:r>
      <w:r w:rsidR="004308C7">
        <w:rPr>
          <w:rFonts w:eastAsia="Calibri"/>
          <w:spacing w:val="-2"/>
          <w:kern w:val="22"/>
          <w:lang w:val="en-GB"/>
        </w:rPr>
        <w:t>which</w:t>
      </w:r>
      <w:r w:rsidRPr="00A61AEE">
        <w:rPr>
          <w:rFonts w:eastAsia="Calibri"/>
          <w:spacing w:val="-2"/>
          <w:kern w:val="22"/>
          <w:lang w:val="en-GB"/>
        </w:rPr>
        <w:t xml:space="preserve"> could help or hurt the struggling but iconic company that had become a symbol of American ideals and U.S. manufacturing know-how. </w:t>
      </w:r>
    </w:p>
    <w:p w14:paraId="27CB39CD" w14:textId="77777777" w:rsidR="00001AE5" w:rsidRPr="00C97A8E" w:rsidRDefault="00001AE5" w:rsidP="00001AE5">
      <w:pPr>
        <w:pStyle w:val="BodyTextMain"/>
        <w:rPr>
          <w:rFonts w:eastAsia="Calibri"/>
          <w:lang w:val="en-GB"/>
        </w:rPr>
      </w:pPr>
    </w:p>
    <w:p w14:paraId="3A753C39" w14:textId="1D0E6B98" w:rsidR="00001AE5" w:rsidRPr="00C97A8E" w:rsidRDefault="00001AE5" w:rsidP="00001AE5">
      <w:pPr>
        <w:pStyle w:val="BodyTextMain"/>
        <w:rPr>
          <w:rFonts w:eastAsia="Calibri"/>
          <w:lang w:val="en-GB"/>
        </w:rPr>
      </w:pPr>
      <w:r w:rsidRPr="00C97A8E">
        <w:rPr>
          <w:rFonts w:eastAsia="Calibri"/>
          <w:lang w:val="en-GB"/>
        </w:rPr>
        <w:t>“The big opportunity for Harley-Davidson, growth-wise, is in Asia, and a lot of the work with the Trans-Pacific Partnership addresses some of the barriers that are in the way of our growth in Asia,” Levatich had said in a television appearance in April 2016.</w:t>
      </w:r>
      <w:r w:rsidRPr="00C97A8E">
        <w:rPr>
          <w:rFonts w:eastAsia="Calibri"/>
          <w:vertAlign w:val="superscript"/>
          <w:lang w:val="en-GB"/>
        </w:rPr>
        <w:endnoteReference w:id="4"/>
      </w:r>
      <w:r w:rsidRPr="00C97A8E">
        <w:rPr>
          <w:rFonts w:eastAsia="Calibri"/>
          <w:lang w:val="en-GB"/>
        </w:rPr>
        <w:t xml:space="preserve"> However, many things had changed since then, and in May 2017, Levatich had to ascertain whether </w:t>
      </w:r>
      <w:r w:rsidR="004E5732">
        <w:rPr>
          <w:rFonts w:eastAsia="Calibri"/>
          <w:lang w:val="en-GB"/>
        </w:rPr>
        <w:t>to</w:t>
      </w:r>
      <w:r w:rsidRPr="00C97A8E">
        <w:rPr>
          <w:rFonts w:eastAsia="Calibri"/>
          <w:lang w:val="en-GB"/>
        </w:rPr>
        <w:t xml:space="preserve"> pursue that big Asian opportunity. </w:t>
      </w:r>
    </w:p>
    <w:p w14:paraId="3E942CE0" w14:textId="77777777" w:rsidR="00001AE5" w:rsidRPr="00C97A8E" w:rsidRDefault="00001AE5" w:rsidP="00001AE5">
      <w:pPr>
        <w:pStyle w:val="BodyTextMain"/>
        <w:rPr>
          <w:rFonts w:eastAsia="Calibri"/>
          <w:lang w:val="en-GB"/>
        </w:rPr>
      </w:pPr>
    </w:p>
    <w:p w14:paraId="558A62DE" w14:textId="77777777" w:rsidR="00001AE5" w:rsidRPr="00C97A8E" w:rsidRDefault="00001AE5" w:rsidP="00001AE5">
      <w:pPr>
        <w:pStyle w:val="BodyTextMain"/>
        <w:rPr>
          <w:rFonts w:eastAsia="Calibri"/>
          <w:lang w:val="en-GB"/>
        </w:rPr>
      </w:pPr>
    </w:p>
    <w:p w14:paraId="38FFC227" w14:textId="77777777" w:rsidR="00001AE5" w:rsidRPr="00C97A8E" w:rsidRDefault="00001AE5" w:rsidP="00001AE5">
      <w:pPr>
        <w:pStyle w:val="Casehead1"/>
        <w:rPr>
          <w:rFonts w:eastAsia="Calibri"/>
          <w:lang w:val="en-GB"/>
        </w:rPr>
      </w:pPr>
      <w:r w:rsidRPr="00C97A8E">
        <w:rPr>
          <w:rFonts w:eastAsia="Calibri"/>
          <w:lang w:val="en-GB"/>
        </w:rPr>
        <w:t>America First and Tweet-based Policy making</w:t>
      </w:r>
    </w:p>
    <w:p w14:paraId="46C83466" w14:textId="77777777" w:rsidR="00001AE5" w:rsidRPr="00C97A8E" w:rsidRDefault="00001AE5" w:rsidP="00001AE5">
      <w:pPr>
        <w:pStyle w:val="BodyTextMain"/>
        <w:rPr>
          <w:rFonts w:eastAsia="Calibri"/>
          <w:lang w:val="en-GB"/>
        </w:rPr>
      </w:pPr>
    </w:p>
    <w:p w14:paraId="098F0BEB" w14:textId="77777777" w:rsidR="00001AE5" w:rsidRPr="00C97A8E" w:rsidRDefault="00001AE5" w:rsidP="00001AE5">
      <w:pPr>
        <w:pStyle w:val="BodyTextMain"/>
        <w:rPr>
          <w:rFonts w:eastAsia="Calibri"/>
          <w:lang w:val="en-GB"/>
        </w:rPr>
      </w:pPr>
      <w:r w:rsidRPr="00C97A8E">
        <w:rPr>
          <w:rFonts w:eastAsia="Calibri"/>
          <w:lang w:val="en-GB"/>
        </w:rPr>
        <w:t xml:space="preserve">According to an official White House statement, the Trump administration, through the America First foreign policy, was </w:t>
      </w:r>
    </w:p>
    <w:p w14:paraId="4FC8E833" w14:textId="77777777" w:rsidR="00001AE5" w:rsidRPr="00C97A8E" w:rsidRDefault="00001AE5" w:rsidP="00001AE5">
      <w:pPr>
        <w:pStyle w:val="BodyTextMain"/>
        <w:rPr>
          <w:rFonts w:eastAsia="Calibri"/>
          <w:lang w:val="en-GB"/>
        </w:rPr>
      </w:pPr>
    </w:p>
    <w:p w14:paraId="6980BE59" w14:textId="77777777" w:rsidR="00001AE5" w:rsidRPr="00C97A8E" w:rsidRDefault="00001AE5" w:rsidP="00001AE5">
      <w:pPr>
        <w:pStyle w:val="BodyTextMain"/>
        <w:ind w:left="720"/>
        <w:rPr>
          <w:rFonts w:eastAsia="Calibri"/>
          <w:lang w:val="en-GB"/>
        </w:rPr>
      </w:pPr>
      <w:proofErr w:type="gramStart"/>
      <w:r w:rsidRPr="00C97A8E">
        <w:rPr>
          <w:rFonts w:eastAsia="Calibri"/>
          <w:lang w:val="en-GB"/>
        </w:rPr>
        <w:t>committed</w:t>
      </w:r>
      <w:proofErr w:type="gramEnd"/>
      <w:r w:rsidRPr="00C97A8E">
        <w:rPr>
          <w:rFonts w:eastAsia="Calibri"/>
          <w:lang w:val="en-GB"/>
        </w:rPr>
        <w:t xml:space="preserve"> to a foreign policy focused on American interests and American national security. The President understands how critical it is to put American workers and businesses first when it comes to trade. With tough and fair agreements, international trade can be used to grow our economy, return millions of jobs to America’s shores, and revitalize our nation’s suffering communities. This strategy starts by withdrawing from the Trans-Pacific Partnership and making certain that any new trade deals are in the interests of American workers. President Trump is committed to renegotiating the North American Free Trade Agreement (NAFTA).</w:t>
      </w:r>
      <w:r w:rsidRPr="00C97A8E">
        <w:rPr>
          <w:rStyle w:val="EndnoteReference"/>
          <w:rFonts w:eastAsia="Calibri"/>
          <w:lang w:val="en-GB"/>
        </w:rPr>
        <w:endnoteReference w:id="5"/>
      </w:r>
    </w:p>
    <w:p w14:paraId="0B1343A9" w14:textId="77777777" w:rsidR="00001AE5" w:rsidRPr="00C97A8E" w:rsidRDefault="00001AE5" w:rsidP="00001AE5">
      <w:pPr>
        <w:pStyle w:val="BodyTextMain"/>
        <w:rPr>
          <w:rFonts w:eastAsia="Calibri"/>
          <w:lang w:val="en-GB"/>
        </w:rPr>
      </w:pPr>
    </w:p>
    <w:p w14:paraId="7D177060" w14:textId="6415AA01" w:rsidR="00001AE5" w:rsidRPr="00C97A8E" w:rsidRDefault="00001AE5" w:rsidP="00001AE5">
      <w:pPr>
        <w:pStyle w:val="BodyTextMain"/>
        <w:rPr>
          <w:rFonts w:eastAsia="Calibri"/>
          <w:lang w:val="en-GB"/>
        </w:rPr>
      </w:pPr>
      <w:r w:rsidRPr="00C97A8E">
        <w:rPr>
          <w:rFonts w:eastAsia="Calibri"/>
          <w:lang w:val="en-GB"/>
        </w:rPr>
        <w:t xml:space="preserve">In the immediate aftermath of the 2016 U.S. presidential election, several multinational CEOs had fallen victim to damaging </w:t>
      </w:r>
      <w:r>
        <w:rPr>
          <w:rFonts w:eastAsia="Calibri"/>
          <w:lang w:val="en-GB"/>
        </w:rPr>
        <w:t>social-media posts (</w:t>
      </w:r>
      <w:r w:rsidRPr="00C97A8E">
        <w:rPr>
          <w:rFonts w:eastAsia="Calibri"/>
          <w:lang w:val="en-GB"/>
        </w:rPr>
        <w:t>tweets</w:t>
      </w:r>
      <w:r>
        <w:rPr>
          <w:rFonts w:eastAsia="Calibri"/>
          <w:lang w:val="en-GB"/>
        </w:rPr>
        <w:t xml:space="preserve">) </w:t>
      </w:r>
      <w:r w:rsidR="00DF0557">
        <w:rPr>
          <w:rFonts w:eastAsia="Calibri"/>
          <w:lang w:val="en-GB"/>
        </w:rPr>
        <w:t>from the President of the United States’ @POTUS Twitter account</w:t>
      </w:r>
      <w:r w:rsidRPr="00C97A8E">
        <w:rPr>
          <w:rFonts w:eastAsia="Calibri"/>
          <w:lang w:val="en-GB"/>
        </w:rPr>
        <w:t xml:space="preserve"> that had cost their companies billions of dollars in lost market capitalization (i.e., </w:t>
      </w:r>
      <w:r w:rsidR="004308C7">
        <w:rPr>
          <w:rFonts w:eastAsia="Calibri"/>
          <w:lang w:val="en-GB"/>
        </w:rPr>
        <w:t xml:space="preserve">the </w:t>
      </w:r>
      <w:r w:rsidRPr="00C97A8E">
        <w:rPr>
          <w:rFonts w:eastAsia="Calibri"/>
          <w:lang w:val="en-GB"/>
        </w:rPr>
        <w:t xml:space="preserve">stock price multiplied by the number of outstanding shares). Other companies had </w:t>
      </w:r>
      <w:r w:rsidR="004308C7">
        <w:rPr>
          <w:rFonts w:eastAsia="Calibri"/>
          <w:lang w:val="en-GB"/>
        </w:rPr>
        <w:t>needed</w:t>
      </w:r>
      <w:r w:rsidR="004308C7" w:rsidRPr="00C97A8E">
        <w:rPr>
          <w:rFonts w:eastAsia="Calibri"/>
          <w:lang w:val="en-GB"/>
        </w:rPr>
        <w:t xml:space="preserve"> </w:t>
      </w:r>
      <w:r w:rsidRPr="00C97A8E">
        <w:rPr>
          <w:rFonts w:eastAsia="Calibri"/>
          <w:lang w:val="en-GB"/>
        </w:rPr>
        <w:t xml:space="preserve">to change </w:t>
      </w:r>
      <w:r w:rsidR="004308C7">
        <w:rPr>
          <w:rFonts w:eastAsia="Calibri"/>
          <w:lang w:val="en-GB"/>
        </w:rPr>
        <w:t xml:space="preserve">their </w:t>
      </w:r>
      <w:r w:rsidRPr="00C97A8E">
        <w:rPr>
          <w:rFonts w:eastAsia="Calibri"/>
          <w:lang w:val="en-GB"/>
        </w:rPr>
        <w:t>existing plans</w:t>
      </w:r>
      <w:r w:rsidR="004E5732">
        <w:rPr>
          <w:rFonts w:eastAsia="Calibri"/>
          <w:lang w:val="en-GB"/>
        </w:rPr>
        <w:t>,</w:t>
      </w:r>
      <w:r w:rsidRPr="00C97A8E">
        <w:rPr>
          <w:rFonts w:eastAsia="Calibri"/>
          <w:lang w:val="en-GB"/>
        </w:rPr>
        <w:t xml:space="preserve"> </w:t>
      </w:r>
      <w:r w:rsidR="004E5732">
        <w:rPr>
          <w:rFonts w:eastAsia="Calibri"/>
          <w:lang w:val="en-GB"/>
        </w:rPr>
        <w:t>which</w:t>
      </w:r>
      <w:r w:rsidR="004E5732" w:rsidRPr="00C97A8E">
        <w:rPr>
          <w:rFonts w:eastAsia="Calibri"/>
          <w:lang w:val="en-GB"/>
        </w:rPr>
        <w:t xml:space="preserve"> </w:t>
      </w:r>
      <w:r w:rsidRPr="00C97A8E">
        <w:rPr>
          <w:rFonts w:eastAsia="Calibri"/>
          <w:lang w:val="en-GB"/>
        </w:rPr>
        <w:t xml:space="preserve">were seen as </w:t>
      </w:r>
      <w:r w:rsidR="004E5732">
        <w:rPr>
          <w:rFonts w:eastAsia="Calibri"/>
          <w:lang w:val="en-GB"/>
        </w:rPr>
        <w:t xml:space="preserve">being </w:t>
      </w:r>
      <w:r w:rsidRPr="00C97A8E">
        <w:rPr>
          <w:rFonts w:eastAsia="Calibri"/>
          <w:lang w:val="en-GB"/>
        </w:rPr>
        <w:t xml:space="preserve">inconsistent with America First. The Ford Motor Company (Ford), for example, had planned to build a new assembly plant in Mexico but cancelled this plan on </w:t>
      </w:r>
      <w:r w:rsidRPr="00C97A8E">
        <w:rPr>
          <w:rFonts w:eastAsia="Calibri"/>
          <w:lang w:val="en-GB"/>
        </w:rPr>
        <w:lastRenderedPageBreak/>
        <w:t>January 3, 2017, and redirected the investment to Michigan</w:t>
      </w:r>
      <w:r w:rsidR="00DF0557">
        <w:rPr>
          <w:rFonts w:eastAsia="Calibri"/>
          <w:lang w:val="en-GB"/>
        </w:rPr>
        <w:t xml:space="preserve"> in response to a tweet from @POTUS</w:t>
      </w:r>
      <w:r w:rsidRPr="00C97A8E">
        <w:rPr>
          <w:rFonts w:eastAsia="Calibri"/>
          <w:lang w:val="en-GB"/>
        </w:rPr>
        <w:t>.</w:t>
      </w:r>
      <w:r w:rsidRPr="00C97A8E">
        <w:rPr>
          <w:rFonts w:eastAsia="Calibri"/>
          <w:vertAlign w:val="superscript"/>
          <w:lang w:val="en-GB"/>
        </w:rPr>
        <w:endnoteReference w:id="6"/>
      </w:r>
      <w:r w:rsidR="00DF0557">
        <w:rPr>
          <w:rFonts w:eastAsia="Calibri"/>
          <w:lang w:val="en-GB"/>
        </w:rPr>
        <w:t xml:space="preserve"> This setback among others</w:t>
      </w:r>
      <w:r w:rsidRPr="00C97A8E">
        <w:rPr>
          <w:rFonts w:eastAsia="Calibri"/>
          <w:lang w:val="en-GB"/>
        </w:rPr>
        <w:t xml:space="preserve"> contributed to Mark Fields’s departure</w:t>
      </w:r>
      <w:r w:rsidR="00DF0557">
        <w:rPr>
          <w:rFonts w:eastAsia="Calibri"/>
          <w:lang w:val="en-GB"/>
        </w:rPr>
        <w:t xml:space="preserve"> as CEO of Ford on May 22, 2017. Some experts</w:t>
      </w:r>
      <w:r w:rsidRPr="00C97A8E">
        <w:rPr>
          <w:rFonts w:eastAsia="Calibri"/>
          <w:lang w:val="en-GB"/>
        </w:rPr>
        <w:t xml:space="preserve"> claim</w:t>
      </w:r>
      <w:r w:rsidR="00DF0557">
        <w:rPr>
          <w:rFonts w:eastAsia="Calibri"/>
          <w:lang w:val="en-GB"/>
        </w:rPr>
        <w:t>ed</w:t>
      </w:r>
      <w:r w:rsidRPr="00C97A8E">
        <w:rPr>
          <w:rFonts w:eastAsia="Calibri"/>
          <w:lang w:val="en-GB"/>
        </w:rPr>
        <w:t xml:space="preserve"> that he had “bungled Trump.”</w:t>
      </w:r>
      <w:r w:rsidRPr="00C97A8E">
        <w:rPr>
          <w:rFonts w:eastAsia="Calibri"/>
          <w:vertAlign w:val="superscript"/>
          <w:lang w:val="en-GB"/>
        </w:rPr>
        <w:endnoteReference w:id="7"/>
      </w:r>
      <w:r w:rsidRPr="00C97A8E">
        <w:rPr>
          <w:rFonts w:eastAsia="Calibri"/>
          <w:lang w:val="en-GB"/>
        </w:rPr>
        <w:t xml:space="preserve"> Other companies had similar experience</w:t>
      </w:r>
      <w:r w:rsidR="00DF0557">
        <w:rPr>
          <w:rFonts w:eastAsia="Calibri"/>
          <w:lang w:val="en-GB"/>
        </w:rPr>
        <w:t>s; for example, tweets from @POTUS</w:t>
      </w:r>
      <w:r w:rsidRPr="00C97A8E">
        <w:rPr>
          <w:rFonts w:eastAsia="Calibri"/>
          <w:lang w:val="en-GB"/>
        </w:rPr>
        <w:t xml:space="preserve"> erased, in a matter of hours, billions of dollars in market capitalization at both Toyota Motor Corporation and General Motors Company.</w:t>
      </w:r>
      <w:r w:rsidRPr="00C97A8E">
        <w:rPr>
          <w:rFonts w:eastAsia="Calibri"/>
          <w:vertAlign w:val="superscript"/>
          <w:lang w:val="en-GB"/>
        </w:rPr>
        <w:endnoteReference w:id="8"/>
      </w:r>
    </w:p>
    <w:p w14:paraId="073F05BE" w14:textId="77777777" w:rsidR="00001AE5" w:rsidRPr="00C97A8E" w:rsidRDefault="00001AE5" w:rsidP="00001AE5">
      <w:pPr>
        <w:pStyle w:val="BodyTextMain"/>
        <w:rPr>
          <w:rFonts w:eastAsia="Calibri"/>
          <w:lang w:val="en-GB"/>
        </w:rPr>
      </w:pPr>
    </w:p>
    <w:p w14:paraId="17CC0F09" w14:textId="77777777" w:rsidR="00001AE5" w:rsidRPr="00C97A8E" w:rsidRDefault="00001AE5" w:rsidP="00001AE5">
      <w:pPr>
        <w:pStyle w:val="BodyTextMain"/>
        <w:rPr>
          <w:rFonts w:eastAsia="Calibri"/>
          <w:lang w:val="en-GB"/>
        </w:rPr>
      </w:pPr>
      <w:r w:rsidRPr="00C97A8E">
        <w:rPr>
          <w:rFonts w:eastAsia="Calibri"/>
          <w:lang w:val="en-GB"/>
        </w:rPr>
        <w:t>CEOs in other strategic industries, such as aerospace and defence contracting, also felt the wrath of @POTUS on Twitter. On December 6, 2016, minutes after the CEO of the Boeing Company (Boeing) had been “reported to have expressed doubt about Mr. Trump’s plans on international trade,”</w:t>
      </w:r>
      <w:r w:rsidRPr="00C97A8E">
        <w:rPr>
          <w:rFonts w:eastAsia="Calibri"/>
          <w:vertAlign w:val="superscript"/>
          <w:lang w:val="en-GB"/>
        </w:rPr>
        <w:endnoteReference w:id="9"/>
      </w:r>
      <w:r w:rsidRPr="00C97A8E">
        <w:rPr>
          <w:rFonts w:eastAsia="Calibri"/>
          <w:lang w:val="en-GB"/>
        </w:rPr>
        <w:t xml:space="preserve"> President-elect Trump wasted no time, tweeting, “Boeing is building a brand new 747 Air Force One for future presidents, but costs are out of control. Cancel order.” While several factors may have led to the decline of Boeing on that day, the damaging tweet erased $1 billion</w:t>
      </w:r>
      <w:r w:rsidR="00D1431A">
        <w:rPr>
          <w:rStyle w:val="EndnoteReference"/>
          <w:rFonts w:eastAsia="Calibri"/>
          <w:lang w:val="en-GB"/>
        </w:rPr>
        <w:endnoteReference w:id="10"/>
      </w:r>
      <w:r w:rsidRPr="00C97A8E">
        <w:rPr>
          <w:rFonts w:eastAsia="Calibri"/>
          <w:lang w:val="en-GB"/>
        </w:rPr>
        <w:t xml:space="preserve"> from Boeing’s stock market value and caused a spike in the volume of shares traded.</w:t>
      </w:r>
      <w:r w:rsidRPr="00C97A8E">
        <w:rPr>
          <w:rStyle w:val="EndnoteReference"/>
          <w:rFonts w:eastAsia="Calibri"/>
          <w:lang w:val="en-GB"/>
        </w:rPr>
        <w:endnoteReference w:id="11"/>
      </w:r>
      <w:r w:rsidRPr="00C97A8E">
        <w:rPr>
          <w:rFonts w:eastAsia="Calibri"/>
          <w:lang w:val="en-GB"/>
        </w:rPr>
        <w:t xml:space="preserve"> </w:t>
      </w:r>
    </w:p>
    <w:p w14:paraId="0A698AEA" w14:textId="77777777" w:rsidR="00001AE5" w:rsidRPr="00C97A8E" w:rsidRDefault="00001AE5" w:rsidP="00001AE5">
      <w:pPr>
        <w:pStyle w:val="BodyTextMain"/>
        <w:rPr>
          <w:rFonts w:eastAsia="Calibri"/>
          <w:lang w:val="en-GB"/>
        </w:rPr>
      </w:pPr>
    </w:p>
    <w:p w14:paraId="0E02E0CB" w14:textId="77777777" w:rsidR="00001AE5" w:rsidRPr="00C97A8E" w:rsidRDefault="00001AE5" w:rsidP="00001AE5">
      <w:pPr>
        <w:pStyle w:val="BodyTextMain"/>
        <w:rPr>
          <w:rFonts w:eastAsia="Calibri"/>
          <w:lang w:val="en-GB"/>
        </w:rPr>
      </w:pPr>
      <w:r w:rsidRPr="00C97A8E">
        <w:rPr>
          <w:rFonts w:eastAsia="Calibri"/>
          <w:lang w:val="en-GB"/>
        </w:rPr>
        <w:t>This pattern of “stock-price-moving tweets” was a factor for Boeing and also for Lockheed Martin Corporation (Lockheed Martin), which lost $1.2 billion in market value in the aftermath of yet another @POTUS tweet on December 22, 2016: “Based on the tremendous cost and cost overruns of the Lockheed Martin F-35, I have asked Boeing to price-out a comparable F-18 Super Hornet.”</w:t>
      </w:r>
      <w:r w:rsidRPr="00C97A8E">
        <w:rPr>
          <w:rFonts w:eastAsia="Calibri"/>
          <w:vertAlign w:val="superscript"/>
          <w:lang w:val="en-GB"/>
        </w:rPr>
        <w:endnoteReference w:id="12"/>
      </w:r>
      <w:r w:rsidRPr="00C97A8E">
        <w:rPr>
          <w:rFonts w:eastAsia="Calibri"/>
          <w:lang w:val="en-GB"/>
        </w:rPr>
        <w:t xml:space="preserve"> </w:t>
      </w:r>
    </w:p>
    <w:p w14:paraId="1F767E8D" w14:textId="77777777" w:rsidR="00001AE5" w:rsidRPr="00C97A8E" w:rsidRDefault="00001AE5" w:rsidP="00001AE5">
      <w:pPr>
        <w:pStyle w:val="BodyTextMain"/>
        <w:rPr>
          <w:rFonts w:eastAsia="Calibri"/>
          <w:lang w:val="en-GB"/>
        </w:rPr>
      </w:pPr>
    </w:p>
    <w:p w14:paraId="1FE1A08C" w14:textId="77777777" w:rsidR="00001AE5" w:rsidRPr="00C97A8E" w:rsidRDefault="00001AE5" w:rsidP="00001AE5">
      <w:pPr>
        <w:pStyle w:val="BodyTextMain"/>
        <w:rPr>
          <w:rFonts w:eastAsia="Calibri"/>
          <w:lang w:val="en-GB"/>
        </w:rPr>
      </w:pPr>
      <w:r w:rsidRPr="00C97A8E">
        <w:rPr>
          <w:rFonts w:eastAsia="Calibri"/>
          <w:lang w:val="en-GB"/>
        </w:rPr>
        <w:t>Was this use of social media a new way for the White House to strategically influence the U.S. business community by circumventing the mainstream press and trained journalists? Was it forcing companies to align their business decisions with government policy, or even to display blind allegiance—a stance that had been optional in relation to previous administrations? In recent years, the White House had generally taken counsel from these CEOs and had taken a laissez-faire approach rather than actively interfering with business decisions. However, this laissez-faire approach was becoming far less typical in early 2017. One thing was certain: the new approach was adding to the uncertainties associated with policy making, and it was very potent. CEOs</w:t>
      </w:r>
      <w:r>
        <w:rPr>
          <w:rFonts w:eastAsia="Calibri"/>
          <w:lang w:val="en-GB"/>
        </w:rPr>
        <w:t>,</w:t>
      </w:r>
      <w:r w:rsidRPr="00C97A8E">
        <w:rPr>
          <w:rFonts w:eastAsia="Calibri"/>
          <w:lang w:val="en-GB"/>
        </w:rPr>
        <w:t xml:space="preserve"> who were often compensated based on their companies’ stock performance, and who seemed at odds with the current administration, saw their companies’ stock prices plunge in a matter of hours. The tensions between the White House and the U.S. business community were building to an unprecedented level. </w:t>
      </w:r>
    </w:p>
    <w:p w14:paraId="2DD8CC9D" w14:textId="77777777" w:rsidR="00001AE5" w:rsidRPr="00C97A8E" w:rsidRDefault="00001AE5" w:rsidP="00001AE5">
      <w:pPr>
        <w:pStyle w:val="BodyTextMain"/>
        <w:rPr>
          <w:rFonts w:eastAsia="Calibri"/>
          <w:lang w:val="en-GB"/>
        </w:rPr>
      </w:pPr>
    </w:p>
    <w:p w14:paraId="712E6DE3" w14:textId="77777777" w:rsidR="00001AE5" w:rsidRPr="00C97A8E" w:rsidRDefault="00001AE5" w:rsidP="00001AE5">
      <w:pPr>
        <w:pStyle w:val="BodyTextMain"/>
        <w:rPr>
          <w:rFonts w:eastAsia="Calibri"/>
          <w:lang w:val="en-GB"/>
        </w:rPr>
      </w:pPr>
      <w:r w:rsidRPr="00C97A8E">
        <w:rPr>
          <w:rFonts w:eastAsia="Calibri"/>
          <w:lang w:val="en-GB"/>
        </w:rPr>
        <w:t xml:space="preserve">In this new context of highly unpredictable and volatile domestic priorities, what should the CEO of a U.S. multinational do regarding international expansion? </w:t>
      </w:r>
    </w:p>
    <w:p w14:paraId="1D3A88EA" w14:textId="77777777" w:rsidR="00001AE5" w:rsidRPr="00C97A8E" w:rsidRDefault="00001AE5" w:rsidP="00001AE5">
      <w:pPr>
        <w:pStyle w:val="BodyTextMain"/>
        <w:rPr>
          <w:rFonts w:eastAsia="Calibri"/>
          <w:lang w:val="en-GB"/>
        </w:rPr>
      </w:pPr>
    </w:p>
    <w:p w14:paraId="69A33EC4" w14:textId="26827057" w:rsidR="00001AE5" w:rsidRPr="00C97A8E" w:rsidRDefault="00001AE5" w:rsidP="00001AE5">
      <w:pPr>
        <w:pStyle w:val="BodyTextMain"/>
        <w:rPr>
          <w:rFonts w:eastAsia="Calibri"/>
          <w:lang w:val="en-GB"/>
        </w:rPr>
      </w:pPr>
      <w:r w:rsidRPr="00C97A8E">
        <w:rPr>
          <w:rFonts w:eastAsia="Calibri"/>
          <w:lang w:val="en-GB"/>
        </w:rPr>
        <w:t>Harley-Davidson, established in Milwaukee, Wisconsin, in 1903, had a long history. Levatich was fairly new to his role, having been elected president and CEO on May 1, 2015. He had to consider his options for reversing the trend of a year-long sales decline, generated mostly in the United States (see Exhibit 1), and a downward-trending stock price caused by the aging of the company’s main U.S. customers, who were “overwhelmingly white, male and middle-aged.”</w:t>
      </w:r>
      <w:r w:rsidRPr="00C97A8E">
        <w:rPr>
          <w:rFonts w:eastAsia="Calibri"/>
          <w:vertAlign w:val="superscript"/>
          <w:lang w:val="en-GB"/>
        </w:rPr>
        <w:endnoteReference w:id="13"/>
      </w:r>
    </w:p>
    <w:p w14:paraId="36ABC32A" w14:textId="77777777" w:rsidR="00001AE5" w:rsidRPr="00C97A8E" w:rsidRDefault="00001AE5" w:rsidP="00001AE5">
      <w:pPr>
        <w:pStyle w:val="BodyTextMain"/>
        <w:rPr>
          <w:rFonts w:eastAsia="Calibri"/>
          <w:lang w:val="en-GB"/>
        </w:rPr>
      </w:pPr>
    </w:p>
    <w:p w14:paraId="766AF38D" w14:textId="77777777" w:rsidR="00001AE5" w:rsidRPr="00C97A8E" w:rsidRDefault="00001AE5" w:rsidP="00001AE5">
      <w:pPr>
        <w:pStyle w:val="BodyTextMain"/>
        <w:rPr>
          <w:rFonts w:eastAsia="Calibri"/>
          <w:lang w:val="en-GB"/>
        </w:rPr>
      </w:pPr>
      <w:r w:rsidRPr="00C97A8E">
        <w:rPr>
          <w:rFonts w:eastAsia="Calibri"/>
          <w:lang w:val="en-GB"/>
        </w:rPr>
        <w:t xml:space="preserve">However, as a well-trained business executive and a Harley-Davidson veteran since 1994, he probably realized that international trade, which was often associated incorrectly with the loss of U.S. jobs to other countries, had been targeted as the enemy. In the context of the America First policy, international expansion had clearly become politically incorrect. </w:t>
      </w:r>
    </w:p>
    <w:p w14:paraId="000E6B80" w14:textId="77777777" w:rsidR="00001AE5" w:rsidRPr="00C97A8E" w:rsidRDefault="00001AE5" w:rsidP="00001AE5">
      <w:pPr>
        <w:pStyle w:val="BodyTextMain"/>
        <w:rPr>
          <w:rFonts w:eastAsia="Calibri"/>
          <w:lang w:val="en-GB"/>
        </w:rPr>
      </w:pPr>
    </w:p>
    <w:p w14:paraId="443EC9F8" w14:textId="751C8FB2" w:rsidR="00001AE5" w:rsidRPr="00C97A8E" w:rsidRDefault="00001AE5" w:rsidP="00001AE5">
      <w:pPr>
        <w:pStyle w:val="BodyTextMain"/>
        <w:rPr>
          <w:rFonts w:eastAsia="Calibri"/>
          <w:lang w:val="en-GB"/>
        </w:rPr>
      </w:pPr>
      <w:r w:rsidRPr="00C97A8E">
        <w:rPr>
          <w:rFonts w:eastAsia="Calibri"/>
          <w:lang w:val="en-GB"/>
        </w:rPr>
        <w:t>On Inauguration Day, two weeks before Levatich’s meeting at the White House, the U.S. international trade policy environment had turned away from globalization and its main trading partners (China, Japan, Mexico, and Europe</w:t>
      </w:r>
      <w:r>
        <w:rPr>
          <w:rFonts w:eastAsia="Calibri"/>
          <w:lang w:val="en-GB"/>
        </w:rPr>
        <w:t>an countries</w:t>
      </w:r>
      <w:r w:rsidRPr="00C97A8E">
        <w:rPr>
          <w:rFonts w:eastAsia="Calibri"/>
          <w:lang w:val="en-GB"/>
        </w:rPr>
        <w:t xml:space="preserve">), raising concerns around the world. On January 23, 2017, making good on a campaign promise, Trump pulled the United States out of the Trans-Pacific Partnership (TPP), an </w:t>
      </w:r>
      <w:r w:rsidRPr="00C97A8E">
        <w:rPr>
          <w:rFonts w:eastAsia="Calibri"/>
          <w:lang w:val="en-GB"/>
        </w:rPr>
        <w:lastRenderedPageBreak/>
        <w:t xml:space="preserve">agreement that had been aimed at boosting trade and reducing thousands of tariffs </w:t>
      </w:r>
      <w:r w:rsidR="00156452">
        <w:rPr>
          <w:rFonts w:eastAsia="Calibri"/>
          <w:lang w:val="en-GB"/>
        </w:rPr>
        <w:t>among</w:t>
      </w:r>
      <w:r w:rsidR="00156452" w:rsidRPr="00C97A8E">
        <w:rPr>
          <w:rFonts w:eastAsia="Calibri"/>
          <w:lang w:val="en-GB"/>
        </w:rPr>
        <w:t xml:space="preserve"> </w:t>
      </w:r>
      <w:r w:rsidRPr="00C97A8E">
        <w:rPr>
          <w:rFonts w:eastAsia="Calibri"/>
          <w:lang w:val="en-GB"/>
        </w:rPr>
        <w:t>12 nations. U.S. participation in the TPP would have benefited Harley-Davidson and many other U.S.-based multinationals in several industries. The TPP had been signed by President Barack Obama on February 4, 2016, after five years of negotiations and the use of fast-track authority. Trump had promised to also renegotiate NAFTA, based on the assumption that these trade deals were not sufficiently beneficial to the United States. While many of his supporters were rejoicing, many CEOs and economists voiced concerns and distanced themselves from Trump. The tensions between the White House and the U.S. business community had reached a new height.</w:t>
      </w:r>
    </w:p>
    <w:p w14:paraId="37D6F8FA" w14:textId="77777777" w:rsidR="00001AE5" w:rsidRPr="00C97A8E" w:rsidRDefault="00001AE5" w:rsidP="00001AE5">
      <w:pPr>
        <w:pStyle w:val="BodyTextMain"/>
        <w:rPr>
          <w:rFonts w:eastAsia="Calibri"/>
          <w:lang w:val="en-GB"/>
        </w:rPr>
      </w:pPr>
    </w:p>
    <w:p w14:paraId="4D1A53AE" w14:textId="77777777" w:rsidR="00001AE5" w:rsidRPr="00C97A8E" w:rsidRDefault="00001AE5" w:rsidP="00001AE5">
      <w:pPr>
        <w:pStyle w:val="BodyTextMain"/>
        <w:rPr>
          <w:rFonts w:eastAsia="Calibri"/>
          <w:lang w:val="en-GB"/>
        </w:rPr>
      </w:pPr>
    </w:p>
    <w:p w14:paraId="06091148" w14:textId="77777777" w:rsidR="00001AE5" w:rsidRPr="00C97A8E" w:rsidRDefault="00001AE5" w:rsidP="00001AE5">
      <w:pPr>
        <w:pStyle w:val="Casehead1"/>
        <w:rPr>
          <w:rFonts w:eastAsia="Calibri"/>
          <w:lang w:val="en-GB"/>
        </w:rPr>
      </w:pPr>
      <w:r w:rsidRPr="00C97A8E">
        <w:rPr>
          <w:rFonts w:eastAsia="Calibri"/>
          <w:lang w:val="en-GB"/>
        </w:rPr>
        <w:t xml:space="preserve">the Global Context and Harley-Davidson’s Internationalization </w:t>
      </w:r>
    </w:p>
    <w:p w14:paraId="24E8AD2E" w14:textId="77777777" w:rsidR="00001AE5" w:rsidRPr="00C97A8E" w:rsidRDefault="00001AE5" w:rsidP="00001AE5">
      <w:pPr>
        <w:pStyle w:val="BodyTextMain"/>
        <w:rPr>
          <w:rFonts w:eastAsia="Calibri"/>
          <w:lang w:val="en-GB"/>
        </w:rPr>
      </w:pPr>
    </w:p>
    <w:p w14:paraId="0D489621" w14:textId="4A9B1C39" w:rsidR="00001AE5" w:rsidRPr="00C97A8E" w:rsidRDefault="00001AE5" w:rsidP="00001AE5">
      <w:pPr>
        <w:pStyle w:val="BodyTextMain"/>
        <w:rPr>
          <w:rFonts w:eastAsia="Calibri"/>
          <w:lang w:val="en-GB"/>
        </w:rPr>
      </w:pPr>
      <w:r w:rsidRPr="00C97A8E">
        <w:rPr>
          <w:rFonts w:eastAsia="Calibri"/>
          <w:lang w:val="en-GB"/>
        </w:rPr>
        <w:t>For Levatich and Harley-Davidson, the end of U.S. participation in the TPP negotiations was bad news. The TPP could have saved Harley-Davidson millions of dollars by reducing, if not eliminating, high tariff barriers in Malaysia, for example. According to the International Trade Centre, import tariffs on Harley-Davidson motorcycles were also high in Thailand, and they were 100 per cent (that is, they doubled the price) in India,</w:t>
      </w:r>
      <w:r w:rsidRPr="00C97A8E">
        <w:rPr>
          <w:rFonts w:eastAsia="Calibri"/>
          <w:vertAlign w:val="superscript"/>
          <w:lang w:val="en-GB"/>
        </w:rPr>
        <w:endnoteReference w:id="14"/>
      </w:r>
      <w:r w:rsidRPr="00C97A8E">
        <w:rPr>
          <w:rFonts w:eastAsia="Calibri"/>
          <w:lang w:val="en-GB"/>
        </w:rPr>
        <w:t xml:space="preserve"> where Harley-Davidson had built plants first in Gurgaon, in 2009,</w:t>
      </w:r>
      <w:r w:rsidRPr="00C97A8E">
        <w:rPr>
          <w:rFonts w:eastAsia="Calibri"/>
          <w:vertAlign w:val="superscript"/>
          <w:lang w:val="en-GB"/>
        </w:rPr>
        <w:endnoteReference w:id="15"/>
      </w:r>
      <w:r w:rsidRPr="00C97A8E">
        <w:rPr>
          <w:rFonts w:eastAsia="Calibri"/>
          <w:lang w:val="en-GB"/>
        </w:rPr>
        <w:t xml:space="preserve"> and </w:t>
      </w:r>
      <w:r w:rsidR="00156452">
        <w:rPr>
          <w:rFonts w:eastAsia="Calibri"/>
          <w:lang w:val="en-GB"/>
        </w:rPr>
        <w:t>then</w:t>
      </w:r>
      <w:r w:rsidR="00156452" w:rsidRPr="00C97A8E">
        <w:rPr>
          <w:rFonts w:eastAsia="Calibri"/>
          <w:lang w:val="en-GB"/>
        </w:rPr>
        <w:t xml:space="preserve"> </w:t>
      </w:r>
      <w:r w:rsidRPr="00C97A8E">
        <w:rPr>
          <w:rFonts w:eastAsia="Calibri"/>
          <w:lang w:val="en-GB"/>
        </w:rPr>
        <w:t xml:space="preserve">in </w:t>
      </w:r>
      <w:proofErr w:type="spellStart"/>
      <w:r w:rsidRPr="00C97A8E">
        <w:rPr>
          <w:rFonts w:eastAsia="Calibri"/>
          <w:lang w:val="en-GB"/>
        </w:rPr>
        <w:t>Bawal</w:t>
      </w:r>
      <w:proofErr w:type="spellEnd"/>
      <w:r w:rsidRPr="00C97A8E">
        <w:rPr>
          <w:rFonts w:eastAsia="Calibri"/>
          <w:lang w:val="en-GB"/>
        </w:rPr>
        <w:t>,</w:t>
      </w:r>
      <w:r w:rsidRPr="00C97A8E">
        <w:rPr>
          <w:rFonts w:eastAsia="Calibri"/>
          <w:vertAlign w:val="superscript"/>
          <w:lang w:val="en-GB"/>
        </w:rPr>
        <w:endnoteReference w:id="16"/>
      </w:r>
      <w:r w:rsidRPr="00C97A8E">
        <w:rPr>
          <w:rFonts w:eastAsia="Calibri"/>
          <w:lang w:val="en-GB"/>
        </w:rPr>
        <w:t xml:space="preserve"> in </w:t>
      </w:r>
      <w:r w:rsidR="00156452">
        <w:rPr>
          <w:rFonts w:eastAsia="Calibri"/>
          <w:lang w:val="en-GB"/>
        </w:rPr>
        <w:t>an effort</w:t>
      </w:r>
      <w:r w:rsidR="00156452" w:rsidRPr="00C97A8E">
        <w:rPr>
          <w:rFonts w:eastAsia="Calibri"/>
          <w:lang w:val="en-GB"/>
        </w:rPr>
        <w:t xml:space="preserve"> </w:t>
      </w:r>
      <w:r w:rsidRPr="00C97A8E">
        <w:rPr>
          <w:rFonts w:eastAsia="Calibri"/>
          <w:lang w:val="en-GB"/>
        </w:rPr>
        <w:t>to avoid this type of prohibitive tax. The former chair of the asset management</w:t>
      </w:r>
      <w:r w:rsidRPr="00C97A8E" w:rsidDel="00766C95">
        <w:rPr>
          <w:rFonts w:eastAsia="Calibri"/>
          <w:lang w:val="en-GB"/>
        </w:rPr>
        <w:t xml:space="preserve"> </w:t>
      </w:r>
      <w:r w:rsidRPr="00C97A8E">
        <w:rPr>
          <w:rFonts w:eastAsia="Calibri"/>
          <w:lang w:val="en-GB"/>
        </w:rPr>
        <w:t xml:space="preserve">division of Goldman Sachs Group Inc., Jim O’Neill, had coined the term BRIC to describe the economies of Brazil, Russia, India, and China. Harley-Davidson’s major step into these promising and fast-growing emerging BRIC markets had been aimed at offsetting lacklustre U.S. sales following the 2008 global financial crisis. In fact, the company’s internationalization plans included several strategic options, ranging from direct exports to foreign direct investments such as building plants overseas or taking at least a 10 per cent capital stake in a foreign partner. </w:t>
      </w:r>
    </w:p>
    <w:p w14:paraId="34B4305A" w14:textId="77777777" w:rsidR="00001AE5" w:rsidRPr="00C97A8E" w:rsidRDefault="00001AE5" w:rsidP="00001AE5">
      <w:pPr>
        <w:pStyle w:val="BodyTextMain"/>
        <w:rPr>
          <w:rFonts w:eastAsia="Calibri"/>
          <w:lang w:val="en-GB"/>
        </w:rPr>
      </w:pPr>
    </w:p>
    <w:p w14:paraId="7FAFC7A8" w14:textId="31D0130B" w:rsidR="00001AE5" w:rsidRPr="00C97A8E" w:rsidRDefault="00001AE5" w:rsidP="00001AE5">
      <w:pPr>
        <w:pStyle w:val="BodyTextMain"/>
        <w:rPr>
          <w:rFonts w:eastAsia="Calibri"/>
          <w:lang w:val="en-GB"/>
        </w:rPr>
      </w:pPr>
      <w:r w:rsidRPr="00C97A8E">
        <w:rPr>
          <w:rFonts w:eastAsia="Calibri"/>
          <w:lang w:val="en-GB"/>
        </w:rPr>
        <w:t xml:space="preserve">Almost a century earlier, Harley-Davidson had been the largest motorcycle maker in the world, distributing motorcycles in 67 countries through 2,000 dealers. However, the majority of its sales were on U.S. soil, and Harley-Davidson’s prosperity was dependent on the U.S. economy and its loyal customer base. During and after World War II, world markets became increasingly interconnected. </w:t>
      </w:r>
      <w:r w:rsidR="00156452">
        <w:rPr>
          <w:rFonts w:eastAsia="Calibri"/>
          <w:lang w:val="en-GB"/>
        </w:rPr>
        <w:t>T</w:t>
      </w:r>
      <w:r w:rsidR="00156452" w:rsidRPr="00C97A8E">
        <w:rPr>
          <w:rFonts w:eastAsia="Calibri"/>
          <w:lang w:val="en-GB"/>
        </w:rPr>
        <w:t>o support this important evolution of the global economy</w:t>
      </w:r>
      <w:r w:rsidR="007D76E6">
        <w:rPr>
          <w:rFonts w:eastAsia="Calibri"/>
          <w:lang w:val="en-GB"/>
        </w:rPr>
        <w:t>,</w:t>
      </w:r>
      <w:r w:rsidR="00156452" w:rsidRPr="00C97A8E">
        <w:rPr>
          <w:rFonts w:eastAsia="Calibri"/>
          <w:lang w:val="en-GB"/>
        </w:rPr>
        <w:t xml:space="preserve"> </w:t>
      </w:r>
      <w:r w:rsidR="007D76E6">
        <w:rPr>
          <w:rFonts w:eastAsia="Calibri"/>
          <w:lang w:val="en-GB"/>
        </w:rPr>
        <w:t>a</w:t>
      </w:r>
      <w:r w:rsidRPr="00C97A8E">
        <w:rPr>
          <w:rFonts w:eastAsia="Calibri"/>
          <w:lang w:val="en-GB"/>
        </w:rPr>
        <w:t xml:space="preserve">greements </w:t>
      </w:r>
      <w:r w:rsidR="007D76E6">
        <w:rPr>
          <w:rFonts w:eastAsia="Calibri"/>
          <w:lang w:val="en-GB"/>
        </w:rPr>
        <w:t xml:space="preserve">were formed, </w:t>
      </w:r>
      <w:r w:rsidRPr="00C97A8E">
        <w:rPr>
          <w:rFonts w:eastAsia="Calibri"/>
          <w:lang w:val="en-GB"/>
        </w:rPr>
        <w:t>such as the General Agreement on Tariffs and Trade, signed by 23 nations in 1947</w:t>
      </w:r>
      <w:r w:rsidR="007D76E6">
        <w:rPr>
          <w:rFonts w:eastAsia="Calibri"/>
          <w:lang w:val="en-GB"/>
        </w:rPr>
        <w:t>;</w:t>
      </w:r>
      <w:r w:rsidRPr="00C97A8E">
        <w:rPr>
          <w:rFonts w:eastAsia="Calibri"/>
          <w:lang w:val="en-GB"/>
        </w:rPr>
        <w:t xml:space="preserve"> and the World Trade Organization </w:t>
      </w:r>
      <w:r w:rsidR="007D76E6">
        <w:rPr>
          <w:rFonts w:eastAsia="Calibri"/>
          <w:lang w:val="en-GB"/>
        </w:rPr>
        <w:t xml:space="preserve">was </w:t>
      </w:r>
      <w:r w:rsidRPr="00C97A8E">
        <w:rPr>
          <w:rFonts w:eastAsia="Calibri"/>
          <w:lang w:val="en-GB"/>
        </w:rPr>
        <w:t xml:space="preserve">created in 1995 and </w:t>
      </w:r>
      <w:r w:rsidR="007D76E6">
        <w:rPr>
          <w:rFonts w:eastAsia="Calibri"/>
          <w:lang w:val="en-GB"/>
        </w:rPr>
        <w:t xml:space="preserve">grew to </w:t>
      </w:r>
      <w:r w:rsidR="007D76E6" w:rsidRPr="00C97A8E">
        <w:rPr>
          <w:rFonts w:eastAsia="Calibri"/>
          <w:lang w:val="en-GB"/>
        </w:rPr>
        <w:t>includ</w:t>
      </w:r>
      <w:r w:rsidR="007D76E6">
        <w:rPr>
          <w:rFonts w:eastAsia="Calibri"/>
          <w:lang w:val="en-GB"/>
        </w:rPr>
        <w:t>e</w:t>
      </w:r>
      <w:r w:rsidR="007D76E6" w:rsidRPr="00C97A8E">
        <w:rPr>
          <w:rFonts w:eastAsia="Calibri"/>
          <w:lang w:val="en-GB"/>
        </w:rPr>
        <w:t xml:space="preserve"> </w:t>
      </w:r>
      <w:r w:rsidRPr="00C97A8E">
        <w:rPr>
          <w:rFonts w:eastAsia="Calibri"/>
          <w:lang w:val="en-GB"/>
        </w:rPr>
        <w:t xml:space="preserve">164 member states in 2017. </w:t>
      </w:r>
    </w:p>
    <w:p w14:paraId="158B6581" w14:textId="77777777" w:rsidR="00001AE5" w:rsidRPr="00C97A8E" w:rsidRDefault="00001AE5" w:rsidP="00001AE5">
      <w:pPr>
        <w:pStyle w:val="BodyTextMain"/>
        <w:rPr>
          <w:rFonts w:eastAsia="Calibri"/>
          <w:lang w:val="en-GB"/>
        </w:rPr>
      </w:pPr>
    </w:p>
    <w:p w14:paraId="1FC1C7E1" w14:textId="296864AE" w:rsidR="00001AE5" w:rsidRPr="00C97A8E" w:rsidRDefault="00001AE5" w:rsidP="00001AE5">
      <w:pPr>
        <w:pStyle w:val="BodyTextMain"/>
        <w:rPr>
          <w:rFonts w:eastAsia="Calibri"/>
          <w:lang w:val="en-GB"/>
        </w:rPr>
      </w:pPr>
      <w:r w:rsidRPr="00C97A8E">
        <w:rPr>
          <w:rFonts w:eastAsia="Calibri"/>
          <w:lang w:val="en-GB"/>
        </w:rPr>
        <w:t xml:space="preserve">In the 1960s and 1970s, Harley-Davidson had suffered greatly because of </w:t>
      </w:r>
      <w:r w:rsidR="00E72B80">
        <w:rPr>
          <w:rFonts w:eastAsia="Calibri"/>
          <w:lang w:val="en-GB"/>
        </w:rPr>
        <w:t xml:space="preserve">both poor product quality and </w:t>
      </w:r>
      <w:r w:rsidRPr="00C97A8E">
        <w:rPr>
          <w:rFonts w:eastAsia="Calibri"/>
          <w:lang w:val="en-GB"/>
        </w:rPr>
        <w:t xml:space="preserve">international competition from Europe and Japan. Product quality became an issue especially after </w:t>
      </w:r>
      <w:r w:rsidR="00F2058C">
        <w:rPr>
          <w:rFonts w:eastAsia="Calibri"/>
          <w:lang w:val="en-GB"/>
        </w:rPr>
        <w:t xml:space="preserve">1969, when </w:t>
      </w:r>
      <w:r w:rsidRPr="00C97A8E">
        <w:rPr>
          <w:rFonts w:eastAsia="Calibri"/>
          <w:lang w:val="en-GB"/>
        </w:rPr>
        <w:t xml:space="preserve">the company’s motorcycles division was purchased by American Machine and Foundry Inc., a popular sports equipment manufacturer. The situation improved only after the Reagan administration imposed a 45 per cent tariff on imported motorcycles with engines of at least 700 cubic centimetres (cc)—a tariff that was in effect for four years, between 1983 and 1987. </w:t>
      </w:r>
    </w:p>
    <w:p w14:paraId="681DB730" w14:textId="77777777" w:rsidR="00001AE5" w:rsidRPr="00C97A8E" w:rsidRDefault="00001AE5" w:rsidP="00001AE5">
      <w:pPr>
        <w:pStyle w:val="BodyTextMain"/>
        <w:rPr>
          <w:rFonts w:eastAsia="Calibri"/>
          <w:lang w:val="en-GB"/>
        </w:rPr>
      </w:pPr>
    </w:p>
    <w:p w14:paraId="57098BF8" w14:textId="63BC78F7" w:rsidR="00001AE5" w:rsidRPr="00C97A8E" w:rsidRDefault="00001AE5" w:rsidP="00001AE5">
      <w:pPr>
        <w:pStyle w:val="BodyTextMain"/>
        <w:rPr>
          <w:rFonts w:eastAsia="Calibri"/>
          <w:lang w:val="en-GB"/>
        </w:rPr>
      </w:pPr>
      <w:r w:rsidRPr="00C97A8E">
        <w:rPr>
          <w:rFonts w:eastAsia="Calibri"/>
          <w:lang w:val="en-GB"/>
        </w:rPr>
        <w:t>In the 1990s, Harley-Davidson emerged from its dark period as a strong innovator and a globally competitive U.S. motorcycle manufacturer. Its innovations included fuel injection and drive belts (instead of greasy chains) featured on all models, and a V-Rod engine that was designed in collaboration with Porsche and featur</w:t>
      </w:r>
      <w:r>
        <w:rPr>
          <w:rFonts w:eastAsia="Calibri"/>
          <w:lang w:val="en-GB"/>
        </w:rPr>
        <w:t>ed</w:t>
      </w:r>
      <w:r w:rsidRPr="00C97A8E">
        <w:rPr>
          <w:rFonts w:eastAsia="Calibri"/>
          <w:lang w:val="en-GB"/>
        </w:rPr>
        <w:t xml:space="preserve"> liquid cooling. These innovations drove sales and earnings into high gear; the main focus of the management team was to increase production every year. Until 2001, with a booming U.S. economy and stock market, Harley-Davidson was still primarily focused on the U.S. market. However, managers had become complacent and </w:t>
      </w:r>
      <w:r w:rsidR="0093669B" w:rsidRPr="00C97A8E">
        <w:rPr>
          <w:rFonts w:eastAsia="Calibri"/>
          <w:lang w:val="en-GB"/>
        </w:rPr>
        <w:t>over reliant</w:t>
      </w:r>
      <w:r w:rsidRPr="00C97A8E">
        <w:rPr>
          <w:rFonts w:eastAsia="Calibri"/>
          <w:lang w:val="en-GB"/>
        </w:rPr>
        <w:t xml:space="preserve"> on their domestic market</w:t>
      </w:r>
      <w:r w:rsidR="00F2058C">
        <w:rPr>
          <w:rFonts w:eastAsia="Calibri"/>
          <w:lang w:val="en-GB"/>
        </w:rPr>
        <w:t>.</w:t>
      </w:r>
      <w:r w:rsidRPr="00C97A8E">
        <w:rPr>
          <w:rFonts w:eastAsia="Calibri"/>
          <w:lang w:val="en-GB"/>
        </w:rPr>
        <w:t xml:space="preserve"> </w:t>
      </w:r>
      <w:r w:rsidR="00F2058C">
        <w:rPr>
          <w:rFonts w:eastAsia="Calibri"/>
          <w:lang w:val="en-GB"/>
        </w:rPr>
        <w:t xml:space="preserve">Their </w:t>
      </w:r>
      <w:r w:rsidRPr="00C97A8E">
        <w:rPr>
          <w:rFonts w:eastAsia="Calibri"/>
          <w:lang w:val="en-GB"/>
        </w:rPr>
        <w:t xml:space="preserve">wake-up call came when the 2007 U.S. market decline was followed by the 2008 global financial crisis. </w:t>
      </w:r>
    </w:p>
    <w:p w14:paraId="244B99A3" w14:textId="77777777" w:rsidR="00001AE5" w:rsidRPr="00C97A8E" w:rsidRDefault="00001AE5" w:rsidP="00001AE5">
      <w:pPr>
        <w:pStyle w:val="BodyTextMain"/>
        <w:rPr>
          <w:rFonts w:eastAsia="Calibri"/>
          <w:lang w:val="en-GB"/>
        </w:rPr>
      </w:pPr>
    </w:p>
    <w:p w14:paraId="0351D550" w14:textId="77777777" w:rsidR="00001AE5" w:rsidRPr="00C97A8E" w:rsidRDefault="00001AE5" w:rsidP="00001AE5">
      <w:pPr>
        <w:pStyle w:val="BodyTextMain"/>
        <w:rPr>
          <w:rFonts w:eastAsia="Calibri"/>
          <w:lang w:val="en-GB"/>
        </w:rPr>
      </w:pPr>
      <w:r w:rsidRPr="00C97A8E">
        <w:rPr>
          <w:rFonts w:eastAsia="Calibri"/>
          <w:lang w:val="en-GB"/>
        </w:rPr>
        <w:lastRenderedPageBreak/>
        <w:t xml:space="preserve">In 2011, Harley-Davidson motorcycles were made in the United States, assembled in India and Manaus, Brazil (since 1999), and distributed in 86 countries through 1,400 dealers, most of whom were located outside of the United States and away from the old riders—the so-called real bikers. </w:t>
      </w:r>
    </w:p>
    <w:p w14:paraId="75712265" w14:textId="77777777" w:rsidR="00001AE5" w:rsidRPr="00C97A8E" w:rsidRDefault="00001AE5" w:rsidP="00001AE5">
      <w:pPr>
        <w:pStyle w:val="BodyTextMain"/>
        <w:rPr>
          <w:rFonts w:eastAsia="Calibri"/>
          <w:lang w:val="en-GB"/>
        </w:rPr>
      </w:pPr>
    </w:p>
    <w:p w14:paraId="10416FB6" w14:textId="74F3D4F6" w:rsidR="00001AE5" w:rsidRPr="00C97A8E" w:rsidRDefault="00001AE5" w:rsidP="00001AE5">
      <w:pPr>
        <w:pStyle w:val="BodyTextMain"/>
        <w:rPr>
          <w:rFonts w:eastAsia="Calibri"/>
          <w:lang w:val="en-GB"/>
        </w:rPr>
      </w:pPr>
      <w:r w:rsidRPr="00C97A8E">
        <w:rPr>
          <w:rFonts w:eastAsia="Calibri"/>
          <w:lang w:val="en-GB"/>
        </w:rPr>
        <w:t>During the period from 2011 to 2015, exchange-rate trends made it easier for European companies to compete based on cheaper prices as they entered the U.S. market. The value of the euro decreased by more than 30 per cent during this period as the U.S. dollar strengthened, rising from $1.48 per euro on April 25, 2011, to $1.05</w:t>
      </w:r>
      <w:r w:rsidR="007D76E6">
        <w:rPr>
          <w:rFonts w:eastAsia="Calibri"/>
          <w:lang w:val="en-GB"/>
        </w:rPr>
        <w:t>,</w:t>
      </w:r>
      <w:r w:rsidRPr="00C97A8E">
        <w:rPr>
          <w:rFonts w:eastAsia="Calibri"/>
          <w:lang w:val="en-GB"/>
        </w:rPr>
        <w:t xml:space="preserve"> on March 9, 2015.</w:t>
      </w:r>
      <w:r w:rsidRPr="00C97A8E">
        <w:rPr>
          <w:rFonts w:eastAsia="Calibri"/>
          <w:vertAlign w:val="superscript"/>
          <w:lang w:val="en-GB"/>
        </w:rPr>
        <w:endnoteReference w:id="17"/>
      </w:r>
      <w:r w:rsidRPr="00C97A8E">
        <w:rPr>
          <w:rFonts w:eastAsia="Calibri"/>
          <w:lang w:val="en-GB"/>
        </w:rPr>
        <w:t xml:space="preserve"> This trend persisted, with an exchange rate of approximately $1.15 per euro in 2017. Additional challenges and headwinds were surfacing, and </w:t>
      </w:r>
      <w:r w:rsidR="007D76E6">
        <w:rPr>
          <w:rFonts w:eastAsia="Calibri"/>
          <w:lang w:val="en-GB"/>
        </w:rPr>
        <w:t xml:space="preserve">needed </w:t>
      </w:r>
      <w:r w:rsidRPr="00C97A8E">
        <w:rPr>
          <w:rFonts w:eastAsia="Calibri"/>
          <w:lang w:val="en-GB"/>
        </w:rPr>
        <w:t>to be addressed by Harley-Davidson’s leader.</w:t>
      </w:r>
    </w:p>
    <w:p w14:paraId="39675CA1" w14:textId="77777777" w:rsidR="00001AE5" w:rsidRPr="00C97A8E" w:rsidRDefault="00001AE5" w:rsidP="00001AE5">
      <w:pPr>
        <w:pStyle w:val="BodyTextMain"/>
        <w:rPr>
          <w:rFonts w:eastAsia="Calibri"/>
          <w:lang w:val="en-GB"/>
        </w:rPr>
      </w:pPr>
    </w:p>
    <w:p w14:paraId="4D595937" w14:textId="77777777" w:rsidR="00001AE5" w:rsidRPr="00C97A8E" w:rsidRDefault="00001AE5" w:rsidP="00001AE5">
      <w:pPr>
        <w:pStyle w:val="BodyTextMain"/>
        <w:rPr>
          <w:rFonts w:eastAsia="Calibri"/>
          <w:lang w:val="en-GB"/>
        </w:rPr>
      </w:pPr>
    </w:p>
    <w:p w14:paraId="77C06CD1" w14:textId="77777777" w:rsidR="00001AE5" w:rsidRPr="00C97A8E" w:rsidRDefault="00001AE5" w:rsidP="00001AE5">
      <w:pPr>
        <w:pStyle w:val="Casehead1"/>
        <w:keepNext/>
        <w:rPr>
          <w:rFonts w:eastAsia="Calibri"/>
          <w:lang w:val="en-GB"/>
        </w:rPr>
      </w:pPr>
      <w:r w:rsidRPr="00C97A8E">
        <w:rPr>
          <w:rFonts w:eastAsia="Calibri"/>
          <w:lang w:val="en-GB"/>
        </w:rPr>
        <w:t>Harley-Davidson: An America Icon Facing SIGNIFICANT Headwinds</w:t>
      </w:r>
    </w:p>
    <w:p w14:paraId="2C1B85F6" w14:textId="77777777" w:rsidR="00001AE5" w:rsidRPr="00C97A8E" w:rsidRDefault="00001AE5" w:rsidP="00001AE5">
      <w:pPr>
        <w:pStyle w:val="BodyTextMain"/>
        <w:keepNext/>
        <w:rPr>
          <w:rFonts w:eastAsia="Calibri"/>
          <w:lang w:val="en-GB"/>
        </w:rPr>
      </w:pPr>
    </w:p>
    <w:p w14:paraId="36EF07E8" w14:textId="77777777" w:rsidR="00001AE5" w:rsidRPr="00C97A8E" w:rsidRDefault="00001AE5" w:rsidP="00001AE5">
      <w:pPr>
        <w:pStyle w:val="Casehead2"/>
        <w:keepNext/>
        <w:rPr>
          <w:rFonts w:eastAsia="Calibri"/>
          <w:lang w:val="en-GB"/>
        </w:rPr>
      </w:pPr>
      <w:r w:rsidRPr="00C97A8E">
        <w:rPr>
          <w:rFonts w:eastAsia="Calibri"/>
          <w:lang w:val="en-GB"/>
        </w:rPr>
        <w:t>Leadership</w:t>
      </w:r>
    </w:p>
    <w:p w14:paraId="0B0F2B72" w14:textId="77777777" w:rsidR="00001AE5" w:rsidRPr="00C97A8E" w:rsidRDefault="00001AE5" w:rsidP="00001AE5">
      <w:pPr>
        <w:pStyle w:val="BodyTextMain"/>
        <w:rPr>
          <w:rFonts w:eastAsia="Calibri"/>
          <w:lang w:val="en-GB"/>
        </w:rPr>
      </w:pPr>
    </w:p>
    <w:p w14:paraId="600277EC" w14:textId="77777777" w:rsidR="00001AE5" w:rsidRPr="00C97A8E" w:rsidRDefault="00001AE5" w:rsidP="00001AE5">
      <w:pPr>
        <w:pStyle w:val="BodyTextMain"/>
        <w:rPr>
          <w:rFonts w:eastAsia="Calibri"/>
          <w:lang w:val="en-GB"/>
        </w:rPr>
      </w:pPr>
      <w:r w:rsidRPr="00C97A8E">
        <w:rPr>
          <w:rFonts w:eastAsia="Calibri"/>
          <w:lang w:val="en-GB"/>
        </w:rPr>
        <w:t>Levatich became the CEO of Harley-Davidson on May 1, 2015. In more than 20 years at Harley-Davidson, the 53-year-old Levatich had experienced many changes. He had deep roots in manufacturing management and had honed his business skills on the job and through his formal education. His biographical statement on Harley-Davidson’s website</w:t>
      </w:r>
      <w:r w:rsidRPr="00C97A8E">
        <w:rPr>
          <w:rFonts w:eastAsia="Calibri"/>
          <w:vertAlign w:val="superscript"/>
          <w:lang w:val="en-GB"/>
        </w:rPr>
        <w:endnoteReference w:id="18"/>
      </w:r>
      <w:r w:rsidRPr="00C97A8E">
        <w:rPr>
          <w:rFonts w:eastAsia="Calibri"/>
          <w:lang w:val="en-GB"/>
        </w:rPr>
        <w:t xml:space="preserve"> described a well-rounded executive with direct exposure to international trade and the global economy:</w:t>
      </w:r>
    </w:p>
    <w:p w14:paraId="59BF8BD3" w14:textId="77777777" w:rsidR="00001AE5" w:rsidRPr="00C97A8E" w:rsidRDefault="00001AE5" w:rsidP="00001AE5">
      <w:pPr>
        <w:pStyle w:val="BodyTextMain"/>
        <w:rPr>
          <w:rFonts w:eastAsia="Calibri"/>
          <w:lang w:val="en-GB"/>
        </w:rPr>
      </w:pPr>
    </w:p>
    <w:p w14:paraId="2463F77E" w14:textId="77777777" w:rsidR="00001AE5" w:rsidRPr="00C97A8E" w:rsidRDefault="00001AE5" w:rsidP="00001AE5">
      <w:pPr>
        <w:pStyle w:val="BodyTextMain"/>
        <w:ind w:left="567"/>
        <w:rPr>
          <w:rFonts w:eastAsia="Calibri"/>
          <w:lang w:val="en-GB"/>
        </w:rPr>
      </w:pPr>
      <w:r w:rsidRPr="00C97A8E">
        <w:rPr>
          <w:rFonts w:eastAsia="Calibri"/>
          <w:lang w:val="en-GB"/>
        </w:rPr>
        <w:t xml:space="preserve">Matt Levatich serves as President and Chief Executive Officer of Harley-Davidson, Inc. Levatich joined Harley-Davidson in 1994 and held positions of increasing responsibility in the U.S. and Europe, including President and Chief Operating Officer of Harley-Davidson Motor Company, Vice President and General Manager of the Motor Company’s Parts and Accessories business, Vice President of Materials Management, and President and Managing Director of MV </w:t>
      </w:r>
      <w:proofErr w:type="spellStart"/>
      <w:r w:rsidRPr="00C97A8E">
        <w:rPr>
          <w:rFonts w:eastAsia="Calibri"/>
          <w:lang w:val="en-GB"/>
        </w:rPr>
        <w:t>Agusta</w:t>
      </w:r>
      <w:proofErr w:type="spellEnd"/>
      <w:r w:rsidRPr="00C97A8E">
        <w:rPr>
          <w:rFonts w:eastAsia="Calibri"/>
          <w:lang w:val="en-GB"/>
        </w:rPr>
        <w:t>.</w:t>
      </w:r>
    </w:p>
    <w:p w14:paraId="2A1A6E72" w14:textId="77777777" w:rsidR="00001AE5" w:rsidRPr="00C97A8E" w:rsidRDefault="00001AE5" w:rsidP="00001AE5">
      <w:pPr>
        <w:pStyle w:val="BodyTextMain"/>
        <w:ind w:left="567"/>
        <w:rPr>
          <w:rFonts w:eastAsia="Calibri"/>
          <w:lang w:val="en-GB"/>
        </w:rPr>
      </w:pPr>
    </w:p>
    <w:p w14:paraId="530BE4CD" w14:textId="469B5187" w:rsidR="00001AE5" w:rsidRPr="00C97A8E" w:rsidRDefault="00001AE5" w:rsidP="00001AE5">
      <w:pPr>
        <w:pStyle w:val="BodyTextMain"/>
        <w:ind w:left="567"/>
        <w:rPr>
          <w:rFonts w:eastAsia="Calibri"/>
          <w:lang w:val="en-GB"/>
        </w:rPr>
      </w:pPr>
      <w:r w:rsidRPr="00C97A8E">
        <w:rPr>
          <w:rFonts w:eastAsia="Calibri"/>
          <w:lang w:val="en-GB"/>
        </w:rPr>
        <w:t xml:space="preserve">Prior to joining Harley-Davidson, Levatich held positions in engineering and in manufacturing management with FMC Corporation and Albany International Corporation. He holds an undergraduate degree in mechanical engineering from Rensselaer Polytechnic Institute. He received his graduate degree in engineering management and MBA in marketing, finance and organizational </w:t>
      </w:r>
      <w:r w:rsidR="0093669B" w:rsidRPr="00C97A8E">
        <w:rPr>
          <w:rFonts w:eastAsia="Calibri"/>
          <w:lang w:val="en-GB"/>
        </w:rPr>
        <w:t>behaviour</w:t>
      </w:r>
      <w:r w:rsidRPr="00C97A8E">
        <w:rPr>
          <w:rFonts w:eastAsia="Calibri"/>
          <w:lang w:val="en-GB"/>
        </w:rPr>
        <w:t xml:space="preserve"> from </w:t>
      </w:r>
      <w:proofErr w:type="spellStart"/>
      <w:r w:rsidRPr="00C97A8E">
        <w:rPr>
          <w:rFonts w:eastAsia="Calibri"/>
          <w:lang w:val="en-GB"/>
        </w:rPr>
        <w:t>Northwestern</w:t>
      </w:r>
      <w:proofErr w:type="spellEnd"/>
      <w:r w:rsidRPr="00C97A8E">
        <w:rPr>
          <w:rFonts w:eastAsia="Calibri"/>
          <w:lang w:val="en-GB"/>
        </w:rPr>
        <w:t xml:space="preserve"> University (Class of 1994). In addition to serving on the board of directors of Harley-Davidson, Inc., Levatich serves on the board of directors for Emerson, a global manufacturing and technology company based in St. Louis, and on the executive advisory board of </w:t>
      </w:r>
      <w:proofErr w:type="spellStart"/>
      <w:r w:rsidRPr="00C97A8E">
        <w:rPr>
          <w:rFonts w:eastAsia="Calibri"/>
          <w:lang w:val="en-GB"/>
        </w:rPr>
        <w:t>Northwestern’s</w:t>
      </w:r>
      <w:proofErr w:type="spellEnd"/>
      <w:r w:rsidRPr="00C97A8E">
        <w:rPr>
          <w:rFonts w:eastAsia="Calibri"/>
          <w:lang w:val="en-GB"/>
        </w:rPr>
        <w:t xml:space="preserve"> Master of Management and Manufacturing Program.</w:t>
      </w:r>
    </w:p>
    <w:p w14:paraId="0A558111" w14:textId="77777777" w:rsidR="00001AE5" w:rsidRPr="00C97A8E" w:rsidRDefault="00001AE5" w:rsidP="00001AE5">
      <w:pPr>
        <w:pStyle w:val="BodyTextMain"/>
        <w:rPr>
          <w:rFonts w:eastAsia="Calibri"/>
          <w:lang w:val="en-GB"/>
        </w:rPr>
      </w:pPr>
    </w:p>
    <w:p w14:paraId="0D450E92" w14:textId="5F6F1334" w:rsidR="00001AE5" w:rsidRPr="00C97A8E" w:rsidRDefault="00001AE5" w:rsidP="00001AE5">
      <w:pPr>
        <w:pStyle w:val="BodyTextMain"/>
        <w:rPr>
          <w:rFonts w:eastAsia="Calibri"/>
          <w:lang w:val="en-GB"/>
        </w:rPr>
      </w:pPr>
      <w:r w:rsidRPr="00C97A8E">
        <w:rPr>
          <w:rFonts w:eastAsia="Calibri"/>
          <w:lang w:val="en-GB"/>
        </w:rPr>
        <w:t>Based on his seasoned business background, Levatich knew that his performance would be measured according to Harley-Davidson’s stock price behaviour over time. His 6,400 employees worldwide and shareholders were watching his every move. He also knew that the Harley-Davidson brand typically appealed to customers who wanted to feel free and bold and who wanted to make a (loud) statement. These characteristics epitomized not only the American spirit and ideals but also deep human values that were s</w:t>
      </w:r>
      <w:r w:rsidR="00317EB7">
        <w:rPr>
          <w:rFonts w:eastAsia="Calibri"/>
          <w:lang w:val="en-GB"/>
        </w:rPr>
        <w:t>hared by many around the world.</w:t>
      </w:r>
      <w:r w:rsidR="00317EB7">
        <w:rPr>
          <w:rStyle w:val="EndnoteReference"/>
          <w:rFonts w:eastAsia="Calibri"/>
          <w:lang w:val="en-GB"/>
        </w:rPr>
        <w:endnoteReference w:id="19"/>
      </w:r>
    </w:p>
    <w:p w14:paraId="2D4C9CA8" w14:textId="77777777" w:rsidR="00001AE5" w:rsidRPr="00C97A8E" w:rsidRDefault="00001AE5" w:rsidP="00001AE5">
      <w:pPr>
        <w:pStyle w:val="BodyTextMain"/>
        <w:rPr>
          <w:rFonts w:eastAsia="Calibri"/>
          <w:lang w:val="en-GB"/>
        </w:rPr>
      </w:pPr>
    </w:p>
    <w:p w14:paraId="6F22938C" w14:textId="77777777" w:rsidR="00001AE5" w:rsidRPr="00C97A8E" w:rsidRDefault="00001AE5" w:rsidP="00001AE5">
      <w:pPr>
        <w:pStyle w:val="BodyTextMain"/>
        <w:rPr>
          <w:rFonts w:eastAsia="Calibri"/>
          <w:lang w:val="en-GB"/>
        </w:rPr>
      </w:pPr>
    </w:p>
    <w:p w14:paraId="1C835CBF" w14:textId="77777777" w:rsidR="00001AE5" w:rsidRPr="00C97A8E" w:rsidRDefault="00001AE5" w:rsidP="00001AE5">
      <w:pPr>
        <w:pStyle w:val="Casehead2"/>
        <w:rPr>
          <w:rFonts w:eastAsia="Calibri"/>
          <w:lang w:val="en-GB"/>
        </w:rPr>
      </w:pPr>
      <w:r w:rsidRPr="00C97A8E">
        <w:rPr>
          <w:rFonts w:eastAsia="Calibri"/>
          <w:lang w:val="en-GB"/>
        </w:rPr>
        <w:t xml:space="preserve">Stock Price Performance </w:t>
      </w:r>
    </w:p>
    <w:p w14:paraId="7689BAAA" w14:textId="77777777" w:rsidR="00001AE5" w:rsidRPr="00C97A8E" w:rsidRDefault="00001AE5" w:rsidP="00001AE5">
      <w:pPr>
        <w:pStyle w:val="BodyTextMain"/>
        <w:rPr>
          <w:rFonts w:eastAsia="Calibri"/>
          <w:lang w:val="en-GB"/>
        </w:rPr>
      </w:pPr>
    </w:p>
    <w:p w14:paraId="1CCAFD34" w14:textId="63E70819" w:rsidR="00001AE5" w:rsidRPr="00C97A8E" w:rsidRDefault="00001AE5" w:rsidP="00001AE5">
      <w:pPr>
        <w:pStyle w:val="BodyTextMain"/>
        <w:rPr>
          <w:rFonts w:eastAsia="Calibri"/>
          <w:lang w:val="en-GB"/>
        </w:rPr>
      </w:pPr>
      <w:r w:rsidRPr="00C97A8E">
        <w:rPr>
          <w:rFonts w:eastAsia="Calibri"/>
          <w:lang w:val="en-GB"/>
        </w:rPr>
        <w:t>On December 31, 2014, four months before Levatich became CEO, Harley-Davidson stock, a typical measure of a CEO’s performance, was trading at $60.35, adjusted for both dividends and splits.</w:t>
      </w:r>
      <w:r w:rsidRPr="00C97A8E">
        <w:rPr>
          <w:rFonts w:eastAsia="Calibri"/>
          <w:vertAlign w:val="superscript"/>
          <w:lang w:val="en-GB"/>
        </w:rPr>
        <w:endnoteReference w:id="20"/>
      </w:r>
      <w:r w:rsidRPr="00C97A8E">
        <w:rPr>
          <w:rFonts w:eastAsia="Calibri"/>
          <w:lang w:val="en-GB"/>
        </w:rPr>
        <w:t xml:space="preserve"> When Levatich celebrated his second anniversary as CEO on May 1, 2017, Harley-Davidson’s stock price was </w:t>
      </w:r>
      <w:r w:rsidRPr="00C97A8E">
        <w:rPr>
          <w:rFonts w:eastAsia="Calibri"/>
          <w:lang w:val="en-GB"/>
        </w:rPr>
        <w:lastRenderedPageBreak/>
        <w:t>trading at $54.75.</w:t>
      </w:r>
      <w:r w:rsidRPr="00C97A8E">
        <w:rPr>
          <w:rFonts w:eastAsia="Calibri"/>
          <w:vertAlign w:val="superscript"/>
          <w:lang w:val="en-GB"/>
        </w:rPr>
        <w:endnoteReference w:id="21"/>
      </w:r>
      <w:r w:rsidRPr="00C97A8E">
        <w:rPr>
          <w:rFonts w:eastAsia="Calibri"/>
          <w:lang w:val="en-GB"/>
        </w:rPr>
        <w:t xml:space="preserve"> Over the same period, the S&amp;P 500 index, the benchmark typically used to compare the performance of any publicly traded company </w:t>
      </w:r>
      <w:r w:rsidR="005154D1">
        <w:rPr>
          <w:rFonts w:eastAsia="Calibri"/>
          <w:lang w:val="en-GB"/>
        </w:rPr>
        <w:t>with</w:t>
      </w:r>
      <w:r w:rsidR="005154D1" w:rsidRPr="00C97A8E">
        <w:rPr>
          <w:rFonts w:eastAsia="Calibri"/>
          <w:lang w:val="en-GB"/>
        </w:rPr>
        <w:t xml:space="preserve"> </w:t>
      </w:r>
      <w:r w:rsidRPr="00C97A8E">
        <w:rPr>
          <w:rFonts w:eastAsia="Calibri"/>
          <w:lang w:val="en-GB"/>
        </w:rPr>
        <w:t>the overall market, had increased by 16 per cent, from $2,058.90 to $2,388.33.</w:t>
      </w:r>
      <w:r w:rsidRPr="00C97A8E">
        <w:rPr>
          <w:rStyle w:val="EndnoteReference"/>
          <w:rFonts w:eastAsia="Calibri"/>
          <w:lang w:val="en-GB"/>
        </w:rPr>
        <w:endnoteReference w:id="22"/>
      </w:r>
      <w:r w:rsidRPr="00C97A8E">
        <w:rPr>
          <w:rFonts w:eastAsia="Calibri"/>
          <w:lang w:val="en-GB"/>
        </w:rPr>
        <w:t xml:space="preserve"> </w:t>
      </w:r>
    </w:p>
    <w:p w14:paraId="326067AB" w14:textId="77777777" w:rsidR="00001AE5" w:rsidRPr="00C97A8E" w:rsidRDefault="00001AE5" w:rsidP="00001AE5">
      <w:pPr>
        <w:pStyle w:val="BodyTextMain"/>
        <w:rPr>
          <w:rFonts w:eastAsia="Calibri"/>
          <w:lang w:val="en-GB"/>
        </w:rPr>
      </w:pPr>
    </w:p>
    <w:p w14:paraId="3775D24E" w14:textId="77777777" w:rsidR="00001AE5" w:rsidRPr="00C97A8E" w:rsidRDefault="00001AE5" w:rsidP="00001AE5">
      <w:pPr>
        <w:pStyle w:val="BodyTextMain"/>
        <w:rPr>
          <w:rFonts w:eastAsia="Calibri"/>
          <w:lang w:val="en-GB"/>
        </w:rPr>
      </w:pPr>
      <w:r w:rsidRPr="00C97A8E">
        <w:rPr>
          <w:rFonts w:eastAsia="Calibri"/>
          <w:lang w:val="en-GB"/>
        </w:rPr>
        <w:t>During the first quarter of 2017, investors’ confidence had been boosted in “anticipation of a pro-growth policy [of] massive tax cuts, infrastructure spending and deregulation,” in a phenomenon known as the Trump rally, which was deemed to be the second-best investment rally since that following John F. Kennedy’s presidential election.</w:t>
      </w:r>
      <w:r w:rsidRPr="00C97A8E">
        <w:rPr>
          <w:rFonts w:eastAsia="Calibri"/>
          <w:vertAlign w:val="superscript"/>
          <w:lang w:val="en-GB"/>
        </w:rPr>
        <w:endnoteReference w:id="23"/>
      </w:r>
      <w:r w:rsidRPr="00C97A8E">
        <w:rPr>
          <w:rFonts w:eastAsia="Calibri"/>
          <w:lang w:val="en-GB"/>
        </w:rPr>
        <w:t xml:space="preserve"> However, the rally did not help reverse the downward trend of Harley-Davidson’s stock price. </w:t>
      </w:r>
    </w:p>
    <w:p w14:paraId="3E11C33E" w14:textId="77777777" w:rsidR="00001AE5" w:rsidRPr="00C97A8E" w:rsidRDefault="00001AE5" w:rsidP="00001AE5">
      <w:pPr>
        <w:pStyle w:val="BodyTextMain"/>
        <w:rPr>
          <w:rFonts w:eastAsia="Calibri"/>
          <w:lang w:val="en-GB"/>
        </w:rPr>
      </w:pPr>
    </w:p>
    <w:p w14:paraId="4A7BF13F" w14:textId="77777777" w:rsidR="00001AE5" w:rsidRPr="00C97A8E" w:rsidRDefault="00001AE5" w:rsidP="00001AE5">
      <w:pPr>
        <w:pStyle w:val="BodyTextMain"/>
        <w:rPr>
          <w:lang w:val="en-GB"/>
        </w:rPr>
      </w:pPr>
    </w:p>
    <w:p w14:paraId="0FE2E1EB" w14:textId="77777777" w:rsidR="00001AE5" w:rsidRPr="00C97A8E" w:rsidRDefault="00001AE5" w:rsidP="00001AE5">
      <w:pPr>
        <w:pStyle w:val="Casehead2"/>
        <w:keepNext/>
        <w:rPr>
          <w:rFonts w:eastAsia="Calibri"/>
          <w:lang w:val="en-GB"/>
        </w:rPr>
      </w:pPr>
      <w:r w:rsidRPr="00C97A8E">
        <w:rPr>
          <w:rFonts w:eastAsia="Calibri"/>
          <w:lang w:val="en-GB"/>
        </w:rPr>
        <w:t>Operational and Strategic Challenges</w:t>
      </w:r>
    </w:p>
    <w:p w14:paraId="0E01BAA8" w14:textId="77777777" w:rsidR="00001AE5" w:rsidRPr="00C97A8E" w:rsidRDefault="00001AE5" w:rsidP="00001AE5">
      <w:pPr>
        <w:pStyle w:val="BodyTextMain"/>
        <w:keepNext/>
        <w:rPr>
          <w:rFonts w:eastAsia="Calibri"/>
          <w:lang w:val="en-GB"/>
        </w:rPr>
      </w:pPr>
    </w:p>
    <w:p w14:paraId="7362810A" w14:textId="312E8EEF" w:rsidR="00001AE5" w:rsidRPr="00C97A8E" w:rsidRDefault="00001AE5" w:rsidP="00001AE5">
      <w:pPr>
        <w:pStyle w:val="BodyTextMain"/>
        <w:rPr>
          <w:rFonts w:eastAsia="Calibri"/>
          <w:lang w:val="en-GB"/>
        </w:rPr>
      </w:pPr>
      <w:r w:rsidRPr="00C97A8E">
        <w:rPr>
          <w:rFonts w:eastAsia="Calibri"/>
          <w:lang w:val="en-GB"/>
        </w:rPr>
        <w:t>Since 2014, competition had intensified, sales and net income were decreasing,</w:t>
      </w:r>
      <w:r w:rsidRPr="00C97A8E">
        <w:rPr>
          <w:rFonts w:eastAsia="Calibri"/>
          <w:vertAlign w:val="superscript"/>
          <w:lang w:val="en-GB"/>
        </w:rPr>
        <w:endnoteReference w:id="24"/>
      </w:r>
      <w:r w:rsidRPr="00C97A8E">
        <w:rPr>
          <w:rFonts w:eastAsia="Calibri"/>
          <w:lang w:val="en-GB"/>
        </w:rPr>
        <w:t xml:space="preserve"> and customer needs were changing. As he took over as president and CEO, Levatich </w:t>
      </w:r>
      <w:r w:rsidR="00B31C87">
        <w:rPr>
          <w:rFonts w:eastAsia="Calibri"/>
          <w:lang w:val="en-GB"/>
        </w:rPr>
        <w:t>needed</w:t>
      </w:r>
      <w:r w:rsidR="00B31C87" w:rsidRPr="00C97A8E">
        <w:rPr>
          <w:rFonts w:eastAsia="Calibri"/>
          <w:lang w:val="en-GB"/>
        </w:rPr>
        <w:t xml:space="preserve"> </w:t>
      </w:r>
      <w:r w:rsidRPr="00C97A8E">
        <w:rPr>
          <w:rFonts w:eastAsia="Calibri"/>
          <w:lang w:val="en-GB"/>
        </w:rPr>
        <w:t>to do something quickly to address and possibly reverse these disturbing trends. But what could he do? What strategic option could he focus on in the complex and uncertain environment that he and his company were experiencing?</w:t>
      </w:r>
    </w:p>
    <w:p w14:paraId="24FD5DD0" w14:textId="77777777" w:rsidR="00001AE5" w:rsidRPr="00C97A8E" w:rsidRDefault="00001AE5" w:rsidP="00001AE5">
      <w:pPr>
        <w:pStyle w:val="BodyTextMain"/>
        <w:rPr>
          <w:rFonts w:eastAsia="Calibri"/>
          <w:lang w:val="en-GB"/>
        </w:rPr>
      </w:pPr>
    </w:p>
    <w:p w14:paraId="2704ADBC" w14:textId="22095BBA" w:rsidR="00001AE5" w:rsidRPr="00C97A8E" w:rsidRDefault="00001AE5" w:rsidP="00001AE5">
      <w:pPr>
        <w:pStyle w:val="BodyTextMain"/>
        <w:rPr>
          <w:rFonts w:eastAsia="Calibri"/>
          <w:lang w:val="en-GB"/>
        </w:rPr>
      </w:pPr>
      <w:r w:rsidRPr="00C97A8E">
        <w:rPr>
          <w:rFonts w:eastAsia="Calibri"/>
          <w:lang w:val="en-GB"/>
        </w:rPr>
        <w:t>To get Harley-Davidson stock prices rising again, Levatich would need to think analytically and strategically and to consider the global business landscape—including strategic options such as adaptation, standardization, and execution on a global scale. He was familiar with his company’s outlook and long-term strategy (2017–2027),</w:t>
      </w:r>
      <w:r w:rsidRPr="00C97A8E">
        <w:rPr>
          <w:rFonts w:eastAsia="Calibri"/>
          <w:vertAlign w:val="superscript"/>
          <w:lang w:val="en-GB"/>
        </w:rPr>
        <w:endnoteReference w:id="25"/>
      </w:r>
      <w:r w:rsidRPr="00C97A8E">
        <w:rPr>
          <w:rFonts w:eastAsia="Calibri"/>
          <w:lang w:val="en-GB"/>
        </w:rPr>
        <w:t xml:space="preserve"> which had been articulated around five objectives: (1) </w:t>
      </w:r>
      <w:r>
        <w:rPr>
          <w:rFonts w:eastAsia="Calibri"/>
          <w:lang w:val="en-GB"/>
        </w:rPr>
        <w:t xml:space="preserve">build </w:t>
      </w:r>
      <w:r w:rsidR="005154D1">
        <w:rPr>
          <w:rFonts w:eastAsia="Calibri"/>
          <w:lang w:val="en-GB"/>
        </w:rPr>
        <w:t>2</w:t>
      </w:r>
      <w:r w:rsidR="005154D1" w:rsidRPr="00C97A8E">
        <w:rPr>
          <w:rFonts w:eastAsia="Calibri"/>
          <w:lang w:val="en-GB"/>
        </w:rPr>
        <w:t xml:space="preserve"> </w:t>
      </w:r>
      <w:r w:rsidRPr="00C97A8E">
        <w:rPr>
          <w:rFonts w:eastAsia="Calibri"/>
          <w:lang w:val="en-GB"/>
        </w:rPr>
        <w:t>million new Harley-Davidson riders in the United States; (2) grow Harley-Davidson’s international business to 50 per</w:t>
      </w:r>
      <w:r w:rsidR="005154D1">
        <w:rPr>
          <w:rFonts w:eastAsia="Calibri"/>
          <w:lang w:val="en-GB"/>
        </w:rPr>
        <w:t xml:space="preserve"> </w:t>
      </w:r>
      <w:r w:rsidRPr="00C97A8E">
        <w:rPr>
          <w:rFonts w:eastAsia="Calibri"/>
          <w:lang w:val="en-GB"/>
        </w:rPr>
        <w:t>cent of its total annual volume; (3)</w:t>
      </w:r>
      <w:r>
        <w:rPr>
          <w:rFonts w:eastAsia="Calibri"/>
          <w:lang w:val="en-GB"/>
        </w:rPr>
        <w:t xml:space="preserve"> </w:t>
      </w:r>
      <w:r w:rsidRPr="00C97A8E">
        <w:rPr>
          <w:rFonts w:eastAsia="Calibri"/>
          <w:lang w:val="en-GB"/>
        </w:rPr>
        <w:t>launch 100 new, high-impact Harley-Davidson motorcycles; (4) deliver a superior return on invested capital for Harley-Davidson</w:t>
      </w:r>
      <w:r>
        <w:rPr>
          <w:rFonts w:eastAsia="Calibri"/>
          <w:lang w:val="en-GB"/>
        </w:rPr>
        <w:t xml:space="preserve"> Motor Company</w:t>
      </w:r>
      <w:r w:rsidRPr="00C97A8E">
        <w:rPr>
          <w:rFonts w:eastAsia="Calibri"/>
          <w:lang w:val="en-GB"/>
        </w:rPr>
        <w:t>; and (5) grow the business without growing its environmental impact.</w:t>
      </w:r>
    </w:p>
    <w:p w14:paraId="7989CF79" w14:textId="77777777" w:rsidR="00001AE5" w:rsidRPr="00C97A8E" w:rsidRDefault="00001AE5" w:rsidP="00001AE5">
      <w:pPr>
        <w:pStyle w:val="BodyTextMain"/>
        <w:rPr>
          <w:rFonts w:eastAsia="Calibri"/>
          <w:lang w:val="en-GB"/>
        </w:rPr>
      </w:pPr>
    </w:p>
    <w:p w14:paraId="36E94E6B" w14:textId="34E1BC2D" w:rsidR="00001AE5" w:rsidRPr="00C97A8E" w:rsidRDefault="00001AE5" w:rsidP="00001AE5">
      <w:pPr>
        <w:pStyle w:val="BodyTextMain"/>
        <w:rPr>
          <w:rFonts w:eastAsia="Calibri"/>
          <w:lang w:val="en-GB"/>
        </w:rPr>
      </w:pPr>
      <w:r w:rsidRPr="00C97A8E">
        <w:rPr>
          <w:rFonts w:eastAsia="Calibri"/>
          <w:lang w:val="en-GB"/>
        </w:rPr>
        <w:t xml:space="preserve">Levatich would </w:t>
      </w:r>
      <w:r w:rsidR="005154D1">
        <w:rPr>
          <w:rFonts w:eastAsia="Calibri"/>
          <w:lang w:val="en-GB"/>
        </w:rPr>
        <w:t>need</w:t>
      </w:r>
      <w:r w:rsidR="005154D1" w:rsidRPr="00C97A8E">
        <w:rPr>
          <w:rFonts w:eastAsia="Calibri"/>
          <w:lang w:val="en-GB"/>
        </w:rPr>
        <w:t xml:space="preserve"> </w:t>
      </w:r>
      <w:r w:rsidRPr="00C97A8E">
        <w:rPr>
          <w:rFonts w:eastAsia="Calibri"/>
          <w:lang w:val="en-GB"/>
        </w:rPr>
        <w:t>to think through analytical frameworks</w:t>
      </w:r>
      <w:r w:rsidR="005154D1">
        <w:rPr>
          <w:rFonts w:eastAsia="Calibri"/>
          <w:lang w:val="en-GB"/>
        </w:rPr>
        <w:t>—</w:t>
      </w:r>
      <w:r w:rsidRPr="00C97A8E">
        <w:rPr>
          <w:rFonts w:eastAsia="Calibri"/>
          <w:lang w:val="en-GB"/>
        </w:rPr>
        <w:t xml:space="preserve">and very quickly. At the same time, he would </w:t>
      </w:r>
      <w:r w:rsidR="005154D1">
        <w:rPr>
          <w:rFonts w:eastAsia="Calibri"/>
          <w:lang w:val="en-GB"/>
        </w:rPr>
        <w:t>need</w:t>
      </w:r>
      <w:r w:rsidR="005154D1" w:rsidRPr="00C97A8E">
        <w:rPr>
          <w:rFonts w:eastAsia="Calibri"/>
          <w:lang w:val="en-GB"/>
        </w:rPr>
        <w:t xml:space="preserve"> </w:t>
      </w:r>
      <w:r w:rsidRPr="00C97A8E">
        <w:rPr>
          <w:rFonts w:eastAsia="Calibri"/>
          <w:lang w:val="en-GB"/>
        </w:rPr>
        <w:t xml:space="preserve">to carefully assess the implications of any international expansion plans. Could an announcement that Harley-Davidson was building a new plant overseas in </w:t>
      </w:r>
      <w:r w:rsidR="005154D1">
        <w:rPr>
          <w:rFonts w:eastAsia="Calibri"/>
          <w:lang w:val="en-GB"/>
        </w:rPr>
        <w:t>an attempt</w:t>
      </w:r>
      <w:r w:rsidR="005154D1" w:rsidRPr="00C97A8E">
        <w:rPr>
          <w:rFonts w:eastAsia="Calibri"/>
          <w:lang w:val="en-GB"/>
        </w:rPr>
        <w:t xml:space="preserve"> </w:t>
      </w:r>
      <w:r w:rsidRPr="00C97A8E">
        <w:rPr>
          <w:rFonts w:eastAsia="Calibri"/>
          <w:lang w:val="en-GB"/>
        </w:rPr>
        <w:t xml:space="preserve">to avoid high tariffs cost him his job? If a punishing @POTUS tweet were to be posted after such an announcement, could the company afford to lose billions in market value and some of its U.S. customers? Would Harley-Davidson’s union </w:t>
      </w:r>
      <w:proofErr w:type="gramStart"/>
      <w:r w:rsidRPr="00C97A8E">
        <w:rPr>
          <w:rFonts w:eastAsia="Calibri"/>
          <w:lang w:val="en-GB"/>
        </w:rPr>
        <w:t>leaders</w:t>
      </w:r>
      <w:proofErr w:type="gramEnd"/>
      <w:r w:rsidRPr="00C97A8E">
        <w:rPr>
          <w:rFonts w:eastAsia="Calibri"/>
          <w:lang w:val="en-GB"/>
        </w:rPr>
        <w:t xml:space="preserve"> revolt and call for a massive strike in the U.S. manufacturing facilities that supplied the overseas assembly plants? </w:t>
      </w:r>
    </w:p>
    <w:p w14:paraId="2F722348" w14:textId="77777777" w:rsidR="00001AE5" w:rsidRPr="00C97A8E" w:rsidRDefault="00001AE5" w:rsidP="00001AE5">
      <w:pPr>
        <w:pStyle w:val="BodyTextMain"/>
        <w:rPr>
          <w:rFonts w:eastAsia="Calibri"/>
          <w:lang w:val="en-GB"/>
        </w:rPr>
      </w:pPr>
    </w:p>
    <w:p w14:paraId="48C054C7" w14:textId="77777777" w:rsidR="00001AE5" w:rsidRPr="00C97A8E" w:rsidRDefault="00001AE5" w:rsidP="00001AE5">
      <w:pPr>
        <w:pStyle w:val="BodyTextMain"/>
        <w:rPr>
          <w:rFonts w:eastAsia="Calibri"/>
          <w:lang w:val="en-GB"/>
        </w:rPr>
      </w:pPr>
      <w:r w:rsidRPr="00C97A8E">
        <w:rPr>
          <w:rFonts w:eastAsia="Calibri"/>
          <w:lang w:val="en-GB"/>
        </w:rPr>
        <w:t>In addition to being aware of the America First foreign policy, Levatich also knew that other government policies such as the anti-pollution program were costing his company millions of dollars per year. In 2016, Harley-Davidson had agreed “to pay a $12 million civil penalty for selling devices federal regulators say allowed riders to put too much pollution into the air.”</w:t>
      </w:r>
      <w:r w:rsidRPr="00C97A8E">
        <w:rPr>
          <w:rFonts w:eastAsia="Calibri"/>
          <w:vertAlign w:val="superscript"/>
          <w:lang w:val="en-GB"/>
        </w:rPr>
        <w:endnoteReference w:id="26"/>
      </w:r>
    </w:p>
    <w:p w14:paraId="1581250C" w14:textId="77777777" w:rsidR="00001AE5" w:rsidRPr="00C97A8E" w:rsidRDefault="00001AE5" w:rsidP="00001AE5">
      <w:pPr>
        <w:pStyle w:val="BodyTextMain"/>
        <w:rPr>
          <w:rFonts w:eastAsia="Calibri"/>
          <w:lang w:val="en-GB"/>
        </w:rPr>
      </w:pPr>
    </w:p>
    <w:p w14:paraId="1676ED2B" w14:textId="77777777" w:rsidR="00001AE5" w:rsidRPr="00C97A8E" w:rsidRDefault="00001AE5" w:rsidP="00001AE5">
      <w:pPr>
        <w:pStyle w:val="BodyTextMain"/>
        <w:rPr>
          <w:rFonts w:eastAsia="Calibri"/>
          <w:lang w:val="en-GB"/>
        </w:rPr>
      </w:pPr>
    </w:p>
    <w:p w14:paraId="6B7539C0" w14:textId="77777777" w:rsidR="00001AE5" w:rsidRPr="00C97A8E" w:rsidRDefault="00001AE5" w:rsidP="00001AE5">
      <w:pPr>
        <w:pStyle w:val="Casehead2"/>
        <w:rPr>
          <w:rFonts w:eastAsia="Calibri"/>
          <w:lang w:val="en-GB"/>
        </w:rPr>
      </w:pPr>
      <w:r w:rsidRPr="00C97A8E">
        <w:rPr>
          <w:rFonts w:eastAsia="Calibri"/>
          <w:lang w:val="en-GB"/>
        </w:rPr>
        <w:t>Competitors</w:t>
      </w:r>
    </w:p>
    <w:p w14:paraId="0B355E42" w14:textId="77777777" w:rsidR="00001AE5" w:rsidRPr="00C97A8E" w:rsidRDefault="00001AE5" w:rsidP="00001AE5">
      <w:pPr>
        <w:pStyle w:val="BodyTextMain"/>
        <w:rPr>
          <w:rFonts w:eastAsia="Calibri"/>
          <w:lang w:val="en-GB"/>
        </w:rPr>
      </w:pPr>
    </w:p>
    <w:p w14:paraId="196DC5D9" w14:textId="0BFC2400" w:rsidR="00001AE5" w:rsidRPr="00C97A8E" w:rsidRDefault="00001AE5" w:rsidP="00001AE5">
      <w:pPr>
        <w:pStyle w:val="Casehead3"/>
        <w:rPr>
          <w:rFonts w:eastAsia="Calibri"/>
          <w:lang w:val="en-GB"/>
        </w:rPr>
      </w:pPr>
      <w:r w:rsidRPr="00C97A8E">
        <w:rPr>
          <w:rFonts w:eastAsia="Calibri"/>
          <w:lang w:val="en-GB"/>
        </w:rPr>
        <w:t>International</w:t>
      </w:r>
      <w:r w:rsidR="00317EB7" w:rsidRPr="001A022A">
        <w:rPr>
          <w:rStyle w:val="EndnoteReference"/>
          <w:rFonts w:eastAsia="Calibri"/>
          <w:spacing w:val="-2"/>
          <w:kern w:val="22"/>
          <w:lang w:val="en-GB"/>
        </w:rPr>
        <w:endnoteReference w:id="27"/>
      </w:r>
    </w:p>
    <w:p w14:paraId="234BCE54" w14:textId="77777777" w:rsidR="00001AE5" w:rsidRPr="00C97A8E" w:rsidRDefault="00001AE5" w:rsidP="00001AE5">
      <w:pPr>
        <w:pStyle w:val="BodyTextMain"/>
        <w:rPr>
          <w:rFonts w:eastAsia="Calibri"/>
          <w:lang w:val="en-GB"/>
        </w:rPr>
      </w:pPr>
    </w:p>
    <w:p w14:paraId="2E3744B5" w14:textId="4AF8D50A" w:rsidR="00001AE5" w:rsidRPr="00527C0B" w:rsidRDefault="00001AE5" w:rsidP="00001AE5">
      <w:pPr>
        <w:pStyle w:val="BodyTextMain"/>
        <w:rPr>
          <w:rFonts w:eastAsia="Calibri"/>
          <w:color w:val="000000"/>
          <w:shd w:val="clear" w:color="auto" w:fill="FFFFFF"/>
          <w:lang w:val="en-GB"/>
        </w:rPr>
      </w:pPr>
      <w:r w:rsidRPr="00C97A8E">
        <w:rPr>
          <w:rFonts w:eastAsia="Calibri"/>
          <w:lang w:val="en-GB"/>
        </w:rPr>
        <w:t>International competition originating from Japan (Honda, Kawasaki, Suzuki, and Yamaha) and Europe (BMW and Ducati) had started to hurt Harley-Davidson in the 1960s, and t</w:t>
      </w:r>
      <w:r w:rsidRPr="00C97A8E">
        <w:rPr>
          <w:rFonts w:eastAsia="Calibri"/>
          <w:color w:val="000000"/>
          <w:shd w:val="clear" w:color="auto" w:fill="FFFFFF"/>
          <w:lang w:val="en-GB"/>
        </w:rPr>
        <w:t xml:space="preserve">hese motorcycle makers were continuing to compete for riders. In March 2016, Mintel Group Ltd., a global market research company, surveyed 500 18-year-old motorcycle owners on </w:t>
      </w:r>
      <w:r w:rsidR="00B31C87">
        <w:rPr>
          <w:rFonts w:eastAsia="Calibri"/>
          <w:color w:val="000000"/>
          <w:shd w:val="clear" w:color="auto" w:fill="FFFFFF"/>
          <w:lang w:val="en-GB"/>
        </w:rPr>
        <w:t>the</w:t>
      </w:r>
      <w:r w:rsidR="00B31C87" w:rsidRPr="00C97A8E">
        <w:rPr>
          <w:rFonts w:eastAsia="Calibri"/>
          <w:color w:val="000000"/>
          <w:shd w:val="clear" w:color="auto" w:fill="FFFFFF"/>
          <w:lang w:val="en-GB"/>
        </w:rPr>
        <w:t xml:space="preserve"> </w:t>
      </w:r>
      <w:r w:rsidRPr="00C97A8E">
        <w:rPr>
          <w:rFonts w:eastAsia="Calibri"/>
          <w:color w:val="000000"/>
          <w:shd w:val="clear" w:color="auto" w:fill="FFFFFF"/>
          <w:lang w:val="en-GB"/>
        </w:rPr>
        <w:t xml:space="preserve">brand of motorcycle they would be most likely to purchase next. In key results, while Harley-Davidson was the top brand those surveyed would consider </w:t>
      </w:r>
      <w:r w:rsidRPr="00C97A8E">
        <w:rPr>
          <w:rFonts w:eastAsia="Calibri"/>
          <w:color w:val="000000"/>
          <w:shd w:val="clear" w:color="auto" w:fill="FFFFFF"/>
          <w:lang w:val="en-GB"/>
        </w:rPr>
        <w:lastRenderedPageBreak/>
        <w:t>buying, the brand came second in a ranking based on current percentage of ownership (see Exhibit 2</w:t>
      </w:r>
      <w:r w:rsidRPr="00527C0B">
        <w:rPr>
          <w:rFonts w:eastAsia="Calibri"/>
          <w:color w:val="000000"/>
          <w:shd w:val="clear" w:color="auto" w:fill="FFFFFF"/>
          <w:lang w:val="en-GB"/>
        </w:rPr>
        <w:t>).</w:t>
      </w:r>
      <w:r w:rsidRPr="00527C0B">
        <w:t xml:space="preserve"> The Mintel report noted</w:t>
      </w:r>
      <w:r w:rsidR="005154D1">
        <w:t>:</w:t>
      </w:r>
    </w:p>
    <w:p w14:paraId="1953A594" w14:textId="77777777" w:rsidR="00001AE5" w:rsidRPr="00527C0B" w:rsidRDefault="00001AE5" w:rsidP="00001AE5">
      <w:pPr>
        <w:pStyle w:val="BodyTextMain"/>
        <w:rPr>
          <w:rFonts w:eastAsia="Calibri"/>
          <w:color w:val="000000"/>
          <w:shd w:val="clear" w:color="auto" w:fill="FFFFFF"/>
          <w:lang w:val="en-GB"/>
        </w:rPr>
      </w:pPr>
    </w:p>
    <w:p w14:paraId="3903DFBB" w14:textId="45C404E2" w:rsidR="00001AE5" w:rsidRPr="00A61AEE" w:rsidRDefault="00001AE5" w:rsidP="001A022A">
      <w:pPr>
        <w:pStyle w:val="BodyTextMain"/>
        <w:ind w:left="900"/>
        <w:rPr>
          <w:rFonts w:eastAsia="Calibri"/>
          <w:spacing w:val="-2"/>
          <w:kern w:val="22"/>
          <w:lang w:val="en-GB"/>
        </w:rPr>
      </w:pPr>
      <w:r w:rsidRPr="001A022A">
        <w:rPr>
          <w:rFonts w:eastAsia="Calibri"/>
          <w:spacing w:val="-2"/>
          <w:kern w:val="22"/>
          <w:lang w:val="en-GB"/>
        </w:rPr>
        <w:t>Where</w:t>
      </w:r>
      <w:bookmarkStart w:id="1" w:name="hit4"/>
      <w:r w:rsidR="00317EB7">
        <w:rPr>
          <w:rFonts w:eastAsia="Calibri"/>
          <w:spacing w:val="-2"/>
          <w:kern w:val="22"/>
          <w:lang w:val="en-GB"/>
        </w:rPr>
        <w:t xml:space="preserve"> </w:t>
      </w:r>
      <w:r w:rsidRPr="001A022A">
        <w:rPr>
          <w:rFonts w:eastAsia="Calibri"/>
          <w:spacing w:val="-2"/>
          <w:kern w:val="22"/>
          <w:bdr w:val="none" w:sz="0" w:space="0" w:color="auto" w:frame="1"/>
          <w:lang w:val="en-GB"/>
        </w:rPr>
        <w:t>Harley’s</w:t>
      </w:r>
      <w:bookmarkEnd w:id="1"/>
      <w:r w:rsidR="00317EB7">
        <w:rPr>
          <w:rFonts w:eastAsia="Calibri"/>
          <w:spacing w:val="-2"/>
          <w:kern w:val="22"/>
          <w:lang w:val="en-GB"/>
        </w:rPr>
        <w:t xml:space="preserve"> </w:t>
      </w:r>
      <w:r w:rsidRPr="001A022A">
        <w:rPr>
          <w:rFonts w:eastAsia="Calibri"/>
          <w:spacing w:val="-2"/>
          <w:kern w:val="22"/>
          <w:lang w:val="en-GB"/>
        </w:rPr>
        <w:t>cache surrounds relatively expensive cruisers, the four Japanese manufacturers have built their reputations on smaller, reasonably priced models, including sports bikes and also off-road bikes. These brands also produce large cruisers, often at prices more competitive than those sold by Harley-Davidson. In a hypothetical match-up in which bikes were stripped of all identifying brand elements, and judged solely on their build and price, there is a reasonable likelihood that the share belonging to the four Japanese brands would be higher; BMW and Ducati bikes, along with those from </w:t>
      </w:r>
      <w:bookmarkStart w:id="2" w:name="hit5"/>
      <w:r w:rsidRPr="00A61AEE">
        <w:rPr>
          <w:rFonts w:eastAsia="Calibri"/>
          <w:spacing w:val="-2"/>
          <w:kern w:val="22"/>
          <w:bdr w:val="none" w:sz="0" w:space="0" w:color="auto" w:frame="1"/>
          <w:lang w:val="en-GB"/>
        </w:rPr>
        <w:t>Harley</w:t>
      </w:r>
      <w:bookmarkEnd w:id="2"/>
      <w:r w:rsidRPr="001A022A">
        <w:rPr>
          <w:rFonts w:eastAsia="Calibri"/>
          <w:spacing w:val="-2"/>
          <w:kern w:val="22"/>
          <w:lang w:val="en-GB"/>
        </w:rPr>
        <w:t>, tend to sell at a premium. Even as it stands, in Mintel’s survey, Honda already competes with</w:t>
      </w:r>
      <w:bookmarkStart w:id="3" w:name="hit6"/>
      <w:r w:rsidR="00317EB7">
        <w:rPr>
          <w:rFonts w:eastAsia="Calibri"/>
          <w:spacing w:val="-2"/>
          <w:kern w:val="22"/>
          <w:lang w:val="en-GB"/>
        </w:rPr>
        <w:t xml:space="preserve"> </w:t>
      </w:r>
      <w:r w:rsidRPr="001A022A">
        <w:rPr>
          <w:rFonts w:eastAsia="Calibri"/>
          <w:spacing w:val="-2"/>
          <w:kern w:val="22"/>
          <w:bdr w:val="none" w:sz="0" w:space="0" w:color="auto" w:frame="1"/>
          <w:lang w:val="en-GB"/>
        </w:rPr>
        <w:t>Harley</w:t>
      </w:r>
      <w:bookmarkEnd w:id="3"/>
      <w:r w:rsidR="00317EB7">
        <w:rPr>
          <w:rFonts w:eastAsia="Calibri"/>
          <w:spacing w:val="-2"/>
          <w:kern w:val="22"/>
          <w:lang w:val="en-GB"/>
        </w:rPr>
        <w:t xml:space="preserve"> </w:t>
      </w:r>
      <w:r w:rsidRPr="001A022A">
        <w:rPr>
          <w:rFonts w:eastAsia="Calibri"/>
          <w:spacing w:val="-2"/>
          <w:kern w:val="22"/>
          <w:lang w:val="en-GB"/>
        </w:rPr>
        <w:t>to be the most commonly owned motorcycle brand.</w:t>
      </w:r>
    </w:p>
    <w:p w14:paraId="64AACEEA" w14:textId="77777777" w:rsidR="00001AE5" w:rsidRPr="00C97A8E" w:rsidRDefault="00001AE5" w:rsidP="00001AE5">
      <w:pPr>
        <w:pStyle w:val="BodyTextMain"/>
        <w:rPr>
          <w:rFonts w:eastAsia="Calibri"/>
          <w:lang w:val="en-GB"/>
        </w:rPr>
      </w:pPr>
    </w:p>
    <w:p w14:paraId="07D0D9E0" w14:textId="77777777" w:rsidR="00001AE5" w:rsidRPr="00C97A8E" w:rsidRDefault="00001AE5" w:rsidP="00001AE5">
      <w:pPr>
        <w:pStyle w:val="BodyTextMain"/>
        <w:rPr>
          <w:rFonts w:eastAsia="Calibri"/>
          <w:lang w:val="en-GB"/>
        </w:rPr>
      </w:pPr>
    </w:p>
    <w:p w14:paraId="72432B4E" w14:textId="77777777" w:rsidR="00001AE5" w:rsidRPr="00C97A8E" w:rsidRDefault="00001AE5" w:rsidP="00001AE5">
      <w:pPr>
        <w:pStyle w:val="Casehead3"/>
        <w:rPr>
          <w:rFonts w:eastAsia="Calibri"/>
          <w:lang w:val="en-GB"/>
        </w:rPr>
      </w:pPr>
      <w:r w:rsidRPr="00C97A8E">
        <w:rPr>
          <w:rFonts w:eastAsia="Calibri"/>
          <w:lang w:val="en-GB"/>
        </w:rPr>
        <w:t>Domestic</w:t>
      </w:r>
    </w:p>
    <w:p w14:paraId="15E153BD" w14:textId="77777777" w:rsidR="00001AE5" w:rsidRPr="00C97A8E" w:rsidRDefault="00001AE5" w:rsidP="00001AE5">
      <w:pPr>
        <w:pStyle w:val="BodyTextMain"/>
        <w:rPr>
          <w:rFonts w:eastAsia="Calibri"/>
          <w:lang w:val="en-GB"/>
        </w:rPr>
      </w:pPr>
    </w:p>
    <w:p w14:paraId="00562BA4" w14:textId="77777777" w:rsidR="00001AE5" w:rsidRPr="00C97A8E" w:rsidRDefault="00001AE5" w:rsidP="00001AE5">
      <w:pPr>
        <w:pStyle w:val="BodyTextMain"/>
        <w:rPr>
          <w:rFonts w:eastAsia="Calibri"/>
          <w:lang w:val="en-GB"/>
        </w:rPr>
      </w:pPr>
      <w:r w:rsidRPr="00C97A8E">
        <w:rPr>
          <w:rFonts w:eastAsia="Calibri"/>
          <w:lang w:val="en-GB"/>
        </w:rPr>
        <w:t>Even with a 53.1 per cent share of the market for motorcycles with engines of at least 601 cc,</w:t>
      </w:r>
      <w:r w:rsidRPr="00C97A8E">
        <w:rPr>
          <w:rFonts w:eastAsia="Calibri"/>
          <w:vertAlign w:val="superscript"/>
          <w:lang w:val="en-GB"/>
        </w:rPr>
        <w:endnoteReference w:id="28"/>
      </w:r>
      <w:r w:rsidRPr="00C97A8E">
        <w:rPr>
          <w:rFonts w:eastAsia="Calibri"/>
          <w:lang w:val="en-GB"/>
        </w:rPr>
        <w:t xml:space="preserve"> Harley-Davidson was under increasing pressure in the form of significant price discounts from Polaris Industries, which sold motorcycles under its Indian brand. However, Levatich had refused to engage in a price war and expected more sales, even while his industry was becoming more competitive and his loyal customer base was shifting.</w:t>
      </w:r>
    </w:p>
    <w:p w14:paraId="04D4EBFA" w14:textId="77777777" w:rsidR="00001AE5" w:rsidRPr="00C97A8E" w:rsidRDefault="00001AE5" w:rsidP="00001AE5">
      <w:pPr>
        <w:pStyle w:val="BodyTextMain"/>
        <w:rPr>
          <w:rFonts w:eastAsia="Calibri"/>
          <w:lang w:val="en-GB"/>
        </w:rPr>
      </w:pPr>
    </w:p>
    <w:p w14:paraId="776D8E8A" w14:textId="77777777" w:rsidR="00001AE5" w:rsidRPr="00C97A8E" w:rsidRDefault="00001AE5" w:rsidP="00001AE5">
      <w:pPr>
        <w:pStyle w:val="BodyTextMain"/>
        <w:rPr>
          <w:rFonts w:eastAsia="Calibri"/>
          <w:lang w:val="en-GB"/>
        </w:rPr>
      </w:pPr>
    </w:p>
    <w:p w14:paraId="41023F9A" w14:textId="77777777" w:rsidR="00001AE5" w:rsidRPr="00C97A8E" w:rsidRDefault="00001AE5" w:rsidP="00001AE5">
      <w:pPr>
        <w:pStyle w:val="Casehead2"/>
        <w:rPr>
          <w:rFonts w:eastAsia="Calibri"/>
          <w:lang w:val="en-GB"/>
        </w:rPr>
      </w:pPr>
      <w:r w:rsidRPr="00C97A8E">
        <w:rPr>
          <w:rFonts w:eastAsia="Calibri"/>
          <w:lang w:val="en-GB"/>
        </w:rPr>
        <w:t>Customer Shifts</w:t>
      </w:r>
    </w:p>
    <w:p w14:paraId="0E4EC732" w14:textId="77777777" w:rsidR="00001AE5" w:rsidRPr="00C97A8E" w:rsidRDefault="00001AE5" w:rsidP="00001AE5">
      <w:pPr>
        <w:pStyle w:val="BodyTextMain"/>
        <w:rPr>
          <w:lang w:val="en-GB"/>
        </w:rPr>
      </w:pPr>
    </w:p>
    <w:p w14:paraId="7F3C913E" w14:textId="77777777" w:rsidR="00001AE5" w:rsidRPr="008D050E" w:rsidRDefault="00001AE5" w:rsidP="00001AE5">
      <w:pPr>
        <w:pStyle w:val="BodyTextMain"/>
        <w:rPr>
          <w:spacing w:val="-2"/>
          <w:kern w:val="22"/>
          <w:lang w:val="en-GB"/>
        </w:rPr>
      </w:pPr>
      <w:r w:rsidRPr="008D050E">
        <w:rPr>
          <w:spacing w:val="-2"/>
          <w:kern w:val="22"/>
          <w:lang w:val="en-GB"/>
        </w:rPr>
        <w:t>For generations, particularly in Hollywood movies and TV commercials, the typical Harley-Davidson customer had been a rebel—the unshaven “bad guy,” outlaw, and irresistible villain. “While no other motorcycle manufacturer enjoys the instant name recognition of Harley-Davidson, it’s also true that the recession hit Harley harder than it did any other motorcycle brand,” one article noted.</w:t>
      </w:r>
      <w:r w:rsidRPr="008D050E">
        <w:rPr>
          <w:spacing w:val="-2"/>
          <w:kern w:val="22"/>
          <w:vertAlign w:val="superscript"/>
          <w:lang w:val="en-GB"/>
        </w:rPr>
        <w:endnoteReference w:id="29"/>
      </w:r>
      <w:r w:rsidRPr="008D050E">
        <w:rPr>
          <w:spacing w:val="-2"/>
          <w:kern w:val="22"/>
          <w:lang w:val="en-GB"/>
        </w:rPr>
        <w:t xml:space="preserve"> However, since the 2008 financial crisis, sales to typical Harley</w:t>
      </w:r>
      <w:r w:rsidR="00653D3D" w:rsidRPr="008D050E">
        <w:rPr>
          <w:spacing w:val="-2"/>
          <w:kern w:val="22"/>
          <w:lang w:val="en-GB"/>
        </w:rPr>
        <w:t>-Davidson</w:t>
      </w:r>
      <w:r w:rsidRPr="008D050E">
        <w:rPr>
          <w:spacing w:val="-2"/>
          <w:kern w:val="22"/>
          <w:lang w:val="en-GB"/>
        </w:rPr>
        <w:t xml:space="preserve"> customers (e.g., white males) had been declining. The </w:t>
      </w:r>
      <w:proofErr w:type="spellStart"/>
      <w:r w:rsidRPr="008D050E">
        <w:rPr>
          <w:spacing w:val="-2"/>
          <w:kern w:val="22"/>
          <w:lang w:val="en-GB"/>
        </w:rPr>
        <w:t>Interbrand</w:t>
      </w:r>
      <w:proofErr w:type="spellEnd"/>
      <w:r w:rsidRPr="008D050E">
        <w:rPr>
          <w:spacing w:val="-2"/>
          <w:kern w:val="22"/>
          <w:lang w:val="en-GB"/>
        </w:rPr>
        <w:t xml:space="preserve"> agency, which had measured brand value or equity for more than 20 years and attributed values to brands based on financial statements, associated market dynamics, and forecasted future earnings, reported the following disturbing statistic in 2009: “According to </w:t>
      </w:r>
      <w:proofErr w:type="spellStart"/>
      <w:r w:rsidRPr="008D050E">
        <w:rPr>
          <w:spacing w:val="-2"/>
          <w:kern w:val="22"/>
          <w:lang w:val="en-GB"/>
        </w:rPr>
        <w:t>Interbrand</w:t>
      </w:r>
      <w:proofErr w:type="spellEnd"/>
      <w:r w:rsidRPr="008D050E">
        <w:rPr>
          <w:spacing w:val="-2"/>
          <w:kern w:val="22"/>
          <w:lang w:val="en-GB"/>
        </w:rPr>
        <w:t>, Harley-Davidson experienced the biggest drop in value. The ‘legend’s’ value dropped by 43 per cent to $4.34 billion, which is most likely connected to the 66 per cent drop in the company profits in two quarters of the last year.”</w:t>
      </w:r>
      <w:r w:rsidRPr="008D050E">
        <w:rPr>
          <w:spacing w:val="-2"/>
          <w:kern w:val="22"/>
          <w:vertAlign w:val="superscript"/>
          <w:lang w:val="en-GB"/>
        </w:rPr>
        <w:endnoteReference w:id="30"/>
      </w:r>
      <w:r w:rsidRPr="008D050E">
        <w:rPr>
          <w:spacing w:val="-2"/>
          <w:kern w:val="22"/>
          <w:vertAlign w:val="superscript"/>
          <w:lang w:val="en-GB"/>
        </w:rPr>
        <w:t> </w:t>
      </w:r>
    </w:p>
    <w:p w14:paraId="519CEDAF" w14:textId="77777777" w:rsidR="00001AE5" w:rsidRPr="00C97A8E" w:rsidRDefault="00001AE5" w:rsidP="00001AE5">
      <w:pPr>
        <w:pStyle w:val="BodyTextMain"/>
        <w:rPr>
          <w:lang w:val="en-GB"/>
        </w:rPr>
      </w:pPr>
    </w:p>
    <w:p w14:paraId="0C573DA6" w14:textId="0FB833C9" w:rsidR="00001AE5" w:rsidRPr="00A61AEE" w:rsidRDefault="00001AE5" w:rsidP="00001AE5">
      <w:pPr>
        <w:pStyle w:val="BodyTextMain"/>
        <w:rPr>
          <w:spacing w:val="-2"/>
          <w:kern w:val="22"/>
          <w:lang w:val="en-GB"/>
        </w:rPr>
      </w:pPr>
      <w:r w:rsidRPr="00A61AEE">
        <w:rPr>
          <w:spacing w:val="-2"/>
          <w:kern w:val="22"/>
          <w:lang w:val="en-GB"/>
        </w:rPr>
        <w:t>Since 2009, Harley-Davidson had been forced to shift toward a new (younger) generation of riders, since the “real riders” who made up the company’s traditional customer base (i.e., white males, 45 years old or older) were aging and declining in numbers. That shift had happened over decades. In 1987, the median age of Harley-Davidson customers was 35, and had risen to 47 by 2007. A full 60 per cent of the company’s customers were baby boomers born between 1946 and 1964.</w:t>
      </w:r>
      <w:r w:rsidRPr="00A61AEE">
        <w:rPr>
          <w:spacing w:val="-2"/>
          <w:kern w:val="22"/>
          <w:vertAlign w:val="superscript"/>
          <w:lang w:val="en-GB"/>
        </w:rPr>
        <w:endnoteReference w:id="31"/>
      </w:r>
      <w:r w:rsidRPr="00A61AEE">
        <w:rPr>
          <w:spacing w:val="-2"/>
          <w:kern w:val="22"/>
          <w:lang w:val="en-GB"/>
        </w:rPr>
        <w:t xml:space="preserve"> In 2015, the number of U.S. baby boomers was 74.9 million, down from its 1999 peak of 78.8 million; this generation was expected to number 16.6 million by 2050.</w:t>
      </w:r>
      <w:r w:rsidRPr="00A61AEE">
        <w:rPr>
          <w:spacing w:val="-2"/>
          <w:kern w:val="22"/>
          <w:vertAlign w:val="superscript"/>
          <w:lang w:val="en-GB"/>
        </w:rPr>
        <w:endnoteReference w:id="32"/>
      </w:r>
      <w:r w:rsidRPr="00A61AEE">
        <w:rPr>
          <w:spacing w:val="-2"/>
          <w:kern w:val="22"/>
          <w:lang w:val="en-GB"/>
        </w:rPr>
        <w:t xml:space="preserve"> Harley-Davidson had been trying to build a more diversified customer base in the United States by attracting more women</w:t>
      </w:r>
      <w:r w:rsidR="00653D3D">
        <w:rPr>
          <w:spacing w:val="-2"/>
          <w:kern w:val="22"/>
          <w:lang w:val="en-GB"/>
        </w:rPr>
        <w:t>,</w:t>
      </w:r>
      <w:r w:rsidRPr="00A61AEE">
        <w:rPr>
          <w:spacing w:val="-2"/>
          <w:kern w:val="22"/>
          <w:lang w:val="en-GB"/>
        </w:rPr>
        <w:t xml:space="preserve"> African American</w:t>
      </w:r>
      <w:r w:rsidR="00653D3D">
        <w:rPr>
          <w:spacing w:val="-2"/>
          <w:kern w:val="22"/>
          <w:lang w:val="en-GB"/>
        </w:rPr>
        <w:t>,</w:t>
      </w:r>
      <w:r w:rsidRPr="00A61AEE">
        <w:rPr>
          <w:spacing w:val="-2"/>
          <w:kern w:val="22"/>
          <w:lang w:val="en-GB"/>
        </w:rPr>
        <w:t xml:space="preserve"> and Hispanic customers. As such, it had started to court women as riders through garage parties, a marketing effort that was showing some positive results.</w:t>
      </w:r>
      <w:r w:rsidRPr="00A61AEE">
        <w:rPr>
          <w:rStyle w:val="EndnoteReference"/>
          <w:spacing w:val="-2"/>
          <w:kern w:val="22"/>
          <w:lang w:val="en-GB"/>
        </w:rPr>
        <w:endnoteReference w:id="33"/>
      </w:r>
    </w:p>
    <w:p w14:paraId="09E4D270" w14:textId="77777777" w:rsidR="00001AE5" w:rsidRPr="00C97A8E" w:rsidRDefault="00001AE5" w:rsidP="00001AE5">
      <w:pPr>
        <w:pStyle w:val="BodyTextMain"/>
        <w:rPr>
          <w:lang w:val="en-GB"/>
        </w:rPr>
      </w:pPr>
    </w:p>
    <w:p w14:paraId="2A69D0F4" w14:textId="3DAB518E" w:rsidR="00001AE5" w:rsidRPr="00C97A8E" w:rsidRDefault="00001AE5" w:rsidP="00001AE5">
      <w:pPr>
        <w:pStyle w:val="BodyTextMain"/>
        <w:rPr>
          <w:spacing w:val="-4"/>
          <w:kern w:val="22"/>
          <w:lang w:val="en-GB"/>
        </w:rPr>
      </w:pPr>
      <w:r w:rsidRPr="00C97A8E">
        <w:rPr>
          <w:lang w:val="en-GB"/>
        </w:rPr>
        <w:t xml:space="preserve">However, millennials tended to prefer experiences rather than </w:t>
      </w:r>
      <w:r w:rsidR="0048728E">
        <w:rPr>
          <w:lang w:val="en-GB"/>
        </w:rPr>
        <w:t>possessions</w:t>
      </w:r>
      <w:r w:rsidR="00653D3D">
        <w:rPr>
          <w:lang w:val="en-GB"/>
        </w:rPr>
        <w:t xml:space="preserve"> such as</w:t>
      </w:r>
      <w:r w:rsidRPr="00C97A8E">
        <w:rPr>
          <w:lang w:val="en-GB"/>
        </w:rPr>
        <w:t xml:space="preserve"> motorcycles. They sought differentiation and customization, associated the Harley-Davidson brand with their grandparents, and could not afford luxurious motorcycles.</w:t>
      </w:r>
      <w:r w:rsidRPr="00C97A8E">
        <w:rPr>
          <w:vertAlign w:val="superscript"/>
          <w:lang w:val="en-GB"/>
        </w:rPr>
        <w:endnoteReference w:id="34"/>
      </w:r>
      <w:r w:rsidRPr="00C97A8E">
        <w:rPr>
          <w:lang w:val="en-GB"/>
        </w:rPr>
        <w:t xml:space="preserve"> </w:t>
      </w:r>
      <w:r w:rsidRPr="00C97A8E">
        <w:rPr>
          <w:spacing w:val="-4"/>
          <w:kern w:val="22"/>
          <w:lang w:val="en-GB"/>
        </w:rPr>
        <w:t xml:space="preserve">Based on this information, Harley-Davidson changed its </w:t>
      </w:r>
      <w:r w:rsidRPr="00C97A8E">
        <w:rPr>
          <w:spacing w:val="-4"/>
          <w:kern w:val="22"/>
          <w:lang w:val="en-GB"/>
        </w:rPr>
        <w:lastRenderedPageBreak/>
        <w:t>product mix, selling 6.4 per cent fewer Touring motorcycles, which emphasized comfort and load capacity, and instead selling 4.7 per cent more Cruiser motorcycles, which emphasized styling and customization. It maintained the existing percentage of Sportsters, which emphasized performance; worldwide retail sales for this product declined by 1.6 per cent between 2015 and 2016</w:t>
      </w:r>
      <w:r w:rsidR="000D0EE2">
        <w:rPr>
          <w:spacing w:val="-4"/>
          <w:kern w:val="22"/>
          <w:lang w:val="en-GB"/>
        </w:rPr>
        <w:t>.</w:t>
      </w:r>
      <w:r w:rsidRPr="00C97A8E">
        <w:rPr>
          <w:spacing w:val="-4"/>
          <w:kern w:val="22"/>
          <w:vertAlign w:val="superscript"/>
          <w:lang w:val="en-GB"/>
        </w:rPr>
        <w:endnoteReference w:id="35"/>
      </w:r>
      <w:r w:rsidRPr="00C97A8E">
        <w:rPr>
          <w:spacing w:val="-4"/>
          <w:kern w:val="22"/>
          <w:lang w:val="en-GB"/>
        </w:rPr>
        <w:t xml:space="preserve"> </w:t>
      </w:r>
    </w:p>
    <w:p w14:paraId="3881F84F" w14:textId="77777777" w:rsidR="00001AE5" w:rsidRPr="00C97A8E" w:rsidRDefault="00001AE5" w:rsidP="00001AE5">
      <w:pPr>
        <w:pStyle w:val="BodyTextMain"/>
        <w:rPr>
          <w:lang w:val="en-GB"/>
        </w:rPr>
      </w:pPr>
    </w:p>
    <w:p w14:paraId="062D3D11" w14:textId="107C55DF" w:rsidR="007E1BC9" w:rsidRDefault="00001AE5" w:rsidP="00001AE5">
      <w:pPr>
        <w:pStyle w:val="BodyTextMain"/>
        <w:rPr>
          <w:lang w:val="en-GB"/>
        </w:rPr>
      </w:pPr>
      <w:r w:rsidRPr="00C97A8E">
        <w:rPr>
          <w:lang w:val="en-GB"/>
        </w:rPr>
        <w:t>In 2016, 62 per cent of Harley-Davidson’s retail sales were generated in the United States compared with 38 per cent in international markets,</w:t>
      </w:r>
      <w:r w:rsidRPr="00C97A8E">
        <w:rPr>
          <w:vertAlign w:val="superscript"/>
          <w:lang w:val="en-GB"/>
        </w:rPr>
        <w:endnoteReference w:id="36"/>
      </w:r>
      <w:r w:rsidRPr="00C97A8E">
        <w:rPr>
          <w:lang w:val="en-GB"/>
        </w:rPr>
        <w:t xml:space="preserve"> an increase of 22 per cent over the previous decade.</w:t>
      </w:r>
      <w:r w:rsidRPr="00C97A8E">
        <w:rPr>
          <w:vertAlign w:val="superscript"/>
          <w:lang w:val="en-GB"/>
        </w:rPr>
        <w:endnoteReference w:id="37"/>
      </w:r>
      <w:r w:rsidRPr="00C97A8E">
        <w:rPr>
          <w:vertAlign w:val="superscript"/>
          <w:lang w:val="en-GB"/>
        </w:rPr>
        <w:t xml:space="preserve"> </w:t>
      </w:r>
      <w:r w:rsidR="007E1BC9">
        <w:rPr>
          <w:lang w:val="en-GB"/>
        </w:rPr>
        <w:t>This trend was clearly confirmed between 2006 and 2016</w:t>
      </w:r>
      <w:r w:rsidR="00F50524">
        <w:rPr>
          <w:lang w:val="en-GB"/>
        </w:rPr>
        <w:t xml:space="preserve"> in terms of </w:t>
      </w:r>
      <w:r w:rsidR="007E1BC9">
        <w:rPr>
          <w:lang w:val="en-GB"/>
        </w:rPr>
        <w:t>domestic</w:t>
      </w:r>
      <w:r w:rsidR="000D0EE2">
        <w:rPr>
          <w:lang w:val="en-GB"/>
        </w:rPr>
        <w:t xml:space="preserve"> motorcycle shipments </w:t>
      </w:r>
      <w:r w:rsidR="007E1BC9">
        <w:rPr>
          <w:lang w:val="en-GB"/>
        </w:rPr>
        <w:t>decreas</w:t>
      </w:r>
      <w:r w:rsidR="00F50524">
        <w:rPr>
          <w:lang w:val="en-GB"/>
        </w:rPr>
        <w:t xml:space="preserve">ing </w:t>
      </w:r>
      <w:r w:rsidR="007E1BC9">
        <w:rPr>
          <w:lang w:val="en-GB"/>
        </w:rPr>
        <w:t xml:space="preserve">from </w:t>
      </w:r>
      <w:r w:rsidR="00F50524">
        <w:rPr>
          <w:lang w:val="en-GB"/>
        </w:rPr>
        <w:t xml:space="preserve">273,212 </w:t>
      </w:r>
      <w:r w:rsidR="007E1BC9">
        <w:rPr>
          <w:lang w:val="en-GB"/>
        </w:rPr>
        <w:t xml:space="preserve">to </w:t>
      </w:r>
      <w:r w:rsidR="00F50524">
        <w:rPr>
          <w:lang w:val="en-GB"/>
        </w:rPr>
        <w:t>170,688</w:t>
      </w:r>
      <w:r w:rsidR="007E1BC9">
        <w:rPr>
          <w:lang w:val="en-GB"/>
        </w:rPr>
        <w:t xml:space="preserve">, whereas </w:t>
      </w:r>
      <w:r w:rsidR="00F50524">
        <w:rPr>
          <w:lang w:val="en-GB"/>
        </w:rPr>
        <w:t xml:space="preserve">international motorcycle shipments </w:t>
      </w:r>
      <w:r w:rsidR="007E1BC9">
        <w:rPr>
          <w:lang w:val="en-GB"/>
        </w:rPr>
        <w:t xml:space="preserve">increased from </w:t>
      </w:r>
      <w:r w:rsidR="00F50524">
        <w:rPr>
          <w:lang w:val="en-GB"/>
        </w:rPr>
        <w:t xml:space="preserve">75,984 to 95,694 for the same period </w:t>
      </w:r>
      <w:r w:rsidR="007E1BC9">
        <w:rPr>
          <w:lang w:val="en-GB"/>
        </w:rPr>
        <w:t>(see Exhibit 3).</w:t>
      </w:r>
    </w:p>
    <w:p w14:paraId="761EBA42" w14:textId="77777777" w:rsidR="007E1BC9" w:rsidRDefault="007E1BC9" w:rsidP="00001AE5">
      <w:pPr>
        <w:pStyle w:val="BodyTextMain"/>
        <w:rPr>
          <w:lang w:val="en-GB"/>
        </w:rPr>
      </w:pPr>
    </w:p>
    <w:p w14:paraId="6D1FB61A" w14:textId="13DC73DC" w:rsidR="00001AE5" w:rsidRPr="00C97A8E" w:rsidRDefault="00001AE5" w:rsidP="00001AE5">
      <w:pPr>
        <w:pStyle w:val="BodyTextMain"/>
        <w:rPr>
          <w:lang w:val="en-GB"/>
        </w:rPr>
      </w:pPr>
      <w:r w:rsidRPr="00C97A8E">
        <w:rPr>
          <w:lang w:val="en-GB"/>
        </w:rPr>
        <w:t xml:space="preserve">Harley-Davidson motorcycles and related products exported from plants in Pennsylvania, Missouri, and Wisconsin were distributed in 97 countries. While international retail sales of new Harley-Davidson motorcycles </w:t>
      </w:r>
      <w:r w:rsidR="00DF335A">
        <w:rPr>
          <w:lang w:val="en-GB"/>
        </w:rPr>
        <w:t xml:space="preserve">in 2016 </w:t>
      </w:r>
      <w:r w:rsidRPr="00C97A8E">
        <w:rPr>
          <w:lang w:val="en-GB"/>
        </w:rPr>
        <w:t>increased by 2.3 per cent</w:t>
      </w:r>
      <w:r w:rsidR="00DF335A">
        <w:rPr>
          <w:lang w:val="en-GB"/>
        </w:rPr>
        <w:t xml:space="preserve"> over 2015</w:t>
      </w:r>
      <w:r w:rsidRPr="00C97A8E">
        <w:rPr>
          <w:lang w:val="en-GB"/>
        </w:rPr>
        <w:t xml:space="preserve">, this </w:t>
      </w:r>
      <w:r w:rsidR="00DF335A">
        <w:rPr>
          <w:lang w:val="en-GB"/>
        </w:rPr>
        <w:t xml:space="preserve">increase </w:t>
      </w:r>
      <w:r w:rsidRPr="00C97A8E">
        <w:rPr>
          <w:lang w:val="en-GB"/>
        </w:rPr>
        <w:t>was offset by a 3.9 per cent decrease in U.S. retail sales in 2016 as compared to 2015.</w:t>
      </w:r>
      <w:r w:rsidR="00242E14">
        <w:rPr>
          <w:rStyle w:val="EndnoteReference"/>
          <w:lang w:val="en-GB"/>
        </w:rPr>
        <w:endnoteReference w:id="38"/>
      </w:r>
      <w:r w:rsidRPr="00C97A8E">
        <w:rPr>
          <w:lang w:val="en-GB"/>
        </w:rPr>
        <w:t xml:space="preserve"> In the U.S. and international markets combined, Harley-Davidson’s retail sales were down 1.6 per cent (see Exhibit 4).</w:t>
      </w:r>
    </w:p>
    <w:p w14:paraId="749A079E" w14:textId="77777777" w:rsidR="00001AE5" w:rsidRPr="00C97A8E" w:rsidRDefault="00001AE5" w:rsidP="00001AE5">
      <w:pPr>
        <w:pStyle w:val="BodyTextMain"/>
        <w:rPr>
          <w:lang w:val="en-GB"/>
        </w:rPr>
      </w:pPr>
    </w:p>
    <w:p w14:paraId="5423221F" w14:textId="3AE307B8" w:rsidR="00001AE5" w:rsidRPr="00C97A8E" w:rsidRDefault="00001AE5" w:rsidP="00001AE5">
      <w:pPr>
        <w:pStyle w:val="BodyTextMain"/>
        <w:rPr>
          <w:rFonts w:eastAsia="Calibri"/>
          <w:lang w:val="en-GB"/>
        </w:rPr>
      </w:pPr>
      <w:r w:rsidRPr="00C97A8E">
        <w:rPr>
          <w:lang w:val="en-GB"/>
        </w:rPr>
        <w:t xml:space="preserve">The new U.S. president was pushing an America First foreign policy agenda, and the company was experiencing lacklustre quarterly results, including decreases in revenue (down 14.28 per cent), net income (down 25.58 per cent), and earnings per share (down 22.08 per cent) compared </w:t>
      </w:r>
      <w:r w:rsidR="008A223A">
        <w:rPr>
          <w:lang w:val="en-GB"/>
        </w:rPr>
        <w:t>with</w:t>
      </w:r>
      <w:r w:rsidR="008A223A" w:rsidRPr="00C97A8E">
        <w:rPr>
          <w:lang w:val="en-GB"/>
        </w:rPr>
        <w:t xml:space="preserve"> </w:t>
      </w:r>
      <w:r w:rsidRPr="00C97A8E">
        <w:rPr>
          <w:lang w:val="en-GB"/>
        </w:rPr>
        <w:t xml:space="preserve">the same period in 2016. Harley-Davidson’s CEO </w:t>
      </w:r>
      <w:r w:rsidR="008A223A">
        <w:rPr>
          <w:lang w:val="en-GB"/>
        </w:rPr>
        <w:t>needed</w:t>
      </w:r>
      <w:r w:rsidR="008A223A" w:rsidRPr="00C97A8E">
        <w:rPr>
          <w:lang w:val="en-GB"/>
        </w:rPr>
        <w:t xml:space="preserve"> </w:t>
      </w:r>
      <w:r w:rsidRPr="00C97A8E">
        <w:rPr>
          <w:lang w:val="en-GB"/>
        </w:rPr>
        <w:t>to address a pressing dilemma: to expand internationally or not. It was decision time.</w:t>
      </w:r>
    </w:p>
    <w:p w14:paraId="62E0E47D" w14:textId="77777777" w:rsidR="00001AE5" w:rsidRPr="00C97A8E" w:rsidRDefault="00001AE5" w:rsidP="00001AE5">
      <w:pPr>
        <w:spacing w:after="200" w:line="276" w:lineRule="auto"/>
        <w:rPr>
          <w:rFonts w:eastAsia="Calibri"/>
          <w:color w:val="000000"/>
          <w:spacing w:val="6"/>
          <w:sz w:val="22"/>
          <w:szCs w:val="22"/>
          <w:lang w:val="en-GB"/>
        </w:rPr>
      </w:pPr>
      <w:r w:rsidRPr="00C97A8E">
        <w:rPr>
          <w:rFonts w:eastAsia="Calibri"/>
          <w:color w:val="000000"/>
          <w:spacing w:val="6"/>
          <w:lang w:val="en-GB"/>
        </w:rPr>
        <w:br w:type="page"/>
      </w:r>
    </w:p>
    <w:p w14:paraId="68AA7875" w14:textId="77777777" w:rsidR="00001AE5" w:rsidRPr="00C97A8E" w:rsidRDefault="00001AE5" w:rsidP="00001AE5">
      <w:pPr>
        <w:pStyle w:val="ExhibitHeading"/>
        <w:rPr>
          <w:rFonts w:eastAsia="Calibri"/>
          <w:lang w:val="en-GB"/>
        </w:rPr>
      </w:pPr>
      <w:r w:rsidRPr="00C97A8E">
        <w:rPr>
          <w:rFonts w:eastAsia="Calibri"/>
          <w:lang w:val="en-GB"/>
        </w:rPr>
        <w:lastRenderedPageBreak/>
        <w:t xml:space="preserve">Exhibit 1: </w:t>
      </w:r>
      <w:r w:rsidR="008A223A">
        <w:rPr>
          <w:rFonts w:eastAsia="Calibri"/>
          <w:lang w:val="en-GB"/>
        </w:rPr>
        <w:t xml:space="preserve">HARLEY-DAVIDSON INC. </w:t>
      </w:r>
      <w:r w:rsidRPr="00C97A8E">
        <w:rPr>
          <w:rFonts w:eastAsia="Calibri"/>
          <w:lang w:val="en-GB"/>
        </w:rPr>
        <w:t>Net Income Statement</w:t>
      </w:r>
      <w:r w:rsidR="008A223A">
        <w:rPr>
          <w:rFonts w:eastAsia="Calibri"/>
          <w:lang w:val="en-GB"/>
        </w:rPr>
        <w:t>S</w:t>
      </w:r>
      <w:r w:rsidRPr="00C97A8E">
        <w:rPr>
          <w:rFonts w:eastAsia="Calibri"/>
          <w:lang w:val="en-GB"/>
        </w:rPr>
        <w:t xml:space="preserve">, 2012–2016 (In </w:t>
      </w:r>
      <w:r w:rsidR="008A223A">
        <w:rPr>
          <w:rFonts w:eastAsia="Calibri"/>
          <w:lang w:val="en-GB"/>
        </w:rPr>
        <w:t xml:space="preserve">US$ </w:t>
      </w:r>
      <w:r w:rsidRPr="00C97A8E">
        <w:rPr>
          <w:rFonts w:eastAsia="Calibri"/>
          <w:lang w:val="en-GB"/>
        </w:rPr>
        <w:t>thousands, except per-share amounts)</w:t>
      </w:r>
    </w:p>
    <w:p w14:paraId="6EDC13AB" w14:textId="77777777" w:rsidR="00001AE5" w:rsidRPr="00C97A8E" w:rsidRDefault="00001AE5" w:rsidP="00001AE5">
      <w:pPr>
        <w:pStyle w:val="ExhibitText"/>
        <w:rPr>
          <w:rFonts w:eastAsia="Calibri"/>
          <w:sz w:val="16"/>
          <w:szCs w:val="16"/>
          <w:lang w:val="en-GB"/>
        </w:rPr>
      </w:pPr>
    </w:p>
    <w:tbl>
      <w:tblPr>
        <w:tblStyle w:val="TableGrid"/>
        <w:tblW w:w="8550" w:type="dxa"/>
        <w:jc w:val="center"/>
        <w:tblLayout w:type="fixed"/>
        <w:tblLook w:val="04A0" w:firstRow="1" w:lastRow="0" w:firstColumn="1" w:lastColumn="0" w:noHBand="0" w:noVBand="1"/>
      </w:tblPr>
      <w:tblGrid>
        <w:gridCol w:w="2250"/>
        <w:gridCol w:w="1260"/>
        <w:gridCol w:w="1260"/>
        <w:gridCol w:w="1260"/>
        <w:gridCol w:w="1260"/>
        <w:gridCol w:w="1260"/>
      </w:tblGrid>
      <w:tr w:rsidR="008D050E" w:rsidRPr="00C97A8E" w14:paraId="32EF2EA2" w14:textId="77777777" w:rsidTr="008D050E">
        <w:trPr>
          <w:trHeight w:val="215"/>
          <w:jc w:val="center"/>
        </w:trPr>
        <w:tc>
          <w:tcPr>
            <w:tcW w:w="2250" w:type="dxa"/>
          </w:tcPr>
          <w:p w14:paraId="0BEB67EF" w14:textId="77777777" w:rsidR="00001AE5" w:rsidRPr="00C97A8E" w:rsidRDefault="00001AE5" w:rsidP="004308C7">
            <w:pPr>
              <w:pStyle w:val="ExhibitText"/>
              <w:rPr>
                <w:rFonts w:eastAsia="Calibri"/>
                <w:lang w:val="en-GB"/>
              </w:rPr>
            </w:pPr>
          </w:p>
        </w:tc>
        <w:tc>
          <w:tcPr>
            <w:tcW w:w="1260" w:type="dxa"/>
            <w:vAlign w:val="center"/>
          </w:tcPr>
          <w:p w14:paraId="60FEE303" w14:textId="77777777" w:rsidR="00001AE5" w:rsidRPr="00C97A8E" w:rsidRDefault="00001AE5" w:rsidP="004308C7">
            <w:pPr>
              <w:pStyle w:val="ExhibitText"/>
              <w:jc w:val="center"/>
              <w:rPr>
                <w:rFonts w:eastAsia="Calibri"/>
                <w:b/>
                <w:lang w:val="en-GB"/>
              </w:rPr>
            </w:pPr>
            <w:r w:rsidRPr="00C97A8E">
              <w:rPr>
                <w:rFonts w:eastAsia="Calibri"/>
                <w:b/>
                <w:lang w:val="en-GB"/>
              </w:rPr>
              <w:t>2016</w:t>
            </w:r>
          </w:p>
        </w:tc>
        <w:tc>
          <w:tcPr>
            <w:tcW w:w="1260" w:type="dxa"/>
            <w:vAlign w:val="center"/>
          </w:tcPr>
          <w:p w14:paraId="2D57C3DB" w14:textId="77777777" w:rsidR="00001AE5" w:rsidRPr="00C97A8E" w:rsidRDefault="00001AE5" w:rsidP="004308C7">
            <w:pPr>
              <w:pStyle w:val="ExhibitText"/>
              <w:jc w:val="center"/>
              <w:rPr>
                <w:rFonts w:eastAsia="Calibri"/>
                <w:b/>
                <w:lang w:val="en-GB"/>
              </w:rPr>
            </w:pPr>
            <w:r w:rsidRPr="00C97A8E">
              <w:rPr>
                <w:rFonts w:eastAsia="Calibri"/>
                <w:b/>
                <w:lang w:val="en-GB"/>
              </w:rPr>
              <w:t>2015</w:t>
            </w:r>
          </w:p>
        </w:tc>
        <w:tc>
          <w:tcPr>
            <w:tcW w:w="1260" w:type="dxa"/>
            <w:vAlign w:val="center"/>
          </w:tcPr>
          <w:p w14:paraId="1B017344" w14:textId="77777777" w:rsidR="00001AE5" w:rsidRPr="00C97A8E" w:rsidRDefault="00001AE5" w:rsidP="004308C7">
            <w:pPr>
              <w:pStyle w:val="ExhibitText"/>
              <w:jc w:val="center"/>
              <w:rPr>
                <w:rFonts w:eastAsia="Calibri"/>
                <w:b/>
                <w:lang w:val="en-GB"/>
              </w:rPr>
            </w:pPr>
            <w:r w:rsidRPr="00C97A8E">
              <w:rPr>
                <w:rFonts w:eastAsia="Calibri"/>
                <w:b/>
                <w:lang w:val="en-GB"/>
              </w:rPr>
              <w:t>2014</w:t>
            </w:r>
          </w:p>
        </w:tc>
        <w:tc>
          <w:tcPr>
            <w:tcW w:w="1260" w:type="dxa"/>
            <w:vAlign w:val="center"/>
          </w:tcPr>
          <w:p w14:paraId="21AFAEDA" w14:textId="77777777" w:rsidR="00001AE5" w:rsidRPr="00C97A8E" w:rsidRDefault="00001AE5" w:rsidP="004308C7">
            <w:pPr>
              <w:pStyle w:val="ExhibitText"/>
              <w:jc w:val="center"/>
              <w:rPr>
                <w:rFonts w:eastAsia="Calibri"/>
                <w:b/>
                <w:lang w:val="en-GB"/>
              </w:rPr>
            </w:pPr>
            <w:r w:rsidRPr="00C97A8E">
              <w:rPr>
                <w:rFonts w:eastAsia="Calibri"/>
                <w:b/>
                <w:lang w:val="en-GB"/>
              </w:rPr>
              <w:t>2013</w:t>
            </w:r>
          </w:p>
        </w:tc>
        <w:tc>
          <w:tcPr>
            <w:tcW w:w="1260" w:type="dxa"/>
            <w:vAlign w:val="center"/>
          </w:tcPr>
          <w:p w14:paraId="6BD3AF0B" w14:textId="77777777" w:rsidR="00001AE5" w:rsidRPr="00C97A8E" w:rsidRDefault="00001AE5" w:rsidP="004308C7">
            <w:pPr>
              <w:pStyle w:val="ExhibitText"/>
              <w:jc w:val="center"/>
              <w:rPr>
                <w:rFonts w:eastAsia="Calibri"/>
                <w:b/>
                <w:lang w:val="en-GB"/>
              </w:rPr>
            </w:pPr>
            <w:r w:rsidRPr="00C97A8E">
              <w:rPr>
                <w:rFonts w:eastAsia="Calibri"/>
                <w:b/>
                <w:lang w:val="en-GB"/>
              </w:rPr>
              <w:t>2012</w:t>
            </w:r>
          </w:p>
        </w:tc>
      </w:tr>
      <w:tr w:rsidR="00001AE5" w:rsidRPr="00C97A8E" w14:paraId="602D8A13" w14:textId="77777777" w:rsidTr="008D050E">
        <w:trPr>
          <w:trHeight w:val="242"/>
          <w:jc w:val="center"/>
        </w:trPr>
        <w:tc>
          <w:tcPr>
            <w:tcW w:w="8550" w:type="dxa"/>
            <w:gridSpan w:val="6"/>
            <w:vAlign w:val="center"/>
          </w:tcPr>
          <w:p w14:paraId="1CDCDD96" w14:textId="77777777" w:rsidR="00001AE5" w:rsidRPr="00C97A8E" w:rsidRDefault="00001AE5" w:rsidP="004308C7">
            <w:pPr>
              <w:pStyle w:val="ExhibitText"/>
              <w:jc w:val="center"/>
              <w:rPr>
                <w:rFonts w:eastAsia="Calibri"/>
                <w:b/>
                <w:lang w:val="en-GB"/>
              </w:rPr>
            </w:pPr>
            <w:r w:rsidRPr="00C97A8E">
              <w:rPr>
                <w:rFonts w:eastAsia="Calibri"/>
                <w:b/>
                <w:lang w:val="en-GB"/>
              </w:rPr>
              <w:t>Revenue</w:t>
            </w:r>
          </w:p>
        </w:tc>
      </w:tr>
      <w:tr w:rsidR="008D050E" w:rsidRPr="00C97A8E" w14:paraId="3DFEB724" w14:textId="77777777" w:rsidTr="008D050E">
        <w:trPr>
          <w:trHeight w:val="440"/>
          <w:jc w:val="center"/>
        </w:trPr>
        <w:tc>
          <w:tcPr>
            <w:tcW w:w="2250" w:type="dxa"/>
            <w:vAlign w:val="center"/>
          </w:tcPr>
          <w:p w14:paraId="4E16D8C9" w14:textId="77777777" w:rsidR="00001AE5" w:rsidRPr="00C97A8E" w:rsidRDefault="00001AE5" w:rsidP="004308C7">
            <w:pPr>
              <w:pStyle w:val="ExhibitText"/>
              <w:jc w:val="left"/>
              <w:rPr>
                <w:rFonts w:eastAsia="Calibri"/>
                <w:lang w:val="en-GB"/>
              </w:rPr>
            </w:pPr>
            <w:r w:rsidRPr="00C97A8E">
              <w:rPr>
                <w:rFonts w:eastAsia="Calibri"/>
                <w:lang w:val="en-GB"/>
              </w:rPr>
              <w:t>Motorcycles and Related Products</w:t>
            </w:r>
          </w:p>
        </w:tc>
        <w:tc>
          <w:tcPr>
            <w:tcW w:w="1260" w:type="dxa"/>
            <w:vAlign w:val="center"/>
          </w:tcPr>
          <w:p w14:paraId="5D8787B6" w14:textId="77777777" w:rsidR="00001AE5" w:rsidRPr="00C97A8E" w:rsidRDefault="00001AE5" w:rsidP="004308C7">
            <w:pPr>
              <w:pStyle w:val="ExhibitText"/>
              <w:jc w:val="right"/>
              <w:rPr>
                <w:rFonts w:eastAsia="Calibri"/>
                <w:lang w:val="en-GB"/>
              </w:rPr>
            </w:pPr>
            <w:r w:rsidRPr="00C97A8E">
              <w:rPr>
                <w:rFonts w:eastAsia="Calibri"/>
                <w:lang w:val="en-GB"/>
              </w:rPr>
              <w:t>$5,271,376</w:t>
            </w:r>
          </w:p>
        </w:tc>
        <w:tc>
          <w:tcPr>
            <w:tcW w:w="1260" w:type="dxa"/>
            <w:vAlign w:val="center"/>
          </w:tcPr>
          <w:p w14:paraId="336E3227" w14:textId="77777777" w:rsidR="00001AE5" w:rsidRPr="00C97A8E" w:rsidRDefault="00001AE5" w:rsidP="004308C7">
            <w:pPr>
              <w:pStyle w:val="ExhibitText"/>
              <w:jc w:val="right"/>
              <w:rPr>
                <w:rFonts w:eastAsia="Calibri"/>
                <w:lang w:val="en-GB"/>
              </w:rPr>
            </w:pPr>
            <w:r w:rsidRPr="00C97A8E">
              <w:rPr>
                <w:rFonts w:eastAsia="Calibri"/>
                <w:lang w:val="en-GB"/>
              </w:rPr>
              <w:t>$5,308,744</w:t>
            </w:r>
          </w:p>
        </w:tc>
        <w:tc>
          <w:tcPr>
            <w:tcW w:w="1260" w:type="dxa"/>
            <w:vAlign w:val="center"/>
          </w:tcPr>
          <w:p w14:paraId="2586BE43" w14:textId="77777777" w:rsidR="00001AE5" w:rsidRPr="00C97A8E" w:rsidRDefault="00001AE5" w:rsidP="004308C7">
            <w:pPr>
              <w:pStyle w:val="ExhibitText"/>
              <w:jc w:val="right"/>
              <w:rPr>
                <w:rFonts w:eastAsia="Calibri"/>
                <w:lang w:val="en-GB"/>
              </w:rPr>
            </w:pPr>
            <w:r w:rsidRPr="00C97A8E">
              <w:rPr>
                <w:rFonts w:eastAsia="Calibri"/>
                <w:lang w:val="en-GB"/>
              </w:rPr>
              <w:t>$5,567,681</w:t>
            </w:r>
          </w:p>
        </w:tc>
        <w:tc>
          <w:tcPr>
            <w:tcW w:w="1260" w:type="dxa"/>
            <w:vAlign w:val="center"/>
          </w:tcPr>
          <w:p w14:paraId="3D3DDDBE" w14:textId="77777777" w:rsidR="00001AE5" w:rsidRPr="00C97A8E" w:rsidRDefault="00001AE5" w:rsidP="004308C7">
            <w:pPr>
              <w:pStyle w:val="ExhibitText"/>
              <w:jc w:val="right"/>
              <w:rPr>
                <w:rFonts w:eastAsia="Calibri"/>
                <w:lang w:val="en-GB"/>
              </w:rPr>
            </w:pPr>
            <w:r w:rsidRPr="00C97A8E">
              <w:rPr>
                <w:rFonts w:eastAsia="Calibri"/>
                <w:lang w:val="en-GB"/>
              </w:rPr>
              <w:t>$5,258,290</w:t>
            </w:r>
          </w:p>
        </w:tc>
        <w:tc>
          <w:tcPr>
            <w:tcW w:w="1260" w:type="dxa"/>
            <w:vAlign w:val="center"/>
          </w:tcPr>
          <w:p w14:paraId="09708DDB" w14:textId="77777777" w:rsidR="00001AE5" w:rsidRPr="00C97A8E" w:rsidRDefault="00001AE5" w:rsidP="004308C7">
            <w:pPr>
              <w:pStyle w:val="ExhibitText"/>
              <w:jc w:val="right"/>
              <w:rPr>
                <w:rFonts w:eastAsia="Calibri"/>
                <w:lang w:val="en-GB"/>
              </w:rPr>
            </w:pPr>
            <w:r w:rsidRPr="00C97A8E">
              <w:rPr>
                <w:rFonts w:eastAsia="Calibri"/>
                <w:lang w:val="en-GB"/>
              </w:rPr>
              <w:t>$4,942,582</w:t>
            </w:r>
          </w:p>
        </w:tc>
      </w:tr>
      <w:tr w:rsidR="008D050E" w:rsidRPr="00C97A8E" w14:paraId="0EFC1D76" w14:textId="77777777" w:rsidTr="008D050E">
        <w:trPr>
          <w:trHeight w:val="440"/>
          <w:jc w:val="center"/>
        </w:trPr>
        <w:tc>
          <w:tcPr>
            <w:tcW w:w="2250" w:type="dxa"/>
            <w:vAlign w:val="center"/>
          </w:tcPr>
          <w:p w14:paraId="6FC4BCD6" w14:textId="77777777" w:rsidR="00001AE5" w:rsidRPr="00C97A8E" w:rsidRDefault="00001AE5" w:rsidP="004308C7">
            <w:pPr>
              <w:pStyle w:val="ExhibitText"/>
              <w:jc w:val="left"/>
              <w:rPr>
                <w:rFonts w:eastAsia="Calibri"/>
                <w:lang w:val="en-GB"/>
              </w:rPr>
            </w:pPr>
            <w:r w:rsidRPr="00C97A8E">
              <w:rPr>
                <w:rFonts w:eastAsia="Calibri"/>
                <w:lang w:val="en-GB"/>
              </w:rPr>
              <w:t>Financial Services</w:t>
            </w:r>
          </w:p>
        </w:tc>
        <w:tc>
          <w:tcPr>
            <w:tcW w:w="1260" w:type="dxa"/>
            <w:vAlign w:val="center"/>
          </w:tcPr>
          <w:p w14:paraId="698D58FF" w14:textId="77777777" w:rsidR="00001AE5" w:rsidRPr="00C97A8E" w:rsidRDefault="00001AE5" w:rsidP="004308C7">
            <w:pPr>
              <w:pStyle w:val="ExhibitText"/>
              <w:jc w:val="right"/>
              <w:rPr>
                <w:rFonts w:eastAsia="Calibri"/>
                <w:lang w:val="en-GB"/>
              </w:rPr>
            </w:pPr>
            <w:r w:rsidRPr="00C97A8E">
              <w:rPr>
                <w:rFonts w:eastAsia="Calibri"/>
                <w:lang w:val="en-GB"/>
              </w:rPr>
              <w:t>$725,082</w:t>
            </w:r>
          </w:p>
        </w:tc>
        <w:tc>
          <w:tcPr>
            <w:tcW w:w="1260" w:type="dxa"/>
            <w:vAlign w:val="center"/>
          </w:tcPr>
          <w:p w14:paraId="6E9C2732" w14:textId="77777777" w:rsidR="00001AE5" w:rsidRPr="00C97A8E" w:rsidRDefault="00001AE5" w:rsidP="004308C7">
            <w:pPr>
              <w:pStyle w:val="ExhibitText"/>
              <w:jc w:val="right"/>
              <w:rPr>
                <w:rFonts w:eastAsia="Calibri"/>
                <w:lang w:val="en-GB"/>
              </w:rPr>
            </w:pPr>
            <w:r w:rsidRPr="00C97A8E">
              <w:rPr>
                <w:rFonts w:eastAsia="Calibri"/>
                <w:lang w:val="en-GB"/>
              </w:rPr>
              <w:t>$686,658</w:t>
            </w:r>
          </w:p>
        </w:tc>
        <w:tc>
          <w:tcPr>
            <w:tcW w:w="1260" w:type="dxa"/>
            <w:vAlign w:val="center"/>
          </w:tcPr>
          <w:p w14:paraId="77988CF7" w14:textId="77777777" w:rsidR="00001AE5" w:rsidRPr="00C97A8E" w:rsidRDefault="00001AE5" w:rsidP="004308C7">
            <w:pPr>
              <w:pStyle w:val="ExhibitText"/>
              <w:jc w:val="right"/>
              <w:rPr>
                <w:rFonts w:eastAsia="Calibri"/>
                <w:lang w:val="en-GB"/>
              </w:rPr>
            </w:pPr>
            <w:r w:rsidRPr="00C97A8E">
              <w:rPr>
                <w:rFonts w:eastAsia="Calibri"/>
                <w:lang w:val="en-GB"/>
              </w:rPr>
              <w:t>$660,827</w:t>
            </w:r>
          </w:p>
        </w:tc>
        <w:tc>
          <w:tcPr>
            <w:tcW w:w="1260" w:type="dxa"/>
            <w:vAlign w:val="center"/>
          </w:tcPr>
          <w:p w14:paraId="3264DDD6" w14:textId="77777777" w:rsidR="00001AE5" w:rsidRPr="00C97A8E" w:rsidRDefault="00001AE5" w:rsidP="004308C7">
            <w:pPr>
              <w:pStyle w:val="ExhibitText"/>
              <w:jc w:val="right"/>
              <w:rPr>
                <w:rFonts w:eastAsia="Calibri"/>
                <w:lang w:val="en-GB"/>
              </w:rPr>
            </w:pPr>
            <w:r w:rsidRPr="00C97A8E">
              <w:rPr>
                <w:rFonts w:eastAsia="Calibri"/>
                <w:lang w:val="en-GB"/>
              </w:rPr>
              <w:t>$641,582</w:t>
            </w:r>
          </w:p>
        </w:tc>
        <w:tc>
          <w:tcPr>
            <w:tcW w:w="1260" w:type="dxa"/>
            <w:vAlign w:val="center"/>
          </w:tcPr>
          <w:p w14:paraId="629F2931" w14:textId="77777777" w:rsidR="00001AE5" w:rsidRPr="00C97A8E" w:rsidRDefault="00001AE5" w:rsidP="004308C7">
            <w:pPr>
              <w:pStyle w:val="ExhibitText"/>
              <w:jc w:val="right"/>
              <w:rPr>
                <w:rFonts w:eastAsia="Calibri"/>
                <w:lang w:val="en-GB"/>
              </w:rPr>
            </w:pPr>
            <w:r w:rsidRPr="00C97A8E">
              <w:rPr>
                <w:rFonts w:eastAsia="Calibri"/>
                <w:lang w:val="en-GB"/>
              </w:rPr>
              <w:t>$637,924</w:t>
            </w:r>
          </w:p>
        </w:tc>
      </w:tr>
      <w:tr w:rsidR="008D050E" w:rsidRPr="00C97A8E" w14:paraId="629E194B" w14:textId="77777777" w:rsidTr="008D050E">
        <w:trPr>
          <w:trHeight w:val="242"/>
          <w:jc w:val="center"/>
        </w:trPr>
        <w:tc>
          <w:tcPr>
            <w:tcW w:w="2250" w:type="dxa"/>
            <w:vAlign w:val="center"/>
          </w:tcPr>
          <w:p w14:paraId="7902F77A" w14:textId="77777777" w:rsidR="00001AE5" w:rsidRPr="00C97A8E" w:rsidRDefault="00001AE5" w:rsidP="004308C7">
            <w:pPr>
              <w:pStyle w:val="ExhibitText"/>
              <w:jc w:val="left"/>
              <w:rPr>
                <w:rFonts w:eastAsia="Calibri"/>
                <w:lang w:val="en-GB"/>
              </w:rPr>
            </w:pPr>
            <w:r w:rsidRPr="00C97A8E">
              <w:rPr>
                <w:rFonts w:eastAsia="Calibri"/>
                <w:lang w:val="en-GB"/>
              </w:rPr>
              <w:t>Total</w:t>
            </w:r>
          </w:p>
        </w:tc>
        <w:tc>
          <w:tcPr>
            <w:tcW w:w="1260" w:type="dxa"/>
            <w:vAlign w:val="center"/>
          </w:tcPr>
          <w:p w14:paraId="01DD0BB2" w14:textId="77777777" w:rsidR="00001AE5" w:rsidRPr="00C97A8E" w:rsidRDefault="00001AE5" w:rsidP="004308C7">
            <w:pPr>
              <w:pStyle w:val="ExhibitText"/>
              <w:jc w:val="right"/>
              <w:rPr>
                <w:rFonts w:eastAsia="Calibri"/>
                <w:lang w:val="en-GB"/>
              </w:rPr>
            </w:pPr>
            <w:r w:rsidRPr="00C97A8E">
              <w:rPr>
                <w:rFonts w:eastAsia="Calibri"/>
                <w:lang w:val="en-GB"/>
              </w:rPr>
              <w:t>$5,996,458</w:t>
            </w:r>
          </w:p>
        </w:tc>
        <w:tc>
          <w:tcPr>
            <w:tcW w:w="1260" w:type="dxa"/>
            <w:vAlign w:val="center"/>
          </w:tcPr>
          <w:p w14:paraId="18164F42" w14:textId="77777777" w:rsidR="00001AE5" w:rsidRPr="00C97A8E" w:rsidRDefault="00001AE5" w:rsidP="004308C7">
            <w:pPr>
              <w:pStyle w:val="ExhibitText"/>
              <w:jc w:val="right"/>
              <w:rPr>
                <w:rFonts w:eastAsia="Calibri"/>
                <w:lang w:val="en-GB"/>
              </w:rPr>
            </w:pPr>
            <w:r w:rsidRPr="00C97A8E">
              <w:rPr>
                <w:rFonts w:eastAsia="Calibri"/>
                <w:lang w:val="en-GB"/>
              </w:rPr>
              <w:t>$5,995,402</w:t>
            </w:r>
          </w:p>
        </w:tc>
        <w:tc>
          <w:tcPr>
            <w:tcW w:w="1260" w:type="dxa"/>
            <w:vAlign w:val="center"/>
          </w:tcPr>
          <w:p w14:paraId="2AEB552C" w14:textId="77777777" w:rsidR="00001AE5" w:rsidRPr="00C97A8E" w:rsidRDefault="00001AE5" w:rsidP="004308C7">
            <w:pPr>
              <w:pStyle w:val="ExhibitText"/>
              <w:jc w:val="right"/>
              <w:rPr>
                <w:rFonts w:eastAsia="Calibri"/>
                <w:lang w:val="en-GB"/>
              </w:rPr>
            </w:pPr>
            <w:r w:rsidRPr="00C97A8E">
              <w:rPr>
                <w:rFonts w:eastAsia="Calibri"/>
                <w:lang w:val="en-GB"/>
              </w:rPr>
              <w:t>$6,228,508</w:t>
            </w:r>
          </w:p>
        </w:tc>
        <w:tc>
          <w:tcPr>
            <w:tcW w:w="1260" w:type="dxa"/>
            <w:vAlign w:val="center"/>
          </w:tcPr>
          <w:p w14:paraId="212F3A53" w14:textId="77777777" w:rsidR="00001AE5" w:rsidRPr="00C97A8E" w:rsidRDefault="00001AE5" w:rsidP="004308C7">
            <w:pPr>
              <w:pStyle w:val="ExhibitText"/>
              <w:jc w:val="right"/>
              <w:rPr>
                <w:rFonts w:eastAsia="Calibri"/>
                <w:lang w:val="en-GB"/>
              </w:rPr>
            </w:pPr>
            <w:r w:rsidRPr="00C97A8E">
              <w:rPr>
                <w:rFonts w:eastAsia="Calibri"/>
                <w:lang w:val="en-GB"/>
              </w:rPr>
              <w:t>$5,899,872</w:t>
            </w:r>
          </w:p>
        </w:tc>
        <w:tc>
          <w:tcPr>
            <w:tcW w:w="1260" w:type="dxa"/>
            <w:vAlign w:val="center"/>
          </w:tcPr>
          <w:p w14:paraId="2BDD449E" w14:textId="77777777" w:rsidR="00001AE5" w:rsidRPr="00C97A8E" w:rsidRDefault="00001AE5" w:rsidP="004308C7">
            <w:pPr>
              <w:pStyle w:val="ExhibitText"/>
              <w:jc w:val="right"/>
              <w:rPr>
                <w:rFonts w:eastAsia="Calibri"/>
                <w:lang w:val="en-GB"/>
              </w:rPr>
            </w:pPr>
            <w:r w:rsidRPr="00C97A8E">
              <w:rPr>
                <w:rFonts w:eastAsia="Calibri"/>
                <w:lang w:val="en-GB"/>
              </w:rPr>
              <w:t>$5,580,506</w:t>
            </w:r>
          </w:p>
        </w:tc>
      </w:tr>
      <w:tr w:rsidR="008D050E" w:rsidRPr="00C97A8E" w14:paraId="55F5DE3E" w14:textId="77777777" w:rsidTr="008D050E">
        <w:trPr>
          <w:trHeight w:val="260"/>
          <w:jc w:val="center"/>
        </w:trPr>
        <w:tc>
          <w:tcPr>
            <w:tcW w:w="2250" w:type="dxa"/>
            <w:vAlign w:val="center"/>
          </w:tcPr>
          <w:p w14:paraId="663D3F6A" w14:textId="77777777" w:rsidR="00001AE5" w:rsidRPr="00C97A8E" w:rsidRDefault="00001AE5" w:rsidP="004308C7">
            <w:pPr>
              <w:pStyle w:val="ExhibitText"/>
              <w:jc w:val="left"/>
              <w:rPr>
                <w:rFonts w:eastAsia="Calibri"/>
                <w:lang w:val="en-GB"/>
              </w:rPr>
            </w:pPr>
            <w:r w:rsidRPr="00C97A8E">
              <w:rPr>
                <w:rFonts w:eastAsia="Calibri"/>
                <w:lang w:val="en-GB"/>
              </w:rPr>
              <w:t>Net Income</w:t>
            </w:r>
          </w:p>
        </w:tc>
        <w:tc>
          <w:tcPr>
            <w:tcW w:w="1260" w:type="dxa"/>
            <w:vAlign w:val="center"/>
          </w:tcPr>
          <w:p w14:paraId="56B6B84C" w14:textId="77777777" w:rsidR="00001AE5" w:rsidRPr="00C97A8E" w:rsidRDefault="00001AE5" w:rsidP="004308C7">
            <w:pPr>
              <w:pStyle w:val="ExhibitText"/>
              <w:jc w:val="right"/>
              <w:rPr>
                <w:rFonts w:eastAsia="Calibri"/>
                <w:lang w:val="en-GB"/>
              </w:rPr>
            </w:pPr>
            <w:r w:rsidRPr="00C97A8E">
              <w:rPr>
                <w:rFonts w:eastAsia="Calibri"/>
                <w:lang w:val="en-GB"/>
              </w:rPr>
              <w:t>$692,164</w:t>
            </w:r>
          </w:p>
        </w:tc>
        <w:tc>
          <w:tcPr>
            <w:tcW w:w="1260" w:type="dxa"/>
            <w:vAlign w:val="center"/>
          </w:tcPr>
          <w:p w14:paraId="3AC91FF0" w14:textId="77777777" w:rsidR="00001AE5" w:rsidRPr="00C97A8E" w:rsidRDefault="00001AE5" w:rsidP="004308C7">
            <w:pPr>
              <w:pStyle w:val="ExhibitText"/>
              <w:jc w:val="right"/>
              <w:rPr>
                <w:rFonts w:eastAsia="Calibri"/>
                <w:lang w:val="en-GB"/>
              </w:rPr>
            </w:pPr>
            <w:r w:rsidRPr="00C97A8E">
              <w:rPr>
                <w:rFonts w:eastAsia="Calibri"/>
                <w:lang w:val="en-GB"/>
              </w:rPr>
              <w:t>$752,207</w:t>
            </w:r>
          </w:p>
        </w:tc>
        <w:tc>
          <w:tcPr>
            <w:tcW w:w="1260" w:type="dxa"/>
            <w:vAlign w:val="center"/>
          </w:tcPr>
          <w:p w14:paraId="50DB1C58" w14:textId="77777777" w:rsidR="00001AE5" w:rsidRPr="00C97A8E" w:rsidRDefault="00001AE5" w:rsidP="004308C7">
            <w:pPr>
              <w:pStyle w:val="ExhibitText"/>
              <w:jc w:val="right"/>
              <w:rPr>
                <w:rFonts w:eastAsia="Calibri"/>
                <w:lang w:val="en-GB"/>
              </w:rPr>
            </w:pPr>
            <w:r w:rsidRPr="00C97A8E">
              <w:rPr>
                <w:rFonts w:eastAsia="Calibri"/>
                <w:lang w:val="en-GB"/>
              </w:rPr>
              <w:t>$844,611</w:t>
            </w:r>
          </w:p>
        </w:tc>
        <w:tc>
          <w:tcPr>
            <w:tcW w:w="1260" w:type="dxa"/>
            <w:vAlign w:val="center"/>
          </w:tcPr>
          <w:p w14:paraId="00DB33DD" w14:textId="77777777" w:rsidR="00001AE5" w:rsidRPr="00C97A8E" w:rsidRDefault="00001AE5" w:rsidP="004308C7">
            <w:pPr>
              <w:pStyle w:val="ExhibitText"/>
              <w:jc w:val="right"/>
              <w:rPr>
                <w:rFonts w:eastAsia="Calibri"/>
                <w:lang w:val="en-GB"/>
              </w:rPr>
            </w:pPr>
            <w:r w:rsidRPr="00C97A8E">
              <w:rPr>
                <w:rFonts w:eastAsia="Calibri"/>
                <w:lang w:val="en-GB"/>
              </w:rPr>
              <w:t>$733,993</w:t>
            </w:r>
          </w:p>
        </w:tc>
        <w:tc>
          <w:tcPr>
            <w:tcW w:w="1260" w:type="dxa"/>
            <w:vAlign w:val="center"/>
          </w:tcPr>
          <w:p w14:paraId="74615B3B" w14:textId="77777777" w:rsidR="00001AE5" w:rsidRPr="00C97A8E" w:rsidRDefault="00001AE5" w:rsidP="004308C7">
            <w:pPr>
              <w:pStyle w:val="ExhibitText"/>
              <w:jc w:val="right"/>
              <w:rPr>
                <w:rFonts w:eastAsia="Calibri"/>
                <w:lang w:val="en-GB"/>
              </w:rPr>
            </w:pPr>
            <w:r w:rsidRPr="00C97A8E">
              <w:rPr>
                <w:rFonts w:eastAsia="Calibri"/>
                <w:lang w:val="en-GB"/>
              </w:rPr>
              <w:t>$623,925</w:t>
            </w:r>
          </w:p>
        </w:tc>
      </w:tr>
      <w:tr w:rsidR="008D050E" w:rsidRPr="00C97A8E" w14:paraId="647D1654" w14:textId="77777777" w:rsidTr="008D050E">
        <w:trPr>
          <w:trHeight w:val="305"/>
          <w:jc w:val="center"/>
        </w:trPr>
        <w:tc>
          <w:tcPr>
            <w:tcW w:w="2250" w:type="dxa"/>
            <w:vAlign w:val="center"/>
          </w:tcPr>
          <w:p w14:paraId="545BE6FC" w14:textId="77777777" w:rsidR="00001AE5" w:rsidRPr="00C97A8E" w:rsidRDefault="00001AE5" w:rsidP="004308C7">
            <w:pPr>
              <w:pStyle w:val="ExhibitText"/>
              <w:jc w:val="left"/>
              <w:rPr>
                <w:rFonts w:eastAsia="Calibri"/>
                <w:lang w:val="en-GB"/>
              </w:rPr>
            </w:pPr>
            <w:r w:rsidRPr="00C97A8E">
              <w:rPr>
                <w:rFonts w:eastAsia="Calibri"/>
                <w:lang w:val="en-GB"/>
              </w:rPr>
              <w:t>Earnings Per Common Share (Basic)</w:t>
            </w:r>
          </w:p>
        </w:tc>
        <w:tc>
          <w:tcPr>
            <w:tcW w:w="1260" w:type="dxa"/>
            <w:vAlign w:val="center"/>
          </w:tcPr>
          <w:p w14:paraId="64B9320D" w14:textId="77777777" w:rsidR="00001AE5" w:rsidRPr="00C97A8E" w:rsidRDefault="00001AE5" w:rsidP="004308C7">
            <w:pPr>
              <w:pStyle w:val="ExhibitText"/>
              <w:jc w:val="right"/>
              <w:rPr>
                <w:rFonts w:eastAsia="Calibri"/>
                <w:lang w:val="en-GB"/>
              </w:rPr>
            </w:pPr>
            <w:r w:rsidRPr="00C97A8E">
              <w:rPr>
                <w:rFonts w:eastAsia="Calibri"/>
                <w:lang w:val="en-GB"/>
              </w:rPr>
              <w:t>$3.85</w:t>
            </w:r>
          </w:p>
        </w:tc>
        <w:tc>
          <w:tcPr>
            <w:tcW w:w="1260" w:type="dxa"/>
            <w:vAlign w:val="center"/>
          </w:tcPr>
          <w:p w14:paraId="2FC21B21" w14:textId="77777777" w:rsidR="00001AE5" w:rsidRPr="00C97A8E" w:rsidRDefault="00001AE5" w:rsidP="004308C7">
            <w:pPr>
              <w:pStyle w:val="ExhibitText"/>
              <w:jc w:val="right"/>
              <w:rPr>
                <w:rFonts w:eastAsia="Calibri"/>
                <w:lang w:val="en-GB"/>
              </w:rPr>
            </w:pPr>
            <w:r w:rsidRPr="00C97A8E">
              <w:rPr>
                <w:rFonts w:eastAsia="Calibri"/>
                <w:lang w:val="en-GB"/>
              </w:rPr>
              <w:t>$3.71</w:t>
            </w:r>
          </w:p>
        </w:tc>
        <w:tc>
          <w:tcPr>
            <w:tcW w:w="1260" w:type="dxa"/>
            <w:vAlign w:val="center"/>
          </w:tcPr>
          <w:p w14:paraId="449784E0" w14:textId="77777777" w:rsidR="00001AE5" w:rsidRPr="00C97A8E" w:rsidRDefault="00001AE5" w:rsidP="004308C7">
            <w:pPr>
              <w:pStyle w:val="ExhibitText"/>
              <w:jc w:val="right"/>
              <w:rPr>
                <w:rFonts w:eastAsia="Calibri"/>
                <w:lang w:val="en-GB"/>
              </w:rPr>
            </w:pPr>
            <w:r w:rsidRPr="00C97A8E">
              <w:rPr>
                <w:rFonts w:eastAsia="Calibri"/>
                <w:lang w:val="en-GB"/>
              </w:rPr>
              <w:t>$3.90</w:t>
            </w:r>
          </w:p>
        </w:tc>
        <w:tc>
          <w:tcPr>
            <w:tcW w:w="1260" w:type="dxa"/>
            <w:vAlign w:val="center"/>
          </w:tcPr>
          <w:p w14:paraId="03D14E95" w14:textId="77777777" w:rsidR="00001AE5" w:rsidRPr="00C97A8E" w:rsidRDefault="00001AE5" w:rsidP="004308C7">
            <w:pPr>
              <w:pStyle w:val="ExhibitText"/>
              <w:jc w:val="right"/>
              <w:rPr>
                <w:rFonts w:eastAsia="Calibri"/>
                <w:lang w:val="en-GB"/>
              </w:rPr>
            </w:pPr>
            <w:r w:rsidRPr="00C97A8E">
              <w:rPr>
                <w:rFonts w:eastAsia="Calibri"/>
                <w:lang w:val="en-GB"/>
              </w:rPr>
              <w:t>$3.30</w:t>
            </w:r>
          </w:p>
        </w:tc>
        <w:tc>
          <w:tcPr>
            <w:tcW w:w="1260" w:type="dxa"/>
            <w:vAlign w:val="center"/>
          </w:tcPr>
          <w:p w14:paraId="0FC06F5E" w14:textId="77777777" w:rsidR="00001AE5" w:rsidRPr="00C97A8E" w:rsidRDefault="00001AE5" w:rsidP="004308C7">
            <w:pPr>
              <w:pStyle w:val="ExhibitText"/>
              <w:jc w:val="right"/>
              <w:rPr>
                <w:rFonts w:eastAsia="Calibri"/>
                <w:lang w:val="en-GB"/>
              </w:rPr>
            </w:pPr>
            <w:r w:rsidRPr="00C97A8E">
              <w:rPr>
                <w:rFonts w:eastAsia="Calibri"/>
                <w:lang w:val="en-GB"/>
              </w:rPr>
              <w:t>$2.75</w:t>
            </w:r>
          </w:p>
        </w:tc>
      </w:tr>
      <w:tr w:rsidR="00001AE5" w:rsidRPr="00C97A8E" w14:paraId="667767AE" w14:textId="77777777" w:rsidTr="008D050E">
        <w:trPr>
          <w:trHeight w:val="170"/>
          <w:jc w:val="center"/>
        </w:trPr>
        <w:tc>
          <w:tcPr>
            <w:tcW w:w="8550" w:type="dxa"/>
            <w:gridSpan w:val="6"/>
            <w:vAlign w:val="center"/>
          </w:tcPr>
          <w:p w14:paraId="2DCE82A9" w14:textId="77777777" w:rsidR="00001AE5" w:rsidRPr="00C97A8E" w:rsidRDefault="00001AE5" w:rsidP="004308C7">
            <w:pPr>
              <w:pStyle w:val="ExhibitText"/>
              <w:jc w:val="center"/>
              <w:rPr>
                <w:rFonts w:eastAsia="Calibri"/>
                <w:b/>
                <w:lang w:val="en-GB"/>
              </w:rPr>
            </w:pPr>
            <w:r w:rsidRPr="00C97A8E">
              <w:rPr>
                <w:rFonts w:eastAsia="Calibri"/>
                <w:b/>
                <w:lang w:val="en-GB"/>
              </w:rPr>
              <w:t>Balance Sheet Data</w:t>
            </w:r>
          </w:p>
        </w:tc>
      </w:tr>
      <w:tr w:rsidR="008D050E" w:rsidRPr="00C97A8E" w14:paraId="16F536DF" w14:textId="77777777" w:rsidTr="008D050E">
        <w:trPr>
          <w:trHeight w:val="206"/>
          <w:jc w:val="center"/>
        </w:trPr>
        <w:tc>
          <w:tcPr>
            <w:tcW w:w="2250" w:type="dxa"/>
          </w:tcPr>
          <w:p w14:paraId="0DD179B2" w14:textId="77777777" w:rsidR="00001AE5" w:rsidRPr="00C97A8E" w:rsidRDefault="00001AE5" w:rsidP="004308C7">
            <w:pPr>
              <w:pStyle w:val="ExhibitText"/>
              <w:jc w:val="left"/>
              <w:rPr>
                <w:rFonts w:eastAsia="Calibri"/>
                <w:lang w:val="en-GB"/>
              </w:rPr>
            </w:pPr>
            <w:r w:rsidRPr="00C97A8E">
              <w:rPr>
                <w:rFonts w:eastAsia="Calibri"/>
                <w:lang w:val="en-GB"/>
              </w:rPr>
              <w:t>Total Assets</w:t>
            </w:r>
          </w:p>
        </w:tc>
        <w:tc>
          <w:tcPr>
            <w:tcW w:w="1260" w:type="dxa"/>
            <w:vAlign w:val="center"/>
          </w:tcPr>
          <w:p w14:paraId="38366254" w14:textId="77777777" w:rsidR="00001AE5" w:rsidRPr="00C97A8E" w:rsidRDefault="00001AE5" w:rsidP="004308C7">
            <w:pPr>
              <w:pStyle w:val="ExhibitText"/>
              <w:jc w:val="right"/>
              <w:rPr>
                <w:rFonts w:eastAsia="Calibri"/>
                <w:lang w:val="en-GB"/>
              </w:rPr>
            </w:pPr>
            <w:r w:rsidRPr="00C97A8E">
              <w:rPr>
                <w:rFonts w:eastAsia="Calibri"/>
                <w:lang w:val="en-GB"/>
              </w:rPr>
              <w:t>$9,890,240</w:t>
            </w:r>
          </w:p>
        </w:tc>
        <w:tc>
          <w:tcPr>
            <w:tcW w:w="1260" w:type="dxa"/>
            <w:vAlign w:val="center"/>
          </w:tcPr>
          <w:p w14:paraId="196700FE" w14:textId="77777777" w:rsidR="00001AE5" w:rsidRPr="00C97A8E" w:rsidRDefault="00001AE5" w:rsidP="004308C7">
            <w:pPr>
              <w:pStyle w:val="ExhibitText"/>
              <w:jc w:val="right"/>
              <w:rPr>
                <w:rFonts w:eastAsia="Calibri"/>
                <w:lang w:val="en-GB"/>
              </w:rPr>
            </w:pPr>
            <w:r w:rsidRPr="00C97A8E">
              <w:rPr>
                <w:rFonts w:eastAsia="Calibri"/>
                <w:lang w:val="en-GB"/>
              </w:rPr>
              <w:t>$9,972,977</w:t>
            </w:r>
          </w:p>
        </w:tc>
        <w:tc>
          <w:tcPr>
            <w:tcW w:w="1260" w:type="dxa"/>
            <w:vAlign w:val="center"/>
          </w:tcPr>
          <w:p w14:paraId="1F9DC6E6" w14:textId="77777777" w:rsidR="00001AE5" w:rsidRPr="00C97A8E" w:rsidRDefault="00001AE5" w:rsidP="004308C7">
            <w:pPr>
              <w:pStyle w:val="ExhibitText"/>
              <w:jc w:val="right"/>
              <w:rPr>
                <w:rFonts w:eastAsia="Calibri"/>
                <w:lang w:val="en-GB"/>
              </w:rPr>
            </w:pPr>
            <w:r w:rsidRPr="00C97A8E">
              <w:rPr>
                <w:rFonts w:eastAsia="Calibri"/>
                <w:lang w:val="en-GB"/>
              </w:rPr>
              <w:t>$9,515,870</w:t>
            </w:r>
          </w:p>
        </w:tc>
        <w:tc>
          <w:tcPr>
            <w:tcW w:w="1260" w:type="dxa"/>
            <w:vAlign w:val="center"/>
          </w:tcPr>
          <w:p w14:paraId="02E428FF" w14:textId="77777777" w:rsidR="00001AE5" w:rsidRPr="00C97A8E" w:rsidRDefault="00001AE5" w:rsidP="004308C7">
            <w:pPr>
              <w:pStyle w:val="ExhibitText"/>
              <w:jc w:val="right"/>
              <w:rPr>
                <w:rFonts w:eastAsia="Calibri"/>
                <w:lang w:val="en-GB"/>
              </w:rPr>
            </w:pPr>
            <w:r w:rsidRPr="00C97A8E">
              <w:rPr>
                <w:rFonts w:eastAsia="Calibri"/>
                <w:lang w:val="en-GB"/>
              </w:rPr>
              <w:t>$9,394,765</w:t>
            </w:r>
          </w:p>
        </w:tc>
        <w:tc>
          <w:tcPr>
            <w:tcW w:w="1260" w:type="dxa"/>
            <w:vAlign w:val="center"/>
          </w:tcPr>
          <w:p w14:paraId="06055E09" w14:textId="77777777" w:rsidR="00001AE5" w:rsidRPr="00C97A8E" w:rsidRDefault="00001AE5" w:rsidP="004308C7">
            <w:pPr>
              <w:pStyle w:val="ExhibitText"/>
              <w:jc w:val="right"/>
              <w:rPr>
                <w:rFonts w:eastAsia="Calibri"/>
                <w:lang w:val="en-GB"/>
              </w:rPr>
            </w:pPr>
            <w:r w:rsidRPr="00C97A8E">
              <w:rPr>
                <w:rFonts w:eastAsia="Calibri"/>
                <w:lang w:val="en-GB"/>
              </w:rPr>
              <w:t>$9,156,072</w:t>
            </w:r>
          </w:p>
        </w:tc>
      </w:tr>
      <w:tr w:rsidR="008D050E" w:rsidRPr="00C97A8E" w14:paraId="6DD0A2EB" w14:textId="77777777" w:rsidTr="008D050E">
        <w:trPr>
          <w:trHeight w:val="233"/>
          <w:jc w:val="center"/>
        </w:trPr>
        <w:tc>
          <w:tcPr>
            <w:tcW w:w="2250" w:type="dxa"/>
          </w:tcPr>
          <w:p w14:paraId="5846CAF0" w14:textId="77777777" w:rsidR="00001AE5" w:rsidRPr="00C97A8E" w:rsidRDefault="00001AE5" w:rsidP="004308C7">
            <w:pPr>
              <w:pStyle w:val="ExhibitText"/>
              <w:jc w:val="left"/>
              <w:rPr>
                <w:rFonts w:eastAsia="Calibri"/>
                <w:lang w:val="en-GB"/>
              </w:rPr>
            </w:pPr>
            <w:r w:rsidRPr="00C97A8E">
              <w:rPr>
                <w:rFonts w:eastAsia="Calibri"/>
                <w:lang w:val="en-GB"/>
              </w:rPr>
              <w:t>Total Debt</w:t>
            </w:r>
          </w:p>
        </w:tc>
        <w:tc>
          <w:tcPr>
            <w:tcW w:w="1260" w:type="dxa"/>
            <w:vAlign w:val="center"/>
          </w:tcPr>
          <w:p w14:paraId="2EE44426" w14:textId="77777777" w:rsidR="00001AE5" w:rsidRPr="00C97A8E" w:rsidRDefault="00001AE5" w:rsidP="004308C7">
            <w:pPr>
              <w:pStyle w:val="ExhibitText"/>
              <w:jc w:val="right"/>
              <w:rPr>
                <w:rFonts w:eastAsia="Calibri"/>
                <w:lang w:val="en-GB"/>
              </w:rPr>
            </w:pPr>
            <w:r w:rsidRPr="00C97A8E">
              <w:rPr>
                <w:rFonts w:eastAsia="Calibri"/>
                <w:lang w:val="en-GB"/>
              </w:rPr>
              <w:t>$6,807,567</w:t>
            </w:r>
          </w:p>
        </w:tc>
        <w:tc>
          <w:tcPr>
            <w:tcW w:w="1260" w:type="dxa"/>
            <w:vAlign w:val="center"/>
          </w:tcPr>
          <w:p w14:paraId="061737A1" w14:textId="77777777" w:rsidR="00001AE5" w:rsidRPr="00C97A8E" w:rsidRDefault="00001AE5" w:rsidP="004308C7">
            <w:pPr>
              <w:pStyle w:val="ExhibitText"/>
              <w:jc w:val="right"/>
              <w:rPr>
                <w:rFonts w:eastAsia="Calibri"/>
                <w:lang w:val="en-GB"/>
              </w:rPr>
            </w:pPr>
            <w:r w:rsidRPr="00C97A8E">
              <w:rPr>
                <w:rFonts w:eastAsia="Calibri"/>
                <w:lang w:val="en-GB"/>
              </w:rPr>
              <w:t>$6,872,198</w:t>
            </w:r>
          </w:p>
        </w:tc>
        <w:tc>
          <w:tcPr>
            <w:tcW w:w="1260" w:type="dxa"/>
            <w:vAlign w:val="center"/>
          </w:tcPr>
          <w:p w14:paraId="43BDDC74" w14:textId="77777777" w:rsidR="00001AE5" w:rsidRPr="00C97A8E" w:rsidRDefault="00001AE5" w:rsidP="004308C7">
            <w:pPr>
              <w:pStyle w:val="ExhibitText"/>
              <w:jc w:val="right"/>
              <w:rPr>
                <w:rFonts w:eastAsia="Calibri"/>
                <w:lang w:val="en-GB"/>
              </w:rPr>
            </w:pPr>
            <w:r w:rsidRPr="00C97A8E">
              <w:rPr>
                <w:rFonts w:eastAsia="Calibri"/>
                <w:lang w:val="en-GB"/>
              </w:rPr>
              <w:t>$5,492,402</w:t>
            </w:r>
          </w:p>
        </w:tc>
        <w:tc>
          <w:tcPr>
            <w:tcW w:w="1260" w:type="dxa"/>
            <w:vAlign w:val="center"/>
          </w:tcPr>
          <w:p w14:paraId="65BF141F" w14:textId="77777777" w:rsidR="00001AE5" w:rsidRPr="00C97A8E" w:rsidRDefault="00001AE5" w:rsidP="004308C7">
            <w:pPr>
              <w:pStyle w:val="ExhibitText"/>
              <w:jc w:val="right"/>
              <w:rPr>
                <w:rFonts w:eastAsia="Calibri"/>
                <w:lang w:val="en-GB"/>
              </w:rPr>
            </w:pPr>
            <w:r w:rsidRPr="00C97A8E">
              <w:rPr>
                <w:rFonts w:eastAsia="Calibri"/>
                <w:lang w:val="en-GB"/>
              </w:rPr>
              <w:t>$5,248,895</w:t>
            </w:r>
          </w:p>
        </w:tc>
        <w:tc>
          <w:tcPr>
            <w:tcW w:w="1260" w:type="dxa"/>
            <w:vAlign w:val="center"/>
          </w:tcPr>
          <w:p w14:paraId="6E73DC20" w14:textId="77777777" w:rsidR="00001AE5" w:rsidRPr="00C97A8E" w:rsidRDefault="00001AE5" w:rsidP="004308C7">
            <w:pPr>
              <w:pStyle w:val="ExhibitText"/>
              <w:jc w:val="right"/>
              <w:rPr>
                <w:rFonts w:eastAsia="Calibri"/>
                <w:lang w:val="en-GB"/>
              </w:rPr>
            </w:pPr>
            <w:r w:rsidRPr="00C97A8E">
              <w:rPr>
                <w:rFonts w:eastAsia="Calibri"/>
                <w:lang w:val="en-GB"/>
              </w:rPr>
              <w:t>$5,087,948</w:t>
            </w:r>
          </w:p>
        </w:tc>
      </w:tr>
      <w:tr w:rsidR="008D050E" w:rsidRPr="00C97A8E" w14:paraId="23BB5287" w14:textId="77777777" w:rsidTr="008D050E">
        <w:trPr>
          <w:trHeight w:val="260"/>
          <w:jc w:val="center"/>
        </w:trPr>
        <w:tc>
          <w:tcPr>
            <w:tcW w:w="2250" w:type="dxa"/>
          </w:tcPr>
          <w:p w14:paraId="780715C4" w14:textId="77777777" w:rsidR="00001AE5" w:rsidRPr="00C97A8E" w:rsidRDefault="00001AE5" w:rsidP="004308C7">
            <w:pPr>
              <w:pStyle w:val="ExhibitText"/>
              <w:jc w:val="left"/>
              <w:rPr>
                <w:rFonts w:eastAsia="Calibri"/>
                <w:lang w:val="en-GB"/>
              </w:rPr>
            </w:pPr>
            <w:r w:rsidRPr="00C97A8E">
              <w:rPr>
                <w:rFonts w:eastAsia="Calibri"/>
                <w:lang w:val="en-GB"/>
              </w:rPr>
              <w:t>Total Equity</w:t>
            </w:r>
          </w:p>
        </w:tc>
        <w:tc>
          <w:tcPr>
            <w:tcW w:w="1260" w:type="dxa"/>
            <w:vAlign w:val="center"/>
          </w:tcPr>
          <w:p w14:paraId="42DAFEE8" w14:textId="77777777" w:rsidR="00001AE5" w:rsidRPr="00C97A8E" w:rsidRDefault="00001AE5" w:rsidP="004308C7">
            <w:pPr>
              <w:pStyle w:val="ExhibitText"/>
              <w:jc w:val="right"/>
              <w:rPr>
                <w:rFonts w:eastAsia="Calibri"/>
                <w:lang w:val="en-GB"/>
              </w:rPr>
            </w:pPr>
            <w:r w:rsidRPr="00C97A8E">
              <w:rPr>
                <w:rFonts w:eastAsia="Calibri"/>
                <w:lang w:val="en-GB"/>
              </w:rPr>
              <w:t>$1,920,158</w:t>
            </w:r>
          </w:p>
        </w:tc>
        <w:tc>
          <w:tcPr>
            <w:tcW w:w="1260" w:type="dxa"/>
            <w:vAlign w:val="center"/>
          </w:tcPr>
          <w:p w14:paraId="6671EA1D" w14:textId="77777777" w:rsidR="00001AE5" w:rsidRPr="00C97A8E" w:rsidRDefault="00001AE5" w:rsidP="004308C7">
            <w:pPr>
              <w:pStyle w:val="ExhibitText"/>
              <w:jc w:val="right"/>
              <w:rPr>
                <w:rFonts w:eastAsia="Calibri"/>
                <w:lang w:val="en-GB"/>
              </w:rPr>
            </w:pPr>
            <w:r w:rsidRPr="00C97A8E">
              <w:rPr>
                <w:rFonts w:eastAsia="Calibri"/>
                <w:lang w:val="en-GB"/>
              </w:rPr>
              <w:t>$1,839,654</w:t>
            </w:r>
          </w:p>
        </w:tc>
        <w:tc>
          <w:tcPr>
            <w:tcW w:w="1260" w:type="dxa"/>
            <w:vAlign w:val="center"/>
          </w:tcPr>
          <w:p w14:paraId="3B2F4097" w14:textId="77777777" w:rsidR="00001AE5" w:rsidRPr="00C97A8E" w:rsidRDefault="00001AE5" w:rsidP="004308C7">
            <w:pPr>
              <w:pStyle w:val="ExhibitText"/>
              <w:jc w:val="right"/>
              <w:rPr>
                <w:rFonts w:eastAsia="Calibri"/>
                <w:lang w:val="en-GB"/>
              </w:rPr>
            </w:pPr>
            <w:r w:rsidRPr="00C97A8E">
              <w:rPr>
                <w:rFonts w:eastAsia="Calibri"/>
                <w:lang w:val="en-GB"/>
              </w:rPr>
              <w:t>$2,909,286</w:t>
            </w:r>
          </w:p>
        </w:tc>
        <w:tc>
          <w:tcPr>
            <w:tcW w:w="1260" w:type="dxa"/>
            <w:vAlign w:val="center"/>
          </w:tcPr>
          <w:p w14:paraId="1ECDA378" w14:textId="77777777" w:rsidR="00001AE5" w:rsidRPr="00C97A8E" w:rsidRDefault="00001AE5" w:rsidP="004308C7">
            <w:pPr>
              <w:pStyle w:val="ExhibitText"/>
              <w:jc w:val="right"/>
              <w:rPr>
                <w:rFonts w:eastAsia="Calibri"/>
                <w:lang w:val="en-GB"/>
              </w:rPr>
            </w:pPr>
            <w:r w:rsidRPr="00C97A8E">
              <w:rPr>
                <w:rFonts w:eastAsia="Calibri"/>
                <w:lang w:val="en-GB"/>
              </w:rPr>
              <w:t>$3,009,486</w:t>
            </w:r>
          </w:p>
        </w:tc>
        <w:tc>
          <w:tcPr>
            <w:tcW w:w="1260" w:type="dxa"/>
            <w:vAlign w:val="center"/>
          </w:tcPr>
          <w:p w14:paraId="5204F86D" w14:textId="77777777" w:rsidR="00001AE5" w:rsidRPr="00C97A8E" w:rsidRDefault="00001AE5" w:rsidP="004308C7">
            <w:pPr>
              <w:pStyle w:val="ExhibitText"/>
              <w:jc w:val="right"/>
              <w:rPr>
                <w:rFonts w:eastAsia="Calibri"/>
                <w:lang w:val="en-GB"/>
              </w:rPr>
            </w:pPr>
            <w:r w:rsidRPr="00C97A8E">
              <w:rPr>
                <w:rFonts w:eastAsia="Calibri"/>
                <w:lang w:val="en-GB"/>
              </w:rPr>
              <w:t>$2,557,624</w:t>
            </w:r>
          </w:p>
        </w:tc>
      </w:tr>
    </w:tbl>
    <w:p w14:paraId="6459D238" w14:textId="77777777" w:rsidR="00001AE5" w:rsidRPr="00C97A8E" w:rsidRDefault="00001AE5" w:rsidP="00001AE5">
      <w:pPr>
        <w:pStyle w:val="ExhibitText"/>
        <w:rPr>
          <w:rFonts w:eastAsia="Calibri"/>
          <w:sz w:val="16"/>
          <w:szCs w:val="16"/>
          <w:lang w:val="en-GB"/>
        </w:rPr>
      </w:pPr>
    </w:p>
    <w:p w14:paraId="64E28BA1" w14:textId="77777777" w:rsidR="00001AE5" w:rsidRPr="00A61AEE" w:rsidRDefault="00001AE5" w:rsidP="00001AE5">
      <w:pPr>
        <w:pStyle w:val="Footnote"/>
        <w:rPr>
          <w:rFonts w:eastAsia="Calibri"/>
          <w:spacing w:val="-4"/>
          <w:kern w:val="17"/>
          <w:lang w:val="en-GB"/>
        </w:rPr>
      </w:pPr>
      <w:r w:rsidRPr="00A61AEE">
        <w:rPr>
          <w:rFonts w:eastAsia="Calibri"/>
          <w:spacing w:val="-4"/>
          <w:kern w:val="17"/>
          <w:lang w:val="en-GB"/>
        </w:rPr>
        <w:t xml:space="preserve">Source: Created by case authors, based on </w:t>
      </w:r>
      <w:r w:rsidRPr="00A61AEE">
        <w:rPr>
          <w:spacing w:val="-4"/>
          <w:kern w:val="17"/>
          <w:lang w:val="en-GB"/>
        </w:rPr>
        <w:t xml:space="preserve">Harley-Davidson Inc., </w:t>
      </w:r>
      <w:r w:rsidRPr="00A61AEE">
        <w:rPr>
          <w:i/>
          <w:spacing w:val="-4"/>
          <w:kern w:val="17"/>
          <w:lang w:val="en-GB"/>
        </w:rPr>
        <w:t>Annual Report on Form 10-K for the Year Ended December 31, 2016</w:t>
      </w:r>
      <w:r w:rsidRPr="00A61AEE">
        <w:rPr>
          <w:spacing w:val="-4"/>
          <w:kern w:val="17"/>
          <w:lang w:val="en-GB"/>
        </w:rPr>
        <w:t>, 2017, 22, accessed </w:t>
      </w:r>
      <w:r w:rsidRPr="00A61AEE">
        <w:rPr>
          <w:color w:val="000000"/>
          <w:spacing w:val="-4"/>
          <w:kern w:val="17"/>
          <w:lang w:val="en-GB"/>
        </w:rPr>
        <w:t>October 8, 2017, </w:t>
      </w:r>
      <w:r w:rsidRPr="00A61AEE">
        <w:rPr>
          <w:spacing w:val="-4"/>
          <w:kern w:val="17"/>
          <w:lang w:val="en-GB"/>
        </w:rPr>
        <w:t>www.annualreports.com/HostedData/AnnualReports/PDF/NYSE_HOG_2016.pdf.</w:t>
      </w:r>
    </w:p>
    <w:p w14:paraId="62137ECC" w14:textId="77777777" w:rsidR="00001AE5" w:rsidRPr="00C97A8E" w:rsidRDefault="00001AE5" w:rsidP="00001AE5">
      <w:pPr>
        <w:pStyle w:val="ExhibitText"/>
        <w:rPr>
          <w:rFonts w:eastAsia="Calibri"/>
          <w:lang w:val="en-GB"/>
        </w:rPr>
      </w:pPr>
    </w:p>
    <w:p w14:paraId="20F433C0" w14:textId="77777777" w:rsidR="00001AE5" w:rsidRPr="00C97A8E" w:rsidRDefault="00001AE5" w:rsidP="00001AE5">
      <w:pPr>
        <w:pStyle w:val="ExhibitText"/>
        <w:rPr>
          <w:rFonts w:eastAsia="Calibri"/>
          <w:lang w:val="en-GB"/>
        </w:rPr>
      </w:pPr>
    </w:p>
    <w:p w14:paraId="537205D8" w14:textId="77777777" w:rsidR="00001AE5" w:rsidRPr="00C97A8E" w:rsidRDefault="00001AE5" w:rsidP="00001AE5">
      <w:pPr>
        <w:pStyle w:val="ExhibitHeading"/>
        <w:rPr>
          <w:rFonts w:eastAsia="Calibri"/>
          <w:sz w:val="22"/>
          <w:szCs w:val="22"/>
          <w:lang w:val="en-GB"/>
        </w:rPr>
      </w:pPr>
      <w:r w:rsidRPr="00C97A8E">
        <w:rPr>
          <w:rFonts w:eastAsia="Calibri"/>
          <w:shd w:val="clear" w:color="auto" w:fill="FFFFFF"/>
          <w:lang w:val="en-GB"/>
        </w:rPr>
        <w:t>Exhibit 2: Most Popular Brands of Motorcyles</w:t>
      </w:r>
      <w:r w:rsidRPr="00C97A8E">
        <w:rPr>
          <w:rFonts w:eastAsia="Calibri"/>
          <w:shd w:val="clear" w:color="auto" w:fill="FFFFFF"/>
          <w:lang w:val="en-GB"/>
        </w:rPr>
        <w:br/>
        <w:t>among 18-year-old motorcycle owners surveyed</w:t>
      </w:r>
    </w:p>
    <w:p w14:paraId="5857190B" w14:textId="77777777" w:rsidR="00001AE5" w:rsidRPr="00C97A8E" w:rsidRDefault="00001AE5" w:rsidP="00001AE5">
      <w:pPr>
        <w:pStyle w:val="ExhibitText"/>
        <w:rPr>
          <w:rFonts w:eastAsia="Calibri"/>
          <w:sz w:val="16"/>
          <w:szCs w:val="16"/>
          <w:shd w:val="clear" w:color="auto" w:fill="FFFFFF"/>
          <w:lang w:val="en-GB"/>
        </w:rPr>
      </w:pPr>
    </w:p>
    <w:tbl>
      <w:tblPr>
        <w:tblStyle w:val="TableGrid"/>
        <w:tblW w:w="0" w:type="auto"/>
        <w:jc w:val="center"/>
        <w:tblLook w:val="04A0" w:firstRow="1" w:lastRow="0" w:firstColumn="1" w:lastColumn="0" w:noHBand="0" w:noVBand="1"/>
      </w:tblPr>
      <w:tblGrid>
        <w:gridCol w:w="1975"/>
        <w:gridCol w:w="2070"/>
        <w:gridCol w:w="1260"/>
      </w:tblGrid>
      <w:tr w:rsidR="00001AE5" w:rsidRPr="00C97A8E" w14:paraId="6D725CAE" w14:textId="77777777" w:rsidTr="004308C7">
        <w:trPr>
          <w:jc w:val="center"/>
        </w:trPr>
        <w:tc>
          <w:tcPr>
            <w:tcW w:w="1975" w:type="dxa"/>
            <w:vAlign w:val="center"/>
          </w:tcPr>
          <w:p w14:paraId="20689237" w14:textId="77777777" w:rsidR="00001AE5" w:rsidRPr="00C97A8E" w:rsidRDefault="00001AE5" w:rsidP="004308C7">
            <w:pPr>
              <w:pStyle w:val="ExhibitText"/>
              <w:jc w:val="left"/>
              <w:rPr>
                <w:rFonts w:eastAsia="Calibri"/>
                <w:b/>
                <w:shd w:val="clear" w:color="auto" w:fill="FFFFFF"/>
                <w:lang w:val="en-GB"/>
              </w:rPr>
            </w:pPr>
            <w:r w:rsidRPr="00C97A8E">
              <w:rPr>
                <w:rFonts w:eastAsia="Calibri"/>
                <w:b/>
                <w:shd w:val="clear" w:color="auto" w:fill="FFFFFF"/>
                <w:lang w:val="en-GB"/>
              </w:rPr>
              <w:t>Motorcycle Brand</w:t>
            </w:r>
          </w:p>
        </w:tc>
        <w:tc>
          <w:tcPr>
            <w:tcW w:w="2070" w:type="dxa"/>
            <w:vAlign w:val="center"/>
          </w:tcPr>
          <w:p w14:paraId="66BE0BF0" w14:textId="77777777" w:rsidR="00001AE5" w:rsidRPr="00C97A8E" w:rsidRDefault="00001AE5" w:rsidP="004308C7">
            <w:pPr>
              <w:pStyle w:val="ExhibitText"/>
              <w:jc w:val="center"/>
              <w:rPr>
                <w:rFonts w:eastAsia="Calibri"/>
                <w:b/>
                <w:shd w:val="clear" w:color="auto" w:fill="FFFFFF"/>
                <w:lang w:val="en-GB"/>
              </w:rPr>
            </w:pPr>
            <w:r w:rsidRPr="00C97A8E">
              <w:rPr>
                <w:rFonts w:eastAsia="Calibri"/>
                <w:b/>
                <w:shd w:val="clear" w:color="auto" w:fill="FFFFFF"/>
                <w:lang w:val="en-GB"/>
              </w:rPr>
              <w:t>Would Consider Buying This Brand</w:t>
            </w:r>
          </w:p>
        </w:tc>
        <w:tc>
          <w:tcPr>
            <w:tcW w:w="1260" w:type="dxa"/>
            <w:vAlign w:val="center"/>
          </w:tcPr>
          <w:p w14:paraId="23DCECBA" w14:textId="77777777" w:rsidR="00001AE5" w:rsidRPr="00C97A8E" w:rsidRDefault="00001AE5" w:rsidP="004308C7">
            <w:pPr>
              <w:pStyle w:val="ExhibitText"/>
              <w:jc w:val="center"/>
              <w:rPr>
                <w:rFonts w:eastAsia="Calibri"/>
                <w:b/>
                <w:shd w:val="clear" w:color="auto" w:fill="FFFFFF"/>
                <w:lang w:val="en-GB"/>
              </w:rPr>
            </w:pPr>
            <w:r w:rsidRPr="00C97A8E">
              <w:rPr>
                <w:rFonts w:eastAsia="Calibri"/>
                <w:b/>
                <w:shd w:val="clear" w:color="auto" w:fill="FFFFFF"/>
                <w:lang w:val="en-GB"/>
              </w:rPr>
              <w:t>I Own This</w:t>
            </w:r>
          </w:p>
        </w:tc>
      </w:tr>
      <w:tr w:rsidR="00001AE5" w:rsidRPr="00C97A8E" w14:paraId="364DC8A7" w14:textId="77777777" w:rsidTr="004308C7">
        <w:trPr>
          <w:jc w:val="center"/>
        </w:trPr>
        <w:tc>
          <w:tcPr>
            <w:tcW w:w="1975" w:type="dxa"/>
          </w:tcPr>
          <w:p w14:paraId="575A797E"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Honda</w:t>
            </w:r>
          </w:p>
        </w:tc>
        <w:tc>
          <w:tcPr>
            <w:tcW w:w="2070" w:type="dxa"/>
            <w:vAlign w:val="center"/>
          </w:tcPr>
          <w:p w14:paraId="44F3C165"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41%</w:t>
            </w:r>
          </w:p>
        </w:tc>
        <w:tc>
          <w:tcPr>
            <w:tcW w:w="1260" w:type="dxa"/>
            <w:vAlign w:val="center"/>
          </w:tcPr>
          <w:p w14:paraId="564F2BBD"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30%</w:t>
            </w:r>
          </w:p>
        </w:tc>
      </w:tr>
      <w:tr w:rsidR="00001AE5" w:rsidRPr="00C97A8E" w14:paraId="76D7FA2C" w14:textId="77777777" w:rsidTr="004308C7">
        <w:trPr>
          <w:jc w:val="center"/>
        </w:trPr>
        <w:tc>
          <w:tcPr>
            <w:tcW w:w="1975" w:type="dxa"/>
          </w:tcPr>
          <w:p w14:paraId="61178416"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Harley-Davidson</w:t>
            </w:r>
          </w:p>
        </w:tc>
        <w:tc>
          <w:tcPr>
            <w:tcW w:w="2070" w:type="dxa"/>
            <w:vAlign w:val="center"/>
          </w:tcPr>
          <w:p w14:paraId="5E331C87"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42%</w:t>
            </w:r>
          </w:p>
        </w:tc>
        <w:tc>
          <w:tcPr>
            <w:tcW w:w="1260" w:type="dxa"/>
            <w:vAlign w:val="center"/>
          </w:tcPr>
          <w:p w14:paraId="69DA4D65"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29%</w:t>
            </w:r>
          </w:p>
        </w:tc>
      </w:tr>
      <w:tr w:rsidR="00001AE5" w:rsidRPr="00C97A8E" w14:paraId="5A61A39B" w14:textId="77777777" w:rsidTr="004308C7">
        <w:trPr>
          <w:jc w:val="center"/>
        </w:trPr>
        <w:tc>
          <w:tcPr>
            <w:tcW w:w="1975" w:type="dxa"/>
          </w:tcPr>
          <w:p w14:paraId="56A56C0F"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Yamaha</w:t>
            </w:r>
          </w:p>
        </w:tc>
        <w:tc>
          <w:tcPr>
            <w:tcW w:w="2070" w:type="dxa"/>
            <w:vAlign w:val="center"/>
          </w:tcPr>
          <w:p w14:paraId="232F61E1"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36%</w:t>
            </w:r>
          </w:p>
        </w:tc>
        <w:tc>
          <w:tcPr>
            <w:tcW w:w="1260" w:type="dxa"/>
            <w:vAlign w:val="center"/>
          </w:tcPr>
          <w:p w14:paraId="6BCAB3D3"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25%</w:t>
            </w:r>
          </w:p>
        </w:tc>
      </w:tr>
      <w:tr w:rsidR="00001AE5" w:rsidRPr="00C97A8E" w14:paraId="211AE6B3" w14:textId="77777777" w:rsidTr="004308C7">
        <w:trPr>
          <w:jc w:val="center"/>
        </w:trPr>
        <w:tc>
          <w:tcPr>
            <w:tcW w:w="1975" w:type="dxa"/>
          </w:tcPr>
          <w:p w14:paraId="6ECE582F"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Suzuki</w:t>
            </w:r>
          </w:p>
        </w:tc>
        <w:tc>
          <w:tcPr>
            <w:tcW w:w="2070" w:type="dxa"/>
            <w:vAlign w:val="center"/>
          </w:tcPr>
          <w:p w14:paraId="7D19EBF8"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35%</w:t>
            </w:r>
          </w:p>
        </w:tc>
        <w:tc>
          <w:tcPr>
            <w:tcW w:w="1260" w:type="dxa"/>
            <w:vAlign w:val="center"/>
          </w:tcPr>
          <w:p w14:paraId="667E94AF"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23%</w:t>
            </w:r>
          </w:p>
        </w:tc>
      </w:tr>
      <w:tr w:rsidR="00001AE5" w:rsidRPr="00C97A8E" w14:paraId="4E557183" w14:textId="77777777" w:rsidTr="004308C7">
        <w:trPr>
          <w:jc w:val="center"/>
        </w:trPr>
        <w:tc>
          <w:tcPr>
            <w:tcW w:w="1975" w:type="dxa"/>
          </w:tcPr>
          <w:p w14:paraId="201134CD"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BMW</w:t>
            </w:r>
          </w:p>
        </w:tc>
        <w:tc>
          <w:tcPr>
            <w:tcW w:w="2070" w:type="dxa"/>
            <w:vAlign w:val="center"/>
          </w:tcPr>
          <w:p w14:paraId="4F2352CC"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36%</w:t>
            </w:r>
          </w:p>
        </w:tc>
        <w:tc>
          <w:tcPr>
            <w:tcW w:w="1260" w:type="dxa"/>
            <w:vAlign w:val="center"/>
          </w:tcPr>
          <w:p w14:paraId="192C2A0A"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23%</w:t>
            </w:r>
          </w:p>
        </w:tc>
      </w:tr>
      <w:tr w:rsidR="00001AE5" w:rsidRPr="00C97A8E" w14:paraId="098ECCD9" w14:textId="77777777" w:rsidTr="004308C7">
        <w:trPr>
          <w:jc w:val="center"/>
        </w:trPr>
        <w:tc>
          <w:tcPr>
            <w:tcW w:w="1975" w:type="dxa"/>
          </w:tcPr>
          <w:p w14:paraId="3EF08B0D"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Kawasaki</w:t>
            </w:r>
          </w:p>
        </w:tc>
        <w:tc>
          <w:tcPr>
            <w:tcW w:w="2070" w:type="dxa"/>
            <w:vAlign w:val="center"/>
          </w:tcPr>
          <w:p w14:paraId="2D13511C"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33%</w:t>
            </w:r>
          </w:p>
        </w:tc>
        <w:tc>
          <w:tcPr>
            <w:tcW w:w="1260" w:type="dxa"/>
            <w:vAlign w:val="center"/>
          </w:tcPr>
          <w:p w14:paraId="591B5B6A"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22%</w:t>
            </w:r>
          </w:p>
        </w:tc>
      </w:tr>
      <w:tr w:rsidR="00001AE5" w:rsidRPr="00C97A8E" w14:paraId="55E9F4BD" w14:textId="77777777" w:rsidTr="004308C7">
        <w:trPr>
          <w:jc w:val="center"/>
        </w:trPr>
        <w:tc>
          <w:tcPr>
            <w:tcW w:w="1975" w:type="dxa"/>
          </w:tcPr>
          <w:p w14:paraId="4655646B" w14:textId="77777777" w:rsidR="00001AE5" w:rsidRPr="00C97A8E" w:rsidRDefault="00001AE5" w:rsidP="004308C7">
            <w:pPr>
              <w:pStyle w:val="ExhibitText"/>
              <w:rPr>
                <w:rFonts w:eastAsia="Calibri"/>
                <w:shd w:val="clear" w:color="auto" w:fill="FFFFFF"/>
                <w:lang w:val="en-GB"/>
              </w:rPr>
            </w:pPr>
            <w:r w:rsidRPr="00C97A8E">
              <w:rPr>
                <w:rFonts w:eastAsia="Calibri"/>
                <w:shd w:val="clear" w:color="auto" w:fill="FFFFFF"/>
                <w:lang w:val="en-GB"/>
              </w:rPr>
              <w:t>Ducati</w:t>
            </w:r>
          </w:p>
        </w:tc>
        <w:tc>
          <w:tcPr>
            <w:tcW w:w="2070" w:type="dxa"/>
            <w:vAlign w:val="center"/>
          </w:tcPr>
          <w:p w14:paraId="54FA3091"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25%</w:t>
            </w:r>
          </w:p>
        </w:tc>
        <w:tc>
          <w:tcPr>
            <w:tcW w:w="1260" w:type="dxa"/>
            <w:vAlign w:val="center"/>
          </w:tcPr>
          <w:p w14:paraId="1D260065" w14:textId="77777777" w:rsidR="00001AE5" w:rsidRPr="00C97A8E" w:rsidRDefault="00001AE5" w:rsidP="004308C7">
            <w:pPr>
              <w:pStyle w:val="ExhibitText"/>
              <w:jc w:val="center"/>
              <w:rPr>
                <w:rFonts w:eastAsia="Calibri"/>
                <w:shd w:val="clear" w:color="auto" w:fill="FFFFFF"/>
                <w:lang w:val="en-GB"/>
              </w:rPr>
            </w:pPr>
            <w:r w:rsidRPr="00C97A8E">
              <w:rPr>
                <w:rFonts w:eastAsia="Calibri"/>
                <w:shd w:val="clear" w:color="auto" w:fill="FFFFFF"/>
                <w:lang w:val="en-GB"/>
              </w:rPr>
              <w:t>14%</w:t>
            </w:r>
          </w:p>
        </w:tc>
      </w:tr>
    </w:tbl>
    <w:p w14:paraId="0B5ECC88" w14:textId="77777777" w:rsidR="00001AE5" w:rsidRPr="00C97A8E" w:rsidRDefault="00001AE5" w:rsidP="00001AE5">
      <w:pPr>
        <w:pStyle w:val="ExhibitText"/>
        <w:rPr>
          <w:rFonts w:eastAsia="Calibri"/>
          <w:sz w:val="16"/>
          <w:szCs w:val="16"/>
          <w:shd w:val="clear" w:color="auto" w:fill="FFFFFF"/>
          <w:lang w:val="en-GB"/>
        </w:rPr>
      </w:pPr>
    </w:p>
    <w:p w14:paraId="4ED93707" w14:textId="77777777" w:rsidR="00001AE5" w:rsidRPr="00C97A8E" w:rsidRDefault="00001AE5" w:rsidP="00001AE5">
      <w:pPr>
        <w:pStyle w:val="Footnote"/>
        <w:rPr>
          <w:rFonts w:eastAsia="Calibri"/>
          <w:lang w:val="en-GB"/>
        </w:rPr>
      </w:pPr>
      <w:r w:rsidRPr="00C97A8E">
        <w:rPr>
          <w:rFonts w:eastAsia="Calibri"/>
          <w:lang w:val="en-GB"/>
        </w:rPr>
        <w:t xml:space="preserve">Source: Mintel Group Limited, </w:t>
      </w:r>
      <w:r w:rsidRPr="00A53D36">
        <w:rPr>
          <w:rFonts w:eastAsia="Calibri"/>
          <w:i/>
          <w:lang w:val="en-GB"/>
        </w:rPr>
        <w:t>US Motorcycles Market Report</w:t>
      </w:r>
      <w:r w:rsidRPr="00C97A8E">
        <w:rPr>
          <w:rFonts w:eastAsia="Calibri"/>
          <w:lang w:val="en-GB"/>
        </w:rPr>
        <w:t>, May 2016, accessed October 9, 2017, http://store.mintel.com/us-motorcycles-market-report.</w:t>
      </w:r>
    </w:p>
    <w:p w14:paraId="7E20D52A" w14:textId="77777777" w:rsidR="00001AE5" w:rsidRPr="00C97A8E" w:rsidRDefault="00001AE5" w:rsidP="00001AE5">
      <w:pPr>
        <w:pStyle w:val="BodyTextMain"/>
        <w:rPr>
          <w:rFonts w:eastAsia="Calibri"/>
          <w:lang w:val="en-GB"/>
        </w:rPr>
      </w:pPr>
    </w:p>
    <w:p w14:paraId="4C9EB35A" w14:textId="77777777" w:rsidR="00001AE5" w:rsidRPr="00C97A8E" w:rsidRDefault="00001AE5" w:rsidP="00001AE5">
      <w:pPr>
        <w:pStyle w:val="BodyTextMain"/>
        <w:rPr>
          <w:rFonts w:eastAsia="Calibri"/>
          <w:lang w:val="en-GB"/>
        </w:rPr>
      </w:pPr>
    </w:p>
    <w:p w14:paraId="7F5370B6" w14:textId="77777777" w:rsidR="00001AE5" w:rsidRPr="00C97A8E" w:rsidRDefault="00001AE5" w:rsidP="00001AE5">
      <w:pPr>
        <w:pStyle w:val="ExhibitHeading"/>
        <w:rPr>
          <w:rFonts w:eastAsia="Calibri"/>
          <w:lang w:val="en-GB"/>
        </w:rPr>
      </w:pPr>
      <w:r w:rsidRPr="00C97A8E">
        <w:rPr>
          <w:rFonts w:eastAsia="Calibri"/>
          <w:lang w:val="en-GB"/>
        </w:rPr>
        <w:t>Exhibit 3: Harley-Davidson Inc. Motorcycle Shipments (</w:t>
      </w:r>
      <w:r w:rsidR="009B3B94">
        <w:rPr>
          <w:rFonts w:eastAsia="Calibri"/>
          <w:lang w:val="en-GB"/>
        </w:rPr>
        <w:t xml:space="preserve">SELECTED YEARS, </w:t>
      </w:r>
      <w:r w:rsidRPr="00C97A8E">
        <w:rPr>
          <w:rFonts w:eastAsia="Calibri"/>
          <w:lang w:val="en-GB"/>
        </w:rPr>
        <w:t>1986–2015)</w:t>
      </w:r>
    </w:p>
    <w:p w14:paraId="3F180156" w14:textId="77777777" w:rsidR="00001AE5" w:rsidRPr="00C97A8E" w:rsidRDefault="00001AE5" w:rsidP="00001AE5">
      <w:pPr>
        <w:spacing w:line="360" w:lineRule="auto"/>
        <w:rPr>
          <w:rFonts w:eastAsia="Calibri"/>
          <w:sz w:val="16"/>
          <w:szCs w:val="16"/>
          <w:lang w:val="en-GB"/>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2"/>
        <w:gridCol w:w="964"/>
        <w:gridCol w:w="964"/>
        <w:gridCol w:w="964"/>
        <w:gridCol w:w="964"/>
        <w:gridCol w:w="964"/>
        <w:gridCol w:w="964"/>
        <w:gridCol w:w="964"/>
      </w:tblGrid>
      <w:tr w:rsidR="00DF0557" w:rsidRPr="00C97A8E" w14:paraId="14088033" w14:textId="77777777" w:rsidTr="00DF0557">
        <w:trPr>
          <w:trHeight w:val="206"/>
          <w:jc w:val="center"/>
        </w:trPr>
        <w:tc>
          <w:tcPr>
            <w:tcW w:w="1862" w:type="dxa"/>
            <w:shd w:val="clear" w:color="auto" w:fill="auto"/>
            <w:noWrap/>
            <w:vAlign w:val="bottom"/>
            <w:hideMark/>
          </w:tcPr>
          <w:p w14:paraId="16F8069A" w14:textId="77777777" w:rsidR="00DF0557" w:rsidRPr="00C97A8E" w:rsidRDefault="00DF0557" w:rsidP="00DF0557">
            <w:pPr>
              <w:pStyle w:val="ExhibitText"/>
              <w:rPr>
                <w:lang w:val="en-GB"/>
              </w:rPr>
            </w:pPr>
            <w:r w:rsidRPr="00C97A8E">
              <w:rPr>
                <w:lang w:val="en-GB"/>
              </w:rPr>
              <w:t> </w:t>
            </w:r>
          </w:p>
        </w:tc>
        <w:tc>
          <w:tcPr>
            <w:tcW w:w="964" w:type="dxa"/>
            <w:vAlign w:val="center"/>
          </w:tcPr>
          <w:p w14:paraId="043AA4C5" w14:textId="2B76CB5A" w:rsidR="00DF0557" w:rsidRPr="00C97A8E" w:rsidRDefault="00DF0557" w:rsidP="00DF0557">
            <w:pPr>
              <w:pStyle w:val="ExhibitText"/>
              <w:keepNext/>
              <w:keepLines/>
              <w:jc w:val="center"/>
              <w:rPr>
                <w:b/>
                <w:lang w:val="en-GB"/>
              </w:rPr>
            </w:pPr>
            <w:r w:rsidRPr="00C97A8E">
              <w:rPr>
                <w:b/>
                <w:lang w:val="en-GB"/>
              </w:rPr>
              <w:t>1986</w:t>
            </w:r>
          </w:p>
        </w:tc>
        <w:tc>
          <w:tcPr>
            <w:tcW w:w="964" w:type="dxa"/>
            <w:vAlign w:val="center"/>
          </w:tcPr>
          <w:p w14:paraId="3273BFDE" w14:textId="6F589365" w:rsidR="00DF0557" w:rsidRPr="00C97A8E" w:rsidRDefault="00DF0557" w:rsidP="00DF0557">
            <w:pPr>
              <w:pStyle w:val="ExhibitText"/>
              <w:keepNext/>
              <w:keepLines/>
              <w:jc w:val="center"/>
              <w:rPr>
                <w:b/>
                <w:lang w:val="en-GB"/>
              </w:rPr>
            </w:pPr>
            <w:r w:rsidRPr="00C97A8E">
              <w:rPr>
                <w:b/>
                <w:lang w:val="en-GB"/>
              </w:rPr>
              <w:t>1991</w:t>
            </w:r>
          </w:p>
        </w:tc>
        <w:tc>
          <w:tcPr>
            <w:tcW w:w="964" w:type="dxa"/>
            <w:vAlign w:val="center"/>
          </w:tcPr>
          <w:p w14:paraId="123B0E1C" w14:textId="43613D90" w:rsidR="00DF0557" w:rsidRPr="00C97A8E" w:rsidRDefault="00DF0557" w:rsidP="00DF0557">
            <w:pPr>
              <w:pStyle w:val="ExhibitText"/>
              <w:keepNext/>
              <w:keepLines/>
              <w:jc w:val="center"/>
              <w:rPr>
                <w:b/>
                <w:lang w:val="en-GB"/>
              </w:rPr>
            </w:pPr>
            <w:r w:rsidRPr="00C97A8E">
              <w:rPr>
                <w:b/>
                <w:lang w:val="en-GB"/>
              </w:rPr>
              <w:t>1996</w:t>
            </w:r>
          </w:p>
        </w:tc>
        <w:tc>
          <w:tcPr>
            <w:tcW w:w="964" w:type="dxa"/>
            <w:vAlign w:val="center"/>
          </w:tcPr>
          <w:p w14:paraId="47F233EA" w14:textId="15440FFA" w:rsidR="00DF0557" w:rsidRPr="00C97A8E" w:rsidRDefault="00DF0557" w:rsidP="00DF0557">
            <w:pPr>
              <w:pStyle w:val="ExhibitText"/>
              <w:keepNext/>
              <w:keepLines/>
              <w:jc w:val="center"/>
              <w:rPr>
                <w:b/>
                <w:lang w:val="en-GB"/>
              </w:rPr>
            </w:pPr>
            <w:r w:rsidRPr="00C97A8E">
              <w:rPr>
                <w:b/>
                <w:lang w:val="en-GB"/>
              </w:rPr>
              <w:t>2001</w:t>
            </w:r>
          </w:p>
        </w:tc>
        <w:tc>
          <w:tcPr>
            <w:tcW w:w="964" w:type="dxa"/>
            <w:vAlign w:val="center"/>
          </w:tcPr>
          <w:p w14:paraId="700C71D9" w14:textId="419FD6BA" w:rsidR="00DF0557" w:rsidRPr="00C97A8E" w:rsidRDefault="00DF0557" w:rsidP="00DF0557">
            <w:pPr>
              <w:pStyle w:val="ExhibitText"/>
              <w:keepNext/>
              <w:keepLines/>
              <w:jc w:val="center"/>
              <w:rPr>
                <w:b/>
                <w:lang w:val="en-GB"/>
              </w:rPr>
            </w:pPr>
            <w:r w:rsidRPr="00C97A8E">
              <w:rPr>
                <w:b/>
                <w:lang w:val="en-GB"/>
              </w:rPr>
              <w:t>2006</w:t>
            </w:r>
          </w:p>
        </w:tc>
        <w:tc>
          <w:tcPr>
            <w:tcW w:w="964" w:type="dxa"/>
            <w:vAlign w:val="center"/>
          </w:tcPr>
          <w:p w14:paraId="6BD10780" w14:textId="269A79FC" w:rsidR="00DF0557" w:rsidRPr="00C97A8E" w:rsidRDefault="00DF0557" w:rsidP="00DF0557">
            <w:pPr>
              <w:pStyle w:val="ExhibitText"/>
              <w:keepNext/>
              <w:keepLines/>
              <w:jc w:val="center"/>
              <w:rPr>
                <w:b/>
                <w:lang w:val="en-GB"/>
              </w:rPr>
            </w:pPr>
            <w:r w:rsidRPr="00C97A8E">
              <w:rPr>
                <w:b/>
                <w:lang w:val="en-GB"/>
              </w:rPr>
              <w:t>2011</w:t>
            </w:r>
          </w:p>
        </w:tc>
        <w:tc>
          <w:tcPr>
            <w:tcW w:w="964" w:type="dxa"/>
            <w:vAlign w:val="center"/>
          </w:tcPr>
          <w:p w14:paraId="4E6D9CB3" w14:textId="3D93D41E" w:rsidR="00DF0557" w:rsidRPr="00C97A8E" w:rsidRDefault="00DF0557" w:rsidP="00DF0557">
            <w:pPr>
              <w:pStyle w:val="ExhibitText"/>
              <w:keepNext/>
              <w:keepLines/>
              <w:jc w:val="center"/>
              <w:rPr>
                <w:b/>
                <w:lang w:val="en-GB"/>
              </w:rPr>
            </w:pPr>
            <w:r w:rsidRPr="00C97A8E">
              <w:rPr>
                <w:b/>
                <w:lang w:val="en-GB"/>
              </w:rPr>
              <w:t>2016</w:t>
            </w:r>
          </w:p>
        </w:tc>
      </w:tr>
      <w:tr w:rsidR="00DF0557" w:rsidRPr="00C97A8E" w14:paraId="4E1D5967" w14:textId="77777777" w:rsidTr="00DF0557">
        <w:trPr>
          <w:trHeight w:val="152"/>
          <w:jc w:val="center"/>
        </w:trPr>
        <w:tc>
          <w:tcPr>
            <w:tcW w:w="1862" w:type="dxa"/>
            <w:shd w:val="clear" w:color="auto" w:fill="auto"/>
            <w:noWrap/>
            <w:vAlign w:val="center"/>
            <w:hideMark/>
          </w:tcPr>
          <w:p w14:paraId="252ADD66" w14:textId="77777777" w:rsidR="00DF0557" w:rsidRPr="00C97A8E" w:rsidRDefault="00DF0557" w:rsidP="00DF0557">
            <w:pPr>
              <w:pStyle w:val="ExhibitText"/>
              <w:jc w:val="left"/>
              <w:rPr>
                <w:lang w:val="en-GB"/>
              </w:rPr>
            </w:pPr>
            <w:r w:rsidRPr="00C97A8E">
              <w:rPr>
                <w:lang w:val="en-GB"/>
              </w:rPr>
              <w:t>Sportster</w:t>
            </w:r>
          </w:p>
        </w:tc>
        <w:tc>
          <w:tcPr>
            <w:tcW w:w="964" w:type="dxa"/>
            <w:vAlign w:val="center"/>
          </w:tcPr>
          <w:p w14:paraId="37B4C843" w14:textId="07640D12" w:rsidR="00DF0557" w:rsidRPr="00C97A8E" w:rsidRDefault="00DF0557" w:rsidP="00DF0557">
            <w:pPr>
              <w:pStyle w:val="ExhibitText"/>
              <w:keepNext/>
              <w:keepLines/>
              <w:jc w:val="right"/>
              <w:rPr>
                <w:lang w:val="en-GB"/>
              </w:rPr>
            </w:pPr>
            <w:r w:rsidRPr="00C97A8E">
              <w:rPr>
                <w:lang w:val="en-GB"/>
              </w:rPr>
              <w:t>11,959</w:t>
            </w:r>
          </w:p>
        </w:tc>
        <w:tc>
          <w:tcPr>
            <w:tcW w:w="964" w:type="dxa"/>
            <w:vAlign w:val="center"/>
          </w:tcPr>
          <w:p w14:paraId="6266EA8A" w14:textId="341B6C00" w:rsidR="00DF0557" w:rsidRPr="00C97A8E" w:rsidRDefault="00DF0557" w:rsidP="00DF0557">
            <w:pPr>
              <w:pStyle w:val="ExhibitText"/>
              <w:keepNext/>
              <w:keepLines/>
              <w:jc w:val="right"/>
              <w:rPr>
                <w:lang w:val="en-GB"/>
              </w:rPr>
            </w:pPr>
            <w:r w:rsidRPr="00C97A8E">
              <w:rPr>
                <w:lang w:val="en-GB"/>
              </w:rPr>
              <w:t>18,735</w:t>
            </w:r>
          </w:p>
        </w:tc>
        <w:tc>
          <w:tcPr>
            <w:tcW w:w="964" w:type="dxa"/>
            <w:vAlign w:val="center"/>
          </w:tcPr>
          <w:p w14:paraId="4D6E0750" w14:textId="048397FB" w:rsidR="00DF0557" w:rsidRPr="00C97A8E" w:rsidRDefault="00DF0557" w:rsidP="00DF0557">
            <w:pPr>
              <w:pStyle w:val="ExhibitText"/>
              <w:keepNext/>
              <w:keepLines/>
              <w:jc w:val="right"/>
              <w:rPr>
                <w:lang w:val="en-GB"/>
              </w:rPr>
            </w:pPr>
            <w:r w:rsidRPr="00C97A8E">
              <w:rPr>
                <w:lang w:val="en-GB"/>
              </w:rPr>
              <w:t>31,173</w:t>
            </w:r>
          </w:p>
        </w:tc>
        <w:tc>
          <w:tcPr>
            <w:tcW w:w="964" w:type="dxa"/>
            <w:vAlign w:val="center"/>
          </w:tcPr>
          <w:p w14:paraId="7050CF74" w14:textId="6F2599FF" w:rsidR="00DF0557" w:rsidRPr="00C97A8E" w:rsidRDefault="00DF0557" w:rsidP="00DF0557">
            <w:pPr>
              <w:pStyle w:val="ExhibitText"/>
              <w:keepNext/>
              <w:keepLines/>
              <w:jc w:val="right"/>
              <w:rPr>
                <w:lang w:val="en-GB"/>
              </w:rPr>
            </w:pPr>
            <w:r w:rsidRPr="00C97A8E">
              <w:rPr>
                <w:lang w:val="en-GB"/>
              </w:rPr>
              <w:t>50,814</w:t>
            </w:r>
          </w:p>
        </w:tc>
        <w:tc>
          <w:tcPr>
            <w:tcW w:w="964" w:type="dxa"/>
            <w:vAlign w:val="center"/>
          </w:tcPr>
          <w:p w14:paraId="306284D0" w14:textId="2BFD758A" w:rsidR="00DF0557" w:rsidRPr="00C97A8E" w:rsidRDefault="00DF0557" w:rsidP="00DF0557">
            <w:pPr>
              <w:pStyle w:val="ExhibitText"/>
              <w:keepNext/>
              <w:keepLines/>
              <w:jc w:val="right"/>
              <w:rPr>
                <w:lang w:val="en-GB"/>
              </w:rPr>
            </w:pPr>
            <w:r w:rsidRPr="00C97A8E">
              <w:rPr>
                <w:lang w:val="en-GB"/>
              </w:rPr>
              <w:t>64,557</w:t>
            </w:r>
          </w:p>
        </w:tc>
        <w:tc>
          <w:tcPr>
            <w:tcW w:w="964" w:type="dxa"/>
            <w:vAlign w:val="center"/>
          </w:tcPr>
          <w:p w14:paraId="6C1EC0EE" w14:textId="0F466D4D" w:rsidR="00DF0557" w:rsidRPr="00C97A8E" w:rsidRDefault="00DF0557" w:rsidP="00DF0557">
            <w:pPr>
              <w:pStyle w:val="ExhibitText"/>
              <w:keepNext/>
              <w:keepLines/>
              <w:jc w:val="right"/>
              <w:rPr>
                <w:lang w:val="en-GB"/>
              </w:rPr>
            </w:pPr>
            <w:r w:rsidRPr="00C97A8E">
              <w:rPr>
                <w:lang w:val="en-GB"/>
              </w:rPr>
              <w:t>49,656</w:t>
            </w:r>
          </w:p>
        </w:tc>
        <w:tc>
          <w:tcPr>
            <w:tcW w:w="964" w:type="dxa"/>
            <w:vAlign w:val="center"/>
          </w:tcPr>
          <w:p w14:paraId="3EA0623D" w14:textId="6B3D60A2" w:rsidR="00DF0557" w:rsidRPr="00C97A8E" w:rsidRDefault="00DF0557" w:rsidP="00DF0557">
            <w:pPr>
              <w:pStyle w:val="ExhibitText"/>
              <w:keepNext/>
              <w:keepLines/>
              <w:jc w:val="right"/>
              <w:rPr>
                <w:lang w:val="en-GB"/>
              </w:rPr>
            </w:pPr>
            <w:r w:rsidRPr="00C97A8E">
              <w:rPr>
                <w:lang w:val="en-GB"/>
              </w:rPr>
              <w:t>62,407</w:t>
            </w:r>
          </w:p>
        </w:tc>
      </w:tr>
      <w:tr w:rsidR="00DF0557" w:rsidRPr="00C97A8E" w14:paraId="3FC24ADD" w14:textId="77777777" w:rsidTr="00DF0557">
        <w:trPr>
          <w:trHeight w:val="89"/>
          <w:jc w:val="center"/>
        </w:trPr>
        <w:tc>
          <w:tcPr>
            <w:tcW w:w="1862" w:type="dxa"/>
            <w:shd w:val="clear" w:color="auto" w:fill="auto"/>
            <w:noWrap/>
            <w:vAlign w:val="center"/>
            <w:hideMark/>
          </w:tcPr>
          <w:p w14:paraId="56FBA78C" w14:textId="77777777" w:rsidR="00DF0557" w:rsidRPr="00C97A8E" w:rsidRDefault="00DF0557" w:rsidP="00DF0557">
            <w:pPr>
              <w:pStyle w:val="ExhibitText"/>
              <w:jc w:val="left"/>
              <w:rPr>
                <w:lang w:val="en-GB"/>
              </w:rPr>
            </w:pPr>
            <w:r w:rsidRPr="00C97A8E">
              <w:rPr>
                <w:lang w:val="en-GB"/>
              </w:rPr>
              <w:t>Cruiser</w:t>
            </w:r>
          </w:p>
        </w:tc>
        <w:tc>
          <w:tcPr>
            <w:tcW w:w="964" w:type="dxa"/>
            <w:vAlign w:val="center"/>
          </w:tcPr>
          <w:p w14:paraId="44DE31FF" w14:textId="2456290F" w:rsidR="00DF0557" w:rsidRPr="00C97A8E" w:rsidRDefault="00DF0557" w:rsidP="00DF0557">
            <w:pPr>
              <w:pStyle w:val="ExhibitText"/>
              <w:keepNext/>
              <w:keepLines/>
              <w:jc w:val="right"/>
              <w:rPr>
                <w:lang w:val="en-GB"/>
              </w:rPr>
            </w:pPr>
            <w:r w:rsidRPr="00C97A8E">
              <w:rPr>
                <w:lang w:val="en-GB"/>
              </w:rPr>
              <w:t>18,398</w:t>
            </w:r>
          </w:p>
        </w:tc>
        <w:tc>
          <w:tcPr>
            <w:tcW w:w="964" w:type="dxa"/>
            <w:vAlign w:val="center"/>
          </w:tcPr>
          <w:p w14:paraId="4971C826" w14:textId="1B0AFB78" w:rsidR="00DF0557" w:rsidRPr="00C97A8E" w:rsidRDefault="00DF0557" w:rsidP="00DF0557">
            <w:pPr>
              <w:pStyle w:val="ExhibitText"/>
              <w:keepNext/>
              <w:keepLines/>
              <w:jc w:val="right"/>
              <w:rPr>
                <w:lang w:val="en-GB"/>
              </w:rPr>
            </w:pPr>
            <w:r w:rsidRPr="00C97A8E">
              <w:rPr>
                <w:lang w:val="en-GB"/>
              </w:rPr>
              <w:t>39,550</w:t>
            </w:r>
          </w:p>
        </w:tc>
        <w:tc>
          <w:tcPr>
            <w:tcW w:w="964" w:type="dxa"/>
            <w:vAlign w:val="center"/>
          </w:tcPr>
          <w:p w14:paraId="63FD5BC7" w14:textId="476A236B" w:rsidR="00DF0557" w:rsidRPr="00C97A8E" w:rsidRDefault="00DF0557" w:rsidP="00DF0557">
            <w:pPr>
              <w:pStyle w:val="ExhibitText"/>
              <w:keepNext/>
              <w:keepLines/>
              <w:jc w:val="right"/>
              <w:rPr>
                <w:lang w:val="en-GB"/>
              </w:rPr>
            </w:pPr>
            <w:r w:rsidRPr="00C97A8E">
              <w:rPr>
                <w:lang w:val="en-GB"/>
              </w:rPr>
              <w:t>63,198</w:t>
            </w:r>
          </w:p>
        </w:tc>
        <w:tc>
          <w:tcPr>
            <w:tcW w:w="964" w:type="dxa"/>
            <w:vAlign w:val="center"/>
          </w:tcPr>
          <w:p w14:paraId="41D83893" w14:textId="1091C3FA" w:rsidR="00DF0557" w:rsidRPr="00C97A8E" w:rsidRDefault="00DF0557" w:rsidP="00DF0557">
            <w:pPr>
              <w:pStyle w:val="ExhibitText"/>
              <w:keepNext/>
              <w:keepLines/>
              <w:jc w:val="right"/>
              <w:rPr>
                <w:lang w:val="en-GB"/>
              </w:rPr>
            </w:pPr>
            <w:r w:rsidRPr="00C97A8E">
              <w:rPr>
                <w:lang w:val="en-GB"/>
              </w:rPr>
              <w:t>118,303</w:t>
            </w:r>
          </w:p>
        </w:tc>
        <w:tc>
          <w:tcPr>
            <w:tcW w:w="964" w:type="dxa"/>
            <w:vAlign w:val="center"/>
          </w:tcPr>
          <w:p w14:paraId="379756BD" w14:textId="3592EC0D" w:rsidR="00DF0557" w:rsidRPr="00C97A8E" w:rsidRDefault="00DF0557" w:rsidP="00DF0557">
            <w:pPr>
              <w:pStyle w:val="ExhibitText"/>
              <w:keepNext/>
              <w:keepLines/>
              <w:jc w:val="right"/>
              <w:rPr>
                <w:lang w:val="en-GB"/>
              </w:rPr>
            </w:pPr>
            <w:r w:rsidRPr="00C97A8E">
              <w:rPr>
                <w:lang w:val="en-GB"/>
              </w:rPr>
              <w:t>161,195</w:t>
            </w:r>
          </w:p>
        </w:tc>
        <w:tc>
          <w:tcPr>
            <w:tcW w:w="964" w:type="dxa"/>
            <w:vAlign w:val="center"/>
          </w:tcPr>
          <w:p w14:paraId="0A400CC0" w14:textId="1BDBD1A8" w:rsidR="00DF0557" w:rsidRPr="00C97A8E" w:rsidRDefault="00DF0557" w:rsidP="00DF0557">
            <w:pPr>
              <w:pStyle w:val="ExhibitText"/>
              <w:keepNext/>
              <w:keepLines/>
              <w:jc w:val="right"/>
              <w:rPr>
                <w:lang w:val="en-GB"/>
              </w:rPr>
            </w:pPr>
            <w:r w:rsidRPr="00C97A8E">
              <w:rPr>
                <w:lang w:val="en-GB"/>
              </w:rPr>
              <w:t>91,459</w:t>
            </w:r>
          </w:p>
        </w:tc>
        <w:tc>
          <w:tcPr>
            <w:tcW w:w="964" w:type="dxa"/>
            <w:vAlign w:val="center"/>
          </w:tcPr>
          <w:p w14:paraId="655328B5" w14:textId="2CB1099C" w:rsidR="00DF0557" w:rsidRPr="00C97A8E" w:rsidRDefault="00DF0557" w:rsidP="00DF0557">
            <w:pPr>
              <w:pStyle w:val="ExhibitText"/>
              <w:keepNext/>
              <w:keepLines/>
              <w:jc w:val="right"/>
              <w:rPr>
                <w:lang w:val="en-GB"/>
              </w:rPr>
            </w:pPr>
            <w:r w:rsidRPr="00C97A8E">
              <w:rPr>
                <w:lang w:val="en-GB"/>
              </w:rPr>
              <w:t>89,207</w:t>
            </w:r>
          </w:p>
        </w:tc>
      </w:tr>
      <w:tr w:rsidR="00DF0557" w:rsidRPr="00C97A8E" w14:paraId="2472EE3A" w14:textId="77777777" w:rsidTr="00DF0557">
        <w:trPr>
          <w:trHeight w:val="125"/>
          <w:jc w:val="center"/>
        </w:trPr>
        <w:tc>
          <w:tcPr>
            <w:tcW w:w="1862" w:type="dxa"/>
            <w:shd w:val="clear" w:color="auto" w:fill="auto"/>
            <w:noWrap/>
            <w:vAlign w:val="center"/>
            <w:hideMark/>
          </w:tcPr>
          <w:p w14:paraId="1BBED5DB" w14:textId="77777777" w:rsidR="00DF0557" w:rsidRPr="00C97A8E" w:rsidRDefault="00DF0557" w:rsidP="00DF0557">
            <w:pPr>
              <w:pStyle w:val="ExhibitText"/>
              <w:jc w:val="left"/>
              <w:rPr>
                <w:lang w:val="en-GB"/>
              </w:rPr>
            </w:pPr>
            <w:r w:rsidRPr="00C97A8E">
              <w:rPr>
                <w:lang w:val="en-GB"/>
              </w:rPr>
              <w:t>Touring</w:t>
            </w:r>
          </w:p>
        </w:tc>
        <w:tc>
          <w:tcPr>
            <w:tcW w:w="964" w:type="dxa"/>
            <w:vAlign w:val="center"/>
          </w:tcPr>
          <w:p w14:paraId="3AC1D91C" w14:textId="1871DCCC" w:rsidR="00DF0557" w:rsidRPr="00C97A8E" w:rsidRDefault="00DF0557" w:rsidP="00DF0557">
            <w:pPr>
              <w:pStyle w:val="ExhibitText"/>
              <w:keepNext/>
              <w:keepLines/>
              <w:jc w:val="right"/>
              <w:rPr>
                <w:lang w:val="en-GB"/>
              </w:rPr>
            </w:pPr>
            <w:r w:rsidRPr="00C97A8E">
              <w:rPr>
                <w:lang w:val="en-GB"/>
              </w:rPr>
              <w:t>6,378</w:t>
            </w:r>
          </w:p>
        </w:tc>
        <w:tc>
          <w:tcPr>
            <w:tcW w:w="964" w:type="dxa"/>
            <w:vAlign w:val="center"/>
          </w:tcPr>
          <w:p w14:paraId="12A20837" w14:textId="0F5DD84E" w:rsidR="00DF0557" w:rsidRPr="00C97A8E" w:rsidRDefault="00DF0557" w:rsidP="00DF0557">
            <w:pPr>
              <w:pStyle w:val="ExhibitText"/>
              <w:keepNext/>
              <w:keepLines/>
              <w:jc w:val="right"/>
              <w:rPr>
                <w:lang w:val="en-GB"/>
              </w:rPr>
            </w:pPr>
            <w:r w:rsidRPr="00C97A8E">
              <w:rPr>
                <w:lang w:val="en-GB"/>
              </w:rPr>
              <w:t>10,341</w:t>
            </w:r>
          </w:p>
        </w:tc>
        <w:tc>
          <w:tcPr>
            <w:tcW w:w="964" w:type="dxa"/>
            <w:vAlign w:val="center"/>
          </w:tcPr>
          <w:p w14:paraId="42585779" w14:textId="4DDD924B" w:rsidR="00DF0557" w:rsidRPr="00C97A8E" w:rsidRDefault="00DF0557" w:rsidP="00DF0557">
            <w:pPr>
              <w:pStyle w:val="ExhibitText"/>
              <w:keepNext/>
              <w:keepLines/>
              <w:jc w:val="right"/>
              <w:rPr>
                <w:lang w:val="en-GB"/>
              </w:rPr>
            </w:pPr>
            <w:r w:rsidRPr="00C97A8E">
              <w:rPr>
                <w:lang w:val="en-GB"/>
              </w:rPr>
              <w:t>24,400</w:t>
            </w:r>
          </w:p>
        </w:tc>
        <w:tc>
          <w:tcPr>
            <w:tcW w:w="964" w:type="dxa"/>
            <w:vAlign w:val="center"/>
          </w:tcPr>
          <w:p w14:paraId="3F7D7A1E" w14:textId="4317F682" w:rsidR="00DF0557" w:rsidRPr="00C97A8E" w:rsidRDefault="00DF0557" w:rsidP="00DF0557">
            <w:pPr>
              <w:pStyle w:val="ExhibitText"/>
              <w:keepNext/>
              <w:keepLines/>
              <w:jc w:val="right"/>
              <w:rPr>
                <w:lang w:val="en-GB"/>
              </w:rPr>
            </w:pPr>
            <w:r w:rsidRPr="00C97A8E">
              <w:rPr>
                <w:lang w:val="en-GB"/>
              </w:rPr>
              <w:t>65,344</w:t>
            </w:r>
          </w:p>
        </w:tc>
        <w:tc>
          <w:tcPr>
            <w:tcW w:w="964" w:type="dxa"/>
            <w:vAlign w:val="center"/>
          </w:tcPr>
          <w:p w14:paraId="1D33019A" w14:textId="60767C0C" w:rsidR="00DF0557" w:rsidRPr="00C97A8E" w:rsidRDefault="00DF0557" w:rsidP="00DF0557">
            <w:pPr>
              <w:pStyle w:val="ExhibitText"/>
              <w:keepNext/>
              <w:keepLines/>
              <w:jc w:val="right"/>
              <w:rPr>
                <w:lang w:val="en-GB"/>
              </w:rPr>
            </w:pPr>
            <w:r w:rsidRPr="00C97A8E">
              <w:rPr>
                <w:lang w:val="en-GB"/>
              </w:rPr>
              <w:t>123,444</w:t>
            </w:r>
          </w:p>
        </w:tc>
        <w:tc>
          <w:tcPr>
            <w:tcW w:w="964" w:type="dxa"/>
            <w:vAlign w:val="center"/>
          </w:tcPr>
          <w:p w14:paraId="6BA653B4" w14:textId="5B06D3BA" w:rsidR="00DF0557" w:rsidRPr="00C97A8E" w:rsidRDefault="00DF0557" w:rsidP="00DF0557">
            <w:pPr>
              <w:pStyle w:val="ExhibitText"/>
              <w:keepNext/>
              <w:keepLines/>
              <w:jc w:val="right"/>
              <w:rPr>
                <w:lang w:val="en-GB"/>
              </w:rPr>
            </w:pPr>
            <w:r w:rsidRPr="00C97A8E">
              <w:rPr>
                <w:lang w:val="en-GB"/>
              </w:rPr>
              <w:t>92,002</w:t>
            </w:r>
          </w:p>
        </w:tc>
        <w:tc>
          <w:tcPr>
            <w:tcW w:w="964" w:type="dxa"/>
            <w:vAlign w:val="center"/>
          </w:tcPr>
          <w:p w14:paraId="36DE02F0" w14:textId="1ECA68BC" w:rsidR="00DF0557" w:rsidRPr="00C97A8E" w:rsidRDefault="00DF0557" w:rsidP="00DF0557">
            <w:pPr>
              <w:pStyle w:val="ExhibitText"/>
              <w:keepNext/>
              <w:keepLines/>
              <w:jc w:val="right"/>
              <w:rPr>
                <w:lang w:val="en-GB"/>
              </w:rPr>
            </w:pPr>
            <w:r w:rsidRPr="00C97A8E">
              <w:rPr>
                <w:lang w:val="en-GB"/>
              </w:rPr>
              <w:t>114,768</w:t>
            </w:r>
          </w:p>
        </w:tc>
      </w:tr>
      <w:tr w:rsidR="00DF0557" w:rsidRPr="00C97A8E" w14:paraId="72155D8F" w14:textId="77777777" w:rsidTr="00DF0557">
        <w:trPr>
          <w:trHeight w:val="152"/>
          <w:jc w:val="center"/>
        </w:trPr>
        <w:tc>
          <w:tcPr>
            <w:tcW w:w="1862" w:type="dxa"/>
            <w:shd w:val="clear" w:color="auto" w:fill="auto"/>
            <w:noWrap/>
            <w:vAlign w:val="center"/>
            <w:hideMark/>
          </w:tcPr>
          <w:p w14:paraId="6829F585" w14:textId="77777777" w:rsidR="00DF0557" w:rsidRPr="00C97A8E" w:rsidRDefault="00DF0557" w:rsidP="00DF0557">
            <w:pPr>
              <w:pStyle w:val="ExhibitText"/>
              <w:jc w:val="left"/>
              <w:rPr>
                <w:lang w:val="en-GB"/>
              </w:rPr>
            </w:pPr>
            <w:r>
              <w:rPr>
                <w:lang w:val="en-GB"/>
              </w:rPr>
              <w:t xml:space="preserve">Total </w:t>
            </w:r>
            <w:r w:rsidRPr="00C97A8E">
              <w:rPr>
                <w:lang w:val="en-GB"/>
              </w:rPr>
              <w:t>Domestic</w:t>
            </w:r>
          </w:p>
        </w:tc>
        <w:tc>
          <w:tcPr>
            <w:tcW w:w="964" w:type="dxa"/>
            <w:vAlign w:val="center"/>
          </w:tcPr>
          <w:p w14:paraId="1ABD4C50" w14:textId="6330485D" w:rsidR="00DF0557" w:rsidRPr="00C97A8E" w:rsidRDefault="00DF0557" w:rsidP="00DF0557">
            <w:pPr>
              <w:pStyle w:val="ExhibitText"/>
              <w:keepNext/>
              <w:keepLines/>
              <w:jc w:val="right"/>
              <w:rPr>
                <w:lang w:val="en-GB"/>
              </w:rPr>
            </w:pPr>
            <w:r w:rsidRPr="00C97A8E">
              <w:rPr>
                <w:lang w:val="en-GB"/>
              </w:rPr>
              <w:t>29,910</w:t>
            </w:r>
          </w:p>
        </w:tc>
        <w:tc>
          <w:tcPr>
            <w:tcW w:w="964" w:type="dxa"/>
            <w:vAlign w:val="center"/>
          </w:tcPr>
          <w:p w14:paraId="4635D3F6" w14:textId="1E3FD42C" w:rsidR="00DF0557" w:rsidRPr="00C97A8E" w:rsidRDefault="00DF0557" w:rsidP="00DF0557">
            <w:pPr>
              <w:pStyle w:val="ExhibitText"/>
              <w:keepNext/>
              <w:keepLines/>
              <w:jc w:val="right"/>
              <w:rPr>
                <w:lang w:val="en-GB"/>
              </w:rPr>
            </w:pPr>
            <w:r w:rsidRPr="00C97A8E">
              <w:rPr>
                <w:lang w:val="en-GB"/>
              </w:rPr>
              <w:t>46,993</w:t>
            </w:r>
          </w:p>
        </w:tc>
        <w:tc>
          <w:tcPr>
            <w:tcW w:w="964" w:type="dxa"/>
            <w:vAlign w:val="center"/>
          </w:tcPr>
          <w:p w14:paraId="458B35B3" w14:textId="48421998" w:rsidR="00DF0557" w:rsidRPr="00C97A8E" w:rsidRDefault="00DF0557" w:rsidP="00DF0557">
            <w:pPr>
              <w:pStyle w:val="ExhibitText"/>
              <w:keepNext/>
              <w:keepLines/>
              <w:jc w:val="right"/>
              <w:rPr>
                <w:lang w:val="en-GB"/>
              </w:rPr>
            </w:pPr>
            <w:r w:rsidRPr="00C97A8E">
              <w:rPr>
                <w:lang w:val="en-GB"/>
              </w:rPr>
              <w:t>84,114</w:t>
            </w:r>
          </w:p>
        </w:tc>
        <w:tc>
          <w:tcPr>
            <w:tcW w:w="964" w:type="dxa"/>
            <w:vAlign w:val="center"/>
          </w:tcPr>
          <w:p w14:paraId="086A2BD3" w14:textId="0958A4E8" w:rsidR="00DF0557" w:rsidRPr="00C97A8E" w:rsidRDefault="00DF0557" w:rsidP="00DF0557">
            <w:pPr>
              <w:pStyle w:val="ExhibitText"/>
              <w:keepNext/>
              <w:keepLines/>
              <w:jc w:val="right"/>
              <w:rPr>
                <w:lang w:val="en-GB"/>
              </w:rPr>
            </w:pPr>
            <w:r w:rsidRPr="00C97A8E">
              <w:rPr>
                <w:lang w:val="en-GB"/>
              </w:rPr>
              <w:t>186,915</w:t>
            </w:r>
          </w:p>
        </w:tc>
        <w:tc>
          <w:tcPr>
            <w:tcW w:w="964" w:type="dxa"/>
            <w:vAlign w:val="center"/>
          </w:tcPr>
          <w:p w14:paraId="1AF62ED5" w14:textId="3C81C395" w:rsidR="00DF0557" w:rsidRPr="00C97A8E" w:rsidRDefault="00DF0557" w:rsidP="00DF0557">
            <w:pPr>
              <w:pStyle w:val="ExhibitText"/>
              <w:keepNext/>
              <w:keepLines/>
              <w:jc w:val="right"/>
              <w:rPr>
                <w:lang w:val="en-GB"/>
              </w:rPr>
            </w:pPr>
            <w:r w:rsidRPr="00C97A8E">
              <w:rPr>
                <w:lang w:val="en-GB"/>
              </w:rPr>
              <w:t>273,212</w:t>
            </w:r>
          </w:p>
        </w:tc>
        <w:tc>
          <w:tcPr>
            <w:tcW w:w="964" w:type="dxa"/>
            <w:vAlign w:val="center"/>
          </w:tcPr>
          <w:p w14:paraId="23948EF4" w14:textId="2FF55B2A" w:rsidR="00DF0557" w:rsidRPr="00C97A8E" w:rsidRDefault="00DF0557" w:rsidP="00DF0557">
            <w:pPr>
              <w:pStyle w:val="ExhibitText"/>
              <w:keepNext/>
              <w:keepLines/>
              <w:jc w:val="right"/>
              <w:rPr>
                <w:lang w:val="en-GB"/>
              </w:rPr>
            </w:pPr>
            <w:r w:rsidRPr="00C97A8E">
              <w:rPr>
                <w:lang w:val="en-GB"/>
              </w:rPr>
              <w:t>152,180</w:t>
            </w:r>
          </w:p>
        </w:tc>
        <w:tc>
          <w:tcPr>
            <w:tcW w:w="964" w:type="dxa"/>
            <w:vAlign w:val="center"/>
          </w:tcPr>
          <w:p w14:paraId="32AAF376" w14:textId="5620BD93" w:rsidR="00DF0557" w:rsidRPr="00C97A8E" w:rsidRDefault="00DF0557" w:rsidP="00DF0557">
            <w:pPr>
              <w:pStyle w:val="ExhibitText"/>
              <w:keepNext/>
              <w:keepLines/>
              <w:jc w:val="right"/>
              <w:rPr>
                <w:lang w:val="en-GB"/>
              </w:rPr>
            </w:pPr>
            <w:r w:rsidRPr="00C97A8E">
              <w:rPr>
                <w:lang w:val="en-GB"/>
              </w:rPr>
              <w:t>170,688</w:t>
            </w:r>
          </w:p>
        </w:tc>
      </w:tr>
      <w:tr w:rsidR="00DF0557" w:rsidRPr="00C97A8E" w14:paraId="2E238F25" w14:textId="77777777" w:rsidTr="00DF0557">
        <w:trPr>
          <w:trHeight w:val="89"/>
          <w:jc w:val="center"/>
        </w:trPr>
        <w:tc>
          <w:tcPr>
            <w:tcW w:w="1862" w:type="dxa"/>
            <w:shd w:val="clear" w:color="auto" w:fill="auto"/>
            <w:noWrap/>
            <w:vAlign w:val="center"/>
            <w:hideMark/>
          </w:tcPr>
          <w:p w14:paraId="38B32013" w14:textId="77777777" w:rsidR="00DF0557" w:rsidRPr="00C97A8E" w:rsidRDefault="00DF0557" w:rsidP="00DF0557">
            <w:pPr>
              <w:pStyle w:val="ExhibitText"/>
              <w:jc w:val="left"/>
              <w:rPr>
                <w:lang w:val="en-GB"/>
              </w:rPr>
            </w:pPr>
            <w:r>
              <w:rPr>
                <w:lang w:val="en-GB"/>
              </w:rPr>
              <w:t xml:space="preserve">Total </w:t>
            </w:r>
            <w:r w:rsidRPr="00C97A8E">
              <w:rPr>
                <w:lang w:val="en-GB"/>
              </w:rPr>
              <w:t>International</w:t>
            </w:r>
          </w:p>
        </w:tc>
        <w:tc>
          <w:tcPr>
            <w:tcW w:w="964" w:type="dxa"/>
            <w:vAlign w:val="center"/>
          </w:tcPr>
          <w:p w14:paraId="12DBE5F4" w14:textId="4E54F1D9" w:rsidR="00DF0557" w:rsidRPr="00C97A8E" w:rsidRDefault="00DF0557" w:rsidP="00DF0557">
            <w:pPr>
              <w:pStyle w:val="ExhibitText"/>
              <w:keepNext/>
              <w:keepLines/>
              <w:jc w:val="right"/>
              <w:rPr>
                <w:lang w:val="en-GB"/>
              </w:rPr>
            </w:pPr>
            <w:r w:rsidRPr="00C97A8E">
              <w:rPr>
                <w:lang w:val="en-GB"/>
              </w:rPr>
              <w:t>6,825</w:t>
            </w:r>
          </w:p>
        </w:tc>
        <w:tc>
          <w:tcPr>
            <w:tcW w:w="964" w:type="dxa"/>
            <w:vAlign w:val="center"/>
          </w:tcPr>
          <w:p w14:paraId="27242B41" w14:textId="11BB596E" w:rsidR="00DF0557" w:rsidRPr="00C97A8E" w:rsidRDefault="00DF0557" w:rsidP="00DF0557">
            <w:pPr>
              <w:pStyle w:val="ExhibitText"/>
              <w:keepNext/>
              <w:keepLines/>
              <w:jc w:val="right"/>
              <w:rPr>
                <w:lang w:val="en-GB"/>
              </w:rPr>
            </w:pPr>
            <w:r w:rsidRPr="00C97A8E">
              <w:rPr>
                <w:lang w:val="en-GB"/>
              </w:rPr>
              <w:t>21,633</w:t>
            </w:r>
          </w:p>
        </w:tc>
        <w:tc>
          <w:tcPr>
            <w:tcW w:w="964" w:type="dxa"/>
            <w:vAlign w:val="center"/>
          </w:tcPr>
          <w:p w14:paraId="44DB4E5C" w14:textId="2ADCA799" w:rsidR="00DF0557" w:rsidRPr="00C97A8E" w:rsidRDefault="00DF0557" w:rsidP="00DF0557">
            <w:pPr>
              <w:pStyle w:val="ExhibitText"/>
              <w:keepNext/>
              <w:keepLines/>
              <w:jc w:val="right"/>
              <w:rPr>
                <w:lang w:val="en-GB"/>
              </w:rPr>
            </w:pPr>
            <w:r w:rsidRPr="00C97A8E">
              <w:rPr>
                <w:lang w:val="en-GB"/>
              </w:rPr>
              <w:t>34,657</w:t>
            </w:r>
          </w:p>
        </w:tc>
        <w:tc>
          <w:tcPr>
            <w:tcW w:w="964" w:type="dxa"/>
            <w:vAlign w:val="center"/>
          </w:tcPr>
          <w:p w14:paraId="204172DC" w14:textId="28BB1D4B" w:rsidR="00DF0557" w:rsidRPr="00C97A8E" w:rsidRDefault="00DF0557" w:rsidP="00DF0557">
            <w:pPr>
              <w:pStyle w:val="ExhibitText"/>
              <w:keepNext/>
              <w:keepLines/>
              <w:jc w:val="right"/>
              <w:rPr>
                <w:lang w:val="en-GB"/>
              </w:rPr>
            </w:pPr>
            <w:r w:rsidRPr="00C97A8E">
              <w:rPr>
                <w:lang w:val="en-GB"/>
              </w:rPr>
              <w:t>47,546</w:t>
            </w:r>
          </w:p>
        </w:tc>
        <w:tc>
          <w:tcPr>
            <w:tcW w:w="964" w:type="dxa"/>
            <w:vAlign w:val="center"/>
          </w:tcPr>
          <w:p w14:paraId="56BE0B3D" w14:textId="59390232" w:rsidR="00DF0557" w:rsidRPr="00C97A8E" w:rsidRDefault="00DF0557" w:rsidP="00DF0557">
            <w:pPr>
              <w:pStyle w:val="ExhibitText"/>
              <w:keepNext/>
              <w:keepLines/>
              <w:jc w:val="right"/>
              <w:rPr>
                <w:lang w:val="en-GB"/>
              </w:rPr>
            </w:pPr>
            <w:r w:rsidRPr="00C97A8E">
              <w:rPr>
                <w:lang w:val="en-GB"/>
              </w:rPr>
              <w:t>75,984</w:t>
            </w:r>
          </w:p>
        </w:tc>
        <w:tc>
          <w:tcPr>
            <w:tcW w:w="964" w:type="dxa"/>
            <w:vAlign w:val="center"/>
          </w:tcPr>
          <w:p w14:paraId="5D03C5FD" w14:textId="72B736DE" w:rsidR="00DF0557" w:rsidRPr="00C97A8E" w:rsidRDefault="00DF0557" w:rsidP="00DF0557">
            <w:pPr>
              <w:pStyle w:val="ExhibitText"/>
              <w:keepNext/>
              <w:keepLines/>
              <w:jc w:val="right"/>
              <w:rPr>
                <w:lang w:val="en-GB"/>
              </w:rPr>
            </w:pPr>
            <w:r w:rsidRPr="00C97A8E">
              <w:rPr>
                <w:lang w:val="en-GB"/>
              </w:rPr>
              <w:t>80,937</w:t>
            </w:r>
          </w:p>
        </w:tc>
        <w:tc>
          <w:tcPr>
            <w:tcW w:w="964" w:type="dxa"/>
            <w:vAlign w:val="center"/>
          </w:tcPr>
          <w:p w14:paraId="4501479A" w14:textId="4115A2F8" w:rsidR="00DF0557" w:rsidRPr="00C97A8E" w:rsidRDefault="00DF0557" w:rsidP="00DF0557">
            <w:pPr>
              <w:pStyle w:val="ExhibitText"/>
              <w:keepNext/>
              <w:keepLines/>
              <w:jc w:val="right"/>
              <w:rPr>
                <w:lang w:val="en-GB"/>
              </w:rPr>
            </w:pPr>
            <w:r w:rsidRPr="00C97A8E">
              <w:rPr>
                <w:lang w:val="en-GB"/>
              </w:rPr>
              <w:t>95,694</w:t>
            </w:r>
          </w:p>
        </w:tc>
      </w:tr>
      <w:tr w:rsidR="00DF0557" w:rsidRPr="00C97A8E" w14:paraId="0003F534" w14:textId="77777777" w:rsidTr="00DF0557">
        <w:trPr>
          <w:trHeight w:val="56"/>
          <w:jc w:val="center"/>
        </w:trPr>
        <w:tc>
          <w:tcPr>
            <w:tcW w:w="1862" w:type="dxa"/>
            <w:shd w:val="clear" w:color="auto" w:fill="auto"/>
            <w:noWrap/>
            <w:vAlign w:val="center"/>
            <w:hideMark/>
          </w:tcPr>
          <w:p w14:paraId="25374E18" w14:textId="526CF3A2" w:rsidR="00DF0557" w:rsidRPr="00C97A8E" w:rsidRDefault="00DF0557" w:rsidP="00DF0557">
            <w:pPr>
              <w:pStyle w:val="ExhibitText"/>
              <w:jc w:val="left"/>
              <w:rPr>
                <w:lang w:val="en-GB"/>
              </w:rPr>
            </w:pPr>
            <w:r w:rsidRPr="00C97A8E">
              <w:rPr>
                <w:lang w:val="en-GB"/>
              </w:rPr>
              <w:t>Total</w:t>
            </w:r>
            <w:r>
              <w:rPr>
                <w:lang w:val="en-GB"/>
              </w:rPr>
              <w:t xml:space="preserve"> Domestic and International Shipments</w:t>
            </w:r>
          </w:p>
        </w:tc>
        <w:tc>
          <w:tcPr>
            <w:tcW w:w="964" w:type="dxa"/>
            <w:vAlign w:val="center"/>
          </w:tcPr>
          <w:p w14:paraId="4CD55C6F" w14:textId="2BCEF869" w:rsidR="00DF0557" w:rsidRPr="00C97A8E" w:rsidRDefault="00DF0557" w:rsidP="00DF0557">
            <w:pPr>
              <w:pStyle w:val="ExhibitText"/>
              <w:keepNext/>
              <w:keepLines/>
              <w:jc w:val="right"/>
              <w:rPr>
                <w:lang w:val="en-GB"/>
              </w:rPr>
            </w:pPr>
            <w:r w:rsidRPr="00C97A8E">
              <w:rPr>
                <w:lang w:val="en-GB"/>
              </w:rPr>
              <w:t>36,735</w:t>
            </w:r>
          </w:p>
        </w:tc>
        <w:tc>
          <w:tcPr>
            <w:tcW w:w="964" w:type="dxa"/>
            <w:vAlign w:val="center"/>
          </w:tcPr>
          <w:p w14:paraId="506ED6FC" w14:textId="5B628256" w:rsidR="00DF0557" w:rsidRPr="00C97A8E" w:rsidRDefault="00DF0557" w:rsidP="00DF0557">
            <w:pPr>
              <w:pStyle w:val="ExhibitText"/>
              <w:keepNext/>
              <w:keepLines/>
              <w:jc w:val="right"/>
              <w:rPr>
                <w:lang w:val="en-GB"/>
              </w:rPr>
            </w:pPr>
            <w:r w:rsidRPr="00C97A8E">
              <w:rPr>
                <w:lang w:val="en-GB"/>
              </w:rPr>
              <w:t>68,626</w:t>
            </w:r>
          </w:p>
        </w:tc>
        <w:tc>
          <w:tcPr>
            <w:tcW w:w="964" w:type="dxa"/>
            <w:vAlign w:val="center"/>
          </w:tcPr>
          <w:p w14:paraId="11692046" w14:textId="6E166814" w:rsidR="00DF0557" w:rsidRPr="00C97A8E" w:rsidRDefault="00DF0557" w:rsidP="00DF0557">
            <w:pPr>
              <w:pStyle w:val="ExhibitText"/>
              <w:keepNext/>
              <w:keepLines/>
              <w:jc w:val="right"/>
              <w:rPr>
                <w:lang w:val="en-GB"/>
              </w:rPr>
            </w:pPr>
            <w:r w:rsidRPr="00C97A8E">
              <w:rPr>
                <w:lang w:val="en-GB"/>
              </w:rPr>
              <w:t>118,771</w:t>
            </w:r>
          </w:p>
        </w:tc>
        <w:tc>
          <w:tcPr>
            <w:tcW w:w="964" w:type="dxa"/>
            <w:vAlign w:val="center"/>
          </w:tcPr>
          <w:p w14:paraId="795345AA" w14:textId="2D5F84E3" w:rsidR="00DF0557" w:rsidRPr="00C97A8E" w:rsidRDefault="00DF0557" w:rsidP="00DF0557">
            <w:pPr>
              <w:pStyle w:val="ExhibitText"/>
              <w:keepNext/>
              <w:keepLines/>
              <w:jc w:val="right"/>
              <w:rPr>
                <w:lang w:val="en-GB"/>
              </w:rPr>
            </w:pPr>
            <w:r w:rsidRPr="00C97A8E">
              <w:rPr>
                <w:lang w:val="en-GB"/>
              </w:rPr>
              <w:t>234,461</w:t>
            </w:r>
          </w:p>
        </w:tc>
        <w:tc>
          <w:tcPr>
            <w:tcW w:w="964" w:type="dxa"/>
            <w:vAlign w:val="center"/>
          </w:tcPr>
          <w:p w14:paraId="55EB2576" w14:textId="7B16148C" w:rsidR="00DF0557" w:rsidRPr="00C97A8E" w:rsidRDefault="00DF0557" w:rsidP="00DF0557">
            <w:pPr>
              <w:pStyle w:val="ExhibitText"/>
              <w:keepNext/>
              <w:keepLines/>
              <w:jc w:val="right"/>
              <w:rPr>
                <w:lang w:val="en-GB"/>
              </w:rPr>
            </w:pPr>
            <w:r w:rsidRPr="00C97A8E">
              <w:rPr>
                <w:lang w:val="en-GB"/>
              </w:rPr>
              <w:t>349,196</w:t>
            </w:r>
          </w:p>
        </w:tc>
        <w:tc>
          <w:tcPr>
            <w:tcW w:w="964" w:type="dxa"/>
            <w:vAlign w:val="center"/>
          </w:tcPr>
          <w:p w14:paraId="52602AFF" w14:textId="79C0CFF7" w:rsidR="00DF0557" w:rsidRPr="00C97A8E" w:rsidRDefault="00DF0557" w:rsidP="00DF0557">
            <w:pPr>
              <w:pStyle w:val="ExhibitText"/>
              <w:keepNext/>
              <w:keepLines/>
              <w:jc w:val="right"/>
              <w:rPr>
                <w:lang w:val="en-GB"/>
              </w:rPr>
            </w:pPr>
            <w:r w:rsidRPr="00C97A8E">
              <w:rPr>
                <w:lang w:val="en-GB"/>
              </w:rPr>
              <w:t>233,117</w:t>
            </w:r>
          </w:p>
        </w:tc>
        <w:tc>
          <w:tcPr>
            <w:tcW w:w="964" w:type="dxa"/>
            <w:vAlign w:val="center"/>
          </w:tcPr>
          <w:p w14:paraId="66027AFB" w14:textId="7619D384" w:rsidR="00DF0557" w:rsidRPr="00C97A8E" w:rsidRDefault="00DF0557" w:rsidP="00DF0557">
            <w:pPr>
              <w:pStyle w:val="ExhibitText"/>
              <w:keepNext/>
              <w:keepLines/>
              <w:jc w:val="right"/>
              <w:rPr>
                <w:lang w:val="en-GB"/>
              </w:rPr>
            </w:pPr>
            <w:r w:rsidRPr="00C97A8E">
              <w:rPr>
                <w:lang w:val="en-GB"/>
              </w:rPr>
              <w:t>266,382</w:t>
            </w:r>
          </w:p>
        </w:tc>
      </w:tr>
    </w:tbl>
    <w:p w14:paraId="32E28F2D" w14:textId="77777777" w:rsidR="00001AE5" w:rsidRPr="00C97A8E" w:rsidRDefault="00001AE5" w:rsidP="00001AE5">
      <w:pPr>
        <w:pStyle w:val="ExhibitText"/>
        <w:rPr>
          <w:rFonts w:eastAsia="Calibri"/>
          <w:sz w:val="16"/>
          <w:szCs w:val="16"/>
          <w:lang w:val="en-GB"/>
        </w:rPr>
      </w:pPr>
    </w:p>
    <w:p w14:paraId="389B8F89" w14:textId="77777777" w:rsidR="00001AE5" w:rsidRPr="00C97A8E" w:rsidRDefault="00001AE5" w:rsidP="00001AE5">
      <w:pPr>
        <w:pStyle w:val="Footnote"/>
        <w:rPr>
          <w:rFonts w:eastAsia="Calibri"/>
          <w:lang w:val="en-GB"/>
        </w:rPr>
      </w:pPr>
      <w:r w:rsidRPr="00C97A8E">
        <w:rPr>
          <w:rFonts w:eastAsia="Calibri"/>
          <w:lang w:val="en-GB"/>
        </w:rPr>
        <w:t>Note: Selected data was from five-year periods; Buell motorcycles were excluded.</w:t>
      </w:r>
    </w:p>
    <w:p w14:paraId="648D9B65" w14:textId="7862D99D" w:rsidR="009B3B94" w:rsidRDefault="00001AE5" w:rsidP="008D050E">
      <w:pPr>
        <w:pStyle w:val="Footnote"/>
        <w:rPr>
          <w:rFonts w:eastAsia="Calibri"/>
          <w:lang w:val="en-GB"/>
        </w:rPr>
      </w:pPr>
      <w:r w:rsidRPr="00C97A8E">
        <w:rPr>
          <w:rFonts w:eastAsia="Calibri"/>
          <w:lang w:val="en-GB"/>
        </w:rPr>
        <w:t>Source: Created by case authors, based on data from “Financials,” Harley-Davidson Motorcycles, accessed November 20, 2017, http://investor.harley-davidson.com/financials.</w:t>
      </w:r>
      <w:r w:rsidR="009B3B94">
        <w:rPr>
          <w:rFonts w:eastAsia="Calibri"/>
          <w:lang w:val="en-GB"/>
        </w:rPr>
        <w:br w:type="page"/>
      </w:r>
    </w:p>
    <w:p w14:paraId="42650EA5" w14:textId="77777777" w:rsidR="00001AE5" w:rsidRPr="00C97A8E" w:rsidRDefault="00001AE5" w:rsidP="00001AE5">
      <w:pPr>
        <w:pStyle w:val="ExhibitHeading"/>
        <w:rPr>
          <w:rFonts w:eastAsia="Calibri"/>
          <w:lang w:val="en-GB"/>
        </w:rPr>
      </w:pPr>
      <w:r w:rsidRPr="00C97A8E">
        <w:rPr>
          <w:rFonts w:eastAsia="Calibri"/>
          <w:lang w:val="en-GB"/>
        </w:rPr>
        <w:lastRenderedPageBreak/>
        <w:t>Exhibit 4: Distribution of Harley-Davidson Products</w:t>
      </w:r>
    </w:p>
    <w:p w14:paraId="39EF98B3" w14:textId="77777777" w:rsidR="00001AE5" w:rsidRPr="00C97A8E" w:rsidRDefault="00001AE5" w:rsidP="00001AE5">
      <w:pPr>
        <w:pStyle w:val="ExhibitText"/>
        <w:rPr>
          <w:rFonts w:eastAsia="Calibri"/>
          <w:lang w:val="en-GB"/>
        </w:rPr>
      </w:pPr>
    </w:p>
    <w:tbl>
      <w:tblPr>
        <w:tblStyle w:val="TableGrid"/>
        <w:tblW w:w="0" w:type="auto"/>
        <w:jc w:val="center"/>
        <w:tblLayout w:type="fixed"/>
        <w:tblLook w:val="04A0" w:firstRow="1" w:lastRow="0" w:firstColumn="1" w:lastColumn="0" w:noHBand="0" w:noVBand="1"/>
      </w:tblPr>
      <w:tblGrid>
        <w:gridCol w:w="2268"/>
        <w:gridCol w:w="990"/>
        <w:gridCol w:w="990"/>
        <w:gridCol w:w="1260"/>
        <w:gridCol w:w="900"/>
        <w:gridCol w:w="1080"/>
        <w:gridCol w:w="900"/>
      </w:tblGrid>
      <w:tr w:rsidR="00001AE5" w:rsidRPr="00C97A8E" w14:paraId="20D0A14E" w14:textId="77777777" w:rsidTr="008D050E">
        <w:trPr>
          <w:jc w:val="center"/>
        </w:trPr>
        <w:tc>
          <w:tcPr>
            <w:tcW w:w="2268" w:type="dxa"/>
          </w:tcPr>
          <w:p w14:paraId="37C1CCD1" w14:textId="77777777" w:rsidR="00001AE5" w:rsidRPr="00C97A8E" w:rsidRDefault="00001AE5" w:rsidP="004308C7">
            <w:pPr>
              <w:pStyle w:val="ExhibitText"/>
              <w:rPr>
                <w:rFonts w:eastAsia="Calibri"/>
                <w:lang w:val="en-GB"/>
              </w:rPr>
            </w:pPr>
          </w:p>
        </w:tc>
        <w:tc>
          <w:tcPr>
            <w:tcW w:w="990" w:type="dxa"/>
            <w:vAlign w:val="center"/>
          </w:tcPr>
          <w:p w14:paraId="20DB33D6" w14:textId="77777777" w:rsidR="00001AE5" w:rsidRPr="00C97A8E" w:rsidRDefault="00001AE5" w:rsidP="004308C7">
            <w:pPr>
              <w:pStyle w:val="ExhibitText"/>
              <w:jc w:val="center"/>
              <w:rPr>
                <w:rFonts w:eastAsia="Calibri"/>
                <w:b/>
                <w:lang w:val="en-GB"/>
              </w:rPr>
            </w:pPr>
            <w:r w:rsidRPr="00C97A8E">
              <w:rPr>
                <w:rFonts w:eastAsia="Calibri"/>
                <w:b/>
                <w:lang w:val="en-GB"/>
              </w:rPr>
              <w:t>United States</w:t>
            </w:r>
          </w:p>
        </w:tc>
        <w:tc>
          <w:tcPr>
            <w:tcW w:w="990" w:type="dxa"/>
            <w:vAlign w:val="center"/>
          </w:tcPr>
          <w:p w14:paraId="14605E47" w14:textId="77777777" w:rsidR="00001AE5" w:rsidRPr="00C97A8E" w:rsidRDefault="00001AE5" w:rsidP="004308C7">
            <w:pPr>
              <w:pStyle w:val="ExhibitText"/>
              <w:jc w:val="center"/>
              <w:rPr>
                <w:rFonts w:eastAsia="Calibri"/>
                <w:b/>
                <w:lang w:val="en-GB"/>
              </w:rPr>
            </w:pPr>
            <w:r w:rsidRPr="00C97A8E">
              <w:rPr>
                <w:rFonts w:eastAsia="Calibri"/>
                <w:b/>
                <w:lang w:val="en-GB"/>
              </w:rPr>
              <w:t>Canada</w:t>
            </w:r>
          </w:p>
        </w:tc>
        <w:tc>
          <w:tcPr>
            <w:tcW w:w="1260" w:type="dxa"/>
            <w:vAlign w:val="center"/>
          </w:tcPr>
          <w:p w14:paraId="500D92D9" w14:textId="77777777" w:rsidR="00001AE5" w:rsidRPr="00C97A8E" w:rsidRDefault="00001AE5" w:rsidP="004308C7">
            <w:pPr>
              <w:pStyle w:val="ExhibitText"/>
              <w:jc w:val="center"/>
              <w:rPr>
                <w:rFonts w:eastAsia="Calibri"/>
                <w:b/>
                <w:lang w:val="en-GB"/>
              </w:rPr>
            </w:pPr>
            <w:r w:rsidRPr="00C97A8E">
              <w:rPr>
                <w:rFonts w:eastAsia="Calibri"/>
                <w:b/>
                <w:lang w:val="en-GB"/>
              </w:rPr>
              <w:t>Latin America</w:t>
            </w:r>
          </w:p>
        </w:tc>
        <w:tc>
          <w:tcPr>
            <w:tcW w:w="900" w:type="dxa"/>
            <w:vAlign w:val="center"/>
          </w:tcPr>
          <w:p w14:paraId="33C76C7E" w14:textId="77777777" w:rsidR="00001AE5" w:rsidRPr="00C97A8E" w:rsidRDefault="00001AE5" w:rsidP="004308C7">
            <w:pPr>
              <w:pStyle w:val="ExhibitText"/>
              <w:jc w:val="center"/>
              <w:rPr>
                <w:rFonts w:eastAsia="Calibri"/>
                <w:b/>
                <w:lang w:val="en-GB"/>
              </w:rPr>
            </w:pPr>
            <w:r w:rsidRPr="00C97A8E">
              <w:rPr>
                <w:rFonts w:eastAsia="Calibri"/>
                <w:b/>
                <w:lang w:val="en-GB"/>
              </w:rPr>
              <w:t>EMEA</w:t>
            </w:r>
          </w:p>
        </w:tc>
        <w:tc>
          <w:tcPr>
            <w:tcW w:w="1080" w:type="dxa"/>
            <w:vAlign w:val="center"/>
          </w:tcPr>
          <w:p w14:paraId="0499F991" w14:textId="77777777" w:rsidR="00001AE5" w:rsidRPr="00C97A8E" w:rsidRDefault="00001AE5" w:rsidP="004308C7">
            <w:pPr>
              <w:pStyle w:val="ExhibitText"/>
              <w:jc w:val="center"/>
              <w:rPr>
                <w:rFonts w:eastAsia="Calibri"/>
                <w:b/>
                <w:lang w:val="en-GB"/>
              </w:rPr>
            </w:pPr>
            <w:r w:rsidRPr="00C97A8E">
              <w:rPr>
                <w:rFonts w:eastAsia="Calibri"/>
                <w:b/>
                <w:lang w:val="en-GB"/>
              </w:rPr>
              <w:t>Asia Pacific</w:t>
            </w:r>
          </w:p>
        </w:tc>
        <w:tc>
          <w:tcPr>
            <w:tcW w:w="900" w:type="dxa"/>
            <w:vAlign w:val="center"/>
          </w:tcPr>
          <w:p w14:paraId="2207D059" w14:textId="77777777" w:rsidR="00001AE5" w:rsidRPr="00C97A8E" w:rsidRDefault="00001AE5" w:rsidP="004308C7">
            <w:pPr>
              <w:pStyle w:val="ExhibitText"/>
              <w:jc w:val="center"/>
              <w:rPr>
                <w:rFonts w:eastAsia="Calibri"/>
                <w:b/>
                <w:lang w:val="en-GB"/>
              </w:rPr>
            </w:pPr>
            <w:r w:rsidRPr="00C97A8E">
              <w:rPr>
                <w:rFonts w:eastAsia="Calibri"/>
                <w:b/>
                <w:lang w:val="en-GB"/>
              </w:rPr>
              <w:t>Total</w:t>
            </w:r>
          </w:p>
        </w:tc>
      </w:tr>
      <w:tr w:rsidR="00001AE5" w:rsidRPr="00C97A8E" w14:paraId="704A05AA" w14:textId="77777777" w:rsidTr="008D050E">
        <w:trPr>
          <w:jc w:val="center"/>
        </w:trPr>
        <w:tc>
          <w:tcPr>
            <w:tcW w:w="2268" w:type="dxa"/>
            <w:vAlign w:val="center"/>
          </w:tcPr>
          <w:p w14:paraId="7EC8DEEF" w14:textId="77777777" w:rsidR="00001AE5" w:rsidRPr="00C97A8E" w:rsidRDefault="00001AE5" w:rsidP="004308C7">
            <w:pPr>
              <w:pStyle w:val="ExhibitText"/>
              <w:jc w:val="left"/>
              <w:rPr>
                <w:rFonts w:eastAsia="Calibri"/>
                <w:lang w:val="en-GB"/>
              </w:rPr>
            </w:pPr>
            <w:r w:rsidRPr="00C97A8E">
              <w:rPr>
                <w:rFonts w:eastAsia="Calibri"/>
                <w:lang w:val="en-GB"/>
              </w:rPr>
              <w:t>Dealerships</w:t>
            </w:r>
          </w:p>
        </w:tc>
        <w:tc>
          <w:tcPr>
            <w:tcW w:w="990" w:type="dxa"/>
            <w:vAlign w:val="center"/>
          </w:tcPr>
          <w:p w14:paraId="7B1D8077" w14:textId="77777777" w:rsidR="00001AE5" w:rsidRPr="00C97A8E" w:rsidRDefault="00001AE5" w:rsidP="004308C7">
            <w:pPr>
              <w:pStyle w:val="ExhibitText"/>
              <w:jc w:val="right"/>
              <w:rPr>
                <w:rFonts w:eastAsia="Calibri"/>
                <w:lang w:val="en-GB"/>
              </w:rPr>
            </w:pPr>
            <w:r w:rsidRPr="00C97A8E">
              <w:rPr>
                <w:rFonts w:eastAsia="Calibri"/>
                <w:lang w:val="en-GB"/>
              </w:rPr>
              <w:t>701</w:t>
            </w:r>
          </w:p>
        </w:tc>
        <w:tc>
          <w:tcPr>
            <w:tcW w:w="990" w:type="dxa"/>
            <w:vAlign w:val="center"/>
          </w:tcPr>
          <w:p w14:paraId="35D648FF" w14:textId="77777777" w:rsidR="00001AE5" w:rsidRPr="00C97A8E" w:rsidRDefault="00001AE5" w:rsidP="004308C7">
            <w:pPr>
              <w:pStyle w:val="ExhibitText"/>
              <w:jc w:val="right"/>
              <w:rPr>
                <w:rFonts w:eastAsia="Calibri"/>
                <w:lang w:val="en-GB"/>
              </w:rPr>
            </w:pPr>
            <w:r w:rsidRPr="00C97A8E">
              <w:rPr>
                <w:rFonts w:eastAsia="Calibri"/>
                <w:lang w:val="en-GB"/>
              </w:rPr>
              <w:t>67</w:t>
            </w:r>
          </w:p>
        </w:tc>
        <w:tc>
          <w:tcPr>
            <w:tcW w:w="1260" w:type="dxa"/>
            <w:vAlign w:val="center"/>
          </w:tcPr>
          <w:p w14:paraId="78BB2A89" w14:textId="77777777" w:rsidR="00001AE5" w:rsidRPr="00C97A8E" w:rsidRDefault="00001AE5" w:rsidP="004308C7">
            <w:pPr>
              <w:pStyle w:val="ExhibitText"/>
              <w:jc w:val="right"/>
              <w:rPr>
                <w:rFonts w:eastAsia="Calibri"/>
                <w:lang w:val="en-GB"/>
              </w:rPr>
            </w:pPr>
            <w:r w:rsidRPr="00C97A8E">
              <w:rPr>
                <w:rFonts w:eastAsia="Calibri"/>
                <w:lang w:val="en-GB"/>
              </w:rPr>
              <w:t>58</w:t>
            </w:r>
          </w:p>
        </w:tc>
        <w:tc>
          <w:tcPr>
            <w:tcW w:w="900" w:type="dxa"/>
            <w:vAlign w:val="center"/>
          </w:tcPr>
          <w:p w14:paraId="3F5BCA0C" w14:textId="77777777" w:rsidR="00001AE5" w:rsidRPr="00C97A8E" w:rsidRDefault="00001AE5" w:rsidP="004308C7">
            <w:pPr>
              <w:pStyle w:val="ExhibitText"/>
              <w:jc w:val="right"/>
              <w:rPr>
                <w:rFonts w:eastAsia="Calibri"/>
                <w:lang w:val="en-GB"/>
              </w:rPr>
            </w:pPr>
            <w:r w:rsidRPr="00C97A8E">
              <w:rPr>
                <w:rFonts w:eastAsia="Calibri"/>
                <w:lang w:val="en-GB"/>
              </w:rPr>
              <w:t>386</w:t>
            </w:r>
          </w:p>
        </w:tc>
        <w:tc>
          <w:tcPr>
            <w:tcW w:w="1080" w:type="dxa"/>
            <w:vAlign w:val="center"/>
          </w:tcPr>
          <w:p w14:paraId="3F630700" w14:textId="77777777" w:rsidR="00001AE5" w:rsidRPr="00C97A8E" w:rsidRDefault="00001AE5" w:rsidP="004308C7">
            <w:pPr>
              <w:pStyle w:val="ExhibitText"/>
              <w:jc w:val="right"/>
              <w:rPr>
                <w:rFonts w:eastAsia="Calibri"/>
                <w:lang w:val="en-GB"/>
              </w:rPr>
            </w:pPr>
            <w:r w:rsidRPr="00C97A8E">
              <w:rPr>
                <w:rFonts w:eastAsia="Calibri"/>
                <w:lang w:val="en-GB"/>
              </w:rPr>
              <w:t>249</w:t>
            </w:r>
          </w:p>
        </w:tc>
        <w:tc>
          <w:tcPr>
            <w:tcW w:w="900" w:type="dxa"/>
            <w:vAlign w:val="center"/>
          </w:tcPr>
          <w:p w14:paraId="55106044" w14:textId="77777777" w:rsidR="00001AE5" w:rsidRPr="00C97A8E" w:rsidRDefault="00001AE5" w:rsidP="004308C7">
            <w:pPr>
              <w:pStyle w:val="ExhibitText"/>
              <w:jc w:val="right"/>
              <w:rPr>
                <w:rFonts w:eastAsia="Calibri"/>
                <w:lang w:val="en-GB"/>
              </w:rPr>
            </w:pPr>
            <w:r w:rsidRPr="00C97A8E">
              <w:rPr>
                <w:rFonts w:eastAsia="Calibri"/>
                <w:lang w:val="en-GB"/>
              </w:rPr>
              <w:t>1,461</w:t>
            </w:r>
          </w:p>
        </w:tc>
      </w:tr>
      <w:tr w:rsidR="00001AE5" w:rsidRPr="00C97A8E" w14:paraId="7DC3CCBC" w14:textId="77777777" w:rsidTr="008D050E">
        <w:trPr>
          <w:jc w:val="center"/>
        </w:trPr>
        <w:tc>
          <w:tcPr>
            <w:tcW w:w="2268" w:type="dxa"/>
            <w:vAlign w:val="center"/>
          </w:tcPr>
          <w:p w14:paraId="62C8395A" w14:textId="77777777" w:rsidR="00001AE5" w:rsidRPr="00C97A8E" w:rsidRDefault="00001AE5" w:rsidP="004308C7">
            <w:pPr>
              <w:pStyle w:val="ExhibitText"/>
              <w:jc w:val="left"/>
              <w:rPr>
                <w:rFonts w:eastAsia="Calibri"/>
                <w:lang w:val="en-GB"/>
              </w:rPr>
            </w:pPr>
            <w:r w:rsidRPr="00C97A8E">
              <w:rPr>
                <w:rFonts w:eastAsia="Calibri"/>
                <w:lang w:val="en-GB"/>
              </w:rPr>
              <w:t>Change in Retail Sales (2016 versus 2015)</w:t>
            </w:r>
          </w:p>
        </w:tc>
        <w:tc>
          <w:tcPr>
            <w:tcW w:w="990" w:type="dxa"/>
            <w:vAlign w:val="center"/>
          </w:tcPr>
          <w:p w14:paraId="4555D1B7" w14:textId="77777777" w:rsidR="00001AE5" w:rsidRPr="00C97A8E" w:rsidRDefault="00001AE5" w:rsidP="004308C7">
            <w:pPr>
              <w:pStyle w:val="ExhibitText"/>
              <w:jc w:val="right"/>
              <w:rPr>
                <w:rFonts w:eastAsia="Calibri"/>
                <w:lang w:val="en-GB"/>
              </w:rPr>
            </w:pPr>
            <w:r w:rsidRPr="00C97A8E">
              <w:rPr>
                <w:rFonts w:eastAsia="Calibri"/>
                <w:lang w:val="en-GB"/>
              </w:rPr>
              <w:t>−3.9%</w:t>
            </w:r>
          </w:p>
        </w:tc>
        <w:tc>
          <w:tcPr>
            <w:tcW w:w="990" w:type="dxa"/>
            <w:vAlign w:val="center"/>
          </w:tcPr>
          <w:p w14:paraId="301CC7D2" w14:textId="77777777" w:rsidR="00001AE5" w:rsidRPr="00C97A8E" w:rsidRDefault="00001AE5" w:rsidP="004308C7">
            <w:pPr>
              <w:pStyle w:val="ExhibitText"/>
              <w:jc w:val="right"/>
              <w:rPr>
                <w:rFonts w:eastAsia="Calibri"/>
                <w:lang w:val="en-GB"/>
              </w:rPr>
            </w:pPr>
            <w:r w:rsidRPr="00C97A8E">
              <w:rPr>
                <w:rFonts w:eastAsia="Calibri"/>
                <w:lang w:val="en-GB"/>
              </w:rPr>
              <w:t>+5.5%</w:t>
            </w:r>
          </w:p>
        </w:tc>
        <w:tc>
          <w:tcPr>
            <w:tcW w:w="1260" w:type="dxa"/>
            <w:vAlign w:val="center"/>
          </w:tcPr>
          <w:p w14:paraId="0C0BD5FA" w14:textId="77777777" w:rsidR="00001AE5" w:rsidRPr="00C97A8E" w:rsidRDefault="00001AE5" w:rsidP="004308C7">
            <w:pPr>
              <w:pStyle w:val="ExhibitText"/>
              <w:jc w:val="right"/>
              <w:rPr>
                <w:rFonts w:eastAsia="Calibri"/>
                <w:lang w:val="en-GB"/>
              </w:rPr>
            </w:pPr>
            <w:r w:rsidRPr="00C97A8E">
              <w:rPr>
                <w:rFonts w:eastAsia="Calibri"/>
                <w:lang w:val="en-GB"/>
              </w:rPr>
              <w:t>−13.2%</w:t>
            </w:r>
          </w:p>
        </w:tc>
        <w:tc>
          <w:tcPr>
            <w:tcW w:w="900" w:type="dxa"/>
            <w:vAlign w:val="center"/>
          </w:tcPr>
          <w:p w14:paraId="098086A6" w14:textId="77777777" w:rsidR="00001AE5" w:rsidRPr="00C97A8E" w:rsidRDefault="00001AE5" w:rsidP="004308C7">
            <w:pPr>
              <w:pStyle w:val="ExhibitText"/>
              <w:jc w:val="right"/>
              <w:rPr>
                <w:rFonts w:eastAsia="Calibri"/>
                <w:lang w:val="en-GB"/>
              </w:rPr>
            </w:pPr>
            <w:r w:rsidRPr="00C97A8E">
              <w:rPr>
                <w:rFonts w:eastAsia="Calibri"/>
                <w:lang w:val="en-GB"/>
              </w:rPr>
              <w:t>+5.9%</w:t>
            </w:r>
          </w:p>
        </w:tc>
        <w:tc>
          <w:tcPr>
            <w:tcW w:w="1080" w:type="dxa"/>
            <w:vAlign w:val="center"/>
          </w:tcPr>
          <w:p w14:paraId="5FDED74A" w14:textId="77777777" w:rsidR="00001AE5" w:rsidRPr="00C97A8E" w:rsidRDefault="00001AE5" w:rsidP="004308C7">
            <w:pPr>
              <w:pStyle w:val="ExhibitText"/>
              <w:jc w:val="right"/>
              <w:rPr>
                <w:rFonts w:eastAsia="Calibri"/>
                <w:lang w:val="en-GB"/>
              </w:rPr>
            </w:pPr>
            <w:r w:rsidRPr="00C97A8E">
              <w:rPr>
                <w:rFonts w:eastAsia="Calibri"/>
                <w:lang w:val="en-GB"/>
              </w:rPr>
              <w:t>+2%</w:t>
            </w:r>
          </w:p>
        </w:tc>
        <w:tc>
          <w:tcPr>
            <w:tcW w:w="900" w:type="dxa"/>
            <w:vAlign w:val="center"/>
          </w:tcPr>
          <w:p w14:paraId="38039DA6" w14:textId="32AC02A0" w:rsidR="00001AE5" w:rsidRPr="00C97A8E" w:rsidRDefault="00C273AA" w:rsidP="004308C7">
            <w:pPr>
              <w:pStyle w:val="ExhibitText"/>
              <w:jc w:val="right"/>
              <w:rPr>
                <w:rFonts w:eastAsia="Calibri"/>
                <w:lang w:val="en-GB"/>
              </w:rPr>
            </w:pPr>
            <w:r>
              <w:rPr>
                <w:rFonts w:eastAsia="Calibri"/>
                <w:lang w:val="en-GB"/>
              </w:rPr>
              <w:t>–1.6%</w:t>
            </w:r>
          </w:p>
        </w:tc>
      </w:tr>
    </w:tbl>
    <w:p w14:paraId="5B923A90" w14:textId="77777777" w:rsidR="00001AE5" w:rsidRPr="00C97A8E" w:rsidRDefault="00001AE5" w:rsidP="00001AE5">
      <w:pPr>
        <w:pStyle w:val="ExhibitText"/>
        <w:rPr>
          <w:rFonts w:eastAsia="Calibri"/>
          <w:lang w:val="en-GB"/>
        </w:rPr>
      </w:pPr>
    </w:p>
    <w:p w14:paraId="13DD804E" w14:textId="77777777" w:rsidR="00001AE5" w:rsidRPr="00C97A8E" w:rsidRDefault="00001AE5" w:rsidP="00001AE5">
      <w:pPr>
        <w:pStyle w:val="Footnote"/>
        <w:rPr>
          <w:rFonts w:eastAsia="Calibri"/>
          <w:lang w:val="en-GB"/>
        </w:rPr>
      </w:pPr>
      <w:r w:rsidRPr="00C97A8E">
        <w:rPr>
          <w:rFonts w:eastAsia="Calibri"/>
          <w:lang w:val="en-GB"/>
        </w:rPr>
        <w:t>Note: EMEA = Europe/Middle East/Africa.</w:t>
      </w:r>
    </w:p>
    <w:p w14:paraId="338FE995" w14:textId="69C678FA" w:rsidR="00001AE5" w:rsidRPr="00C97A8E" w:rsidRDefault="00001AE5" w:rsidP="00303FD1">
      <w:pPr>
        <w:pStyle w:val="Footnote"/>
        <w:rPr>
          <w:rFonts w:eastAsia="Calibri"/>
          <w:lang w:val="en-GB"/>
        </w:rPr>
      </w:pPr>
      <w:r w:rsidRPr="00C97A8E">
        <w:rPr>
          <w:rFonts w:eastAsia="Calibri"/>
          <w:lang w:val="en-GB"/>
        </w:rPr>
        <w:t xml:space="preserve">Source: Created by case authors, based on data from “Financials,” Harley-Davidson Motorcycles, accessed November 20, 2017, </w:t>
      </w:r>
      <w:r w:rsidR="00242E14" w:rsidRPr="00A7775E">
        <w:rPr>
          <w:rFonts w:eastAsia="Calibri"/>
        </w:rPr>
        <w:t>http://investor.harley-davidson.com/financials</w:t>
      </w:r>
      <w:r w:rsidR="00242E14">
        <w:rPr>
          <w:rFonts w:eastAsia="Calibri"/>
          <w:lang w:val="en-GB"/>
        </w:rPr>
        <w:t xml:space="preserve">; </w:t>
      </w:r>
      <w:r w:rsidR="00242E14" w:rsidRPr="00D37C3B">
        <w:rPr>
          <w:rStyle w:val="FootnoteChar"/>
        </w:rPr>
        <w:t>PRNewswire.com, “Harley-Davidson Reports</w:t>
      </w:r>
      <w:r w:rsidR="00303FD1">
        <w:rPr>
          <w:rStyle w:val="FootnoteChar"/>
        </w:rPr>
        <w:t xml:space="preserve"> Fourth Quarter, Full-Year 2016 Results” Harley-Davidson Motorcycles, January 31, 2017, April 17, 2018, </w:t>
      </w:r>
      <w:r w:rsidR="00242E14" w:rsidRPr="00D37C3B">
        <w:rPr>
          <w:rStyle w:val="FootnoteChar"/>
        </w:rPr>
        <w:t>https://www.prnewswire.com/news-releases/harley-davidson-reports-fourth-quarter-full-year-2016-results-300399165.html.</w:t>
      </w:r>
      <w:r w:rsidRPr="00C97A8E">
        <w:rPr>
          <w:rFonts w:eastAsia="Calibri"/>
          <w:lang w:val="en-GB"/>
        </w:rPr>
        <w:t>.</w:t>
      </w:r>
    </w:p>
    <w:p w14:paraId="3300CA47" w14:textId="77777777" w:rsidR="00001AE5" w:rsidRDefault="00001AE5">
      <w:pPr>
        <w:spacing w:after="200" w:line="276" w:lineRule="auto"/>
        <w:rPr>
          <w:sz w:val="22"/>
          <w:szCs w:val="22"/>
        </w:rPr>
      </w:pPr>
      <w:r>
        <w:br w:type="page"/>
      </w:r>
    </w:p>
    <w:p w14:paraId="405CD4C5" w14:textId="77777777" w:rsidR="00465348" w:rsidRPr="009C2666" w:rsidRDefault="00001AE5" w:rsidP="00001AE5">
      <w:pPr>
        <w:pStyle w:val="ExhibitHeading"/>
        <w:jc w:val="left"/>
      </w:pPr>
      <w:r>
        <w:lastRenderedPageBreak/>
        <w:t>ENDNOTES</w:t>
      </w:r>
    </w:p>
    <w:sectPr w:rsidR="00465348" w:rsidRPr="009C2666" w:rsidSect="00001AE5">
      <w:headerReference w:type="default" r:id="rId1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F3381" w14:textId="77777777" w:rsidR="00785692" w:rsidRDefault="00785692" w:rsidP="00D75295">
      <w:r>
        <w:separator/>
      </w:r>
    </w:p>
  </w:endnote>
  <w:endnote w:type="continuationSeparator" w:id="0">
    <w:p w14:paraId="2B852061" w14:textId="77777777" w:rsidR="00785692" w:rsidRDefault="00785692" w:rsidP="00D75295">
      <w:r>
        <w:continuationSeparator/>
      </w:r>
    </w:p>
  </w:endnote>
  <w:endnote w:id="1">
    <w:p w14:paraId="77F2F2C8" w14:textId="77777777" w:rsidR="00242E14" w:rsidRPr="00001AE5" w:rsidRDefault="00242E14" w:rsidP="00A7775E">
      <w:pPr>
        <w:pStyle w:val="EndnoteText"/>
        <w:jc w:val="both"/>
        <w:rPr>
          <w:lang w:val="en-US"/>
        </w:rPr>
      </w:pPr>
      <w:r w:rsidRPr="004308C7">
        <w:rPr>
          <w:rStyle w:val="FootnoteChar"/>
          <w:rFonts w:eastAsia="Calibri"/>
          <w:vertAlign w:val="superscript"/>
        </w:rPr>
        <w:endnoteRef/>
      </w:r>
      <w:r w:rsidRPr="004308C7">
        <w:rPr>
          <w:rStyle w:val="FootnoteChar"/>
          <w:rFonts w:eastAsia="Calibri"/>
        </w:rP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 xml:space="preserve">re not necessarily those of Harley </w:t>
      </w:r>
      <w:r>
        <w:rPr>
          <w:rStyle w:val="FootnoteChar"/>
          <w:rFonts w:eastAsia="Calibri"/>
          <w:lang w:val="en-US"/>
        </w:rPr>
        <w:t>Davidson</w:t>
      </w:r>
      <w:r w:rsidRPr="00E66022">
        <w:rPr>
          <w:rStyle w:val="FootnoteChar"/>
          <w:rFonts w:eastAsia="Calibri"/>
        </w:rPr>
        <w:t xml:space="preserve"> or any of its employees.</w:t>
      </w:r>
    </w:p>
  </w:endnote>
  <w:endnote w:id="2">
    <w:p w14:paraId="3E58E3D5" w14:textId="77777777" w:rsidR="00242E14" w:rsidRPr="00A74EEE" w:rsidRDefault="00242E14" w:rsidP="00001AE5">
      <w:pPr>
        <w:pStyle w:val="Footnote"/>
      </w:pPr>
      <w:r w:rsidRPr="004308C7">
        <w:rPr>
          <w:rStyle w:val="FootnoteChar"/>
          <w:rFonts w:eastAsia="Calibri"/>
          <w:vertAlign w:val="superscript"/>
          <w:lang w:val="x-none" w:eastAsia="x-none"/>
        </w:rPr>
        <w:endnoteRef/>
      </w:r>
      <w:r w:rsidRPr="00D418D0">
        <w:t xml:space="preserve"> </w:t>
      </w:r>
      <w:r w:rsidRPr="00450EAE">
        <w:rPr>
          <w:rFonts w:eastAsia="Calibri"/>
        </w:rPr>
        <w:t xml:space="preserve">Brian </w:t>
      </w:r>
      <w:proofErr w:type="spellStart"/>
      <w:r w:rsidRPr="00450EAE">
        <w:rPr>
          <w:rFonts w:eastAsia="Calibri"/>
        </w:rPr>
        <w:t>Sozzi</w:t>
      </w:r>
      <w:proofErr w:type="spellEnd"/>
      <w:r w:rsidRPr="00450EAE">
        <w:rPr>
          <w:rFonts w:eastAsia="Calibri"/>
        </w:rPr>
        <w:t>, “</w:t>
      </w:r>
      <w:r w:rsidRPr="00D418D0">
        <w:t>Harley-Davidson CEO: This Is How the Trump Administration Impressed Me,” The</w:t>
      </w:r>
      <w:r>
        <w:t xml:space="preserve"> </w:t>
      </w:r>
      <w:r w:rsidRPr="00D418D0">
        <w:t xml:space="preserve">Street, February 11, 2017, accessed </w:t>
      </w:r>
      <w:r>
        <w:t xml:space="preserve">August </w:t>
      </w:r>
      <w:r w:rsidRPr="00D418D0">
        <w:t>26</w:t>
      </w:r>
      <w:r>
        <w:t xml:space="preserve">, </w:t>
      </w:r>
      <w:r w:rsidRPr="00D418D0">
        <w:t xml:space="preserve">2017, </w:t>
      </w:r>
      <w:r w:rsidRPr="00A74EEE">
        <w:t>https://www.thestreet.com/story/13994793/1/harley-davidson-ceo-how-the-trump-administration-impressed-me.html</w:t>
      </w:r>
      <w:r>
        <w:t>.</w:t>
      </w:r>
    </w:p>
  </w:endnote>
  <w:endnote w:id="3">
    <w:p w14:paraId="732941E9" w14:textId="2C7BC172" w:rsidR="00242E14" w:rsidRPr="00A53D36" w:rsidRDefault="00242E14" w:rsidP="00001AE5">
      <w:pPr>
        <w:pStyle w:val="Footnote"/>
        <w:rPr>
          <w:lang w:val="en-CA"/>
        </w:rPr>
      </w:pPr>
      <w:r>
        <w:rPr>
          <w:rStyle w:val="EndnoteReference"/>
        </w:rPr>
        <w:endnoteRef/>
      </w:r>
      <w:r>
        <w:t xml:space="preserve"> </w:t>
      </w:r>
      <w:r w:rsidRPr="00D418D0">
        <w:t>U</w:t>
      </w:r>
      <w:r>
        <w:t xml:space="preserve">nited States </w:t>
      </w:r>
      <w:r w:rsidRPr="00D418D0">
        <w:t>Gover</w:t>
      </w:r>
      <w:r>
        <w:t>nment, “America First</w:t>
      </w:r>
      <w:r w:rsidR="00D9338F">
        <w:t>—</w:t>
      </w:r>
      <w:r>
        <w:t>A Budget Blueprint to Make America Great Again</w:t>
      </w:r>
      <w:r w:rsidRPr="00D418D0">
        <w:t xml:space="preserve">,” </w:t>
      </w:r>
      <w:r>
        <w:t xml:space="preserve">The </w:t>
      </w:r>
      <w:r w:rsidRPr="00D418D0">
        <w:t>White</w:t>
      </w:r>
      <w:r>
        <w:t xml:space="preserve"> House, November</w:t>
      </w:r>
      <w:r w:rsidRPr="00D418D0">
        <w:t xml:space="preserve"> 2017, </w:t>
      </w:r>
      <w:r>
        <w:t xml:space="preserve">3, </w:t>
      </w:r>
      <w:r w:rsidRPr="00D418D0">
        <w:t xml:space="preserve">accessed </w:t>
      </w:r>
      <w:r>
        <w:t xml:space="preserve">April 17, </w:t>
      </w:r>
      <w:r w:rsidRPr="00D418D0">
        <w:t>201</w:t>
      </w:r>
      <w:r>
        <w:t>8</w:t>
      </w:r>
      <w:r w:rsidRPr="00D418D0">
        <w:t xml:space="preserve">, </w:t>
      </w:r>
      <w:r w:rsidRPr="00886E9E">
        <w:t>https://www.whitehouse.gov/wp-content/uploads/2017/11/2018_blueprint.pdf</w:t>
      </w:r>
      <w:r>
        <w:t>.</w:t>
      </w:r>
    </w:p>
  </w:endnote>
  <w:endnote w:id="4">
    <w:p w14:paraId="10D27831" w14:textId="04E9BFCF" w:rsidR="00242E14" w:rsidRPr="00A74EEE" w:rsidRDefault="00242E14" w:rsidP="00001AE5">
      <w:pPr>
        <w:pStyle w:val="Footnote"/>
      </w:pPr>
      <w:r w:rsidRPr="00A7775E">
        <w:rPr>
          <w:rStyle w:val="EndnoteReference"/>
        </w:rPr>
        <w:endnoteRef/>
      </w:r>
      <w:r w:rsidRPr="00D418D0">
        <w:t xml:space="preserve"> Neil Gough, “Even </w:t>
      </w:r>
      <w:r w:rsidRPr="00D418D0">
        <w:rPr>
          <w:bCs/>
        </w:rPr>
        <w:t xml:space="preserve">Harley-Davidson Can’t Resist the Tug of Overseas Factories,” </w:t>
      </w:r>
      <w:r w:rsidRPr="00D418D0">
        <w:rPr>
          <w:bCs/>
          <w:i/>
        </w:rPr>
        <w:t>New York Times</w:t>
      </w:r>
      <w:r w:rsidRPr="00D418D0">
        <w:rPr>
          <w:bCs/>
        </w:rPr>
        <w:t xml:space="preserve">, May 23, 2017, </w:t>
      </w:r>
      <w:r w:rsidR="008D050E">
        <w:t>accessed August 26, 2017, </w:t>
      </w:r>
      <w:r w:rsidRPr="00873616">
        <w:t>https://www.nytimes.com/2017/05/23/business/harley-davidson-thailand-factory-manufacturing.html</w:t>
      </w:r>
      <w:r>
        <w:t>.</w:t>
      </w:r>
    </w:p>
  </w:endnote>
  <w:endnote w:id="5">
    <w:p w14:paraId="75599CAE" w14:textId="2B9CFEE3" w:rsidR="00242E14" w:rsidRPr="00A53D36" w:rsidRDefault="00242E14" w:rsidP="00001AE5">
      <w:pPr>
        <w:pStyle w:val="Footnote"/>
        <w:rPr>
          <w:lang w:val="en-CA"/>
        </w:rPr>
      </w:pPr>
      <w:r>
        <w:rPr>
          <w:rStyle w:val="EndnoteReference"/>
        </w:rPr>
        <w:endnoteRef/>
      </w:r>
      <w:r>
        <w:t xml:space="preserve"> </w:t>
      </w:r>
      <w:r w:rsidRPr="006A4A07">
        <w:rPr>
          <w:color w:val="222222"/>
          <w:shd w:val="clear" w:color="auto" w:fill="FFFFFF"/>
        </w:rPr>
        <w:t>Glenn P.</w:t>
      </w:r>
      <w:r>
        <w:rPr>
          <w:color w:val="222222"/>
          <w:shd w:val="clear" w:color="auto" w:fill="FFFFFF"/>
        </w:rPr>
        <w:t xml:space="preserve"> </w:t>
      </w:r>
      <w:proofErr w:type="spellStart"/>
      <w:r>
        <w:rPr>
          <w:color w:val="222222"/>
          <w:shd w:val="clear" w:color="auto" w:fill="FFFFFF"/>
        </w:rPr>
        <w:t>Hastedt</w:t>
      </w:r>
      <w:proofErr w:type="spellEnd"/>
      <w:r w:rsidRPr="006A4A07">
        <w:rPr>
          <w:color w:val="222222"/>
          <w:shd w:val="clear" w:color="auto" w:fill="FFFFFF"/>
        </w:rPr>
        <w:t>, ed.</w:t>
      </w:r>
      <w:r>
        <w:rPr>
          <w:color w:val="222222"/>
          <w:shd w:val="clear" w:color="auto" w:fill="FFFFFF"/>
        </w:rPr>
        <w:t>,</w:t>
      </w:r>
      <w:r w:rsidRPr="006A4A07">
        <w:rPr>
          <w:color w:val="222222"/>
          <w:shd w:val="clear" w:color="auto" w:fill="FFFFFF"/>
        </w:rPr>
        <w:t> </w:t>
      </w:r>
      <w:r w:rsidRPr="006A4A07">
        <w:rPr>
          <w:i/>
          <w:iCs/>
          <w:color w:val="222222"/>
          <w:shd w:val="clear" w:color="auto" w:fill="FFFFFF"/>
        </w:rPr>
        <w:t>Readings in American Foreign Policy: Problems and Responses</w:t>
      </w:r>
      <w:r w:rsidRPr="006A4A07">
        <w:rPr>
          <w:color w:val="222222"/>
          <w:shd w:val="clear" w:color="auto" w:fill="FFFFFF"/>
        </w:rPr>
        <w:t xml:space="preserve"> </w:t>
      </w:r>
      <w:r>
        <w:rPr>
          <w:color w:val="222222"/>
          <w:shd w:val="clear" w:color="auto" w:fill="FFFFFF"/>
        </w:rPr>
        <w:t xml:space="preserve">(Lanham, MD: </w:t>
      </w:r>
      <w:r w:rsidRPr="006A4A07">
        <w:rPr>
          <w:color w:val="222222"/>
          <w:shd w:val="clear" w:color="auto" w:fill="FFFFFF"/>
        </w:rPr>
        <w:t>Rowman &amp; Littlefield, 2015</w:t>
      </w:r>
      <w:r>
        <w:rPr>
          <w:color w:val="222222"/>
          <w:shd w:val="clear" w:color="auto" w:fill="FFFFFF"/>
        </w:rPr>
        <w:t>)</w:t>
      </w:r>
      <w:r w:rsidRPr="006A4A07">
        <w:rPr>
          <w:color w:val="222222"/>
          <w:shd w:val="clear" w:color="auto" w:fill="FFFFFF"/>
        </w:rPr>
        <w:t>, 5</w:t>
      </w:r>
      <w:r w:rsidRPr="006A4A07">
        <w:rPr>
          <w:lang w:val="en-CA"/>
        </w:rPr>
        <w:t>.</w:t>
      </w:r>
    </w:p>
  </w:endnote>
  <w:endnote w:id="6">
    <w:p w14:paraId="09DCB7D9" w14:textId="77777777" w:rsidR="00242E14" w:rsidRPr="00A74EEE" w:rsidRDefault="00242E14" w:rsidP="00001AE5">
      <w:pPr>
        <w:pStyle w:val="Footnote"/>
      </w:pPr>
      <w:r w:rsidRPr="00A7775E">
        <w:rPr>
          <w:rStyle w:val="EndnoteReference"/>
        </w:rPr>
        <w:endnoteRef/>
      </w:r>
      <w:r w:rsidRPr="00D418D0">
        <w:t xml:space="preserve"> Greg Gardner and Todd Spangler, “Trump on Twitter </w:t>
      </w:r>
      <w:r>
        <w:t>I</w:t>
      </w:r>
      <w:r w:rsidRPr="00D418D0">
        <w:t xml:space="preserve">s </w:t>
      </w:r>
      <w:r>
        <w:t>U</w:t>
      </w:r>
      <w:r w:rsidRPr="00D418D0">
        <w:t xml:space="preserve">pending the </w:t>
      </w:r>
      <w:r>
        <w:t>W</w:t>
      </w:r>
      <w:r w:rsidRPr="00D418D0">
        <w:t xml:space="preserve">orld of CEOs,” </w:t>
      </w:r>
      <w:r w:rsidRPr="00D418D0">
        <w:rPr>
          <w:i/>
        </w:rPr>
        <w:t>Detroit Free Press</w:t>
      </w:r>
      <w:r w:rsidRPr="00D418D0">
        <w:t xml:space="preserve">, January 3, 2017, accessed </w:t>
      </w:r>
      <w:r w:rsidRPr="00DE14C5">
        <w:t xml:space="preserve">August 26, </w:t>
      </w:r>
      <w:r w:rsidRPr="00D418D0">
        <w:t>2017</w:t>
      </w:r>
      <w:r w:rsidRPr="00A74EEE">
        <w:t xml:space="preserve">, </w:t>
      </w:r>
      <w:r w:rsidRPr="00527C0B">
        <w:t>www.freep.com/story/money/cars/ford/2017/01/03/trump-ford-700m-investment-mexico-eclipses/96118614/</w:t>
      </w:r>
      <w:r>
        <w:t>.</w:t>
      </w:r>
    </w:p>
  </w:endnote>
  <w:endnote w:id="7">
    <w:p w14:paraId="7385C463" w14:textId="77777777" w:rsidR="00242E14" w:rsidRPr="00A74EEE" w:rsidRDefault="00242E14" w:rsidP="00001AE5">
      <w:pPr>
        <w:pStyle w:val="Footnote"/>
      </w:pPr>
      <w:r w:rsidRPr="00A7775E">
        <w:rPr>
          <w:rStyle w:val="EndnoteReference"/>
        </w:rPr>
        <w:endnoteRef/>
      </w:r>
      <w:r w:rsidRPr="00D418D0">
        <w:t xml:space="preserve"> Ryan Felton, “Why Mark Fields Was Fired,” </w:t>
      </w:r>
      <w:proofErr w:type="spellStart"/>
      <w:r w:rsidRPr="00D418D0">
        <w:t>Jalopnik</w:t>
      </w:r>
      <w:proofErr w:type="spellEnd"/>
      <w:r w:rsidRPr="00D418D0">
        <w:t xml:space="preserve">, May 22, 2017, accessed </w:t>
      </w:r>
      <w:r w:rsidRPr="00DE14C5">
        <w:t xml:space="preserve">August 26, </w:t>
      </w:r>
      <w:r w:rsidRPr="00A74EEE">
        <w:t xml:space="preserve">2017, </w:t>
      </w:r>
      <w:hyperlink r:id="rId1" w:history="1">
        <w:r w:rsidRPr="00A74EEE">
          <w:t>http://jalopnik.com/why-mark-fields-was-fired-1795431562</w:t>
        </w:r>
      </w:hyperlink>
      <w:r>
        <w:t>.</w:t>
      </w:r>
    </w:p>
  </w:endnote>
  <w:endnote w:id="8">
    <w:p w14:paraId="6DCC11E2" w14:textId="74B77E81" w:rsidR="00242E14" w:rsidRPr="00A74EEE" w:rsidRDefault="00242E14" w:rsidP="00001AE5">
      <w:pPr>
        <w:pStyle w:val="Footnote"/>
      </w:pPr>
      <w:r w:rsidRPr="00A7775E">
        <w:rPr>
          <w:rStyle w:val="EndnoteReference"/>
        </w:rPr>
        <w:endnoteRef/>
      </w:r>
      <w:r w:rsidRPr="00D418D0">
        <w:t xml:space="preserve"> David </w:t>
      </w:r>
      <w:proofErr w:type="spellStart"/>
      <w:r w:rsidRPr="00D418D0">
        <w:t>Bixenspan</w:t>
      </w:r>
      <w:proofErr w:type="spellEnd"/>
      <w:r w:rsidRPr="00D418D0">
        <w:t xml:space="preserve">, “Toyota Stock Drops Immediately after Trump Tweet about Mexican Factory,” </w:t>
      </w:r>
      <w:proofErr w:type="spellStart"/>
      <w:r w:rsidRPr="00A53D36">
        <w:t>Mediaite</w:t>
      </w:r>
      <w:proofErr w:type="spellEnd"/>
      <w:r w:rsidRPr="00331764">
        <w:t>,</w:t>
      </w:r>
      <w:r w:rsidR="008D050E">
        <w:t xml:space="preserve"> January 5, 2017, accessed August 26, </w:t>
      </w:r>
      <w:r w:rsidRPr="00D418D0">
        <w:t>2017</w:t>
      </w:r>
      <w:r w:rsidR="008D050E">
        <w:t>, </w:t>
      </w:r>
      <w:hyperlink r:id="rId2" w:history="1">
        <w:r w:rsidRPr="00A74EEE">
          <w:t>https://www.mediaite.com/online/toyota-stock-drops-immediately-after-trump-tweet-about-mexican-factory/</w:t>
        </w:r>
      </w:hyperlink>
      <w:r>
        <w:t xml:space="preserve">; </w:t>
      </w:r>
      <w:r w:rsidRPr="00D418D0">
        <w:t xml:space="preserve">Philip Rucker and Danielle Paquette, “How a </w:t>
      </w:r>
      <w:r>
        <w:t>W</w:t>
      </w:r>
      <w:r w:rsidRPr="00D418D0">
        <w:t xml:space="preserve">eek of Trump </w:t>
      </w:r>
      <w:r>
        <w:t>T</w:t>
      </w:r>
      <w:r w:rsidRPr="00D418D0">
        <w:t xml:space="preserve">weets </w:t>
      </w:r>
      <w:r>
        <w:t>S</w:t>
      </w:r>
      <w:r w:rsidRPr="00D418D0">
        <w:t xml:space="preserve">toked </w:t>
      </w:r>
      <w:r>
        <w:t>A</w:t>
      </w:r>
      <w:r w:rsidRPr="00D418D0">
        <w:t xml:space="preserve">nxiety, </w:t>
      </w:r>
      <w:r>
        <w:t>M</w:t>
      </w:r>
      <w:r w:rsidRPr="00D418D0">
        <w:t xml:space="preserve">oved </w:t>
      </w:r>
      <w:r>
        <w:t>M</w:t>
      </w:r>
      <w:r w:rsidRPr="00D418D0">
        <w:t xml:space="preserve">arkets, and </w:t>
      </w:r>
      <w:r>
        <w:t>A</w:t>
      </w:r>
      <w:r w:rsidR="008D050E">
        <w:t>ltered </w:t>
      </w:r>
      <w:r>
        <w:t>P</w:t>
      </w:r>
      <w:r w:rsidR="008D050E">
        <w:t>lans,” </w:t>
      </w:r>
      <w:r w:rsidR="008D050E">
        <w:rPr>
          <w:i/>
        </w:rPr>
        <w:t>Washington </w:t>
      </w:r>
      <w:r w:rsidRPr="00D418D0">
        <w:rPr>
          <w:i/>
        </w:rPr>
        <w:t>Post</w:t>
      </w:r>
      <w:r w:rsidR="008D050E">
        <w:t>, January </w:t>
      </w:r>
      <w:r>
        <w:t>7</w:t>
      </w:r>
      <w:r w:rsidR="008D050E">
        <w:t>, 2017, accessed August 26, </w:t>
      </w:r>
      <w:r w:rsidRPr="00A74EEE">
        <w:t>201</w:t>
      </w:r>
      <w:r w:rsidR="008D050E">
        <w:t>7, </w:t>
      </w:r>
      <w:hyperlink r:id="rId3" w:history="1">
        <w:r w:rsidRPr="00A74EEE">
          <w:t>https://www.washingtonpost.com/graphics/politics/week-of-trump-tweets/</w:t>
        </w:r>
      </w:hyperlink>
      <w:r>
        <w:t>.</w:t>
      </w:r>
    </w:p>
  </w:endnote>
  <w:endnote w:id="9">
    <w:p w14:paraId="79F9A230" w14:textId="77777777" w:rsidR="00242E14" w:rsidRPr="00A74EEE" w:rsidRDefault="00242E14" w:rsidP="00001AE5">
      <w:pPr>
        <w:pStyle w:val="Footnote"/>
      </w:pPr>
      <w:r w:rsidRPr="00A7775E">
        <w:rPr>
          <w:rStyle w:val="EndnoteReference"/>
        </w:rPr>
        <w:endnoteRef/>
      </w:r>
      <w:r w:rsidRPr="00D418D0">
        <w:t xml:space="preserve"> Rachel </w:t>
      </w:r>
      <w:proofErr w:type="spellStart"/>
      <w:r w:rsidRPr="00D418D0">
        <w:t>Revesz</w:t>
      </w:r>
      <w:proofErr w:type="spellEnd"/>
      <w:r w:rsidRPr="00D418D0">
        <w:t xml:space="preserve">, “Donald Trump </w:t>
      </w:r>
      <w:r>
        <w:t>W</w:t>
      </w:r>
      <w:r w:rsidRPr="00D418D0">
        <w:t xml:space="preserve">ipes </w:t>
      </w:r>
      <w:r>
        <w:t>O</w:t>
      </w:r>
      <w:r w:rsidRPr="00D418D0">
        <w:t xml:space="preserve">ff $1bn from Boeing’s </w:t>
      </w:r>
      <w:r>
        <w:t>M</w:t>
      </w:r>
      <w:r w:rsidRPr="00D418D0">
        <w:t xml:space="preserve">arket </w:t>
      </w:r>
      <w:r>
        <w:t>V</w:t>
      </w:r>
      <w:r w:rsidRPr="00D418D0">
        <w:t xml:space="preserve">alue with </w:t>
      </w:r>
      <w:r>
        <w:t>S</w:t>
      </w:r>
      <w:r w:rsidRPr="00D418D0">
        <w:t xml:space="preserve">ingle </w:t>
      </w:r>
      <w:r>
        <w:t>T</w:t>
      </w:r>
      <w:r w:rsidRPr="00D418D0">
        <w:t xml:space="preserve">weet,” </w:t>
      </w:r>
      <w:r w:rsidRPr="00D418D0">
        <w:rPr>
          <w:i/>
        </w:rPr>
        <w:t>Independent</w:t>
      </w:r>
      <w:r>
        <w:t>, December 6, 2016</w:t>
      </w:r>
      <w:r w:rsidRPr="00D418D0">
        <w:t xml:space="preserve">, accessed </w:t>
      </w:r>
      <w:r w:rsidRPr="00DE14C5">
        <w:t xml:space="preserve">August 26, </w:t>
      </w:r>
      <w:r w:rsidRPr="00A74EEE">
        <w:t xml:space="preserve">2017, </w:t>
      </w:r>
      <w:r w:rsidRPr="00527C0B">
        <w:t>www.independent.co.uk/news/business/donald-trump-targets-boeing-shares-fall-twitter-air-force-one-planes-dennis-muilenburg-a7458946.html</w:t>
      </w:r>
      <w:r>
        <w:t>.</w:t>
      </w:r>
    </w:p>
  </w:endnote>
  <w:endnote w:id="10">
    <w:p w14:paraId="78CFFEF9" w14:textId="77777777" w:rsidR="00242E14" w:rsidRPr="00A7775E" w:rsidRDefault="00242E14">
      <w:pPr>
        <w:pStyle w:val="EndnoteText"/>
        <w:rPr>
          <w:lang w:val="en-US"/>
        </w:rPr>
      </w:pPr>
      <w:r w:rsidRPr="00A7775E">
        <w:rPr>
          <w:rStyle w:val="EndnoteReference"/>
          <w:rFonts w:ascii="Arial" w:eastAsia="Times New Roman" w:hAnsi="Arial" w:cs="Arial"/>
          <w:spacing w:val="-2"/>
          <w:kern w:val="17"/>
          <w:sz w:val="17"/>
          <w:szCs w:val="17"/>
          <w:lang w:val="en-US" w:eastAsia="en-US"/>
        </w:rPr>
        <w:endnoteRef/>
      </w:r>
      <w:r w:rsidRPr="00A7775E">
        <w:rPr>
          <w:rFonts w:ascii="Arial" w:eastAsia="Times New Roman" w:hAnsi="Arial" w:cs="Arial"/>
          <w:spacing w:val="-2"/>
          <w:kern w:val="17"/>
          <w:sz w:val="17"/>
          <w:szCs w:val="17"/>
          <w:lang w:val="en-US" w:eastAsia="en-US"/>
        </w:rPr>
        <w:t xml:space="preserve"> All currency</w:t>
      </w:r>
      <w:r>
        <w:rPr>
          <w:rFonts w:ascii="Arial" w:eastAsia="Times New Roman" w:hAnsi="Arial" w:cs="Arial"/>
          <w:spacing w:val="-2"/>
          <w:kern w:val="17"/>
          <w:sz w:val="17"/>
          <w:szCs w:val="17"/>
          <w:lang w:val="en-US" w:eastAsia="en-US"/>
        </w:rPr>
        <w:t xml:space="preserve"> amounts are in U.S. dollars unless otherwise indicated.</w:t>
      </w:r>
      <w:r w:rsidRPr="00A7775E">
        <w:rPr>
          <w:rFonts w:ascii="Arial" w:eastAsia="Times New Roman" w:hAnsi="Arial" w:cs="Arial"/>
          <w:spacing w:val="-2"/>
          <w:kern w:val="17"/>
          <w:sz w:val="17"/>
          <w:szCs w:val="17"/>
          <w:lang w:val="en-US" w:eastAsia="en-US"/>
        </w:rPr>
        <w:t xml:space="preserve"> </w:t>
      </w:r>
    </w:p>
  </w:endnote>
  <w:endnote w:id="11">
    <w:p w14:paraId="5E759A41" w14:textId="77777777" w:rsidR="00242E14" w:rsidRPr="003230F5" w:rsidRDefault="00242E14" w:rsidP="00001AE5">
      <w:pPr>
        <w:pStyle w:val="Footnote"/>
        <w:rPr>
          <w:spacing w:val="-2"/>
          <w:kern w:val="17"/>
        </w:rPr>
      </w:pPr>
      <w:r w:rsidRPr="003230F5">
        <w:rPr>
          <w:rStyle w:val="EndnoteReference"/>
          <w:spacing w:val="-2"/>
          <w:kern w:val="17"/>
        </w:rPr>
        <w:endnoteRef/>
      </w:r>
      <w:r w:rsidRPr="003230F5">
        <w:rPr>
          <w:spacing w:val="-2"/>
          <w:kern w:val="17"/>
        </w:rPr>
        <w:t> “The Boeing Company (BA),” Yahoo! Finance, accessed October 8, 2017, https://finance.yahoo.com/quote/BA/history?p=BA.</w:t>
      </w:r>
    </w:p>
  </w:endnote>
  <w:endnote w:id="12">
    <w:p w14:paraId="60AB9CEF" w14:textId="77777777" w:rsidR="00242E14" w:rsidRPr="008D050E" w:rsidRDefault="00242E14" w:rsidP="00001AE5">
      <w:pPr>
        <w:pStyle w:val="Footnote"/>
        <w:rPr>
          <w:spacing w:val="-4"/>
          <w:kern w:val="17"/>
        </w:rPr>
      </w:pPr>
      <w:r w:rsidRPr="008D050E">
        <w:rPr>
          <w:rStyle w:val="EndnoteReference"/>
          <w:spacing w:val="-4"/>
          <w:kern w:val="17"/>
        </w:rPr>
        <w:endnoteRef/>
      </w:r>
      <w:r w:rsidRPr="008D050E">
        <w:rPr>
          <w:spacing w:val="-4"/>
          <w:kern w:val="17"/>
        </w:rPr>
        <w:t xml:space="preserve"> Christine Wang, “Lockheed Martin Shares Take </w:t>
      </w:r>
      <w:proofErr w:type="gramStart"/>
      <w:r w:rsidRPr="008D050E">
        <w:rPr>
          <w:spacing w:val="-4"/>
          <w:kern w:val="17"/>
        </w:rPr>
        <w:t>Another</w:t>
      </w:r>
      <w:proofErr w:type="gramEnd"/>
      <w:r w:rsidRPr="008D050E">
        <w:rPr>
          <w:spacing w:val="-4"/>
          <w:kern w:val="17"/>
        </w:rPr>
        <w:t xml:space="preserve"> Tumble after Trump Tweet,” CNBC, December 22, 2016, accessed August 26, 2017, </w:t>
      </w:r>
      <w:hyperlink r:id="rId4" w:history="1">
        <w:r w:rsidRPr="008D050E">
          <w:rPr>
            <w:spacing w:val="-4"/>
            <w:kern w:val="17"/>
          </w:rPr>
          <w:t>https://www.cnbc.com/2016/12/22/lockheed-martin-shares-take-another-tumble-after-trump-tweet.html</w:t>
        </w:r>
      </w:hyperlink>
      <w:r w:rsidRPr="008D050E">
        <w:rPr>
          <w:spacing w:val="-4"/>
          <w:kern w:val="17"/>
        </w:rPr>
        <w:t>.</w:t>
      </w:r>
    </w:p>
  </w:endnote>
  <w:endnote w:id="13">
    <w:p w14:paraId="32B05730" w14:textId="77777777" w:rsidR="00242E14" w:rsidRPr="00A74EEE" w:rsidRDefault="00242E14" w:rsidP="00001AE5">
      <w:pPr>
        <w:pStyle w:val="Footnote"/>
      </w:pPr>
      <w:r w:rsidRPr="00A7775E">
        <w:rPr>
          <w:rStyle w:val="EndnoteReference"/>
          <w:spacing w:val="-2"/>
          <w:kern w:val="17"/>
        </w:rPr>
        <w:endnoteRef/>
      </w:r>
      <w:r w:rsidRPr="00D418D0">
        <w:t xml:space="preserve"> James B. Kelleher, “Analysis: As </w:t>
      </w:r>
      <w:r>
        <w:t>B</w:t>
      </w:r>
      <w:r w:rsidRPr="00D418D0">
        <w:t xml:space="preserve">oomers </w:t>
      </w:r>
      <w:r>
        <w:t>A</w:t>
      </w:r>
      <w:r w:rsidRPr="00D418D0">
        <w:t xml:space="preserve">ge Harley </w:t>
      </w:r>
      <w:r>
        <w:t>H</w:t>
      </w:r>
      <w:r w:rsidRPr="00D418D0">
        <w:t xml:space="preserve">unts for </w:t>
      </w:r>
      <w:r>
        <w:t>Y</w:t>
      </w:r>
      <w:r w:rsidRPr="00D418D0">
        <w:t xml:space="preserve">ounger </w:t>
      </w:r>
      <w:r>
        <w:t>R</w:t>
      </w:r>
      <w:r w:rsidRPr="00D418D0">
        <w:t xml:space="preserve">iders,” Reuters, June 21, 2013, accessed </w:t>
      </w:r>
      <w:r w:rsidRPr="00DE14C5">
        <w:t xml:space="preserve">August 26, </w:t>
      </w:r>
      <w:r w:rsidRPr="00A74EEE">
        <w:t>2017</w:t>
      </w:r>
      <w:r>
        <w:t>,</w:t>
      </w:r>
      <w:r w:rsidRPr="00A74EEE">
        <w:t xml:space="preserve"> </w:t>
      </w:r>
      <w:r w:rsidRPr="00527C0B">
        <w:t>www.reuters.com/article/us-harleydavidson-boomers-analysis/analysis-as-boomers-age-harley-hunts-for-younger-riders-idUSBRE95K0GU20130621</w:t>
      </w:r>
      <w:r>
        <w:t>.</w:t>
      </w:r>
    </w:p>
  </w:endnote>
  <w:endnote w:id="14">
    <w:p w14:paraId="320DA887" w14:textId="77777777" w:rsidR="00242E14" w:rsidRPr="00A74EEE" w:rsidRDefault="00242E14" w:rsidP="00001AE5">
      <w:pPr>
        <w:pStyle w:val="Footnote"/>
      </w:pPr>
      <w:r w:rsidRPr="00A7775E">
        <w:rPr>
          <w:rStyle w:val="EndnoteReference"/>
          <w:spacing w:val="-2"/>
          <w:kern w:val="17"/>
        </w:rPr>
        <w:endnoteRef/>
      </w:r>
      <w:r w:rsidRPr="00D418D0">
        <w:t xml:space="preserve"> David </w:t>
      </w:r>
      <w:proofErr w:type="spellStart"/>
      <w:r w:rsidRPr="00D418D0">
        <w:t>Yanofsky</w:t>
      </w:r>
      <w:proofErr w:type="spellEnd"/>
      <w:r w:rsidRPr="00D418D0">
        <w:t xml:space="preserve">, “A 100% </w:t>
      </w:r>
      <w:r>
        <w:t>T</w:t>
      </w:r>
      <w:r w:rsidRPr="00D418D0">
        <w:t>ariff on a Harley? True</w:t>
      </w:r>
      <w:r>
        <w:t>,</w:t>
      </w:r>
      <w:r w:rsidRPr="00D418D0">
        <w:t xml:space="preserve">” </w:t>
      </w:r>
      <w:r w:rsidRPr="00A53D36">
        <w:t>Quartz India</w:t>
      </w:r>
      <w:r w:rsidRPr="00D418D0">
        <w:t xml:space="preserve">, March 1, 2017, accessed </w:t>
      </w:r>
      <w:r w:rsidRPr="00DE14C5">
        <w:t xml:space="preserve">August 26, </w:t>
      </w:r>
      <w:r w:rsidRPr="00D418D0">
        <w:t xml:space="preserve">2017, </w:t>
      </w:r>
      <w:hyperlink r:id="rId5" w:history="1">
        <w:r w:rsidRPr="00A74EEE">
          <w:t>https://qz.com/921722/the-country-trump-mentioned-with-a-100-tariff-on-harley-davidson-motorcycles-india/</w:t>
        </w:r>
      </w:hyperlink>
      <w:r>
        <w:t>.</w:t>
      </w:r>
    </w:p>
  </w:endnote>
  <w:endnote w:id="15">
    <w:p w14:paraId="5106FF96" w14:textId="77777777" w:rsidR="00242E14" w:rsidRPr="00A74EEE" w:rsidRDefault="00242E14" w:rsidP="00001AE5">
      <w:pPr>
        <w:pStyle w:val="Footnote"/>
      </w:pPr>
      <w:r w:rsidRPr="00A7775E">
        <w:rPr>
          <w:rStyle w:val="EndnoteReference"/>
          <w:spacing w:val="-2"/>
          <w:kern w:val="17"/>
        </w:rPr>
        <w:endnoteRef/>
      </w:r>
      <w:r w:rsidRPr="00D418D0">
        <w:t xml:space="preserve"> Harley-Davidson Inc. (India) </w:t>
      </w:r>
      <w:r>
        <w:t>homepage</w:t>
      </w:r>
      <w:r w:rsidRPr="00D418D0">
        <w:t xml:space="preserve">, accessed </w:t>
      </w:r>
      <w:r w:rsidRPr="00DE14C5">
        <w:t xml:space="preserve">August 26, </w:t>
      </w:r>
      <w:r w:rsidRPr="00A74EEE">
        <w:t xml:space="preserve">2017, </w:t>
      </w:r>
      <w:r w:rsidRPr="00527C0B">
        <w:t>www.harley-davidson.com/content/Harley-Davidson/en_IN/home.html</w:t>
      </w:r>
      <w:r>
        <w:t>.</w:t>
      </w:r>
    </w:p>
  </w:endnote>
  <w:endnote w:id="16">
    <w:p w14:paraId="1487EE58" w14:textId="12623551" w:rsidR="00242E14" w:rsidRPr="00A74EEE" w:rsidRDefault="00242E14" w:rsidP="00653D3D">
      <w:pPr>
        <w:pStyle w:val="Footnote"/>
      </w:pPr>
      <w:r w:rsidRPr="00A7775E">
        <w:rPr>
          <w:rStyle w:val="EndnoteReference"/>
          <w:spacing w:val="-2"/>
          <w:kern w:val="17"/>
        </w:rPr>
        <w:endnoteRef/>
      </w:r>
      <w:r>
        <w:t> “Company </w:t>
      </w:r>
      <w:r w:rsidRPr="00D418D0">
        <w:t>Locations,</w:t>
      </w:r>
      <w:r>
        <w:t>” Harley-Davidson Motorcycles, accessed April 17, </w:t>
      </w:r>
      <w:r w:rsidRPr="00A74EEE">
        <w:t>201</w:t>
      </w:r>
      <w:r>
        <w:t>8, </w:t>
      </w:r>
      <w:r w:rsidRPr="00D37C3B">
        <w:t>https://www.harley-davidson.com/in/en/careers/locations.html</w:t>
      </w:r>
      <w:r>
        <w:t>.</w:t>
      </w:r>
    </w:p>
  </w:endnote>
  <w:endnote w:id="17">
    <w:p w14:paraId="3DCF5912" w14:textId="0CA9C428" w:rsidR="00242E14" w:rsidRPr="00A74EEE" w:rsidRDefault="00242E14" w:rsidP="00001AE5">
      <w:pPr>
        <w:pStyle w:val="Footnote"/>
      </w:pPr>
      <w:r w:rsidRPr="00A7775E">
        <w:rPr>
          <w:rStyle w:val="EndnoteReference"/>
          <w:spacing w:val="-2"/>
          <w:kern w:val="17"/>
        </w:rPr>
        <w:endnoteRef/>
      </w:r>
      <w:r>
        <w:t> “</w:t>
      </w:r>
      <w:r w:rsidRPr="00D418D0">
        <w:t>Euro</w:t>
      </w:r>
      <w:r w:rsidR="008D050E">
        <w:t> Dollar </w:t>
      </w:r>
      <w:r w:rsidRPr="00D418D0">
        <w:t>Exchang</w:t>
      </w:r>
      <w:r w:rsidR="008D050E">
        <w:t>e Rate Historical </w:t>
      </w:r>
      <w:r w:rsidRPr="00A74EEE">
        <w:t>Chart,</w:t>
      </w:r>
      <w:r>
        <w:t>”</w:t>
      </w:r>
      <w:r w:rsidR="008D050E">
        <w:t> </w:t>
      </w:r>
      <w:r w:rsidRPr="00D418D0">
        <w:t>Macro</w:t>
      </w:r>
      <w:r w:rsidR="008D050E">
        <w:t> Trends, accessed December 18, 2017, </w:t>
      </w:r>
      <w:r w:rsidRPr="00527C0B">
        <w:t>www.macrotrends.net/2548/euro-dollar-exchange-rate-historical-chart</w:t>
      </w:r>
      <w:r>
        <w:t>.</w:t>
      </w:r>
    </w:p>
  </w:endnote>
  <w:endnote w:id="18">
    <w:p w14:paraId="5698DCBB" w14:textId="77777777" w:rsidR="00242E14" w:rsidRPr="00A74EEE" w:rsidRDefault="00242E14" w:rsidP="00001AE5">
      <w:pPr>
        <w:pStyle w:val="Footnote"/>
      </w:pPr>
      <w:r w:rsidRPr="00A7775E">
        <w:rPr>
          <w:rStyle w:val="EndnoteReference"/>
          <w:spacing w:val="-2"/>
          <w:kern w:val="17"/>
        </w:rPr>
        <w:endnoteRef/>
      </w:r>
      <w:r>
        <w:t> “</w:t>
      </w:r>
      <w:r w:rsidRPr="00D418D0">
        <w:t>Company Leadership,</w:t>
      </w:r>
      <w:r>
        <w:t>”</w:t>
      </w:r>
      <w:r w:rsidRPr="00D418D0">
        <w:t xml:space="preserve"> Harley-Davidson </w:t>
      </w:r>
      <w:r>
        <w:t>Motorcycles</w:t>
      </w:r>
      <w:r w:rsidRPr="00D418D0">
        <w:t xml:space="preserve">, </w:t>
      </w:r>
      <w:r w:rsidRPr="00A74EEE">
        <w:t xml:space="preserve">accessed </w:t>
      </w:r>
      <w:r>
        <w:t xml:space="preserve">September 4, </w:t>
      </w:r>
      <w:r w:rsidRPr="00A74EEE">
        <w:t>2017,</w:t>
      </w:r>
      <w:r>
        <w:t xml:space="preserve"> </w:t>
      </w:r>
      <w:r w:rsidRPr="00527C0B">
        <w:t>http://investor.harley-davidson.com/management/matt-levatich</w:t>
      </w:r>
      <w:r>
        <w:t>.</w:t>
      </w:r>
    </w:p>
  </w:endnote>
  <w:endnote w:id="19">
    <w:p w14:paraId="43409DF0" w14:textId="242B2F87" w:rsidR="00317EB7" w:rsidRPr="00317EB7" w:rsidRDefault="00317EB7" w:rsidP="00317EB7">
      <w:pPr>
        <w:pStyle w:val="Footnote"/>
      </w:pPr>
      <w:r>
        <w:rPr>
          <w:rStyle w:val="EndnoteReference"/>
        </w:rPr>
        <w:endnoteRef/>
      </w:r>
      <w:r>
        <w:t xml:space="preserve"> Ibid.</w:t>
      </w:r>
    </w:p>
  </w:endnote>
  <w:endnote w:id="20">
    <w:p w14:paraId="4158DFEE" w14:textId="77777777" w:rsidR="00242E14" w:rsidRPr="00A74EEE" w:rsidRDefault="00242E14" w:rsidP="00001AE5">
      <w:pPr>
        <w:pStyle w:val="Footnote"/>
      </w:pPr>
      <w:r w:rsidRPr="00A7775E">
        <w:rPr>
          <w:rStyle w:val="EndnoteReference"/>
          <w:spacing w:val="-2"/>
          <w:kern w:val="17"/>
        </w:rPr>
        <w:endnoteRef/>
      </w:r>
      <w:r w:rsidRPr="00D418D0">
        <w:t xml:space="preserve"> </w:t>
      </w:r>
      <w:r w:rsidRPr="006076EA">
        <w:t>Yahoo.com, Historical Price, accessed October 9, 2017,</w:t>
      </w:r>
      <w:r>
        <w:t xml:space="preserve"> </w:t>
      </w:r>
      <w:r w:rsidRPr="00527C0B">
        <w:t>https://finance.yahoo.com/quote/HOG/history?p=HOG</w:t>
      </w:r>
      <w:r>
        <w:t>.</w:t>
      </w:r>
    </w:p>
  </w:endnote>
  <w:endnote w:id="21">
    <w:p w14:paraId="099379D1" w14:textId="77777777" w:rsidR="00242E14" w:rsidRPr="003230F5" w:rsidRDefault="00242E14" w:rsidP="00001AE5">
      <w:pPr>
        <w:pStyle w:val="Footnote"/>
        <w:rPr>
          <w:spacing w:val="-2"/>
          <w:kern w:val="2"/>
        </w:rPr>
      </w:pPr>
      <w:r w:rsidRPr="00A7775E">
        <w:rPr>
          <w:rStyle w:val="EndnoteReference"/>
          <w:spacing w:val="-2"/>
          <w:kern w:val="17"/>
        </w:rPr>
        <w:endnoteRef/>
      </w:r>
      <w:r w:rsidRPr="003230F5">
        <w:rPr>
          <w:spacing w:val="-2"/>
          <w:kern w:val="2"/>
        </w:rPr>
        <w:t> “Harley Davidson, Inc. (HOG),” Yahoo! Finance, accessed September 4, 2017, </w:t>
      </w:r>
      <w:hyperlink r:id="rId6" w:history="1">
        <w:r w:rsidRPr="003230F5">
          <w:rPr>
            <w:spacing w:val="-2"/>
            <w:kern w:val="2"/>
          </w:rPr>
          <w:t>https://ca.finance.yahoo.com/quote/hog?ltr=1</w:t>
        </w:r>
      </w:hyperlink>
      <w:r w:rsidRPr="003230F5">
        <w:rPr>
          <w:spacing w:val="-2"/>
          <w:kern w:val="2"/>
        </w:rPr>
        <w:t>.</w:t>
      </w:r>
    </w:p>
  </w:endnote>
  <w:endnote w:id="22">
    <w:p w14:paraId="79B4FDEC" w14:textId="77777777" w:rsidR="00242E14" w:rsidRPr="005615A8" w:rsidRDefault="00242E14" w:rsidP="00001AE5">
      <w:pPr>
        <w:pStyle w:val="Footnote"/>
      </w:pPr>
      <w:r>
        <w:rPr>
          <w:rStyle w:val="EndnoteReference"/>
        </w:rPr>
        <w:endnoteRef/>
      </w:r>
      <w:r>
        <w:t> </w:t>
      </w:r>
      <w:r>
        <w:rPr>
          <w:lang w:val="en-CA"/>
        </w:rPr>
        <w:t>“S&amp;P 500 (^GSPC),” </w:t>
      </w:r>
      <w:r w:rsidRPr="005615A8">
        <w:t>Yahoo</w:t>
      </w:r>
      <w:r>
        <w:t>! Finance, accessed March 3, </w:t>
      </w:r>
      <w:r w:rsidRPr="005615A8">
        <w:t>2018</w:t>
      </w:r>
      <w:r>
        <w:t>, </w:t>
      </w:r>
      <w:r w:rsidRPr="005615A8">
        <w:t>https://finance.yahoo.com/quote/%5EGSPC/history?period1=1420002000&amp;period2=1493611200&amp;interval=1d&amp;filter=history&amp;frequency=1d</w:t>
      </w:r>
      <w:r>
        <w:t>.</w:t>
      </w:r>
    </w:p>
  </w:endnote>
  <w:endnote w:id="23">
    <w:p w14:paraId="2F7E2D03" w14:textId="77777777" w:rsidR="00242E14" w:rsidRPr="00A74EEE" w:rsidRDefault="00242E14" w:rsidP="00001AE5">
      <w:pPr>
        <w:pStyle w:val="Footnote"/>
      </w:pPr>
      <w:r w:rsidRPr="00A7775E">
        <w:rPr>
          <w:rStyle w:val="EndnoteReference"/>
        </w:rPr>
        <w:endnoteRef/>
      </w:r>
      <w:r w:rsidRPr="00D418D0">
        <w:t xml:space="preserve"> Matt Egan, “Trump </w:t>
      </w:r>
      <w:r>
        <w:t>R</w:t>
      </w:r>
      <w:r w:rsidRPr="00D418D0">
        <w:t xml:space="preserve">ally </w:t>
      </w:r>
      <w:r>
        <w:t>I</w:t>
      </w:r>
      <w:r w:rsidRPr="00D418D0">
        <w:t xml:space="preserve">s </w:t>
      </w:r>
      <w:r>
        <w:t>2nd</w:t>
      </w:r>
      <w:r w:rsidRPr="00D418D0">
        <w:t xml:space="preserve"> </w:t>
      </w:r>
      <w:r>
        <w:t>B</w:t>
      </w:r>
      <w:r w:rsidRPr="00D418D0">
        <w:t>est since JFK,” CNN</w:t>
      </w:r>
      <w:r>
        <w:t xml:space="preserve"> </w:t>
      </w:r>
      <w:r w:rsidRPr="00D418D0">
        <w:t xml:space="preserve">Money, April 28, 2017, accessed </w:t>
      </w:r>
      <w:r>
        <w:t xml:space="preserve">September 4, </w:t>
      </w:r>
      <w:r w:rsidRPr="00D418D0">
        <w:t xml:space="preserve">2017, </w:t>
      </w:r>
      <w:hyperlink r:id="rId7" w:history="1">
        <w:r w:rsidRPr="00A74EEE">
          <w:t>http://money.cnn.com/2017/04/28/investing/trump-rally-wall-street-100-days/index.html</w:t>
        </w:r>
      </w:hyperlink>
      <w:r>
        <w:t>.</w:t>
      </w:r>
    </w:p>
  </w:endnote>
  <w:endnote w:id="24">
    <w:p w14:paraId="1691A3AF" w14:textId="77777777" w:rsidR="00242E14" w:rsidRPr="00A74EEE" w:rsidRDefault="00242E14" w:rsidP="00001AE5">
      <w:pPr>
        <w:pStyle w:val="Footnote"/>
      </w:pPr>
      <w:r w:rsidRPr="00A7775E">
        <w:rPr>
          <w:rStyle w:val="EndnoteReference"/>
        </w:rPr>
        <w:endnoteRef/>
      </w:r>
      <w:r w:rsidRPr="00D418D0">
        <w:t xml:space="preserve"> Harley-Davidson Inc., </w:t>
      </w:r>
      <w:r w:rsidRPr="00A53D36">
        <w:rPr>
          <w:i/>
        </w:rPr>
        <w:t>Annual Report on Form 10-K for the Year Ended December 31, 2016</w:t>
      </w:r>
      <w:r w:rsidRPr="00D418D0">
        <w:t xml:space="preserve">, </w:t>
      </w:r>
      <w:r>
        <w:t xml:space="preserve">2017, 22, </w:t>
      </w:r>
      <w:r w:rsidRPr="00D418D0">
        <w:t>accessed</w:t>
      </w:r>
      <w:r w:rsidRPr="00A53D36">
        <w:t xml:space="preserve"> </w:t>
      </w:r>
      <w:r w:rsidRPr="00D418D0">
        <w:rPr>
          <w:color w:val="000000"/>
        </w:rPr>
        <w:t xml:space="preserve">October 8, 2017, </w:t>
      </w:r>
      <w:r w:rsidRPr="00527C0B">
        <w:t>www.annualreports.com/HostedData/AnnualReports/PDF/NYSE_HOG_2016.pdf</w:t>
      </w:r>
      <w:r>
        <w:t>.</w:t>
      </w:r>
    </w:p>
  </w:endnote>
  <w:endnote w:id="25">
    <w:p w14:paraId="6C413103" w14:textId="77777777" w:rsidR="00242E14" w:rsidRPr="003230F5" w:rsidRDefault="00242E14" w:rsidP="00001AE5">
      <w:pPr>
        <w:pStyle w:val="Footnote"/>
        <w:rPr>
          <w:spacing w:val="-2"/>
          <w:kern w:val="2"/>
        </w:rPr>
      </w:pPr>
      <w:r w:rsidRPr="00A7775E">
        <w:rPr>
          <w:rStyle w:val="EndnoteReference"/>
        </w:rPr>
        <w:endnoteRef/>
      </w:r>
      <w:r w:rsidRPr="003230F5">
        <w:rPr>
          <w:spacing w:val="-2"/>
          <w:kern w:val="2"/>
        </w:rPr>
        <w:t xml:space="preserve"> Harley-Davidson, Inc., “Harley-Davidson Releases First Quarter 2017 Results,” April 18, 2017, accessed December 19, 2017, http://investor.harley-davidson.com/news-releases/news-release-details/harley-davidson-releases-first-quarter-2017-results</w:t>
      </w:r>
      <w:r>
        <w:rPr>
          <w:spacing w:val="-2"/>
          <w:kern w:val="2"/>
        </w:rPr>
        <w:t>.</w:t>
      </w:r>
    </w:p>
  </w:endnote>
  <w:endnote w:id="26">
    <w:p w14:paraId="1C022206" w14:textId="77777777" w:rsidR="00242E14" w:rsidRPr="00A74EEE" w:rsidRDefault="00242E14" w:rsidP="00001AE5">
      <w:pPr>
        <w:pStyle w:val="Footnote"/>
      </w:pPr>
      <w:r w:rsidRPr="00A7775E">
        <w:rPr>
          <w:rStyle w:val="EndnoteReference"/>
        </w:rPr>
        <w:endnoteRef/>
      </w:r>
      <w:r w:rsidRPr="00D418D0">
        <w:t xml:space="preserve"> Doug Ware, “Harley-Davidson </w:t>
      </w:r>
      <w:r>
        <w:t>A</w:t>
      </w:r>
      <w:r w:rsidRPr="00D418D0">
        <w:t xml:space="preserve">grees to </w:t>
      </w:r>
      <w:r>
        <w:t>$</w:t>
      </w:r>
      <w:r w:rsidRPr="00D418D0">
        <w:t xml:space="preserve">12M </w:t>
      </w:r>
      <w:r>
        <w:t>P</w:t>
      </w:r>
      <w:r w:rsidRPr="00D418D0">
        <w:t xml:space="preserve">enalty over EPA </w:t>
      </w:r>
      <w:r>
        <w:t>C</w:t>
      </w:r>
      <w:r w:rsidRPr="00D418D0">
        <w:t xml:space="preserve">laims on </w:t>
      </w:r>
      <w:r>
        <w:t>T</w:t>
      </w:r>
      <w:r w:rsidRPr="00D418D0">
        <w:t xml:space="preserve">uner’s </w:t>
      </w:r>
      <w:r>
        <w:t>P</w:t>
      </w:r>
      <w:r w:rsidRPr="00D418D0">
        <w:t xml:space="preserve">ollution </w:t>
      </w:r>
      <w:r>
        <w:t>P</w:t>
      </w:r>
      <w:r w:rsidRPr="00D418D0">
        <w:t xml:space="preserve">otential,” </w:t>
      </w:r>
      <w:r w:rsidRPr="00A53D36">
        <w:t>UPI Business News</w:t>
      </w:r>
      <w:r w:rsidRPr="00D418D0">
        <w:t>, A</w:t>
      </w:r>
      <w:r>
        <w:t>ugust</w:t>
      </w:r>
      <w:r w:rsidRPr="00D418D0">
        <w:t xml:space="preserve"> 18, 2017, a</w:t>
      </w:r>
      <w:r w:rsidRPr="00D418D0">
        <w:rPr>
          <w:color w:val="000000"/>
        </w:rPr>
        <w:t xml:space="preserve">ccessed October 8, </w:t>
      </w:r>
      <w:r w:rsidRPr="00A74EEE">
        <w:t xml:space="preserve">2017, </w:t>
      </w:r>
      <w:hyperlink r:id="rId8" w:history="1">
        <w:r w:rsidRPr="00A74EEE">
          <w:t>https://www.upi.com/Business_News/2016/08/18/Harley-Davidson-agrees-to-12M-penalty-over-EPA-claims-on-tuners-pollution-potential/7771471561824/</w:t>
        </w:r>
      </w:hyperlink>
      <w:r>
        <w:t>.</w:t>
      </w:r>
    </w:p>
  </w:endnote>
  <w:endnote w:id="27">
    <w:p w14:paraId="62FDDBEE" w14:textId="77777777" w:rsidR="00317EB7" w:rsidRPr="00D37C3B" w:rsidRDefault="00317EB7" w:rsidP="00317EB7">
      <w:pPr>
        <w:pStyle w:val="Footnote"/>
      </w:pPr>
      <w:r>
        <w:rPr>
          <w:rStyle w:val="EndnoteReference"/>
        </w:rPr>
        <w:endnoteRef/>
      </w:r>
      <w:r>
        <w:t xml:space="preserve"> </w:t>
      </w:r>
      <w:r w:rsidRPr="00D37C3B">
        <w:t xml:space="preserve">Mintel Group Limited, </w:t>
      </w:r>
      <w:r w:rsidRPr="00D37C3B">
        <w:rPr>
          <w:i/>
        </w:rPr>
        <w:t>US Motorcycles Market Report</w:t>
      </w:r>
      <w:r w:rsidRPr="00D37C3B">
        <w:t>, May 2016, accessed October 9, 2017, http://store.mintel.com/us-motorcycles-market-report.</w:t>
      </w:r>
    </w:p>
  </w:endnote>
  <w:endnote w:id="28">
    <w:p w14:paraId="64E92ACD" w14:textId="77777777" w:rsidR="00242E14" w:rsidRPr="00A74EEE" w:rsidRDefault="00242E14" w:rsidP="00001AE5">
      <w:pPr>
        <w:pStyle w:val="Footnote"/>
      </w:pPr>
      <w:r w:rsidRPr="00A7775E">
        <w:rPr>
          <w:rStyle w:val="EndnoteReference"/>
        </w:rPr>
        <w:endnoteRef/>
      </w:r>
      <w:r w:rsidRPr="00D418D0">
        <w:t xml:space="preserve"> Rich </w:t>
      </w:r>
      <w:proofErr w:type="spellStart"/>
      <w:r w:rsidRPr="00D418D0">
        <w:t>Duprey</w:t>
      </w:r>
      <w:proofErr w:type="spellEnd"/>
      <w:r w:rsidRPr="00D418D0">
        <w:t>, “Harley-Davidson’s Earnings Report Is Even Wor</w:t>
      </w:r>
      <w:r>
        <w:t>se</w:t>
      </w:r>
      <w:r w:rsidRPr="00D418D0">
        <w:t xml:space="preserve"> </w:t>
      </w:r>
      <w:proofErr w:type="gramStart"/>
      <w:r>
        <w:t>T</w:t>
      </w:r>
      <w:r w:rsidRPr="00D418D0">
        <w:t>han</w:t>
      </w:r>
      <w:proofErr w:type="gramEnd"/>
      <w:r w:rsidRPr="00D418D0">
        <w:t xml:space="preserve"> You Might Think,” The Motley Fool, October 25, 2017, accessed November 17, </w:t>
      </w:r>
      <w:r w:rsidRPr="00A74EEE">
        <w:t xml:space="preserve">2017, </w:t>
      </w:r>
      <w:hyperlink r:id="rId9" w:history="1">
        <w:r w:rsidRPr="00A74EEE">
          <w:t>https://www.fool.com/investing/2017/10/25/harley-davidsons-earnings-report-is-even-worse-tha.aspx</w:t>
        </w:r>
      </w:hyperlink>
      <w:r>
        <w:t>.</w:t>
      </w:r>
    </w:p>
  </w:endnote>
  <w:endnote w:id="29">
    <w:p w14:paraId="601BED09" w14:textId="77777777" w:rsidR="00242E14" w:rsidRPr="008D050E" w:rsidRDefault="00242E14" w:rsidP="00001AE5">
      <w:pPr>
        <w:pStyle w:val="Footnote"/>
        <w:rPr>
          <w:spacing w:val="-4"/>
          <w:kern w:val="17"/>
        </w:rPr>
      </w:pPr>
      <w:r w:rsidRPr="008D050E">
        <w:rPr>
          <w:rStyle w:val="EndnoteReference"/>
          <w:spacing w:val="-4"/>
          <w:kern w:val="17"/>
        </w:rPr>
        <w:endnoteRef/>
      </w:r>
      <w:r w:rsidRPr="008D050E">
        <w:rPr>
          <w:spacing w:val="-4"/>
          <w:kern w:val="17"/>
        </w:rPr>
        <w:t xml:space="preserve"> Steve </w:t>
      </w:r>
      <w:proofErr w:type="spellStart"/>
      <w:r w:rsidRPr="008D050E">
        <w:rPr>
          <w:rFonts w:eastAsia="Calibri"/>
          <w:spacing w:val="-4"/>
          <w:kern w:val="17"/>
        </w:rPr>
        <w:t>Penhollow</w:t>
      </w:r>
      <w:proofErr w:type="spellEnd"/>
      <w:r w:rsidRPr="008D050E">
        <w:rPr>
          <w:rFonts w:eastAsia="Calibri"/>
          <w:spacing w:val="-4"/>
          <w:kern w:val="17"/>
        </w:rPr>
        <w:t>, “Harley-Davidson and the Quest for Female Customers: Harley-Davidson’s Wild Ride</w:t>
      </w:r>
      <w:r w:rsidRPr="008D050E">
        <w:rPr>
          <w:spacing w:val="-4"/>
          <w:kern w:val="17"/>
        </w:rPr>
        <w:t xml:space="preserve">,” </w:t>
      </w:r>
      <w:proofErr w:type="spellStart"/>
      <w:r w:rsidRPr="008D050E" w:rsidDel="00650D90">
        <w:rPr>
          <w:spacing w:val="-4"/>
          <w:kern w:val="17"/>
        </w:rPr>
        <w:t>n.d.</w:t>
      </w:r>
      <w:proofErr w:type="spellEnd"/>
      <w:r w:rsidRPr="008D050E" w:rsidDel="00650D90">
        <w:rPr>
          <w:spacing w:val="-4"/>
          <w:kern w:val="17"/>
        </w:rPr>
        <w:t xml:space="preserve">, </w:t>
      </w:r>
      <w:r w:rsidRPr="008D050E">
        <w:rPr>
          <w:spacing w:val="-4"/>
          <w:kern w:val="17"/>
        </w:rPr>
        <w:t>Britton, accessed October 8, 2017, www.brittonmdg.com/the-britton-blog/Harley-Davidson-targeting-women-and-young-customers-in-marketing.</w:t>
      </w:r>
    </w:p>
  </w:endnote>
  <w:endnote w:id="30">
    <w:p w14:paraId="2A61680F" w14:textId="77777777" w:rsidR="00242E14" w:rsidRPr="00A74EEE" w:rsidRDefault="00242E14" w:rsidP="00001AE5">
      <w:pPr>
        <w:pStyle w:val="Footnote"/>
      </w:pPr>
      <w:r w:rsidRPr="00A7775E">
        <w:rPr>
          <w:rStyle w:val="EndnoteReference"/>
        </w:rPr>
        <w:endnoteRef/>
      </w:r>
      <w:r w:rsidRPr="00D418D0">
        <w:t xml:space="preserve"> Dmitry </w:t>
      </w:r>
      <w:proofErr w:type="spellStart"/>
      <w:r w:rsidRPr="00D418D0">
        <w:t>Sudakov</w:t>
      </w:r>
      <w:proofErr w:type="spellEnd"/>
      <w:r w:rsidRPr="00D418D0">
        <w:t xml:space="preserve">, </w:t>
      </w:r>
      <w:r>
        <w:t>“</w:t>
      </w:r>
      <w:r w:rsidRPr="00450EAE">
        <w:rPr>
          <w:rFonts w:eastAsia="Calibri"/>
        </w:rPr>
        <w:t>Harley-Davidson, Toyota</w:t>
      </w:r>
      <w:r w:rsidRPr="00D418D0">
        <w:t xml:space="preserve"> and Porsche Brands Lose Value,</w:t>
      </w:r>
      <w:r>
        <w:t>”</w:t>
      </w:r>
      <w:r w:rsidRPr="00D418D0">
        <w:t xml:space="preserve"> </w:t>
      </w:r>
      <w:r w:rsidRPr="00D418D0">
        <w:rPr>
          <w:i/>
        </w:rPr>
        <w:t>Pravda</w:t>
      </w:r>
      <w:r w:rsidRPr="00D418D0">
        <w:t>, September 23, 2009</w:t>
      </w:r>
      <w:r w:rsidRPr="00D418D0">
        <w:rPr>
          <w:color w:val="000000"/>
        </w:rPr>
        <w:t xml:space="preserve">, accessed October 8, </w:t>
      </w:r>
      <w:r w:rsidRPr="00A74EEE">
        <w:t xml:space="preserve">2017, </w:t>
      </w:r>
      <w:r w:rsidRPr="00527C0B">
        <w:t>www.pravdareport.com/business/companies/23-09-2009/109454-harley_davidson-0/</w:t>
      </w:r>
      <w:r>
        <w:t>.</w:t>
      </w:r>
    </w:p>
  </w:endnote>
  <w:endnote w:id="31">
    <w:p w14:paraId="75E1CF9A" w14:textId="77777777" w:rsidR="00242E14" w:rsidRPr="00A74EEE" w:rsidRDefault="00242E14" w:rsidP="00001AE5">
      <w:pPr>
        <w:pStyle w:val="Footnote"/>
      </w:pPr>
      <w:r w:rsidRPr="00A7775E">
        <w:rPr>
          <w:rStyle w:val="EndnoteReference"/>
        </w:rPr>
        <w:endnoteRef/>
      </w:r>
      <w:r w:rsidRPr="00D418D0">
        <w:t xml:space="preserve"> Richard L. </w:t>
      </w:r>
      <w:r w:rsidRPr="00A74EEE">
        <w:t xml:space="preserve">Nola and Suresh </w:t>
      </w:r>
      <w:proofErr w:type="spellStart"/>
      <w:r w:rsidRPr="00A74EEE">
        <w:t>Kotha</w:t>
      </w:r>
      <w:proofErr w:type="spellEnd"/>
      <w:r w:rsidRPr="00A74EEE">
        <w:t xml:space="preserve">, </w:t>
      </w:r>
      <w:r w:rsidRPr="00A53D36">
        <w:rPr>
          <w:i/>
        </w:rPr>
        <w:t>Harley-Davidson: Preparing for the Next Century</w:t>
      </w:r>
      <w:r w:rsidRPr="00A74EEE">
        <w:t xml:space="preserve"> </w:t>
      </w:r>
      <w:r>
        <w:t xml:space="preserve">(Boston, MA: </w:t>
      </w:r>
      <w:r w:rsidRPr="00A74EEE">
        <w:t xml:space="preserve">Harvard </w:t>
      </w:r>
      <w:r>
        <w:t xml:space="preserve">Business Publishing, 2007). Available from Ivey Publishing, product no. </w:t>
      </w:r>
      <w:r w:rsidRPr="00650D90">
        <w:t>906410</w:t>
      </w:r>
      <w:r>
        <w:t>.</w:t>
      </w:r>
    </w:p>
  </w:endnote>
  <w:endnote w:id="32">
    <w:p w14:paraId="72E64413" w14:textId="77777777" w:rsidR="00242E14" w:rsidRPr="00D418D0" w:rsidRDefault="00242E14" w:rsidP="00001AE5">
      <w:pPr>
        <w:pStyle w:val="Footnote"/>
      </w:pPr>
      <w:r w:rsidRPr="00A7775E">
        <w:rPr>
          <w:rStyle w:val="EndnoteReference"/>
        </w:rPr>
        <w:endnoteRef/>
      </w:r>
      <w:r w:rsidRPr="00D418D0">
        <w:t xml:space="preserve"> Richard Fry, “Millennials </w:t>
      </w:r>
      <w:r>
        <w:t>O</w:t>
      </w:r>
      <w:r w:rsidRPr="00D418D0">
        <w:t xml:space="preserve">vertake Baby Boomers as America’s </w:t>
      </w:r>
      <w:r>
        <w:t>L</w:t>
      </w:r>
      <w:r w:rsidRPr="00D418D0">
        <w:t xml:space="preserve">argest </w:t>
      </w:r>
      <w:r>
        <w:t>G</w:t>
      </w:r>
      <w:r w:rsidRPr="00D418D0">
        <w:t>eneration,” Pew Research Center, April 25, 201</w:t>
      </w:r>
      <w:r>
        <w:t>6</w:t>
      </w:r>
      <w:r w:rsidRPr="00D418D0">
        <w:t xml:space="preserve">, accessed November 17, </w:t>
      </w:r>
      <w:r w:rsidRPr="00A74EEE">
        <w:t xml:space="preserve">2017, </w:t>
      </w:r>
      <w:r w:rsidRPr="00527C0B">
        <w:t>www.pewresearch.org/fact-tank/2016/04/25/millennials-overtake-baby-boomers/</w:t>
      </w:r>
      <w:r>
        <w:t>.</w:t>
      </w:r>
    </w:p>
  </w:endnote>
  <w:endnote w:id="33">
    <w:p w14:paraId="06CE73EF" w14:textId="77777777" w:rsidR="00242E14" w:rsidRPr="00DB3D54" w:rsidRDefault="00242E14" w:rsidP="00001AE5">
      <w:pPr>
        <w:pStyle w:val="Footnote"/>
      </w:pPr>
      <w:r w:rsidRPr="00A7775E">
        <w:rPr>
          <w:rStyle w:val="EndnoteReference"/>
        </w:rPr>
        <w:endnoteRef/>
      </w:r>
      <w:r w:rsidRPr="00A7775E">
        <w:t xml:space="preserve"> </w:t>
      </w:r>
      <w:r w:rsidDel="00650D90">
        <w:t>Moto USA</w:t>
      </w:r>
      <w:r w:rsidRPr="00083F77" w:rsidDel="00650D90">
        <w:t xml:space="preserve">, </w:t>
      </w:r>
      <w:r w:rsidRPr="00083F77">
        <w:t>“</w:t>
      </w:r>
      <w:r w:rsidRPr="00083F77" w:rsidDel="0053324F">
        <w:t>H-D</w:t>
      </w:r>
      <w:r w:rsidRPr="00083F77">
        <w:t xml:space="preserve"> &amp; Jillian Michaels Encourage Women to Ride</w:t>
      </w:r>
      <w:r>
        <w:t>,” Moto USA</w:t>
      </w:r>
      <w:r w:rsidRPr="00083F77">
        <w:t xml:space="preserve">, </w:t>
      </w:r>
      <w:r>
        <w:t xml:space="preserve">March 5, 2010, accessed March 3, 2018, </w:t>
      </w:r>
      <w:r w:rsidRPr="00DB3D54">
        <w:t>www.motorcycle-usa.com/2010/03/article/</w:t>
      </w:r>
      <w:r w:rsidRPr="00DB3D54" w:rsidDel="0053324F">
        <w:t>h-d</w:t>
      </w:r>
      <w:r>
        <w:t>Harley-Davidson</w:t>
      </w:r>
      <w:r w:rsidRPr="00DB3D54">
        <w:t>-jillian-michaels-encourage-</w:t>
      </w:r>
      <w:r w:rsidRPr="00083F77">
        <w:t>women-to-ride/</w:t>
      </w:r>
      <w:r>
        <w:t>.</w:t>
      </w:r>
    </w:p>
  </w:endnote>
  <w:endnote w:id="34">
    <w:p w14:paraId="39424202" w14:textId="3E478CF7" w:rsidR="00242E14" w:rsidRPr="00D418D0" w:rsidRDefault="00242E14" w:rsidP="00001AE5">
      <w:pPr>
        <w:pStyle w:val="Footnote"/>
      </w:pPr>
      <w:r w:rsidRPr="00A7775E">
        <w:rPr>
          <w:rStyle w:val="EndnoteReference"/>
        </w:rPr>
        <w:endnoteRef/>
      </w:r>
      <w:r w:rsidRPr="00D418D0">
        <w:t xml:space="preserve"> </w:t>
      </w:r>
      <w:proofErr w:type="spellStart"/>
      <w:r w:rsidRPr="00D418D0">
        <w:t>Penhollow</w:t>
      </w:r>
      <w:proofErr w:type="spellEnd"/>
      <w:r w:rsidRPr="00D418D0">
        <w:t>,</w:t>
      </w:r>
      <w:r>
        <w:t xml:space="preserve"> op. cit.</w:t>
      </w:r>
      <w:r w:rsidRPr="00D418D0">
        <w:t xml:space="preserve"> </w:t>
      </w:r>
    </w:p>
  </w:endnote>
  <w:endnote w:id="35">
    <w:p w14:paraId="3DEB2AAE" w14:textId="77777777" w:rsidR="00242E14" w:rsidRPr="00A74EEE" w:rsidRDefault="00242E14" w:rsidP="00001AE5">
      <w:pPr>
        <w:pStyle w:val="Footnote"/>
      </w:pPr>
      <w:r w:rsidRPr="00A7775E">
        <w:rPr>
          <w:rStyle w:val="EndnoteReference"/>
        </w:rPr>
        <w:endnoteRef/>
      </w:r>
      <w:r w:rsidRPr="00A7775E">
        <w:t xml:space="preserve"> </w:t>
      </w:r>
      <w:r w:rsidRPr="00A53D36">
        <w:t>“</w:t>
      </w:r>
      <w:r w:rsidRPr="00A74EEE">
        <w:t>Moto</w:t>
      </w:r>
      <w:r w:rsidRPr="00D37C3B">
        <w:t>rcycl</w:t>
      </w:r>
      <w:r w:rsidRPr="00A74EEE">
        <w:t>e Shipments,</w:t>
      </w:r>
      <w:r>
        <w:t>”</w:t>
      </w:r>
      <w:r w:rsidRPr="00A74EEE">
        <w:t xml:space="preserve"> </w:t>
      </w:r>
      <w:r w:rsidRPr="00D418D0">
        <w:t>Harley-</w:t>
      </w:r>
      <w:r w:rsidRPr="00A74EEE">
        <w:t>Davidson</w:t>
      </w:r>
      <w:r>
        <w:t xml:space="preserve"> Motorcycles</w:t>
      </w:r>
      <w:r w:rsidRPr="00A74EEE">
        <w:t xml:space="preserve">, accessed November 17, 2017, </w:t>
      </w:r>
      <w:hyperlink r:id="rId10" w:history="1">
        <w:r w:rsidRPr="00A74EEE">
          <w:t>http://investor.harley-davidson.com/our-company/motorcycle-shipments</w:t>
        </w:r>
      </w:hyperlink>
      <w:r>
        <w:t>.</w:t>
      </w:r>
    </w:p>
  </w:endnote>
  <w:endnote w:id="36">
    <w:p w14:paraId="01D13AE5" w14:textId="77777777" w:rsidR="00242E14" w:rsidRPr="00D37C3B" w:rsidRDefault="00242E14" w:rsidP="001969F3">
      <w:pPr>
        <w:pStyle w:val="Footnote"/>
        <w:rPr>
          <w:rStyle w:val="FootnoteChar"/>
          <w:b/>
        </w:rPr>
      </w:pPr>
      <w:r w:rsidRPr="00A7775E">
        <w:rPr>
          <w:rStyle w:val="FootnoteChar"/>
        </w:rPr>
        <w:endnoteRef/>
      </w:r>
      <w:r w:rsidRPr="00A7775E">
        <w:rPr>
          <w:rStyle w:val="FootnoteChar"/>
        </w:rPr>
        <w:t xml:space="preserve"> </w:t>
      </w:r>
      <w:r w:rsidRPr="00D37C3B">
        <w:rPr>
          <w:rStyle w:val="FootnoteChar"/>
        </w:rPr>
        <w:t>PRNewswire.com, “Harley-Davidson Reports Fourth Quarter, Full-Year 2016 Results” Harley-Davidson Motorcycles, January 31, 2017, accessed April 17, 2018, https://www.prnewswire.com/news-releases/harley-davidson-reports-fourth-quarter-full-year-2016-results-300399165.html.</w:t>
      </w:r>
    </w:p>
  </w:endnote>
  <w:endnote w:id="37">
    <w:p w14:paraId="52CD02F6" w14:textId="77777777" w:rsidR="00242E14" w:rsidRPr="00D418D0" w:rsidRDefault="00242E14" w:rsidP="00001AE5">
      <w:pPr>
        <w:pStyle w:val="Footnote"/>
      </w:pPr>
      <w:r w:rsidRPr="00A7775E">
        <w:rPr>
          <w:rStyle w:val="EndnoteReference"/>
        </w:rPr>
        <w:endnoteRef/>
      </w:r>
      <w:r w:rsidRPr="00A7775E">
        <w:t xml:space="preserve"> </w:t>
      </w:r>
      <w:r w:rsidRPr="00D37C3B">
        <w:t>Sean McLain and Andrew</w:t>
      </w:r>
      <w:r w:rsidRPr="00D418D0">
        <w:t xml:space="preserve"> </w:t>
      </w:r>
      <w:proofErr w:type="spellStart"/>
      <w:r w:rsidRPr="00D418D0">
        <w:t>Tangel</w:t>
      </w:r>
      <w:proofErr w:type="spellEnd"/>
      <w:r w:rsidRPr="00D418D0">
        <w:t xml:space="preserve">, “Harley-Davidson </w:t>
      </w:r>
      <w:r>
        <w:t>I</w:t>
      </w:r>
      <w:r w:rsidRPr="00D418D0">
        <w:t xml:space="preserve">s Doing Pretty Well Overseas; About 40% of the </w:t>
      </w:r>
      <w:r>
        <w:t>C</w:t>
      </w:r>
      <w:r w:rsidRPr="00D418D0">
        <w:t xml:space="preserve">ompany’s </w:t>
      </w:r>
      <w:r>
        <w:t>M</w:t>
      </w:r>
      <w:r w:rsidRPr="00D418D0">
        <w:t xml:space="preserve">otorcycles </w:t>
      </w:r>
      <w:r>
        <w:t>S</w:t>
      </w:r>
      <w:r w:rsidRPr="00D418D0">
        <w:t xml:space="preserve">old </w:t>
      </w:r>
      <w:r>
        <w:t>L</w:t>
      </w:r>
      <w:r w:rsidRPr="00D418D0">
        <w:t xml:space="preserve">ast </w:t>
      </w:r>
      <w:r>
        <w:t>Y</w:t>
      </w:r>
      <w:r w:rsidRPr="00D418D0">
        <w:t xml:space="preserve">ear </w:t>
      </w:r>
      <w:r>
        <w:t>W</w:t>
      </w:r>
      <w:r w:rsidRPr="00D418D0">
        <w:t xml:space="preserve">ent to </w:t>
      </w:r>
      <w:r w:rsidRPr="00A74EEE">
        <w:t xml:space="preserve">Customers Outside the U.S.,” </w:t>
      </w:r>
      <w:r w:rsidRPr="00A53D36">
        <w:rPr>
          <w:i/>
        </w:rPr>
        <w:t>Wall Street Journal</w:t>
      </w:r>
      <w:r w:rsidRPr="00A74EEE">
        <w:t xml:space="preserve">, March 1, 2017, accessed December 19, </w:t>
      </w:r>
      <w:r>
        <w:t xml:space="preserve">2017, </w:t>
      </w:r>
      <w:hyperlink r:id="rId11" w:history="1">
        <w:r w:rsidRPr="00A74EEE">
          <w:t>https://www.wsj.com/articles/trump-puts-spotlight-on-harley-davidsons-overseas-sales-challenges-1488372741</w:t>
        </w:r>
      </w:hyperlink>
      <w:r>
        <w:t>.</w:t>
      </w:r>
    </w:p>
  </w:endnote>
  <w:endnote w:id="38">
    <w:p w14:paraId="4CBA9CD9" w14:textId="589EEEDA" w:rsidR="00242E14" w:rsidRPr="00242E14" w:rsidRDefault="00242E14" w:rsidP="00A7775E">
      <w:pPr>
        <w:pStyle w:val="Footnote"/>
      </w:pPr>
      <w:r>
        <w:rPr>
          <w:rStyle w:val="EndnoteReference"/>
        </w:rPr>
        <w:endnoteRef/>
      </w:r>
      <w:r>
        <w:t xml:space="preserve"> PRNewswire.com,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36437" w14:textId="77777777" w:rsidR="00785692" w:rsidRDefault="00785692" w:rsidP="00D75295">
      <w:r>
        <w:separator/>
      </w:r>
    </w:p>
  </w:footnote>
  <w:footnote w:type="continuationSeparator" w:id="0">
    <w:p w14:paraId="63D1BE5B" w14:textId="77777777" w:rsidR="00785692" w:rsidRDefault="0078569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8718" w14:textId="6C82FE4E" w:rsidR="00242E14" w:rsidRPr="00C92CC4" w:rsidRDefault="00242E1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B4F44">
      <w:rPr>
        <w:rFonts w:ascii="Arial" w:hAnsi="Arial"/>
        <w:b/>
        <w:noProof/>
      </w:rPr>
      <w:t>11</w:t>
    </w:r>
    <w:r>
      <w:rPr>
        <w:rFonts w:ascii="Arial" w:hAnsi="Arial"/>
        <w:b/>
      </w:rPr>
      <w:fldChar w:fldCharType="end"/>
    </w:r>
    <w:r w:rsidR="008D050E">
      <w:rPr>
        <w:rFonts w:ascii="Arial" w:hAnsi="Arial"/>
        <w:b/>
      </w:rPr>
      <w:tab/>
      <w:t>9B18M087</w:t>
    </w:r>
  </w:p>
  <w:p w14:paraId="68C19143" w14:textId="77777777" w:rsidR="00242E14" w:rsidRDefault="00242E14" w:rsidP="00D13667">
    <w:pPr>
      <w:pStyle w:val="Header"/>
      <w:tabs>
        <w:tab w:val="clear" w:pos="4680"/>
      </w:tabs>
      <w:rPr>
        <w:sz w:val="18"/>
        <w:szCs w:val="18"/>
      </w:rPr>
    </w:pPr>
  </w:p>
  <w:p w14:paraId="64EEA69B" w14:textId="77777777" w:rsidR="00242E14" w:rsidRPr="00C92CC4" w:rsidRDefault="00242E1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63B62"/>
    <w:multiLevelType w:val="multilevel"/>
    <w:tmpl w:val="A5C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D4D5E"/>
    <w:multiLevelType w:val="hybridMultilevel"/>
    <w:tmpl w:val="8B9C8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7"/>
  </w:num>
  <w:num w:numId="13">
    <w:abstractNumId w:val="15"/>
  </w:num>
  <w:num w:numId="14">
    <w:abstractNumId w:val="29"/>
  </w:num>
  <w:num w:numId="15">
    <w:abstractNumId w:val="38"/>
  </w:num>
  <w:num w:numId="16">
    <w:abstractNumId w:val="17"/>
  </w:num>
  <w:num w:numId="17">
    <w:abstractNumId w:val="25"/>
  </w:num>
  <w:num w:numId="18">
    <w:abstractNumId w:val="16"/>
  </w:num>
  <w:num w:numId="19">
    <w:abstractNumId w:val="20"/>
  </w:num>
  <w:num w:numId="20">
    <w:abstractNumId w:val="35"/>
  </w:num>
  <w:num w:numId="21">
    <w:abstractNumId w:val="27"/>
  </w:num>
  <w:num w:numId="22">
    <w:abstractNumId w:val="28"/>
  </w:num>
  <w:num w:numId="23">
    <w:abstractNumId w:val="10"/>
  </w:num>
  <w:num w:numId="24">
    <w:abstractNumId w:val="13"/>
  </w:num>
  <w:num w:numId="25">
    <w:abstractNumId w:val="39"/>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36"/>
  </w:num>
  <w:num w:numId="41">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AE5"/>
    <w:rsid w:val="00013360"/>
    <w:rsid w:val="00016759"/>
    <w:rsid w:val="000216CE"/>
    <w:rsid w:val="00024ED4"/>
    <w:rsid w:val="00025DC7"/>
    <w:rsid w:val="00035F09"/>
    <w:rsid w:val="00044ECC"/>
    <w:rsid w:val="000531D3"/>
    <w:rsid w:val="0005646B"/>
    <w:rsid w:val="0008102D"/>
    <w:rsid w:val="00094C0E"/>
    <w:rsid w:val="000D0EE2"/>
    <w:rsid w:val="000D3813"/>
    <w:rsid w:val="000D7091"/>
    <w:rsid w:val="000F0C22"/>
    <w:rsid w:val="000F6B09"/>
    <w:rsid w:val="000F6FDC"/>
    <w:rsid w:val="00104567"/>
    <w:rsid w:val="00104916"/>
    <w:rsid w:val="00104AA7"/>
    <w:rsid w:val="0012732D"/>
    <w:rsid w:val="00143F25"/>
    <w:rsid w:val="00152682"/>
    <w:rsid w:val="00154FC9"/>
    <w:rsid w:val="00156452"/>
    <w:rsid w:val="001569B3"/>
    <w:rsid w:val="0019241A"/>
    <w:rsid w:val="001969F3"/>
    <w:rsid w:val="001A022A"/>
    <w:rsid w:val="001A22D1"/>
    <w:rsid w:val="001A752D"/>
    <w:rsid w:val="001A757E"/>
    <w:rsid w:val="001B5032"/>
    <w:rsid w:val="001C7777"/>
    <w:rsid w:val="001E364F"/>
    <w:rsid w:val="001F1B70"/>
    <w:rsid w:val="001F4222"/>
    <w:rsid w:val="001F4E4C"/>
    <w:rsid w:val="00203AA1"/>
    <w:rsid w:val="00213E98"/>
    <w:rsid w:val="0023081A"/>
    <w:rsid w:val="00242E14"/>
    <w:rsid w:val="002F460C"/>
    <w:rsid w:val="002F48D6"/>
    <w:rsid w:val="00303FD1"/>
    <w:rsid w:val="00317391"/>
    <w:rsid w:val="00317EB7"/>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08C7"/>
    <w:rsid w:val="004355A3"/>
    <w:rsid w:val="00446546"/>
    <w:rsid w:val="00452769"/>
    <w:rsid w:val="00465348"/>
    <w:rsid w:val="0048728E"/>
    <w:rsid w:val="004B1CCB"/>
    <w:rsid w:val="004B632F"/>
    <w:rsid w:val="004D3FB1"/>
    <w:rsid w:val="004D6F21"/>
    <w:rsid w:val="004D73A5"/>
    <w:rsid w:val="004E5732"/>
    <w:rsid w:val="005154D1"/>
    <w:rsid w:val="005160F1"/>
    <w:rsid w:val="00524F2F"/>
    <w:rsid w:val="00527E5C"/>
    <w:rsid w:val="00532CF5"/>
    <w:rsid w:val="0054394F"/>
    <w:rsid w:val="005528CB"/>
    <w:rsid w:val="00566771"/>
    <w:rsid w:val="005718DB"/>
    <w:rsid w:val="00581E2E"/>
    <w:rsid w:val="00584F15"/>
    <w:rsid w:val="0059514B"/>
    <w:rsid w:val="005A1B0F"/>
    <w:rsid w:val="006163F7"/>
    <w:rsid w:val="00627C63"/>
    <w:rsid w:val="0063350B"/>
    <w:rsid w:val="00652606"/>
    <w:rsid w:val="00653D3D"/>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5692"/>
    <w:rsid w:val="007866A6"/>
    <w:rsid w:val="007A130D"/>
    <w:rsid w:val="007D1A2D"/>
    <w:rsid w:val="007D4102"/>
    <w:rsid w:val="007D76E6"/>
    <w:rsid w:val="007D7A9E"/>
    <w:rsid w:val="007E1BC9"/>
    <w:rsid w:val="007F43B7"/>
    <w:rsid w:val="00801D20"/>
    <w:rsid w:val="00821FFC"/>
    <w:rsid w:val="008271CA"/>
    <w:rsid w:val="008467D5"/>
    <w:rsid w:val="008A223A"/>
    <w:rsid w:val="008A4DC4"/>
    <w:rsid w:val="008B438C"/>
    <w:rsid w:val="008D050E"/>
    <w:rsid w:val="008D06CA"/>
    <w:rsid w:val="008D3A46"/>
    <w:rsid w:val="009067A4"/>
    <w:rsid w:val="00930885"/>
    <w:rsid w:val="00933D68"/>
    <w:rsid w:val="009340DB"/>
    <w:rsid w:val="0093669B"/>
    <w:rsid w:val="0094618C"/>
    <w:rsid w:val="0095684B"/>
    <w:rsid w:val="00972498"/>
    <w:rsid w:val="0097481F"/>
    <w:rsid w:val="00974CC6"/>
    <w:rsid w:val="00976AD4"/>
    <w:rsid w:val="00995547"/>
    <w:rsid w:val="009A312F"/>
    <w:rsid w:val="009A5348"/>
    <w:rsid w:val="009B0AB7"/>
    <w:rsid w:val="009B3B94"/>
    <w:rsid w:val="009B4F44"/>
    <w:rsid w:val="009C76D5"/>
    <w:rsid w:val="009F7AA4"/>
    <w:rsid w:val="00A10AD7"/>
    <w:rsid w:val="00A559DB"/>
    <w:rsid w:val="00A569EA"/>
    <w:rsid w:val="00A7775E"/>
    <w:rsid w:val="00AF35FC"/>
    <w:rsid w:val="00AF5556"/>
    <w:rsid w:val="00B03639"/>
    <w:rsid w:val="00B0652A"/>
    <w:rsid w:val="00B31C87"/>
    <w:rsid w:val="00B40937"/>
    <w:rsid w:val="00B423EF"/>
    <w:rsid w:val="00B453DE"/>
    <w:rsid w:val="00B72597"/>
    <w:rsid w:val="00B901F9"/>
    <w:rsid w:val="00BD6EFB"/>
    <w:rsid w:val="00C1584D"/>
    <w:rsid w:val="00C15BE2"/>
    <w:rsid w:val="00C273AA"/>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431A"/>
    <w:rsid w:val="00D15344"/>
    <w:rsid w:val="00D23F57"/>
    <w:rsid w:val="00D31BEC"/>
    <w:rsid w:val="00D63150"/>
    <w:rsid w:val="00D636BA"/>
    <w:rsid w:val="00D64A32"/>
    <w:rsid w:val="00D64EFC"/>
    <w:rsid w:val="00D75295"/>
    <w:rsid w:val="00D76CE9"/>
    <w:rsid w:val="00D9338F"/>
    <w:rsid w:val="00D97F12"/>
    <w:rsid w:val="00DA6095"/>
    <w:rsid w:val="00DB42E7"/>
    <w:rsid w:val="00DC0F28"/>
    <w:rsid w:val="00DE01A6"/>
    <w:rsid w:val="00DE7A98"/>
    <w:rsid w:val="00DF0557"/>
    <w:rsid w:val="00DF32C2"/>
    <w:rsid w:val="00DF335A"/>
    <w:rsid w:val="00E471A7"/>
    <w:rsid w:val="00E635CF"/>
    <w:rsid w:val="00E72B80"/>
    <w:rsid w:val="00EC6E0A"/>
    <w:rsid w:val="00ED4E18"/>
    <w:rsid w:val="00EE1F37"/>
    <w:rsid w:val="00F0159C"/>
    <w:rsid w:val="00F105B7"/>
    <w:rsid w:val="00F13220"/>
    <w:rsid w:val="00F17A21"/>
    <w:rsid w:val="00F2058C"/>
    <w:rsid w:val="00F37B27"/>
    <w:rsid w:val="00F46556"/>
    <w:rsid w:val="00F50524"/>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0E157EA"/>
  <w15:docId w15:val="{09A44F28-EBB1-4E4B-A679-2421EA1B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Cqog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21eK8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s://www.upi.com/Business_News/2016/08/18/Harley-Davidson-agrees-to-12M-penalty-over-EPA-claims-on-tuners-pollution-potential/7771471561824/" TargetMode="External"/><Relationship Id="rId3" Type="http://schemas.openxmlformats.org/officeDocument/2006/relationships/hyperlink" Target="https://www.washingtonpost.com/graphics/politics/week-of-trump-tweets/" TargetMode="External"/><Relationship Id="rId7" Type="http://schemas.openxmlformats.org/officeDocument/2006/relationships/hyperlink" Target="http://money.cnn.com/2017/04/28/investing/trump-rally-wall-street-100-days/index.html" TargetMode="External"/><Relationship Id="rId2" Type="http://schemas.openxmlformats.org/officeDocument/2006/relationships/hyperlink" Target="https://www.mediaite.com/online/toyota-stock-drops-immediately-after-trump-tweet-about-mexican-factory/" TargetMode="External"/><Relationship Id="rId1" Type="http://schemas.openxmlformats.org/officeDocument/2006/relationships/hyperlink" Target="http://jalopnik.com/why-mark-fields-was-fired-1795431562" TargetMode="External"/><Relationship Id="rId6" Type="http://schemas.openxmlformats.org/officeDocument/2006/relationships/hyperlink" Target="https://ca.finance.yahoo.com/quote/hog?ltr=1" TargetMode="External"/><Relationship Id="rId11" Type="http://schemas.openxmlformats.org/officeDocument/2006/relationships/hyperlink" Target="https://www.wsj.com/articles/trump-puts-spotlight-on-harley-davidsons-overseas-sales-challenges-1488372741" TargetMode="External"/><Relationship Id="rId5" Type="http://schemas.openxmlformats.org/officeDocument/2006/relationships/hyperlink" Target="https://qz.com/921722/the-country-trump-mentioned-with-a-100-tariff-on-harley-davidson-motorcycles-india/" TargetMode="External"/><Relationship Id="rId10" Type="http://schemas.openxmlformats.org/officeDocument/2006/relationships/hyperlink" Target="http://investor.harley-davidson.com/our-company/motorcycle-shipments" TargetMode="External"/><Relationship Id="rId4" Type="http://schemas.openxmlformats.org/officeDocument/2006/relationships/hyperlink" Target="https://www.cnbc.com/2016/12/22/lockheed-martin-shares-take-another-tumble-after-trump-tweet.html" TargetMode="External"/><Relationship Id="rId9" Type="http://schemas.openxmlformats.org/officeDocument/2006/relationships/hyperlink" Target="https://www.fool.com/investing/2017/10/25/harley-davidsons-earnings-report-is-even-worse-th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A3EC5-BC65-4A65-A25A-775AB6DB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3968</Words>
  <Characters>22623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7</cp:revision>
  <cp:lastPrinted>2018-08-01T11:40:00Z</cp:lastPrinted>
  <dcterms:created xsi:type="dcterms:W3CDTF">2018-05-24T12:49:00Z</dcterms:created>
  <dcterms:modified xsi:type="dcterms:W3CDTF">2018-08-01T11:41:00Z</dcterms:modified>
</cp:coreProperties>
</file>