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4"/>
        <w:gridCol w:w="4628"/>
      </w:tblGrid>
      <w:tr w:rsidR="00727926" w14:paraId="39840116" w14:textId="77777777" w:rsidTr="008B74F4">
        <w:tc>
          <w:tcPr>
            <w:tcW w:w="4680" w:type="dxa"/>
          </w:tcPr>
          <w:p w14:paraId="577CAB88" w14:textId="77777777" w:rsidR="00727926" w:rsidRDefault="00727926" w:rsidP="008B74F4">
            <w:pPr>
              <w:tabs>
                <w:tab w:val="left" w:pos="-1440"/>
                <w:tab w:val="left" w:pos="-720"/>
                <w:tab w:val="left" w:pos="1"/>
              </w:tabs>
              <w:jc w:val="both"/>
              <w:rPr>
                <w:rFonts w:ascii="Arial" w:hAnsi="Arial"/>
                <w:b/>
                <w:sz w:val="24"/>
              </w:rPr>
            </w:pPr>
            <w:r>
              <w:rPr>
                <w:rFonts w:ascii="Arial" w:hAnsi="Arial"/>
                <w:b/>
                <w:noProof/>
                <w:sz w:val="24"/>
              </w:rPr>
              <w:drawing>
                <wp:inline distT="0" distB="0" distL="0" distR="0" wp14:anchorId="0DF6F6D6" wp14:editId="566836FF">
                  <wp:extent cx="2613804" cy="55124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4CD7811" w14:textId="66C8976F" w:rsidR="00727926" w:rsidRDefault="00727926" w:rsidP="008B74F4">
            <w:pPr>
              <w:tabs>
                <w:tab w:val="left" w:pos="-1440"/>
                <w:tab w:val="left" w:pos="-720"/>
                <w:tab w:val="left" w:pos="1"/>
              </w:tabs>
              <w:jc w:val="right"/>
              <w:rPr>
                <w:rFonts w:ascii="Arial" w:hAnsi="Arial"/>
                <w:b/>
                <w:sz w:val="24"/>
              </w:rPr>
            </w:pPr>
            <w:r>
              <w:rPr>
                <w:noProof/>
              </w:rPr>
              <w:drawing>
                <wp:inline distT="0" distB="0" distL="0" distR="0" wp14:anchorId="38666E3E" wp14:editId="4CA01019">
                  <wp:extent cx="2259363" cy="551536"/>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5541" cy="616513"/>
                          </a:xfrm>
                          <a:prstGeom prst="rect">
                            <a:avLst/>
                          </a:prstGeom>
                        </pic:spPr>
                      </pic:pic>
                    </a:graphicData>
                  </a:graphic>
                </wp:inline>
              </w:drawing>
            </w:r>
          </w:p>
        </w:tc>
      </w:tr>
    </w:tbl>
    <w:p w14:paraId="182A8BD3" w14:textId="77777777" w:rsidR="00727926" w:rsidRPr="00727926" w:rsidRDefault="00727926" w:rsidP="00727926">
      <w:pPr>
        <w:pBdr>
          <w:bottom w:val="single" w:sz="18" w:space="1" w:color="auto"/>
        </w:pBdr>
        <w:tabs>
          <w:tab w:val="left" w:pos="-1440"/>
          <w:tab w:val="left" w:pos="-720"/>
          <w:tab w:val="left" w:pos="1"/>
        </w:tabs>
        <w:jc w:val="both"/>
        <w:rPr>
          <w:rFonts w:ascii="Arial" w:hAnsi="Arial"/>
          <w:b/>
          <w:sz w:val="10"/>
          <w:szCs w:val="24"/>
        </w:rPr>
      </w:pPr>
    </w:p>
    <w:p w14:paraId="3342E788" w14:textId="7832D3C5" w:rsidR="00727926" w:rsidRDefault="00727926" w:rsidP="00727926">
      <w:pPr>
        <w:pStyle w:val="ProductNumber"/>
      </w:pPr>
      <w:r>
        <w:t>9B18M088</w:t>
      </w:r>
    </w:p>
    <w:p w14:paraId="28B929FE" w14:textId="77777777" w:rsidR="00727926" w:rsidRDefault="00727926" w:rsidP="00727926">
      <w:pPr>
        <w:jc w:val="right"/>
        <w:rPr>
          <w:rFonts w:ascii="Arial" w:hAnsi="Arial"/>
          <w:b/>
          <w:sz w:val="28"/>
          <w:szCs w:val="28"/>
        </w:rPr>
      </w:pPr>
    </w:p>
    <w:p w14:paraId="628CCA17" w14:textId="77777777" w:rsidR="00727926" w:rsidRDefault="00727926" w:rsidP="00727926">
      <w:pPr>
        <w:rPr>
          <w:rFonts w:ascii="Arial" w:hAnsi="Arial"/>
          <w:b/>
          <w:sz w:val="28"/>
          <w:szCs w:val="28"/>
        </w:rPr>
      </w:pPr>
    </w:p>
    <w:p w14:paraId="6680DCF8" w14:textId="7757EFE7" w:rsidR="00727926" w:rsidRPr="00727926" w:rsidRDefault="00727926" w:rsidP="00727926">
      <w:pPr>
        <w:pStyle w:val="CaseTitle"/>
        <w:spacing w:after="0" w:line="240" w:lineRule="auto"/>
        <w:rPr>
          <w:rFonts w:eastAsia="Times New Roman"/>
          <w:szCs w:val="20"/>
          <w:lang w:val="en-GB"/>
        </w:rPr>
      </w:pPr>
      <w:r w:rsidRPr="00ED5B14">
        <w:rPr>
          <w:rFonts w:eastAsia="Times New Roman"/>
          <w:szCs w:val="20"/>
          <w:lang w:val="en-GB"/>
        </w:rPr>
        <w:t>Kanaka bar indian band: towards self-sufficiency, vibrancy, and sustainability</w:t>
      </w:r>
    </w:p>
    <w:p w14:paraId="78A9F194" w14:textId="77777777" w:rsidR="00727926" w:rsidRDefault="00727926" w:rsidP="00727926">
      <w:pPr>
        <w:pStyle w:val="CaseTitle"/>
        <w:spacing w:after="0" w:line="240" w:lineRule="auto"/>
        <w:rPr>
          <w:sz w:val="20"/>
          <w:szCs w:val="20"/>
        </w:rPr>
      </w:pPr>
    </w:p>
    <w:p w14:paraId="2AA5B2A7" w14:textId="77777777" w:rsidR="00727926" w:rsidRPr="00013360" w:rsidRDefault="00727926" w:rsidP="00727926">
      <w:pPr>
        <w:pStyle w:val="CaseTitle"/>
        <w:spacing w:after="0" w:line="240" w:lineRule="auto"/>
        <w:rPr>
          <w:sz w:val="20"/>
          <w:szCs w:val="20"/>
        </w:rPr>
      </w:pPr>
    </w:p>
    <w:p w14:paraId="31C37C1F" w14:textId="3FB1FE12" w:rsidR="00727926" w:rsidRPr="00627C63" w:rsidRDefault="00727926" w:rsidP="00727926">
      <w:pPr>
        <w:pStyle w:val="StyleCopyrightStatementAfter0ptBottomSinglesolidline1"/>
      </w:pPr>
      <w:r w:rsidRPr="00F01D97">
        <w:rPr>
          <w:lang w:val="en-GB"/>
        </w:rPr>
        <w:t xml:space="preserve">Stefanie Beninger and Zain Nayani </w:t>
      </w:r>
      <w:r w:rsidRPr="00104567">
        <w:t>wrote this</w:t>
      </w:r>
      <w:r>
        <w:t xml:space="preserve"> case </w:t>
      </w:r>
      <w:r w:rsidRPr="00104567">
        <w:t>solely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14:paraId="337D87BB" w14:textId="77777777" w:rsidR="00727926" w:rsidRDefault="00727926" w:rsidP="00727926">
      <w:pPr>
        <w:pStyle w:val="StyleCopyrightStatementAfter0ptBottomSinglesolidline1"/>
      </w:pPr>
    </w:p>
    <w:p w14:paraId="71CCDBEF" w14:textId="77777777" w:rsidR="00727926" w:rsidRDefault="00727926" w:rsidP="00727926">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5B1E5935" w14:textId="77777777" w:rsidR="00727926" w:rsidRDefault="00727926" w:rsidP="00727926">
      <w:pPr>
        <w:pStyle w:val="StyleCopyrightStatementAfter0ptBottomSinglesolidline1"/>
        <w:pBdr>
          <w:top w:val="none" w:sz="0" w:space="0" w:color="auto"/>
        </w:pBdr>
      </w:pPr>
    </w:p>
    <w:p w14:paraId="365129FC" w14:textId="1E644887" w:rsidR="00727926" w:rsidRDefault="00727926" w:rsidP="00727926">
      <w:pPr>
        <w:pStyle w:val="StyleStyleCopyrightStatementAfter0ptBottomSinglesolid"/>
      </w:pPr>
      <w:r>
        <w:t>Copyright © 20</w:t>
      </w:r>
      <w:r>
        <w:t>18</w:t>
      </w:r>
      <w:r>
        <w:t>, Ivey School of Business Foundation</w:t>
      </w:r>
      <w:r>
        <w:tab/>
        <w:t>Version: 20</w:t>
      </w:r>
      <w:r>
        <w:t>18</w:t>
      </w:r>
      <w:r>
        <w:t>-</w:t>
      </w:r>
      <w:r>
        <w:t>06</w:t>
      </w:r>
      <w:r>
        <w:t>-</w:t>
      </w:r>
      <w:r>
        <w:t>01</w:t>
      </w:r>
    </w:p>
    <w:p w14:paraId="62C47951" w14:textId="77777777" w:rsidR="00727926" w:rsidRPr="003B7EF2" w:rsidRDefault="00727926" w:rsidP="00727926">
      <w:pPr>
        <w:pStyle w:val="StyleCopyrightStatementAfter0ptBottomSinglesolidline1"/>
        <w:rPr>
          <w:rFonts w:ascii="Times New Roman" w:hAnsi="Times New Roman"/>
          <w:sz w:val="20"/>
        </w:rPr>
      </w:pPr>
    </w:p>
    <w:p w14:paraId="266F1149" w14:textId="77777777" w:rsidR="00727926" w:rsidRDefault="00727926" w:rsidP="00727926">
      <w:pPr>
        <w:pStyle w:val="StyleCopyrightStatementAfter0ptBottomSinglesolidline1"/>
        <w:rPr>
          <w:rFonts w:ascii="Times New Roman" w:hAnsi="Times New Roman"/>
          <w:sz w:val="20"/>
        </w:rPr>
      </w:pPr>
    </w:p>
    <w:p w14:paraId="2A53CA4C" w14:textId="362468C4"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bookmarkStart w:id="0" w:name="_GoBack"/>
      <w:bookmarkEnd w:id="0"/>
      <w:r w:rsidRPr="00ED5B14">
        <w:rPr>
          <w:color w:val="000000"/>
          <w:sz w:val="22"/>
          <w:szCs w:val="22"/>
          <w:lang w:val="en-GB" w:eastAsia="en-CA"/>
        </w:rPr>
        <w:t>It was the end of 2017</w:t>
      </w:r>
      <w:r w:rsidR="00586880" w:rsidRPr="00ED5B14">
        <w:rPr>
          <w:color w:val="000000"/>
          <w:sz w:val="22"/>
          <w:szCs w:val="22"/>
          <w:lang w:val="en-GB" w:eastAsia="en-CA"/>
        </w:rPr>
        <w:t>,</w:t>
      </w:r>
      <w:r w:rsidRPr="00ED5B14">
        <w:rPr>
          <w:color w:val="000000"/>
          <w:sz w:val="22"/>
          <w:szCs w:val="22"/>
          <w:lang w:val="en-GB" w:eastAsia="en-CA"/>
        </w:rPr>
        <w:t xml:space="preserve"> and the </w:t>
      </w:r>
      <w:r w:rsidR="00586880" w:rsidRPr="00ED5B14">
        <w:rPr>
          <w:color w:val="000000"/>
          <w:sz w:val="22"/>
          <w:szCs w:val="22"/>
          <w:lang w:val="en-GB" w:eastAsia="en-CA"/>
        </w:rPr>
        <w:t>c</w:t>
      </w:r>
      <w:r w:rsidRPr="00ED5B14">
        <w:rPr>
          <w:color w:val="000000"/>
          <w:sz w:val="22"/>
          <w:szCs w:val="22"/>
          <w:lang w:val="en-GB" w:eastAsia="en-CA"/>
        </w:rPr>
        <w:t xml:space="preserve">ouncil and community members </w:t>
      </w:r>
      <w:r w:rsidR="00586880" w:rsidRPr="00ED5B14">
        <w:rPr>
          <w:color w:val="000000"/>
          <w:sz w:val="22"/>
          <w:szCs w:val="22"/>
          <w:lang w:val="en-GB" w:eastAsia="en-CA"/>
        </w:rPr>
        <w:t xml:space="preserve">from the </w:t>
      </w:r>
      <w:r w:rsidRPr="00ED5B14">
        <w:rPr>
          <w:color w:val="000000"/>
          <w:sz w:val="22"/>
          <w:szCs w:val="22"/>
          <w:lang w:val="en-GB" w:eastAsia="en-CA"/>
        </w:rPr>
        <w:t>Kanaka Bar Indian Band (Kanaka Bar</w:t>
      </w:r>
      <w:r w:rsidR="00586880" w:rsidRPr="00ED5B14">
        <w:rPr>
          <w:color w:val="000000"/>
          <w:sz w:val="22"/>
          <w:szCs w:val="22"/>
          <w:lang w:val="en-GB" w:eastAsia="en-CA"/>
        </w:rPr>
        <w:t>) were reflecting</w:t>
      </w:r>
      <w:r w:rsidRPr="00ED5B14">
        <w:rPr>
          <w:color w:val="000000"/>
          <w:sz w:val="22"/>
          <w:szCs w:val="22"/>
          <w:lang w:val="en-GB" w:eastAsia="en-CA"/>
        </w:rPr>
        <w:t xml:space="preserve">, in </w:t>
      </w:r>
      <w:r w:rsidR="00586880" w:rsidRPr="00ED5B14">
        <w:rPr>
          <w:color w:val="000000"/>
          <w:sz w:val="22"/>
          <w:szCs w:val="22"/>
          <w:lang w:val="en-GB" w:eastAsia="en-CA"/>
        </w:rPr>
        <w:t xml:space="preserve">their </w:t>
      </w:r>
      <w:r w:rsidRPr="00ED5B14">
        <w:rPr>
          <w:color w:val="000000"/>
          <w:sz w:val="22"/>
          <w:szCs w:val="22"/>
          <w:lang w:val="en-GB" w:eastAsia="en-CA"/>
        </w:rPr>
        <w:t xml:space="preserve">regular </w:t>
      </w:r>
      <w:r w:rsidR="00586880" w:rsidRPr="00ED5B14">
        <w:rPr>
          <w:color w:val="000000"/>
          <w:sz w:val="22"/>
          <w:szCs w:val="22"/>
          <w:lang w:val="en-GB" w:eastAsia="en-CA"/>
        </w:rPr>
        <w:t>monthly</w:t>
      </w:r>
      <w:r w:rsidRPr="00ED5B14">
        <w:rPr>
          <w:color w:val="000000"/>
          <w:sz w:val="22"/>
          <w:szCs w:val="22"/>
          <w:lang w:val="en-GB" w:eastAsia="en-CA"/>
        </w:rPr>
        <w:t xml:space="preserve"> meeting, on the progress to date</w:t>
      </w:r>
      <w:r w:rsidR="00586880" w:rsidRPr="00ED5B14">
        <w:rPr>
          <w:color w:val="000000"/>
          <w:sz w:val="22"/>
          <w:szCs w:val="22"/>
          <w:lang w:val="en-GB" w:eastAsia="en-CA"/>
        </w:rPr>
        <w:t xml:space="preserve"> of a number of community initiatives</w:t>
      </w:r>
      <w:r w:rsidRPr="00ED5B14">
        <w:rPr>
          <w:color w:val="000000"/>
          <w:sz w:val="22"/>
          <w:szCs w:val="22"/>
          <w:lang w:val="en-GB" w:eastAsia="en-CA"/>
        </w:rPr>
        <w:t xml:space="preserve">. </w:t>
      </w:r>
      <w:r w:rsidR="00586880" w:rsidRPr="00ED5B14">
        <w:rPr>
          <w:color w:val="000000"/>
          <w:sz w:val="22"/>
          <w:szCs w:val="22"/>
          <w:lang w:val="en-GB" w:eastAsia="en-CA"/>
        </w:rPr>
        <w:t>In recent decades, t</w:t>
      </w:r>
      <w:r w:rsidRPr="00ED5B14">
        <w:rPr>
          <w:color w:val="000000"/>
          <w:sz w:val="22"/>
          <w:szCs w:val="22"/>
          <w:lang w:val="en-GB" w:eastAsia="en-CA"/>
        </w:rPr>
        <w:t>he community had creat</w:t>
      </w:r>
      <w:r w:rsidR="00586880" w:rsidRPr="00ED5B14">
        <w:rPr>
          <w:color w:val="000000"/>
          <w:sz w:val="22"/>
          <w:szCs w:val="22"/>
          <w:lang w:val="en-GB" w:eastAsia="en-CA"/>
        </w:rPr>
        <w:t>ed</w:t>
      </w:r>
      <w:r w:rsidRPr="00ED5B14">
        <w:rPr>
          <w:color w:val="000000"/>
          <w:sz w:val="22"/>
          <w:szCs w:val="22"/>
          <w:lang w:val="en-GB" w:eastAsia="en-CA"/>
        </w:rPr>
        <w:t xml:space="preserve"> an impressive CA$200</w:t>
      </w:r>
      <w:r w:rsidR="007300AF">
        <w:rPr>
          <w:color w:val="000000"/>
          <w:sz w:val="22"/>
          <w:szCs w:val="22"/>
          <w:lang w:val="en-GB" w:eastAsia="en-CA"/>
        </w:rPr>
        <w:t>-</w:t>
      </w:r>
      <w:r w:rsidRPr="00ED5B14">
        <w:rPr>
          <w:color w:val="000000"/>
          <w:sz w:val="22"/>
          <w:szCs w:val="22"/>
          <w:lang w:val="en-GB" w:eastAsia="en-CA"/>
        </w:rPr>
        <w:t>million</w:t>
      </w:r>
      <w:r w:rsidR="00901802" w:rsidRPr="00ED5B14">
        <w:rPr>
          <w:rStyle w:val="EndnoteReference"/>
          <w:color w:val="000000"/>
          <w:sz w:val="22"/>
          <w:szCs w:val="22"/>
          <w:lang w:val="en-GB" w:eastAsia="en-CA"/>
        </w:rPr>
        <w:endnoteReference w:id="1"/>
      </w:r>
      <w:r w:rsidRPr="00ED5B14">
        <w:rPr>
          <w:color w:val="000000"/>
          <w:sz w:val="22"/>
          <w:szCs w:val="22"/>
          <w:lang w:val="en-GB" w:eastAsia="en-CA"/>
        </w:rPr>
        <w:t xml:space="preserve"> run-of-river hydroelectric project on community lands and </w:t>
      </w:r>
      <w:r w:rsidR="00586880" w:rsidRPr="00ED5B14">
        <w:rPr>
          <w:color w:val="000000"/>
          <w:sz w:val="22"/>
          <w:szCs w:val="22"/>
          <w:lang w:val="en-GB" w:eastAsia="en-CA"/>
        </w:rPr>
        <w:t xml:space="preserve">had invested </w:t>
      </w:r>
      <w:r w:rsidRPr="00ED5B14">
        <w:rPr>
          <w:color w:val="000000"/>
          <w:sz w:val="22"/>
          <w:szCs w:val="22"/>
          <w:lang w:val="en-GB" w:eastAsia="en-CA"/>
        </w:rPr>
        <w:t>in key governance measures, infrastructure assessments</w:t>
      </w:r>
      <w:r w:rsidR="00586880" w:rsidRPr="00ED5B14">
        <w:rPr>
          <w:color w:val="000000"/>
          <w:sz w:val="22"/>
          <w:szCs w:val="22"/>
          <w:lang w:val="en-GB" w:eastAsia="en-CA"/>
        </w:rPr>
        <w:t>,</w:t>
      </w:r>
      <w:r w:rsidRPr="00ED5B14">
        <w:rPr>
          <w:color w:val="000000"/>
          <w:sz w:val="22"/>
          <w:szCs w:val="22"/>
          <w:lang w:val="en-GB" w:eastAsia="en-CA"/>
        </w:rPr>
        <w:t xml:space="preserve"> and educational undertakings. These initiatives had assisted </w:t>
      </w:r>
      <w:r w:rsidR="00DD3C35" w:rsidRPr="00ED5B14">
        <w:rPr>
          <w:color w:val="000000"/>
          <w:sz w:val="22"/>
          <w:szCs w:val="22"/>
          <w:lang w:val="en-GB" w:eastAsia="en-CA"/>
        </w:rPr>
        <w:t xml:space="preserve">in </w:t>
      </w:r>
      <w:r w:rsidRPr="00ED5B14">
        <w:rPr>
          <w:color w:val="000000"/>
          <w:sz w:val="22"/>
          <w:szCs w:val="22"/>
          <w:lang w:val="en-GB" w:eastAsia="en-CA"/>
        </w:rPr>
        <w:t>the community</w:t>
      </w:r>
      <w:r w:rsidR="00DD3C35" w:rsidRPr="00ED5B14">
        <w:rPr>
          <w:color w:val="000000"/>
          <w:sz w:val="22"/>
          <w:szCs w:val="22"/>
          <w:lang w:val="en-GB" w:eastAsia="en-CA"/>
        </w:rPr>
        <w:t>’s</w:t>
      </w:r>
      <w:r w:rsidRPr="00ED5B14">
        <w:rPr>
          <w:color w:val="000000"/>
          <w:sz w:val="22"/>
          <w:szCs w:val="22"/>
          <w:lang w:val="en-GB" w:eastAsia="en-CA"/>
        </w:rPr>
        <w:t xml:space="preserve"> process </w:t>
      </w:r>
      <w:r w:rsidR="00DD3C35" w:rsidRPr="00ED5B14">
        <w:rPr>
          <w:color w:val="000000"/>
          <w:sz w:val="22"/>
          <w:szCs w:val="22"/>
          <w:lang w:val="en-GB" w:eastAsia="en-CA"/>
        </w:rPr>
        <w:t xml:space="preserve">of </w:t>
      </w:r>
      <w:r w:rsidRPr="00ED5B14">
        <w:rPr>
          <w:color w:val="000000"/>
          <w:sz w:val="22"/>
          <w:szCs w:val="22"/>
          <w:lang w:val="en-GB" w:eastAsia="en-CA"/>
        </w:rPr>
        <w:t>recover</w:t>
      </w:r>
      <w:r w:rsidR="00DD3C35" w:rsidRPr="00ED5B14">
        <w:rPr>
          <w:color w:val="000000"/>
          <w:sz w:val="22"/>
          <w:szCs w:val="22"/>
          <w:lang w:val="en-GB" w:eastAsia="en-CA"/>
        </w:rPr>
        <w:t>ing</w:t>
      </w:r>
      <w:r w:rsidRPr="00ED5B14">
        <w:rPr>
          <w:color w:val="000000"/>
          <w:sz w:val="22"/>
          <w:szCs w:val="22"/>
          <w:lang w:val="en-GB" w:eastAsia="en-CA"/>
        </w:rPr>
        <w:t xml:space="preserve"> from dependen</w:t>
      </w:r>
      <w:r w:rsidR="00DD3C35" w:rsidRPr="00ED5B14">
        <w:rPr>
          <w:color w:val="000000"/>
          <w:sz w:val="22"/>
          <w:szCs w:val="22"/>
          <w:lang w:val="en-GB" w:eastAsia="en-CA"/>
        </w:rPr>
        <w:t>ce</w:t>
      </w:r>
      <w:r w:rsidRPr="00ED5B14">
        <w:rPr>
          <w:color w:val="000000"/>
          <w:sz w:val="22"/>
          <w:szCs w:val="22"/>
          <w:lang w:val="en-GB" w:eastAsia="en-CA"/>
        </w:rPr>
        <w:t xml:space="preserve"> on other entities. Kanaka Bar was striving to attain self-sufficiency</w:t>
      </w:r>
      <w:r w:rsidR="00DD3C35" w:rsidRPr="00ED5B14">
        <w:rPr>
          <w:color w:val="000000"/>
          <w:sz w:val="22"/>
          <w:szCs w:val="22"/>
          <w:lang w:val="en-GB" w:eastAsia="en-CA"/>
        </w:rPr>
        <w:t>—that is, to no longer require a</w:t>
      </w:r>
      <w:r w:rsidRPr="00ED5B14">
        <w:rPr>
          <w:color w:val="000000"/>
          <w:sz w:val="22"/>
          <w:szCs w:val="22"/>
          <w:lang w:val="en-GB" w:eastAsia="en-CA"/>
        </w:rPr>
        <w:t xml:space="preserve">ny outside support for </w:t>
      </w:r>
      <w:r w:rsidR="00DD3C35" w:rsidRPr="00ED5B14">
        <w:rPr>
          <w:color w:val="000000"/>
          <w:sz w:val="22"/>
          <w:szCs w:val="22"/>
          <w:lang w:val="en-GB" w:eastAsia="en-CA"/>
        </w:rPr>
        <w:t xml:space="preserve">its </w:t>
      </w:r>
      <w:r w:rsidRPr="00ED5B14">
        <w:rPr>
          <w:color w:val="000000"/>
          <w:sz w:val="22"/>
          <w:szCs w:val="22"/>
          <w:lang w:val="en-GB" w:eastAsia="en-CA"/>
        </w:rPr>
        <w:t>continued survival</w:t>
      </w:r>
      <w:r w:rsidR="00DD3C35" w:rsidRPr="00ED5B14">
        <w:rPr>
          <w:color w:val="000000"/>
          <w:sz w:val="22"/>
          <w:szCs w:val="22"/>
          <w:lang w:val="en-GB" w:eastAsia="en-CA"/>
        </w:rPr>
        <w:t>—</w:t>
      </w:r>
      <w:r w:rsidRPr="00ED5B14">
        <w:rPr>
          <w:color w:val="000000"/>
          <w:sz w:val="22"/>
          <w:szCs w:val="22"/>
          <w:lang w:val="en-GB" w:eastAsia="en-CA"/>
        </w:rPr>
        <w:t>in the areas of food, energy, employment</w:t>
      </w:r>
      <w:r w:rsidR="00DD3C35" w:rsidRPr="00ED5B14">
        <w:rPr>
          <w:color w:val="000000"/>
          <w:sz w:val="22"/>
          <w:szCs w:val="22"/>
          <w:lang w:val="en-GB" w:eastAsia="en-CA"/>
        </w:rPr>
        <w:t>,</w:t>
      </w:r>
      <w:r w:rsidRPr="00ED5B14">
        <w:rPr>
          <w:color w:val="000000"/>
          <w:sz w:val="22"/>
          <w:szCs w:val="22"/>
          <w:lang w:val="en-GB" w:eastAsia="en-CA"/>
        </w:rPr>
        <w:t xml:space="preserve"> and finance, </w:t>
      </w:r>
      <w:r w:rsidR="00DD3C35" w:rsidRPr="00ED5B14">
        <w:rPr>
          <w:color w:val="000000"/>
          <w:sz w:val="22"/>
          <w:szCs w:val="22"/>
          <w:lang w:val="en-GB" w:eastAsia="en-CA"/>
        </w:rPr>
        <w:t>and the band</w:t>
      </w:r>
      <w:r w:rsidRPr="00ED5B14">
        <w:rPr>
          <w:color w:val="000000"/>
          <w:sz w:val="22"/>
          <w:szCs w:val="22"/>
          <w:lang w:val="en-GB" w:eastAsia="en-CA"/>
        </w:rPr>
        <w:t xml:space="preserve"> had enshrined </w:t>
      </w:r>
      <w:r w:rsidR="00DD3C35" w:rsidRPr="00ED5B14">
        <w:rPr>
          <w:color w:val="000000"/>
          <w:sz w:val="22"/>
          <w:szCs w:val="22"/>
          <w:lang w:val="en-GB" w:eastAsia="en-CA"/>
        </w:rPr>
        <w:t xml:space="preserve">this intention in </w:t>
      </w:r>
      <w:r w:rsidRPr="00ED5B14">
        <w:rPr>
          <w:color w:val="000000"/>
          <w:sz w:val="22"/>
          <w:szCs w:val="22"/>
          <w:lang w:val="en-GB" w:eastAsia="en-CA"/>
        </w:rPr>
        <w:t xml:space="preserve">a community vision in 2015. This </w:t>
      </w:r>
      <w:r w:rsidR="00DD3C35" w:rsidRPr="00ED5B14">
        <w:rPr>
          <w:color w:val="000000"/>
          <w:sz w:val="22"/>
          <w:szCs w:val="22"/>
          <w:lang w:val="en-GB" w:eastAsia="en-CA"/>
        </w:rPr>
        <w:t>led to</w:t>
      </w:r>
      <w:r w:rsidRPr="00ED5B14">
        <w:rPr>
          <w:color w:val="000000"/>
          <w:sz w:val="22"/>
          <w:szCs w:val="22"/>
          <w:lang w:val="en-GB" w:eastAsia="en-CA"/>
        </w:rPr>
        <w:t xml:space="preserve"> the development </w:t>
      </w:r>
      <w:r w:rsidR="00DD3C35" w:rsidRPr="00ED5B14">
        <w:rPr>
          <w:color w:val="000000"/>
          <w:sz w:val="22"/>
          <w:szCs w:val="22"/>
          <w:lang w:val="en-GB" w:eastAsia="en-CA"/>
        </w:rPr>
        <w:t>in 201</w:t>
      </w:r>
      <w:r w:rsidR="00990361">
        <w:rPr>
          <w:color w:val="000000"/>
          <w:sz w:val="22"/>
          <w:szCs w:val="22"/>
          <w:lang w:val="en-GB" w:eastAsia="en-CA"/>
        </w:rPr>
        <w:t>5</w:t>
      </w:r>
      <w:r w:rsidR="00DD3C35" w:rsidRPr="00ED5B14">
        <w:rPr>
          <w:color w:val="000000"/>
          <w:sz w:val="22"/>
          <w:szCs w:val="22"/>
          <w:lang w:val="en-GB" w:eastAsia="en-CA"/>
        </w:rPr>
        <w:t xml:space="preserve"> </w:t>
      </w:r>
      <w:r w:rsidRPr="00ED5B14">
        <w:rPr>
          <w:color w:val="000000"/>
          <w:sz w:val="22"/>
          <w:szCs w:val="22"/>
          <w:lang w:val="en-GB" w:eastAsia="en-CA"/>
        </w:rPr>
        <w:t xml:space="preserve">of a </w:t>
      </w:r>
      <w:r w:rsidR="00DD3C35" w:rsidRPr="00ED5B14">
        <w:rPr>
          <w:color w:val="000000"/>
          <w:sz w:val="22"/>
          <w:szCs w:val="22"/>
          <w:lang w:val="en-GB" w:eastAsia="en-CA"/>
        </w:rPr>
        <w:t xml:space="preserve">land use plan and </w:t>
      </w:r>
      <w:r w:rsidRPr="00ED5B14">
        <w:rPr>
          <w:color w:val="000000"/>
          <w:sz w:val="22"/>
          <w:szCs w:val="22"/>
          <w:lang w:val="en-GB" w:eastAsia="en-CA"/>
        </w:rPr>
        <w:t xml:space="preserve">an expansive five-year </w:t>
      </w:r>
      <w:r w:rsidR="00DD3C35" w:rsidRPr="00ED5B14">
        <w:rPr>
          <w:color w:val="000000"/>
          <w:sz w:val="22"/>
          <w:szCs w:val="22"/>
          <w:lang w:val="en-GB" w:eastAsia="en-CA"/>
        </w:rPr>
        <w:t>c</w:t>
      </w:r>
      <w:r w:rsidRPr="00ED5B14">
        <w:rPr>
          <w:color w:val="000000"/>
          <w:sz w:val="22"/>
          <w:szCs w:val="22"/>
          <w:lang w:val="en-GB" w:eastAsia="en-CA"/>
        </w:rPr>
        <w:t xml:space="preserve">ommunity </w:t>
      </w:r>
      <w:r w:rsidR="00DD3C35" w:rsidRPr="00ED5B14">
        <w:rPr>
          <w:color w:val="000000"/>
          <w:sz w:val="22"/>
          <w:szCs w:val="22"/>
          <w:lang w:val="en-GB" w:eastAsia="en-CA"/>
        </w:rPr>
        <w:t>e</w:t>
      </w:r>
      <w:r w:rsidRPr="00ED5B14">
        <w:rPr>
          <w:color w:val="000000"/>
          <w:sz w:val="22"/>
          <w:szCs w:val="22"/>
          <w:lang w:val="en-GB" w:eastAsia="en-CA"/>
        </w:rPr>
        <w:t xml:space="preserve">conomic </w:t>
      </w:r>
      <w:r w:rsidR="00DD3C35" w:rsidRPr="00ED5B14">
        <w:rPr>
          <w:color w:val="000000"/>
          <w:sz w:val="22"/>
          <w:szCs w:val="22"/>
          <w:lang w:val="en-GB" w:eastAsia="en-CA"/>
        </w:rPr>
        <w:t>d</w:t>
      </w:r>
      <w:r w:rsidRPr="00ED5B14">
        <w:rPr>
          <w:color w:val="000000"/>
          <w:sz w:val="22"/>
          <w:szCs w:val="22"/>
          <w:lang w:val="en-GB" w:eastAsia="en-CA"/>
        </w:rPr>
        <w:t xml:space="preserve">evelopment </w:t>
      </w:r>
      <w:r w:rsidR="00DD3C35" w:rsidRPr="00ED5B14">
        <w:rPr>
          <w:color w:val="000000"/>
          <w:sz w:val="22"/>
          <w:szCs w:val="22"/>
          <w:lang w:val="en-GB" w:eastAsia="en-CA"/>
        </w:rPr>
        <w:t>p</w:t>
      </w:r>
      <w:r w:rsidRPr="00ED5B14">
        <w:rPr>
          <w:color w:val="000000"/>
          <w:sz w:val="22"/>
          <w:szCs w:val="22"/>
          <w:lang w:val="en-GB" w:eastAsia="en-CA"/>
        </w:rPr>
        <w:t xml:space="preserve">lan (CEDP) </w:t>
      </w:r>
      <w:r w:rsidR="00990361">
        <w:rPr>
          <w:color w:val="000000"/>
          <w:sz w:val="22"/>
          <w:szCs w:val="22"/>
          <w:lang w:val="en-GB" w:eastAsia="en-CA"/>
        </w:rPr>
        <w:t xml:space="preserve">in 2016 </w:t>
      </w:r>
      <w:r w:rsidRPr="00ED5B14">
        <w:rPr>
          <w:color w:val="000000"/>
          <w:sz w:val="22"/>
          <w:szCs w:val="22"/>
          <w:lang w:val="en-GB" w:eastAsia="en-CA"/>
        </w:rPr>
        <w:t>that focused on implement</w:t>
      </w:r>
      <w:r w:rsidR="00DD3C35" w:rsidRPr="00ED5B14">
        <w:rPr>
          <w:color w:val="000000"/>
          <w:sz w:val="22"/>
          <w:szCs w:val="22"/>
          <w:lang w:val="en-GB" w:eastAsia="en-CA"/>
        </w:rPr>
        <w:t xml:space="preserve">ing </w:t>
      </w:r>
      <w:r w:rsidRPr="00ED5B14">
        <w:rPr>
          <w:color w:val="000000"/>
          <w:sz w:val="22"/>
          <w:szCs w:val="22"/>
          <w:lang w:val="en-GB" w:eastAsia="en-CA"/>
        </w:rPr>
        <w:t xml:space="preserve">the community vision. </w:t>
      </w:r>
    </w:p>
    <w:p w14:paraId="6B84A00C"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59FCCF6A" w14:textId="5F21B254" w:rsidR="00330445" w:rsidRPr="007965F1" w:rsidRDefault="00330445" w:rsidP="00330445">
      <w:pPr>
        <w:widowControl w:val="0"/>
        <w:pBdr>
          <w:top w:val="nil"/>
          <w:left w:val="nil"/>
          <w:bottom w:val="nil"/>
          <w:right w:val="nil"/>
          <w:between w:val="nil"/>
        </w:pBdr>
        <w:tabs>
          <w:tab w:val="left" w:pos="220"/>
          <w:tab w:val="left" w:pos="720"/>
        </w:tabs>
        <w:jc w:val="both"/>
        <w:rPr>
          <w:color w:val="000000"/>
          <w:spacing w:val="-2"/>
          <w:kern w:val="22"/>
          <w:sz w:val="22"/>
          <w:szCs w:val="22"/>
          <w:shd w:val="clear" w:color="auto" w:fill="FDFDFD"/>
          <w:lang w:val="en-GB" w:eastAsia="en-CA"/>
        </w:rPr>
      </w:pPr>
      <w:r w:rsidRPr="007965F1">
        <w:rPr>
          <w:color w:val="000000"/>
          <w:spacing w:val="-2"/>
          <w:kern w:val="22"/>
          <w:sz w:val="22"/>
          <w:szCs w:val="22"/>
          <w:lang w:val="en-GB" w:eastAsia="en-CA"/>
        </w:rPr>
        <w:t xml:space="preserve">The five-person </w:t>
      </w:r>
      <w:r w:rsidR="00DD3C35" w:rsidRPr="007965F1">
        <w:rPr>
          <w:color w:val="000000"/>
          <w:spacing w:val="-2"/>
          <w:kern w:val="22"/>
          <w:sz w:val="22"/>
          <w:szCs w:val="22"/>
          <w:lang w:val="en-GB" w:eastAsia="en-CA"/>
        </w:rPr>
        <w:t>c</w:t>
      </w:r>
      <w:r w:rsidRPr="007965F1">
        <w:rPr>
          <w:color w:val="000000"/>
          <w:spacing w:val="-2"/>
          <w:kern w:val="22"/>
          <w:sz w:val="22"/>
          <w:szCs w:val="22"/>
          <w:lang w:val="en-GB" w:eastAsia="en-CA"/>
        </w:rPr>
        <w:t xml:space="preserve">ouncil, including Chief Patrick Michell, was responsible for social, cultural, and economic decisions in the community. </w:t>
      </w:r>
      <w:r w:rsidR="00DD3C35" w:rsidRPr="007965F1">
        <w:rPr>
          <w:color w:val="000000"/>
          <w:spacing w:val="-2"/>
          <w:kern w:val="22"/>
          <w:sz w:val="22"/>
          <w:szCs w:val="22"/>
          <w:lang w:val="en-GB" w:eastAsia="en-CA"/>
        </w:rPr>
        <w:t>Now, one and a half years after launching the CEDP, t</w:t>
      </w:r>
      <w:r w:rsidRPr="007965F1">
        <w:rPr>
          <w:color w:val="000000"/>
          <w:spacing w:val="-2"/>
          <w:kern w:val="22"/>
          <w:sz w:val="22"/>
          <w:szCs w:val="22"/>
          <w:lang w:val="en-GB" w:eastAsia="en-CA"/>
        </w:rPr>
        <w:t xml:space="preserve">he </w:t>
      </w:r>
      <w:r w:rsidR="00DD3C35" w:rsidRPr="007965F1">
        <w:rPr>
          <w:color w:val="000000"/>
          <w:spacing w:val="-2"/>
          <w:kern w:val="22"/>
          <w:sz w:val="22"/>
          <w:szCs w:val="22"/>
          <w:lang w:val="en-GB" w:eastAsia="en-CA"/>
        </w:rPr>
        <w:t>c</w:t>
      </w:r>
      <w:r w:rsidRPr="007965F1">
        <w:rPr>
          <w:color w:val="000000"/>
          <w:spacing w:val="-2"/>
          <w:kern w:val="22"/>
          <w:sz w:val="22"/>
          <w:szCs w:val="22"/>
          <w:lang w:val="en-GB" w:eastAsia="en-CA"/>
        </w:rPr>
        <w:t xml:space="preserve">ouncil had some choices to make in order to meet </w:t>
      </w:r>
      <w:r w:rsidR="00D00D45" w:rsidRPr="007965F1">
        <w:rPr>
          <w:color w:val="000000"/>
          <w:spacing w:val="-2"/>
          <w:kern w:val="22"/>
          <w:sz w:val="22"/>
          <w:szCs w:val="22"/>
          <w:lang w:val="en-GB" w:eastAsia="en-CA"/>
        </w:rPr>
        <w:t xml:space="preserve">its </w:t>
      </w:r>
      <w:r w:rsidRPr="007965F1">
        <w:rPr>
          <w:color w:val="000000"/>
          <w:spacing w:val="-2"/>
          <w:kern w:val="22"/>
          <w:sz w:val="22"/>
          <w:szCs w:val="22"/>
          <w:lang w:val="en-GB" w:eastAsia="en-CA"/>
        </w:rPr>
        <w:t xml:space="preserve">vision of self-sufficiency in a </w:t>
      </w:r>
      <w:r w:rsidR="00D00D45" w:rsidRPr="007965F1">
        <w:rPr>
          <w:color w:val="000000"/>
          <w:spacing w:val="-2"/>
          <w:kern w:val="22"/>
          <w:sz w:val="22"/>
          <w:szCs w:val="22"/>
          <w:lang w:val="en-GB" w:eastAsia="en-CA"/>
        </w:rPr>
        <w:t xml:space="preserve">way that was </w:t>
      </w:r>
      <w:r w:rsidRPr="007965F1">
        <w:rPr>
          <w:color w:val="000000"/>
          <w:spacing w:val="-2"/>
          <w:kern w:val="22"/>
          <w:sz w:val="22"/>
          <w:szCs w:val="22"/>
          <w:lang w:val="en-GB" w:eastAsia="en-CA"/>
        </w:rPr>
        <w:t xml:space="preserve">sustainable </w:t>
      </w:r>
      <w:r w:rsidR="00D00D45" w:rsidRPr="007965F1">
        <w:rPr>
          <w:color w:val="000000"/>
          <w:spacing w:val="-2"/>
          <w:kern w:val="22"/>
          <w:sz w:val="22"/>
          <w:szCs w:val="22"/>
          <w:lang w:val="en-GB" w:eastAsia="en-CA"/>
        </w:rPr>
        <w:t>over the</w:t>
      </w:r>
      <w:r w:rsidRPr="007965F1">
        <w:rPr>
          <w:color w:val="000000"/>
          <w:spacing w:val="-2"/>
          <w:kern w:val="22"/>
          <w:sz w:val="22"/>
          <w:szCs w:val="22"/>
          <w:lang w:val="en-GB" w:eastAsia="en-CA"/>
        </w:rPr>
        <w:t xml:space="preserve"> long</w:t>
      </w:r>
      <w:r w:rsidR="00D00D45" w:rsidRPr="007965F1">
        <w:rPr>
          <w:color w:val="000000"/>
          <w:spacing w:val="-2"/>
          <w:kern w:val="22"/>
          <w:sz w:val="22"/>
          <w:szCs w:val="22"/>
          <w:lang w:val="en-GB" w:eastAsia="en-CA"/>
        </w:rPr>
        <w:t xml:space="preserve"> </w:t>
      </w:r>
      <w:r w:rsidRPr="007965F1">
        <w:rPr>
          <w:color w:val="000000"/>
          <w:spacing w:val="-2"/>
          <w:kern w:val="22"/>
          <w:sz w:val="22"/>
          <w:szCs w:val="22"/>
          <w:lang w:val="en-GB" w:eastAsia="en-CA"/>
        </w:rPr>
        <w:t xml:space="preserve">term </w:t>
      </w:r>
      <w:r w:rsidR="00D00D45" w:rsidRPr="007965F1">
        <w:rPr>
          <w:color w:val="000000"/>
          <w:spacing w:val="-2"/>
          <w:kern w:val="22"/>
          <w:sz w:val="22"/>
          <w:szCs w:val="22"/>
          <w:lang w:val="en-GB" w:eastAsia="en-CA"/>
        </w:rPr>
        <w:t xml:space="preserve">and </w:t>
      </w:r>
      <w:r w:rsidRPr="007965F1">
        <w:rPr>
          <w:color w:val="000000"/>
          <w:spacing w:val="-2"/>
          <w:kern w:val="22"/>
          <w:sz w:val="22"/>
          <w:szCs w:val="22"/>
          <w:lang w:val="en-GB" w:eastAsia="en-CA"/>
        </w:rPr>
        <w:t xml:space="preserve">that </w:t>
      </w:r>
      <w:r w:rsidR="00D00D45" w:rsidRPr="007965F1">
        <w:rPr>
          <w:color w:val="000000"/>
          <w:spacing w:val="-2"/>
          <w:kern w:val="22"/>
          <w:sz w:val="22"/>
          <w:szCs w:val="22"/>
          <w:lang w:val="en-GB" w:eastAsia="en-CA"/>
        </w:rPr>
        <w:t xml:space="preserve">would </w:t>
      </w:r>
      <w:r w:rsidRPr="007965F1">
        <w:rPr>
          <w:color w:val="000000"/>
          <w:spacing w:val="-2"/>
          <w:kern w:val="22"/>
          <w:sz w:val="22"/>
          <w:szCs w:val="22"/>
          <w:lang w:val="en-GB" w:eastAsia="en-CA"/>
        </w:rPr>
        <w:t xml:space="preserve">continue to infuse vibrancy into the community. </w:t>
      </w:r>
      <w:r w:rsidR="00D00D45" w:rsidRPr="007965F1">
        <w:rPr>
          <w:color w:val="000000"/>
          <w:spacing w:val="-2"/>
          <w:kern w:val="22"/>
          <w:sz w:val="22"/>
          <w:szCs w:val="22"/>
          <w:lang w:val="en-GB" w:eastAsia="en-CA"/>
        </w:rPr>
        <w:t>T</w:t>
      </w:r>
      <w:r w:rsidRPr="007965F1">
        <w:rPr>
          <w:color w:val="000000"/>
          <w:spacing w:val="-2"/>
          <w:kern w:val="22"/>
          <w:sz w:val="22"/>
          <w:szCs w:val="22"/>
          <w:lang w:val="en-GB" w:eastAsia="en-CA"/>
        </w:rPr>
        <w:t xml:space="preserve">he </w:t>
      </w:r>
      <w:r w:rsidR="00D00D45" w:rsidRPr="007965F1">
        <w:rPr>
          <w:color w:val="000000"/>
          <w:spacing w:val="-2"/>
          <w:kern w:val="22"/>
          <w:sz w:val="22"/>
          <w:szCs w:val="22"/>
          <w:lang w:val="en-GB" w:eastAsia="en-CA"/>
        </w:rPr>
        <w:t>c</w:t>
      </w:r>
      <w:r w:rsidRPr="007965F1">
        <w:rPr>
          <w:color w:val="000000"/>
          <w:spacing w:val="-2"/>
          <w:kern w:val="22"/>
          <w:sz w:val="22"/>
          <w:szCs w:val="22"/>
          <w:lang w:val="en-GB" w:eastAsia="en-CA"/>
        </w:rPr>
        <w:t xml:space="preserve">ouncil and community asked what </w:t>
      </w:r>
      <w:r w:rsidR="00D00D45" w:rsidRPr="007965F1">
        <w:rPr>
          <w:color w:val="000000"/>
          <w:spacing w:val="-2"/>
          <w:kern w:val="22"/>
          <w:sz w:val="22"/>
          <w:szCs w:val="22"/>
          <w:lang w:val="en-GB" w:eastAsia="en-CA"/>
        </w:rPr>
        <w:t xml:space="preserve">their available </w:t>
      </w:r>
      <w:r w:rsidRPr="007965F1">
        <w:rPr>
          <w:color w:val="000000"/>
          <w:spacing w:val="-2"/>
          <w:kern w:val="22"/>
          <w:sz w:val="22"/>
          <w:szCs w:val="22"/>
          <w:lang w:val="en-GB" w:eastAsia="en-CA"/>
        </w:rPr>
        <w:t>resources and their most pressing challenges were</w:t>
      </w:r>
      <w:r w:rsidR="00D00D45"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 How could the community’s unique resources be used to overcome </w:t>
      </w:r>
      <w:r w:rsidR="00D00D45" w:rsidRPr="007965F1">
        <w:rPr>
          <w:color w:val="000000"/>
          <w:spacing w:val="-2"/>
          <w:kern w:val="22"/>
          <w:sz w:val="22"/>
          <w:szCs w:val="22"/>
          <w:lang w:val="en-GB" w:eastAsia="en-CA"/>
        </w:rPr>
        <w:t xml:space="preserve">its </w:t>
      </w:r>
      <w:r w:rsidRPr="007965F1">
        <w:rPr>
          <w:color w:val="000000"/>
          <w:spacing w:val="-2"/>
          <w:kern w:val="22"/>
          <w:sz w:val="22"/>
          <w:szCs w:val="22"/>
          <w:lang w:val="en-GB" w:eastAsia="en-CA"/>
        </w:rPr>
        <w:t xml:space="preserve">challenges? </w:t>
      </w:r>
      <w:r w:rsidR="00D00D45" w:rsidRPr="007965F1">
        <w:rPr>
          <w:color w:val="000000"/>
          <w:spacing w:val="-2"/>
          <w:kern w:val="22"/>
          <w:sz w:val="22"/>
          <w:szCs w:val="22"/>
          <w:lang w:val="en-GB" w:eastAsia="en-CA"/>
        </w:rPr>
        <w:t>D</w:t>
      </w:r>
      <w:r w:rsidRPr="007965F1">
        <w:rPr>
          <w:color w:val="000000"/>
          <w:spacing w:val="-2"/>
          <w:kern w:val="22"/>
          <w:sz w:val="22"/>
          <w:szCs w:val="22"/>
          <w:lang w:val="en-GB" w:eastAsia="en-CA"/>
        </w:rPr>
        <w:t>id the</w:t>
      </w:r>
      <w:r w:rsidR="00D00D45" w:rsidRPr="007965F1">
        <w:rPr>
          <w:color w:val="000000"/>
          <w:spacing w:val="-2"/>
          <w:kern w:val="22"/>
          <w:sz w:val="22"/>
          <w:szCs w:val="22"/>
          <w:lang w:val="en-GB" w:eastAsia="en-CA"/>
        </w:rPr>
        <w:t xml:space="preserve"> community’s</w:t>
      </w:r>
      <w:r w:rsidRPr="007965F1">
        <w:rPr>
          <w:color w:val="000000"/>
          <w:spacing w:val="-2"/>
          <w:kern w:val="22"/>
          <w:sz w:val="22"/>
          <w:szCs w:val="22"/>
          <w:lang w:val="en-GB" w:eastAsia="en-CA"/>
        </w:rPr>
        <w:t xml:space="preserve"> current planned initiatives</w:t>
      </w:r>
      <w:r w:rsidR="00D00D45"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including </w:t>
      </w:r>
      <w:r w:rsidR="00D00D45" w:rsidRPr="007965F1">
        <w:rPr>
          <w:color w:val="000000"/>
          <w:spacing w:val="-2"/>
          <w:kern w:val="22"/>
          <w:sz w:val="22"/>
          <w:szCs w:val="22"/>
          <w:lang w:val="en-GB" w:eastAsia="en-CA"/>
        </w:rPr>
        <w:t xml:space="preserve">developing </w:t>
      </w:r>
      <w:r w:rsidRPr="007965F1">
        <w:rPr>
          <w:color w:val="000000"/>
          <w:spacing w:val="-2"/>
          <w:kern w:val="22"/>
          <w:sz w:val="22"/>
          <w:szCs w:val="22"/>
          <w:lang w:val="en-GB" w:eastAsia="en-CA"/>
        </w:rPr>
        <w:t>renewable energy</w:t>
      </w:r>
      <w:r w:rsidR="00D00D45"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 </w:t>
      </w:r>
      <w:r w:rsidR="00D00D45" w:rsidRPr="007965F1">
        <w:rPr>
          <w:color w:val="000000"/>
          <w:spacing w:val="-2"/>
          <w:kern w:val="22"/>
          <w:sz w:val="22"/>
          <w:szCs w:val="22"/>
          <w:lang w:val="en-GB" w:eastAsia="en-CA"/>
        </w:rPr>
        <w:t xml:space="preserve">acquiring </w:t>
      </w:r>
      <w:r w:rsidRPr="007965F1">
        <w:rPr>
          <w:color w:val="000000"/>
          <w:spacing w:val="-2"/>
          <w:kern w:val="22"/>
          <w:sz w:val="22"/>
          <w:szCs w:val="22"/>
          <w:lang w:val="en-GB" w:eastAsia="en-CA"/>
        </w:rPr>
        <w:t>land, provi</w:t>
      </w:r>
      <w:r w:rsidR="00D00D45" w:rsidRPr="007965F1">
        <w:rPr>
          <w:color w:val="000000"/>
          <w:spacing w:val="-2"/>
          <w:kern w:val="22"/>
          <w:sz w:val="22"/>
          <w:szCs w:val="22"/>
          <w:lang w:val="en-GB" w:eastAsia="en-CA"/>
        </w:rPr>
        <w:t>ding</w:t>
      </w:r>
      <w:r w:rsidRPr="007965F1">
        <w:rPr>
          <w:color w:val="000000"/>
          <w:spacing w:val="-2"/>
          <w:kern w:val="22"/>
          <w:sz w:val="22"/>
          <w:szCs w:val="22"/>
          <w:lang w:val="en-GB" w:eastAsia="en-CA"/>
        </w:rPr>
        <w:t xml:space="preserve"> educational and training resources, and </w:t>
      </w:r>
      <w:r w:rsidR="00D14673" w:rsidRPr="007965F1">
        <w:rPr>
          <w:color w:val="000000"/>
          <w:spacing w:val="-2"/>
          <w:kern w:val="22"/>
          <w:sz w:val="22"/>
          <w:szCs w:val="22"/>
          <w:lang w:val="en-GB" w:eastAsia="en-CA"/>
        </w:rPr>
        <w:t>introducing</w:t>
      </w:r>
      <w:r w:rsidRPr="007965F1">
        <w:rPr>
          <w:color w:val="000000"/>
          <w:spacing w:val="-2"/>
          <w:kern w:val="22"/>
          <w:sz w:val="22"/>
          <w:szCs w:val="22"/>
          <w:lang w:val="en-GB" w:eastAsia="en-CA"/>
        </w:rPr>
        <w:t xml:space="preserve"> a community garden and bee hives</w:t>
      </w:r>
      <w:r w:rsidR="00D00D45"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fit with </w:t>
      </w:r>
      <w:r w:rsidR="00D00D45" w:rsidRPr="007965F1">
        <w:rPr>
          <w:color w:val="000000"/>
          <w:spacing w:val="-2"/>
          <w:kern w:val="22"/>
          <w:sz w:val="22"/>
          <w:szCs w:val="22"/>
          <w:lang w:val="en-GB" w:eastAsia="en-CA"/>
        </w:rPr>
        <w:t xml:space="preserve">its </w:t>
      </w:r>
      <w:r w:rsidRPr="007965F1">
        <w:rPr>
          <w:color w:val="000000"/>
          <w:spacing w:val="-2"/>
          <w:kern w:val="22"/>
          <w:sz w:val="22"/>
          <w:szCs w:val="22"/>
          <w:lang w:val="en-GB" w:eastAsia="en-CA"/>
        </w:rPr>
        <w:t xml:space="preserve">vision, resources, and challenges, </w:t>
      </w:r>
      <w:r w:rsidR="00901802" w:rsidRPr="007965F1">
        <w:rPr>
          <w:color w:val="000000"/>
          <w:spacing w:val="-2"/>
          <w:kern w:val="22"/>
          <w:sz w:val="22"/>
          <w:szCs w:val="22"/>
          <w:lang w:val="en-GB" w:eastAsia="en-CA"/>
        </w:rPr>
        <w:t>or was another approach needed?</w:t>
      </w:r>
    </w:p>
    <w:p w14:paraId="52ADF471"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76877235"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45354F51" w14:textId="3824BB40" w:rsidR="00330445" w:rsidRPr="00ED5B14" w:rsidRDefault="00901802" w:rsidP="00330445">
      <w:pPr>
        <w:widowControl w:val="0"/>
        <w:pBdr>
          <w:top w:val="nil"/>
          <w:left w:val="nil"/>
          <w:bottom w:val="nil"/>
          <w:right w:val="nil"/>
          <w:between w:val="nil"/>
        </w:pBdr>
        <w:tabs>
          <w:tab w:val="left" w:pos="220"/>
          <w:tab w:val="left" w:pos="720"/>
        </w:tabs>
        <w:jc w:val="both"/>
        <w:rPr>
          <w:rFonts w:ascii="Arial" w:hAnsi="Arial" w:cs="Arial"/>
          <w:b/>
          <w:color w:val="000000"/>
          <w:lang w:val="en-GB" w:eastAsia="en-CA"/>
        </w:rPr>
      </w:pPr>
      <w:r w:rsidRPr="00ED5B14">
        <w:rPr>
          <w:rFonts w:ascii="Arial" w:hAnsi="Arial" w:cs="Arial"/>
          <w:b/>
          <w:color w:val="000000"/>
          <w:lang w:val="en-GB" w:eastAsia="en-CA"/>
        </w:rPr>
        <w:t>KANAKA BAR</w:t>
      </w:r>
    </w:p>
    <w:p w14:paraId="2930BE34"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 </w:t>
      </w:r>
    </w:p>
    <w:p w14:paraId="4DFD9A52" w14:textId="7A7BB3BD" w:rsidR="00330445" w:rsidRPr="00ED5B14" w:rsidRDefault="00901802"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Kanaka Bar</w:t>
      </w:r>
      <w:r w:rsidR="00330445" w:rsidRPr="00ED5B14">
        <w:rPr>
          <w:color w:val="000000"/>
          <w:sz w:val="22"/>
          <w:szCs w:val="22"/>
          <w:lang w:val="en-GB" w:eastAsia="en-CA"/>
        </w:rPr>
        <w:t xml:space="preserve"> </w:t>
      </w:r>
      <w:r w:rsidR="00990361">
        <w:rPr>
          <w:color w:val="000000"/>
          <w:sz w:val="22"/>
          <w:szCs w:val="22"/>
          <w:lang w:val="en-GB" w:eastAsia="en-CA"/>
        </w:rPr>
        <w:t>is</w:t>
      </w:r>
      <w:r w:rsidR="00990361" w:rsidRPr="00ED5B14">
        <w:rPr>
          <w:color w:val="000000"/>
          <w:sz w:val="22"/>
          <w:szCs w:val="22"/>
          <w:lang w:val="en-GB" w:eastAsia="en-CA"/>
        </w:rPr>
        <w:t xml:space="preserve"> </w:t>
      </w:r>
      <w:r w:rsidR="00330445" w:rsidRPr="00ED5B14">
        <w:rPr>
          <w:color w:val="000000"/>
          <w:sz w:val="22"/>
          <w:szCs w:val="22"/>
          <w:lang w:val="en-GB" w:eastAsia="en-CA"/>
        </w:rPr>
        <w:t>located in the interior of British Columbia</w:t>
      </w:r>
      <w:r w:rsidR="00D14673" w:rsidRPr="00ED5B14">
        <w:rPr>
          <w:color w:val="000000"/>
          <w:sz w:val="22"/>
          <w:szCs w:val="22"/>
          <w:lang w:val="en-GB" w:eastAsia="en-CA"/>
        </w:rPr>
        <w:t>,</w:t>
      </w:r>
      <w:r w:rsidR="00330445" w:rsidRPr="00ED5B14">
        <w:rPr>
          <w:color w:val="000000"/>
          <w:sz w:val="22"/>
          <w:szCs w:val="22"/>
          <w:lang w:val="en-GB" w:eastAsia="en-CA"/>
        </w:rPr>
        <w:t xml:space="preserve"> </w:t>
      </w:r>
      <w:r w:rsidR="003660E6" w:rsidRPr="003660E6">
        <w:rPr>
          <w:color w:val="000000"/>
          <w:sz w:val="22"/>
          <w:szCs w:val="22"/>
          <w:lang w:val="en-GB" w:eastAsia="en-CA"/>
        </w:rPr>
        <w:t xml:space="preserve">a province in what became known </w:t>
      </w:r>
      <w:r w:rsidR="00096B2B">
        <w:rPr>
          <w:color w:val="000000"/>
          <w:sz w:val="22"/>
          <w:szCs w:val="22"/>
          <w:lang w:val="en-GB" w:eastAsia="en-CA"/>
        </w:rPr>
        <w:t xml:space="preserve">as Canada </w:t>
      </w:r>
      <w:r w:rsidR="003660E6" w:rsidRPr="003660E6">
        <w:rPr>
          <w:color w:val="000000"/>
          <w:sz w:val="22"/>
          <w:szCs w:val="22"/>
          <w:lang w:val="en-GB" w:eastAsia="en-CA"/>
        </w:rPr>
        <w:t>in 1867</w:t>
      </w:r>
      <w:r w:rsidR="00096B2B">
        <w:rPr>
          <w:color w:val="000000"/>
          <w:sz w:val="22"/>
          <w:szCs w:val="22"/>
          <w:lang w:val="en-GB" w:eastAsia="en-CA"/>
        </w:rPr>
        <w:t>.</w:t>
      </w:r>
      <w:r w:rsidRPr="00ED5B14">
        <w:rPr>
          <w:color w:val="000000"/>
          <w:sz w:val="22"/>
          <w:szCs w:val="22"/>
          <w:lang w:val="en-GB" w:eastAsia="en-CA"/>
        </w:rPr>
        <w:t xml:space="preserve"> </w:t>
      </w:r>
      <w:r w:rsidR="00330445" w:rsidRPr="00ED5B14">
        <w:rPr>
          <w:color w:val="000000"/>
          <w:sz w:val="22"/>
          <w:szCs w:val="22"/>
          <w:lang w:val="en-GB" w:eastAsia="en-CA"/>
        </w:rPr>
        <w:t xml:space="preserve">It </w:t>
      </w:r>
      <w:r w:rsidR="00990361">
        <w:rPr>
          <w:color w:val="000000"/>
          <w:sz w:val="22"/>
          <w:szCs w:val="22"/>
          <w:lang w:val="en-GB" w:eastAsia="en-CA"/>
        </w:rPr>
        <w:t>is</w:t>
      </w:r>
      <w:r w:rsidR="00990361" w:rsidRPr="00ED5B14">
        <w:rPr>
          <w:color w:val="000000"/>
          <w:sz w:val="22"/>
          <w:szCs w:val="22"/>
          <w:lang w:val="en-GB" w:eastAsia="en-CA"/>
        </w:rPr>
        <w:t xml:space="preserve"> </w:t>
      </w:r>
      <w:r w:rsidR="00330445" w:rsidRPr="00ED5B14">
        <w:rPr>
          <w:color w:val="000000"/>
          <w:sz w:val="22"/>
          <w:szCs w:val="22"/>
          <w:lang w:val="en-GB" w:eastAsia="en-CA"/>
        </w:rPr>
        <w:t>approximately 250 kilomet</w:t>
      </w:r>
      <w:r w:rsidR="00D14673" w:rsidRPr="00ED5B14">
        <w:rPr>
          <w:color w:val="000000"/>
          <w:sz w:val="22"/>
          <w:szCs w:val="22"/>
          <w:lang w:val="en-GB" w:eastAsia="en-CA"/>
        </w:rPr>
        <w:t>r</w:t>
      </w:r>
      <w:r w:rsidR="00330445" w:rsidRPr="00ED5B14">
        <w:rPr>
          <w:color w:val="000000"/>
          <w:sz w:val="22"/>
          <w:szCs w:val="22"/>
          <w:lang w:val="en-GB" w:eastAsia="en-CA"/>
        </w:rPr>
        <w:t>es</w:t>
      </w:r>
      <w:r w:rsidR="00D14673" w:rsidRPr="00ED5B14">
        <w:rPr>
          <w:color w:val="000000"/>
          <w:sz w:val="22"/>
          <w:szCs w:val="22"/>
          <w:lang w:val="en-GB" w:eastAsia="en-CA"/>
        </w:rPr>
        <w:t xml:space="preserve"> (an average </w:t>
      </w:r>
      <w:r w:rsidR="00330445" w:rsidRPr="00ED5B14">
        <w:rPr>
          <w:color w:val="000000"/>
          <w:sz w:val="22"/>
          <w:szCs w:val="22"/>
          <w:lang w:val="en-GB" w:eastAsia="en-CA"/>
        </w:rPr>
        <w:t>three-hour drive</w:t>
      </w:r>
      <w:r w:rsidR="00D14673" w:rsidRPr="00ED5B14">
        <w:rPr>
          <w:color w:val="000000"/>
          <w:sz w:val="22"/>
          <w:szCs w:val="22"/>
          <w:lang w:val="en-GB" w:eastAsia="en-CA"/>
        </w:rPr>
        <w:t>)</w:t>
      </w:r>
      <w:r w:rsidR="00330445" w:rsidRPr="00ED5B14">
        <w:rPr>
          <w:color w:val="000000"/>
          <w:sz w:val="22"/>
          <w:szCs w:val="22"/>
          <w:lang w:val="en-GB" w:eastAsia="en-CA"/>
        </w:rPr>
        <w:t xml:space="preserve"> from the major city of Vancouver. The region in and around Vancouver, called the Lo</w:t>
      </w:r>
      <w:r w:rsidRPr="00ED5B14">
        <w:rPr>
          <w:color w:val="000000"/>
          <w:sz w:val="22"/>
          <w:szCs w:val="22"/>
          <w:lang w:val="en-GB" w:eastAsia="en-CA"/>
        </w:rPr>
        <w:t xml:space="preserve">wer Mainland, </w:t>
      </w:r>
      <w:r w:rsidR="00D14673" w:rsidRPr="00ED5B14">
        <w:rPr>
          <w:color w:val="000000"/>
          <w:sz w:val="22"/>
          <w:szCs w:val="22"/>
          <w:lang w:val="en-GB" w:eastAsia="en-CA"/>
        </w:rPr>
        <w:t>comprise</w:t>
      </w:r>
      <w:r w:rsidR="00B63DEE">
        <w:rPr>
          <w:color w:val="000000"/>
          <w:sz w:val="22"/>
          <w:szCs w:val="22"/>
          <w:lang w:val="en-GB" w:eastAsia="en-CA"/>
        </w:rPr>
        <w:t>s</w:t>
      </w:r>
      <w:r w:rsidR="00D14673" w:rsidRPr="00ED5B14">
        <w:rPr>
          <w:color w:val="000000"/>
          <w:sz w:val="22"/>
          <w:szCs w:val="22"/>
          <w:lang w:val="en-GB" w:eastAsia="en-CA"/>
        </w:rPr>
        <w:t xml:space="preserve"> </w:t>
      </w:r>
      <w:r w:rsidRPr="00ED5B14">
        <w:rPr>
          <w:color w:val="000000"/>
          <w:sz w:val="22"/>
          <w:szCs w:val="22"/>
          <w:lang w:val="en-GB" w:eastAsia="en-CA"/>
        </w:rPr>
        <w:t xml:space="preserve">almost </w:t>
      </w:r>
      <w:r w:rsidR="00705F31">
        <w:rPr>
          <w:color w:val="000000"/>
          <w:sz w:val="22"/>
          <w:szCs w:val="22"/>
          <w:lang w:val="en-GB" w:eastAsia="en-CA"/>
        </w:rPr>
        <w:t>three</w:t>
      </w:r>
      <w:r w:rsidRPr="00ED5B14">
        <w:rPr>
          <w:color w:val="000000"/>
          <w:sz w:val="22"/>
          <w:szCs w:val="22"/>
          <w:lang w:val="en-GB" w:eastAsia="en-CA"/>
        </w:rPr>
        <w:t xml:space="preserve"> million people, or 60 per cent</w:t>
      </w:r>
      <w:r w:rsidR="00330445" w:rsidRPr="00ED5B14">
        <w:rPr>
          <w:color w:val="000000"/>
          <w:sz w:val="22"/>
          <w:szCs w:val="22"/>
          <w:lang w:val="en-GB" w:eastAsia="en-CA"/>
        </w:rPr>
        <w:t xml:space="preserve"> of the province</w:t>
      </w:r>
      <w:r w:rsidR="00D14673" w:rsidRPr="00ED5B14">
        <w:rPr>
          <w:color w:val="000000"/>
          <w:sz w:val="22"/>
          <w:szCs w:val="22"/>
          <w:lang w:val="en-GB" w:eastAsia="en-CA"/>
        </w:rPr>
        <w:t>’</w:t>
      </w:r>
      <w:r w:rsidR="00330445" w:rsidRPr="00ED5B14">
        <w:rPr>
          <w:color w:val="000000"/>
          <w:sz w:val="22"/>
          <w:szCs w:val="22"/>
          <w:lang w:val="en-GB" w:eastAsia="en-CA"/>
        </w:rPr>
        <w:t>s total population.</w:t>
      </w:r>
      <w:r w:rsidR="00330445" w:rsidRPr="00ED5B14">
        <w:rPr>
          <w:color w:val="000000"/>
          <w:sz w:val="22"/>
          <w:szCs w:val="22"/>
          <w:vertAlign w:val="superscript"/>
          <w:lang w:val="en-GB" w:eastAsia="en-CA"/>
        </w:rPr>
        <w:endnoteReference w:id="2"/>
      </w:r>
      <w:r w:rsidR="00330445" w:rsidRPr="00ED5B14">
        <w:rPr>
          <w:color w:val="000000"/>
          <w:sz w:val="22"/>
          <w:szCs w:val="22"/>
          <w:lang w:val="en-GB" w:eastAsia="en-CA"/>
        </w:rPr>
        <w:t xml:space="preserve"> Kanaka Bar </w:t>
      </w:r>
      <w:r w:rsidR="00B63DEE">
        <w:rPr>
          <w:color w:val="000000"/>
          <w:sz w:val="22"/>
          <w:szCs w:val="22"/>
          <w:lang w:val="en-GB" w:eastAsia="en-CA"/>
        </w:rPr>
        <w:t>i</w:t>
      </w:r>
      <w:r w:rsidR="00D14673" w:rsidRPr="00ED5B14">
        <w:rPr>
          <w:color w:val="000000"/>
          <w:sz w:val="22"/>
          <w:szCs w:val="22"/>
          <w:lang w:val="en-GB" w:eastAsia="en-CA"/>
        </w:rPr>
        <w:t xml:space="preserve">s </w:t>
      </w:r>
      <w:r w:rsidR="00330445" w:rsidRPr="00ED5B14">
        <w:rPr>
          <w:color w:val="000000"/>
          <w:sz w:val="22"/>
          <w:szCs w:val="22"/>
          <w:lang w:val="en-GB" w:eastAsia="en-CA"/>
        </w:rPr>
        <w:t>situated south of the town of Lytton</w:t>
      </w:r>
      <w:r w:rsidR="00D14673" w:rsidRPr="00ED5B14">
        <w:rPr>
          <w:color w:val="000000"/>
          <w:sz w:val="22"/>
          <w:szCs w:val="22"/>
          <w:lang w:val="en-GB" w:eastAsia="en-CA"/>
        </w:rPr>
        <w:t>,</w:t>
      </w:r>
      <w:r w:rsidR="00330445" w:rsidRPr="00ED5B14">
        <w:rPr>
          <w:color w:val="000000"/>
          <w:sz w:val="22"/>
          <w:szCs w:val="22"/>
          <w:lang w:val="en-GB" w:eastAsia="en-CA"/>
        </w:rPr>
        <w:t xml:space="preserve"> along the Fraser River on the north end of the Fraser Canyon. </w:t>
      </w:r>
    </w:p>
    <w:p w14:paraId="151615EE"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0B5412A5" w14:textId="7ABF3298"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vertAlign w:val="superscript"/>
          <w:lang w:val="en-GB" w:eastAsia="en-CA"/>
        </w:rPr>
      </w:pPr>
      <w:r w:rsidRPr="00ED5B14">
        <w:rPr>
          <w:color w:val="000000"/>
          <w:sz w:val="22"/>
          <w:szCs w:val="22"/>
          <w:lang w:val="en-GB" w:eastAsia="en-CA"/>
        </w:rPr>
        <w:t xml:space="preserve">The Fraser River, the longest river in the province, </w:t>
      </w:r>
      <w:r w:rsidR="00D14673" w:rsidRPr="00ED5B14">
        <w:rPr>
          <w:color w:val="000000"/>
          <w:sz w:val="22"/>
          <w:szCs w:val="22"/>
          <w:lang w:val="en-GB" w:eastAsia="en-CA"/>
        </w:rPr>
        <w:t>originate</w:t>
      </w:r>
      <w:r w:rsidR="00B63DEE">
        <w:rPr>
          <w:color w:val="000000"/>
          <w:sz w:val="22"/>
          <w:szCs w:val="22"/>
          <w:lang w:val="en-GB" w:eastAsia="en-CA"/>
        </w:rPr>
        <w:t>s</w:t>
      </w:r>
      <w:r w:rsidR="00D14673" w:rsidRPr="00ED5B14">
        <w:rPr>
          <w:color w:val="000000"/>
          <w:sz w:val="22"/>
          <w:szCs w:val="22"/>
          <w:lang w:val="en-GB" w:eastAsia="en-CA"/>
        </w:rPr>
        <w:t xml:space="preserve"> in Fraser Pass in the British Columbia Rocky Mountains and emptied </w:t>
      </w:r>
      <w:r w:rsidRPr="00ED5B14">
        <w:rPr>
          <w:color w:val="000000"/>
          <w:sz w:val="22"/>
          <w:szCs w:val="22"/>
          <w:lang w:val="en-GB" w:eastAsia="en-CA"/>
        </w:rPr>
        <w:t xml:space="preserve">into the Pacific Ocean in Vancouver. The river </w:t>
      </w:r>
      <w:r w:rsidR="00B63DEE">
        <w:rPr>
          <w:color w:val="000000"/>
          <w:sz w:val="22"/>
          <w:szCs w:val="22"/>
          <w:lang w:val="en-GB" w:eastAsia="en-CA"/>
        </w:rPr>
        <w:t>i</w:t>
      </w:r>
      <w:r w:rsidR="00D14673" w:rsidRPr="00ED5B14">
        <w:rPr>
          <w:color w:val="000000"/>
          <w:sz w:val="22"/>
          <w:szCs w:val="22"/>
          <w:lang w:val="en-GB" w:eastAsia="en-CA"/>
        </w:rPr>
        <w:t xml:space="preserve">s </w:t>
      </w:r>
      <w:r w:rsidRPr="00ED5B14">
        <w:rPr>
          <w:color w:val="000000"/>
          <w:sz w:val="22"/>
          <w:szCs w:val="22"/>
          <w:lang w:val="en-GB" w:eastAsia="en-CA"/>
        </w:rPr>
        <w:t xml:space="preserve">home to sturgeon, Pacific salmon, and </w:t>
      </w:r>
      <w:r w:rsidR="00D14673" w:rsidRPr="00ED5B14">
        <w:rPr>
          <w:color w:val="000000"/>
          <w:sz w:val="22"/>
          <w:szCs w:val="22"/>
          <w:lang w:val="en-GB" w:eastAsia="en-CA"/>
        </w:rPr>
        <w:t>steelhead trout</w:t>
      </w:r>
      <w:r w:rsidRPr="00ED5B14">
        <w:rPr>
          <w:color w:val="000000"/>
          <w:sz w:val="22"/>
          <w:szCs w:val="22"/>
          <w:lang w:val="en-GB" w:eastAsia="en-CA"/>
        </w:rPr>
        <w:t xml:space="preserve">. The climate in Kanaka Bar </w:t>
      </w:r>
      <w:r w:rsidR="00990361">
        <w:rPr>
          <w:color w:val="000000"/>
          <w:sz w:val="22"/>
          <w:szCs w:val="22"/>
          <w:lang w:val="en-GB" w:eastAsia="en-CA"/>
        </w:rPr>
        <w:t>is</w:t>
      </w:r>
      <w:r w:rsidR="00990361" w:rsidRPr="00ED5B14">
        <w:rPr>
          <w:color w:val="000000"/>
          <w:sz w:val="22"/>
          <w:szCs w:val="22"/>
          <w:lang w:val="en-GB" w:eastAsia="en-CA"/>
        </w:rPr>
        <w:t xml:space="preserve"> </w:t>
      </w:r>
      <w:r w:rsidRPr="00ED5B14">
        <w:rPr>
          <w:color w:val="000000"/>
          <w:sz w:val="22"/>
          <w:szCs w:val="22"/>
          <w:lang w:val="en-GB" w:eastAsia="en-CA"/>
        </w:rPr>
        <w:t>characterized by very hot</w:t>
      </w:r>
      <w:r w:rsidR="00D14673" w:rsidRPr="00ED5B14">
        <w:rPr>
          <w:color w:val="000000"/>
          <w:sz w:val="22"/>
          <w:szCs w:val="22"/>
          <w:lang w:val="en-GB" w:eastAsia="en-CA"/>
        </w:rPr>
        <w:t>,</w:t>
      </w:r>
      <w:r w:rsidRPr="00ED5B14">
        <w:rPr>
          <w:color w:val="000000"/>
          <w:sz w:val="22"/>
          <w:szCs w:val="22"/>
          <w:lang w:val="en-GB" w:eastAsia="en-CA"/>
        </w:rPr>
        <w:t xml:space="preserve"> dry summers with temperatures reaching up to 40 degrees Celsius, and mild, short winters with temperatures averaging from 0</w:t>
      </w:r>
      <w:r w:rsidR="000D1D70" w:rsidRPr="00ED5B14">
        <w:rPr>
          <w:color w:val="000000"/>
          <w:sz w:val="22"/>
          <w:szCs w:val="22"/>
          <w:lang w:val="en-GB" w:eastAsia="en-CA"/>
        </w:rPr>
        <w:t>–</w:t>
      </w:r>
      <w:r w:rsidRPr="00ED5B14">
        <w:rPr>
          <w:color w:val="000000"/>
          <w:sz w:val="22"/>
          <w:szCs w:val="22"/>
          <w:lang w:val="en-GB" w:eastAsia="en-CA"/>
        </w:rPr>
        <w:t>5 degrees Celsius.</w:t>
      </w:r>
      <w:r w:rsidR="00D14673" w:rsidRPr="00ED5B14">
        <w:rPr>
          <w:color w:val="000000"/>
          <w:sz w:val="22"/>
          <w:szCs w:val="22"/>
          <w:lang w:val="en-GB" w:eastAsia="en-CA"/>
        </w:rPr>
        <w:t xml:space="preserve"> The area receive</w:t>
      </w:r>
      <w:r w:rsidR="00B63DEE">
        <w:rPr>
          <w:color w:val="000000"/>
          <w:sz w:val="22"/>
          <w:szCs w:val="22"/>
          <w:lang w:val="en-GB" w:eastAsia="en-CA"/>
        </w:rPr>
        <w:t>s</w:t>
      </w:r>
      <w:r w:rsidR="00D14673" w:rsidRPr="00ED5B14">
        <w:rPr>
          <w:color w:val="000000"/>
          <w:sz w:val="22"/>
          <w:szCs w:val="22"/>
          <w:lang w:val="en-GB" w:eastAsia="en-CA"/>
        </w:rPr>
        <w:t xml:space="preserve"> high amounts of sunlight and moderate amounts of wind.</w:t>
      </w:r>
      <w:r w:rsidRPr="00ED5B14">
        <w:rPr>
          <w:color w:val="000000"/>
          <w:sz w:val="22"/>
          <w:szCs w:val="22"/>
          <w:vertAlign w:val="superscript"/>
          <w:lang w:val="en-GB" w:eastAsia="en-CA"/>
        </w:rPr>
        <w:endnoteReference w:id="3"/>
      </w:r>
    </w:p>
    <w:p w14:paraId="335C0CD9" w14:textId="77777777" w:rsidR="00330445" w:rsidRPr="00ED5B14" w:rsidRDefault="00330445" w:rsidP="00330445">
      <w:pPr>
        <w:pStyle w:val="BodyTextMain"/>
        <w:rPr>
          <w:lang w:val="en-GB"/>
        </w:rPr>
      </w:pPr>
    </w:p>
    <w:p w14:paraId="6D65B08E" w14:textId="77777777" w:rsidR="00330445" w:rsidRPr="00ED5B14" w:rsidRDefault="00330445" w:rsidP="00330445">
      <w:pPr>
        <w:pStyle w:val="BodyTextMain"/>
        <w:rPr>
          <w:lang w:val="en-GB"/>
        </w:rPr>
      </w:pPr>
    </w:p>
    <w:p w14:paraId="71331B9D" w14:textId="77777777" w:rsidR="00330445" w:rsidRPr="00ED5B14" w:rsidRDefault="00330445" w:rsidP="00330445">
      <w:pPr>
        <w:widowControl w:val="0"/>
        <w:pBdr>
          <w:top w:val="nil"/>
          <w:left w:val="nil"/>
          <w:bottom w:val="nil"/>
          <w:right w:val="nil"/>
          <w:between w:val="nil"/>
        </w:pBdr>
        <w:tabs>
          <w:tab w:val="left" w:pos="220"/>
          <w:tab w:val="left" w:pos="720"/>
        </w:tabs>
        <w:jc w:val="both"/>
        <w:rPr>
          <w:rFonts w:ascii="Arial" w:hAnsi="Arial" w:cs="Arial"/>
          <w:b/>
          <w:color w:val="000000"/>
          <w:lang w:val="en-GB" w:eastAsia="en-CA"/>
        </w:rPr>
      </w:pPr>
      <w:r w:rsidRPr="00ED5B14">
        <w:rPr>
          <w:rFonts w:ascii="Arial" w:hAnsi="Arial" w:cs="Arial"/>
          <w:b/>
          <w:color w:val="000000"/>
          <w:lang w:val="en-GB" w:eastAsia="en-CA"/>
        </w:rPr>
        <w:t>T’eqt’’aqtn: Prior to 1808</w:t>
      </w:r>
    </w:p>
    <w:p w14:paraId="50B742C1"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1974A012" w14:textId="01CA9BF5" w:rsidR="00330445" w:rsidRPr="007965F1" w:rsidRDefault="00330445" w:rsidP="00330445">
      <w:pPr>
        <w:widowControl w:val="0"/>
        <w:pBdr>
          <w:top w:val="nil"/>
          <w:left w:val="nil"/>
          <w:bottom w:val="nil"/>
          <w:right w:val="nil"/>
          <w:between w:val="nil"/>
        </w:pBdr>
        <w:tabs>
          <w:tab w:val="left" w:pos="220"/>
          <w:tab w:val="left" w:pos="720"/>
        </w:tabs>
        <w:jc w:val="both"/>
        <w:rPr>
          <w:color w:val="000000"/>
          <w:spacing w:val="-2"/>
          <w:kern w:val="22"/>
          <w:sz w:val="22"/>
          <w:szCs w:val="22"/>
          <w:lang w:val="en-GB" w:eastAsia="en-CA"/>
        </w:rPr>
      </w:pPr>
      <w:r w:rsidRPr="007965F1">
        <w:rPr>
          <w:color w:val="000000"/>
          <w:spacing w:val="-2"/>
          <w:kern w:val="22"/>
          <w:sz w:val="22"/>
          <w:szCs w:val="22"/>
          <w:lang w:val="en-GB" w:eastAsia="en-CA"/>
        </w:rPr>
        <w:t xml:space="preserve">Archaeological data and oral history </w:t>
      </w:r>
      <w:r w:rsidR="00D14673" w:rsidRPr="007965F1">
        <w:rPr>
          <w:color w:val="000000"/>
          <w:spacing w:val="-2"/>
          <w:kern w:val="22"/>
          <w:sz w:val="22"/>
          <w:szCs w:val="22"/>
          <w:lang w:val="en-GB" w:eastAsia="en-CA"/>
        </w:rPr>
        <w:t xml:space="preserve">reported </w:t>
      </w:r>
      <w:r w:rsidRPr="007965F1">
        <w:rPr>
          <w:color w:val="000000"/>
          <w:spacing w:val="-2"/>
          <w:kern w:val="22"/>
          <w:sz w:val="22"/>
          <w:szCs w:val="22"/>
          <w:lang w:val="en-GB" w:eastAsia="en-CA"/>
        </w:rPr>
        <w:t xml:space="preserve">that the Kanaka Bar </w:t>
      </w:r>
      <w:r w:rsidR="00D14673" w:rsidRPr="007965F1">
        <w:rPr>
          <w:color w:val="000000"/>
          <w:spacing w:val="-2"/>
          <w:kern w:val="22"/>
          <w:sz w:val="22"/>
          <w:szCs w:val="22"/>
          <w:lang w:val="en-GB" w:eastAsia="en-CA"/>
        </w:rPr>
        <w:t>t</w:t>
      </w:r>
      <w:r w:rsidRPr="007965F1">
        <w:rPr>
          <w:color w:val="000000"/>
          <w:spacing w:val="-2"/>
          <w:kern w:val="22"/>
          <w:sz w:val="22"/>
          <w:szCs w:val="22"/>
          <w:lang w:val="en-GB" w:eastAsia="en-CA"/>
        </w:rPr>
        <w:t xml:space="preserve">raditional </w:t>
      </w:r>
      <w:r w:rsidR="00D14673" w:rsidRPr="007965F1">
        <w:rPr>
          <w:color w:val="000000"/>
          <w:spacing w:val="-2"/>
          <w:kern w:val="22"/>
          <w:sz w:val="22"/>
          <w:szCs w:val="22"/>
          <w:lang w:val="en-GB" w:eastAsia="en-CA"/>
        </w:rPr>
        <w:t>t</w:t>
      </w:r>
      <w:r w:rsidRPr="007965F1">
        <w:rPr>
          <w:color w:val="000000"/>
          <w:spacing w:val="-2"/>
          <w:kern w:val="22"/>
          <w:sz w:val="22"/>
          <w:szCs w:val="22"/>
          <w:lang w:val="en-GB" w:eastAsia="en-CA"/>
        </w:rPr>
        <w:t xml:space="preserve">erritory </w:t>
      </w:r>
      <w:r w:rsidR="00990361" w:rsidRPr="007965F1">
        <w:rPr>
          <w:color w:val="000000"/>
          <w:spacing w:val="-2"/>
          <w:kern w:val="22"/>
          <w:sz w:val="22"/>
          <w:szCs w:val="22"/>
          <w:lang w:val="en-GB" w:eastAsia="en-CA"/>
        </w:rPr>
        <w:t xml:space="preserve">has </w:t>
      </w:r>
      <w:r w:rsidR="00D14673" w:rsidRPr="007965F1">
        <w:rPr>
          <w:color w:val="000000"/>
          <w:spacing w:val="-2"/>
          <w:kern w:val="22"/>
          <w:sz w:val="22"/>
          <w:szCs w:val="22"/>
          <w:lang w:val="en-GB" w:eastAsia="en-CA"/>
        </w:rPr>
        <w:t xml:space="preserve">been </w:t>
      </w:r>
      <w:r w:rsidRPr="007965F1">
        <w:rPr>
          <w:color w:val="000000"/>
          <w:spacing w:val="-2"/>
          <w:kern w:val="22"/>
          <w:sz w:val="22"/>
          <w:szCs w:val="22"/>
          <w:lang w:val="en-GB" w:eastAsia="en-CA"/>
        </w:rPr>
        <w:t>occupied for over 7</w:t>
      </w:r>
      <w:r w:rsidR="00901802" w:rsidRPr="007965F1">
        <w:rPr>
          <w:color w:val="000000"/>
          <w:spacing w:val="-2"/>
          <w:kern w:val="22"/>
          <w:sz w:val="22"/>
          <w:szCs w:val="22"/>
          <w:lang w:val="en-GB" w:eastAsia="en-CA"/>
        </w:rPr>
        <w:t>,</w:t>
      </w:r>
      <w:r w:rsidRPr="007965F1">
        <w:rPr>
          <w:color w:val="000000"/>
          <w:spacing w:val="-2"/>
          <w:kern w:val="22"/>
          <w:sz w:val="22"/>
          <w:szCs w:val="22"/>
          <w:lang w:val="en-GB" w:eastAsia="en-CA"/>
        </w:rPr>
        <w:t>000 years.</w:t>
      </w:r>
      <w:r w:rsidR="00B711BA" w:rsidRPr="007965F1">
        <w:rPr>
          <w:rStyle w:val="EndnoteReference"/>
          <w:color w:val="000000"/>
          <w:spacing w:val="-2"/>
          <w:kern w:val="22"/>
          <w:sz w:val="22"/>
          <w:szCs w:val="22"/>
          <w:lang w:val="en-GB" w:eastAsia="en-CA"/>
        </w:rPr>
        <w:endnoteReference w:id="4"/>
      </w:r>
      <w:r w:rsidRPr="007965F1">
        <w:rPr>
          <w:color w:val="000000"/>
          <w:spacing w:val="-2"/>
          <w:kern w:val="22"/>
          <w:sz w:val="22"/>
          <w:szCs w:val="22"/>
          <w:lang w:val="en-GB" w:eastAsia="en-CA"/>
        </w:rPr>
        <w:t xml:space="preserve"> Prior to colonization, Kanaka Bar was </w:t>
      </w:r>
      <w:r w:rsidR="00D14673" w:rsidRPr="007965F1">
        <w:rPr>
          <w:color w:val="000000"/>
          <w:spacing w:val="-2"/>
          <w:kern w:val="22"/>
          <w:sz w:val="22"/>
          <w:szCs w:val="22"/>
          <w:lang w:val="en-GB" w:eastAsia="en-CA"/>
        </w:rPr>
        <w:t>called</w:t>
      </w:r>
      <w:r w:rsidR="00D14673" w:rsidRPr="007965F1">
        <w:rPr>
          <w:i/>
          <w:color w:val="000000"/>
          <w:spacing w:val="-2"/>
          <w:kern w:val="22"/>
          <w:sz w:val="22"/>
          <w:szCs w:val="22"/>
          <w:lang w:val="en-GB" w:eastAsia="en-CA"/>
        </w:rPr>
        <w:t xml:space="preserve"> </w:t>
      </w:r>
      <w:r w:rsidRPr="007965F1">
        <w:rPr>
          <w:i/>
          <w:color w:val="000000"/>
          <w:spacing w:val="-2"/>
          <w:kern w:val="22"/>
          <w:sz w:val="22"/>
          <w:szCs w:val="22"/>
          <w:lang w:val="en-GB" w:eastAsia="en-CA"/>
        </w:rPr>
        <w:t>T’eqt’’aqtn</w:t>
      </w:r>
      <w:r w:rsidR="00D14673" w:rsidRPr="007965F1">
        <w:rPr>
          <w:color w:val="000000"/>
          <w:spacing w:val="-2"/>
          <w:kern w:val="22"/>
          <w:sz w:val="22"/>
          <w:szCs w:val="22"/>
          <w:lang w:val="en-GB" w:eastAsia="en-CA"/>
        </w:rPr>
        <w:t xml:space="preserve"> (“</w:t>
      </w:r>
      <w:r w:rsidRPr="007965F1">
        <w:rPr>
          <w:color w:val="000000"/>
          <w:spacing w:val="-2"/>
          <w:kern w:val="22"/>
          <w:sz w:val="22"/>
          <w:szCs w:val="22"/>
          <w:lang w:val="en-GB" w:eastAsia="en-CA"/>
        </w:rPr>
        <w:t xml:space="preserve">the </w:t>
      </w:r>
      <w:r w:rsidR="00D14673" w:rsidRPr="007965F1">
        <w:rPr>
          <w:color w:val="000000"/>
          <w:spacing w:val="-2"/>
          <w:kern w:val="22"/>
          <w:sz w:val="22"/>
          <w:szCs w:val="22"/>
          <w:lang w:val="en-GB" w:eastAsia="en-CA"/>
        </w:rPr>
        <w:t>crossing place”)</w:t>
      </w:r>
      <w:r w:rsidRPr="007965F1">
        <w:rPr>
          <w:color w:val="000000"/>
          <w:spacing w:val="-2"/>
          <w:kern w:val="22"/>
          <w:sz w:val="22"/>
          <w:szCs w:val="22"/>
          <w:lang w:val="en-GB" w:eastAsia="en-CA"/>
        </w:rPr>
        <w:t xml:space="preserve">, home to </w:t>
      </w:r>
      <w:r w:rsidR="00D14673"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the </w:t>
      </w:r>
      <w:r w:rsidR="00D14673" w:rsidRPr="007965F1">
        <w:rPr>
          <w:color w:val="000000"/>
          <w:spacing w:val="-2"/>
          <w:kern w:val="22"/>
          <w:sz w:val="22"/>
          <w:szCs w:val="22"/>
          <w:lang w:val="en-GB" w:eastAsia="en-CA"/>
        </w:rPr>
        <w:t xml:space="preserve">crossing place </w:t>
      </w:r>
      <w:r w:rsidRPr="007965F1">
        <w:rPr>
          <w:color w:val="000000"/>
          <w:spacing w:val="-2"/>
          <w:kern w:val="22"/>
          <w:sz w:val="22"/>
          <w:szCs w:val="22"/>
          <w:lang w:val="en-GB" w:eastAsia="en-CA"/>
        </w:rPr>
        <w:t>people,</w:t>
      </w:r>
      <w:r w:rsidR="00D14673"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 the </w:t>
      </w:r>
      <w:r w:rsidRPr="007965F1">
        <w:rPr>
          <w:i/>
          <w:color w:val="000000"/>
          <w:spacing w:val="-2"/>
          <w:kern w:val="22"/>
          <w:sz w:val="22"/>
          <w:szCs w:val="22"/>
          <w:lang w:val="en-GB" w:eastAsia="en-CA"/>
        </w:rPr>
        <w:t>T’eqt’’aqtn’mux</w:t>
      </w:r>
      <w:r w:rsidRPr="007965F1">
        <w:rPr>
          <w:color w:val="000000"/>
          <w:spacing w:val="-2"/>
          <w:kern w:val="22"/>
          <w:sz w:val="22"/>
          <w:szCs w:val="22"/>
          <w:lang w:val="en-GB" w:eastAsia="en-CA"/>
        </w:rPr>
        <w:t>. The community was self-sufficient, with established trade networks that respected the land and its resources by taking only what was needed. The community engaged in fishing, hunting, and gathering. I</w:t>
      </w:r>
      <w:r w:rsidR="00270FB0" w:rsidRPr="007965F1">
        <w:rPr>
          <w:color w:val="000000"/>
          <w:spacing w:val="-2"/>
          <w:kern w:val="22"/>
          <w:sz w:val="22"/>
          <w:szCs w:val="22"/>
          <w:lang w:val="en-GB" w:eastAsia="en-CA"/>
        </w:rPr>
        <w:t xml:space="preserve">t also </w:t>
      </w:r>
      <w:r w:rsidRPr="007965F1">
        <w:rPr>
          <w:color w:val="000000"/>
          <w:spacing w:val="-2"/>
          <w:kern w:val="22"/>
          <w:sz w:val="22"/>
          <w:szCs w:val="22"/>
          <w:lang w:val="en-GB" w:eastAsia="en-CA"/>
        </w:rPr>
        <w:t>harvested and produced medicines based on traditional knowledge</w:t>
      </w:r>
      <w:r w:rsidR="00270FB0" w:rsidRPr="007965F1">
        <w:rPr>
          <w:color w:val="000000"/>
          <w:spacing w:val="-2"/>
          <w:kern w:val="22"/>
          <w:sz w:val="22"/>
          <w:szCs w:val="22"/>
          <w:lang w:val="en-GB" w:eastAsia="en-CA"/>
        </w:rPr>
        <w:t xml:space="preserve"> and</w:t>
      </w:r>
      <w:r w:rsidRPr="007965F1">
        <w:rPr>
          <w:color w:val="000000"/>
          <w:spacing w:val="-2"/>
          <w:kern w:val="22"/>
          <w:sz w:val="22"/>
          <w:szCs w:val="22"/>
          <w:lang w:val="en-GB" w:eastAsia="en-CA"/>
        </w:rPr>
        <w:t xml:space="preserve"> produced clothing</w:t>
      </w:r>
      <w:r w:rsidR="00270FB0"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 tools, baskets, and weapons. </w:t>
      </w:r>
      <w:r w:rsidR="00270FB0" w:rsidRPr="007965F1">
        <w:rPr>
          <w:color w:val="000000"/>
          <w:spacing w:val="-2"/>
          <w:kern w:val="22"/>
          <w:sz w:val="22"/>
          <w:szCs w:val="22"/>
          <w:lang w:val="en-GB" w:eastAsia="en-CA"/>
        </w:rPr>
        <w:t>K</w:t>
      </w:r>
      <w:r w:rsidRPr="007965F1">
        <w:rPr>
          <w:color w:val="000000"/>
          <w:spacing w:val="-2"/>
          <w:kern w:val="22"/>
          <w:sz w:val="22"/>
          <w:szCs w:val="22"/>
          <w:lang w:val="en-GB" w:eastAsia="en-CA"/>
        </w:rPr>
        <w:t xml:space="preserve">nowledge </w:t>
      </w:r>
      <w:r w:rsidR="00270FB0" w:rsidRPr="007965F1">
        <w:rPr>
          <w:color w:val="000000"/>
          <w:spacing w:val="-2"/>
          <w:kern w:val="22"/>
          <w:sz w:val="22"/>
          <w:szCs w:val="22"/>
          <w:lang w:val="en-GB" w:eastAsia="en-CA"/>
        </w:rPr>
        <w:t xml:space="preserve">about these activities </w:t>
      </w:r>
      <w:r w:rsidRPr="007965F1">
        <w:rPr>
          <w:color w:val="000000"/>
          <w:spacing w:val="-2"/>
          <w:kern w:val="22"/>
          <w:sz w:val="22"/>
          <w:szCs w:val="22"/>
          <w:lang w:val="en-GB" w:eastAsia="en-CA"/>
        </w:rPr>
        <w:t xml:space="preserve">was passed down through generations, with children participating in the community </w:t>
      </w:r>
      <w:r w:rsidR="00270FB0" w:rsidRPr="007965F1">
        <w:rPr>
          <w:color w:val="000000"/>
          <w:spacing w:val="-2"/>
          <w:kern w:val="22"/>
          <w:sz w:val="22"/>
          <w:szCs w:val="22"/>
          <w:lang w:val="en-GB" w:eastAsia="en-CA"/>
        </w:rPr>
        <w:t xml:space="preserve">and </w:t>
      </w:r>
      <w:r w:rsidRPr="007965F1">
        <w:rPr>
          <w:color w:val="000000"/>
          <w:spacing w:val="-2"/>
          <w:kern w:val="22"/>
          <w:sz w:val="22"/>
          <w:szCs w:val="22"/>
          <w:lang w:val="en-GB" w:eastAsia="en-CA"/>
        </w:rPr>
        <w:t>learnin</w:t>
      </w:r>
      <w:r w:rsidR="00901802" w:rsidRPr="007965F1">
        <w:rPr>
          <w:color w:val="000000"/>
          <w:spacing w:val="-2"/>
          <w:kern w:val="22"/>
          <w:sz w:val="22"/>
          <w:szCs w:val="22"/>
          <w:lang w:val="en-GB" w:eastAsia="en-CA"/>
        </w:rPr>
        <w:t>g from adults on a daily basis.</w:t>
      </w:r>
    </w:p>
    <w:p w14:paraId="04D17B1A" w14:textId="77777777" w:rsidR="00901802" w:rsidRPr="00ED5B14" w:rsidRDefault="00901802"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2A2D87F7" w14:textId="1DCB2141" w:rsidR="00330445" w:rsidRPr="007965F1" w:rsidRDefault="00330445" w:rsidP="00330445">
      <w:pPr>
        <w:widowControl w:val="0"/>
        <w:pBdr>
          <w:top w:val="nil"/>
          <w:left w:val="nil"/>
          <w:bottom w:val="nil"/>
          <w:right w:val="nil"/>
          <w:between w:val="nil"/>
        </w:pBdr>
        <w:tabs>
          <w:tab w:val="left" w:pos="220"/>
          <w:tab w:val="left" w:pos="720"/>
        </w:tabs>
        <w:jc w:val="both"/>
        <w:rPr>
          <w:color w:val="000000"/>
          <w:spacing w:val="-2"/>
          <w:kern w:val="22"/>
          <w:sz w:val="22"/>
          <w:szCs w:val="22"/>
          <w:lang w:val="en-GB" w:eastAsia="en-CA"/>
        </w:rPr>
      </w:pPr>
      <w:r w:rsidRPr="007965F1">
        <w:rPr>
          <w:color w:val="000000"/>
          <w:spacing w:val="-2"/>
          <w:kern w:val="22"/>
          <w:sz w:val="22"/>
          <w:szCs w:val="22"/>
          <w:lang w:val="en-GB" w:eastAsia="en-CA"/>
        </w:rPr>
        <w:t xml:space="preserve">Kanaka Bar </w:t>
      </w:r>
      <w:r w:rsidR="00990361" w:rsidRPr="007965F1">
        <w:rPr>
          <w:color w:val="000000"/>
          <w:spacing w:val="-2"/>
          <w:kern w:val="22"/>
          <w:sz w:val="22"/>
          <w:szCs w:val="22"/>
          <w:lang w:val="en-GB" w:eastAsia="en-CA"/>
        </w:rPr>
        <w:t xml:space="preserve">is </w:t>
      </w:r>
      <w:r w:rsidRPr="007965F1">
        <w:rPr>
          <w:color w:val="000000"/>
          <w:spacing w:val="-2"/>
          <w:kern w:val="22"/>
          <w:sz w:val="22"/>
          <w:szCs w:val="22"/>
          <w:lang w:val="en-GB" w:eastAsia="en-CA"/>
        </w:rPr>
        <w:t xml:space="preserve">part of the </w:t>
      </w:r>
      <w:r w:rsidRPr="007965F1">
        <w:rPr>
          <w:i/>
          <w:color w:val="000000"/>
          <w:spacing w:val="-2"/>
          <w:kern w:val="22"/>
          <w:sz w:val="22"/>
          <w:szCs w:val="22"/>
          <w:lang w:val="en-GB" w:eastAsia="en-CA"/>
        </w:rPr>
        <w:t>Nlaka’pamux</w:t>
      </w:r>
      <w:r w:rsidRPr="007965F1">
        <w:rPr>
          <w:color w:val="000000"/>
          <w:spacing w:val="-2"/>
          <w:kern w:val="22"/>
          <w:sz w:val="22"/>
          <w:szCs w:val="22"/>
          <w:lang w:val="en-GB" w:eastAsia="en-CA"/>
        </w:rPr>
        <w:t xml:space="preserve"> Nation, which </w:t>
      </w:r>
      <w:r w:rsidR="00B63DEE">
        <w:rPr>
          <w:color w:val="000000"/>
          <w:spacing w:val="-2"/>
          <w:kern w:val="22"/>
          <w:sz w:val="22"/>
          <w:szCs w:val="22"/>
          <w:lang w:val="en-GB" w:eastAsia="en-CA"/>
        </w:rPr>
        <w:t>i</w:t>
      </w:r>
      <w:r w:rsidR="00270FB0" w:rsidRPr="007965F1">
        <w:rPr>
          <w:color w:val="000000"/>
          <w:spacing w:val="-2"/>
          <w:kern w:val="22"/>
          <w:sz w:val="22"/>
          <w:szCs w:val="22"/>
          <w:lang w:val="en-GB" w:eastAsia="en-CA"/>
        </w:rPr>
        <w:t xml:space="preserve">s </w:t>
      </w:r>
      <w:r w:rsidRPr="007965F1">
        <w:rPr>
          <w:color w:val="000000"/>
          <w:spacing w:val="-2"/>
          <w:kern w:val="22"/>
          <w:sz w:val="22"/>
          <w:szCs w:val="22"/>
          <w:lang w:val="en-GB" w:eastAsia="en-CA"/>
        </w:rPr>
        <w:t xml:space="preserve">made up of 15 distinct </w:t>
      </w:r>
      <w:r w:rsidR="000D1D70" w:rsidRPr="007965F1">
        <w:rPr>
          <w:color w:val="000000"/>
          <w:spacing w:val="-2"/>
          <w:kern w:val="22"/>
          <w:sz w:val="22"/>
          <w:szCs w:val="22"/>
          <w:lang w:val="en-GB" w:eastAsia="en-CA"/>
        </w:rPr>
        <w:t>I</w:t>
      </w:r>
      <w:r w:rsidRPr="007965F1">
        <w:rPr>
          <w:color w:val="000000"/>
          <w:spacing w:val="-2"/>
          <w:kern w:val="22"/>
          <w:sz w:val="22"/>
          <w:szCs w:val="22"/>
          <w:lang w:val="en-GB" w:eastAsia="en-CA"/>
        </w:rPr>
        <w:t xml:space="preserve">ndigenous communities. Historically, each community had regional autonomy </w:t>
      </w:r>
      <w:r w:rsidR="00270FB0" w:rsidRPr="007965F1">
        <w:rPr>
          <w:color w:val="000000"/>
          <w:spacing w:val="-2"/>
          <w:kern w:val="22"/>
          <w:sz w:val="22"/>
          <w:szCs w:val="22"/>
          <w:lang w:val="en-GB" w:eastAsia="en-CA"/>
        </w:rPr>
        <w:t>over its</w:t>
      </w:r>
      <w:r w:rsidRPr="007965F1">
        <w:rPr>
          <w:color w:val="000000"/>
          <w:spacing w:val="-2"/>
          <w:kern w:val="22"/>
          <w:sz w:val="22"/>
          <w:szCs w:val="22"/>
          <w:lang w:val="en-GB" w:eastAsia="en-CA"/>
        </w:rPr>
        <w:t xml:space="preserve"> traditional sites and surrounding areas, including the land and other resources. Each community was self-governing and had </w:t>
      </w:r>
      <w:r w:rsidR="00270FB0" w:rsidRPr="007965F1">
        <w:rPr>
          <w:color w:val="000000"/>
          <w:spacing w:val="-2"/>
          <w:kern w:val="22"/>
          <w:sz w:val="22"/>
          <w:szCs w:val="22"/>
          <w:lang w:val="en-GB" w:eastAsia="en-CA"/>
        </w:rPr>
        <w:t xml:space="preserve">its </w:t>
      </w:r>
      <w:r w:rsidRPr="007965F1">
        <w:rPr>
          <w:color w:val="000000"/>
          <w:spacing w:val="-2"/>
          <w:kern w:val="22"/>
          <w:sz w:val="22"/>
          <w:szCs w:val="22"/>
          <w:lang w:val="en-GB" w:eastAsia="en-CA"/>
        </w:rPr>
        <w:t xml:space="preserve">own governance system of </w:t>
      </w:r>
      <w:r w:rsidRPr="007965F1">
        <w:rPr>
          <w:color w:val="000000"/>
          <w:spacing w:val="-2"/>
          <w:kern w:val="22"/>
          <w:sz w:val="22"/>
          <w:szCs w:val="22"/>
          <w:lang w:val="en-GB" w:eastAsia="en-CA"/>
        </w:rPr>
        <w:lastRenderedPageBreak/>
        <w:t xml:space="preserve">appointing </w:t>
      </w:r>
      <w:r w:rsidRPr="007965F1">
        <w:rPr>
          <w:i/>
          <w:color w:val="000000"/>
          <w:spacing w:val="-2"/>
          <w:kern w:val="22"/>
          <w:sz w:val="22"/>
          <w:szCs w:val="22"/>
          <w:lang w:val="en-GB" w:eastAsia="en-CA"/>
        </w:rPr>
        <w:t>kokpe</w:t>
      </w:r>
      <w:r w:rsidRPr="007965F1">
        <w:rPr>
          <w:color w:val="000000"/>
          <w:spacing w:val="-2"/>
          <w:kern w:val="22"/>
          <w:sz w:val="22"/>
          <w:szCs w:val="22"/>
          <w:lang w:val="en-GB" w:eastAsia="en-CA"/>
        </w:rPr>
        <w:t xml:space="preserve"> (head men and women)</w:t>
      </w:r>
      <w:r w:rsidR="00270FB0"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 Nations were self-sufficient and had intricate understanding</w:t>
      </w:r>
      <w:r w:rsidR="00270FB0" w:rsidRPr="007965F1">
        <w:rPr>
          <w:color w:val="000000"/>
          <w:spacing w:val="-2"/>
          <w:kern w:val="22"/>
          <w:sz w:val="22"/>
          <w:szCs w:val="22"/>
          <w:lang w:val="en-GB" w:eastAsia="en-CA"/>
        </w:rPr>
        <w:t>s</w:t>
      </w:r>
      <w:r w:rsidRPr="007965F1">
        <w:rPr>
          <w:color w:val="000000"/>
          <w:spacing w:val="-2"/>
          <w:kern w:val="22"/>
          <w:sz w:val="22"/>
          <w:szCs w:val="22"/>
          <w:lang w:val="en-GB" w:eastAsia="en-CA"/>
        </w:rPr>
        <w:t xml:space="preserve"> with other nations in </w:t>
      </w:r>
      <w:r w:rsidR="00270FB0" w:rsidRPr="007965F1">
        <w:rPr>
          <w:color w:val="000000"/>
          <w:spacing w:val="-2"/>
          <w:kern w:val="22"/>
          <w:sz w:val="22"/>
          <w:szCs w:val="22"/>
          <w:lang w:val="en-GB" w:eastAsia="en-CA"/>
        </w:rPr>
        <w:t xml:space="preserve">the </w:t>
      </w:r>
      <w:r w:rsidRPr="007965F1">
        <w:rPr>
          <w:color w:val="000000"/>
          <w:spacing w:val="-2"/>
          <w:kern w:val="22"/>
          <w:sz w:val="22"/>
          <w:szCs w:val="22"/>
          <w:lang w:val="en-GB" w:eastAsia="en-CA"/>
        </w:rPr>
        <w:t>region regarding resource sharing between families and communities.</w:t>
      </w:r>
      <w:r w:rsidRPr="007965F1">
        <w:rPr>
          <w:color w:val="000000"/>
          <w:spacing w:val="-2"/>
          <w:kern w:val="22"/>
          <w:sz w:val="22"/>
          <w:szCs w:val="22"/>
          <w:vertAlign w:val="superscript"/>
          <w:lang w:val="en-GB" w:eastAsia="en-CA"/>
        </w:rPr>
        <w:endnoteReference w:id="5"/>
      </w:r>
      <w:r w:rsidRPr="007965F1">
        <w:rPr>
          <w:color w:val="000000"/>
          <w:spacing w:val="-2"/>
          <w:kern w:val="22"/>
          <w:sz w:val="22"/>
          <w:szCs w:val="22"/>
          <w:lang w:val="en-GB" w:eastAsia="en-CA"/>
        </w:rPr>
        <w:t xml:space="preserve"> </w:t>
      </w:r>
    </w:p>
    <w:p w14:paraId="2FC5D5C4"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53A67B2C"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34D01EF4" w14:textId="78492E4E" w:rsidR="00330445" w:rsidRPr="00ED5B14" w:rsidRDefault="00330445" w:rsidP="00330445">
      <w:pPr>
        <w:widowControl w:val="0"/>
        <w:pBdr>
          <w:top w:val="nil"/>
          <w:left w:val="nil"/>
          <w:bottom w:val="nil"/>
          <w:right w:val="nil"/>
          <w:between w:val="nil"/>
        </w:pBdr>
        <w:tabs>
          <w:tab w:val="left" w:pos="220"/>
          <w:tab w:val="left" w:pos="720"/>
        </w:tabs>
        <w:jc w:val="both"/>
        <w:rPr>
          <w:rFonts w:ascii="Arial" w:hAnsi="Arial" w:cs="Arial"/>
          <w:b/>
          <w:color w:val="000000"/>
          <w:lang w:val="en-GB" w:eastAsia="en-CA"/>
        </w:rPr>
      </w:pPr>
      <w:r w:rsidRPr="00ED5B14">
        <w:rPr>
          <w:rFonts w:ascii="Arial" w:hAnsi="Arial" w:cs="Arial"/>
          <w:b/>
          <w:color w:val="000000"/>
          <w:lang w:val="en-GB" w:eastAsia="en-CA"/>
        </w:rPr>
        <w:t>European Contact and Colonization: 1808</w:t>
      </w:r>
      <w:r w:rsidR="00270FB0" w:rsidRPr="00ED5B14">
        <w:rPr>
          <w:rFonts w:ascii="Arial" w:hAnsi="Arial" w:cs="Arial"/>
          <w:b/>
          <w:color w:val="000000"/>
          <w:lang w:val="en-GB" w:eastAsia="en-CA"/>
        </w:rPr>
        <w:t>–</w:t>
      </w:r>
      <w:r w:rsidRPr="00ED5B14">
        <w:rPr>
          <w:rFonts w:ascii="Arial" w:hAnsi="Arial" w:cs="Arial"/>
          <w:b/>
          <w:color w:val="000000"/>
          <w:lang w:val="en-GB" w:eastAsia="en-CA"/>
        </w:rPr>
        <w:t>1970</w:t>
      </w:r>
    </w:p>
    <w:p w14:paraId="2F40338F" w14:textId="77777777" w:rsidR="00330445" w:rsidRPr="00ED5B14" w:rsidRDefault="00330445" w:rsidP="00330445">
      <w:pPr>
        <w:widowControl w:val="0"/>
        <w:pBdr>
          <w:top w:val="nil"/>
          <w:left w:val="nil"/>
          <w:bottom w:val="nil"/>
          <w:right w:val="nil"/>
          <w:between w:val="nil"/>
        </w:pBdr>
        <w:jc w:val="both"/>
        <w:rPr>
          <w:color w:val="000000"/>
          <w:sz w:val="22"/>
          <w:szCs w:val="22"/>
          <w:lang w:val="en-GB" w:eastAsia="en-CA"/>
        </w:rPr>
      </w:pPr>
    </w:p>
    <w:p w14:paraId="4D06C246" w14:textId="4648649D" w:rsidR="00330445" w:rsidRPr="00ED5B14" w:rsidRDefault="00330445" w:rsidP="00330445">
      <w:pPr>
        <w:widowControl w:val="0"/>
        <w:pBdr>
          <w:top w:val="nil"/>
          <w:left w:val="nil"/>
          <w:bottom w:val="nil"/>
          <w:right w:val="nil"/>
          <w:between w:val="nil"/>
        </w:pBdr>
        <w:tabs>
          <w:tab w:val="left" w:pos="220"/>
          <w:tab w:val="left" w:pos="720"/>
        </w:tabs>
        <w:jc w:val="both"/>
        <w:rPr>
          <w:i/>
          <w:color w:val="000000"/>
          <w:sz w:val="22"/>
          <w:szCs w:val="22"/>
          <w:lang w:val="en-GB" w:eastAsia="en-CA"/>
        </w:rPr>
      </w:pPr>
      <w:r w:rsidRPr="00ED5B14">
        <w:rPr>
          <w:color w:val="000000"/>
          <w:sz w:val="22"/>
          <w:szCs w:val="22"/>
          <w:lang w:val="en-GB" w:eastAsia="en-CA"/>
        </w:rPr>
        <w:t xml:space="preserve">Interaction with European settlers began </w:t>
      </w:r>
      <w:r w:rsidR="0083139F" w:rsidRPr="00ED5B14">
        <w:rPr>
          <w:color w:val="000000"/>
          <w:sz w:val="22"/>
          <w:szCs w:val="22"/>
          <w:lang w:val="en-GB" w:eastAsia="en-CA"/>
        </w:rPr>
        <w:t xml:space="preserve">with trade </w:t>
      </w:r>
      <w:r w:rsidRPr="00ED5B14">
        <w:rPr>
          <w:color w:val="000000"/>
          <w:sz w:val="22"/>
          <w:szCs w:val="22"/>
          <w:lang w:val="en-GB" w:eastAsia="en-CA"/>
        </w:rPr>
        <w:t xml:space="preserve">for </w:t>
      </w:r>
      <w:r w:rsidR="0083139F" w:rsidRPr="00ED5B14">
        <w:rPr>
          <w:color w:val="000000"/>
          <w:sz w:val="22"/>
          <w:szCs w:val="22"/>
          <w:lang w:val="en-GB" w:eastAsia="en-CA"/>
        </w:rPr>
        <w:t xml:space="preserve">Kanaka Bar’s </w:t>
      </w:r>
      <w:r w:rsidRPr="00ED5B14">
        <w:rPr>
          <w:color w:val="000000"/>
          <w:sz w:val="22"/>
          <w:szCs w:val="22"/>
          <w:lang w:val="en-GB" w:eastAsia="en-CA"/>
        </w:rPr>
        <w:t>sought-after dried salmon. Formal contact was established in June 1808</w:t>
      </w:r>
      <w:r w:rsidR="0083139F" w:rsidRPr="00ED5B14">
        <w:rPr>
          <w:color w:val="000000"/>
          <w:sz w:val="22"/>
          <w:szCs w:val="22"/>
          <w:lang w:val="en-GB" w:eastAsia="en-CA"/>
        </w:rPr>
        <w:t>,</w:t>
      </w:r>
      <w:r w:rsidRPr="00ED5B14">
        <w:rPr>
          <w:color w:val="000000"/>
          <w:sz w:val="22"/>
          <w:szCs w:val="22"/>
          <w:lang w:val="en-GB" w:eastAsia="en-CA"/>
        </w:rPr>
        <w:t xml:space="preserve"> with the explorer Simon Fraser. Fraser named the people the </w:t>
      </w:r>
      <w:r w:rsidRPr="00ED5B14">
        <w:rPr>
          <w:i/>
          <w:color w:val="000000"/>
          <w:sz w:val="22"/>
          <w:szCs w:val="22"/>
          <w:lang w:val="en-GB" w:eastAsia="en-CA"/>
        </w:rPr>
        <w:t xml:space="preserve">Couteau </w:t>
      </w:r>
      <w:r w:rsidRPr="00ED5B14">
        <w:rPr>
          <w:color w:val="000000"/>
          <w:sz w:val="22"/>
          <w:szCs w:val="22"/>
          <w:lang w:val="en-GB" w:eastAsia="en-CA"/>
        </w:rPr>
        <w:t>(</w:t>
      </w:r>
      <w:r w:rsidR="007D3150" w:rsidRPr="00ED5B14">
        <w:rPr>
          <w:color w:val="000000"/>
          <w:sz w:val="22"/>
          <w:szCs w:val="22"/>
          <w:lang w:val="en-GB" w:eastAsia="en-CA"/>
        </w:rPr>
        <w:t>knife</w:t>
      </w:r>
      <w:r w:rsidRPr="00ED5B14">
        <w:rPr>
          <w:color w:val="000000"/>
          <w:sz w:val="22"/>
          <w:szCs w:val="22"/>
          <w:lang w:val="en-GB" w:eastAsia="en-CA"/>
        </w:rPr>
        <w:t>) tribe</w:t>
      </w:r>
      <w:r w:rsidR="0083139F" w:rsidRPr="00ED5B14">
        <w:rPr>
          <w:color w:val="000000"/>
          <w:sz w:val="22"/>
          <w:szCs w:val="22"/>
          <w:lang w:val="en-GB" w:eastAsia="en-CA"/>
        </w:rPr>
        <w:t xml:space="preserve">, and </w:t>
      </w:r>
      <w:r w:rsidRPr="00ED5B14">
        <w:rPr>
          <w:color w:val="000000"/>
          <w:sz w:val="22"/>
          <w:szCs w:val="22"/>
          <w:lang w:val="en-GB" w:eastAsia="en-CA"/>
        </w:rPr>
        <w:t>Fraser and those who followed him learned how to navigate and live in the area from the</w:t>
      </w:r>
      <w:r w:rsidRPr="00ED5B14">
        <w:rPr>
          <w:i/>
          <w:color w:val="000000"/>
          <w:sz w:val="22"/>
          <w:szCs w:val="22"/>
          <w:lang w:val="en-GB" w:eastAsia="en-CA"/>
        </w:rPr>
        <w:t xml:space="preserve"> </w:t>
      </w:r>
      <w:r w:rsidRPr="00ED5B14">
        <w:rPr>
          <w:color w:val="000000"/>
          <w:sz w:val="22"/>
          <w:szCs w:val="22"/>
          <w:lang w:val="en-GB" w:eastAsia="en-CA"/>
        </w:rPr>
        <w:t>T’eqt’’aqtn’mux and other local communities</w:t>
      </w:r>
      <w:r w:rsidRPr="00ED5B14">
        <w:rPr>
          <w:i/>
          <w:color w:val="000000"/>
          <w:sz w:val="22"/>
          <w:szCs w:val="22"/>
          <w:lang w:val="en-GB" w:eastAsia="en-CA"/>
        </w:rPr>
        <w:t>.</w:t>
      </w:r>
      <w:r w:rsidRPr="00ED5B14">
        <w:rPr>
          <w:color w:val="000000"/>
          <w:sz w:val="22"/>
          <w:szCs w:val="22"/>
          <w:vertAlign w:val="superscript"/>
          <w:lang w:val="en-GB" w:eastAsia="en-CA"/>
        </w:rPr>
        <w:endnoteReference w:id="6"/>
      </w:r>
      <w:r w:rsidRPr="00ED5B14">
        <w:rPr>
          <w:color w:val="000000"/>
          <w:sz w:val="22"/>
          <w:szCs w:val="22"/>
          <w:lang w:val="en-GB" w:eastAsia="en-CA"/>
        </w:rPr>
        <w:t xml:space="preserve"> </w:t>
      </w:r>
    </w:p>
    <w:p w14:paraId="1757E2A8" w14:textId="77777777" w:rsidR="00330445" w:rsidRPr="00ED5B14" w:rsidRDefault="00330445" w:rsidP="00330445">
      <w:pPr>
        <w:widowControl w:val="0"/>
        <w:pBdr>
          <w:top w:val="nil"/>
          <w:left w:val="nil"/>
          <w:bottom w:val="nil"/>
          <w:right w:val="nil"/>
          <w:between w:val="nil"/>
        </w:pBdr>
        <w:tabs>
          <w:tab w:val="left" w:pos="220"/>
          <w:tab w:val="left" w:pos="720"/>
        </w:tabs>
        <w:jc w:val="both"/>
        <w:rPr>
          <w:i/>
          <w:color w:val="000000"/>
          <w:sz w:val="22"/>
          <w:szCs w:val="22"/>
          <w:lang w:val="en-GB" w:eastAsia="en-CA"/>
        </w:rPr>
      </w:pPr>
    </w:p>
    <w:p w14:paraId="219EF7BD" w14:textId="55EC757D" w:rsidR="00330445" w:rsidRPr="007965F1" w:rsidRDefault="00330445" w:rsidP="00330445">
      <w:pPr>
        <w:widowControl w:val="0"/>
        <w:pBdr>
          <w:top w:val="nil"/>
          <w:left w:val="nil"/>
          <w:bottom w:val="nil"/>
          <w:right w:val="nil"/>
          <w:between w:val="nil"/>
        </w:pBdr>
        <w:tabs>
          <w:tab w:val="left" w:pos="220"/>
          <w:tab w:val="left" w:pos="720"/>
        </w:tabs>
        <w:jc w:val="both"/>
        <w:rPr>
          <w:color w:val="000000"/>
          <w:spacing w:val="-2"/>
          <w:kern w:val="22"/>
          <w:sz w:val="22"/>
          <w:szCs w:val="22"/>
          <w:lang w:val="en-GB" w:eastAsia="en-CA"/>
        </w:rPr>
      </w:pPr>
      <w:r w:rsidRPr="007965F1">
        <w:rPr>
          <w:color w:val="000000"/>
          <w:spacing w:val="-2"/>
          <w:kern w:val="22"/>
          <w:sz w:val="22"/>
          <w:szCs w:val="22"/>
          <w:lang w:val="en-GB" w:eastAsia="en-CA"/>
        </w:rPr>
        <w:t xml:space="preserve">Contact with explorers and settlers presented the community with trade opportunities but also </w:t>
      </w:r>
      <w:r w:rsidR="0083139F" w:rsidRPr="007965F1">
        <w:rPr>
          <w:color w:val="000000"/>
          <w:spacing w:val="-2"/>
          <w:kern w:val="22"/>
          <w:sz w:val="22"/>
          <w:szCs w:val="22"/>
          <w:lang w:val="en-GB" w:eastAsia="en-CA"/>
        </w:rPr>
        <w:t xml:space="preserve">with </w:t>
      </w:r>
      <w:r w:rsidRPr="007965F1">
        <w:rPr>
          <w:color w:val="000000"/>
          <w:spacing w:val="-2"/>
          <w:kern w:val="22"/>
          <w:sz w:val="22"/>
          <w:szCs w:val="22"/>
          <w:lang w:val="en-GB" w:eastAsia="en-CA"/>
        </w:rPr>
        <w:t xml:space="preserve">unprecedented change. The changing trade flows </w:t>
      </w:r>
      <w:r w:rsidR="0083139F" w:rsidRPr="007965F1">
        <w:rPr>
          <w:color w:val="000000"/>
          <w:spacing w:val="-2"/>
          <w:kern w:val="22"/>
          <w:sz w:val="22"/>
          <w:szCs w:val="22"/>
          <w:lang w:val="en-GB" w:eastAsia="en-CA"/>
        </w:rPr>
        <w:t xml:space="preserve">affected </w:t>
      </w:r>
      <w:r w:rsidRPr="007965F1">
        <w:rPr>
          <w:color w:val="000000"/>
          <w:spacing w:val="-2"/>
          <w:kern w:val="22"/>
          <w:sz w:val="22"/>
          <w:szCs w:val="22"/>
          <w:lang w:val="en-GB" w:eastAsia="en-CA"/>
        </w:rPr>
        <w:t xml:space="preserve">the </w:t>
      </w:r>
      <w:r w:rsidR="0083139F" w:rsidRPr="007965F1">
        <w:rPr>
          <w:color w:val="000000"/>
          <w:spacing w:val="-2"/>
          <w:kern w:val="22"/>
          <w:sz w:val="22"/>
          <w:szCs w:val="22"/>
          <w:lang w:val="en-GB" w:eastAsia="en-CA"/>
        </w:rPr>
        <w:t xml:space="preserve">community’s </w:t>
      </w:r>
      <w:r w:rsidRPr="007965F1">
        <w:rPr>
          <w:color w:val="000000"/>
          <w:spacing w:val="-2"/>
          <w:kern w:val="22"/>
          <w:sz w:val="22"/>
          <w:szCs w:val="22"/>
          <w:lang w:val="en-GB" w:eastAsia="en-CA"/>
        </w:rPr>
        <w:t xml:space="preserve">way of life </w:t>
      </w:r>
      <w:r w:rsidR="0083139F" w:rsidRPr="007965F1">
        <w:rPr>
          <w:color w:val="000000"/>
          <w:spacing w:val="-2"/>
          <w:kern w:val="22"/>
          <w:sz w:val="22"/>
          <w:szCs w:val="22"/>
          <w:lang w:val="en-GB" w:eastAsia="en-CA"/>
        </w:rPr>
        <w:t>as</w:t>
      </w:r>
      <w:r w:rsidRPr="007965F1">
        <w:rPr>
          <w:color w:val="000000"/>
          <w:spacing w:val="-2"/>
          <w:kern w:val="22"/>
          <w:sz w:val="22"/>
          <w:szCs w:val="22"/>
          <w:lang w:val="en-GB" w:eastAsia="en-CA"/>
        </w:rPr>
        <w:t xml:space="preserve"> </w:t>
      </w:r>
      <w:r w:rsidR="0083139F" w:rsidRPr="007965F1">
        <w:rPr>
          <w:color w:val="000000"/>
          <w:spacing w:val="-2"/>
          <w:kern w:val="22"/>
          <w:sz w:val="22"/>
          <w:szCs w:val="22"/>
          <w:lang w:val="en-GB" w:eastAsia="en-CA"/>
        </w:rPr>
        <w:t xml:space="preserve">the </w:t>
      </w:r>
      <w:r w:rsidRPr="007965F1">
        <w:rPr>
          <w:color w:val="000000"/>
          <w:spacing w:val="-2"/>
          <w:kern w:val="22"/>
          <w:sz w:val="22"/>
          <w:szCs w:val="22"/>
          <w:lang w:val="en-GB" w:eastAsia="en-CA"/>
        </w:rPr>
        <w:t xml:space="preserve">traditional barter economy </w:t>
      </w:r>
      <w:r w:rsidR="0083139F" w:rsidRPr="007965F1">
        <w:rPr>
          <w:color w:val="000000"/>
          <w:spacing w:val="-2"/>
          <w:kern w:val="22"/>
          <w:sz w:val="22"/>
          <w:szCs w:val="22"/>
          <w:lang w:val="en-GB" w:eastAsia="en-CA"/>
        </w:rPr>
        <w:t xml:space="preserve">became </w:t>
      </w:r>
      <w:r w:rsidRPr="007965F1">
        <w:rPr>
          <w:color w:val="000000"/>
          <w:spacing w:val="-2"/>
          <w:kern w:val="22"/>
          <w:sz w:val="22"/>
          <w:szCs w:val="22"/>
          <w:lang w:val="en-GB" w:eastAsia="en-CA"/>
        </w:rPr>
        <w:t>supplanted by a sales economy. This and other changes resulted in a situation where, i</w:t>
      </w:r>
      <w:r w:rsidR="00901802" w:rsidRPr="007965F1">
        <w:rPr>
          <w:color w:val="000000"/>
          <w:spacing w:val="-2"/>
          <w:kern w:val="22"/>
          <w:sz w:val="22"/>
          <w:szCs w:val="22"/>
          <w:lang w:val="en-GB" w:eastAsia="en-CA"/>
        </w:rPr>
        <w:t>n the words of Chief Michell, “T</w:t>
      </w:r>
      <w:r w:rsidRPr="007965F1">
        <w:rPr>
          <w:color w:val="000000"/>
          <w:spacing w:val="-2"/>
          <w:kern w:val="22"/>
          <w:sz w:val="22"/>
          <w:szCs w:val="22"/>
          <w:lang w:val="en-GB" w:eastAsia="en-CA"/>
        </w:rPr>
        <w:t xml:space="preserve">he losses far outweighed any gains that may have been made” by the community. </w:t>
      </w:r>
    </w:p>
    <w:p w14:paraId="6A92C3AE"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1B69E8FE" w14:textId="4C2A4CBE" w:rsidR="00330445" w:rsidRPr="007965F1" w:rsidRDefault="00330445" w:rsidP="00330445">
      <w:pPr>
        <w:widowControl w:val="0"/>
        <w:pBdr>
          <w:top w:val="nil"/>
          <w:left w:val="nil"/>
          <w:bottom w:val="nil"/>
          <w:right w:val="nil"/>
          <w:between w:val="nil"/>
        </w:pBdr>
        <w:tabs>
          <w:tab w:val="left" w:pos="220"/>
          <w:tab w:val="left" w:pos="720"/>
        </w:tabs>
        <w:jc w:val="both"/>
        <w:rPr>
          <w:color w:val="000000"/>
          <w:spacing w:val="-2"/>
          <w:kern w:val="22"/>
          <w:sz w:val="22"/>
          <w:szCs w:val="22"/>
          <w:lang w:val="en-GB" w:eastAsia="en-CA"/>
        </w:rPr>
      </w:pPr>
      <w:r w:rsidRPr="007965F1">
        <w:rPr>
          <w:color w:val="000000"/>
          <w:spacing w:val="-2"/>
          <w:kern w:val="22"/>
          <w:sz w:val="22"/>
          <w:szCs w:val="22"/>
          <w:lang w:val="en-GB" w:eastAsia="en-CA"/>
        </w:rPr>
        <w:t xml:space="preserve">For 50 years, trade between the groups continued in a relatively peaceful way, until a gold rush </w:t>
      </w:r>
      <w:r w:rsidR="0083139F" w:rsidRPr="007965F1">
        <w:rPr>
          <w:color w:val="000000"/>
          <w:spacing w:val="-2"/>
          <w:kern w:val="22"/>
          <w:sz w:val="22"/>
          <w:szCs w:val="22"/>
          <w:lang w:val="en-GB" w:eastAsia="en-CA"/>
        </w:rPr>
        <w:t xml:space="preserve">that </w:t>
      </w:r>
      <w:r w:rsidRPr="007965F1">
        <w:rPr>
          <w:color w:val="000000"/>
          <w:spacing w:val="-2"/>
          <w:kern w:val="22"/>
          <w:sz w:val="22"/>
          <w:szCs w:val="22"/>
          <w:lang w:val="en-GB" w:eastAsia="en-CA"/>
        </w:rPr>
        <w:t>started in 1857 brought thousands of miners into the region.</w:t>
      </w:r>
      <w:r w:rsidRPr="007965F1">
        <w:rPr>
          <w:color w:val="000000"/>
          <w:spacing w:val="-2"/>
          <w:kern w:val="22"/>
          <w:sz w:val="22"/>
          <w:szCs w:val="22"/>
          <w:vertAlign w:val="superscript"/>
          <w:lang w:val="en-GB" w:eastAsia="en-CA"/>
        </w:rPr>
        <w:endnoteReference w:id="7"/>
      </w:r>
      <w:r w:rsidRPr="007965F1">
        <w:rPr>
          <w:color w:val="000000"/>
          <w:spacing w:val="-2"/>
          <w:kern w:val="22"/>
          <w:sz w:val="22"/>
          <w:szCs w:val="22"/>
          <w:lang w:val="en-GB" w:eastAsia="en-CA"/>
        </w:rPr>
        <w:t xml:space="preserve"> A commissioner, upon seeing gold miners from Hawaii in the area, label</w:t>
      </w:r>
      <w:r w:rsidR="0083139F" w:rsidRPr="007965F1">
        <w:rPr>
          <w:color w:val="000000"/>
          <w:spacing w:val="-2"/>
          <w:kern w:val="22"/>
          <w:sz w:val="22"/>
          <w:szCs w:val="22"/>
          <w:lang w:val="en-GB" w:eastAsia="en-CA"/>
        </w:rPr>
        <w:t>l</w:t>
      </w:r>
      <w:r w:rsidRPr="007965F1">
        <w:rPr>
          <w:color w:val="000000"/>
          <w:spacing w:val="-2"/>
          <w:kern w:val="22"/>
          <w:sz w:val="22"/>
          <w:szCs w:val="22"/>
          <w:lang w:val="en-GB" w:eastAsia="en-CA"/>
        </w:rPr>
        <w:t xml:space="preserve">ed the people in this region “Kanaka Indians” and the </w:t>
      </w:r>
      <w:r w:rsidR="00901802" w:rsidRPr="007965F1">
        <w:rPr>
          <w:color w:val="000000"/>
          <w:spacing w:val="-2"/>
          <w:kern w:val="22"/>
          <w:sz w:val="22"/>
          <w:szCs w:val="22"/>
          <w:lang w:val="en-GB" w:eastAsia="en-CA"/>
        </w:rPr>
        <w:t xml:space="preserve">community </w:t>
      </w:r>
      <w:r w:rsidR="0083139F" w:rsidRPr="007965F1">
        <w:rPr>
          <w:color w:val="000000"/>
          <w:spacing w:val="-2"/>
          <w:kern w:val="22"/>
          <w:sz w:val="22"/>
          <w:szCs w:val="22"/>
          <w:lang w:val="en-GB" w:eastAsia="en-CA"/>
        </w:rPr>
        <w:t>“</w:t>
      </w:r>
      <w:r w:rsidR="00901802" w:rsidRPr="007965F1">
        <w:rPr>
          <w:color w:val="000000"/>
          <w:spacing w:val="-2"/>
          <w:kern w:val="22"/>
          <w:sz w:val="22"/>
          <w:szCs w:val="22"/>
          <w:lang w:val="en-GB" w:eastAsia="en-CA"/>
        </w:rPr>
        <w:t>Kanaka Bar,</w:t>
      </w:r>
      <w:r w:rsidR="0083139F" w:rsidRPr="007965F1">
        <w:rPr>
          <w:color w:val="000000"/>
          <w:spacing w:val="-2"/>
          <w:kern w:val="22"/>
          <w:sz w:val="22"/>
          <w:szCs w:val="22"/>
          <w:lang w:val="en-GB" w:eastAsia="en-CA"/>
        </w:rPr>
        <w:t>”</w:t>
      </w:r>
      <w:r w:rsidR="00901802" w:rsidRPr="007965F1">
        <w:rPr>
          <w:color w:val="000000"/>
          <w:spacing w:val="-2"/>
          <w:kern w:val="22"/>
          <w:sz w:val="22"/>
          <w:szCs w:val="22"/>
          <w:lang w:val="en-GB" w:eastAsia="en-CA"/>
        </w:rPr>
        <w:t xml:space="preserve"> </w:t>
      </w:r>
      <w:r w:rsidR="0083139F" w:rsidRPr="007965F1">
        <w:rPr>
          <w:color w:val="000000"/>
          <w:spacing w:val="-2"/>
          <w:kern w:val="22"/>
          <w:sz w:val="22"/>
          <w:szCs w:val="22"/>
          <w:lang w:val="en-GB" w:eastAsia="en-CA"/>
        </w:rPr>
        <w:t>(</w:t>
      </w:r>
      <w:r w:rsidR="0083139F" w:rsidRPr="007965F1">
        <w:rPr>
          <w:i/>
          <w:color w:val="000000"/>
          <w:spacing w:val="-2"/>
          <w:kern w:val="22"/>
          <w:sz w:val="22"/>
          <w:szCs w:val="22"/>
          <w:lang w:val="en-GB" w:eastAsia="en-CA"/>
        </w:rPr>
        <w:t>k</w:t>
      </w:r>
      <w:r w:rsidRPr="007965F1">
        <w:rPr>
          <w:i/>
          <w:color w:val="000000"/>
          <w:spacing w:val="-2"/>
          <w:kern w:val="22"/>
          <w:sz w:val="22"/>
          <w:szCs w:val="22"/>
          <w:lang w:val="en-GB" w:eastAsia="en-CA"/>
        </w:rPr>
        <w:t>anaka</w:t>
      </w:r>
      <w:r w:rsidRPr="007965F1">
        <w:rPr>
          <w:color w:val="000000"/>
          <w:spacing w:val="-2"/>
          <w:kern w:val="22"/>
          <w:sz w:val="22"/>
          <w:szCs w:val="22"/>
          <w:lang w:val="en-GB" w:eastAsia="en-CA"/>
        </w:rPr>
        <w:t xml:space="preserve"> means </w:t>
      </w:r>
      <w:r w:rsidR="0083139F"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human </w:t>
      </w:r>
      <w:r w:rsidR="0083139F" w:rsidRPr="007965F1">
        <w:rPr>
          <w:color w:val="000000"/>
          <w:spacing w:val="-2"/>
          <w:kern w:val="22"/>
          <w:sz w:val="22"/>
          <w:szCs w:val="22"/>
          <w:lang w:val="en-GB" w:eastAsia="en-CA"/>
        </w:rPr>
        <w:t xml:space="preserve">being” </w:t>
      </w:r>
      <w:r w:rsidRPr="007965F1">
        <w:rPr>
          <w:color w:val="000000"/>
          <w:spacing w:val="-2"/>
          <w:kern w:val="22"/>
          <w:sz w:val="22"/>
          <w:szCs w:val="22"/>
          <w:lang w:val="en-GB" w:eastAsia="en-CA"/>
        </w:rPr>
        <w:t>in the Hawaiian Polynesian language</w:t>
      </w:r>
      <w:r w:rsidR="0083139F" w:rsidRPr="007965F1">
        <w:rPr>
          <w:color w:val="000000"/>
          <w:spacing w:val="-2"/>
          <w:kern w:val="22"/>
          <w:sz w:val="22"/>
          <w:szCs w:val="22"/>
          <w:lang w:val="en-GB" w:eastAsia="en-CA"/>
        </w:rPr>
        <w:t>)</w:t>
      </w:r>
      <w:r w:rsidRPr="007965F1">
        <w:rPr>
          <w:color w:val="000000"/>
          <w:spacing w:val="-2"/>
          <w:kern w:val="22"/>
          <w:sz w:val="22"/>
          <w:szCs w:val="22"/>
          <w:lang w:val="en-GB" w:eastAsia="en-CA"/>
        </w:rPr>
        <w:t>. Chief Michell</w:t>
      </w:r>
      <w:r w:rsidRPr="007965F1" w:rsidDel="00DD75FA">
        <w:rPr>
          <w:color w:val="000000"/>
          <w:spacing w:val="-2"/>
          <w:kern w:val="22"/>
          <w:sz w:val="22"/>
          <w:szCs w:val="22"/>
          <w:lang w:val="en-GB" w:eastAsia="en-CA"/>
        </w:rPr>
        <w:t xml:space="preserve"> </w:t>
      </w:r>
      <w:r w:rsidRPr="007965F1">
        <w:rPr>
          <w:color w:val="000000"/>
          <w:spacing w:val="-2"/>
          <w:kern w:val="22"/>
          <w:sz w:val="22"/>
          <w:szCs w:val="22"/>
          <w:lang w:val="en-GB" w:eastAsia="en-CA"/>
        </w:rPr>
        <w:t xml:space="preserve">had this to say about these gold miners: </w:t>
      </w:r>
    </w:p>
    <w:p w14:paraId="491C18A3"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55EA002D" w14:textId="0DCEF250" w:rsidR="00330445" w:rsidRPr="00ED5B14" w:rsidRDefault="00330445" w:rsidP="00330445">
      <w:pPr>
        <w:pStyle w:val="BodyTextMain"/>
        <w:ind w:left="900"/>
        <w:rPr>
          <w:lang w:val="en-GB" w:eastAsia="en-CA"/>
        </w:rPr>
      </w:pPr>
      <w:r w:rsidRPr="00ED5B14">
        <w:rPr>
          <w:lang w:val="en-GB" w:eastAsia="en-CA"/>
        </w:rPr>
        <w:t>A new class of mixed people from around the world began arriving in the Fraser Canyon</w:t>
      </w:r>
      <w:r w:rsidR="0083139F" w:rsidRPr="00ED5B14">
        <w:rPr>
          <w:lang w:val="en-GB" w:eastAsia="en-CA"/>
        </w:rPr>
        <w:t>,</w:t>
      </w:r>
      <w:r w:rsidRPr="00ED5B14">
        <w:rPr>
          <w:lang w:val="en-GB" w:eastAsia="en-CA"/>
        </w:rPr>
        <w:t xml:space="preserve"> bringing with them values and a world view hereto unknown and arguably incomprehensible to the Nlaka’pamux. Values like competition, intensive exploitation of land and resources for </w:t>
      </w:r>
      <w:r w:rsidR="0083139F" w:rsidRPr="00ED5B14">
        <w:rPr>
          <w:lang w:val="en-GB" w:eastAsia="en-CA"/>
        </w:rPr>
        <w:t>short-</w:t>
      </w:r>
      <w:r w:rsidRPr="00ED5B14">
        <w:rPr>
          <w:lang w:val="en-GB" w:eastAsia="en-CA"/>
        </w:rPr>
        <w:t>term gain, and an attitude of superiority were the new principles brought to the land. As miners moved up into the Fraser Canyon, there was no regard for Nlaka’pamux law, land, or people</w:t>
      </w:r>
      <w:r w:rsidR="0083139F" w:rsidRPr="00ED5B14">
        <w:rPr>
          <w:lang w:val="en-GB" w:eastAsia="en-CA"/>
        </w:rPr>
        <w:t>,</w:t>
      </w:r>
      <w:r w:rsidRPr="00ED5B14">
        <w:rPr>
          <w:lang w:val="en-GB" w:eastAsia="en-CA"/>
        </w:rPr>
        <w:t xml:space="preserve"> and the miners simply took, took, and took.</w:t>
      </w:r>
    </w:p>
    <w:p w14:paraId="0D15ABD2"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136D593B" w14:textId="4C31485D"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This value clash and growing tensions over resources prompted a war between miners and the community. The war, called the Fraser Canyon War, ended with an informal truce. Colonial officials moved into the area, and in 1858, Lytton was named as a town while British Columbia was declared a colony of Britain. </w:t>
      </w:r>
    </w:p>
    <w:p w14:paraId="6504D9EA"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0628C9AB" w14:textId="45F62A91"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In 1876, </w:t>
      </w:r>
      <w:r w:rsidR="002B2BCD" w:rsidRPr="00B63DEE">
        <w:rPr>
          <w:i/>
          <w:color w:val="000000"/>
          <w:sz w:val="22"/>
          <w:szCs w:val="22"/>
          <w:lang w:val="en-GB" w:eastAsia="en-CA"/>
        </w:rPr>
        <w:t>T</w:t>
      </w:r>
      <w:r w:rsidRPr="00B63DEE">
        <w:rPr>
          <w:i/>
          <w:color w:val="000000"/>
          <w:sz w:val="22"/>
          <w:szCs w:val="22"/>
          <w:lang w:val="en-GB" w:eastAsia="en-CA"/>
        </w:rPr>
        <w:t>he Indian Act</w:t>
      </w:r>
      <w:r w:rsidRPr="00ED5B14">
        <w:rPr>
          <w:color w:val="000000"/>
          <w:sz w:val="22"/>
          <w:szCs w:val="22"/>
          <w:lang w:val="en-GB" w:eastAsia="en-CA"/>
        </w:rPr>
        <w:t xml:space="preserve">, which </w:t>
      </w:r>
      <w:r w:rsidR="00246A32" w:rsidRPr="00ED5B14">
        <w:rPr>
          <w:color w:val="000000"/>
          <w:sz w:val="22"/>
          <w:szCs w:val="22"/>
          <w:lang w:val="en-GB" w:eastAsia="en-CA"/>
        </w:rPr>
        <w:t xml:space="preserve">imposed </w:t>
      </w:r>
      <w:r w:rsidRPr="00ED5B14">
        <w:rPr>
          <w:color w:val="000000"/>
          <w:sz w:val="22"/>
          <w:szCs w:val="22"/>
          <w:lang w:val="en-GB" w:eastAsia="en-CA"/>
        </w:rPr>
        <w:t xml:space="preserve">huge legislated changes on </w:t>
      </w:r>
      <w:r w:rsidR="00326BA6" w:rsidRPr="00ED5B14">
        <w:rPr>
          <w:color w:val="000000"/>
          <w:sz w:val="22"/>
          <w:szCs w:val="22"/>
          <w:lang w:val="en-GB" w:eastAsia="en-CA"/>
        </w:rPr>
        <w:t xml:space="preserve">the </w:t>
      </w:r>
      <w:r w:rsidRPr="00ED5B14">
        <w:rPr>
          <w:color w:val="000000"/>
          <w:sz w:val="22"/>
          <w:szCs w:val="22"/>
          <w:lang w:val="en-GB" w:eastAsia="en-CA"/>
        </w:rPr>
        <w:t>lives of the Nlaka’pamux</w:t>
      </w:r>
      <w:r w:rsidR="00246A32" w:rsidRPr="00ED5B14">
        <w:rPr>
          <w:color w:val="000000"/>
          <w:sz w:val="22"/>
          <w:szCs w:val="22"/>
          <w:lang w:val="en-GB" w:eastAsia="en-CA"/>
        </w:rPr>
        <w:t>, came into force</w:t>
      </w:r>
      <w:r w:rsidRPr="00ED5B14">
        <w:rPr>
          <w:color w:val="000000"/>
          <w:sz w:val="22"/>
          <w:szCs w:val="22"/>
          <w:lang w:val="en-GB" w:eastAsia="en-CA"/>
        </w:rPr>
        <w:t xml:space="preserve">. This act forcibly replaced the </w:t>
      </w:r>
      <w:r w:rsidRPr="002F564E">
        <w:rPr>
          <w:color w:val="000000"/>
          <w:sz w:val="22"/>
          <w:szCs w:val="22"/>
          <w:lang w:val="en-GB" w:eastAsia="en-CA"/>
        </w:rPr>
        <w:t>kokpe</w:t>
      </w:r>
      <w:r w:rsidRPr="00ED5B14">
        <w:rPr>
          <w:color w:val="000000"/>
          <w:sz w:val="22"/>
          <w:szCs w:val="22"/>
          <w:lang w:val="en-GB" w:eastAsia="en-CA"/>
        </w:rPr>
        <w:t xml:space="preserve"> system with a new community leadership system </w:t>
      </w:r>
      <w:r w:rsidR="00246A32" w:rsidRPr="00ED5B14">
        <w:rPr>
          <w:color w:val="000000"/>
          <w:sz w:val="22"/>
          <w:szCs w:val="22"/>
          <w:lang w:val="en-GB" w:eastAsia="en-CA"/>
        </w:rPr>
        <w:t xml:space="preserve">composed </w:t>
      </w:r>
      <w:r w:rsidRPr="00ED5B14">
        <w:rPr>
          <w:color w:val="000000"/>
          <w:sz w:val="22"/>
          <w:szCs w:val="22"/>
          <w:lang w:val="en-GB" w:eastAsia="en-CA"/>
        </w:rPr>
        <w:t xml:space="preserve">of </w:t>
      </w:r>
      <w:r w:rsidR="00246A32" w:rsidRPr="00ED5B14">
        <w:rPr>
          <w:color w:val="000000"/>
          <w:sz w:val="22"/>
          <w:szCs w:val="22"/>
          <w:lang w:val="en-GB" w:eastAsia="en-CA"/>
        </w:rPr>
        <w:t>c</w:t>
      </w:r>
      <w:r w:rsidRPr="00ED5B14">
        <w:rPr>
          <w:color w:val="000000"/>
          <w:sz w:val="22"/>
          <w:szCs w:val="22"/>
          <w:lang w:val="en-GB" w:eastAsia="en-CA"/>
        </w:rPr>
        <w:t xml:space="preserve">hief and </w:t>
      </w:r>
      <w:r w:rsidR="00246A32" w:rsidRPr="00ED5B14">
        <w:rPr>
          <w:color w:val="000000"/>
          <w:sz w:val="22"/>
          <w:szCs w:val="22"/>
          <w:lang w:val="en-GB" w:eastAsia="en-CA"/>
        </w:rPr>
        <w:t>c</w:t>
      </w:r>
      <w:r w:rsidRPr="00ED5B14">
        <w:rPr>
          <w:color w:val="000000"/>
          <w:sz w:val="22"/>
          <w:szCs w:val="22"/>
          <w:lang w:val="en-GB" w:eastAsia="en-CA"/>
        </w:rPr>
        <w:t xml:space="preserve">ouncil. </w:t>
      </w:r>
      <w:r w:rsidR="00246A32" w:rsidRPr="00ED5B14">
        <w:rPr>
          <w:color w:val="000000"/>
          <w:sz w:val="22"/>
          <w:szCs w:val="22"/>
          <w:lang w:val="en-GB" w:eastAsia="en-CA"/>
        </w:rPr>
        <w:t>T</w:t>
      </w:r>
      <w:r w:rsidRPr="00ED5B14">
        <w:rPr>
          <w:color w:val="000000"/>
          <w:sz w:val="22"/>
          <w:szCs w:val="22"/>
          <w:lang w:val="en-GB" w:eastAsia="en-CA"/>
        </w:rPr>
        <w:t xml:space="preserve">hrough </w:t>
      </w:r>
      <w:r w:rsidR="002B2BCD" w:rsidRPr="00B63DEE">
        <w:rPr>
          <w:i/>
          <w:color w:val="000000"/>
          <w:sz w:val="22"/>
          <w:szCs w:val="22"/>
          <w:lang w:val="en-GB" w:eastAsia="en-CA"/>
        </w:rPr>
        <w:t>T</w:t>
      </w:r>
      <w:r w:rsidRPr="00B63DEE">
        <w:rPr>
          <w:i/>
          <w:color w:val="000000"/>
          <w:sz w:val="22"/>
          <w:szCs w:val="22"/>
          <w:lang w:val="en-GB" w:eastAsia="en-CA"/>
        </w:rPr>
        <w:t>he Indian Act</w:t>
      </w:r>
      <w:r w:rsidR="00246A32" w:rsidRPr="00ED5B14">
        <w:rPr>
          <w:color w:val="000000"/>
          <w:sz w:val="22"/>
          <w:szCs w:val="22"/>
          <w:lang w:val="en-GB" w:eastAsia="en-CA"/>
        </w:rPr>
        <w:t>,</w:t>
      </w:r>
      <w:r w:rsidRPr="00ED5B14">
        <w:rPr>
          <w:color w:val="000000"/>
          <w:sz w:val="22"/>
          <w:szCs w:val="22"/>
          <w:lang w:val="en-GB" w:eastAsia="en-CA"/>
        </w:rPr>
        <w:t xml:space="preserve"> </w:t>
      </w:r>
      <w:r w:rsidR="00246A32" w:rsidRPr="00ED5B14">
        <w:rPr>
          <w:color w:val="000000"/>
          <w:sz w:val="22"/>
          <w:szCs w:val="22"/>
          <w:lang w:val="en-GB" w:eastAsia="en-CA"/>
        </w:rPr>
        <w:t xml:space="preserve">the government </w:t>
      </w:r>
      <w:r w:rsidRPr="00ED5B14">
        <w:rPr>
          <w:color w:val="000000"/>
          <w:sz w:val="22"/>
          <w:szCs w:val="22"/>
          <w:lang w:val="en-GB" w:eastAsia="en-CA"/>
        </w:rPr>
        <w:t xml:space="preserve">seized traditional territories, created reserve lands, criminalized traditional cultural elements such as potlatches and </w:t>
      </w:r>
      <w:r w:rsidR="008C649C" w:rsidRPr="00ED5B14">
        <w:rPr>
          <w:color w:val="000000"/>
          <w:sz w:val="22"/>
          <w:szCs w:val="22"/>
          <w:lang w:val="en-GB" w:eastAsia="en-CA"/>
        </w:rPr>
        <w:t>sun dances</w:t>
      </w:r>
      <w:r w:rsidRPr="00ED5B14">
        <w:rPr>
          <w:color w:val="000000"/>
          <w:sz w:val="22"/>
          <w:szCs w:val="22"/>
          <w:lang w:val="en-GB" w:eastAsia="en-CA"/>
        </w:rPr>
        <w:t>,</w:t>
      </w:r>
      <w:r w:rsidR="004E197C">
        <w:rPr>
          <w:color w:val="000000"/>
          <w:sz w:val="22"/>
          <w:szCs w:val="22"/>
          <w:lang w:val="en-GB" w:eastAsia="en-CA"/>
        </w:rPr>
        <w:t xml:space="preserve"> and</w:t>
      </w:r>
      <w:r w:rsidRPr="00ED5B14">
        <w:rPr>
          <w:color w:val="000000"/>
          <w:sz w:val="22"/>
          <w:szCs w:val="22"/>
          <w:lang w:val="en-GB" w:eastAsia="en-CA"/>
        </w:rPr>
        <w:t xml:space="preserve"> regulated and banned traditional economic activities such as hunting and fishing</w:t>
      </w:r>
      <w:r w:rsidRPr="00ED5B14">
        <w:rPr>
          <w:color w:val="000000"/>
          <w:sz w:val="22"/>
          <w:szCs w:val="22"/>
          <w:vertAlign w:val="superscript"/>
          <w:lang w:val="en-GB" w:eastAsia="en-CA"/>
        </w:rPr>
        <w:endnoteReference w:id="8"/>
      </w:r>
      <w:r w:rsidRPr="00ED5B14">
        <w:rPr>
          <w:color w:val="000000"/>
          <w:sz w:val="22"/>
          <w:szCs w:val="22"/>
          <w:lang w:val="en-GB" w:eastAsia="en-CA"/>
        </w:rPr>
        <w:t xml:space="preserve"> and the trade of surplus goods, whether for barter or for legal tender. From 1884 to 1996, approximately 150,000 Indigenous children across Canada were removed from their homes and communities and placed in residential schools,</w:t>
      </w:r>
      <w:r w:rsidR="00246A32" w:rsidRPr="00ED5B14">
        <w:rPr>
          <w:color w:val="000000"/>
          <w:sz w:val="22"/>
          <w:szCs w:val="22"/>
          <w:lang w:val="en-GB" w:eastAsia="en-CA"/>
        </w:rPr>
        <w:t xml:space="preserve"> </w:t>
      </w:r>
      <w:r w:rsidRPr="00ED5B14">
        <w:rPr>
          <w:color w:val="000000"/>
          <w:sz w:val="22"/>
          <w:szCs w:val="22"/>
          <w:lang w:val="en-GB" w:eastAsia="en-CA"/>
        </w:rPr>
        <w:t xml:space="preserve">where </w:t>
      </w:r>
      <w:r w:rsidR="00246A32" w:rsidRPr="00ED5B14">
        <w:rPr>
          <w:color w:val="000000"/>
          <w:sz w:val="22"/>
          <w:szCs w:val="22"/>
          <w:lang w:val="en-GB" w:eastAsia="en-CA"/>
        </w:rPr>
        <w:t>speaking their traditional languages was</w:t>
      </w:r>
      <w:r w:rsidRPr="00ED5B14">
        <w:rPr>
          <w:color w:val="000000"/>
          <w:sz w:val="22"/>
          <w:szCs w:val="22"/>
          <w:lang w:val="en-GB" w:eastAsia="en-CA"/>
        </w:rPr>
        <w:t xml:space="preserve"> forbidden</w:t>
      </w:r>
      <w:r w:rsidR="00246A32" w:rsidRPr="00ED5B14">
        <w:rPr>
          <w:color w:val="000000"/>
          <w:sz w:val="22"/>
          <w:szCs w:val="22"/>
          <w:lang w:val="en-GB" w:eastAsia="en-CA"/>
        </w:rPr>
        <w:t>. They were n</w:t>
      </w:r>
      <w:r w:rsidRPr="00ED5B14">
        <w:rPr>
          <w:color w:val="000000"/>
          <w:sz w:val="22"/>
          <w:szCs w:val="22"/>
          <w:lang w:val="en-GB" w:eastAsia="en-CA"/>
        </w:rPr>
        <w:t xml:space="preserve">ot allowed to see their families and were disconnected from their traditional lands and homes, </w:t>
      </w:r>
      <w:r w:rsidR="00246A32" w:rsidRPr="00ED5B14">
        <w:rPr>
          <w:color w:val="000000"/>
          <w:sz w:val="22"/>
          <w:szCs w:val="22"/>
          <w:lang w:val="en-GB" w:eastAsia="en-CA"/>
        </w:rPr>
        <w:t xml:space="preserve">and </w:t>
      </w:r>
      <w:r w:rsidRPr="00ED5B14">
        <w:rPr>
          <w:color w:val="000000"/>
          <w:sz w:val="22"/>
          <w:szCs w:val="22"/>
          <w:lang w:val="en-GB" w:eastAsia="en-CA"/>
        </w:rPr>
        <w:t xml:space="preserve">many children </w:t>
      </w:r>
      <w:r w:rsidR="00246A32" w:rsidRPr="00ED5B14">
        <w:rPr>
          <w:color w:val="000000"/>
          <w:sz w:val="22"/>
          <w:szCs w:val="22"/>
          <w:lang w:val="en-GB" w:eastAsia="en-CA"/>
        </w:rPr>
        <w:t xml:space="preserve">suffered </w:t>
      </w:r>
      <w:r w:rsidRPr="00ED5B14">
        <w:rPr>
          <w:color w:val="000000"/>
          <w:sz w:val="22"/>
          <w:szCs w:val="22"/>
          <w:lang w:val="en-GB" w:eastAsia="en-CA"/>
        </w:rPr>
        <w:t>a range of physical, emotional, and sexual abuses.</w:t>
      </w:r>
      <w:r w:rsidRPr="00ED5B14">
        <w:rPr>
          <w:color w:val="000000"/>
          <w:sz w:val="22"/>
          <w:szCs w:val="22"/>
          <w:vertAlign w:val="superscript"/>
          <w:lang w:val="en-GB" w:eastAsia="en-CA"/>
        </w:rPr>
        <w:endnoteReference w:id="9"/>
      </w:r>
      <w:r w:rsidRPr="00ED5B14">
        <w:rPr>
          <w:color w:val="000000"/>
          <w:sz w:val="22"/>
          <w:szCs w:val="22"/>
          <w:lang w:val="en-GB" w:eastAsia="en-CA"/>
        </w:rPr>
        <w:t xml:space="preserve"> The residential school in Lytton closed in 1979.</w:t>
      </w:r>
      <w:r w:rsidRPr="00ED5B14">
        <w:rPr>
          <w:color w:val="000000"/>
          <w:sz w:val="22"/>
          <w:szCs w:val="22"/>
          <w:vertAlign w:val="superscript"/>
          <w:lang w:val="en-GB" w:eastAsia="en-CA"/>
        </w:rPr>
        <w:endnoteReference w:id="10"/>
      </w:r>
      <w:r w:rsidRPr="00ED5B14">
        <w:rPr>
          <w:color w:val="000000"/>
          <w:sz w:val="22"/>
          <w:szCs w:val="22"/>
          <w:lang w:val="en-GB" w:eastAsia="en-CA"/>
        </w:rPr>
        <w:t xml:space="preserve"> </w:t>
      </w:r>
    </w:p>
    <w:p w14:paraId="65CD488F"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0F6592EF" w14:textId="6B2341A3"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Under this system, Kanaka Bar was allotted just under 700 acres (283 hectares) across six reserves; this land was considered by both the reporting federal agent and community members in 1878 to be of poor quality, </w:t>
      </w:r>
      <w:r w:rsidR="007859CF" w:rsidRPr="00ED5B14">
        <w:rPr>
          <w:color w:val="000000"/>
          <w:sz w:val="22"/>
          <w:szCs w:val="22"/>
          <w:lang w:val="en-GB" w:eastAsia="en-CA"/>
        </w:rPr>
        <w:t xml:space="preserve">and there were </w:t>
      </w:r>
      <w:r w:rsidRPr="00ED5B14">
        <w:rPr>
          <w:color w:val="000000"/>
          <w:sz w:val="22"/>
          <w:szCs w:val="22"/>
          <w:lang w:val="en-GB" w:eastAsia="en-CA"/>
        </w:rPr>
        <w:t>questions as to whether the land could support the needs of the community due to its sub</w:t>
      </w:r>
      <w:r w:rsidR="002B2BCD">
        <w:rPr>
          <w:color w:val="000000"/>
          <w:sz w:val="22"/>
          <w:szCs w:val="22"/>
          <w:lang w:val="en-GB" w:eastAsia="en-CA"/>
        </w:rPr>
        <w:t>-</w:t>
      </w:r>
      <w:r w:rsidRPr="00ED5B14">
        <w:rPr>
          <w:color w:val="000000"/>
          <w:sz w:val="22"/>
          <w:szCs w:val="22"/>
          <w:lang w:val="en-GB" w:eastAsia="en-CA"/>
        </w:rPr>
        <w:t>par topsoil, rocky conditions, and lack of flat lands.</w:t>
      </w:r>
      <w:r w:rsidRPr="00ED5B14">
        <w:rPr>
          <w:color w:val="000000"/>
          <w:sz w:val="22"/>
          <w:szCs w:val="22"/>
          <w:vertAlign w:val="superscript"/>
          <w:lang w:val="en-GB" w:eastAsia="en-CA"/>
        </w:rPr>
        <w:endnoteReference w:id="11"/>
      </w:r>
      <w:r w:rsidRPr="00ED5B14">
        <w:rPr>
          <w:color w:val="000000"/>
          <w:sz w:val="22"/>
          <w:szCs w:val="22"/>
          <w:lang w:val="en-GB" w:eastAsia="en-CA"/>
        </w:rPr>
        <w:t xml:space="preserve"> The reserves allotted to Kanaka Bar, which </w:t>
      </w:r>
      <w:r w:rsidR="00326BA6" w:rsidRPr="00ED5B14">
        <w:rPr>
          <w:color w:val="000000"/>
          <w:sz w:val="22"/>
          <w:szCs w:val="22"/>
          <w:lang w:val="en-GB" w:eastAsia="en-CA"/>
        </w:rPr>
        <w:t>were</w:t>
      </w:r>
      <w:r w:rsidRPr="00ED5B14">
        <w:rPr>
          <w:color w:val="000000"/>
          <w:sz w:val="22"/>
          <w:szCs w:val="22"/>
          <w:lang w:val="en-GB" w:eastAsia="en-CA"/>
        </w:rPr>
        <w:t xml:space="preserve"> still in place as of 2017, </w:t>
      </w:r>
      <w:r w:rsidR="007859CF" w:rsidRPr="00ED5B14">
        <w:rPr>
          <w:color w:val="000000"/>
          <w:sz w:val="22"/>
          <w:szCs w:val="22"/>
          <w:lang w:val="en-GB" w:eastAsia="en-CA"/>
        </w:rPr>
        <w:t xml:space="preserve">were </w:t>
      </w:r>
      <w:r w:rsidRPr="00ED5B14">
        <w:rPr>
          <w:color w:val="000000"/>
          <w:sz w:val="22"/>
          <w:szCs w:val="22"/>
          <w:lang w:val="en-GB" w:eastAsia="en-CA"/>
        </w:rPr>
        <w:t>hilly, reaching up the steep slopes of the canyon on both sid</w:t>
      </w:r>
      <w:r w:rsidR="00901802" w:rsidRPr="00ED5B14">
        <w:rPr>
          <w:color w:val="000000"/>
          <w:sz w:val="22"/>
          <w:szCs w:val="22"/>
          <w:lang w:val="en-GB" w:eastAsia="en-CA"/>
        </w:rPr>
        <w:t>es of the Fraser River. Over 60 per cent</w:t>
      </w:r>
      <w:r w:rsidRPr="00ED5B14">
        <w:rPr>
          <w:color w:val="000000"/>
          <w:sz w:val="22"/>
          <w:szCs w:val="22"/>
          <w:lang w:val="en-GB" w:eastAsia="en-CA"/>
        </w:rPr>
        <w:t xml:space="preserve"> of the lan</w:t>
      </w:r>
      <w:r w:rsidR="00901802" w:rsidRPr="00ED5B14">
        <w:rPr>
          <w:color w:val="000000"/>
          <w:sz w:val="22"/>
          <w:szCs w:val="22"/>
          <w:lang w:val="en-GB" w:eastAsia="en-CA"/>
        </w:rPr>
        <w:t xml:space="preserve">d </w:t>
      </w:r>
      <w:r w:rsidR="004E197C" w:rsidRPr="00ED5B14">
        <w:rPr>
          <w:color w:val="000000"/>
          <w:sz w:val="22"/>
          <w:szCs w:val="22"/>
          <w:lang w:val="en-GB" w:eastAsia="en-CA"/>
        </w:rPr>
        <w:t>ha</w:t>
      </w:r>
      <w:r w:rsidR="004E197C">
        <w:rPr>
          <w:color w:val="000000"/>
          <w:sz w:val="22"/>
          <w:szCs w:val="22"/>
          <w:lang w:val="en-GB" w:eastAsia="en-CA"/>
        </w:rPr>
        <w:t>d</w:t>
      </w:r>
      <w:r w:rsidR="004E197C" w:rsidRPr="00ED5B14">
        <w:rPr>
          <w:color w:val="000000"/>
          <w:sz w:val="22"/>
          <w:szCs w:val="22"/>
          <w:lang w:val="en-GB" w:eastAsia="en-CA"/>
        </w:rPr>
        <w:t xml:space="preserve"> </w:t>
      </w:r>
      <w:r w:rsidR="00901802" w:rsidRPr="00ED5B14">
        <w:rPr>
          <w:color w:val="000000"/>
          <w:sz w:val="22"/>
          <w:szCs w:val="22"/>
          <w:lang w:val="en-GB" w:eastAsia="en-CA"/>
        </w:rPr>
        <w:t>slopes of greater than 25 per cent</w:t>
      </w:r>
      <w:r w:rsidRPr="00ED5B14">
        <w:rPr>
          <w:color w:val="000000"/>
          <w:sz w:val="22"/>
          <w:szCs w:val="22"/>
          <w:lang w:val="en-GB" w:eastAsia="en-CA"/>
        </w:rPr>
        <w:t xml:space="preserve">. </w:t>
      </w:r>
      <w:r w:rsidR="00326BA6" w:rsidRPr="00ED5B14">
        <w:rPr>
          <w:color w:val="000000"/>
          <w:sz w:val="22"/>
          <w:szCs w:val="22"/>
          <w:lang w:val="en-GB" w:eastAsia="en-CA"/>
        </w:rPr>
        <w:t xml:space="preserve">As of 2017, the area was </w:t>
      </w:r>
      <w:r w:rsidR="00326BA6" w:rsidRPr="00ED5B14">
        <w:rPr>
          <w:color w:val="000000"/>
          <w:sz w:val="22"/>
          <w:szCs w:val="22"/>
          <w:lang w:val="en-GB" w:eastAsia="en-CA"/>
        </w:rPr>
        <w:lastRenderedPageBreak/>
        <w:t xml:space="preserve">still </w:t>
      </w:r>
      <w:r w:rsidRPr="00ED5B14">
        <w:rPr>
          <w:color w:val="000000"/>
          <w:sz w:val="22"/>
          <w:szCs w:val="22"/>
          <w:lang w:val="en-GB" w:eastAsia="en-CA"/>
        </w:rPr>
        <w:t xml:space="preserve">covered in trees, shrubs, and berry bushes, and </w:t>
      </w:r>
      <w:r w:rsidR="007859CF" w:rsidRPr="00ED5B14">
        <w:rPr>
          <w:color w:val="000000"/>
          <w:sz w:val="22"/>
          <w:szCs w:val="22"/>
          <w:lang w:val="en-GB" w:eastAsia="en-CA"/>
        </w:rPr>
        <w:t xml:space="preserve">had </w:t>
      </w:r>
      <w:r w:rsidRPr="00ED5B14">
        <w:rPr>
          <w:color w:val="000000"/>
          <w:sz w:val="22"/>
          <w:szCs w:val="22"/>
          <w:lang w:val="en-GB" w:eastAsia="en-CA"/>
        </w:rPr>
        <w:t xml:space="preserve">an abundance of sand and gravel. It </w:t>
      </w:r>
      <w:r w:rsidR="007859CF" w:rsidRPr="00ED5B14">
        <w:rPr>
          <w:color w:val="000000"/>
          <w:sz w:val="22"/>
          <w:szCs w:val="22"/>
          <w:lang w:val="en-GB" w:eastAsia="en-CA"/>
        </w:rPr>
        <w:t xml:space="preserve">was </w:t>
      </w:r>
      <w:r w:rsidRPr="00ED5B14">
        <w:rPr>
          <w:color w:val="000000"/>
          <w:sz w:val="22"/>
          <w:szCs w:val="22"/>
          <w:lang w:val="en-GB" w:eastAsia="en-CA"/>
        </w:rPr>
        <w:t xml:space="preserve">crisscrossed by year-round creeks and fishing grounds, although by 2017, Chief Michell </w:t>
      </w:r>
      <w:r w:rsidR="000F6A6E" w:rsidRPr="00ED5B14">
        <w:rPr>
          <w:color w:val="000000"/>
          <w:sz w:val="22"/>
          <w:szCs w:val="22"/>
          <w:lang w:val="en-GB" w:eastAsia="en-CA"/>
        </w:rPr>
        <w:t>noted that</w:t>
      </w:r>
      <w:r w:rsidRPr="00ED5B14">
        <w:rPr>
          <w:color w:val="000000"/>
          <w:sz w:val="22"/>
          <w:szCs w:val="22"/>
          <w:lang w:val="en-GB" w:eastAsia="en-CA"/>
        </w:rPr>
        <w:t xml:space="preserve"> climate change </w:t>
      </w:r>
      <w:r w:rsidR="000F6A6E" w:rsidRPr="00ED5B14">
        <w:rPr>
          <w:color w:val="000000"/>
          <w:sz w:val="22"/>
          <w:szCs w:val="22"/>
          <w:lang w:val="en-GB" w:eastAsia="en-CA"/>
        </w:rPr>
        <w:t xml:space="preserve">was </w:t>
      </w:r>
      <w:r w:rsidRPr="00ED5B14">
        <w:rPr>
          <w:color w:val="000000"/>
          <w:sz w:val="22"/>
          <w:szCs w:val="22"/>
          <w:lang w:val="en-GB" w:eastAsia="en-CA"/>
        </w:rPr>
        <w:t xml:space="preserve">depleting fishing opportunities. </w:t>
      </w:r>
      <w:r w:rsidRPr="00ED5B14" w:rsidDel="00AA15B7">
        <w:rPr>
          <w:rFonts w:ascii="Cambria" w:eastAsia="Cambria" w:hAnsi="Cambria" w:cs="Cambria"/>
          <w:color w:val="000000"/>
          <w:sz w:val="16"/>
          <w:szCs w:val="16"/>
          <w:lang w:val="en-GB" w:eastAsia="en-CA"/>
        </w:rPr>
        <w:t xml:space="preserve"> </w:t>
      </w:r>
    </w:p>
    <w:p w14:paraId="46C28D67"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30B77333" w14:textId="6028E4CE" w:rsidR="00330445" w:rsidRPr="007965F1" w:rsidRDefault="000F6A6E" w:rsidP="00330445">
      <w:pPr>
        <w:widowControl w:val="0"/>
        <w:pBdr>
          <w:top w:val="nil"/>
          <w:left w:val="nil"/>
          <w:bottom w:val="nil"/>
          <w:right w:val="nil"/>
          <w:between w:val="nil"/>
        </w:pBdr>
        <w:tabs>
          <w:tab w:val="left" w:pos="220"/>
          <w:tab w:val="left" w:pos="720"/>
        </w:tabs>
        <w:jc w:val="both"/>
        <w:rPr>
          <w:color w:val="000000"/>
          <w:spacing w:val="-2"/>
          <w:kern w:val="22"/>
          <w:sz w:val="22"/>
          <w:szCs w:val="22"/>
          <w:lang w:val="en-GB" w:eastAsia="en-CA"/>
        </w:rPr>
      </w:pPr>
      <w:r w:rsidRPr="007965F1">
        <w:rPr>
          <w:color w:val="000000"/>
          <w:spacing w:val="-2"/>
          <w:kern w:val="22"/>
          <w:sz w:val="22"/>
          <w:szCs w:val="22"/>
          <w:lang w:val="en-GB" w:eastAsia="en-CA"/>
        </w:rPr>
        <w:t>During</w:t>
      </w:r>
      <w:r w:rsidR="00901802" w:rsidRPr="007965F1">
        <w:rPr>
          <w:color w:val="000000"/>
          <w:spacing w:val="-2"/>
          <w:kern w:val="22"/>
          <w:sz w:val="22"/>
          <w:szCs w:val="22"/>
          <w:lang w:val="en-GB" w:eastAsia="en-CA"/>
        </w:rPr>
        <w:t xml:space="preserve"> the 1950</w:t>
      </w:r>
      <w:r w:rsidR="00330445" w:rsidRPr="007965F1">
        <w:rPr>
          <w:color w:val="000000"/>
          <w:spacing w:val="-2"/>
          <w:kern w:val="22"/>
          <w:sz w:val="22"/>
          <w:szCs w:val="22"/>
          <w:lang w:val="en-GB" w:eastAsia="en-CA"/>
        </w:rPr>
        <w:t>s</w:t>
      </w:r>
      <w:r w:rsidRPr="007965F1">
        <w:rPr>
          <w:color w:val="000000"/>
          <w:spacing w:val="-2"/>
          <w:kern w:val="22"/>
          <w:sz w:val="22"/>
          <w:szCs w:val="22"/>
          <w:lang w:val="en-GB" w:eastAsia="en-CA"/>
        </w:rPr>
        <w:t>,</w:t>
      </w:r>
      <w:r w:rsidR="00330445" w:rsidRPr="007965F1">
        <w:rPr>
          <w:color w:val="000000"/>
          <w:spacing w:val="-2"/>
          <w:kern w:val="22"/>
          <w:sz w:val="22"/>
          <w:szCs w:val="22"/>
          <w:lang w:val="en-GB" w:eastAsia="en-CA"/>
        </w:rPr>
        <w:t xml:space="preserve"> </w:t>
      </w:r>
      <w:r w:rsidRPr="007965F1">
        <w:rPr>
          <w:color w:val="000000"/>
          <w:spacing w:val="-2"/>
          <w:kern w:val="22"/>
          <w:sz w:val="22"/>
          <w:szCs w:val="22"/>
          <w:lang w:val="en-GB" w:eastAsia="en-CA"/>
        </w:rPr>
        <w:t xml:space="preserve">the community </w:t>
      </w:r>
      <w:r w:rsidR="00330445" w:rsidRPr="007965F1">
        <w:rPr>
          <w:color w:val="000000"/>
          <w:spacing w:val="-2"/>
          <w:kern w:val="22"/>
          <w:sz w:val="22"/>
          <w:szCs w:val="22"/>
          <w:lang w:val="en-GB" w:eastAsia="en-CA"/>
        </w:rPr>
        <w:t>saw an outflow of members, part</w:t>
      </w:r>
      <w:r w:rsidRPr="007965F1">
        <w:rPr>
          <w:color w:val="000000"/>
          <w:spacing w:val="-2"/>
          <w:kern w:val="22"/>
          <w:sz w:val="22"/>
          <w:szCs w:val="22"/>
          <w:lang w:val="en-GB" w:eastAsia="en-CA"/>
        </w:rPr>
        <w:t xml:space="preserve">ly due </w:t>
      </w:r>
      <w:r w:rsidR="00330445" w:rsidRPr="007965F1">
        <w:rPr>
          <w:color w:val="000000"/>
          <w:spacing w:val="-2"/>
          <w:kern w:val="22"/>
          <w:sz w:val="22"/>
          <w:szCs w:val="22"/>
          <w:lang w:val="en-GB" w:eastAsia="en-CA"/>
        </w:rPr>
        <w:t xml:space="preserve">to </w:t>
      </w:r>
      <w:r w:rsidRPr="007965F1">
        <w:rPr>
          <w:color w:val="000000"/>
          <w:spacing w:val="-2"/>
          <w:kern w:val="22"/>
          <w:sz w:val="22"/>
          <w:szCs w:val="22"/>
          <w:lang w:val="en-GB" w:eastAsia="en-CA"/>
        </w:rPr>
        <w:t xml:space="preserve">a shortage of </w:t>
      </w:r>
      <w:r w:rsidR="00330445" w:rsidRPr="007965F1">
        <w:rPr>
          <w:color w:val="000000"/>
          <w:spacing w:val="-2"/>
          <w:kern w:val="22"/>
          <w:sz w:val="22"/>
          <w:szCs w:val="22"/>
          <w:lang w:val="en-GB" w:eastAsia="en-CA"/>
        </w:rPr>
        <w:t>housing and job</w:t>
      </w:r>
      <w:r w:rsidRPr="007965F1">
        <w:rPr>
          <w:color w:val="000000"/>
          <w:spacing w:val="-2"/>
          <w:kern w:val="22"/>
          <w:sz w:val="22"/>
          <w:szCs w:val="22"/>
          <w:lang w:val="en-GB" w:eastAsia="en-CA"/>
        </w:rPr>
        <w:t>s</w:t>
      </w:r>
      <w:r w:rsidR="00330445" w:rsidRPr="007965F1">
        <w:rPr>
          <w:color w:val="000000"/>
          <w:spacing w:val="-2"/>
          <w:kern w:val="22"/>
          <w:sz w:val="22"/>
          <w:szCs w:val="22"/>
          <w:lang w:val="en-GB" w:eastAsia="en-CA"/>
        </w:rPr>
        <w:t xml:space="preserve">, </w:t>
      </w:r>
      <w:r w:rsidRPr="007965F1">
        <w:rPr>
          <w:color w:val="000000"/>
          <w:spacing w:val="-2"/>
          <w:kern w:val="22"/>
          <w:sz w:val="22"/>
          <w:szCs w:val="22"/>
          <w:lang w:val="en-GB" w:eastAsia="en-CA"/>
        </w:rPr>
        <w:t xml:space="preserve">and this outflow </w:t>
      </w:r>
      <w:r w:rsidR="00330445" w:rsidRPr="007965F1">
        <w:rPr>
          <w:color w:val="000000"/>
          <w:spacing w:val="-2"/>
          <w:kern w:val="22"/>
          <w:sz w:val="22"/>
          <w:szCs w:val="22"/>
          <w:lang w:val="en-GB" w:eastAsia="en-CA"/>
        </w:rPr>
        <w:t>further depressed</w:t>
      </w:r>
      <w:r w:rsidR="00901802" w:rsidRPr="007965F1">
        <w:rPr>
          <w:color w:val="000000"/>
          <w:spacing w:val="-2"/>
          <w:kern w:val="22"/>
          <w:sz w:val="22"/>
          <w:szCs w:val="22"/>
          <w:lang w:val="en-GB" w:eastAsia="en-CA"/>
        </w:rPr>
        <w:t xml:space="preserve"> the local economy. By the 1970</w:t>
      </w:r>
      <w:r w:rsidR="00330445" w:rsidRPr="007965F1">
        <w:rPr>
          <w:color w:val="000000"/>
          <w:spacing w:val="-2"/>
          <w:kern w:val="22"/>
          <w:sz w:val="22"/>
          <w:szCs w:val="22"/>
          <w:lang w:val="en-GB" w:eastAsia="en-CA"/>
        </w:rPr>
        <w:t xml:space="preserve">s, Chief Michell </w:t>
      </w:r>
      <w:r w:rsidRPr="007965F1">
        <w:rPr>
          <w:color w:val="000000"/>
          <w:spacing w:val="-2"/>
          <w:kern w:val="22"/>
          <w:sz w:val="22"/>
          <w:szCs w:val="22"/>
          <w:lang w:val="en-GB" w:eastAsia="en-CA"/>
        </w:rPr>
        <w:t xml:space="preserve">said, </w:t>
      </w:r>
      <w:r w:rsidR="002A1B89" w:rsidRPr="007965F1">
        <w:rPr>
          <w:color w:val="000000"/>
          <w:spacing w:val="-2"/>
          <w:kern w:val="22"/>
          <w:sz w:val="22"/>
          <w:szCs w:val="22"/>
          <w:lang w:val="en-GB" w:eastAsia="en-CA"/>
        </w:rPr>
        <w:t xml:space="preserve">the status quo in </w:t>
      </w:r>
      <w:r w:rsidR="00330445" w:rsidRPr="007965F1">
        <w:rPr>
          <w:color w:val="000000"/>
          <w:spacing w:val="-2"/>
          <w:kern w:val="22"/>
          <w:sz w:val="22"/>
          <w:szCs w:val="22"/>
          <w:lang w:val="en-GB" w:eastAsia="en-CA"/>
        </w:rPr>
        <w:t>the community</w:t>
      </w:r>
      <w:r w:rsidR="002A1B89" w:rsidRPr="007965F1">
        <w:rPr>
          <w:color w:val="000000"/>
          <w:spacing w:val="-2"/>
          <w:kern w:val="22"/>
          <w:sz w:val="22"/>
          <w:szCs w:val="22"/>
          <w:lang w:val="en-GB" w:eastAsia="en-CA"/>
        </w:rPr>
        <w:t xml:space="preserve"> was characterized by feelings </w:t>
      </w:r>
      <w:r w:rsidR="00330445" w:rsidRPr="007965F1">
        <w:rPr>
          <w:color w:val="000000"/>
          <w:spacing w:val="-2"/>
          <w:kern w:val="22"/>
          <w:sz w:val="22"/>
          <w:szCs w:val="22"/>
          <w:lang w:val="en-GB" w:eastAsia="en-CA"/>
        </w:rPr>
        <w:t>of anger, despair, frustration, and dependency.</w:t>
      </w:r>
      <w:r w:rsidR="002A1B89" w:rsidRPr="007965F1">
        <w:rPr>
          <w:color w:val="000000"/>
          <w:spacing w:val="-2"/>
          <w:kern w:val="22"/>
          <w:sz w:val="22"/>
          <w:szCs w:val="22"/>
          <w:lang w:val="en-GB" w:eastAsia="en-CA"/>
        </w:rPr>
        <w:t xml:space="preserve"> </w:t>
      </w:r>
      <w:r w:rsidR="00330445" w:rsidRPr="007965F1">
        <w:rPr>
          <w:color w:val="000000"/>
          <w:spacing w:val="-2"/>
          <w:kern w:val="22"/>
          <w:sz w:val="22"/>
          <w:szCs w:val="22"/>
          <w:lang w:val="en-GB" w:eastAsia="en-CA"/>
        </w:rPr>
        <w:t xml:space="preserve">A number of issues contributed to both disharmony within </w:t>
      </w:r>
      <w:r w:rsidR="008B4BFD" w:rsidRPr="007965F1">
        <w:rPr>
          <w:color w:val="000000"/>
          <w:spacing w:val="-2"/>
          <w:kern w:val="22"/>
          <w:sz w:val="22"/>
          <w:szCs w:val="22"/>
          <w:lang w:val="en-GB" w:eastAsia="en-CA"/>
        </w:rPr>
        <w:t xml:space="preserve">the community </w:t>
      </w:r>
      <w:r w:rsidR="00330445" w:rsidRPr="007965F1">
        <w:rPr>
          <w:color w:val="000000"/>
          <w:spacing w:val="-2"/>
          <w:kern w:val="22"/>
          <w:sz w:val="22"/>
          <w:szCs w:val="22"/>
          <w:lang w:val="en-GB" w:eastAsia="en-CA"/>
        </w:rPr>
        <w:t xml:space="preserve">and </w:t>
      </w:r>
      <w:r w:rsidR="008B4BFD" w:rsidRPr="007965F1">
        <w:rPr>
          <w:color w:val="000000"/>
          <w:spacing w:val="-2"/>
          <w:kern w:val="22"/>
          <w:sz w:val="22"/>
          <w:szCs w:val="22"/>
          <w:lang w:val="en-GB" w:eastAsia="en-CA"/>
        </w:rPr>
        <w:t xml:space="preserve">a continued </w:t>
      </w:r>
      <w:r w:rsidR="00330445" w:rsidRPr="007965F1">
        <w:rPr>
          <w:color w:val="000000"/>
          <w:spacing w:val="-2"/>
          <w:kern w:val="22"/>
          <w:sz w:val="22"/>
          <w:szCs w:val="22"/>
          <w:lang w:val="en-GB" w:eastAsia="en-CA"/>
        </w:rPr>
        <w:t>exodus</w:t>
      </w:r>
      <w:r w:rsidR="008B4BFD" w:rsidRPr="007965F1">
        <w:rPr>
          <w:color w:val="000000"/>
          <w:spacing w:val="-2"/>
          <w:kern w:val="22"/>
          <w:sz w:val="22"/>
          <w:szCs w:val="22"/>
          <w:lang w:val="en-GB" w:eastAsia="en-CA"/>
        </w:rPr>
        <w:t xml:space="preserve">; these included </w:t>
      </w:r>
      <w:r w:rsidR="00330445" w:rsidRPr="007965F1">
        <w:rPr>
          <w:color w:val="000000"/>
          <w:spacing w:val="-2"/>
          <w:kern w:val="22"/>
          <w:sz w:val="22"/>
          <w:szCs w:val="22"/>
          <w:lang w:val="en-GB" w:eastAsia="en-CA"/>
        </w:rPr>
        <w:t>continued restrictions on traditional economic activities, challenges with alcohol and drug addictions, and attraction to the potential jobs and education</w:t>
      </w:r>
      <w:r w:rsidR="00FA169E" w:rsidRPr="007965F1">
        <w:rPr>
          <w:color w:val="000000"/>
          <w:spacing w:val="-2"/>
          <w:kern w:val="22"/>
          <w:sz w:val="22"/>
          <w:szCs w:val="22"/>
          <w:lang w:val="en-GB" w:eastAsia="en-CA"/>
        </w:rPr>
        <w:t>al</w:t>
      </w:r>
      <w:r w:rsidR="00330445" w:rsidRPr="007965F1">
        <w:rPr>
          <w:color w:val="000000"/>
          <w:spacing w:val="-2"/>
          <w:kern w:val="22"/>
          <w:sz w:val="22"/>
          <w:szCs w:val="22"/>
          <w:lang w:val="en-GB" w:eastAsia="en-CA"/>
        </w:rPr>
        <w:t xml:space="preserve"> opportunities in mainstream society</w:t>
      </w:r>
      <w:r w:rsidR="008B4BFD" w:rsidRPr="007965F1">
        <w:rPr>
          <w:color w:val="000000"/>
          <w:spacing w:val="-2"/>
          <w:kern w:val="22"/>
          <w:sz w:val="22"/>
          <w:szCs w:val="22"/>
          <w:lang w:val="en-GB" w:eastAsia="en-CA"/>
        </w:rPr>
        <w:t>—</w:t>
      </w:r>
      <w:r w:rsidR="00330445" w:rsidRPr="007965F1">
        <w:rPr>
          <w:color w:val="000000"/>
          <w:spacing w:val="-2"/>
          <w:kern w:val="22"/>
          <w:sz w:val="22"/>
          <w:szCs w:val="22"/>
          <w:lang w:val="en-GB" w:eastAsia="en-CA"/>
        </w:rPr>
        <w:t>that is, outside of the community.</w:t>
      </w:r>
    </w:p>
    <w:p w14:paraId="08CB29A6"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750968AB" w14:textId="7229CC06"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Not only </w:t>
      </w:r>
      <w:r w:rsidR="008B4BFD" w:rsidRPr="00ED5B14">
        <w:rPr>
          <w:color w:val="000000"/>
          <w:sz w:val="22"/>
          <w:szCs w:val="22"/>
          <w:lang w:val="en-GB" w:eastAsia="en-CA"/>
        </w:rPr>
        <w:t xml:space="preserve">was the community losing </w:t>
      </w:r>
      <w:r w:rsidRPr="00ED5B14">
        <w:rPr>
          <w:color w:val="000000"/>
          <w:sz w:val="22"/>
          <w:szCs w:val="22"/>
          <w:lang w:val="en-GB" w:eastAsia="en-CA"/>
        </w:rPr>
        <w:t xml:space="preserve">people, </w:t>
      </w:r>
      <w:r w:rsidR="008B4BFD" w:rsidRPr="00ED5B14">
        <w:rPr>
          <w:color w:val="000000"/>
          <w:sz w:val="22"/>
          <w:szCs w:val="22"/>
          <w:lang w:val="en-GB" w:eastAsia="en-CA"/>
        </w:rPr>
        <w:t>it was a</w:t>
      </w:r>
      <w:r w:rsidRPr="00ED5B14">
        <w:rPr>
          <w:color w:val="000000"/>
          <w:sz w:val="22"/>
          <w:szCs w:val="22"/>
          <w:lang w:val="en-GB" w:eastAsia="en-CA"/>
        </w:rPr>
        <w:t xml:space="preserve">lso </w:t>
      </w:r>
      <w:r w:rsidR="008B4BFD" w:rsidRPr="00ED5B14">
        <w:rPr>
          <w:color w:val="000000"/>
          <w:sz w:val="22"/>
          <w:szCs w:val="22"/>
          <w:lang w:val="en-GB" w:eastAsia="en-CA"/>
        </w:rPr>
        <w:t>losing land</w:t>
      </w:r>
      <w:r w:rsidRPr="00ED5B14">
        <w:rPr>
          <w:color w:val="000000"/>
          <w:sz w:val="22"/>
          <w:szCs w:val="22"/>
          <w:lang w:val="en-GB" w:eastAsia="en-CA"/>
        </w:rPr>
        <w:t xml:space="preserve">, </w:t>
      </w:r>
      <w:r w:rsidR="008B4BFD" w:rsidRPr="00ED5B14">
        <w:rPr>
          <w:color w:val="000000"/>
          <w:sz w:val="22"/>
          <w:szCs w:val="22"/>
          <w:lang w:val="en-GB" w:eastAsia="en-CA"/>
        </w:rPr>
        <w:t>which</w:t>
      </w:r>
      <w:r w:rsidRPr="00ED5B14">
        <w:rPr>
          <w:color w:val="000000"/>
          <w:sz w:val="22"/>
          <w:szCs w:val="22"/>
          <w:lang w:val="en-GB" w:eastAsia="en-CA"/>
        </w:rPr>
        <w:t xml:space="preserve"> was </w:t>
      </w:r>
      <w:r w:rsidR="008B4BFD" w:rsidRPr="00ED5B14">
        <w:rPr>
          <w:color w:val="000000"/>
          <w:sz w:val="22"/>
          <w:szCs w:val="22"/>
          <w:lang w:val="en-GB" w:eastAsia="en-CA"/>
        </w:rPr>
        <w:t xml:space="preserve">being </w:t>
      </w:r>
      <w:r w:rsidRPr="00ED5B14">
        <w:rPr>
          <w:color w:val="000000"/>
          <w:sz w:val="22"/>
          <w:szCs w:val="22"/>
          <w:lang w:val="en-GB" w:eastAsia="en-CA"/>
        </w:rPr>
        <w:t xml:space="preserve">seized for public purposes. Over the decades, the area had become a major transportation hub </w:t>
      </w:r>
      <w:r w:rsidR="008B4BFD" w:rsidRPr="00ED5B14">
        <w:rPr>
          <w:color w:val="000000"/>
          <w:sz w:val="22"/>
          <w:szCs w:val="22"/>
          <w:lang w:val="en-GB" w:eastAsia="en-CA"/>
        </w:rPr>
        <w:t xml:space="preserve">intersected by </w:t>
      </w:r>
      <w:r w:rsidRPr="00ED5B14">
        <w:rPr>
          <w:color w:val="000000"/>
          <w:sz w:val="22"/>
          <w:szCs w:val="22"/>
          <w:lang w:val="en-GB" w:eastAsia="en-CA"/>
        </w:rPr>
        <w:t xml:space="preserve">major routes, from trails </w:t>
      </w:r>
      <w:r w:rsidR="008B4BFD" w:rsidRPr="00ED5B14">
        <w:rPr>
          <w:color w:val="000000"/>
          <w:sz w:val="22"/>
          <w:szCs w:val="22"/>
          <w:lang w:val="en-GB" w:eastAsia="en-CA"/>
        </w:rPr>
        <w:t>(</w:t>
      </w:r>
      <w:r w:rsidRPr="00ED5B14">
        <w:rPr>
          <w:color w:val="000000"/>
          <w:sz w:val="22"/>
          <w:szCs w:val="22"/>
          <w:lang w:val="en-GB" w:eastAsia="en-CA"/>
        </w:rPr>
        <w:t xml:space="preserve">prior to </w:t>
      </w:r>
      <w:r w:rsidR="008B4BFD" w:rsidRPr="00ED5B14">
        <w:rPr>
          <w:color w:val="000000"/>
          <w:sz w:val="22"/>
          <w:szCs w:val="22"/>
          <w:lang w:val="en-GB" w:eastAsia="en-CA"/>
        </w:rPr>
        <w:t xml:space="preserve">the </w:t>
      </w:r>
      <w:r w:rsidRPr="00ED5B14">
        <w:rPr>
          <w:color w:val="000000"/>
          <w:sz w:val="22"/>
          <w:szCs w:val="22"/>
          <w:lang w:val="en-GB" w:eastAsia="en-CA"/>
        </w:rPr>
        <w:t>185</w:t>
      </w:r>
      <w:r w:rsidR="00901802" w:rsidRPr="00ED5B14">
        <w:rPr>
          <w:color w:val="000000"/>
          <w:sz w:val="22"/>
          <w:szCs w:val="22"/>
          <w:lang w:val="en-GB" w:eastAsia="en-CA"/>
        </w:rPr>
        <w:t>0</w:t>
      </w:r>
      <w:r w:rsidRPr="00ED5B14">
        <w:rPr>
          <w:color w:val="000000"/>
          <w:sz w:val="22"/>
          <w:szCs w:val="22"/>
          <w:lang w:val="en-GB" w:eastAsia="en-CA"/>
        </w:rPr>
        <w:t>s</w:t>
      </w:r>
      <w:r w:rsidR="008B4BFD" w:rsidRPr="00ED5B14">
        <w:rPr>
          <w:color w:val="000000"/>
          <w:sz w:val="22"/>
          <w:szCs w:val="22"/>
          <w:lang w:val="en-GB" w:eastAsia="en-CA"/>
        </w:rPr>
        <w:t>) and the</w:t>
      </w:r>
      <w:r w:rsidR="00901802" w:rsidRPr="00ED5B14">
        <w:rPr>
          <w:color w:val="000000"/>
          <w:sz w:val="22"/>
          <w:szCs w:val="22"/>
          <w:lang w:val="en-GB" w:eastAsia="en-CA"/>
        </w:rPr>
        <w:t xml:space="preserve"> Cariboo Wagon Road </w:t>
      </w:r>
      <w:r w:rsidR="008B4BFD" w:rsidRPr="00ED5B14">
        <w:rPr>
          <w:color w:val="000000"/>
          <w:sz w:val="22"/>
          <w:szCs w:val="22"/>
          <w:lang w:val="en-GB" w:eastAsia="en-CA"/>
        </w:rPr>
        <w:t>(</w:t>
      </w:r>
      <w:r w:rsidR="00901802" w:rsidRPr="00ED5B14">
        <w:rPr>
          <w:color w:val="000000"/>
          <w:sz w:val="22"/>
          <w:szCs w:val="22"/>
          <w:lang w:val="en-GB" w:eastAsia="en-CA"/>
        </w:rPr>
        <w:t xml:space="preserve">in </w:t>
      </w:r>
      <w:r w:rsidR="008B4BFD" w:rsidRPr="00ED5B14">
        <w:rPr>
          <w:color w:val="000000"/>
          <w:sz w:val="22"/>
          <w:szCs w:val="22"/>
          <w:lang w:val="en-GB" w:eastAsia="en-CA"/>
        </w:rPr>
        <w:t xml:space="preserve">the </w:t>
      </w:r>
      <w:r w:rsidR="00901802" w:rsidRPr="00ED5B14">
        <w:rPr>
          <w:color w:val="000000"/>
          <w:sz w:val="22"/>
          <w:szCs w:val="22"/>
          <w:lang w:val="en-GB" w:eastAsia="en-CA"/>
        </w:rPr>
        <w:t>mid-1860</w:t>
      </w:r>
      <w:r w:rsidRPr="00ED5B14">
        <w:rPr>
          <w:color w:val="000000"/>
          <w:sz w:val="22"/>
          <w:szCs w:val="22"/>
          <w:lang w:val="en-GB" w:eastAsia="en-CA"/>
        </w:rPr>
        <w:t>s</w:t>
      </w:r>
      <w:r w:rsidR="008B4BFD" w:rsidRPr="00ED5B14">
        <w:rPr>
          <w:color w:val="000000"/>
          <w:sz w:val="22"/>
          <w:szCs w:val="22"/>
          <w:lang w:val="en-GB" w:eastAsia="en-CA"/>
        </w:rPr>
        <w:t>), to</w:t>
      </w:r>
      <w:r w:rsidRPr="00ED5B14">
        <w:rPr>
          <w:color w:val="000000"/>
          <w:sz w:val="22"/>
          <w:szCs w:val="22"/>
          <w:lang w:val="en-GB" w:eastAsia="en-CA"/>
        </w:rPr>
        <w:t xml:space="preserve"> the Canad</w:t>
      </w:r>
      <w:r w:rsidR="00901802" w:rsidRPr="00ED5B14">
        <w:rPr>
          <w:color w:val="000000"/>
          <w:sz w:val="22"/>
          <w:szCs w:val="22"/>
          <w:lang w:val="en-GB" w:eastAsia="en-CA"/>
        </w:rPr>
        <w:t xml:space="preserve">ian Pacific Railway </w:t>
      </w:r>
      <w:r w:rsidR="008B4BFD" w:rsidRPr="00ED5B14">
        <w:rPr>
          <w:color w:val="000000"/>
          <w:sz w:val="22"/>
          <w:szCs w:val="22"/>
          <w:lang w:val="en-GB" w:eastAsia="en-CA"/>
        </w:rPr>
        <w:t>(</w:t>
      </w:r>
      <w:r w:rsidR="00901802" w:rsidRPr="00ED5B14">
        <w:rPr>
          <w:color w:val="000000"/>
          <w:sz w:val="22"/>
          <w:szCs w:val="22"/>
          <w:lang w:val="en-GB" w:eastAsia="en-CA"/>
        </w:rPr>
        <w:t>in the 1880</w:t>
      </w:r>
      <w:r w:rsidRPr="00ED5B14">
        <w:rPr>
          <w:color w:val="000000"/>
          <w:sz w:val="22"/>
          <w:szCs w:val="22"/>
          <w:lang w:val="en-GB" w:eastAsia="en-CA"/>
        </w:rPr>
        <w:t>s</w:t>
      </w:r>
      <w:r w:rsidR="008B4BFD" w:rsidRPr="00ED5B14">
        <w:rPr>
          <w:color w:val="000000"/>
          <w:sz w:val="22"/>
          <w:szCs w:val="22"/>
          <w:lang w:val="en-GB" w:eastAsia="en-CA"/>
        </w:rPr>
        <w:t>) and the</w:t>
      </w:r>
      <w:r w:rsidRPr="00ED5B14">
        <w:rPr>
          <w:color w:val="000000"/>
          <w:sz w:val="22"/>
          <w:szCs w:val="22"/>
          <w:lang w:val="en-GB" w:eastAsia="en-CA"/>
        </w:rPr>
        <w:t xml:space="preserve"> competing </w:t>
      </w:r>
      <w:r w:rsidR="00326BA6" w:rsidRPr="00ED5B14">
        <w:rPr>
          <w:color w:val="000000"/>
          <w:sz w:val="22"/>
          <w:szCs w:val="22"/>
          <w:lang w:val="en-GB" w:eastAsia="en-CA"/>
        </w:rPr>
        <w:t>Canadian National Railway</w:t>
      </w:r>
      <w:r w:rsidRPr="00ED5B14">
        <w:rPr>
          <w:color w:val="000000"/>
          <w:sz w:val="22"/>
          <w:szCs w:val="22"/>
          <w:lang w:val="en-GB" w:eastAsia="en-CA"/>
        </w:rPr>
        <w:t xml:space="preserve"> </w:t>
      </w:r>
      <w:r w:rsidR="008B4BFD" w:rsidRPr="00ED5B14">
        <w:rPr>
          <w:color w:val="000000"/>
          <w:sz w:val="22"/>
          <w:szCs w:val="22"/>
          <w:lang w:val="en-GB" w:eastAsia="en-CA"/>
        </w:rPr>
        <w:t>(</w:t>
      </w:r>
      <w:r w:rsidRPr="00ED5B14">
        <w:rPr>
          <w:color w:val="000000"/>
          <w:sz w:val="22"/>
          <w:szCs w:val="22"/>
          <w:lang w:val="en-GB" w:eastAsia="en-CA"/>
        </w:rPr>
        <w:t>in th</w:t>
      </w:r>
      <w:r w:rsidR="00901802" w:rsidRPr="00ED5B14">
        <w:rPr>
          <w:color w:val="000000"/>
          <w:sz w:val="22"/>
          <w:szCs w:val="22"/>
          <w:lang w:val="en-GB" w:eastAsia="en-CA"/>
        </w:rPr>
        <w:t>e first two decades of the 1900s</w:t>
      </w:r>
      <w:r w:rsidR="008B4BFD" w:rsidRPr="00ED5B14">
        <w:rPr>
          <w:color w:val="000000"/>
          <w:sz w:val="22"/>
          <w:szCs w:val="22"/>
          <w:lang w:val="en-GB" w:eastAsia="en-CA"/>
        </w:rPr>
        <w:t>)</w:t>
      </w:r>
      <w:r w:rsidR="00901802" w:rsidRPr="00ED5B14">
        <w:rPr>
          <w:color w:val="000000"/>
          <w:sz w:val="22"/>
          <w:szCs w:val="22"/>
          <w:lang w:val="en-GB" w:eastAsia="en-CA"/>
        </w:rPr>
        <w:t>. By the 1950</w:t>
      </w:r>
      <w:r w:rsidRPr="00ED5B14">
        <w:rPr>
          <w:color w:val="000000"/>
          <w:sz w:val="22"/>
          <w:szCs w:val="22"/>
          <w:lang w:val="en-GB" w:eastAsia="en-CA"/>
        </w:rPr>
        <w:t xml:space="preserve">s, </w:t>
      </w:r>
      <w:r w:rsidR="008B4BFD" w:rsidRPr="00ED5B14">
        <w:rPr>
          <w:color w:val="000000"/>
          <w:sz w:val="22"/>
          <w:szCs w:val="22"/>
          <w:lang w:val="en-GB" w:eastAsia="en-CA"/>
        </w:rPr>
        <w:t xml:space="preserve">the building of the </w:t>
      </w:r>
      <w:r w:rsidRPr="00ED5B14">
        <w:rPr>
          <w:color w:val="000000"/>
          <w:sz w:val="22"/>
          <w:szCs w:val="22"/>
          <w:lang w:val="en-GB" w:eastAsia="en-CA"/>
        </w:rPr>
        <w:t>Trans-Canada Highway (Highway 1)</w:t>
      </w:r>
      <w:r w:rsidRPr="00ED5B14">
        <w:rPr>
          <w:color w:val="000000"/>
          <w:sz w:val="22"/>
          <w:szCs w:val="22"/>
          <w:vertAlign w:val="superscript"/>
          <w:lang w:val="en-GB" w:eastAsia="en-CA"/>
        </w:rPr>
        <w:endnoteReference w:id="12"/>
      </w:r>
      <w:r w:rsidRPr="00ED5B14">
        <w:rPr>
          <w:i/>
          <w:color w:val="000000"/>
          <w:sz w:val="22"/>
          <w:szCs w:val="22"/>
          <w:lang w:val="en-GB" w:eastAsia="en-CA"/>
        </w:rPr>
        <w:t xml:space="preserve"> </w:t>
      </w:r>
      <w:r w:rsidR="008B4BFD" w:rsidRPr="00ED5B14">
        <w:rPr>
          <w:color w:val="000000"/>
          <w:sz w:val="22"/>
          <w:szCs w:val="22"/>
          <w:lang w:val="en-GB" w:eastAsia="en-CA"/>
        </w:rPr>
        <w:t xml:space="preserve">bisected </w:t>
      </w:r>
      <w:r w:rsidRPr="00ED5B14">
        <w:rPr>
          <w:color w:val="000000"/>
          <w:sz w:val="22"/>
          <w:szCs w:val="22"/>
          <w:lang w:val="en-GB" w:eastAsia="en-CA"/>
        </w:rPr>
        <w:t xml:space="preserve">the community’s lands even further. </w:t>
      </w:r>
      <w:r w:rsidR="008B4BFD" w:rsidRPr="00ED5B14">
        <w:rPr>
          <w:color w:val="000000"/>
          <w:sz w:val="22"/>
          <w:szCs w:val="22"/>
          <w:lang w:val="en-GB" w:eastAsia="en-CA"/>
        </w:rPr>
        <w:t xml:space="preserve">In addition to the highway, a number of government and private roads also ran through the community. </w:t>
      </w:r>
      <w:r w:rsidRPr="00ED5B14">
        <w:rPr>
          <w:color w:val="000000"/>
          <w:sz w:val="22"/>
          <w:szCs w:val="22"/>
          <w:lang w:val="en-GB" w:eastAsia="en-CA"/>
        </w:rPr>
        <w:t>These public transportation routes were forged without community permission, compensation, or provision of replacement lands, and their creation displaced community houses, gardens, and irrigation.</w:t>
      </w:r>
      <w:r w:rsidRPr="00ED5B14">
        <w:rPr>
          <w:color w:val="000000"/>
          <w:sz w:val="22"/>
          <w:szCs w:val="22"/>
          <w:vertAlign w:val="superscript"/>
          <w:lang w:val="en-GB" w:eastAsia="en-CA"/>
        </w:rPr>
        <w:endnoteReference w:id="13"/>
      </w:r>
      <w:r w:rsidRPr="00ED5B14">
        <w:rPr>
          <w:color w:val="000000"/>
          <w:sz w:val="22"/>
          <w:szCs w:val="22"/>
          <w:lang w:val="en-GB" w:eastAsia="en-CA"/>
        </w:rPr>
        <w:t xml:space="preserve"> </w:t>
      </w:r>
      <w:r w:rsidR="0007605E" w:rsidRPr="00ED5B14">
        <w:rPr>
          <w:color w:val="000000"/>
          <w:sz w:val="22"/>
          <w:szCs w:val="22"/>
          <w:lang w:val="en-GB" w:eastAsia="en-CA"/>
        </w:rPr>
        <w:t>According to</w:t>
      </w:r>
      <w:r w:rsidRPr="00ED5B14">
        <w:rPr>
          <w:color w:val="000000"/>
          <w:sz w:val="22"/>
          <w:szCs w:val="22"/>
          <w:lang w:val="en-GB" w:eastAsia="en-CA"/>
        </w:rPr>
        <w:t xml:space="preserve"> Chief Michell, by 1970, the federal government had allowed more than </w:t>
      </w:r>
      <w:r w:rsidR="0007605E" w:rsidRPr="00ED5B14">
        <w:rPr>
          <w:color w:val="000000"/>
          <w:sz w:val="22"/>
          <w:szCs w:val="22"/>
          <w:lang w:val="en-GB" w:eastAsia="en-CA"/>
        </w:rPr>
        <w:t>one-</w:t>
      </w:r>
      <w:r w:rsidRPr="00ED5B14">
        <w:rPr>
          <w:color w:val="000000"/>
          <w:sz w:val="22"/>
          <w:szCs w:val="22"/>
          <w:lang w:val="en-GB" w:eastAsia="en-CA"/>
        </w:rPr>
        <w:t xml:space="preserve">third of Kanaka’s original and best reserve land allotments to be used for public purposes. </w:t>
      </w:r>
    </w:p>
    <w:p w14:paraId="05015E23" w14:textId="77777777" w:rsidR="00330445" w:rsidRPr="00ED5B14" w:rsidRDefault="00330445" w:rsidP="00330445">
      <w:pPr>
        <w:pStyle w:val="BodyTextMain"/>
        <w:rPr>
          <w:lang w:val="en-GB" w:eastAsia="en-CA"/>
        </w:rPr>
      </w:pPr>
    </w:p>
    <w:p w14:paraId="20851B7D" w14:textId="77777777" w:rsidR="00330445" w:rsidRPr="00ED5B14" w:rsidRDefault="00330445" w:rsidP="00330445">
      <w:pPr>
        <w:pStyle w:val="BodyTextMain"/>
        <w:rPr>
          <w:lang w:val="en-GB" w:eastAsia="en-CA"/>
        </w:rPr>
      </w:pPr>
    </w:p>
    <w:p w14:paraId="2D7C5BC9" w14:textId="2F43B799" w:rsidR="00330445" w:rsidRPr="00ED5B14" w:rsidRDefault="00330445" w:rsidP="00330445">
      <w:pPr>
        <w:widowControl w:val="0"/>
        <w:pBdr>
          <w:top w:val="nil"/>
          <w:left w:val="nil"/>
          <w:bottom w:val="nil"/>
          <w:right w:val="nil"/>
          <w:between w:val="nil"/>
        </w:pBdr>
        <w:tabs>
          <w:tab w:val="left" w:pos="220"/>
          <w:tab w:val="left" w:pos="720"/>
        </w:tabs>
        <w:jc w:val="both"/>
        <w:rPr>
          <w:rFonts w:ascii="Arial" w:hAnsi="Arial" w:cs="Arial"/>
          <w:b/>
          <w:color w:val="000000"/>
          <w:lang w:val="en-GB" w:eastAsia="en-CA"/>
        </w:rPr>
      </w:pPr>
      <w:r w:rsidRPr="00ED5B14">
        <w:rPr>
          <w:rFonts w:ascii="Arial" w:hAnsi="Arial" w:cs="Arial"/>
          <w:b/>
          <w:color w:val="000000"/>
          <w:lang w:val="en-GB" w:eastAsia="en-CA"/>
        </w:rPr>
        <w:t>The</w:t>
      </w:r>
      <w:r w:rsidR="00901802" w:rsidRPr="00ED5B14">
        <w:rPr>
          <w:rFonts w:ascii="Arial" w:hAnsi="Arial" w:cs="Arial"/>
          <w:b/>
          <w:color w:val="000000"/>
          <w:lang w:val="en-GB" w:eastAsia="en-CA"/>
        </w:rPr>
        <w:t xml:space="preserve"> Road to Self-Sufficiency: 1970</w:t>
      </w:r>
      <w:r w:rsidR="0007605E" w:rsidRPr="00ED5B14">
        <w:rPr>
          <w:rFonts w:ascii="Arial" w:hAnsi="Arial" w:cs="Arial"/>
          <w:b/>
          <w:color w:val="000000"/>
          <w:lang w:val="en-GB" w:eastAsia="en-CA"/>
        </w:rPr>
        <w:t>–</w:t>
      </w:r>
      <w:r w:rsidRPr="00ED5B14">
        <w:rPr>
          <w:rFonts w:ascii="Arial" w:hAnsi="Arial" w:cs="Arial"/>
          <w:b/>
          <w:color w:val="000000"/>
          <w:lang w:val="en-GB" w:eastAsia="en-CA"/>
        </w:rPr>
        <w:t>2011</w:t>
      </w:r>
    </w:p>
    <w:p w14:paraId="16D9EB8A"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412DC57B" w14:textId="192BC6A8" w:rsidR="00330445" w:rsidRPr="00ED5B14" w:rsidRDefault="00901802"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From the 1970</w:t>
      </w:r>
      <w:r w:rsidR="00330445" w:rsidRPr="00ED5B14">
        <w:rPr>
          <w:color w:val="000000"/>
          <w:sz w:val="22"/>
          <w:szCs w:val="22"/>
          <w:lang w:val="en-GB" w:eastAsia="en-CA"/>
        </w:rPr>
        <w:t xml:space="preserve">s onwards, Kanaka Bar experienced a </w:t>
      </w:r>
      <w:r w:rsidR="0007605E" w:rsidRPr="00ED5B14">
        <w:rPr>
          <w:color w:val="000000"/>
          <w:sz w:val="22"/>
          <w:szCs w:val="22"/>
          <w:lang w:val="en-GB" w:eastAsia="en-CA"/>
        </w:rPr>
        <w:t>resurging</w:t>
      </w:r>
      <w:r w:rsidR="00330445" w:rsidRPr="00ED5B14">
        <w:rPr>
          <w:color w:val="000000"/>
          <w:sz w:val="22"/>
          <w:szCs w:val="22"/>
          <w:lang w:val="en-GB" w:eastAsia="en-CA"/>
        </w:rPr>
        <w:t xml:space="preserve"> desire </w:t>
      </w:r>
      <w:r w:rsidR="0007605E" w:rsidRPr="00ED5B14">
        <w:rPr>
          <w:color w:val="000000"/>
          <w:sz w:val="22"/>
          <w:szCs w:val="22"/>
          <w:lang w:val="en-GB" w:eastAsia="en-CA"/>
        </w:rPr>
        <w:t>to</w:t>
      </w:r>
      <w:r w:rsidR="00330445" w:rsidRPr="00ED5B14">
        <w:rPr>
          <w:color w:val="000000"/>
          <w:sz w:val="22"/>
          <w:szCs w:val="22"/>
          <w:lang w:val="en-GB" w:eastAsia="en-CA"/>
        </w:rPr>
        <w:t xml:space="preserve"> return to the </w:t>
      </w:r>
      <w:r w:rsidR="0007605E" w:rsidRPr="00ED5B14">
        <w:rPr>
          <w:color w:val="000000"/>
          <w:sz w:val="22"/>
          <w:szCs w:val="22"/>
          <w:lang w:val="en-GB" w:eastAsia="en-CA"/>
        </w:rPr>
        <w:t>“</w:t>
      </w:r>
      <w:r w:rsidR="00330445" w:rsidRPr="00ED5B14">
        <w:rPr>
          <w:color w:val="000000"/>
          <w:sz w:val="22"/>
          <w:szCs w:val="22"/>
          <w:lang w:val="en-GB" w:eastAsia="en-CA"/>
        </w:rPr>
        <w:t>old ways</w:t>
      </w:r>
      <w:r w:rsidR="0007605E" w:rsidRPr="00ED5B14">
        <w:rPr>
          <w:color w:val="000000"/>
          <w:sz w:val="22"/>
          <w:szCs w:val="22"/>
          <w:lang w:val="en-GB" w:eastAsia="en-CA"/>
        </w:rPr>
        <w:t>,”</w:t>
      </w:r>
      <w:r w:rsidR="0007605E" w:rsidRPr="00ED5B14" w:rsidDel="0007605E">
        <w:rPr>
          <w:color w:val="000000"/>
          <w:sz w:val="22"/>
          <w:szCs w:val="22"/>
          <w:lang w:val="en-GB" w:eastAsia="en-CA"/>
        </w:rPr>
        <w:t xml:space="preserve"> </w:t>
      </w:r>
      <w:r w:rsidR="0007605E" w:rsidRPr="00ED5B14">
        <w:rPr>
          <w:color w:val="000000"/>
          <w:sz w:val="22"/>
          <w:szCs w:val="22"/>
          <w:lang w:val="en-GB" w:eastAsia="en-CA"/>
        </w:rPr>
        <w:t>and</w:t>
      </w:r>
      <w:r w:rsidR="00330445" w:rsidRPr="00ED5B14">
        <w:rPr>
          <w:color w:val="000000"/>
          <w:sz w:val="22"/>
          <w:szCs w:val="22"/>
          <w:lang w:val="en-GB" w:eastAsia="en-CA"/>
        </w:rPr>
        <w:t xml:space="preserve"> the community </w:t>
      </w:r>
      <w:r w:rsidR="0007605E" w:rsidRPr="00ED5B14">
        <w:rPr>
          <w:color w:val="000000"/>
          <w:sz w:val="22"/>
          <w:szCs w:val="22"/>
          <w:lang w:val="en-GB" w:eastAsia="en-CA"/>
        </w:rPr>
        <w:t>began</w:t>
      </w:r>
      <w:r w:rsidR="00330445" w:rsidRPr="00ED5B14">
        <w:rPr>
          <w:color w:val="000000"/>
          <w:sz w:val="22"/>
          <w:szCs w:val="22"/>
          <w:lang w:val="en-GB" w:eastAsia="en-CA"/>
        </w:rPr>
        <w:t xml:space="preserve"> a transition from despair and dependence towards self-suffi</w:t>
      </w:r>
      <w:r w:rsidRPr="00ED5B14">
        <w:rPr>
          <w:color w:val="000000"/>
          <w:sz w:val="22"/>
          <w:szCs w:val="22"/>
          <w:lang w:val="en-GB" w:eastAsia="en-CA"/>
        </w:rPr>
        <w:t xml:space="preserve">ciency. </w:t>
      </w:r>
      <w:r w:rsidR="0007605E" w:rsidRPr="00ED5B14">
        <w:rPr>
          <w:color w:val="000000"/>
          <w:sz w:val="22"/>
          <w:szCs w:val="22"/>
          <w:lang w:val="en-GB" w:eastAsia="en-CA"/>
        </w:rPr>
        <w:t>A multitude of activities took place in the 1990s i</w:t>
      </w:r>
      <w:r w:rsidRPr="00ED5B14">
        <w:rPr>
          <w:color w:val="000000"/>
          <w:sz w:val="22"/>
          <w:szCs w:val="22"/>
          <w:lang w:val="en-GB" w:eastAsia="en-CA"/>
        </w:rPr>
        <w:t>n particular</w:t>
      </w:r>
      <w:r w:rsidR="0007605E" w:rsidRPr="00ED5B14">
        <w:rPr>
          <w:color w:val="000000"/>
          <w:sz w:val="22"/>
          <w:szCs w:val="22"/>
          <w:lang w:val="en-GB" w:eastAsia="en-CA"/>
        </w:rPr>
        <w:t xml:space="preserve">; these </w:t>
      </w:r>
      <w:r w:rsidR="00330445" w:rsidRPr="00ED5B14">
        <w:rPr>
          <w:color w:val="000000"/>
          <w:sz w:val="22"/>
          <w:szCs w:val="22"/>
          <w:lang w:val="en-GB" w:eastAsia="en-CA"/>
        </w:rPr>
        <w:t xml:space="preserve">included </w:t>
      </w:r>
      <w:r w:rsidR="0007605E" w:rsidRPr="00ED5B14">
        <w:rPr>
          <w:color w:val="000000"/>
          <w:sz w:val="22"/>
          <w:szCs w:val="22"/>
          <w:lang w:val="en-GB" w:eastAsia="en-CA"/>
        </w:rPr>
        <w:t xml:space="preserve">land purchases </w:t>
      </w:r>
      <w:r w:rsidR="00330445" w:rsidRPr="00ED5B14">
        <w:rPr>
          <w:color w:val="000000"/>
          <w:sz w:val="22"/>
          <w:szCs w:val="22"/>
          <w:lang w:val="en-GB" w:eastAsia="en-CA"/>
        </w:rPr>
        <w:t xml:space="preserve">and strengthening of community infrastructure, </w:t>
      </w:r>
      <w:r w:rsidR="0007605E" w:rsidRPr="00ED5B14">
        <w:rPr>
          <w:color w:val="000000"/>
          <w:sz w:val="22"/>
          <w:szCs w:val="22"/>
          <w:lang w:val="en-GB" w:eastAsia="en-CA"/>
        </w:rPr>
        <w:t>for example, by</w:t>
      </w:r>
      <w:r w:rsidR="00330445" w:rsidRPr="00ED5B14">
        <w:rPr>
          <w:color w:val="000000"/>
          <w:sz w:val="22"/>
          <w:szCs w:val="22"/>
          <w:lang w:val="en-GB" w:eastAsia="en-CA"/>
        </w:rPr>
        <w:t xml:space="preserve"> building water treatment systems, houses, and access roads. </w:t>
      </w:r>
    </w:p>
    <w:p w14:paraId="13FDC9F1" w14:textId="724A9F7B"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0A38D641" w14:textId="17705478" w:rsidR="00330445" w:rsidRPr="00ED5B14" w:rsidRDefault="00421A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The community’s first business venture, Kwoiek Creek Resources Inc., was also created during the 1990s</w:t>
      </w:r>
      <w:r w:rsidR="0007605E" w:rsidRPr="00ED5B14">
        <w:rPr>
          <w:color w:val="000000"/>
          <w:sz w:val="22"/>
          <w:szCs w:val="22"/>
          <w:lang w:val="en-GB" w:eastAsia="en-CA"/>
        </w:rPr>
        <w:t xml:space="preserve">. </w:t>
      </w:r>
      <w:r w:rsidR="00330445" w:rsidRPr="00ED5B14">
        <w:rPr>
          <w:color w:val="000000"/>
          <w:sz w:val="22"/>
          <w:szCs w:val="22"/>
          <w:lang w:val="en-GB" w:eastAsia="en-CA"/>
        </w:rPr>
        <w:t xml:space="preserve">The community seized an opportunity to start a hydroelectric power plant when BC Hydro, the provincial electric utility provider, opened the provincial electric grid in 1988 to independent power producers. </w:t>
      </w:r>
      <w:r w:rsidRPr="00ED5B14">
        <w:rPr>
          <w:color w:val="000000"/>
          <w:sz w:val="22"/>
          <w:szCs w:val="22"/>
          <w:lang w:val="en-GB" w:eastAsia="en-CA"/>
        </w:rPr>
        <w:t xml:space="preserve">The community kicked off this </w:t>
      </w:r>
      <w:r w:rsidR="00330445" w:rsidRPr="00ED5B14">
        <w:rPr>
          <w:color w:val="000000"/>
          <w:sz w:val="22"/>
          <w:szCs w:val="22"/>
          <w:lang w:val="en-GB" w:eastAsia="en-CA"/>
        </w:rPr>
        <w:t xml:space="preserve">new venture </w:t>
      </w:r>
      <w:r w:rsidR="00FF3145" w:rsidRPr="00ED5B14">
        <w:rPr>
          <w:color w:val="000000"/>
          <w:sz w:val="22"/>
          <w:szCs w:val="22"/>
          <w:lang w:val="en-GB" w:eastAsia="en-CA"/>
        </w:rPr>
        <w:t>by</w:t>
      </w:r>
      <w:r w:rsidR="00330445" w:rsidRPr="00ED5B14">
        <w:rPr>
          <w:color w:val="000000"/>
          <w:sz w:val="22"/>
          <w:szCs w:val="22"/>
          <w:lang w:val="en-GB" w:eastAsia="en-CA"/>
        </w:rPr>
        <w:t xml:space="preserve"> </w:t>
      </w:r>
      <w:r w:rsidR="00FF3145" w:rsidRPr="00ED5B14">
        <w:rPr>
          <w:color w:val="000000"/>
          <w:sz w:val="22"/>
          <w:szCs w:val="22"/>
          <w:lang w:val="en-GB" w:eastAsia="en-CA"/>
        </w:rPr>
        <w:t>applying for</w:t>
      </w:r>
      <w:r w:rsidR="00330445" w:rsidRPr="00ED5B14">
        <w:rPr>
          <w:color w:val="000000"/>
          <w:sz w:val="22"/>
          <w:szCs w:val="22"/>
          <w:lang w:val="en-GB" w:eastAsia="en-CA"/>
        </w:rPr>
        <w:t xml:space="preserve"> a water licen</w:t>
      </w:r>
      <w:r w:rsidR="00300766">
        <w:rPr>
          <w:color w:val="000000"/>
          <w:sz w:val="22"/>
          <w:szCs w:val="22"/>
          <w:lang w:val="en-GB" w:eastAsia="en-CA"/>
        </w:rPr>
        <w:t>c</w:t>
      </w:r>
      <w:r w:rsidR="00330445" w:rsidRPr="00ED5B14">
        <w:rPr>
          <w:color w:val="000000"/>
          <w:sz w:val="22"/>
          <w:szCs w:val="22"/>
          <w:lang w:val="en-GB" w:eastAsia="en-CA"/>
        </w:rPr>
        <w:t xml:space="preserve">e to develop hydroelectric power generation on the Kwoiek Creek in the Whyeek Reserve, </w:t>
      </w:r>
      <w:r w:rsidR="00FF3145" w:rsidRPr="00ED5B14">
        <w:rPr>
          <w:color w:val="000000"/>
          <w:sz w:val="22"/>
          <w:szCs w:val="22"/>
          <w:lang w:val="en-GB" w:eastAsia="en-CA"/>
        </w:rPr>
        <w:t>and this licen</w:t>
      </w:r>
      <w:r w:rsidR="00300766">
        <w:rPr>
          <w:color w:val="000000"/>
          <w:sz w:val="22"/>
          <w:szCs w:val="22"/>
          <w:lang w:val="en-GB" w:eastAsia="en-CA"/>
        </w:rPr>
        <w:t>c</w:t>
      </w:r>
      <w:r w:rsidR="00FF3145" w:rsidRPr="00ED5B14">
        <w:rPr>
          <w:color w:val="000000"/>
          <w:sz w:val="22"/>
          <w:szCs w:val="22"/>
          <w:lang w:val="en-GB" w:eastAsia="en-CA"/>
        </w:rPr>
        <w:t xml:space="preserve">e </w:t>
      </w:r>
      <w:r w:rsidR="00330445" w:rsidRPr="00ED5B14">
        <w:rPr>
          <w:color w:val="000000"/>
          <w:sz w:val="22"/>
          <w:szCs w:val="22"/>
          <w:lang w:val="en-GB" w:eastAsia="en-CA"/>
        </w:rPr>
        <w:t>was accepted for review in 1990.</w:t>
      </w:r>
      <w:r w:rsidR="00330445" w:rsidRPr="00ED5B14">
        <w:rPr>
          <w:color w:val="000000"/>
          <w:sz w:val="22"/>
          <w:szCs w:val="22"/>
          <w:vertAlign w:val="superscript"/>
          <w:lang w:val="en-GB" w:eastAsia="en-CA"/>
        </w:rPr>
        <w:endnoteReference w:id="14"/>
      </w:r>
      <w:r w:rsidR="00330445" w:rsidRPr="00ED5B14">
        <w:rPr>
          <w:color w:val="000000"/>
          <w:sz w:val="22"/>
          <w:szCs w:val="22"/>
          <w:lang w:val="en-GB" w:eastAsia="en-CA"/>
        </w:rPr>
        <w:t xml:space="preserve"> The application to develop a hydroelectric plant was led by </w:t>
      </w:r>
      <w:r w:rsidR="00FF3145" w:rsidRPr="00ED5B14">
        <w:rPr>
          <w:color w:val="000000"/>
          <w:sz w:val="22"/>
          <w:szCs w:val="22"/>
          <w:lang w:val="en-GB" w:eastAsia="en-CA"/>
        </w:rPr>
        <w:t>then-</w:t>
      </w:r>
      <w:r w:rsidR="00330445" w:rsidRPr="00ED5B14">
        <w:rPr>
          <w:color w:val="000000"/>
          <w:sz w:val="22"/>
          <w:szCs w:val="22"/>
          <w:lang w:val="en-GB" w:eastAsia="en-CA"/>
        </w:rPr>
        <w:t>Chief James Frank, who said</w:t>
      </w:r>
      <w:r w:rsidR="00901802" w:rsidRPr="00ED5B14">
        <w:rPr>
          <w:color w:val="000000"/>
          <w:sz w:val="22"/>
          <w:szCs w:val="22"/>
          <w:lang w:val="en-GB" w:eastAsia="en-CA"/>
        </w:rPr>
        <w:t xml:space="preserve"> that</w:t>
      </w:r>
      <w:r w:rsidR="00330445" w:rsidRPr="00ED5B14">
        <w:rPr>
          <w:color w:val="000000"/>
          <w:sz w:val="22"/>
          <w:szCs w:val="22"/>
          <w:lang w:val="en-GB" w:eastAsia="en-CA"/>
        </w:rPr>
        <w:t xml:space="preserve"> “the power of Kwoiek Creek has always been known to Kanaka. The clean energy industry represents an opportunity to exercise Nlaka’pamux rights and title in a modern way.”</w:t>
      </w:r>
      <w:r w:rsidR="00330445" w:rsidRPr="00ED5B14">
        <w:rPr>
          <w:color w:val="000000"/>
          <w:sz w:val="22"/>
          <w:szCs w:val="22"/>
          <w:vertAlign w:val="superscript"/>
          <w:lang w:val="en-GB" w:eastAsia="en-CA"/>
        </w:rPr>
        <w:endnoteReference w:id="15"/>
      </w:r>
      <w:r w:rsidR="00330445" w:rsidRPr="00ED5B14">
        <w:rPr>
          <w:color w:val="000000"/>
          <w:sz w:val="22"/>
          <w:szCs w:val="22"/>
          <w:lang w:val="en-GB" w:eastAsia="en-CA"/>
        </w:rPr>
        <w:t xml:space="preserve"> </w:t>
      </w:r>
    </w:p>
    <w:p w14:paraId="41803BD4"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6F84010A" w14:textId="03AB4F6B" w:rsidR="00330445" w:rsidRPr="00843826" w:rsidRDefault="00330445" w:rsidP="00330445">
      <w:pPr>
        <w:widowControl w:val="0"/>
        <w:pBdr>
          <w:top w:val="nil"/>
          <w:left w:val="nil"/>
          <w:bottom w:val="nil"/>
          <w:right w:val="nil"/>
          <w:between w:val="nil"/>
        </w:pBdr>
        <w:tabs>
          <w:tab w:val="left" w:pos="220"/>
          <w:tab w:val="left" w:pos="720"/>
        </w:tabs>
        <w:jc w:val="both"/>
        <w:rPr>
          <w:color w:val="000000"/>
          <w:spacing w:val="-2"/>
          <w:kern w:val="22"/>
          <w:sz w:val="22"/>
          <w:szCs w:val="22"/>
          <w:lang w:val="en-GB" w:eastAsia="en-CA"/>
        </w:rPr>
      </w:pPr>
      <w:r w:rsidRPr="00843826">
        <w:rPr>
          <w:color w:val="000000"/>
          <w:spacing w:val="-2"/>
          <w:kern w:val="22"/>
          <w:sz w:val="22"/>
          <w:szCs w:val="22"/>
          <w:lang w:val="en-GB" w:eastAsia="en-CA"/>
        </w:rPr>
        <w:t>In 2001, the community collected baseline data and underwent a formal review</w:t>
      </w:r>
      <w:r w:rsidR="00FF3145" w:rsidRPr="00843826">
        <w:rPr>
          <w:color w:val="000000"/>
          <w:spacing w:val="-2"/>
          <w:kern w:val="22"/>
          <w:sz w:val="22"/>
          <w:szCs w:val="22"/>
          <w:lang w:val="en-GB" w:eastAsia="en-CA"/>
        </w:rPr>
        <w:t xml:space="preserve">, then looked </w:t>
      </w:r>
      <w:r w:rsidRPr="00843826">
        <w:rPr>
          <w:color w:val="000000"/>
          <w:spacing w:val="-2"/>
          <w:kern w:val="22"/>
          <w:sz w:val="22"/>
          <w:szCs w:val="22"/>
          <w:lang w:val="en-GB" w:eastAsia="en-CA"/>
        </w:rPr>
        <w:t xml:space="preserve">for an appropriate partner to support the process. By 2005, Kanaka Bar </w:t>
      </w:r>
      <w:r w:rsidR="00300766" w:rsidRPr="00843826">
        <w:rPr>
          <w:color w:val="000000"/>
          <w:spacing w:val="-2"/>
          <w:kern w:val="22"/>
          <w:sz w:val="22"/>
          <w:szCs w:val="22"/>
          <w:lang w:val="en-GB" w:eastAsia="en-CA"/>
        </w:rPr>
        <w:t xml:space="preserve">had </w:t>
      </w:r>
      <w:r w:rsidRPr="00843826">
        <w:rPr>
          <w:color w:val="000000"/>
          <w:spacing w:val="-2"/>
          <w:kern w:val="22"/>
          <w:sz w:val="22"/>
          <w:szCs w:val="22"/>
          <w:lang w:val="en-GB" w:eastAsia="en-CA"/>
        </w:rPr>
        <w:t>formed an equal partnership with Innergex Renewable Energy Inc</w:t>
      </w:r>
      <w:r w:rsidR="00FF3145" w:rsidRPr="00843826">
        <w:rPr>
          <w:color w:val="000000"/>
          <w:spacing w:val="-2"/>
          <w:kern w:val="22"/>
          <w:sz w:val="22"/>
          <w:szCs w:val="22"/>
          <w:lang w:val="en-GB" w:eastAsia="en-CA"/>
        </w:rPr>
        <w:t>.</w:t>
      </w:r>
      <w:r w:rsidRPr="00843826">
        <w:rPr>
          <w:color w:val="000000"/>
          <w:spacing w:val="-2"/>
          <w:kern w:val="22"/>
          <w:sz w:val="22"/>
          <w:szCs w:val="22"/>
          <w:lang w:val="en-GB" w:eastAsia="en-CA"/>
        </w:rPr>
        <w:t>, a Canadian developer and operator of sustainable North American energy facilities, who agreed to supply both expertise and equity financing. This partnership</w:t>
      </w:r>
      <w:r w:rsidR="00FF3145" w:rsidRPr="00843826">
        <w:rPr>
          <w:color w:val="000000"/>
          <w:spacing w:val="-2"/>
          <w:kern w:val="22"/>
          <w:sz w:val="22"/>
          <w:szCs w:val="22"/>
          <w:lang w:val="en-GB" w:eastAsia="en-CA"/>
        </w:rPr>
        <w:t>,</w:t>
      </w:r>
      <w:r w:rsidRPr="00843826">
        <w:rPr>
          <w:color w:val="000000"/>
          <w:spacing w:val="-2"/>
          <w:kern w:val="22"/>
          <w:sz w:val="22"/>
          <w:szCs w:val="22"/>
          <w:lang w:val="en-GB" w:eastAsia="en-CA"/>
        </w:rPr>
        <w:t xml:space="preserve"> called Kwoiek Creek Resources Limited Partnership (KCRLP</w:t>
      </w:r>
      <w:r w:rsidR="00FF3145" w:rsidRPr="00843826">
        <w:rPr>
          <w:color w:val="000000"/>
          <w:spacing w:val="-2"/>
          <w:kern w:val="22"/>
          <w:sz w:val="22"/>
          <w:szCs w:val="22"/>
          <w:lang w:val="en-GB" w:eastAsia="en-CA"/>
        </w:rPr>
        <w:t xml:space="preserve">), </w:t>
      </w:r>
      <w:r w:rsidRPr="00843826">
        <w:rPr>
          <w:color w:val="000000"/>
          <w:spacing w:val="-2"/>
          <w:kern w:val="22"/>
          <w:sz w:val="22"/>
          <w:szCs w:val="22"/>
          <w:lang w:val="en-GB" w:eastAsia="en-CA"/>
        </w:rPr>
        <w:t xml:space="preserve">secured a </w:t>
      </w:r>
      <w:r w:rsidR="00FF3145" w:rsidRPr="00843826">
        <w:rPr>
          <w:color w:val="000000"/>
          <w:spacing w:val="-2"/>
          <w:kern w:val="22"/>
          <w:sz w:val="22"/>
          <w:szCs w:val="22"/>
          <w:lang w:val="en-GB" w:eastAsia="en-CA"/>
        </w:rPr>
        <w:t>40</w:t>
      </w:r>
      <w:r w:rsidRPr="00843826">
        <w:rPr>
          <w:color w:val="000000"/>
          <w:spacing w:val="-2"/>
          <w:kern w:val="22"/>
          <w:sz w:val="22"/>
          <w:szCs w:val="22"/>
          <w:lang w:val="en-GB" w:eastAsia="en-CA"/>
        </w:rPr>
        <w:t>-year power purchasing agreement with BC Hydro in 2006.</w:t>
      </w:r>
      <w:r w:rsidRPr="00843826">
        <w:rPr>
          <w:color w:val="000000"/>
          <w:spacing w:val="-2"/>
          <w:kern w:val="22"/>
          <w:sz w:val="22"/>
          <w:szCs w:val="22"/>
          <w:vertAlign w:val="superscript"/>
          <w:lang w:val="en-GB" w:eastAsia="en-CA"/>
        </w:rPr>
        <w:endnoteReference w:id="16"/>
      </w:r>
    </w:p>
    <w:p w14:paraId="3628D259"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571A6198" w14:textId="7769D38C"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The development of this project and the KCRLP partnership reflected Kanaka</w:t>
      </w:r>
      <w:r w:rsidR="00FF3145" w:rsidRPr="00ED5B14">
        <w:rPr>
          <w:color w:val="000000"/>
          <w:sz w:val="22"/>
          <w:szCs w:val="22"/>
          <w:lang w:val="en-GB" w:eastAsia="en-CA"/>
        </w:rPr>
        <w:t xml:space="preserve"> Bar</w:t>
      </w:r>
      <w:r w:rsidRPr="00ED5B14">
        <w:rPr>
          <w:color w:val="000000"/>
          <w:sz w:val="22"/>
          <w:szCs w:val="22"/>
          <w:lang w:val="en-GB" w:eastAsia="en-CA"/>
        </w:rPr>
        <w:t>’s intent</w:t>
      </w:r>
      <w:r w:rsidR="00FF3145" w:rsidRPr="00ED5B14">
        <w:rPr>
          <w:color w:val="000000"/>
          <w:sz w:val="22"/>
          <w:szCs w:val="22"/>
          <w:lang w:val="en-GB" w:eastAsia="en-CA"/>
        </w:rPr>
        <w:t>ion</w:t>
      </w:r>
      <w:r w:rsidRPr="00ED5B14">
        <w:rPr>
          <w:color w:val="000000"/>
          <w:sz w:val="22"/>
          <w:szCs w:val="22"/>
          <w:lang w:val="en-GB" w:eastAsia="en-CA"/>
        </w:rPr>
        <w:t xml:space="preserve"> to move away from </w:t>
      </w:r>
      <w:r w:rsidR="00FF3145" w:rsidRPr="00ED5B14">
        <w:rPr>
          <w:color w:val="000000"/>
          <w:sz w:val="22"/>
          <w:szCs w:val="22"/>
          <w:lang w:val="en-GB" w:eastAsia="en-CA"/>
        </w:rPr>
        <w:t xml:space="preserve">a mindset of </w:t>
      </w:r>
      <w:r w:rsidRPr="00ED5B14">
        <w:rPr>
          <w:color w:val="000000"/>
          <w:sz w:val="22"/>
          <w:szCs w:val="22"/>
          <w:lang w:val="en-GB" w:eastAsia="en-CA"/>
        </w:rPr>
        <w:t xml:space="preserve">dependency to </w:t>
      </w:r>
      <w:r w:rsidR="00FF3145" w:rsidRPr="00ED5B14">
        <w:rPr>
          <w:color w:val="000000"/>
          <w:sz w:val="22"/>
          <w:szCs w:val="22"/>
          <w:lang w:val="en-GB" w:eastAsia="en-CA"/>
        </w:rPr>
        <w:t>one of resilience</w:t>
      </w:r>
      <w:r w:rsidRPr="00ED5B14">
        <w:rPr>
          <w:color w:val="000000"/>
          <w:sz w:val="22"/>
          <w:szCs w:val="22"/>
          <w:lang w:val="en-GB" w:eastAsia="en-CA"/>
        </w:rPr>
        <w:t>. The community did not passively allow the partnership to decide the fate of the project. Instead, community members actively participated in discussions</w:t>
      </w:r>
      <w:r w:rsidR="00FF3145" w:rsidRPr="00ED5B14">
        <w:rPr>
          <w:color w:val="000000"/>
          <w:sz w:val="22"/>
          <w:szCs w:val="22"/>
          <w:lang w:val="en-GB" w:eastAsia="en-CA"/>
        </w:rPr>
        <w:t>,</w:t>
      </w:r>
      <w:r w:rsidRPr="00ED5B14">
        <w:rPr>
          <w:color w:val="000000"/>
          <w:sz w:val="22"/>
          <w:szCs w:val="22"/>
          <w:lang w:val="en-GB" w:eastAsia="en-CA"/>
        </w:rPr>
        <w:t xml:space="preserve"> with both its own leadership </w:t>
      </w:r>
      <w:r w:rsidR="00FF3145" w:rsidRPr="00ED5B14">
        <w:rPr>
          <w:color w:val="000000"/>
          <w:sz w:val="22"/>
          <w:szCs w:val="22"/>
          <w:lang w:val="en-GB" w:eastAsia="en-CA"/>
        </w:rPr>
        <w:t>and</w:t>
      </w:r>
      <w:r w:rsidRPr="00ED5B14">
        <w:rPr>
          <w:color w:val="000000"/>
          <w:sz w:val="22"/>
          <w:szCs w:val="22"/>
          <w:lang w:val="en-GB" w:eastAsia="en-CA"/>
        </w:rPr>
        <w:t xml:space="preserve"> the partners, </w:t>
      </w:r>
      <w:r w:rsidR="00FF3145" w:rsidRPr="00ED5B14">
        <w:rPr>
          <w:color w:val="000000"/>
          <w:sz w:val="22"/>
          <w:szCs w:val="22"/>
          <w:lang w:val="en-GB" w:eastAsia="en-CA"/>
        </w:rPr>
        <w:t xml:space="preserve">about </w:t>
      </w:r>
      <w:r w:rsidRPr="00ED5B14">
        <w:rPr>
          <w:color w:val="000000"/>
          <w:sz w:val="22"/>
          <w:szCs w:val="22"/>
          <w:lang w:val="en-GB" w:eastAsia="en-CA"/>
        </w:rPr>
        <w:t xml:space="preserve">how the project would be developed. The passion to stay </w:t>
      </w:r>
      <w:r w:rsidRPr="00ED5B14">
        <w:rPr>
          <w:color w:val="000000"/>
          <w:sz w:val="22"/>
          <w:szCs w:val="22"/>
          <w:lang w:val="en-GB" w:eastAsia="en-CA"/>
        </w:rPr>
        <w:lastRenderedPageBreak/>
        <w:t xml:space="preserve">engaged with the project laid the foundation for </w:t>
      </w:r>
      <w:r w:rsidR="00FA378B" w:rsidRPr="00ED5B14">
        <w:rPr>
          <w:color w:val="000000"/>
          <w:sz w:val="22"/>
          <w:szCs w:val="22"/>
          <w:lang w:val="en-GB" w:eastAsia="en-CA"/>
        </w:rPr>
        <w:t xml:space="preserve">the way </w:t>
      </w:r>
      <w:r w:rsidRPr="00ED5B14">
        <w:rPr>
          <w:color w:val="000000"/>
          <w:sz w:val="22"/>
          <w:szCs w:val="22"/>
          <w:lang w:val="en-GB" w:eastAsia="en-CA"/>
        </w:rPr>
        <w:t xml:space="preserve">the community wanted to govern itself and others living in </w:t>
      </w:r>
      <w:r w:rsidR="00FA378B" w:rsidRPr="00ED5B14">
        <w:rPr>
          <w:color w:val="000000"/>
          <w:sz w:val="22"/>
          <w:szCs w:val="22"/>
          <w:lang w:val="en-GB" w:eastAsia="en-CA"/>
        </w:rPr>
        <w:t xml:space="preserve">community </w:t>
      </w:r>
      <w:r w:rsidRPr="00ED5B14">
        <w:rPr>
          <w:color w:val="000000"/>
          <w:sz w:val="22"/>
          <w:szCs w:val="22"/>
          <w:lang w:val="en-GB" w:eastAsia="en-CA"/>
        </w:rPr>
        <w:t xml:space="preserve">territory in the future. This project was a way to change the status quo of the past century and a half. Kanaka Bar fully understood that it would need good governance, transparency, and accountability within the community to sustain </w:t>
      </w:r>
      <w:r w:rsidR="00FA378B" w:rsidRPr="00ED5B14">
        <w:rPr>
          <w:color w:val="000000"/>
          <w:sz w:val="22"/>
          <w:szCs w:val="22"/>
          <w:lang w:val="en-GB" w:eastAsia="en-CA"/>
        </w:rPr>
        <w:t xml:space="preserve">its </w:t>
      </w:r>
      <w:r w:rsidRPr="00ED5B14">
        <w:rPr>
          <w:color w:val="000000"/>
          <w:sz w:val="22"/>
          <w:szCs w:val="22"/>
          <w:lang w:val="en-GB" w:eastAsia="en-CA"/>
        </w:rPr>
        <w:t xml:space="preserve">goals </w:t>
      </w:r>
      <w:r w:rsidR="00FA378B" w:rsidRPr="00ED5B14">
        <w:rPr>
          <w:color w:val="000000"/>
          <w:sz w:val="22"/>
          <w:szCs w:val="22"/>
          <w:lang w:val="en-GB" w:eastAsia="en-CA"/>
        </w:rPr>
        <w:t xml:space="preserve">of </w:t>
      </w:r>
      <w:r w:rsidRPr="00ED5B14">
        <w:rPr>
          <w:color w:val="000000"/>
          <w:sz w:val="22"/>
          <w:szCs w:val="22"/>
          <w:lang w:val="en-GB" w:eastAsia="en-CA"/>
        </w:rPr>
        <w:t xml:space="preserve">self-sufficiency, vibrancy, and sustainability. </w:t>
      </w:r>
    </w:p>
    <w:p w14:paraId="2A1EE614"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7E6D4948" w14:textId="4B6530E5" w:rsidR="00330445" w:rsidRPr="007965F1" w:rsidRDefault="00FA378B" w:rsidP="00330445">
      <w:pPr>
        <w:widowControl w:val="0"/>
        <w:pBdr>
          <w:top w:val="nil"/>
          <w:left w:val="nil"/>
          <w:bottom w:val="nil"/>
          <w:right w:val="nil"/>
          <w:between w:val="nil"/>
        </w:pBdr>
        <w:tabs>
          <w:tab w:val="left" w:pos="220"/>
          <w:tab w:val="left" w:pos="720"/>
        </w:tabs>
        <w:jc w:val="both"/>
        <w:rPr>
          <w:color w:val="000000"/>
          <w:spacing w:val="-4"/>
          <w:kern w:val="22"/>
          <w:sz w:val="22"/>
          <w:szCs w:val="22"/>
          <w:lang w:val="en-GB" w:eastAsia="en-CA"/>
        </w:rPr>
      </w:pPr>
      <w:r w:rsidRPr="007965F1">
        <w:rPr>
          <w:color w:val="000000"/>
          <w:spacing w:val="-4"/>
          <w:kern w:val="22"/>
          <w:sz w:val="22"/>
          <w:szCs w:val="22"/>
          <w:lang w:val="en-GB" w:eastAsia="en-CA"/>
        </w:rPr>
        <w:t xml:space="preserve">In support of </w:t>
      </w:r>
      <w:r w:rsidR="00330445" w:rsidRPr="007965F1">
        <w:rPr>
          <w:color w:val="000000"/>
          <w:spacing w:val="-4"/>
          <w:kern w:val="22"/>
          <w:sz w:val="22"/>
          <w:szCs w:val="22"/>
          <w:lang w:val="en-GB" w:eastAsia="en-CA"/>
        </w:rPr>
        <w:t>these aims, the KCRLP engaged in ongoing environmental assessments and community engagement. The project constantly solicited input</w:t>
      </w:r>
      <w:r w:rsidRPr="007965F1">
        <w:rPr>
          <w:color w:val="000000"/>
          <w:spacing w:val="-4"/>
          <w:kern w:val="22"/>
          <w:sz w:val="22"/>
          <w:szCs w:val="22"/>
          <w:lang w:val="en-GB" w:eastAsia="en-CA"/>
        </w:rPr>
        <w:t>—</w:t>
      </w:r>
      <w:r w:rsidR="00330445" w:rsidRPr="007965F1">
        <w:rPr>
          <w:color w:val="000000"/>
          <w:spacing w:val="-4"/>
          <w:kern w:val="22"/>
          <w:sz w:val="22"/>
          <w:szCs w:val="22"/>
          <w:lang w:val="en-GB" w:eastAsia="en-CA"/>
        </w:rPr>
        <w:t xml:space="preserve">not only from </w:t>
      </w:r>
      <w:r w:rsidRPr="007965F1">
        <w:rPr>
          <w:color w:val="000000"/>
          <w:spacing w:val="-4"/>
          <w:kern w:val="22"/>
          <w:sz w:val="22"/>
          <w:szCs w:val="22"/>
          <w:lang w:val="en-GB" w:eastAsia="en-CA"/>
        </w:rPr>
        <w:t xml:space="preserve">the </w:t>
      </w:r>
      <w:r w:rsidR="00330445" w:rsidRPr="007965F1">
        <w:rPr>
          <w:color w:val="000000"/>
          <w:spacing w:val="-4"/>
          <w:kern w:val="22"/>
          <w:sz w:val="22"/>
          <w:szCs w:val="22"/>
          <w:lang w:val="en-GB" w:eastAsia="en-CA"/>
        </w:rPr>
        <w:t>Kanaka Bar</w:t>
      </w:r>
      <w:r w:rsidRPr="007965F1">
        <w:rPr>
          <w:color w:val="000000"/>
          <w:spacing w:val="-4"/>
          <w:kern w:val="22"/>
          <w:sz w:val="22"/>
          <w:szCs w:val="22"/>
          <w:lang w:val="en-GB" w:eastAsia="en-CA"/>
        </w:rPr>
        <w:t xml:space="preserve"> community</w:t>
      </w:r>
      <w:r w:rsidR="00330445" w:rsidRPr="007965F1">
        <w:rPr>
          <w:color w:val="000000"/>
          <w:spacing w:val="-4"/>
          <w:kern w:val="22"/>
          <w:sz w:val="22"/>
          <w:szCs w:val="22"/>
          <w:lang w:val="en-GB" w:eastAsia="en-CA"/>
        </w:rPr>
        <w:t xml:space="preserve">, but also </w:t>
      </w:r>
      <w:r w:rsidRPr="007965F1">
        <w:rPr>
          <w:color w:val="000000"/>
          <w:spacing w:val="-4"/>
          <w:kern w:val="22"/>
          <w:sz w:val="22"/>
          <w:szCs w:val="22"/>
          <w:lang w:val="en-GB" w:eastAsia="en-CA"/>
        </w:rPr>
        <w:t xml:space="preserve">from </w:t>
      </w:r>
      <w:r w:rsidR="00330445" w:rsidRPr="007965F1">
        <w:rPr>
          <w:color w:val="000000"/>
          <w:spacing w:val="-4"/>
          <w:kern w:val="22"/>
          <w:sz w:val="22"/>
          <w:szCs w:val="22"/>
          <w:lang w:val="en-GB" w:eastAsia="en-CA"/>
        </w:rPr>
        <w:t xml:space="preserve">the </w:t>
      </w:r>
      <w:r w:rsidRPr="007965F1">
        <w:rPr>
          <w:color w:val="000000"/>
          <w:spacing w:val="-4"/>
          <w:kern w:val="22"/>
          <w:sz w:val="22"/>
          <w:szCs w:val="22"/>
          <w:lang w:val="en-GB" w:eastAsia="en-CA"/>
        </w:rPr>
        <w:t xml:space="preserve">15 </w:t>
      </w:r>
      <w:r w:rsidR="00330445" w:rsidRPr="007965F1">
        <w:rPr>
          <w:color w:val="000000"/>
          <w:spacing w:val="-4"/>
          <w:kern w:val="22"/>
          <w:sz w:val="22"/>
          <w:szCs w:val="22"/>
          <w:lang w:val="en-GB" w:eastAsia="en-CA"/>
        </w:rPr>
        <w:t xml:space="preserve">other communities </w:t>
      </w:r>
      <w:r w:rsidRPr="007965F1">
        <w:rPr>
          <w:color w:val="000000"/>
          <w:spacing w:val="-4"/>
          <w:kern w:val="22"/>
          <w:sz w:val="22"/>
          <w:szCs w:val="22"/>
          <w:lang w:val="en-GB" w:eastAsia="en-CA"/>
        </w:rPr>
        <w:t>that composed</w:t>
      </w:r>
      <w:r w:rsidR="00330445" w:rsidRPr="007965F1">
        <w:rPr>
          <w:color w:val="000000"/>
          <w:spacing w:val="-4"/>
          <w:kern w:val="22"/>
          <w:sz w:val="22"/>
          <w:szCs w:val="22"/>
          <w:lang w:val="en-GB" w:eastAsia="en-CA"/>
        </w:rPr>
        <w:t xml:space="preserve"> the Nlaka’pamux Nation, many of whom would see energy transmission lines placed on their lands. Seven communities chose to become involved in reviewing</w:t>
      </w:r>
      <w:r w:rsidRPr="007965F1">
        <w:rPr>
          <w:color w:val="000000"/>
          <w:spacing w:val="-4"/>
          <w:kern w:val="22"/>
          <w:sz w:val="22"/>
          <w:szCs w:val="22"/>
          <w:lang w:val="en-GB" w:eastAsia="en-CA"/>
        </w:rPr>
        <w:t xml:space="preserve"> the project</w:t>
      </w:r>
      <w:r w:rsidR="00330445" w:rsidRPr="007965F1">
        <w:rPr>
          <w:color w:val="000000"/>
          <w:spacing w:val="-4"/>
          <w:kern w:val="22"/>
          <w:sz w:val="22"/>
          <w:szCs w:val="22"/>
          <w:lang w:val="en-GB" w:eastAsia="en-CA"/>
        </w:rPr>
        <w:t xml:space="preserve">, identifying </w:t>
      </w:r>
      <w:r w:rsidRPr="007965F1">
        <w:rPr>
          <w:color w:val="000000"/>
          <w:spacing w:val="-4"/>
          <w:kern w:val="22"/>
          <w:sz w:val="22"/>
          <w:szCs w:val="22"/>
          <w:lang w:val="en-GB" w:eastAsia="en-CA"/>
        </w:rPr>
        <w:t>its effects</w:t>
      </w:r>
      <w:r w:rsidR="00330445" w:rsidRPr="007965F1">
        <w:rPr>
          <w:color w:val="000000"/>
          <w:spacing w:val="-4"/>
          <w:kern w:val="22"/>
          <w:sz w:val="22"/>
          <w:szCs w:val="22"/>
          <w:lang w:val="en-GB" w:eastAsia="en-CA"/>
        </w:rPr>
        <w:t xml:space="preserve">, and </w:t>
      </w:r>
      <w:r w:rsidRPr="007965F1">
        <w:rPr>
          <w:color w:val="000000"/>
          <w:spacing w:val="-4"/>
          <w:kern w:val="22"/>
          <w:sz w:val="22"/>
          <w:szCs w:val="22"/>
          <w:lang w:val="en-GB" w:eastAsia="en-CA"/>
        </w:rPr>
        <w:t xml:space="preserve">providing </w:t>
      </w:r>
      <w:r w:rsidR="00330445" w:rsidRPr="007965F1">
        <w:rPr>
          <w:color w:val="000000"/>
          <w:spacing w:val="-4"/>
          <w:kern w:val="22"/>
          <w:sz w:val="22"/>
          <w:szCs w:val="22"/>
          <w:lang w:val="en-GB" w:eastAsia="en-CA"/>
        </w:rPr>
        <w:t xml:space="preserve">guidance. As Chief Michell </w:t>
      </w:r>
      <w:r w:rsidR="00FA169E" w:rsidRPr="007965F1">
        <w:rPr>
          <w:color w:val="000000"/>
          <w:spacing w:val="-4"/>
          <w:kern w:val="22"/>
          <w:sz w:val="22"/>
          <w:szCs w:val="22"/>
          <w:lang w:val="en-GB" w:eastAsia="en-CA"/>
        </w:rPr>
        <w:t>recalled</w:t>
      </w:r>
      <w:r w:rsidR="00330445" w:rsidRPr="007965F1">
        <w:rPr>
          <w:color w:val="000000"/>
          <w:spacing w:val="-4"/>
          <w:kern w:val="22"/>
          <w:sz w:val="22"/>
          <w:szCs w:val="22"/>
          <w:lang w:val="en-GB" w:eastAsia="en-CA"/>
        </w:rPr>
        <w:t xml:space="preserve">, to get all </w:t>
      </w:r>
      <w:r w:rsidRPr="007965F1">
        <w:rPr>
          <w:color w:val="000000"/>
          <w:spacing w:val="-4"/>
          <w:kern w:val="22"/>
          <w:sz w:val="22"/>
          <w:szCs w:val="22"/>
          <w:lang w:val="en-GB" w:eastAsia="en-CA"/>
        </w:rPr>
        <w:t xml:space="preserve">affected </w:t>
      </w:r>
      <w:r w:rsidR="00330445" w:rsidRPr="007965F1">
        <w:rPr>
          <w:color w:val="000000"/>
          <w:spacing w:val="-4"/>
          <w:kern w:val="22"/>
          <w:sz w:val="22"/>
          <w:szCs w:val="22"/>
          <w:lang w:val="en-GB" w:eastAsia="en-CA"/>
        </w:rPr>
        <w:t xml:space="preserve">communities involved was simply “the right thing to do.” The </w:t>
      </w:r>
      <w:r w:rsidR="00B63DEE">
        <w:rPr>
          <w:color w:val="000000"/>
          <w:spacing w:val="-4"/>
          <w:kern w:val="22"/>
          <w:sz w:val="22"/>
          <w:szCs w:val="22"/>
          <w:lang w:val="en-GB" w:eastAsia="en-CA"/>
        </w:rPr>
        <w:t>N</w:t>
      </w:r>
      <w:r w:rsidR="00330445" w:rsidRPr="007965F1">
        <w:rPr>
          <w:color w:val="000000"/>
          <w:spacing w:val="-4"/>
          <w:kern w:val="22"/>
          <w:sz w:val="22"/>
          <w:szCs w:val="22"/>
          <w:lang w:val="en-GB" w:eastAsia="en-CA"/>
        </w:rPr>
        <w:t>ation ultimately approved the project in 2010.</w:t>
      </w:r>
      <w:r w:rsidR="00330445" w:rsidRPr="007965F1">
        <w:rPr>
          <w:color w:val="000000"/>
          <w:spacing w:val="-4"/>
          <w:kern w:val="22"/>
          <w:sz w:val="22"/>
          <w:szCs w:val="22"/>
          <w:vertAlign w:val="superscript"/>
          <w:lang w:val="en-GB" w:eastAsia="en-CA"/>
        </w:rPr>
        <w:endnoteReference w:id="17"/>
      </w:r>
    </w:p>
    <w:p w14:paraId="41A13BF4"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6185CF96" w14:textId="565F754B"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The </w:t>
      </w:r>
      <w:r w:rsidR="00FA378B" w:rsidRPr="00ED5B14">
        <w:rPr>
          <w:color w:val="000000"/>
          <w:sz w:val="22"/>
          <w:szCs w:val="22"/>
          <w:lang w:val="en-GB" w:eastAsia="en-CA"/>
        </w:rPr>
        <w:t xml:space="preserve">groundbreaking ceremony for the </w:t>
      </w:r>
      <w:r w:rsidRPr="00ED5B14">
        <w:rPr>
          <w:color w:val="000000"/>
          <w:sz w:val="22"/>
          <w:szCs w:val="22"/>
          <w:lang w:val="en-GB" w:eastAsia="en-CA"/>
        </w:rPr>
        <w:t>hydro project was held in 2011</w:t>
      </w:r>
      <w:r w:rsidR="00FA378B" w:rsidRPr="00ED5B14">
        <w:rPr>
          <w:color w:val="000000"/>
          <w:sz w:val="22"/>
          <w:szCs w:val="22"/>
          <w:lang w:val="en-GB" w:eastAsia="en-CA"/>
        </w:rPr>
        <w:t>,</w:t>
      </w:r>
      <w:r w:rsidRPr="00ED5B14">
        <w:rPr>
          <w:color w:val="000000"/>
          <w:sz w:val="22"/>
          <w:szCs w:val="22"/>
          <w:lang w:val="en-GB" w:eastAsia="en-CA"/>
        </w:rPr>
        <w:t xml:space="preserve"> and two years later, the project was completed. The hydroelectric plant generated energy</w:t>
      </w:r>
      <w:r w:rsidR="006A51F5" w:rsidRPr="00ED5B14">
        <w:rPr>
          <w:color w:val="000000"/>
          <w:sz w:val="22"/>
          <w:szCs w:val="22"/>
          <w:lang w:val="en-GB" w:eastAsia="en-CA"/>
        </w:rPr>
        <w:t xml:space="preserve"> by</w:t>
      </w:r>
      <w:r w:rsidRPr="00ED5B14">
        <w:rPr>
          <w:color w:val="000000"/>
          <w:sz w:val="22"/>
          <w:szCs w:val="22"/>
          <w:lang w:val="en-GB" w:eastAsia="en-CA"/>
        </w:rPr>
        <w:t xml:space="preserve"> partially </w:t>
      </w:r>
      <w:r w:rsidR="006A51F5" w:rsidRPr="00ED5B14">
        <w:rPr>
          <w:color w:val="000000"/>
          <w:sz w:val="22"/>
          <w:szCs w:val="22"/>
          <w:lang w:val="en-GB" w:eastAsia="en-CA"/>
        </w:rPr>
        <w:t xml:space="preserve">diverting the </w:t>
      </w:r>
      <w:r w:rsidRPr="00ED5B14">
        <w:rPr>
          <w:color w:val="000000"/>
          <w:sz w:val="22"/>
          <w:szCs w:val="22"/>
          <w:lang w:val="en-GB" w:eastAsia="en-CA"/>
        </w:rPr>
        <w:t>flow of the creek rather than damming or storing water</w:t>
      </w:r>
      <w:r w:rsidR="006A51F5" w:rsidRPr="00ED5B14">
        <w:rPr>
          <w:color w:val="000000"/>
          <w:sz w:val="22"/>
          <w:szCs w:val="22"/>
          <w:lang w:val="en-GB" w:eastAsia="en-CA"/>
        </w:rPr>
        <w:t xml:space="preserve">; this diverted flow rotated </w:t>
      </w:r>
      <w:r w:rsidRPr="00ED5B14">
        <w:rPr>
          <w:color w:val="000000"/>
          <w:sz w:val="22"/>
          <w:szCs w:val="22"/>
          <w:lang w:val="en-GB" w:eastAsia="en-CA"/>
        </w:rPr>
        <w:t xml:space="preserve">turbines, and the collected energy then </w:t>
      </w:r>
      <w:r w:rsidR="006A51F5" w:rsidRPr="00ED5B14">
        <w:rPr>
          <w:color w:val="000000"/>
          <w:sz w:val="22"/>
          <w:szCs w:val="22"/>
          <w:lang w:val="en-GB" w:eastAsia="en-CA"/>
        </w:rPr>
        <w:t xml:space="preserve">travelled </w:t>
      </w:r>
      <w:r w:rsidRPr="00ED5B14">
        <w:rPr>
          <w:color w:val="000000"/>
          <w:sz w:val="22"/>
          <w:szCs w:val="22"/>
          <w:lang w:val="en-GB" w:eastAsia="en-CA"/>
        </w:rPr>
        <w:t>more than 70</w:t>
      </w:r>
      <w:r w:rsidR="00901802" w:rsidRPr="00ED5B14">
        <w:rPr>
          <w:color w:val="000000"/>
          <w:sz w:val="22"/>
          <w:szCs w:val="22"/>
          <w:lang w:val="en-GB" w:eastAsia="en-CA"/>
        </w:rPr>
        <w:t xml:space="preserve"> </w:t>
      </w:r>
      <w:r w:rsidRPr="00ED5B14">
        <w:rPr>
          <w:color w:val="000000"/>
          <w:sz w:val="22"/>
          <w:szCs w:val="22"/>
          <w:lang w:val="en-GB" w:eastAsia="en-CA"/>
        </w:rPr>
        <w:t>k</w:t>
      </w:r>
      <w:r w:rsidR="00901802" w:rsidRPr="00ED5B14">
        <w:rPr>
          <w:color w:val="000000"/>
          <w:sz w:val="22"/>
          <w:szCs w:val="22"/>
          <w:lang w:val="en-GB" w:eastAsia="en-CA"/>
        </w:rPr>
        <w:t>ilomet</w:t>
      </w:r>
      <w:r w:rsidR="006A51F5" w:rsidRPr="00ED5B14">
        <w:rPr>
          <w:color w:val="000000"/>
          <w:sz w:val="22"/>
          <w:szCs w:val="22"/>
          <w:lang w:val="en-GB" w:eastAsia="en-CA"/>
        </w:rPr>
        <w:t>r</w:t>
      </w:r>
      <w:r w:rsidR="00901802" w:rsidRPr="00ED5B14">
        <w:rPr>
          <w:color w:val="000000"/>
          <w:sz w:val="22"/>
          <w:szCs w:val="22"/>
          <w:lang w:val="en-GB" w:eastAsia="en-CA"/>
        </w:rPr>
        <w:t>es</w:t>
      </w:r>
      <w:r w:rsidRPr="00ED5B14">
        <w:rPr>
          <w:color w:val="000000"/>
          <w:sz w:val="22"/>
          <w:szCs w:val="22"/>
          <w:lang w:val="en-GB" w:eastAsia="en-CA"/>
        </w:rPr>
        <w:t xml:space="preserve"> to a substation </w:t>
      </w:r>
      <w:r w:rsidR="006A51F5" w:rsidRPr="00ED5B14">
        <w:rPr>
          <w:color w:val="000000"/>
          <w:sz w:val="22"/>
          <w:szCs w:val="22"/>
          <w:lang w:val="en-GB" w:eastAsia="en-CA"/>
        </w:rPr>
        <w:t>and was</w:t>
      </w:r>
      <w:r w:rsidRPr="00ED5B14">
        <w:rPr>
          <w:color w:val="000000"/>
          <w:sz w:val="22"/>
          <w:szCs w:val="22"/>
          <w:lang w:val="en-GB" w:eastAsia="en-CA"/>
        </w:rPr>
        <w:t xml:space="preserve"> then delivered to BC Hydro.</w:t>
      </w:r>
      <w:r w:rsidR="00E7528B" w:rsidRPr="00ED5B14">
        <w:rPr>
          <w:rStyle w:val="EndnoteReference"/>
          <w:color w:val="000000"/>
          <w:sz w:val="22"/>
          <w:szCs w:val="22"/>
          <w:lang w:val="en-GB" w:eastAsia="en-CA"/>
        </w:rPr>
        <w:endnoteReference w:id="18"/>
      </w:r>
      <w:r w:rsidR="00E7528B" w:rsidRPr="00ED5B14">
        <w:rPr>
          <w:color w:val="000000"/>
          <w:sz w:val="22"/>
          <w:szCs w:val="22"/>
          <w:lang w:val="en-GB" w:eastAsia="en-CA"/>
        </w:rPr>
        <w:t xml:space="preserve"> </w:t>
      </w:r>
      <w:r w:rsidRPr="00ED5B14">
        <w:rPr>
          <w:color w:val="000000"/>
          <w:sz w:val="22"/>
          <w:szCs w:val="22"/>
          <w:lang w:val="en-GB" w:eastAsia="en-CA"/>
        </w:rPr>
        <w:t xml:space="preserve">Through this design and construction, the plant </w:t>
      </w:r>
      <w:r w:rsidR="006A51F5" w:rsidRPr="00ED5B14">
        <w:rPr>
          <w:color w:val="000000"/>
          <w:sz w:val="22"/>
          <w:szCs w:val="22"/>
          <w:lang w:val="en-GB" w:eastAsia="en-CA"/>
        </w:rPr>
        <w:t xml:space="preserve">maintained the </w:t>
      </w:r>
      <w:r w:rsidRPr="00ED5B14">
        <w:rPr>
          <w:color w:val="000000"/>
          <w:sz w:val="22"/>
          <w:szCs w:val="22"/>
          <w:lang w:val="en-GB" w:eastAsia="en-CA"/>
        </w:rPr>
        <w:t xml:space="preserve">flow of the creek </w:t>
      </w:r>
      <w:r w:rsidR="006A51F5" w:rsidRPr="00ED5B14">
        <w:rPr>
          <w:color w:val="000000"/>
          <w:sz w:val="22"/>
          <w:szCs w:val="22"/>
          <w:lang w:val="en-GB" w:eastAsia="en-CA"/>
        </w:rPr>
        <w:t xml:space="preserve">and ensured </w:t>
      </w:r>
      <w:r w:rsidRPr="00ED5B14">
        <w:rPr>
          <w:color w:val="000000"/>
          <w:sz w:val="22"/>
          <w:szCs w:val="22"/>
          <w:lang w:val="en-GB" w:eastAsia="en-CA"/>
        </w:rPr>
        <w:t>that the local aquatic life</w:t>
      </w:r>
      <w:r w:rsidR="006A51F5" w:rsidRPr="00ED5B14">
        <w:rPr>
          <w:color w:val="000000"/>
          <w:sz w:val="22"/>
          <w:szCs w:val="22"/>
          <w:lang w:val="en-GB" w:eastAsia="en-CA"/>
        </w:rPr>
        <w:t xml:space="preserve"> was</w:t>
      </w:r>
      <w:r w:rsidRPr="00ED5B14">
        <w:rPr>
          <w:color w:val="000000"/>
          <w:sz w:val="22"/>
          <w:szCs w:val="22"/>
          <w:lang w:val="en-GB" w:eastAsia="en-CA"/>
        </w:rPr>
        <w:t xml:space="preserve"> protected through bypassing sections of the creek and the creation of habitat compensation channels.</w:t>
      </w:r>
      <w:r w:rsidRPr="00ED5B14">
        <w:rPr>
          <w:color w:val="000000"/>
          <w:sz w:val="22"/>
          <w:szCs w:val="22"/>
          <w:vertAlign w:val="superscript"/>
          <w:lang w:val="en-GB" w:eastAsia="en-CA"/>
        </w:rPr>
        <w:endnoteReference w:id="19"/>
      </w:r>
      <w:r w:rsidRPr="00ED5B14">
        <w:rPr>
          <w:color w:val="000000"/>
          <w:sz w:val="22"/>
          <w:szCs w:val="22"/>
          <w:lang w:val="en-GB" w:eastAsia="en-CA"/>
        </w:rPr>
        <w:t xml:space="preserve"> </w:t>
      </w:r>
    </w:p>
    <w:p w14:paraId="6579A66D"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06F283E2" w14:textId="4086D8B1"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Average yearly energy production of the plant </w:t>
      </w:r>
      <w:r w:rsidR="006A51F5" w:rsidRPr="00ED5B14">
        <w:rPr>
          <w:color w:val="000000"/>
          <w:sz w:val="22"/>
          <w:szCs w:val="22"/>
          <w:lang w:val="en-GB" w:eastAsia="en-CA"/>
        </w:rPr>
        <w:t xml:space="preserve">was </w:t>
      </w:r>
      <w:r w:rsidRPr="00ED5B14">
        <w:rPr>
          <w:color w:val="000000"/>
          <w:sz w:val="22"/>
          <w:szCs w:val="22"/>
          <w:lang w:val="en-GB" w:eastAsia="en-CA"/>
        </w:rPr>
        <w:t xml:space="preserve">over 200,000 </w:t>
      </w:r>
      <w:r w:rsidR="006A51F5" w:rsidRPr="00ED5B14">
        <w:rPr>
          <w:color w:val="000000"/>
          <w:sz w:val="22"/>
          <w:szCs w:val="22"/>
          <w:lang w:val="en-GB" w:eastAsia="en-CA"/>
        </w:rPr>
        <w:t>megawatt</w:t>
      </w:r>
      <w:r w:rsidR="00300766">
        <w:rPr>
          <w:color w:val="000000"/>
          <w:sz w:val="22"/>
          <w:szCs w:val="22"/>
          <w:lang w:val="en-GB" w:eastAsia="en-CA"/>
        </w:rPr>
        <w:t xml:space="preserve"> </w:t>
      </w:r>
      <w:r w:rsidR="006A51F5" w:rsidRPr="00ED5B14">
        <w:rPr>
          <w:color w:val="000000"/>
          <w:sz w:val="22"/>
          <w:szCs w:val="22"/>
          <w:lang w:val="en-GB" w:eastAsia="en-CA"/>
        </w:rPr>
        <w:t>hours—enough</w:t>
      </w:r>
      <w:r w:rsidRPr="00ED5B14">
        <w:rPr>
          <w:color w:val="000000"/>
          <w:sz w:val="22"/>
          <w:szCs w:val="22"/>
          <w:lang w:val="en-GB" w:eastAsia="en-CA"/>
        </w:rPr>
        <w:t xml:space="preserve"> to power 20,000 homes</w:t>
      </w:r>
      <w:r w:rsidRPr="00ED5B14">
        <w:rPr>
          <w:color w:val="000000"/>
          <w:sz w:val="22"/>
          <w:szCs w:val="22"/>
          <w:vertAlign w:val="superscript"/>
          <w:lang w:val="en-GB" w:eastAsia="en-CA"/>
        </w:rPr>
        <w:endnoteReference w:id="20"/>
      </w:r>
      <w:r w:rsidR="006A51F5" w:rsidRPr="00ED5B14">
        <w:rPr>
          <w:color w:val="000000"/>
          <w:sz w:val="22"/>
          <w:szCs w:val="22"/>
          <w:lang w:val="en-GB" w:eastAsia="en-CA"/>
        </w:rPr>
        <w:t>—and the</w:t>
      </w:r>
      <w:r w:rsidRPr="00ED5B14">
        <w:rPr>
          <w:color w:val="000000"/>
          <w:sz w:val="22"/>
          <w:szCs w:val="22"/>
          <w:lang w:val="en-GB" w:eastAsia="en-CA"/>
        </w:rPr>
        <w:t xml:space="preserve"> income </w:t>
      </w:r>
      <w:r w:rsidR="006A51F5" w:rsidRPr="00ED5B14">
        <w:rPr>
          <w:color w:val="000000"/>
          <w:sz w:val="22"/>
          <w:szCs w:val="22"/>
          <w:lang w:val="en-GB" w:eastAsia="en-CA"/>
        </w:rPr>
        <w:t xml:space="preserve">flowed </w:t>
      </w:r>
      <w:r w:rsidRPr="00ED5B14">
        <w:rPr>
          <w:color w:val="000000"/>
          <w:sz w:val="22"/>
          <w:szCs w:val="22"/>
          <w:lang w:val="en-GB" w:eastAsia="en-CA"/>
        </w:rPr>
        <w:t xml:space="preserve">back to the community. </w:t>
      </w:r>
      <w:r w:rsidRPr="00ED5B14">
        <w:rPr>
          <w:color w:val="000000"/>
          <w:sz w:val="22"/>
          <w:szCs w:val="22"/>
          <w:shd w:val="clear" w:color="auto" w:fill="FDFDFD"/>
          <w:lang w:val="en-GB" w:eastAsia="en-CA"/>
        </w:rPr>
        <w:t xml:space="preserve">The successful hydroelectric plan had, in the words of Chief </w:t>
      </w:r>
      <w:r w:rsidRPr="00ED5B14">
        <w:rPr>
          <w:color w:val="000000"/>
          <w:sz w:val="22"/>
          <w:szCs w:val="22"/>
          <w:lang w:val="en-GB" w:eastAsia="en-CA"/>
        </w:rPr>
        <w:t>Michell</w:t>
      </w:r>
      <w:r w:rsidRPr="00ED5B14">
        <w:rPr>
          <w:color w:val="000000"/>
          <w:sz w:val="22"/>
          <w:szCs w:val="22"/>
          <w:shd w:val="clear" w:color="auto" w:fill="FDFDFD"/>
          <w:lang w:val="en-GB" w:eastAsia="en-CA"/>
        </w:rPr>
        <w:t>, put “smiles on people’s faces and [brought about] the improvement in community pride, self-worth and self-confidence.”</w:t>
      </w:r>
      <w:r w:rsidRPr="00ED5B14">
        <w:rPr>
          <w:color w:val="000000"/>
          <w:sz w:val="22"/>
          <w:szCs w:val="22"/>
          <w:vertAlign w:val="superscript"/>
          <w:lang w:val="en-GB" w:eastAsia="en-CA"/>
        </w:rPr>
        <w:endnoteReference w:id="21"/>
      </w:r>
    </w:p>
    <w:p w14:paraId="20BA383D"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230C4C69" w14:textId="202CDF4E"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Building the project also </w:t>
      </w:r>
      <w:r w:rsidR="006A51F5" w:rsidRPr="00ED5B14">
        <w:rPr>
          <w:color w:val="000000"/>
          <w:sz w:val="22"/>
          <w:szCs w:val="22"/>
          <w:lang w:val="en-GB" w:eastAsia="en-CA"/>
        </w:rPr>
        <w:t xml:space="preserve">allowed the community to </w:t>
      </w:r>
      <w:r w:rsidRPr="00ED5B14">
        <w:rPr>
          <w:color w:val="000000"/>
          <w:sz w:val="22"/>
          <w:szCs w:val="22"/>
          <w:lang w:val="en-GB" w:eastAsia="en-CA"/>
        </w:rPr>
        <w:t xml:space="preserve">improve local infrastructure such as roads and bridges, while providing employment. The project agreements stipulated </w:t>
      </w:r>
      <w:r w:rsidR="00614C0B" w:rsidRPr="00ED5B14">
        <w:rPr>
          <w:color w:val="000000"/>
          <w:sz w:val="22"/>
          <w:szCs w:val="22"/>
          <w:lang w:val="en-GB" w:eastAsia="en-CA"/>
        </w:rPr>
        <w:t xml:space="preserve">that </w:t>
      </w:r>
      <w:r w:rsidRPr="00ED5B14">
        <w:rPr>
          <w:color w:val="000000"/>
          <w:sz w:val="22"/>
          <w:szCs w:val="22"/>
          <w:lang w:val="en-GB" w:eastAsia="en-CA"/>
        </w:rPr>
        <w:t>community members</w:t>
      </w:r>
      <w:r w:rsidR="00614C0B" w:rsidRPr="00ED5B14">
        <w:rPr>
          <w:color w:val="000000"/>
          <w:sz w:val="22"/>
          <w:szCs w:val="22"/>
          <w:lang w:val="en-GB" w:eastAsia="en-CA"/>
        </w:rPr>
        <w:t xml:space="preserve"> would be hired, and this led</w:t>
      </w:r>
      <w:r w:rsidRPr="00ED5B14">
        <w:rPr>
          <w:color w:val="000000"/>
          <w:sz w:val="22"/>
          <w:szCs w:val="22"/>
          <w:lang w:val="en-GB" w:eastAsia="en-CA"/>
        </w:rPr>
        <w:t xml:space="preserve"> the plant </w:t>
      </w:r>
      <w:r w:rsidR="00614C0B" w:rsidRPr="00ED5B14">
        <w:rPr>
          <w:color w:val="000000"/>
          <w:sz w:val="22"/>
          <w:szCs w:val="22"/>
          <w:lang w:val="en-GB" w:eastAsia="en-CA"/>
        </w:rPr>
        <w:t xml:space="preserve">to </w:t>
      </w:r>
      <w:r w:rsidRPr="00ED5B14">
        <w:rPr>
          <w:color w:val="000000"/>
          <w:sz w:val="22"/>
          <w:szCs w:val="22"/>
          <w:lang w:val="en-GB" w:eastAsia="en-CA"/>
        </w:rPr>
        <w:t>employ 50 per</w:t>
      </w:r>
      <w:r w:rsidR="00901802" w:rsidRPr="00ED5B14">
        <w:rPr>
          <w:color w:val="000000"/>
          <w:sz w:val="22"/>
          <w:szCs w:val="22"/>
          <w:lang w:val="en-GB" w:eastAsia="en-CA"/>
        </w:rPr>
        <w:t xml:space="preserve"> </w:t>
      </w:r>
      <w:r w:rsidRPr="00ED5B14">
        <w:rPr>
          <w:color w:val="000000"/>
          <w:sz w:val="22"/>
          <w:szCs w:val="22"/>
          <w:lang w:val="en-GB" w:eastAsia="en-CA"/>
        </w:rPr>
        <w:t>cent First Nation</w:t>
      </w:r>
      <w:r w:rsidR="00614C0B" w:rsidRPr="00ED5B14">
        <w:rPr>
          <w:color w:val="000000"/>
          <w:sz w:val="22"/>
          <w:szCs w:val="22"/>
          <w:lang w:val="en-GB" w:eastAsia="en-CA"/>
        </w:rPr>
        <w:t xml:space="preserve"> staff</w:t>
      </w:r>
      <w:r w:rsidRPr="00ED5B14">
        <w:rPr>
          <w:color w:val="000000"/>
          <w:sz w:val="22"/>
          <w:szCs w:val="22"/>
          <w:lang w:val="en-GB" w:eastAsia="en-CA"/>
        </w:rPr>
        <w:t xml:space="preserve">, including 24 </w:t>
      </w:r>
      <w:r w:rsidR="00614C0B" w:rsidRPr="00ED5B14">
        <w:rPr>
          <w:color w:val="000000"/>
          <w:sz w:val="22"/>
          <w:szCs w:val="22"/>
          <w:lang w:val="en-GB" w:eastAsia="en-CA"/>
        </w:rPr>
        <w:t xml:space="preserve">band </w:t>
      </w:r>
      <w:r w:rsidRPr="00ED5B14">
        <w:rPr>
          <w:color w:val="000000"/>
          <w:sz w:val="22"/>
          <w:szCs w:val="22"/>
          <w:lang w:val="en-GB" w:eastAsia="en-CA"/>
        </w:rPr>
        <w:t xml:space="preserve">members. These employees benefited from additional training </w:t>
      </w:r>
      <w:r w:rsidR="00614C0B" w:rsidRPr="00ED5B14">
        <w:rPr>
          <w:color w:val="000000"/>
          <w:sz w:val="22"/>
          <w:szCs w:val="22"/>
          <w:lang w:val="en-GB" w:eastAsia="en-CA"/>
        </w:rPr>
        <w:t xml:space="preserve">in diverse </w:t>
      </w:r>
      <w:r w:rsidRPr="00ED5B14">
        <w:rPr>
          <w:color w:val="000000"/>
          <w:sz w:val="22"/>
          <w:szCs w:val="22"/>
          <w:lang w:val="en-GB" w:eastAsia="en-CA"/>
        </w:rPr>
        <w:t>positions including operati</w:t>
      </w:r>
      <w:r w:rsidR="00614C0B" w:rsidRPr="00ED5B14">
        <w:rPr>
          <w:color w:val="000000"/>
          <w:sz w:val="22"/>
          <w:szCs w:val="22"/>
          <w:lang w:val="en-GB" w:eastAsia="en-CA"/>
        </w:rPr>
        <w:t>ons</w:t>
      </w:r>
      <w:r w:rsidRPr="00ED5B14">
        <w:rPr>
          <w:color w:val="000000"/>
          <w:sz w:val="22"/>
          <w:szCs w:val="22"/>
          <w:lang w:val="en-GB" w:eastAsia="en-CA"/>
        </w:rPr>
        <w:t>, carpentry, and labo</w:t>
      </w:r>
      <w:r w:rsidR="00901802" w:rsidRPr="00ED5B14">
        <w:rPr>
          <w:color w:val="000000"/>
          <w:sz w:val="22"/>
          <w:szCs w:val="22"/>
          <w:lang w:val="en-GB" w:eastAsia="en-CA"/>
        </w:rPr>
        <w:t>u</w:t>
      </w:r>
      <w:r w:rsidRPr="00ED5B14">
        <w:rPr>
          <w:color w:val="000000"/>
          <w:sz w:val="22"/>
          <w:szCs w:val="22"/>
          <w:lang w:val="en-GB" w:eastAsia="en-CA"/>
        </w:rPr>
        <w:t>ring. Chief Michell had this to say about the project:</w:t>
      </w:r>
      <w:r w:rsidR="00E537E0" w:rsidRPr="007965F1">
        <w:rPr>
          <w:spacing w:val="-2"/>
          <w:kern w:val="22"/>
          <w:vertAlign w:val="superscript"/>
          <w:lang w:val="en-GB" w:eastAsia="en-CA"/>
        </w:rPr>
        <w:endnoteReference w:id="22"/>
      </w:r>
    </w:p>
    <w:p w14:paraId="29DC203A"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7CCD20DE" w14:textId="53DC3F5F" w:rsidR="00330445" w:rsidRPr="007965F1" w:rsidRDefault="00330445" w:rsidP="00330445">
      <w:pPr>
        <w:pStyle w:val="BodyTextMain"/>
        <w:ind w:left="900"/>
        <w:rPr>
          <w:spacing w:val="-2"/>
          <w:kern w:val="22"/>
          <w:lang w:val="en-GB" w:eastAsia="en-CA"/>
        </w:rPr>
      </w:pPr>
      <w:r w:rsidRPr="007965F1">
        <w:rPr>
          <w:spacing w:val="-2"/>
          <w:kern w:val="22"/>
          <w:lang w:val="en-GB" w:eastAsia="en-CA"/>
        </w:rPr>
        <w:t>My own benefit analysis is that the 36 years taken to get the project into operation is reversing 150 years of colonization. Graduation levels are on the rise, addiction has declined, and suicide has been eliminated. How? Because the vision of leadership was to take control of the future by giving the present membership hope by the simple return to individual and community self-sufficiency.</w:t>
      </w:r>
    </w:p>
    <w:p w14:paraId="6472CFA5" w14:textId="77777777" w:rsidR="00330445" w:rsidRPr="00ED5B14" w:rsidRDefault="00330445" w:rsidP="00330445">
      <w:pPr>
        <w:pStyle w:val="BodyTextMain"/>
        <w:rPr>
          <w:lang w:val="en-GB"/>
        </w:rPr>
      </w:pPr>
    </w:p>
    <w:p w14:paraId="2394D578" w14:textId="77777777" w:rsidR="00330445" w:rsidRPr="00ED5B14" w:rsidRDefault="00330445" w:rsidP="00330445">
      <w:pPr>
        <w:pStyle w:val="BodyTextMain"/>
        <w:rPr>
          <w:lang w:val="en-GB"/>
        </w:rPr>
      </w:pPr>
    </w:p>
    <w:p w14:paraId="1FCE1EFC" w14:textId="42CE5876" w:rsidR="00330445" w:rsidRPr="00ED5B14" w:rsidRDefault="00330445" w:rsidP="00330445">
      <w:pPr>
        <w:widowControl w:val="0"/>
        <w:pBdr>
          <w:top w:val="nil"/>
          <w:left w:val="nil"/>
          <w:bottom w:val="nil"/>
          <w:right w:val="nil"/>
          <w:between w:val="nil"/>
        </w:pBdr>
        <w:tabs>
          <w:tab w:val="left" w:pos="220"/>
          <w:tab w:val="left" w:pos="720"/>
        </w:tabs>
        <w:rPr>
          <w:rFonts w:ascii="Arial" w:hAnsi="Arial" w:cs="Arial"/>
          <w:b/>
          <w:color w:val="000000"/>
          <w:lang w:val="en-GB" w:eastAsia="en-CA"/>
        </w:rPr>
      </w:pPr>
      <w:r w:rsidRPr="00ED5B14">
        <w:rPr>
          <w:rFonts w:ascii="Arial" w:hAnsi="Arial" w:cs="Arial"/>
          <w:b/>
          <w:color w:val="000000"/>
          <w:lang w:val="en-GB" w:eastAsia="en-CA"/>
        </w:rPr>
        <w:t>Furthering Economic and Social Development: 2012</w:t>
      </w:r>
      <w:r w:rsidR="006A51F5" w:rsidRPr="00ED5B14">
        <w:rPr>
          <w:rFonts w:ascii="Arial" w:hAnsi="Arial" w:cs="Arial"/>
          <w:b/>
          <w:color w:val="000000"/>
          <w:lang w:val="en-GB" w:eastAsia="en-CA"/>
        </w:rPr>
        <w:t>–</w:t>
      </w:r>
      <w:r w:rsidRPr="00ED5B14">
        <w:rPr>
          <w:rFonts w:ascii="Arial" w:hAnsi="Arial" w:cs="Arial"/>
          <w:b/>
          <w:color w:val="000000"/>
          <w:lang w:val="en-GB" w:eastAsia="en-CA"/>
        </w:rPr>
        <w:t>2017</w:t>
      </w:r>
    </w:p>
    <w:p w14:paraId="41875A7A" w14:textId="77777777" w:rsidR="00330445" w:rsidRPr="00ED5B14" w:rsidRDefault="00330445" w:rsidP="00330445">
      <w:pPr>
        <w:pStyle w:val="BodyTextMain"/>
        <w:rPr>
          <w:lang w:val="en-GB" w:eastAsia="en-CA"/>
        </w:rPr>
      </w:pPr>
    </w:p>
    <w:p w14:paraId="00A6C541" w14:textId="77777777" w:rsidR="00330445" w:rsidRPr="00ED5B14" w:rsidRDefault="00330445" w:rsidP="00330445">
      <w:pPr>
        <w:pStyle w:val="Casehead3"/>
        <w:rPr>
          <w:lang w:val="en-GB" w:eastAsia="en-CA"/>
        </w:rPr>
      </w:pPr>
      <w:r w:rsidRPr="00ED5B14">
        <w:rPr>
          <w:lang w:val="en-GB" w:eastAsia="en-CA"/>
        </w:rPr>
        <w:t>Governance</w:t>
      </w:r>
    </w:p>
    <w:p w14:paraId="18E9F44E" w14:textId="77777777" w:rsidR="00330445" w:rsidRPr="00ED5B14" w:rsidRDefault="00330445" w:rsidP="00330445">
      <w:pPr>
        <w:pStyle w:val="BodyTextMain"/>
        <w:rPr>
          <w:lang w:val="en-GB" w:eastAsia="en-CA"/>
        </w:rPr>
      </w:pPr>
    </w:p>
    <w:p w14:paraId="1435D4EE" w14:textId="1033E089" w:rsidR="00330445" w:rsidRPr="00ED5B14" w:rsidRDefault="00330445" w:rsidP="00777309">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The success of the hydroelectric power plant</w:t>
      </w:r>
      <w:r w:rsidR="00F54F8F" w:rsidRPr="00ED5B14">
        <w:rPr>
          <w:color w:val="000000"/>
          <w:sz w:val="22"/>
          <w:szCs w:val="22"/>
          <w:lang w:val="en-GB" w:eastAsia="en-CA"/>
        </w:rPr>
        <w:t>—</w:t>
      </w:r>
      <w:r w:rsidRPr="00ED5B14">
        <w:rPr>
          <w:color w:val="000000"/>
          <w:sz w:val="22"/>
          <w:szCs w:val="22"/>
          <w:lang w:val="en-GB" w:eastAsia="en-CA"/>
        </w:rPr>
        <w:t>a huge achievement for the community</w:t>
      </w:r>
      <w:r w:rsidR="00F54F8F" w:rsidRPr="00ED5B14">
        <w:rPr>
          <w:color w:val="000000"/>
          <w:sz w:val="22"/>
          <w:szCs w:val="22"/>
          <w:lang w:val="en-GB" w:eastAsia="en-CA"/>
        </w:rPr>
        <w:t>—</w:t>
      </w:r>
      <w:r w:rsidRPr="00ED5B14">
        <w:rPr>
          <w:color w:val="000000"/>
          <w:sz w:val="22"/>
          <w:szCs w:val="22"/>
          <w:lang w:val="en-GB" w:eastAsia="en-CA"/>
        </w:rPr>
        <w:t xml:space="preserve">was supported by a fundamental change in political governance. </w:t>
      </w:r>
      <w:r w:rsidR="00F54F8F" w:rsidRPr="00ED5B14">
        <w:rPr>
          <w:color w:val="000000"/>
          <w:sz w:val="22"/>
          <w:szCs w:val="22"/>
          <w:lang w:val="en-GB" w:eastAsia="en-CA"/>
        </w:rPr>
        <w:t>I</w:t>
      </w:r>
      <w:r w:rsidRPr="00ED5B14">
        <w:rPr>
          <w:color w:val="000000"/>
          <w:sz w:val="22"/>
          <w:szCs w:val="22"/>
          <w:lang w:val="en-GB" w:eastAsia="en-CA"/>
        </w:rPr>
        <w:t xml:space="preserve">n 2012, the community introduced a new constitutional framework that laid out clear and precise rules pertaining to membership, elections, and wider governance. </w:t>
      </w:r>
      <w:r w:rsidR="00F54F8F" w:rsidRPr="00ED5B14">
        <w:rPr>
          <w:color w:val="000000"/>
          <w:sz w:val="22"/>
          <w:szCs w:val="22"/>
          <w:lang w:val="en-GB" w:eastAsia="en-CA"/>
        </w:rPr>
        <w:t>T</w:t>
      </w:r>
      <w:r w:rsidRPr="00ED5B14">
        <w:rPr>
          <w:color w:val="000000"/>
          <w:sz w:val="22"/>
          <w:szCs w:val="22"/>
          <w:lang w:val="en-GB" w:eastAsia="en-CA"/>
        </w:rPr>
        <w:t xml:space="preserve">his governance structure </w:t>
      </w:r>
      <w:r w:rsidR="00F54F8F" w:rsidRPr="00ED5B14">
        <w:rPr>
          <w:color w:val="000000"/>
          <w:sz w:val="22"/>
          <w:szCs w:val="22"/>
          <w:lang w:val="en-GB" w:eastAsia="en-CA"/>
        </w:rPr>
        <w:t xml:space="preserve">separated </w:t>
      </w:r>
      <w:r w:rsidRPr="00ED5B14">
        <w:rPr>
          <w:color w:val="000000"/>
          <w:sz w:val="22"/>
          <w:szCs w:val="22"/>
          <w:lang w:val="en-GB" w:eastAsia="en-CA"/>
        </w:rPr>
        <w:t>the social and cultural arm</w:t>
      </w:r>
      <w:r w:rsidR="00FA169E">
        <w:rPr>
          <w:color w:val="000000"/>
          <w:sz w:val="22"/>
          <w:szCs w:val="22"/>
          <w:lang w:val="en-GB" w:eastAsia="en-CA"/>
        </w:rPr>
        <w:t xml:space="preserve"> of community leadership</w:t>
      </w:r>
      <w:r w:rsidRPr="00ED5B14">
        <w:rPr>
          <w:color w:val="000000"/>
          <w:sz w:val="22"/>
          <w:szCs w:val="22"/>
          <w:lang w:val="en-GB" w:eastAsia="en-CA"/>
        </w:rPr>
        <w:t xml:space="preserve">, </w:t>
      </w:r>
      <w:r w:rsidR="00F54F8F" w:rsidRPr="00ED5B14">
        <w:rPr>
          <w:color w:val="000000"/>
          <w:sz w:val="22"/>
          <w:szCs w:val="22"/>
          <w:lang w:val="en-GB" w:eastAsia="en-CA"/>
        </w:rPr>
        <w:t xml:space="preserve">which was </w:t>
      </w:r>
      <w:r w:rsidRPr="00ED5B14">
        <w:rPr>
          <w:color w:val="000000"/>
          <w:sz w:val="22"/>
          <w:szCs w:val="22"/>
          <w:lang w:val="en-GB" w:eastAsia="en-CA"/>
        </w:rPr>
        <w:t xml:space="preserve">responsible for education, training, social development, health, culture, and infrastructure, </w:t>
      </w:r>
      <w:r w:rsidR="00F54F8F" w:rsidRPr="00ED5B14">
        <w:rPr>
          <w:color w:val="000000"/>
          <w:sz w:val="22"/>
          <w:szCs w:val="22"/>
          <w:lang w:val="en-GB" w:eastAsia="en-CA"/>
        </w:rPr>
        <w:t xml:space="preserve">from </w:t>
      </w:r>
      <w:r w:rsidRPr="00ED5B14">
        <w:rPr>
          <w:color w:val="000000"/>
          <w:sz w:val="22"/>
          <w:szCs w:val="22"/>
          <w:lang w:val="en-GB" w:eastAsia="en-CA"/>
        </w:rPr>
        <w:t xml:space="preserve">the economic and business arm, which was focused on the community’s businesses and holdings. Both arms were ultimately responsible to the </w:t>
      </w:r>
      <w:r w:rsidR="00F54F8F" w:rsidRPr="00ED5B14">
        <w:rPr>
          <w:color w:val="000000"/>
          <w:sz w:val="22"/>
          <w:szCs w:val="22"/>
          <w:lang w:val="en-GB" w:eastAsia="en-CA"/>
        </w:rPr>
        <w:t>c</w:t>
      </w:r>
      <w:r w:rsidRPr="00ED5B14">
        <w:rPr>
          <w:color w:val="000000"/>
          <w:sz w:val="22"/>
          <w:szCs w:val="22"/>
          <w:lang w:val="en-GB" w:eastAsia="en-CA"/>
        </w:rPr>
        <w:t xml:space="preserve">hief and </w:t>
      </w:r>
      <w:r w:rsidR="00F54F8F" w:rsidRPr="00ED5B14">
        <w:rPr>
          <w:color w:val="000000"/>
          <w:sz w:val="22"/>
          <w:szCs w:val="22"/>
          <w:lang w:val="en-GB" w:eastAsia="en-CA"/>
        </w:rPr>
        <w:t>c</w:t>
      </w:r>
      <w:r w:rsidRPr="00ED5B14">
        <w:rPr>
          <w:color w:val="000000"/>
          <w:sz w:val="22"/>
          <w:szCs w:val="22"/>
          <w:lang w:val="en-GB" w:eastAsia="en-CA"/>
        </w:rPr>
        <w:t>ouncil, who were now elected by community members (see Exhi</w:t>
      </w:r>
      <w:r w:rsidR="00901802" w:rsidRPr="00ED5B14">
        <w:rPr>
          <w:color w:val="000000"/>
          <w:sz w:val="22"/>
          <w:szCs w:val="22"/>
          <w:lang w:val="en-GB" w:eastAsia="en-CA"/>
        </w:rPr>
        <w:t>bit 1</w:t>
      </w:r>
      <w:r w:rsidRPr="00ED5B14">
        <w:rPr>
          <w:color w:val="000000"/>
          <w:sz w:val="22"/>
          <w:szCs w:val="22"/>
          <w:lang w:val="en-GB" w:eastAsia="en-CA"/>
        </w:rPr>
        <w:t xml:space="preserve">). </w:t>
      </w:r>
      <w:r w:rsidR="00F54F8F" w:rsidRPr="00ED5B14">
        <w:rPr>
          <w:color w:val="000000"/>
          <w:sz w:val="22"/>
          <w:szCs w:val="22"/>
          <w:lang w:val="en-GB" w:eastAsia="en-CA"/>
        </w:rPr>
        <w:t>The community also created a new chief executive officer position in 2013, which helped t</w:t>
      </w:r>
      <w:r w:rsidRPr="00ED5B14">
        <w:rPr>
          <w:color w:val="000000"/>
          <w:sz w:val="22"/>
          <w:szCs w:val="22"/>
          <w:lang w:val="en-GB" w:eastAsia="en-CA"/>
        </w:rPr>
        <w:t xml:space="preserve">o separate </w:t>
      </w:r>
      <w:r w:rsidR="00F54F8F" w:rsidRPr="00ED5B14">
        <w:rPr>
          <w:color w:val="000000"/>
          <w:sz w:val="22"/>
          <w:szCs w:val="22"/>
          <w:lang w:val="en-GB" w:eastAsia="en-CA"/>
        </w:rPr>
        <w:t xml:space="preserve">both social and economic </w:t>
      </w:r>
      <w:r w:rsidRPr="00ED5B14">
        <w:rPr>
          <w:color w:val="000000"/>
          <w:sz w:val="22"/>
          <w:szCs w:val="22"/>
          <w:lang w:val="en-GB" w:eastAsia="en-CA"/>
        </w:rPr>
        <w:t xml:space="preserve">business from politics and </w:t>
      </w:r>
      <w:r w:rsidR="00F54F8F" w:rsidRPr="00ED5B14">
        <w:rPr>
          <w:color w:val="000000"/>
          <w:sz w:val="22"/>
          <w:szCs w:val="22"/>
          <w:lang w:val="en-GB" w:eastAsia="en-CA"/>
        </w:rPr>
        <w:t xml:space="preserve">kept </w:t>
      </w:r>
      <w:r w:rsidRPr="00ED5B14">
        <w:rPr>
          <w:color w:val="000000"/>
          <w:sz w:val="22"/>
          <w:szCs w:val="22"/>
          <w:lang w:val="en-GB" w:eastAsia="en-CA"/>
        </w:rPr>
        <w:t>decision</w:t>
      </w:r>
      <w:r w:rsidR="00F54F8F" w:rsidRPr="00ED5B14">
        <w:rPr>
          <w:color w:val="000000"/>
          <w:sz w:val="22"/>
          <w:szCs w:val="22"/>
          <w:lang w:val="en-GB" w:eastAsia="en-CA"/>
        </w:rPr>
        <w:t xml:space="preserve"> </w:t>
      </w:r>
      <w:r w:rsidRPr="00ED5B14">
        <w:rPr>
          <w:color w:val="000000"/>
          <w:sz w:val="22"/>
          <w:szCs w:val="22"/>
          <w:lang w:val="en-GB" w:eastAsia="en-CA"/>
        </w:rPr>
        <w:t xml:space="preserve">making </w:t>
      </w:r>
      <w:r w:rsidR="00F54F8F" w:rsidRPr="00ED5B14">
        <w:rPr>
          <w:color w:val="000000"/>
          <w:sz w:val="22"/>
          <w:szCs w:val="22"/>
          <w:lang w:val="en-GB" w:eastAsia="en-CA"/>
        </w:rPr>
        <w:t xml:space="preserve">distinct </w:t>
      </w:r>
      <w:r w:rsidRPr="00ED5B14">
        <w:rPr>
          <w:color w:val="000000"/>
          <w:sz w:val="22"/>
          <w:szCs w:val="22"/>
          <w:lang w:val="en-GB" w:eastAsia="en-CA"/>
        </w:rPr>
        <w:t xml:space="preserve">from </w:t>
      </w:r>
      <w:r w:rsidRPr="00ED5B14">
        <w:rPr>
          <w:color w:val="000000"/>
          <w:sz w:val="22"/>
          <w:szCs w:val="22"/>
          <w:lang w:val="en-GB" w:eastAsia="en-CA"/>
        </w:rPr>
        <w:lastRenderedPageBreak/>
        <w:t xml:space="preserve">implementation. This system </w:t>
      </w:r>
      <w:r w:rsidR="00F54F8F" w:rsidRPr="00ED5B14">
        <w:rPr>
          <w:color w:val="000000"/>
          <w:sz w:val="22"/>
          <w:szCs w:val="22"/>
          <w:lang w:val="en-GB" w:eastAsia="en-CA"/>
        </w:rPr>
        <w:t>create</w:t>
      </w:r>
      <w:r w:rsidR="0019185D">
        <w:rPr>
          <w:color w:val="000000"/>
          <w:sz w:val="22"/>
          <w:szCs w:val="22"/>
          <w:lang w:val="en-GB" w:eastAsia="en-CA"/>
        </w:rPr>
        <w:t>d</w:t>
      </w:r>
      <w:r w:rsidR="00F54F8F" w:rsidRPr="00ED5B14">
        <w:rPr>
          <w:color w:val="000000"/>
          <w:sz w:val="22"/>
          <w:szCs w:val="22"/>
          <w:lang w:val="en-GB" w:eastAsia="en-CA"/>
        </w:rPr>
        <w:t xml:space="preserve"> a clear separation between </w:t>
      </w:r>
      <w:r w:rsidRPr="00ED5B14">
        <w:rPr>
          <w:color w:val="000000"/>
          <w:sz w:val="22"/>
          <w:szCs w:val="22"/>
          <w:lang w:val="en-GB" w:eastAsia="en-CA"/>
        </w:rPr>
        <w:t xml:space="preserve">business </w:t>
      </w:r>
      <w:r w:rsidR="00F54F8F" w:rsidRPr="00ED5B14">
        <w:rPr>
          <w:color w:val="000000"/>
          <w:sz w:val="22"/>
          <w:szCs w:val="22"/>
          <w:lang w:val="en-GB" w:eastAsia="en-CA"/>
        </w:rPr>
        <w:t xml:space="preserve">and </w:t>
      </w:r>
      <w:r w:rsidRPr="00ED5B14">
        <w:rPr>
          <w:color w:val="000000"/>
          <w:sz w:val="22"/>
          <w:szCs w:val="22"/>
          <w:lang w:val="en-GB" w:eastAsia="en-CA"/>
        </w:rPr>
        <w:t>politics, streamline</w:t>
      </w:r>
      <w:r w:rsidR="00FA169E">
        <w:rPr>
          <w:color w:val="000000"/>
          <w:sz w:val="22"/>
          <w:szCs w:val="22"/>
          <w:lang w:val="en-GB" w:eastAsia="en-CA"/>
        </w:rPr>
        <w:t>d</w:t>
      </w:r>
      <w:r w:rsidRPr="00ED5B14">
        <w:rPr>
          <w:color w:val="000000"/>
          <w:sz w:val="22"/>
          <w:szCs w:val="22"/>
          <w:lang w:val="en-GB" w:eastAsia="en-CA"/>
        </w:rPr>
        <w:t xml:space="preserve"> communication</w:t>
      </w:r>
      <w:r w:rsidR="00F54F8F" w:rsidRPr="00ED5B14">
        <w:rPr>
          <w:color w:val="000000"/>
          <w:sz w:val="22"/>
          <w:szCs w:val="22"/>
          <w:lang w:val="en-GB" w:eastAsia="en-CA"/>
        </w:rPr>
        <w:t>,</w:t>
      </w:r>
      <w:r w:rsidRPr="00ED5B14">
        <w:rPr>
          <w:color w:val="000000"/>
          <w:sz w:val="22"/>
          <w:szCs w:val="22"/>
          <w:lang w:val="en-GB" w:eastAsia="en-CA"/>
        </w:rPr>
        <w:t xml:space="preserve"> and ultimately sought to reduce business risks and liabilities for the community. </w:t>
      </w:r>
    </w:p>
    <w:p w14:paraId="703666BB"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720FFD94" w14:textId="2AC8A00A"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The </w:t>
      </w:r>
      <w:r w:rsidR="00D268E5" w:rsidRPr="00ED5B14">
        <w:rPr>
          <w:color w:val="000000"/>
          <w:sz w:val="22"/>
          <w:szCs w:val="22"/>
          <w:lang w:val="en-GB" w:eastAsia="en-CA"/>
        </w:rPr>
        <w:t xml:space="preserve">community’s </w:t>
      </w:r>
      <w:r w:rsidRPr="00ED5B14">
        <w:rPr>
          <w:color w:val="000000"/>
          <w:sz w:val="22"/>
          <w:szCs w:val="22"/>
          <w:lang w:val="en-GB" w:eastAsia="en-CA"/>
        </w:rPr>
        <w:t>economic development arm aided the economic development planning process</w:t>
      </w:r>
      <w:r w:rsidR="00D268E5" w:rsidRPr="00ED5B14">
        <w:rPr>
          <w:color w:val="000000"/>
          <w:sz w:val="22"/>
          <w:szCs w:val="22"/>
          <w:lang w:val="en-GB" w:eastAsia="en-CA"/>
        </w:rPr>
        <w:t>; b</w:t>
      </w:r>
      <w:r w:rsidRPr="00ED5B14">
        <w:rPr>
          <w:color w:val="000000"/>
          <w:sz w:val="22"/>
          <w:szCs w:val="22"/>
          <w:lang w:val="en-GB" w:eastAsia="en-CA"/>
        </w:rPr>
        <w:t>y the end of 2015, the community had established four new business entities</w:t>
      </w:r>
      <w:r w:rsidR="00D268E5" w:rsidRPr="00ED5B14">
        <w:rPr>
          <w:color w:val="000000"/>
          <w:sz w:val="22"/>
          <w:szCs w:val="22"/>
          <w:lang w:val="en-GB" w:eastAsia="en-CA"/>
        </w:rPr>
        <w:t>. Kanaka Bar Land and Resources Limited Partnership was formed as the main holding company for other businesses and acted as the liaison between council and those businesses. Siwash Watershed Resources Inc. was created to develop another micro-hydroelectric project. Kanaka Land and Holdings Ltd. was established to own and manage all immovable assets on behalf of the community. Finally, Kanaka Bar Employment Services Ltd. was created to provide hands-on field work and training</w:t>
      </w:r>
      <w:r w:rsidR="00903FF9">
        <w:rPr>
          <w:color w:val="000000"/>
          <w:sz w:val="22"/>
          <w:szCs w:val="22"/>
          <w:lang w:val="en-GB" w:eastAsia="en-CA"/>
        </w:rPr>
        <w:t xml:space="preserve"> for</w:t>
      </w:r>
      <w:r w:rsidR="00D268E5" w:rsidRPr="00ED5B14">
        <w:rPr>
          <w:color w:val="000000"/>
          <w:sz w:val="22"/>
          <w:szCs w:val="22"/>
          <w:lang w:val="en-GB" w:eastAsia="en-CA"/>
        </w:rPr>
        <w:t xml:space="preserve"> </w:t>
      </w:r>
      <w:r w:rsidR="00903FF9">
        <w:rPr>
          <w:color w:val="000000"/>
          <w:sz w:val="22"/>
          <w:szCs w:val="22"/>
          <w:lang w:val="en-GB" w:eastAsia="en-CA"/>
        </w:rPr>
        <w:t>community members.</w:t>
      </w:r>
    </w:p>
    <w:p w14:paraId="6A801B76"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551A12A3" w14:textId="6DB06EFB" w:rsidR="00330445" w:rsidRPr="007965F1" w:rsidRDefault="00330445" w:rsidP="00330445">
      <w:pPr>
        <w:widowControl w:val="0"/>
        <w:pBdr>
          <w:top w:val="nil"/>
          <w:left w:val="nil"/>
          <w:bottom w:val="nil"/>
          <w:right w:val="nil"/>
          <w:between w:val="nil"/>
        </w:pBdr>
        <w:tabs>
          <w:tab w:val="left" w:pos="220"/>
          <w:tab w:val="left" w:pos="720"/>
        </w:tabs>
        <w:jc w:val="both"/>
        <w:rPr>
          <w:color w:val="000000"/>
          <w:spacing w:val="-2"/>
          <w:kern w:val="22"/>
          <w:sz w:val="22"/>
          <w:szCs w:val="22"/>
          <w:lang w:val="en-GB" w:eastAsia="en-CA"/>
        </w:rPr>
      </w:pPr>
      <w:r w:rsidRPr="007965F1">
        <w:rPr>
          <w:color w:val="000000"/>
          <w:spacing w:val="-2"/>
          <w:kern w:val="22"/>
          <w:sz w:val="22"/>
          <w:szCs w:val="22"/>
          <w:lang w:val="en-GB" w:eastAsia="en-CA"/>
        </w:rPr>
        <w:t xml:space="preserve">The community also integrated processes </w:t>
      </w:r>
      <w:r w:rsidR="00777309" w:rsidRPr="007965F1">
        <w:rPr>
          <w:color w:val="000000"/>
          <w:spacing w:val="-2"/>
          <w:kern w:val="22"/>
          <w:sz w:val="22"/>
          <w:szCs w:val="22"/>
          <w:lang w:val="en-GB" w:eastAsia="en-CA"/>
        </w:rPr>
        <w:t>that were designed to be fully transparent and accountable</w:t>
      </w:r>
      <w:r w:rsidRPr="007965F1">
        <w:rPr>
          <w:color w:val="000000"/>
          <w:spacing w:val="-2"/>
          <w:kern w:val="22"/>
          <w:sz w:val="22"/>
          <w:szCs w:val="22"/>
          <w:lang w:val="en-GB" w:eastAsia="en-CA"/>
        </w:rPr>
        <w:t>. More than 500 pages of laws, policies, and plans were written down, distributed</w:t>
      </w:r>
      <w:r w:rsidR="00D268E5"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 and posted online for everyone to read, and a formal financial administration law was introduced in 2014. Leadership also updated the website </w:t>
      </w:r>
      <w:r w:rsidR="00326BA6" w:rsidRPr="007965F1">
        <w:rPr>
          <w:color w:val="000000"/>
          <w:spacing w:val="-2"/>
          <w:kern w:val="22"/>
          <w:sz w:val="22"/>
          <w:szCs w:val="22"/>
          <w:lang w:val="en-GB" w:eastAsia="en-CA"/>
        </w:rPr>
        <w:t xml:space="preserve">weekly. Since </w:t>
      </w:r>
      <w:r w:rsidRPr="007965F1">
        <w:rPr>
          <w:color w:val="000000"/>
          <w:spacing w:val="-2"/>
          <w:kern w:val="22"/>
          <w:sz w:val="22"/>
          <w:szCs w:val="22"/>
          <w:lang w:val="en-GB" w:eastAsia="en-CA"/>
        </w:rPr>
        <w:t xml:space="preserve">2013, </w:t>
      </w:r>
      <w:r w:rsidR="00D268E5" w:rsidRPr="007965F1">
        <w:rPr>
          <w:color w:val="000000"/>
          <w:spacing w:val="-2"/>
          <w:kern w:val="22"/>
          <w:sz w:val="22"/>
          <w:szCs w:val="22"/>
          <w:lang w:val="en-GB" w:eastAsia="en-CA"/>
        </w:rPr>
        <w:t>c</w:t>
      </w:r>
      <w:r w:rsidRPr="007965F1">
        <w:rPr>
          <w:color w:val="000000"/>
          <w:spacing w:val="-2"/>
          <w:kern w:val="22"/>
          <w:sz w:val="22"/>
          <w:szCs w:val="22"/>
          <w:lang w:val="en-GB" w:eastAsia="en-CA"/>
        </w:rPr>
        <w:t xml:space="preserve">ouncil meetings </w:t>
      </w:r>
      <w:r w:rsidR="00D268E5" w:rsidRPr="007965F1">
        <w:rPr>
          <w:color w:val="000000"/>
          <w:spacing w:val="-2"/>
          <w:kern w:val="22"/>
          <w:sz w:val="22"/>
          <w:szCs w:val="22"/>
          <w:lang w:val="en-GB" w:eastAsia="en-CA"/>
        </w:rPr>
        <w:t xml:space="preserve">had been </w:t>
      </w:r>
      <w:r w:rsidRPr="007965F1">
        <w:rPr>
          <w:color w:val="000000"/>
          <w:spacing w:val="-2"/>
          <w:kern w:val="22"/>
          <w:sz w:val="22"/>
          <w:szCs w:val="22"/>
          <w:lang w:val="en-GB" w:eastAsia="en-CA"/>
        </w:rPr>
        <w:t xml:space="preserve">held regularly every first Monday and third Thursday of the month. The Thursday meetings </w:t>
      </w:r>
      <w:r w:rsidR="00D268E5" w:rsidRPr="007965F1">
        <w:rPr>
          <w:color w:val="000000"/>
          <w:spacing w:val="-2"/>
          <w:kern w:val="22"/>
          <w:sz w:val="22"/>
          <w:szCs w:val="22"/>
          <w:lang w:val="en-GB" w:eastAsia="en-CA"/>
        </w:rPr>
        <w:t xml:space="preserve">were </w:t>
      </w:r>
      <w:r w:rsidRPr="007965F1">
        <w:rPr>
          <w:color w:val="000000"/>
          <w:spacing w:val="-2"/>
          <w:kern w:val="22"/>
          <w:sz w:val="22"/>
          <w:szCs w:val="22"/>
          <w:lang w:val="en-GB" w:eastAsia="en-CA"/>
        </w:rPr>
        <w:t xml:space="preserve">followed by </w:t>
      </w:r>
      <w:r w:rsidR="00D268E5" w:rsidRPr="007965F1">
        <w:rPr>
          <w:color w:val="000000"/>
          <w:spacing w:val="-2"/>
          <w:kern w:val="22"/>
          <w:sz w:val="22"/>
          <w:szCs w:val="22"/>
          <w:lang w:val="en-GB" w:eastAsia="en-CA"/>
        </w:rPr>
        <w:t>c</w:t>
      </w:r>
      <w:r w:rsidRPr="007965F1">
        <w:rPr>
          <w:color w:val="000000"/>
          <w:spacing w:val="-2"/>
          <w:kern w:val="22"/>
          <w:sz w:val="22"/>
          <w:szCs w:val="22"/>
          <w:lang w:val="en-GB" w:eastAsia="en-CA"/>
        </w:rPr>
        <w:t xml:space="preserve">ommunity </w:t>
      </w:r>
      <w:r w:rsidR="00D268E5" w:rsidRPr="007965F1">
        <w:rPr>
          <w:color w:val="000000"/>
          <w:spacing w:val="-2"/>
          <w:kern w:val="22"/>
          <w:sz w:val="22"/>
          <w:szCs w:val="22"/>
          <w:lang w:val="en-GB" w:eastAsia="en-CA"/>
        </w:rPr>
        <w:t>m</w:t>
      </w:r>
      <w:r w:rsidRPr="007965F1">
        <w:rPr>
          <w:color w:val="000000"/>
          <w:spacing w:val="-2"/>
          <w:kern w:val="22"/>
          <w:sz w:val="22"/>
          <w:szCs w:val="22"/>
          <w:lang w:val="en-GB" w:eastAsia="en-CA"/>
        </w:rPr>
        <w:t>eeting</w:t>
      </w:r>
      <w:r w:rsidR="00D268E5" w:rsidRPr="007965F1">
        <w:rPr>
          <w:color w:val="000000"/>
          <w:spacing w:val="-2"/>
          <w:kern w:val="22"/>
          <w:sz w:val="22"/>
          <w:szCs w:val="22"/>
          <w:lang w:val="en-GB" w:eastAsia="en-CA"/>
        </w:rPr>
        <w:t xml:space="preserve">s, during which </w:t>
      </w:r>
      <w:r w:rsidRPr="007965F1">
        <w:rPr>
          <w:color w:val="000000"/>
          <w:spacing w:val="-2"/>
          <w:kern w:val="22"/>
          <w:sz w:val="22"/>
          <w:szCs w:val="22"/>
          <w:lang w:val="en-GB" w:eastAsia="en-CA"/>
        </w:rPr>
        <w:t>the leadership engage</w:t>
      </w:r>
      <w:r w:rsidR="00D268E5" w:rsidRPr="007965F1">
        <w:rPr>
          <w:color w:val="000000"/>
          <w:spacing w:val="-2"/>
          <w:kern w:val="22"/>
          <w:sz w:val="22"/>
          <w:szCs w:val="22"/>
          <w:lang w:val="en-GB" w:eastAsia="en-CA"/>
        </w:rPr>
        <w:t>d</w:t>
      </w:r>
      <w:r w:rsidRPr="007965F1">
        <w:rPr>
          <w:color w:val="000000"/>
          <w:spacing w:val="-2"/>
          <w:kern w:val="22"/>
          <w:sz w:val="22"/>
          <w:szCs w:val="22"/>
          <w:lang w:val="en-GB" w:eastAsia="en-CA"/>
        </w:rPr>
        <w:t xml:space="preserve"> with members about what </w:t>
      </w:r>
      <w:r w:rsidR="00D268E5" w:rsidRPr="007965F1">
        <w:rPr>
          <w:color w:val="000000"/>
          <w:spacing w:val="-2"/>
          <w:kern w:val="22"/>
          <w:sz w:val="22"/>
          <w:szCs w:val="22"/>
          <w:lang w:val="en-GB" w:eastAsia="en-CA"/>
        </w:rPr>
        <w:t xml:space="preserve">had been </w:t>
      </w:r>
      <w:r w:rsidRPr="007965F1">
        <w:rPr>
          <w:color w:val="000000"/>
          <w:spacing w:val="-2"/>
          <w:kern w:val="22"/>
          <w:sz w:val="22"/>
          <w:szCs w:val="22"/>
          <w:lang w:val="en-GB" w:eastAsia="en-CA"/>
        </w:rPr>
        <w:t xml:space="preserve">done during the last 30 days and what </w:t>
      </w:r>
      <w:r w:rsidR="00D268E5" w:rsidRPr="007965F1">
        <w:rPr>
          <w:color w:val="000000"/>
          <w:spacing w:val="-2"/>
          <w:kern w:val="22"/>
          <w:sz w:val="22"/>
          <w:szCs w:val="22"/>
          <w:lang w:val="en-GB" w:eastAsia="en-CA"/>
        </w:rPr>
        <w:t xml:space="preserve">would </w:t>
      </w:r>
      <w:r w:rsidRPr="007965F1">
        <w:rPr>
          <w:color w:val="000000"/>
          <w:spacing w:val="-2"/>
          <w:kern w:val="22"/>
          <w:sz w:val="22"/>
          <w:szCs w:val="22"/>
          <w:lang w:val="en-GB" w:eastAsia="en-CA"/>
        </w:rPr>
        <w:t>be done during the next 30 days.</w:t>
      </w:r>
      <w:r w:rsidRPr="007965F1">
        <w:rPr>
          <w:rFonts w:eastAsia="Cambria"/>
          <w:color w:val="000000"/>
          <w:spacing w:val="-2"/>
          <w:kern w:val="22"/>
          <w:sz w:val="24"/>
          <w:szCs w:val="24"/>
          <w:lang w:val="en-GB" w:eastAsia="en-CA"/>
        </w:rPr>
        <w:t xml:space="preserve"> </w:t>
      </w:r>
      <w:r w:rsidRPr="007965F1">
        <w:rPr>
          <w:color w:val="000000"/>
          <w:spacing w:val="-2"/>
          <w:kern w:val="22"/>
          <w:sz w:val="22"/>
          <w:szCs w:val="22"/>
          <w:lang w:val="en-GB" w:eastAsia="en-CA"/>
        </w:rPr>
        <w:t xml:space="preserve">Additionally, the community </w:t>
      </w:r>
      <w:r w:rsidR="00D268E5" w:rsidRPr="007965F1">
        <w:rPr>
          <w:color w:val="000000"/>
          <w:spacing w:val="-2"/>
          <w:kern w:val="22"/>
          <w:sz w:val="22"/>
          <w:szCs w:val="22"/>
          <w:lang w:val="en-GB" w:eastAsia="en-CA"/>
        </w:rPr>
        <w:t xml:space="preserve">created </w:t>
      </w:r>
      <w:r w:rsidRPr="007965F1">
        <w:rPr>
          <w:color w:val="000000"/>
          <w:spacing w:val="-2"/>
          <w:kern w:val="22"/>
          <w:sz w:val="22"/>
          <w:szCs w:val="22"/>
          <w:lang w:val="en-GB" w:eastAsia="en-CA"/>
        </w:rPr>
        <w:t xml:space="preserve">a </w:t>
      </w:r>
      <w:r w:rsidR="00D268E5" w:rsidRPr="007965F1">
        <w:rPr>
          <w:color w:val="000000"/>
          <w:spacing w:val="-2"/>
          <w:kern w:val="22"/>
          <w:sz w:val="22"/>
          <w:szCs w:val="22"/>
          <w:lang w:val="en-GB" w:eastAsia="en-CA"/>
        </w:rPr>
        <w:t xml:space="preserve">summer </w:t>
      </w:r>
      <w:r w:rsidRPr="007965F1">
        <w:rPr>
          <w:color w:val="000000"/>
          <w:spacing w:val="-2"/>
          <w:kern w:val="22"/>
          <w:sz w:val="22"/>
          <w:szCs w:val="22"/>
          <w:lang w:val="en-GB" w:eastAsia="en-CA"/>
        </w:rPr>
        <w:t xml:space="preserve">and a </w:t>
      </w:r>
      <w:r w:rsidR="00D268E5" w:rsidRPr="007965F1">
        <w:rPr>
          <w:color w:val="000000"/>
          <w:spacing w:val="-2"/>
          <w:kern w:val="22"/>
          <w:sz w:val="22"/>
          <w:szCs w:val="22"/>
          <w:lang w:val="en-GB" w:eastAsia="en-CA"/>
        </w:rPr>
        <w:t>winter p</w:t>
      </w:r>
      <w:r w:rsidRPr="007965F1">
        <w:rPr>
          <w:color w:val="000000"/>
          <w:spacing w:val="-2"/>
          <w:kern w:val="22"/>
          <w:sz w:val="22"/>
          <w:szCs w:val="22"/>
          <w:lang w:val="en-GB" w:eastAsia="en-CA"/>
        </w:rPr>
        <w:t>lan each year</w:t>
      </w:r>
      <w:r w:rsidR="00D268E5" w:rsidRPr="007965F1">
        <w:rPr>
          <w:color w:val="000000"/>
          <w:spacing w:val="-2"/>
          <w:kern w:val="22"/>
          <w:sz w:val="22"/>
          <w:szCs w:val="22"/>
          <w:lang w:val="en-GB" w:eastAsia="en-CA"/>
        </w:rPr>
        <w:t>. These plans, which were</w:t>
      </w:r>
      <w:r w:rsidRPr="007965F1">
        <w:rPr>
          <w:color w:val="000000"/>
          <w:spacing w:val="-2"/>
          <w:kern w:val="22"/>
          <w:sz w:val="22"/>
          <w:szCs w:val="22"/>
          <w:lang w:val="en-GB" w:eastAsia="en-CA"/>
        </w:rPr>
        <w:t xml:space="preserve"> posted on the website</w:t>
      </w:r>
      <w:r w:rsidR="00D268E5" w:rsidRPr="007965F1">
        <w:rPr>
          <w:color w:val="000000"/>
          <w:spacing w:val="-2"/>
          <w:kern w:val="22"/>
          <w:sz w:val="22"/>
          <w:szCs w:val="22"/>
          <w:lang w:val="en-GB" w:eastAsia="en-CA"/>
        </w:rPr>
        <w:t xml:space="preserve">, </w:t>
      </w:r>
      <w:r w:rsidRPr="007965F1">
        <w:rPr>
          <w:color w:val="000000"/>
          <w:spacing w:val="-2"/>
          <w:kern w:val="22"/>
          <w:sz w:val="22"/>
          <w:szCs w:val="22"/>
          <w:lang w:val="en-GB" w:eastAsia="en-CA"/>
        </w:rPr>
        <w:t>assess</w:t>
      </w:r>
      <w:r w:rsidR="00D268E5" w:rsidRPr="007965F1">
        <w:rPr>
          <w:color w:val="000000"/>
          <w:spacing w:val="-2"/>
          <w:kern w:val="22"/>
          <w:sz w:val="22"/>
          <w:szCs w:val="22"/>
          <w:lang w:val="en-GB" w:eastAsia="en-CA"/>
        </w:rPr>
        <w:t>ed</w:t>
      </w:r>
      <w:r w:rsidRPr="007965F1">
        <w:rPr>
          <w:color w:val="000000"/>
          <w:spacing w:val="-2"/>
          <w:kern w:val="22"/>
          <w:sz w:val="22"/>
          <w:szCs w:val="22"/>
          <w:lang w:val="en-GB" w:eastAsia="en-CA"/>
        </w:rPr>
        <w:t xml:space="preserve"> the preceding six months, </w:t>
      </w:r>
      <w:r w:rsidR="00D268E5" w:rsidRPr="007965F1">
        <w:rPr>
          <w:color w:val="000000"/>
          <w:spacing w:val="-2"/>
          <w:kern w:val="22"/>
          <w:sz w:val="22"/>
          <w:szCs w:val="22"/>
          <w:lang w:val="en-GB" w:eastAsia="en-CA"/>
        </w:rPr>
        <w:t xml:space="preserve">brought </w:t>
      </w:r>
      <w:r w:rsidRPr="007965F1">
        <w:rPr>
          <w:color w:val="000000"/>
          <w:spacing w:val="-2"/>
          <w:kern w:val="22"/>
          <w:sz w:val="22"/>
          <w:szCs w:val="22"/>
          <w:lang w:val="en-GB" w:eastAsia="en-CA"/>
        </w:rPr>
        <w:t>up challenges, share</w:t>
      </w:r>
      <w:r w:rsidR="00D268E5" w:rsidRPr="007965F1">
        <w:rPr>
          <w:color w:val="000000"/>
          <w:spacing w:val="-2"/>
          <w:kern w:val="22"/>
          <w:sz w:val="22"/>
          <w:szCs w:val="22"/>
          <w:lang w:val="en-GB" w:eastAsia="en-CA"/>
        </w:rPr>
        <w:t>d</w:t>
      </w:r>
      <w:r w:rsidRPr="007965F1">
        <w:rPr>
          <w:color w:val="000000"/>
          <w:spacing w:val="-2"/>
          <w:kern w:val="22"/>
          <w:sz w:val="22"/>
          <w:szCs w:val="22"/>
          <w:lang w:val="en-GB" w:eastAsia="en-CA"/>
        </w:rPr>
        <w:t xml:space="preserve"> how </w:t>
      </w:r>
      <w:r w:rsidR="006E33FF" w:rsidRPr="007965F1">
        <w:rPr>
          <w:color w:val="000000"/>
          <w:spacing w:val="-2"/>
          <w:kern w:val="22"/>
          <w:sz w:val="22"/>
          <w:szCs w:val="22"/>
          <w:lang w:val="en-GB" w:eastAsia="en-CA"/>
        </w:rPr>
        <w:t xml:space="preserve">issues </w:t>
      </w:r>
      <w:r w:rsidR="00777309" w:rsidRPr="007965F1">
        <w:rPr>
          <w:color w:val="000000"/>
          <w:spacing w:val="-2"/>
          <w:kern w:val="22"/>
          <w:sz w:val="22"/>
          <w:szCs w:val="22"/>
          <w:lang w:val="en-GB" w:eastAsia="en-CA"/>
        </w:rPr>
        <w:t xml:space="preserve">would </w:t>
      </w:r>
      <w:r w:rsidRPr="007965F1">
        <w:rPr>
          <w:color w:val="000000"/>
          <w:spacing w:val="-2"/>
          <w:kern w:val="22"/>
          <w:sz w:val="22"/>
          <w:szCs w:val="22"/>
          <w:lang w:val="en-GB" w:eastAsia="en-CA"/>
        </w:rPr>
        <w:t xml:space="preserve">be </w:t>
      </w:r>
      <w:r w:rsidR="00777309" w:rsidRPr="007965F1">
        <w:rPr>
          <w:color w:val="000000"/>
          <w:spacing w:val="-2"/>
          <w:kern w:val="22"/>
          <w:sz w:val="22"/>
          <w:szCs w:val="22"/>
          <w:lang w:val="en-GB" w:eastAsia="en-CA"/>
        </w:rPr>
        <w:t xml:space="preserve">addressed </w:t>
      </w:r>
      <w:r w:rsidRPr="007965F1">
        <w:rPr>
          <w:color w:val="000000"/>
          <w:spacing w:val="-2"/>
          <w:kern w:val="22"/>
          <w:sz w:val="22"/>
          <w:szCs w:val="22"/>
          <w:lang w:val="en-GB" w:eastAsia="en-CA"/>
        </w:rPr>
        <w:t>during the next six months, and focus</w:t>
      </w:r>
      <w:r w:rsidR="00777309" w:rsidRPr="007965F1">
        <w:rPr>
          <w:color w:val="000000"/>
          <w:spacing w:val="-2"/>
          <w:kern w:val="22"/>
          <w:sz w:val="22"/>
          <w:szCs w:val="22"/>
          <w:lang w:val="en-GB" w:eastAsia="en-CA"/>
        </w:rPr>
        <w:t>ed</w:t>
      </w:r>
      <w:r w:rsidRPr="007965F1">
        <w:rPr>
          <w:color w:val="000000"/>
          <w:spacing w:val="-2"/>
          <w:kern w:val="22"/>
          <w:sz w:val="22"/>
          <w:szCs w:val="22"/>
          <w:lang w:val="en-GB" w:eastAsia="en-CA"/>
        </w:rPr>
        <w:t xml:space="preserve"> on new projects and programs. </w:t>
      </w:r>
    </w:p>
    <w:p w14:paraId="6449DF4A"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0107FF31" w14:textId="571FF88F" w:rsidR="00330445" w:rsidRPr="00ED5B14" w:rsidRDefault="00777309"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Although this system and approach were still very new for the community, they were </w:t>
      </w:r>
      <w:r w:rsidR="00330445" w:rsidRPr="00ED5B14">
        <w:rPr>
          <w:color w:val="000000"/>
          <w:sz w:val="22"/>
          <w:szCs w:val="22"/>
          <w:lang w:val="en-GB" w:eastAsia="en-CA"/>
        </w:rPr>
        <w:t>seen as catalyst</w:t>
      </w:r>
      <w:r w:rsidRPr="00ED5B14">
        <w:rPr>
          <w:color w:val="000000"/>
          <w:sz w:val="22"/>
          <w:szCs w:val="22"/>
          <w:lang w:val="en-GB" w:eastAsia="en-CA"/>
        </w:rPr>
        <w:t>s</w:t>
      </w:r>
      <w:r w:rsidR="00330445" w:rsidRPr="00ED5B14">
        <w:rPr>
          <w:color w:val="000000"/>
          <w:sz w:val="22"/>
          <w:szCs w:val="22"/>
          <w:lang w:val="en-GB" w:eastAsia="en-CA"/>
        </w:rPr>
        <w:t xml:space="preserve"> of change. The new governance system also had its challenges,</w:t>
      </w:r>
      <w:r w:rsidRPr="00ED5B14">
        <w:rPr>
          <w:color w:val="000000"/>
          <w:sz w:val="22"/>
          <w:szCs w:val="22"/>
          <w:lang w:val="en-GB" w:eastAsia="en-CA"/>
        </w:rPr>
        <w:t xml:space="preserve"> however; for example, </w:t>
      </w:r>
      <w:r w:rsidR="00330445" w:rsidRPr="00ED5B14">
        <w:rPr>
          <w:color w:val="000000"/>
          <w:sz w:val="22"/>
          <w:szCs w:val="22"/>
          <w:lang w:val="en-GB" w:eastAsia="en-CA"/>
        </w:rPr>
        <w:t xml:space="preserve">over 500 pages of new documentation and processes created a situation where it was not always clear who was responsible for what and in what way. As such, this system was at times challenging to understand and to execute. </w:t>
      </w:r>
    </w:p>
    <w:p w14:paraId="2AD59E18"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601EC766" w14:textId="77777777" w:rsidR="00330445" w:rsidRPr="00ED5B14" w:rsidRDefault="00330445" w:rsidP="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17D480BE" w14:textId="77777777" w:rsidR="00330445" w:rsidRPr="00ED5B14" w:rsidRDefault="00330445" w:rsidP="00330445">
      <w:pPr>
        <w:pStyle w:val="Casehead3"/>
        <w:rPr>
          <w:lang w:val="en-GB" w:eastAsia="en-CA"/>
        </w:rPr>
      </w:pPr>
      <w:r w:rsidRPr="00ED5B14">
        <w:rPr>
          <w:lang w:val="en-GB" w:eastAsia="en-CA"/>
        </w:rPr>
        <w:t>The Community Economic Development Plan</w:t>
      </w:r>
    </w:p>
    <w:p w14:paraId="4E5BAB60" w14:textId="77777777" w:rsidR="00330445" w:rsidRPr="00ED5B14" w:rsidRDefault="00330445" w:rsidP="00D05D44">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2DCA5E1D" w14:textId="6F1BAB03" w:rsidR="00330445" w:rsidRPr="00ED5B14" w:rsidRDefault="00330445" w:rsidP="00C731BA">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 xml:space="preserve">In 2014, the community </w:t>
      </w:r>
      <w:r w:rsidR="00777309" w:rsidRPr="00ED5B14">
        <w:rPr>
          <w:color w:val="000000"/>
          <w:sz w:val="22"/>
          <w:szCs w:val="22"/>
          <w:lang w:val="en-GB" w:eastAsia="en-CA"/>
        </w:rPr>
        <w:t>began</w:t>
      </w:r>
      <w:r w:rsidRPr="00ED5B14">
        <w:rPr>
          <w:color w:val="000000"/>
          <w:sz w:val="22"/>
          <w:szCs w:val="22"/>
          <w:lang w:val="en-GB" w:eastAsia="en-CA"/>
        </w:rPr>
        <w:t xml:space="preserve"> deve</w:t>
      </w:r>
      <w:r w:rsidR="00901802" w:rsidRPr="00ED5B14">
        <w:rPr>
          <w:color w:val="000000"/>
          <w:sz w:val="22"/>
          <w:szCs w:val="22"/>
          <w:lang w:val="en-GB" w:eastAsia="en-CA"/>
        </w:rPr>
        <w:t xml:space="preserve">loping its first </w:t>
      </w:r>
      <w:r w:rsidR="007300AF">
        <w:rPr>
          <w:color w:val="000000"/>
          <w:sz w:val="22"/>
          <w:szCs w:val="22"/>
          <w:lang w:val="en-GB" w:eastAsia="en-CA"/>
        </w:rPr>
        <w:t>land use plan</w:t>
      </w:r>
      <w:r w:rsidR="00777309" w:rsidRPr="00ED5B14">
        <w:rPr>
          <w:color w:val="000000"/>
          <w:sz w:val="22"/>
          <w:szCs w:val="22"/>
          <w:lang w:val="en-GB" w:eastAsia="en-CA"/>
        </w:rPr>
        <w:t xml:space="preserve">, which </w:t>
      </w:r>
      <w:r w:rsidRPr="00ED5B14">
        <w:rPr>
          <w:color w:val="000000"/>
          <w:sz w:val="22"/>
          <w:szCs w:val="22"/>
          <w:lang w:val="en-GB" w:eastAsia="en-CA"/>
        </w:rPr>
        <w:t xml:space="preserve">focused on identifying the lands and resources that the community could access and use. The </w:t>
      </w:r>
      <w:r w:rsidR="007300AF">
        <w:rPr>
          <w:color w:val="000000"/>
          <w:sz w:val="22"/>
          <w:szCs w:val="22"/>
          <w:lang w:val="en-GB" w:eastAsia="en-CA"/>
        </w:rPr>
        <w:t>land use plan</w:t>
      </w:r>
      <w:r w:rsidRPr="00ED5B14">
        <w:rPr>
          <w:color w:val="000000"/>
          <w:sz w:val="22"/>
          <w:szCs w:val="22"/>
          <w:lang w:val="en-GB" w:eastAsia="en-CA"/>
        </w:rPr>
        <w:t xml:space="preserve"> also </w:t>
      </w:r>
      <w:r w:rsidR="00777309" w:rsidRPr="00ED5B14">
        <w:rPr>
          <w:color w:val="000000"/>
          <w:sz w:val="22"/>
          <w:szCs w:val="22"/>
          <w:lang w:val="en-GB" w:eastAsia="en-CA"/>
        </w:rPr>
        <w:t xml:space="preserve">formalized </w:t>
      </w:r>
      <w:r w:rsidRPr="00ED5B14">
        <w:rPr>
          <w:color w:val="000000"/>
          <w:sz w:val="22"/>
          <w:szCs w:val="22"/>
          <w:lang w:val="en-GB" w:eastAsia="en-CA"/>
        </w:rPr>
        <w:t>the official vision of the community: “Kanaka Bar is committed to using its lands and resources to maintain a self-sufficient, sustainable, and vibrant community.” As of 2017, Kanaka</w:t>
      </w:r>
      <w:r w:rsidR="00777309" w:rsidRPr="00ED5B14">
        <w:rPr>
          <w:color w:val="000000"/>
          <w:sz w:val="22"/>
          <w:szCs w:val="22"/>
          <w:lang w:val="en-GB" w:eastAsia="en-CA"/>
        </w:rPr>
        <w:t xml:space="preserve"> Bar</w:t>
      </w:r>
      <w:r w:rsidRPr="00ED5B14">
        <w:rPr>
          <w:color w:val="000000"/>
          <w:sz w:val="22"/>
          <w:szCs w:val="22"/>
          <w:lang w:val="en-GB" w:eastAsia="en-CA"/>
        </w:rPr>
        <w:t xml:space="preserve">’s land </w:t>
      </w:r>
      <w:r w:rsidR="009C07A7">
        <w:rPr>
          <w:color w:val="000000"/>
          <w:sz w:val="22"/>
          <w:szCs w:val="22"/>
          <w:lang w:val="en-GB" w:eastAsia="en-CA"/>
        </w:rPr>
        <w:t>was</w:t>
      </w:r>
      <w:r w:rsidR="00990361" w:rsidRPr="00ED5B14">
        <w:rPr>
          <w:color w:val="000000"/>
          <w:sz w:val="22"/>
          <w:szCs w:val="22"/>
          <w:lang w:val="en-GB" w:eastAsia="en-CA"/>
        </w:rPr>
        <w:t xml:space="preserve"> </w:t>
      </w:r>
      <w:r w:rsidRPr="00ED5B14">
        <w:rPr>
          <w:color w:val="000000"/>
          <w:sz w:val="22"/>
          <w:szCs w:val="22"/>
          <w:lang w:val="en-GB" w:eastAsia="en-CA"/>
        </w:rPr>
        <w:t>home to a host of wildlife, including mountain goats, deer, salmon, elk, Rocky Mountain bighorn sheep, and rattlesnakes,</w:t>
      </w:r>
      <w:r w:rsidRPr="00ED5B14">
        <w:rPr>
          <w:color w:val="000000"/>
          <w:sz w:val="22"/>
          <w:szCs w:val="22"/>
          <w:vertAlign w:val="superscript"/>
          <w:lang w:val="en-GB" w:eastAsia="en-CA"/>
        </w:rPr>
        <w:endnoteReference w:id="23"/>
      </w:r>
      <w:r w:rsidRPr="00ED5B14">
        <w:rPr>
          <w:color w:val="000000"/>
          <w:sz w:val="22"/>
          <w:szCs w:val="22"/>
          <w:lang w:val="en-GB" w:eastAsia="en-CA"/>
        </w:rPr>
        <w:t xml:space="preserve"> and the community </w:t>
      </w:r>
      <w:r w:rsidR="00990361">
        <w:rPr>
          <w:color w:val="000000"/>
          <w:sz w:val="22"/>
          <w:szCs w:val="22"/>
          <w:lang w:val="en-GB" w:eastAsia="en-CA"/>
        </w:rPr>
        <w:t>is</w:t>
      </w:r>
      <w:r w:rsidR="00990361" w:rsidRPr="00ED5B14">
        <w:rPr>
          <w:color w:val="000000"/>
          <w:sz w:val="22"/>
          <w:szCs w:val="22"/>
          <w:lang w:val="en-GB" w:eastAsia="en-CA"/>
        </w:rPr>
        <w:t xml:space="preserve"> </w:t>
      </w:r>
      <w:r w:rsidRPr="00ED5B14">
        <w:rPr>
          <w:color w:val="000000"/>
          <w:sz w:val="22"/>
          <w:szCs w:val="22"/>
          <w:lang w:val="en-GB" w:eastAsia="en-CA"/>
        </w:rPr>
        <w:t xml:space="preserve">flanked by </w:t>
      </w:r>
      <w:r w:rsidR="00777309" w:rsidRPr="00ED5B14">
        <w:rPr>
          <w:color w:val="000000"/>
          <w:sz w:val="22"/>
          <w:szCs w:val="22"/>
          <w:lang w:val="en-GB" w:eastAsia="en-CA"/>
        </w:rPr>
        <w:t>government-</w:t>
      </w:r>
      <w:r w:rsidRPr="00ED5B14">
        <w:rPr>
          <w:color w:val="000000"/>
          <w:sz w:val="22"/>
          <w:szCs w:val="22"/>
          <w:lang w:val="en-GB" w:eastAsia="en-CA"/>
        </w:rPr>
        <w:t xml:space="preserve">protected </w:t>
      </w:r>
      <w:r w:rsidR="00777309" w:rsidRPr="00ED5B14">
        <w:rPr>
          <w:color w:val="000000"/>
          <w:sz w:val="22"/>
          <w:szCs w:val="22"/>
          <w:lang w:val="en-GB" w:eastAsia="en-CA"/>
        </w:rPr>
        <w:t>w</w:t>
      </w:r>
      <w:r w:rsidRPr="00ED5B14">
        <w:rPr>
          <w:color w:val="000000"/>
          <w:sz w:val="22"/>
          <w:szCs w:val="22"/>
          <w:lang w:val="en-GB" w:eastAsia="en-CA"/>
        </w:rPr>
        <w:t xml:space="preserve">ildlife </w:t>
      </w:r>
      <w:r w:rsidR="00777309" w:rsidRPr="00ED5B14">
        <w:rPr>
          <w:color w:val="000000"/>
          <w:sz w:val="22"/>
          <w:szCs w:val="22"/>
          <w:lang w:val="en-GB" w:eastAsia="en-CA"/>
        </w:rPr>
        <w:t>h</w:t>
      </w:r>
      <w:r w:rsidRPr="00ED5B14">
        <w:rPr>
          <w:color w:val="000000"/>
          <w:sz w:val="22"/>
          <w:szCs w:val="22"/>
          <w:lang w:val="en-GB" w:eastAsia="en-CA"/>
        </w:rPr>
        <w:t xml:space="preserve">abitat </w:t>
      </w:r>
      <w:r w:rsidR="00777309" w:rsidRPr="00ED5B14">
        <w:rPr>
          <w:color w:val="000000"/>
          <w:sz w:val="22"/>
          <w:szCs w:val="22"/>
          <w:lang w:val="en-GB" w:eastAsia="en-CA"/>
        </w:rPr>
        <w:t>a</w:t>
      </w:r>
      <w:r w:rsidRPr="00ED5B14">
        <w:rPr>
          <w:color w:val="000000"/>
          <w:sz w:val="22"/>
          <w:szCs w:val="22"/>
          <w:lang w:val="en-GB" w:eastAsia="en-CA"/>
        </w:rPr>
        <w:t xml:space="preserve">reas. The wider region had </w:t>
      </w:r>
      <w:r w:rsidR="005E74A6" w:rsidRPr="00ED5B14">
        <w:rPr>
          <w:color w:val="000000"/>
          <w:sz w:val="22"/>
          <w:szCs w:val="22"/>
          <w:lang w:val="en-GB" w:eastAsia="en-CA"/>
        </w:rPr>
        <w:t xml:space="preserve">become </w:t>
      </w:r>
      <w:r w:rsidRPr="00ED5B14">
        <w:rPr>
          <w:color w:val="000000"/>
          <w:sz w:val="22"/>
          <w:szCs w:val="22"/>
          <w:lang w:val="en-GB" w:eastAsia="en-CA"/>
        </w:rPr>
        <w:t xml:space="preserve">increasingly </w:t>
      </w:r>
      <w:r w:rsidR="005E74A6" w:rsidRPr="00ED5B14">
        <w:rPr>
          <w:color w:val="000000"/>
          <w:sz w:val="22"/>
          <w:szCs w:val="22"/>
          <w:lang w:val="en-GB" w:eastAsia="en-CA"/>
        </w:rPr>
        <w:t xml:space="preserve">well </w:t>
      </w:r>
      <w:r w:rsidRPr="00ED5B14">
        <w:rPr>
          <w:color w:val="000000"/>
          <w:sz w:val="22"/>
          <w:szCs w:val="22"/>
          <w:lang w:val="en-GB" w:eastAsia="en-CA"/>
        </w:rPr>
        <w:t xml:space="preserve">known for </w:t>
      </w:r>
      <w:r w:rsidR="008C649C" w:rsidRPr="00ED5B14">
        <w:rPr>
          <w:color w:val="000000"/>
          <w:sz w:val="22"/>
          <w:szCs w:val="22"/>
          <w:lang w:val="en-GB" w:eastAsia="en-CA"/>
        </w:rPr>
        <w:t>white-water</w:t>
      </w:r>
      <w:r w:rsidRPr="00ED5B14">
        <w:rPr>
          <w:color w:val="000000"/>
          <w:sz w:val="22"/>
          <w:szCs w:val="22"/>
          <w:lang w:val="en-GB" w:eastAsia="en-CA"/>
        </w:rPr>
        <w:t xml:space="preserve"> rafting, fishing, and camping, with mountain ranges and forested areas providing mountain biking and hiking opportunities, all of which boosted tourism in the region.</w:t>
      </w:r>
      <w:r w:rsidRPr="00ED5B14">
        <w:rPr>
          <w:color w:val="000000"/>
          <w:sz w:val="22"/>
          <w:szCs w:val="22"/>
          <w:vertAlign w:val="superscript"/>
          <w:lang w:val="en-GB" w:eastAsia="en-CA"/>
        </w:rPr>
        <w:endnoteReference w:id="24"/>
      </w:r>
    </w:p>
    <w:p w14:paraId="47894904" w14:textId="77777777" w:rsidR="00330445" w:rsidRPr="00ED5B14" w:rsidRDefault="00330445" w:rsidP="00C731BA">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78C2E70E" w14:textId="2E0EDD38" w:rsidR="00330445" w:rsidRPr="00ED5B14" w:rsidRDefault="00330445" w:rsidP="00936DC0">
      <w:pPr>
        <w:widowControl w:val="0"/>
        <w:pBdr>
          <w:top w:val="nil"/>
          <w:left w:val="nil"/>
          <w:bottom w:val="nil"/>
          <w:right w:val="nil"/>
          <w:between w:val="nil"/>
        </w:pBdr>
        <w:tabs>
          <w:tab w:val="left" w:pos="220"/>
          <w:tab w:val="left" w:pos="720"/>
        </w:tabs>
        <w:jc w:val="both"/>
        <w:rPr>
          <w:b/>
          <w:color w:val="000000"/>
          <w:sz w:val="22"/>
          <w:szCs w:val="22"/>
          <w:lang w:val="en-GB" w:eastAsia="en-CA"/>
        </w:rPr>
      </w:pPr>
      <w:r w:rsidRPr="00ED5B14">
        <w:rPr>
          <w:color w:val="000000"/>
          <w:sz w:val="22"/>
          <w:szCs w:val="22"/>
          <w:lang w:val="en-GB" w:eastAsia="en-CA"/>
        </w:rPr>
        <w:t xml:space="preserve">By mid-2015, building on the </w:t>
      </w:r>
      <w:r w:rsidR="005E74A6" w:rsidRPr="00ED5B14">
        <w:rPr>
          <w:color w:val="000000"/>
          <w:sz w:val="22"/>
          <w:szCs w:val="22"/>
          <w:lang w:val="en-GB" w:eastAsia="en-CA"/>
        </w:rPr>
        <w:t xml:space="preserve">success of the </w:t>
      </w:r>
      <w:r w:rsidRPr="00ED5B14">
        <w:rPr>
          <w:color w:val="000000"/>
          <w:sz w:val="22"/>
          <w:szCs w:val="22"/>
          <w:lang w:val="en-GB" w:eastAsia="en-CA"/>
        </w:rPr>
        <w:t>hydroelectric</w:t>
      </w:r>
      <w:r w:rsidR="005E74A6" w:rsidRPr="00ED5B14">
        <w:rPr>
          <w:color w:val="000000"/>
          <w:sz w:val="22"/>
          <w:szCs w:val="22"/>
          <w:lang w:val="en-GB" w:eastAsia="en-CA"/>
        </w:rPr>
        <w:t xml:space="preserve"> project</w:t>
      </w:r>
      <w:r w:rsidRPr="00ED5B14">
        <w:rPr>
          <w:color w:val="000000"/>
          <w:sz w:val="22"/>
          <w:szCs w:val="22"/>
          <w:lang w:val="en-GB" w:eastAsia="en-CA"/>
        </w:rPr>
        <w:t>, Kanaka Bar began the process of identifying potential development initiatives that could improve the community’s social and economic situation</w:t>
      </w:r>
      <w:r w:rsidRPr="00936DC0">
        <w:rPr>
          <w:color w:val="000000"/>
          <w:sz w:val="22"/>
          <w:szCs w:val="22"/>
          <w:lang w:val="en-GB" w:eastAsia="en-CA"/>
        </w:rPr>
        <w:t xml:space="preserve">. </w:t>
      </w:r>
      <w:r w:rsidR="005E74A6" w:rsidRPr="00936DC0">
        <w:rPr>
          <w:color w:val="000000"/>
          <w:sz w:val="22"/>
          <w:szCs w:val="22"/>
          <w:lang w:val="en-GB" w:eastAsia="en-CA"/>
        </w:rPr>
        <w:t>It</w:t>
      </w:r>
      <w:r w:rsidRPr="00936DC0">
        <w:rPr>
          <w:color w:val="000000"/>
          <w:sz w:val="22"/>
          <w:szCs w:val="22"/>
          <w:lang w:val="en-GB" w:eastAsia="en-CA"/>
        </w:rPr>
        <w:t xml:space="preserve"> conducted community meetings to hear ideas and to identify capacities, skills, and knowledge. Although </w:t>
      </w:r>
      <w:r w:rsidR="005E74A6" w:rsidRPr="00936DC0">
        <w:rPr>
          <w:color w:val="000000"/>
          <w:sz w:val="22"/>
          <w:szCs w:val="22"/>
          <w:lang w:val="en-GB" w:eastAsia="en-CA"/>
        </w:rPr>
        <w:t xml:space="preserve">community members </w:t>
      </w:r>
      <w:r w:rsidRPr="00936DC0">
        <w:rPr>
          <w:color w:val="000000"/>
          <w:sz w:val="22"/>
          <w:szCs w:val="22"/>
          <w:lang w:val="en-GB" w:eastAsia="en-CA"/>
        </w:rPr>
        <w:t xml:space="preserve">recognized that there were limited reserve lands available for community development projects, </w:t>
      </w:r>
      <w:r w:rsidR="005E74A6" w:rsidRPr="00936DC0">
        <w:rPr>
          <w:color w:val="000000"/>
          <w:sz w:val="22"/>
          <w:szCs w:val="22"/>
          <w:lang w:val="en-GB" w:eastAsia="en-CA"/>
        </w:rPr>
        <w:t xml:space="preserve">they </w:t>
      </w:r>
      <w:r w:rsidRPr="00936DC0">
        <w:rPr>
          <w:color w:val="000000"/>
          <w:sz w:val="22"/>
          <w:szCs w:val="22"/>
          <w:lang w:val="en-GB" w:eastAsia="en-CA"/>
        </w:rPr>
        <w:t xml:space="preserve">identified 17 opportunities, which were ultimately judged and ranked. The outcomes of that ranking became the basis for a five-year </w:t>
      </w:r>
      <w:r w:rsidR="005E74A6" w:rsidRPr="00ED5B14">
        <w:rPr>
          <w:color w:val="000000"/>
          <w:sz w:val="22"/>
          <w:szCs w:val="22"/>
          <w:lang w:val="en-GB" w:eastAsia="en-CA"/>
        </w:rPr>
        <w:t xml:space="preserve">community economic development plan </w:t>
      </w:r>
      <w:r w:rsidRPr="00ED5B14">
        <w:rPr>
          <w:color w:val="000000"/>
          <w:sz w:val="22"/>
          <w:szCs w:val="22"/>
          <w:lang w:val="en-GB" w:eastAsia="en-CA"/>
        </w:rPr>
        <w:t>(CEDP)</w:t>
      </w:r>
      <w:r w:rsidRPr="00936DC0">
        <w:rPr>
          <w:color w:val="000000"/>
          <w:sz w:val="22"/>
          <w:szCs w:val="22"/>
          <w:lang w:val="en-GB" w:eastAsia="en-CA"/>
        </w:rPr>
        <w:t xml:space="preserve">. </w:t>
      </w:r>
    </w:p>
    <w:p w14:paraId="682704A9" w14:textId="77777777" w:rsidR="00330445" w:rsidRPr="00ED5B14" w:rsidRDefault="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3BEABBE9" w14:textId="46912ECA" w:rsidR="00330445" w:rsidRPr="00ED5B14" w:rsidRDefault="00330445">
      <w:pPr>
        <w:widowControl w:val="0"/>
        <w:pBdr>
          <w:top w:val="nil"/>
          <w:left w:val="nil"/>
          <w:bottom w:val="nil"/>
          <w:right w:val="nil"/>
          <w:between w:val="nil"/>
        </w:pBdr>
        <w:jc w:val="both"/>
        <w:rPr>
          <w:color w:val="000000"/>
          <w:sz w:val="22"/>
          <w:szCs w:val="22"/>
          <w:lang w:val="en-GB" w:eastAsia="en-CA"/>
        </w:rPr>
      </w:pPr>
      <w:r w:rsidRPr="00ED5B14">
        <w:rPr>
          <w:color w:val="000000"/>
          <w:sz w:val="22"/>
          <w:szCs w:val="22"/>
          <w:lang w:val="en-GB" w:eastAsia="en-CA"/>
        </w:rPr>
        <w:t xml:space="preserve">The CEDP was launched in mid-2016, after two reviews by community members. At the core of this plan were the following general goals: to support the scaling up of projects; to create employment, capacity, and wealth for community members; to sustainably generate revenue for the </w:t>
      </w:r>
      <w:r w:rsidR="005E74A6" w:rsidRPr="00ED5B14">
        <w:rPr>
          <w:color w:val="000000"/>
          <w:sz w:val="22"/>
          <w:szCs w:val="22"/>
          <w:lang w:val="en-GB" w:eastAsia="en-CA"/>
        </w:rPr>
        <w:t>b</w:t>
      </w:r>
      <w:r w:rsidRPr="00ED5B14">
        <w:rPr>
          <w:color w:val="000000"/>
          <w:sz w:val="22"/>
          <w:szCs w:val="22"/>
          <w:lang w:val="en-GB" w:eastAsia="en-CA"/>
        </w:rPr>
        <w:t xml:space="preserve">and; and to work towards community self-sufficiency regarding finances, employment and community readiness, food and energy, </w:t>
      </w:r>
      <w:r w:rsidRPr="00ED5B14">
        <w:rPr>
          <w:color w:val="000000"/>
          <w:sz w:val="22"/>
          <w:szCs w:val="22"/>
          <w:lang w:val="en-GB" w:eastAsia="en-CA"/>
        </w:rPr>
        <w:lastRenderedPageBreak/>
        <w:t xml:space="preserve">and foundational infrastructure. </w:t>
      </w:r>
      <w:r w:rsidR="005E74A6" w:rsidRPr="00ED5B14">
        <w:rPr>
          <w:color w:val="000000"/>
          <w:sz w:val="22"/>
          <w:szCs w:val="22"/>
          <w:lang w:val="en-GB" w:eastAsia="en-CA"/>
        </w:rPr>
        <w:t xml:space="preserve">The goals of the CEDP would ideally be realized through working with appropriate partners; striving to protect traditional values, practices, and land; and fostering and supporting community-owned </w:t>
      </w:r>
      <w:r w:rsidR="00637C5F" w:rsidRPr="00ED5B14">
        <w:rPr>
          <w:color w:val="000000"/>
          <w:sz w:val="22"/>
          <w:szCs w:val="22"/>
          <w:lang w:val="en-GB" w:eastAsia="en-CA"/>
        </w:rPr>
        <w:t>endeavours</w:t>
      </w:r>
      <w:r w:rsidR="005E74A6" w:rsidRPr="00ED5B14">
        <w:rPr>
          <w:color w:val="000000"/>
          <w:sz w:val="22"/>
          <w:szCs w:val="22"/>
          <w:lang w:val="en-GB" w:eastAsia="en-CA"/>
        </w:rPr>
        <w:t>.</w:t>
      </w:r>
    </w:p>
    <w:p w14:paraId="37379E6E" w14:textId="77777777" w:rsidR="00330445" w:rsidRPr="00ED5B14" w:rsidRDefault="00330445">
      <w:pPr>
        <w:widowControl w:val="0"/>
        <w:pBdr>
          <w:top w:val="nil"/>
          <w:left w:val="nil"/>
          <w:bottom w:val="nil"/>
          <w:right w:val="nil"/>
          <w:between w:val="nil"/>
        </w:pBdr>
        <w:jc w:val="both"/>
        <w:rPr>
          <w:color w:val="000000"/>
          <w:sz w:val="22"/>
          <w:szCs w:val="22"/>
          <w:lang w:val="en-GB" w:eastAsia="en-CA"/>
        </w:rPr>
      </w:pPr>
    </w:p>
    <w:p w14:paraId="66A5B61E" w14:textId="329208DA" w:rsidR="00330445" w:rsidRPr="00ED5B14" w:rsidRDefault="005E74A6">
      <w:pPr>
        <w:widowControl w:val="0"/>
        <w:pBdr>
          <w:top w:val="nil"/>
          <w:left w:val="nil"/>
          <w:bottom w:val="nil"/>
          <w:right w:val="nil"/>
          <w:between w:val="nil"/>
        </w:pBdr>
        <w:jc w:val="both"/>
        <w:rPr>
          <w:color w:val="000000"/>
          <w:sz w:val="22"/>
          <w:szCs w:val="22"/>
          <w:lang w:val="en-GB" w:eastAsia="en-CA"/>
        </w:rPr>
      </w:pPr>
      <w:r w:rsidRPr="00ED5B14">
        <w:rPr>
          <w:color w:val="000000"/>
          <w:sz w:val="22"/>
          <w:szCs w:val="22"/>
          <w:lang w:val="en-GB" w:eastAsia="en-CA"/>
        </w:rPr>
        <w:t xml:space="preserve">The CEDP mapped out specific targets and objectives in support of </w:t>
      </w:r>
      <w:r w:rsidR="00330445" w:rsidRPr="00ED5B14">
        <w:rPr>
          <w:color w:val="000000"/>
          <w:sz w:val="22"/>
          <w:szCs w:val="22"/>
          <w:lang w:val="en-GB" w:eastAsia="en-CA"/>
        </w:rPr>
        <w:t xml:space="preserve">these </w:t>
      </w:r>
      <w:r w:rsidRPr="00ED5B14">
        <w:rPr>
          <w:color w:val="000000"/>
          <w:sz w:val="22"/>
          <w:szCs w:val="22"/>
          <w:lang w:val="en-GB" w:eastAsia="en-CA"/>
        </w:rPr>
        <w:t xml:space="preserve">general </w:t>
      </w:r>
      <w:r w:rsidR="00330445" w:rsidRPr="00ED5B14">
        <w:rPr>
          <w:color w:val="000000"/>
          <w:sz w:val="22"/>
          <w:szCs w:val="22"/>
          <w:lang w:val="en-GB" w:eastAsia="en-CA"/>
        </w:rPr>
        <w:t>goals</w:t>
      </w:r>
      <w:r w:rsidRPr="00ED5B14">
        <w:rPr>
          <w:color w:val="000000"/>
          <w:sz w:val="22"/>
          <w:szCs w:val="22"/>
          <w:lang w:val="en-GB" w:eastAsia="en-CA"/>
        </w:rPr>
        <w:t xml:space="preserve">. These objectives included increasing the number of community members engaged in traditional practices around food and medicine to 100 per cent; introducing 20 backyard gardens and creating two community gardens (from none in 2015), while providing educational resources (books, soil, and seedlings) to members who wished to tend home gardens; and introducing three beehives (from one in 2015). The community also planned to acquire strategic off-reserve lands of interest and properties within the territory; </w:t>
      </w:r>
      <w:r w:rsidR="002A0746" w:rsidRPr="00ED5B14">
        <w:rPr>
          <w:color w:val="000000"/>
          <w:sz w:val="22"/>
          <w:szCs w:val="22"/>
          <w:lang w:val="en-GB" w:eastAsia="en-CA"/>
        </w:rPr>
        <w:t xml:space="preserve">to </w:t>
      </w:r>
      <w:r w:rsidRPr="00ED5B14">
        <w:rPr>
          <w:color w:val="000000"/>
          <w:sz w:val="22"/>
          <w:szCs w:val="22"/>
          <w:lang w:val="en-GB" w:eastAsia="en-CA"/>
        </w:rPr>
        <w:t xml:space="preserve">strive towards </w:t>
      </w:r>
      <w:r w:rsidR="002A0746" w:rsidRPr="00ED5B14">
        <w:rPr>
          <w:color w:val="000000"/>
          <w:sz w:val="22"/>
          <w:szCs w:val="22"/>
          <w:lang w:val="en-GB" w:eastAsia="en-CA"/>
        </w:rPr>
        <w:t xml:space="preserve">producing </w:t>
      </w:r>
      <w:r w:rsidRPr="00ED5B14">
        <w:rPr>
          <w:color w:val="000000"/>
          <w:sz w:val="22"/>
          <w:szCs w:val="22"/>
          <w:lang w:val="en-GB" w:eastAsia="en-CA"/>
        </w:rPr>
        <w:t>100</w:t>
      </w:r>
      <w:r w:rsidR="002A0746" w:rsidRPr="00ED5B14">
        <w:rPr>
          <w:color w:val="000000"/>
          <w:sz w:val="22"/>
          <w:szCs w:val="22"/>
          <w:lang w:val="en-GB" w:eastAsia="en-CA"/>
        </w:rPr>
        <w:t> </w:t>
      </w:r>
      <w:r w:rsidRPr="00ED5B14">
        <w:rPr>
          <w:color w:val="000000"/>
          <w:sz w:val="22"/>
          <w:szCs w:val="22"/>
          <w:lang w:val="en-GB" w:eastAsia="en-CA"/>
        </w:rPr>
        <w:t>per</w:t>
      </w:r>
      <w:r w:rsidR="002A0746" w:rsidRPr="00ED5B14">
        <w:rPr>
          <w:color w:val="000000"/>
          <w:sz w:val="22"/>
          <w:szCs w:val="22"/>
          <w:lang w:val="en-GB" w:eastAsia="en-CA"/>
        </w:rPr>
        <w:t> </w:t>
      </w:r>
      <w:r w:rsidRPr="00ED5B14">
        <w:rPr>
          <w:color w:val="000000"/>
          <w:sz w:val="22"/>
          <w:szCs w:val="22"/>
          <w:lang w:val="en-GB" w:eastAsia="en-CA"/>
        </w:rPr>
        <w:t xml:space="preserve">cent of </w:t>
      </w:r>
      <w:r w:rsidR="002A0746" w:rsidRPr="00ED5B14">
        <w:rPr>
          <w:color w:val="000000"/>
          <w:sz w:val="22"/>
          <w:szCs w:val="22"/>
          <w:lang w:val="en-GB" w:eastAsia="en-CA"/>
        </w:rPr>
        <w:t xml:space="preserve">the </w:t>
      </w:r>
      <w:r w:rsidRPr="00ED5B14">
        <w:rPr>
          <w:color w:val="000000"/>
          <w:sz w:val="22"/>
          <w:szCs w:val="22"/>
          <w:lang w:val="en-GB" w:eastAsia="en-CA"/>
        </w:rPr>
        <w:t xml:space="preserve">energy </w:t>
      </w:r>
      <w:r w:rsidR="002A0746" w:rsidRPr="00ED5B14">
        <w:rPr>
          <w:color w:val="000000"/>
          <w:sz w:val="22"/>
          <w:szCs w:val="22"/>
          <w:lang w:val="en-GB" w:eastAsia="en-CA"/>
        </w:rPr>
        <w:t xml:space="preserve">needed </w:t>
      </w:r>
      <w:r w:rsidRPr="00ED5B14">
        <w:rPr>
          <w:color w:val="000000"/>
          <w:sz w:val="22"/>
          <w:szCs w:val="22"/>
          <w:lang w:val="en-GB" w:eastAsia="en-CA"/>
        </w:rPr>
        <w:t>for community use (from 0 per</w:t>
      </w:r>
      <w:r w:rsidR="002A0746" w:rsidRPr="00ED5B14">
        <w:rPr>
          <w:color w:val="000000"/>
          <w:sz w:val="22"/>
          <w:szCs w:val="22"/>
          <w:lang w:val="en-GB" w:eastAsia="en-CA"/>
        </w:rPr>
        <w:t xml:space="preserve"> </w:t>
      </w:r>
      <w:r w:rsidRPr="00ED5B14">
        <w:rPr>
          <w:color w:val="000000"/>
          <w:sz w:val="22"/>
          <w:szCs w:val="22"/>
          <w:lang w:val="en-GB" w:eastAsia="en-CA"/>
        </w:rPr>
        <w:t xml:space="preserve">cent in 2015) through </w:t>
      </w:r>
      <w:r w:rsidR="002A0746" w:rsidRPr="00ED5B14">
        <w:rPr>
          <w:color w:val="000000"/>
          <w:sz w:val="22"/>
          <w:szCs w:val="22"/>
          <w:lang w:val="en-GB" w:eastAsia="en-CA"/>
        </w:rPr>
        <w:t xml:space="preserve">initiatives such as the </w:t>
      </w:r>
      <w:r w:rsidRPr="00ED5B14">
        <w:rPr>
          <w:color w:val="000000"/>
          <w:sz w:val="22"/>
          <w:szCs w:val="22"/>
          <w:lang w:val="en-GB" w:eastAsia="en-CA"/>
        </w:rPr>
        <w:t xml:space="preserve">Siwash Creek </w:t>
      </w:r>
      <w:r w:rsidR="002A0746" w:rsidRPr="00ED5B14">
        <w:rPr>
          <w:color w:val="000000"/>
          <w:sz w:val="22"/>
          <w:szCs w:val="22"/>
          <w:lang w:val="en-GB" w:eastAsia="en-CA"/>
        </w:rPr>
        <w:t>h</w:t>
      </w:r>
      <w:r w:rsidRPr="00ED5B14">
        <w:rPr>
          <w:color w:val="000000"/>
          <w:sz w:val="22"/>
          <w:szCs w:val="22"/>
          <w:lang w:val="en-GB" w:eastAsia="en-CA"/>
        </w:rPr>
        <w:t xml:space="preserve">ydropower </w:t>
      </w:r>
      <w:r w:rsidR="002A0746" w:rsidRPr="00ED5B14">
        <w:rPr>
          <w:color w:val="000000"/>
          <w:sz w:val="22"/>
          <w:szCs w:val="22"/>
          <w:lang w:val="en-GB" w:eastAsia="en-CA"/>
        </w:rPr>
        <w:t>p</w:t>
      </w:r>
      <w:r w:rsidRPr="00ED5B14">
        <w:rPr>
          <w:color w:val="000000"/>
          <w:sz w:val="22"/>
          <w:szCs w:val="22"/>
          <w:lang w:val="en-GB" w:eastAsia="en-CA"/>
        </w:rPr>
        <w:t xml:space="preserve">roject and solar </w:t>
      </w:r>
      <w:r w:rsidR="002A0746" w:rsidRPr="00ED5B14">
        <w:rPr>
          <w:color w:val="000000"/>
          <w:sz w:val="22"/>
          <w:szCs w:val="22"/>
          <w:lang w:val="en-GB" w:eastAsia="en-CA"/>
        </w:rPr>
        <w:t xml:space="preserve">power pilot </w:t>
      </w:r>
      <w:r w:rsidRPr="00ED5B14">
        <w:rPr>
          <w:color w:val="000000"/>
          <w:sz w:val="22"/>
          <w:szCs w:val="22"/>
          <w:lang w:val="en-GB" w:eastAsia="en-CA"/>
        </w:rPr>
        <w:t xml:space="preserve">projects; </w:t>
      </w:r>
      <w:r w:rsidR="002A0746" w:rsidRPr="00ED5B14">
        <w:rPr>
          <w:color w:val="000000"/>
          <w:sz w:val="22"/>
          <w:szCs w:val="22"/>
          <w:lang w:val="en-GB" w:eastAsia="en-CA"/>
        </w:rPr>
        <w:t xml:space="preserve">to </w:t>
      </w:r>
      <w:r w:rsidRPr="00ED5B14">
        <w:rPr>
          <w:color w:val="000000"/>
          <w:sz w:val="22"/>
          <w:szCs w:val="22"/>
          <w:lang w:val="en-GB" w:eastAsia="en-CA"/>
        </w:rPr>
        <w:t xml:space="preserve">drop the unemployment rate by more than half; and </w:t>
      </w:r>
      <w:r w:rsidR="002A0746" w:rsidRPr="00ED5B14">
        <w:rPr>
          <w:color w:val="000000"/>
          <w:sz w:val="22"/>
          <w:szCs w:val="22"/>
          <w:lang w:val="en-GB" w:eastAsia="en-CA"/>
        </w:rPr>
        <w:t xml:space="preserve">to </w:t>
      </w:r>
      <w:r w:rsidRPr="00ED5B14">
        <w:rPr>
          <w:color w:val="000000"/>
          <w:sz w:val="22"/>
          <w:szCs w:val="22"/>
          <w:lang w:val="en-GB" w:eastAsia="en-CA"/>
        </w:rPr>
        <w:t xml:space="preserve">increase </w:t>
      </w:r>
      <w:r w:rsidR="002A0746" w:rsidRPr="00ED5B14">
        <w:rPr>
          <w:color w:val="000000"/>
          <w:sz w:val="22"/>
          <w:szCs w:val="22"/>
          <w:lang w:val="en-GB" w:eastAsia="en-CA"/>
        </w:rPr>
        <w:t xml:space="preserve">the community’s </w:t>
      </w:r>
      <w:r w:rsidRPr="00ED5B14">
        <w:rPr>
          <w:color w:val="000000"/>
          <w:sz w:val="22"/>
          <w:szCs w:val="22"/>
          <w:lang w:val="en-GB" w:eastAsia="en-CA"/>
        </w:rPr>
        <w:t>own</w:t>
      </w:r>
      <w:r w:rsidR="002A0746" w:rsidRPr="00ED5B14">
        <w:rPr>
          <w:color w:val="000000"/>
          <w:sz w:val="22"/>
          <w:szCs w:val="22"/>
          <w:lang w:val="en-GB" w:eastAsia="en-CA"/>
        </w:rPr>
        <w:t>-</w:t>
      </w:r>
      <w:r w:rsidRPr="00ED5B14">
        <w:rPr>
          <w:color w:val="000000"/>
          <w:sz w:val="22"/>
          <w:szCs w:val="22"/>
          <w:lang w:val="en-GB" w:eastAsia="en-CA"/>
        </w:rPr>
        <w:t>source</w:t>
      </w:r>
      <w:r w:rsidR="002A0746" w:rsidRPr="00ED5B14">
        <w:rPr>
          <w:color w:val="000000"/>
          <w:sz w:val="22"/>
          <w:szCs w:val="22"/>
          <w:lang w:val="en-GB" w:eastAsia="en-CA"/>
        </w:rPr>
        <w:t>d</w:t>
      </w:r>
      <w:r w:rsidRPr="00ED5B14">
        <w:rPr>
          <w:color w:val="000000"/>
          <w:sz w:val="22"/>
          <w:szCs w:val="22"/>
          <w:lang w:val="en-GB" w:eastAsia="en-CA"/>
        </w:rPr>
        <w:t xml:space="preserve"> revenue by 20 per </w:t>
      </w:r>
      <w:r w:rsidR="008C649C" w:rsidRPr="00ED5B14">
        <w:rPr>
          <w:color w:val="000000"/>
          <w:sz w:val="22"/>
          <w:szCs w:val="22"/>
          <w:lang w:val="en-GB" w:eastAsia="en-CA"/>
        </w:rPr>
        <w:t>cent. The</w:t>
      </w:r>
      <w:r w:rsidR="000958D6" w:rsidRPr="00ED5B14">
        <w:rPr>
          <w:color w:val="000000"/>
          <w:sz w:val="22"/>
          <w:szCs w:val="22"/>
          <w:lang w:val="en-GB" w:eastAsia="en-CA"/>
        </w:rPr>
        <w:t xml:space="preserve"> community </w:t>
      </w:r>
      <w:r w:rsidR="00330445" w:rsidRPr="00ED5B14">
        <w:rPr>
          <w:color w:val="000000"/>
          <w:sz w:val="22"/>
          <w:szCs w:val="22"/>
          <w:lang w:val="en-GB" w:eastAsia="en-CA"/>
        </w:rPr>
        <w:t>achieve</w:t>
      </w:r>
      <w:r w:rsidR="000958D6" w:rsidRPr="00ED5B14">
        <w:rPr>
          <w:color w:val="000000"/>
          <w:sz w:val="22"/>
          <w:szCs w:val="22"/>
          <w:lang w:val="en-GB" w:eastAsia="en-CA"/>
        </w:rPr>
        <w:t>d</w:t>
      </w:r>
      <w:r w:rsidR="00330445" w:rsidRPr="00ED5B14">
        <w:rPr>
          <w:color w:val="000000"/>
          <w:sz w:val="22"/>
          <w:szCs w:val="22"/>
          <w:lang w:val="en-GB" w:eastAsia="en-CA"/>
        </w:rPr>
        <w:t xml:space="preserve"> these goals</w:t>
      </w:r>
      <w:r w:rsidR="000958D6" w:rsidRPr="00ED5B14">
        <w:rPr>
          <w:color w:val="000000"/>
          <w:sz w:val="22"/>
          <w:szCs w:val="22"/>
          <w:lang w:val="en-GB" w:eastAsia="en-CA"/>
        </w:rPr>
        <w:t xml:space="preserve"> through </w:t>
      </w:r>
      <w:r w:rsidR="00330445" w:rsidRPr="00ED5B14">
        <w:rPr>
          <w:color w:val="000000"/>
          <w:sz w:val="22"/>
          <w:szCs w:val="22"/>
          <w:lang w:val="en-GB" w:eastAsia="en-CA"/>
        </w:rPr>
        <w:t xml:space="preserve">pilot projects </w:t>
      </w:r>
      <w:r w:rsidR="000958D6" w:rsidRPr="00ED5B14">
        <w:rPr>
          <w:color w:val="000000"/>
          <w:sz w:val="22"/>
          <w:szCs w:val="22"/>
          <w:lang w:val="en-GB" w:eastAsia="en-CA"/>
        </w:rPr>
        <w:t>that</w:t>
      </w:r>
      <w:r w:rsidR="00330445" w:rsidRPr="00ED5B14">
        <w:rPr>
          <w:color w:val="000000"/>
          <w:sz w:val="22"/>
          <w:szCs w:val="22"/>
          <w:lang w:val="en-GB" w:eastAsia="en-CA"/>
        </w:rPr>
        <w:t xml:space="preserve"> ensure</w:t>
      </w:r>
      <w:r w:rsidR="000958D6" w:rsidRPr="00ED5B14">
        <w:rPr>
          <w:color w:val="000000"/>
          <w:sz w:val="22"/>
          <w:szCs w:val="22"/>
          <w:lang w:val="en-GB" w:eastAsia="en-CA"/>
        </w:rPr>
        <w:t>d</w:t>
      </w:r>
      <w:r w:rsidR="00330445" w:rsidRPr="00ED5B14">
        <w:rPr>
          <w:color w:val="000000"/>
          <w:sz w:val="22"/>
          <w:szCs w:val="22"/>
          <w:lang w:val="en-GB" w:eastAsia="en-CA"/>
        </w:rPr>
        <w:t xml:space="preserve"> continual and sustainable capacity building</w:t>
      </w:r>
      <w:r w:rsidR="000958D6" w:rsidRPr="00ED5B14">
        <w:rPr>
          <w:color w:val="000000"/>
          <w:sz w:val="22"/>
          <w:szCs w:val="22"/>
          <w:lang w:val="en-GB" w:eastAsia="en-CA"/>
        </w:rPr>
        <w:t xml:space="preserve"> and generated interest and benefits for the </w:t>
      </w:r>
      <w:r w:rsidR="00330445" w:rsidRPr="00ED5B14">
        <w:rPr>
          <w:color w:val="000000"/>
          <w:sz w:val="22"/>
          <w:szCs w:val="22"/>
          <w:lang w:val="en-GB" w:eastAsia="en-CA"/>
        </w:rPr>
        <w:t xml:space="preserve">community. The CEDP summary </w:t>
      </w:r>
      <w:r w:rsidR="000958D6" w:rsidRPr="00ED5B14">
        <w:rPr>
          <w:color w:val="000000"/>
          <w:sz w:val="22"/>
          <w:szCs w:val="22"/>
          <w:lang w:val="en-GB" w:eastAsia="en-CA"/>
        </w:rPr>
        <w:t xml:space="preserve">outlined </w:t>
      </w:r>
      <w:r w:rsidR="00330445" w:rsidRPr="00ED5B14">
        <w:rPr>
          <w:color w:val="000000"/>
          <w:sz w:val="22"/>
          <w:szCs w:val="22"/>
          <w:lang w:val="en-GB" w:eastAsia="en-CA"/>
        </w:rPr>
        <w:t>the projects that the community agreed to implement over the following five years (</w:t>
      </w:r>
      <w:r w:rsidR="00901802" w:rsidRPr="00ED5B14">
        <w:rPr>
          <w:color w:val="000000"/>
          <w:sz w:val="22"/>
          <w:szCs w:val="22"/>
          <w:lang w:val="en-GB" w:eastAsia="en-CA"/>
        </w:rPr>
        <w:t xml:space="preserve">see </w:t>
      </w:r>
      <w:r w:rsidR="00330445" w:rsidRPr="00ED5B14">
        <w:rPr>
          <w:color w:val="000000"/>
          <w:sz w:val="22"/>
          <w:szCs w:val="22"/>
          <w:lang w:val="en-GB" w:eastAsia="en-CA"/>
        </w:rPr>
        <w:t>Exhibit 2).</w:t>
      </w:r>
    </w:p>
    <w:p w14:paraId="7E4893BB" w14:textId="77777777" w:rsidR="00330445" w:rsidRPr="00ED5B14" w:rsidRDefault="00330445">
      <w:pPr>
        <w:widowControl w:val="0"/>
        <w:pBdr>
          <w:top w:val="nil"/>
          <w:left w:val="nil"/>
          <w:bottom w:val="nil"/>
          <w:right w:val="nil"/>
          <w:between w:val="nil"/>
        </w:pBdr>
        <w:jc w:val="both"/>
        <w:rPr>
          <w:color w:val="000000"/>
          <w:sz w:val="22"/>
          <w:szCs w:val="22"/>
          <w:lang w:val="en-GB" w:eastAsia="en-CA"/>
        </w:rPr>
      </w:pPr>
    </w:p>
    <w:p w14:paraId="41587048" w14:textId="65CF756D" w:rsidR="00330445" w:rsidRPr="007965F1" w:rsidRDefault="00330445">
      <w:pPr>
        <w:widowControl w:val="0"/>
        <w:pBdr>
          <w:top w:val="nil"/>
          <w:left w:val="nil"/>
          <w:bottom w:val="nil"/>
          <w:right w:val="nil"/>
          <w:between w:val="nil"/>
        </w:pBdr>
        <w:tabs>
          <w:tab w:val="left" w:pos="220"/>
          <w:tab w:val="left" w:pos="720"/>
        </w:tabs>
        <w:jc w:val="both"/>
        <w:rPr>
          <w:color w:val="000000"/>
          <w:spacing w:val="-2"/>
          <w:kern w:val="22"/>
          <w:sz w:val="22"/>
          <w:szCs w:val="22"/>
          <w:lang w:val="en-GB" w:eastAsia="en-CA"/>
        </w:rPr>
      </w:pPr>
      <w:r w:rsidRPr="007965F1">
        <w:rPr>
          <w:color w:val="000000"/>
          <w:spacing w:val="-2"/>
          <w:kern w:val="22"/>
          <w:sz w:val="22"/>
          <w:szCs w:val="22"/>
          <w:lang w:val="en-GB" w:eastAsia="en-CA"/>
        </w:rPr>
        <w:t xml:space="preserve">As the CEDP was laid down, the community also took a census of its members. As of 2017, </w:t>
      </w:r>
      <w:r w:rsidR="000958D6" w:rsidRPr="007965F1">
        <w:rPr>
          <w:color w:val="000000"/>
          <w:spacing w:val="-2"/>
          <w:kern w:val="22"/>
          <w:sz w:val="22"/>
          <w:szCs w:val="22"/>
          <w:lang w:val="en-GB" w:eastAsia="en-CA"/>
        </w:rPr>
        <w:t xml:space="preserve">there were 237 people in the </w:t>
      </w:r>
      <w:r w:rsidRPr="007965F1">
        <w:rPr>
          <w:color w:val="000000"/>
          <w:spacing w:val="-2"/>
          <w:kern w:val="22"/>
          <w:sz w:val="22"/>
          <w:szCs w:val="22"/>
          <w:lang w:val="en-GB" w:eastAsia="en-CA"/>
        </w:rPr>
        <w:t xml:space="preserve">Kanaka Bar </w:t>
      </w:r>
      <w:r w:rsidR="000958D6" w:rsidRPr="007965F1">
        <w:rPr>
          <w:color w:val="000000"/>
          <w:spacing w:val="-2"/>
          <w:kern w:val="22"/>
          <w:sz w:val="22"/>
          <w:szCs w:val="22"/>
          <w:lang w:val="en-GB" w:eastAsia="en-CA"/>
        </w:rPr>
        <w:t>community</w:t>
      </w:r>
      <w:r w:rsidRPr="007965F1">
        <w:rPr>
          <w:color w:val="000000"/>
          <w:spacing w:val="-2"/>
          <w:kern w:val="22"/>
          <w:sz w:val="22"/>
          <w:szCs w:val="22"/>
          <w:lang w:val="en-GB" w:eastAsia="en-CA"/>
        </w:rPr>
        <w:t xml:space="preserve">, </w:t>
      </w:r>
      <w:r w:rsidR="000958D6" w:rsidRPr="007965F1">
        <w:rPr>
          <w:color w:val="000000"/>
          <w:spacing w:val="-2"/>
          <w:kern w:val="22"/>
          <w:sz w:val="22"/>
          <w:szCs w:val="22"/>
          <w:lang w:val="en-GB" w:eastAsia="en-CA"/>
        </w:rPr>
        <w:t xml:space="preserve">but </w:t>
      </w:r>
      <w:r w:rsidRPr="007965F1">
        <w:rPr>
          <w:color w:val="000000"/>
          <w:spacing w:val="-2"/>
          <w:kern w:val="22"/>
          <w:sz w:val="22"/>
          <w:szCs w:val="22"/>
          <w:lang w:val="en-GB" w:eastAsia="en-CA"/>
        </w:rPr>
        <w:t xml:space="preserve">only 62 </w:t>
      </w:r>
      <w:r w:rsidR="000958D6" w:rsidRPr="007965F1">
        <w:rPr>
          <w:color w:val="000000"/>
          <w:spacing w:val="-2"/>
          <w:kern w:val="22"/>
          <w:sz w:val="22"/>
          <w:szCs w:val="22"/>
          <w:lang w:val="en-GB" w:eastAsia="en-CA"/>
        </w:rPr>
        <w:t xml:space="preserve">lived </w:t>
      </w:r>
      <w:r w:rsidRPr="007965F1">
        <w:rPr>
          <w:color w:val="000000"/>
          <w:spacing w:val="-2"/>
          <w:kern w:val="22"/>
          <w:sz w:val="22"/>
          <w:szCs w:val="22"/>
          <w:lang w:val="en-GB" w:eastAsia="en-CA"/>
        </w:rPr>
        <w:t>year-round on community lands,</w:t>
      </w:r>
      <w:r w:rsidRPr="007965F1">
        <w:rPr>
          <w:color w:val="000000"/>
          <w:spacing w:val="-2"/>
          <w:kern w:val="22"/>
          <w:sz w:val="22"/>
          <w:szCs w:val="22"/>
          <w:vertAlign w:val="superscript"/>
          <w:lang w:val="en-GB" w:eastAsia="en-CA"/>
        </w:rPr>
        <w:endnoteReference w:id="25"/>
      </w:r>
      <w:r w:rsidRPr="007965F1">
        <w:rPr>
          <w:color w:val="000000"/>
          <w:spacing w:val="-2"/>
          <w:kern w:val="22"/>
          <w:sz w:val="22"/>
          <w:szCs w:val="22"/>
          <w:lang w:val="en-GB" w:eastAsia="en-CA"/>
        </w:rPr>
        <w:t xml:space="preserve"> largely </w:t>
      </w:r>
      <w:r w:rsidR="000958D6" w:rsidRPr="007965F1">
        <w:rPr>
          <w:color w:val="000000"/>
          <w:spacing w:val="-2"/>
          <w:kern w:val="22"/>
          <w:sz w:val="22"/>
          <w:szCs w:val="22"/>
          <w:lang w:val="en-GB" w:eastAsia="en-CA"/>
        </w:rPr>
        <w:t xml:space="preserve">because of </w:t>
      </w:r>
      <w:r w:rsidRPr="007965F1">
        <w:rPr>
          <w:color w:val="000000"/>
          <w:spacing w:val="-2"/>
          <w:kern w:val="22"/>
          <w:sz w:val="22"/>
          <w:szCs w:val="22"/>
          <w:lang w:val="en-GB" w:eastAsia="en-CA"/>
        </w:rPr>
        <w:t>a shortage of housing and employment opportunities. Many other members return</w:t>
      </w:r>
      <w:r w:rsidR="000958D6" w:rsidRPr="007965F1">
        <w:rPr>
          <w:color w:val="000000"/>
          <w:spacing w:val="-2"/>
          <w:kern w:val="22"/>
          <w:sz w:val="22"/>
          <w:szCs w:val="22"/>
          <w:lang w:val="en-GB" w:eastAsia="en-CA"/>
        </w:rPr>
        <w:t>ed</w:t>
      </w:r>
      <w:r w:rsidRPr="007965F1">
        <w:rPr>
          <w:color w:val="000000"/>
          <w:spacing w:val="-2"/>
          <w:kern w:val="22"/>
          <w:sz w:val="22"/>
          <w:szCs w:val="22"/>
          <w:lang w:val="en-GB" w:eastAsia="en-CA"/>
        </w:rPr>
        <w:t xml:space="preserve"> to the community lands throughout the year. The </w:t>
      </w:r>
      <w:r w:rsidR="000958D6" w:rsidRPr="007965F1">
        <w:rPr>
          <w:color w:val="000000"/>
          <w:spacing w:val="-2"/>
          <w:kern w:val="22"/>
          <w:sz w:val="22"/>
          <w:szCs w:val="22"/>
          <w:lang w:val="en-GB" w:eastAsia="en-CA"/>
        </w:rPr>
        <w:t xml:space="preserve">resident </w:t>
      </w:r>
      <w:r w:rsidRPr="007965F1">
        <w:rPr>
          <w:color w:val="000000"/>
          <w:spacing w:val="-2"/>
          <w:kern w:val="22"/>
          <w:sz w:val="22"/>
          <w:szCs w:val="22"/>
          <w:lang w:val="en-GB" w:eastAsia="en-CA"/>
        </w:rPr>
        <w:t>community members live</w:t>
      </w:r>
      <w:r w:rsidR="000958D6" w:rsidRPr="007965F1">
        <w:rPr>
          <w:color w:val="000000"/>
          <w:spacing w:val="-2"/>
          <w:kern w:val="22"/>
          <w:sz w:val="22"/>
          <w:szCs w:val="22"/>
          <w:lang w:val="en-GB" w:eastAsia="en-CA"/>
        </w:rPr>
        <w:t>d</w:t>
      </w:r>
      <w:r w:rsidRPr="007965F1">
        <w:rPr>
          <w:color w:val="000000"/>
          <w:spacing w:val="-2"/>
          <w:kern w:val="22"/>
          <w:sz w:val="22"/>
          <w:szCs w:val="22"/>
          <w:lang w:val="en-GB" w:eastAsia="en-CA"/>
        </w:rPr>
        <w:t xml:space="preserve"> </w:t>
      </w:r>
      <w:r w:rsidR="000958D6" w:rsidRPr="007965F1">
        <w:rPr>
          <w:color w:val="000000"/>
          <w:spacing w:val="-2"/>
          <w:kern w:val="22"/>
          <w:sz w:val="22"/>
          <w:szCs w:val="22"/>
          <w:lang w:val="en-GB" w:eastAsia="en-CA"/>
        </w:rPr>
        <w:t xml:space="preserve">in </w:t>
      </w:r>
      <w:r w:rsidRPr="007965F1">
        <w:rPr>
          <w:color w:val="000000"/>
          <w:spacing w:val="-2"/>
          <w:kern w:val="22"/>
          <w:sz w:val="22"/>
          <w:szCs w:val="22"/>
          <w:lang w:val="en-GB" w:eastAsia="en-CA"/>
        </w:rPr>
        <w:t xml:space="preserve">20 dwellings </w:t>
      </w:r>
      <w:r w:rsidR="000958D6" w:rsidRPr="007965F1">
        <w:rPr>
          <w:color w:val="000000"/>
          <w:spacing w:val="-2"/>
          <w:kern w:val="22"/>
          <w:sz w:val="22"/>
          <w:szCs w:val="22"/>
          <w:lang w:val="en-GB" w:eastAsia="en-CA"/>
        </w:rPr>
        <w:t xml:space="preserve">across </w:t>
      </w:r>
      <w:r w:rsidRPr="007965F1">
        <w:rPr>
          <w:color w:val="000000"/>
          <w:spacing w:val="-2"/>
          <w:kern w:val="22"/>
          <w:sz w:val="22"/>
          <w:szCs w:val="22"/>
          <w:lang w:val="en-GB" w:eastAsia="en-CA"/>
        </w:rPr>
        <w:t>the reserve lands,</w:t>
      </w:r>
      <w:r w:rsidRPr="007965F1">
        <w:rPr>
          <w:color w:val="000000"/>
          <w:spacing w:val="-2"/>
          <w:kern w:val="22"/>
          <w:sz w:val="22"/>
          <w:szCs w:val="22"/>
          <w:vertAlign w:val="superscript"/>
          <w:lang w:val="en-GB" w:eastAsia="en-CA"/>
        </w:rPr>
        <w:endnoteReference w:id="26"/>
      </w:r>
      <w:r w:rsidR="00901802" w:rsidRPr="007965F1">
        <w:rPr>
          <w:color w:val="000000"/>
          <w:spacing w:val="-2"/>
          <w:kern w:val="22"/>
          <w:sz w:val="22"/>
          <w:szCs w:val="22"/>
          <w:lang w:val="en-GB" w:eastAsia="en-CA"/>
        </w:rPr>
        <w:t xml:space="preserve"> </w:t>
      </w:r>
      <w:r w:rsidR="00E44C7F" w:rsidRPr="007965F1">
        <w:rPr>
          <w:color w:val="000000"/>
          <w:spacing w:val="-2"/>
          <w:kern w:val="22"/>
          <w:sz w:val="22"/>
          <w:szCs w:val="22"/>
          <w:lang w:val="en-GB" w:eastAsia="en-CA"/>
        </w:rPr>
        <w:t xml:space="preserve">and </w:t>
      </w:r>
      <w:r w:rsidR="00901802" w:rsidRPr="007965F1">
        <w:rPr>
          <w:color w:val="000000"/>
          <w:spacing w:val="-2"/>
          <w:kern w:val="22"/>
          <w:sz w:val="22"/>
          <w:szCs w:val="22"/>
          <w:lang w:val="en-GB" w:eastAsia="en-CA"/>
        </w:rPr>
        <w:t>almost 90 per cent</w:t>
      </w:r>
      <w:r w:rsidRPr="007965F1">
        <w:rPr>
          <w:color w:val="000000"/>
          <w:spacing w:val="-2"/>
          <w:kern w:val="22"/>
          <w:sz w:val="22"/>
          <w:szCs w:val="22"/>
          <w:lang w:val="en-GB" w:eastAsia="en-CA"/>
        </w:rPr>
        <w:t xml:space="preserve"> of the</w:t>
      </w:r>
      <w:r w:rsidR="00E44C7F" w:rsidRPr="007965F1">
        <w:rPr>
          <w:color w:val="000000"/>
          <w:spacing w:val="-2"/>
          <w:kern w:val="22"/>
          <w:sz w:val="22"/>
          <w:szCs w:val="22"/>
          <w:lang w:val="en-GB" w:eastAsia="en-CA"/>
        </w:rPr>
        <w:t>se</w:t>
      </w:r>
      <w:r w:rsidRPr="007965F1">
        <w:rPr>
          <w:color w:val="000000"/>
          <w:spacing w:val="-2"/>
          <w:kern w:val="22"/>
          <w:sz w:val="22"/>
          <w:szCs w:val="22"/>
          <w:lang w:val="en-GB" w:eastAsia="en-CA"/>
        </w:rPr>
        <w:t xml:space="preserve"> people </w:t>
      </w:r>
      <w:r w:rsidR="00E44C7F" w:rsidRPr="007965F1">
        <w:rPr>
          <w:color w:val="000000"/>
          <w:spacing w:val="-2"/>
          <w:kern w:val="22"/>
          <w:sz w:val="22"/>
          <w:szCs w:val="22"/>
          <w:lang w:val="en-GB" w:eastAsia="en-CA"/>
        </w:rPr>
        <w:t xml:space="preserve">had lived </w:t>
      </w:r>
      <w:r w:rsidRPr="007965F1">
        <w:rPr>
          <w:color w:val="000000"/>
          <w:spacing w:val="-2"/>
          <w:kern w:val="22"/>
          <w:sz w:val="22"/>
          <w:szCs w:val="22"/>
          <w:lang w:val="en-GB" w:eastAsia="en-CA"/>
        </w:rPr>
        <w:t>at the same address for at least five years.</w:t>
      </w:r>
      <w:r w:rsidRPr="007965F1">
        <w:rPr>
          <w:color w:val="000000"/>
          <w:spacing w:val="-2"/>
          <w:kern w:val="22"/>
          <w:sz w:val="22"/>
          <w:szCs w:val="22"/>
          <w:vertAlign w:val="superscript"/>
          <w:lang w:val="en-GB" w:eastAsia="en-CA"/>
        </w:rPr>
        <w:endnoteReference w:id="27"/>
      </w:r>
      <w:r w:rsidRPr="007965F1">
        <w:rPr>
          <w:color w:val="000000"/>
          <w:spacing w:val="-2"/>
          <w:kern w:val="22"/>
          <w:sz w:val="22"/>
          <w:szCs w:val="22"/>
          <w:lang w:val="en-GB" w:eastAsia="en-CA"/>
        </w:rPr>
        <w:t xml:space="preserve"> The community was relatively young in 2017, with </w:t>
      </w:r>
      <w:r w:rsidR="00E44C7F" w:rsidRPr="007965F1">
        <w:rPr>
          <w:color w:val="000000"/>
          <w:spacing w:val="-2"/>
          <w:kern w:val="22"/>
          <w:sz w:val="22"/>
          <w:szCs w:val="22"/>
          <w:lang w:val="en-GB" w:eastAsia="en-CA"/>
        </w:rPr>
        <w:t xml:space="preserve">a </w:t>
      </w:r>
      <w:r w:rsidRPr="007965F1">
        <w:rPr>
          <w:color w:val="000000"/>
          <w:spacing w:val="-2"/>
          <w:kern w:val="22"/>
          <w:sz w:val="22"/>
          <w:szCs w:val="22"/>
          <w:lang w:val="en-GB" w:eastAsia="en-CA"/>
        </w:rPr>
        <w:t>median age of 28 years and over 37</w:t>
      </w:r>
      <w:r w:rsidR="00901802" w:rsidRPr="007965F1">
        <w:rPr>
          <w:color w:val="000000"/>
          <w:spacing w:val="-2"/>
          <w:kern w:val="22"/>
          <w:sz w:val="22"/>
          <w:szCs w:val="22"/>
          <w:lang w:val="en-GB" w:eastAsia="en-CA"/>
        </w:rPr>
        <w:t xml:space="preserve"> per cent</w:t>
      </w:r>
      <w:r w:rsidRPr="007965F1">
        <w:rPr>
          <w:color w:val="000000"/>
          <w:spacing w:val="-2"/>
          <w:kern w:val="22"/>
          <w:sz w:val="22"/>
          <w:szCs w:val="22"/>
          <w:lang w:val="en-GB" w:eastAsia="en-CA"/>
        </w:rPr>
        <w:t xml:space="preserve"> younger than 20 years.</w:t>
      </w:r>
      <w:r w:rsidRPr="007965F1">
        <w:rPr>
          <w:color w:val="000000"/>
          <w:spacing w:val="-2"/>
          <w:kern w:val="22"/>
          <w:sz w:val="22"/>
          <w:szCs w:val="22"/>
          <w:vertAlign w:val="superscript"/>
          <w:lang w:val="en-GB" w:eastAsia="en-CA"/>
        </w:rPr>
        <w:endnoteReference w:id="28"/>
      </w:r>
      <w:r w:rsidRPr="007965F1">
        <w:rPr>
          <w:color w:val="000000"/>
          <w:spacing w:val="-2"/>
          <w:kern w:val="22"/>
          <w:sz w:val="22"/>
          <w:szCs w:val="22"/>
          <w:lang w:val="en-GB" w:eastAsia="en-CA"/>
        </w:rPr>
        <w:t xml:space="preserve"> </w:t>
      </w:r>
    </w:p>
    <w:p w14:paraId="78D86407" w14:textId="77777777" w:rsidR="00330445" w:rsidRPr="00ED5B14" w:rsidRDefault="00330445">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208253A3" w14:textId="01254E75" w:rsidR="00330445" w:rsidRDefault="00330445">
      <w:pPr>
        <w:widowControl w:val="0"/>
        <w:pBdr>
          <w:top w:val="nil"/>
          <w:left w:val="nil"/>
          <w:bottom w:val="nil"/>
          <w:right w:val="nil"/>
          <w:between w:val="nil"/>
        </w:pBdr>
        <w:tabs>
          <w:tab w:val="left" w:pos="220"/>
          <w:tab w:val="left" w:pos="720"/>
        </w:tabs>
        <w:jc w:val="both"/>
        <w:rPr>
          <w:color w:val="000000"/>
          <w:sz w:val="22"/>
          <w:szCs w:val="22"/>
          <w:lang w:val="en-GB" w:eastAsia="en-CA"/>
        </w:rPr>
      </w:pPr>
      <w:r w:rsidRPr="00ED5B14">
        <w:rPr>
          <w:color w:val="000000"/>
          <w:sz w:val="22"/>
          <w:szCs w:val="22"/>
          <w:lang w:val="en-GB" w:eastAsia="en-CA"/>
        </w:rPr>
        <w:t>While fa</w:t>
      </w:r>
      <w:r w:rsidR="00901802" w:rsidRPr="00ED5B14">
        <w:rPr>
          <w:color w:val="000000"/>
          <w:sz w:val="22"/>
          <w:szCs w:val="22"/>
          <w:lang w:val="en-GB" w:eastAsia="en-CA"/>
        </w:rPr>
        <w:t>cing an unemployment rate of 11 per cent</w:t>
      </w:r>
      <w:r w:rsidRPr="00ED5B14">
        <w:rPr>
          <w:color w:val="000000"/>
          <w:sz w:val="22"/>
          <w:szCs w:val="22"/>
          <w:lang w:val="en-GB" w:eastAsia="en-CA"/>
        </w:rPr>
        <w:t xml:space="preserve"> in 2015, community members work primarily in agricultural, forestry, energy</w:t>
      </w:r>
      <w:r w:rsidR="00E44C7F" w:rsidRPr="00ED5B14">
        <w:rPr>
          <w:color w:val="000000"/>
          <w:sz w:val="22"/>
          <w:szCs w:val="22"/>
          <w:lang w:val="en-GB" w:eastAsia="en-CA"/>
        </w:rPr>
        <w:t>,</w:t>
      </w:r>
      <w:r w:rsidRPr="00ED5B14">
        <w:rPr>
          <w:color w:val="000000"/>
          <w:sz w:val="22"/>
          <w:szCs w:val="22"/>
          <w:lang w:val="en-GB" w:eastAsia="en-CA"/>
        </w:rPr>
        <w:t xml:space="preserve"> and mining activities. Members maintain</w:t>
      </w:r>
      <w:r w:rsidR="00990361">
        <w:rPr>
          <w:color w:val="000000"/>
          <w:sz w:val="22"/>
          <w:szCs w:val="22"/>
          <w:lang w:val="en-GB" w:eastAsia="en-CA"/>
        </w:rPr>
        <w:t xml:space="preserve"> a</w:t>
      </w:r>
      <w:r w:rsidRPr="00ED5B14">
        <w:rPr>
          <w:color w:val="000000"/>
          <w:sz w:val="22"/>
          <w:szCs w:val="22"/>
          <w:lang w:val="en-GB" w:eastAsia="en-CA"/>
        </w:rPr>
        <w:t xml:space="preserve"> myriad </w:t>
      </w:r>
      <w:r w:rsidR="00990361">
        <w:rPr>
          <w:color w:val="000000"/>
          <w:sz w:val="22"/>
          <w:szCs w:val="22"/>
          <w:lang w:val="en-GB" w:eastAsia="en-CA"/>
        </w:rPr>
        <w:t xml:space="preserve">of </w:t>
      </w:r>
      <w:r w:rsidRPr="00ED5B14">
        <w:rPr>
          <w:color w:val="000000"/>
          <w:sz w:val="22"/>
          <w:szCs w:val="22"/>
          <w:lang w:val="en-GB" w:eastAsia="en-CA"/>
        </w:rPr>
        <w:t xml:space="preserve">traditional skills including catching, smoking, drying, canning, and cooking fish; hunting; beading and sewing; gardening; </w:t>
      </w:r>
      <w:r w:rsidR="00E44C7F" w:rsidRPr="00ED5B14">
        <w:rPr>
          <w:color w:val="000000"/>
          <w:sz w:val="22"/>
          <w:szCs w:val="22"/>
          <w:lang w:val="en-GB" w:eastAsia="en-CA"/>
        </w:rPr>
        <w:t xml:space="preserve">working in </w:t>
      </w:r>
      <w:r w:rsidRPr="00ED5B14">
        <w:rPr>
          <w:color w:val="000000"/>
          <w:sz w:val="22"/>
          <w:szCs w:val="22"/>
          <w:lang w:val="en-GB" w:eastAsia="en-CA"/>
        </w:rPr>
        <w:t>lumber and forestry</w:t>
      </w:r>
      <w:r w:rsidR="00E44C7F" w:rsidRPr="00ED5B14">
        <w:rPr>
          <w:color w:val="000000"/>
          <w:sz w:val="22"/>
          <w:szCs w:val="22"/>
          <w:lang w:val="en-GB" w:eastAsia="en-CA"/>
        </w:rPr>
        <w:t>;</w:t>
      </w:r>
      <w:r w:rsidRPr="00ED5B14">
        <w:rPr>
          <w:color w:val="000000"/>
          <w:sz w:val="22"/>
          <w:szCs w:val="22"/>
          <w:lang w:val="en-GB" w:eastAsia="en-CA"/>
        </w:rPr>
        <w:t xml:space="preserve"> and </w:t>
      </w:r>
      <w:r w:rsidR="00E44C7F" w:rsidRPr="00ED5B14">
        <w:rPr>
          <w:color w:val="000000"/>
          <w:sz w:val="22"/>
          <w:szCs w:val="22"/>
          <w:lang w:val="en-GB" w:eastAsia="en-CA"/>
        </w:rPr>
        <w:t xml:space="preserve">practicing </w:t>
      </w:r>
      <w:r w:rsidRPr="00ED5B14">
        <w:rPr>
          <w:color w:val="000000"/>
          <w:sz w:val="22"/>
          <w:szCs w:val="22"/>
          <w:lang w:val="en-GB" w:eastAsia="en-CA"/>
        </w:rPr>
        <w:t xml:space="preserve">traditional </w:t>
      </w:r>
      <w:r w:rsidR="00E44C7F" w:rsidRPr="00ED5B14">
        <w:rPr>
          <w:color w:val="000000"/>
          <w:sz w:val="22"/>
          <w:szCs w:val="22"/>
          <w:lang w:val="en-GB" w:eastAsia="en-CA"/>
        </w:rPr>
        <w:t>medicine</w:t>
      </w:r>
      <w:r w:rsidR="00901802" w:rsidRPr="00ED5B14">
        <w:rPr>
          <w:color w:val="000000"/>
          <w:sz w:val="22"/>
          <w:szCs w:val="22"/>
          <w:lang w:val="en-GB" w:eastAsia="en-CA"/>
        </w:rPr>
        <w:t>. Approximately 18 per cent</w:t>
      </w:r>
      <w:r w:rsidRPr="00ED5B14">
        <w:rPr>
          <w:color w:val="000000"/>
          <w:sz w:val="22"/>
          <w:szCs w:val="22"/>
          <w:lang w:val="en-GB" w:eastAsia="en-CA"/>
        </w:rPr>
        <w:t xml:space="preserve"> of the community reported having knowledge of their traditional language,</w:t>
      </w:r>
      <w:r w:rsidRPr="00ED5B14">
        <w:rPr>
          <w:color w:val="000000"/>
          <w:sz w:val="22"/>
          <w:szCs w:val="22"/>
          <w:vertAlign w:val="superscript"/>
          <w:lang w:val="en-GB" w:eastAsia="en-CA"/>
        </w:rPr>
        <w:endnoteReference w:id="29"/>
      </w:r>
      <w:r w:rsidR="00901802" w:rsidRPr="00ED5B14">
        <w:rPr>
          <w:color w:val="000000"/>
          <w:sz w:val="22"/>
          <w:szCs w:val="22"/>
          <w:lang w:val="en-GB" w:eastAsia="en-CA"/>
        </w:rPr>
        <w:t xml:space="preserve"> </w:t>
      </w:r>
      <w:r w:rsidR="00E44C7F" w:rsidRPr="00ED5B14">
        <w:rPr>
          <w:color w:val="000000"/>
          <w:sz w:val="22"/>
          <w:szCs w:val="22"/>
          <w:lang w:val="en-GB" w:eastAsia="en-CA"/>
        </w:rPr>
        <w:t xml:space="preserve">and </w:t>
      </w:r>
      <w:r w:rsidR="00901802" w:rsidRPr="00ED5B14">
        <w:rPr>
          <w:color w:val="000000"/>
          <w:sz w:val="22"/>
          <w:szCs w:val="22"/>
          <w:lang w:val="en-GB" w:eastAsia="en-CA"/>
        </w:rPr>
        <w:t>over 60 per cent</w:t>
      </w:r>
      <w:r w:rsidRPr="00ED5B14">
        <w:rPr>
          <w:color w:val="000000"/>
          <w:sz w:val="22"/>
          <w:szCs w:val="22"/>
          <w:lang w:val="en-GB" w:eastAsia="en-CA"/>
        </w:rPr>
        <w:t xml:space="preserve"> of the adult community</w:t>
      </w:r>
      <w:r w:rsidR="00E44C7F" w:rsidRPr="00ED5B14">
        <w:rPr>
          <w:color w:val="000000"/>
          <w:sz w:val="22"/>
          <w:szCs w:val="22"/>
          <w:lang w:val="en-GB" w:eastAsia="en-CA"/>
        </w:rPr>
        <w:t xml:space="preserve"> members</w:t>
      </w:r>
      <w:r w:rsidRPr="00ED5B14">
        <w:rPr>
          <w:color w:val="000000"/>
          <w:sz w:val="22"/>
          <w:szCs w:val="22"/>
          <w:lang w:val="en-GB" w:eastAsia="en-CA"/>
        </w:rPr>
        <w:t xml:space="preserve"> </w:t>
      </w:r>
      <w:r w:rsidR="00990361">
        <w:rPr>
          <w:color w:val="000000"/>
          <w:sz w:val="22"/>
          <w:szCs w:val="22"/>
          <w:lang w:val="en-GB" w:eastAsia="en-CA"/>
        </w:rPr>
        <w:t>hold</w:t>
      </w:r>
      <w:r w:rsidR="00990361" w:rsidRPr="00ED5B14">
        <w:rPr>
          <w:color w:val="000000"/>
          <w:sz w:val="22"/>
          <w:szCs w:val="22"/>
          <w:lang w:val="en-GB" w:eastAsia="en-CA"/>
        </w:rPr>
        <w:t xml:space="preserve"> </w:t>
      </w:r>
      <w:r w:rsidRPr="00ED5B14">
        <w:rPr>
          <w:color w:val="000000"/>
          <w:sz w:val="22"/>
          <w:szCs w:val="22"/>
          <w:lang w:val="en-GB" w:eastAsia="en-CA"/>
        </w:rPr>
        <w:t>high school diploma</w:t>
      </w:r>
      <w:r w:rsidR="00E44C7F" w:rsidRPr="00ED5B14">
        <w:rPr>
          <w:color w:val="000000"/>
          <w:sz w:val="22"/>
          <w:szCs w:val="22"/>
          <w:lang w:val="en-GB" w:eastAsia="en-CA"/>
        </w:rPr>
        <w:t>s</w:t>
      </w:r>
      <w:r w:rsidRPr="00ED5B14">
        <w:rPr>
          <w:color w:val="000000"/>
          <w:sz w:val="22"/>
          <w:szCs w:val="22"/>
          <w:lang w:val="en-GB" w:eastAsia="en-CA"/>
        </w:rPr>
        <w:t xml:space="preserve"> or trade or apprenticeship certificate</w:t>
      </w:r>
      <w:r w:rsidR="00E44C7F" w:rsidRPr="00ED5B14">
        <w:rPr>
          <w:color w:val="000000"/>
          <w:sz w:val="22"/>
          <w:szCs w:val="22"/>
          <w:lang w:val="en-GB" w:eastAsia="en-CA"/>
        </w:rPr>
        <w:t>s</w:t>
      </w:r>
      <w:r w:rsidRPr="00ED5B14">
        <w:rPr>
          <w:color w:val="000000"/>
          <w:sz w:val="22"/>
          <w:szCs w:val="22"/>
          <w:lang w:val="en-GB" w:eastAsia="en-CA"/>
        </w:rPr>
        <w:t>.</w:t>
      </w:r>
      <w:r w:rsidRPr="00ED5B14">
        <w:rPr>
          <w:color w:val="000000"/>
          <w:sz w:val="22"/>
          <w:szCs w:val="22"/>
          <w:vertAlign w:val="superscript"/>
          <w:lang w:val="en-GB" w:eastAsia="en-CA"/>
        </w:rPr>
        <w:endnoteReference w:id="30"/>
      </w:r>
      <w:r w:rsidRPr="00ED5B14">
        <w:rPr>
          <w:color w:val="000000"/>
          <w:sz w:val="22"/>
          <w:szCs w:val="22"/>
          <w:lang w:val="en-GB" w:eastAsia="en-CA"/>
        </w:rPr>
        <w:t xml:space="preserve"> </w:t>
      </w:r>
    </w:p>
    <w:p w14:paraId="5175CF80" w14:textId="77777777" w:rsidR="00843826" w:rsidRPr="00ED5B14" w:rsidRDefault="00843826">
      <w:pPr>
        <w:widowControl w:val="0"/>
        <w:pBdr>
          <w:top w:val="nil"/>
          <w:left w:val="nil"/>
          <w:bottom w:val="nil"/>
          <w:right w:val="nil"/>
          <w:between w:val="nil"/>
        </w:pBdr>
        <w:tabs>
          <w:tab w:val="left" w:pos="220"/>
          <w:tab w:val="left" w:pos="720"/>
        </w:tabs>
        <w:jc w:val="both"/>
        <w:rPr>
          <w:color w:val="000000"/>
          <w:sz w:val="22"/>
          <w:szCs w:val="22"/>
          <w:lang w:val="en-GB" w:eastAsia="en-CA"/>
        </w:rPr>
      </w:pPr>
    </w:p>
    <w:p w14:paraId="24FE22F9" w14:textId="4E0ABF10" w:rsidR="00330445" w:rsidRPr="007965F1" w:rsidRDefault="00330445" w:rsidP="00E44C7F">
      <w:pPr>
        <w:widowControl w:val="0"/>
        <w:pBdr>
          <w:top w:val="nil"/>
          <w:left w:val="nil"/>
          <w:bottom w:val="nil"/>
          <w:right w:val="nil"/>
          <w:between w:val="nil"/>
        </w:pBdr>
        <w:jc w:val="both"/>
        <w:rPr>
          <w:color w:val="000000"/>
          <w:spacing w:val="-2"/>
          <w:kern w:val="22"/>
          <w:sz w:val="22"/>
          <w:szCs w:val="22"/>
          <w:lang w:val="en-GB" w:eastAsia="en-CA"/>
        </w:rPr>
      </w:pPr>
      <w:r w:rsidRPr="007965F1">
        <w:rPr>
          <w:color w:val="000000"/>
          <w:spacing w:val="-2"/>
          <w:kern w:val="22"/>
          <w:sz w:val="22"/>
          <w:szCs w:val="22"/>
          <w:lang w:val="en-GB" w:eastAsia="en-CA"/>
        </w:rPr>
        <w:t>The community noted a need for trained and skilled labo</w:t>
      </w:r>
      <w:r w:rsidR="00901802" w:rsidRPr="007965F1">
        <w:rPr>
          <w:color w:val="000000"/>
          <w:spacing w:val="-2"/>
          <w:kern w:val="22"/>
          <w:sz w:val="22"/>
          <w:szCs w:val="22"/>
          <w:lang w:val="en-GB" w:eastAsia="en-CA"/>
        </w:rPr>
        <w:t>u</w:t>
      </w:r>
      <w:r w:rsidRPr="007965F1">
        <w:rPr>
          <w:color w:val="000000"/>
          <w:spacing w:val="-2"/>
          <w:kern w:val="22"/>
          <w:sz w:val="22"/>
          <w:szCs w:val="22"/>
          <w:lang w:val="en-GB" w:eastAsia="en-CA"/>
        </w:rPr>
        <w:t>r to run daily operations of the various projects</w:t>
      </w:r>
      <w:r w:rsidR="00E44C7F" w:rsidRPr="007965F1">
        <w:rPr>
          <w:color w:val="000000"/>
          <w:spacing w:val="-2"/>
          <w:kern w:val="22"/>
          <w:sz w:val="22"/>
          <w:szCs w:val="22"/>
          <w:lang w:val="en-GB" w:eastAsia="en-CA"/>
        </w:rPr>
        <w:t xml:space="preserve">; there were </w:t>
      </w:r>
      <w:r w:rsidRPr="007965F1">
        <w:rPr>
          <w:color w:val="000000"/>
          <w:spacing w:val="-2"/>
          <w:kern w:val="22"/>
          <w:sz w:val="22"/>
          <w:szCs w:val="22"/>
          <w:lang w:val="en-GB" w:eastAsia="en-CA"/>
        </w:rPr>
        <w:t>challenges around staff turnover</w:t>
      </w:r>
      <w:r w:rsidR="00E44C7F" w:rsidRPr="007965F1">
        <w:rPr>
          <w:color w:val="000000"/>
          <w:spacing w:val="-2"/>
          <w:kern w:val="22"/>
          <w:sz w:val="22"/>
          <w:szCs w:val="22"/>
          <w:lang w:val="en-GB" w:eastAsia="en-CA"/>
        </w:rPr>
        <w:t>,</w:t>
      </w:r>
      <w:r w:rsidRPr="007965F1">
        <w:rPr>
          <w:color w:val="000000"/>
          <w:spacing w:val="-2"/>
          <w:kern w:val="22"/>
          <w:sz w:val="22"/>
          <w:szCs w:val="22"/>
          <w:lang w:val="en-GB" w:eastAsia="en-CA"/>
        </w:rPr>
        <w:t xml:space="preserve"> and </w:t>
      </w:r>
      <w:r w:rsidR="00E44C7F" w:rsidRPr="007965F1">
        <w:rPr>
          <w:color w:val="000000"/>
          <w:spacing w:val="-2"/>
          <w:kern w:val="22"/>
          <w:sz w:val="22"/>
          <w:szCs w:val="22"/>
          <w:lang w:val="en-GB" w:eastAsia="en-CA"/>
        </w:rPr>
        <w:t xml:space="preserve">there had been </w:t>
      </w:r>
      <w:r w:rsidRPr="007965F1">
        <w:rPr>
          <w:color w:val="000000"/>
          <w:spacing w:val="-2"/>
          <w:kern w:val="22"/>
          <w:sz w:val="22"/>
          <w:szCs w:val="22"/>
          <w:lang w:val="en-GB" w:eastAsia="en-CA"/>
        </w:rPr>
        <w:t xml:space="preserve">discussions </w:t>
      </w:r>
      <w:r w:rsidR="00E44C7F" w:rsidRPr="007965F1">
        <w:rPr>
          <w:color w:val="000000"/>
          <w:spacing w:val="-2"/>
          <w:kern w:val="22"/>
          <w:sz w:val="22"/>
          <w:szCs w:val="22"/>
          <w:lang w:val="en-GB" w:eastAsia="en-CA"/>
        </w:rPr>
        <w:t xml:space="preserve">about </w:t>
      </w:r>
      <w:r w:rsidRPr="007965F1">
        <w:rPr>
          <w:color w:val="000000"/>
          <w:spacing w:val="-2"/>
          <w:kern w:val="22"/>
          <w:sz w:val="22"/>
          <w:szCs w:val="22"/>
          <w:lang w:val="en-GB" w:eastAsia="en-CA"/>
        </w:rPr>
        <w:t xml:space="preserve">how to support education, training, mentorship, and social development. By late 2017, </w:t>
      </w:r>
      <w:r w:rsidR="00E44C7F" w:rsidRPr="007965F1">
        <w:rPr>
          <w:color w:val="000000"/>
          <w:spacing w:val="-2"/>
          <w:kern w:val="22"/>
          <w:sz w:val="22"/>
          <w:szCs w:val="22"/>
          <w:lang w:val="en-GB" w:eastAsia="en-CA"/>
        </w:rPr>
        <w:t xml:space="preserve">the community recognized that it </w:t>
      </w:r>
      <w:r w:rsidRPr="007965F1">
        <w:rPr>
          <w:color w:val="000000"/>
          <w:spacing w:val="-2"/>
          <w:kern w:val="22"/>
          <w:sz w:val="22"/>
          <w:szCs w:val="22"/>
          <w:lang w:val="en-GB" w:eastAsia="en-CA"/>
        </w:rPr>
        <w:t>need</w:t>
      </w:r>
      <w:r w:rsidR="00E44C7F" w:rsidRPr="007965F1">
        <w:rPr>
          <w:color w:val="000000"/>
          <w:spacing w:val="-2"/>
          <w:kern w:val="22"/>
          <w:sz w:val="22"/>
          <w:szCs w:val="22"/>
          <w:lang w:val="en-GB" w:eastAsia="en-CA"/>
        </w:rPr>
        <w:t>ed</w:t>
      </w:r>
      <w:r w:rsidRPr="007965F1">
        <w:rPr>
          <w:color w:val="000000"/>
          <w:spacing w:val="-2"/>
          <w:kern w:val="22"/>
          <w:sz w:val="22"/>
          <w:szCs w:val="22"/>
          <w:lang w:val="en-GB" w:eastAsia="en-CA"/>
        </w:rPr>
        <w:t xml:space="preserve"> to recruit an education officer, a social development worker, and project-level experts, such as a farming expert </w:t>
      </w:r>
      <w:r w:rsidR="00E44C7F" w:rsidRPr="007965F1">
        <w:rPr>
          <w:color w:val="000000"/>
          <w:spacing w:val="-2"/>
          <w:kern w:val="22"/>
          <w:sz w:val="22"/>
          <w:szCs w:val="22"/>
          <w:lang w:val="en-GB" w:eastAsia="en-CA"/>
        </w:rPr>
        <w:t xml:space="preserve">who could </w:t>
      </w:r>
      <w:r w:rsidRPr="007965F1">
        <w:rPr>
          <w:color w:val="000000"/>
          <w:spacing w:val="-2"/>
          <w:kern w:val="22"/>
          <w:sz w:val="22"/>
          <w:szCs w:val="22"/>
          <w:lang w:val="en-GB" w:eastAsia="en-CA"/>
        </w:rPr>
        <w:t xml:space="preserve">support plans regarding food self-sufficiency and at the same time mentor the local people. </w:t>
      </w:r>
      <w:r w:rsidR="00D05D44" w:rsidRPr="007965F1">
        <w:rPr>
          <w:color w:val="000000"/>
          <w:spacing w:val="-2"/>
          <w:kern w:val="22"/>
          <w:sz w:val="22"/>
          <w:szCs w:val="22"/>
          <w:lang w:val="en-GB" w:eastAsia="en-CA"/>
        </w:rPr>
        <w:t>Human resources constraints were seen to reflect</w:t>
      </w:r>
      <w:r w:rsidRPr="007965F1">
        <w:rPr>
          <w:color w:val="000000"/>
          <w:spacing w:val="-2"/>
          <w:kern w:val="22"/>
          <w:sz w:val="22"/>
          <w:szCs w:val="22"/>
          <w:lang w:val="en-GB" w:eastAsia="en-CA"/>
        </w:rPr>
        <w:t xml:space="preserve"> a challenge in understanding the relatively new governance system.</w:t>
      </w:r>
    </w:p>
    <w:p w14:paraId="449083D9" w14:textId="77777777" w:rsidR="00330445" w:rsidRPr="00ED5B14" w:rsidRDefault="00330445" w:rsidP="00D05D44">
      <w:pPr>
        <w:widowControl w:val="0"/>
        <w:pBdr>
          <w:top w:val="nil"/>
          <w:left w:val="nil"/>
          <w:bottom w:val="nil"/>
          <w:right w:val="nil"/>
          <w:between w:val="nil"/>
        </w:pBdr>
        <w:jc w:val="both"/>
        <w:rPr>
          <w:color w:val="000000"/>
          <w:sz w:val="22"/>
          <w:szCs w:val="22"/>
          <w:lang w:val="en-GB" w:eastAsia="en-CA"/>
        </w:rPr>
      </w:pPr>
    </w:p>
    <w:p w14:paraId="771EEA0E" w14:textId="344B54EF" w:rsidR="00330445" w:rsidRPr="00ED5B14" w:rsidRDefault="00330445" w:rsidP="00D05D44">
      <w:pPr>
        <w:widowControl w:val="0"/>
        <w:pBdr>
          <w:top w:val="nil"/>
          <w:left w:val="nil"/>
          <w:bottom w:val="nil"/>
          <w:right w:val="nil"/>
          <w:between w:val="nil"/>
        </w:pBdr>
        <w:jc w:val="both"/>
        <w:rPr>
          <w:color w:val="000000"/>
          <w:sz w:val="22"/>
          <w:szCs w:val="22"/>
          <w:lang w:val="en-GB" w:eastAsia="en-CA"/>
        </w:rPr>
      </w:pPr>
      <w:r w:rsidRPr="00ED5B14">
        <w:rPr>
          <w:color w:val="000000"/>
          <w:sz w:val="22"/>
          <w:szCs w:val="22"/>
          <w:lang w:val="en-GB" w:eastAsia="en-CA"/>
        </w:rPr>
        <w:t xml:space="preserve">The community also faced continued challenges around infrastructure improvement and maintenance. Although the roads remained well maintained and </w:t>
      </w:r>
      <w:r w:rsidR="00202C38">
        <w:rPr>
          <w:color w:val="000000"/>
          <w:sz w:val="22"/>
          <w:szCs w:val="22"/>
          <w:lang w:val="en-GB" w:eastAsia="en-CA"/>
        </w:rPr>
        <w:t xml:space="preserve">although </w:t>
      </w:r>
      <w:r w:rsidRPr="00ED5B14">
        <w:rPr>
          <w:color w:val="000000"/>
          <w:sz w:val="22"/>
          <w:szCs w:val="22"/>
          <w:lang w:val="en-GB" w:eastAsia="en-CA"/>
        </w:rPr>
        <w:t xml:space="preserve">Kanaka </w:t>
      </w:r>
      <w:r w:rsidR="00D05D44" w:rsidRPr="00ED5B14">
        <w:rPr>
          <w:color w:val="000000"/>
          <w:sz w:val="22"/>
          <w:szCs w:val="22"/>
          <w:lang w:val="en-GB" w:eastAsia="en-CA"/>
        </w:rPr>
        <w:t xml:space="preserve">Bar </w:t>
      </w:r>
      <w:r w:rsidRPr="00ED5B14">
        <w:rPr>
          <w:color w:val="000000"/>
          <w:sz w:val="22"/>
          <w:szCs w:val="22"/>
          <w:lang w:val="en-GB" w:eastAsia="en-CA"/>
        </w:rPr>
        <w:t xml:space="preserve">had acquired 100 more acres of non-reserve land since 2014, </w:t>
      </w:r>
      <w:r w:rsidR="00D05D44" w:rsidRPr="00ED5B14">
        <w:rPr>
          <w:color w:val="000000"/>
          <w:sz w:val="22"/>
          <w:szCs w:val="22"/>
          <w:lang w:val="en-GB" w:eastAsia="en-CA"/>
        </w:rPr>
        <w:t xml:space="preserve">housing was </w:t>
      </w:r>
      <w:r w:rsidRPr="00ED5B14">
        <w:rPr>
          <w:color w:val="000000"/>
          <w:sz w:val="22"/>
          <w:szCs w:val="22"/>
          <w:lang w:val="en-GB" w:eastAsia="en-CA"/>
        </w:rPr>
        <w:t xml:space="preserve">still </w:t>
      </w:r>
      <w:r w:rsidR="00D05D44" w:rsidRPr="00ED5B14">
        <w:rPr>
          <w:color w:val="000000"/>
          <w:sz w:val="22"/>
          <w:szCs w:val="22"/>
          <w:lang w:val="en-GB" w:eastAsia="en-CA"/>
        </w:rPr>
        <w:t xml:space="preserve">overcrowded </w:t>
      </w:r>
      <w:r w:rsidRPr="00ED5B14">
        <w:rPr>
          <w:color w:val="000000"/>
          <w:sz w:val="22"/>
          <w:szCs w:val="22"/>
          <w:lang w:val="en-GB" w:eastAsia="en-CA"/>
        </w:rPr>
        <w:t xml:space="preserve">and the </w:t>
      </w:r>
      <w:r w:rsidR="00D05D44" w:rsidRPr="00ED5B14">
        <w:rPr>
          <w:color w:val="000000"/>
          <w:sz w:val="22"/>
          <w:szCs w:val="22"/>
          <w:lang w:val="en-GB" w:eastAsia="en-CA"/>
        </w:rPr>
        <w:t xml:space="preserve">energy efficiency of homes </w:t>
      </w:r>
      <w:r w:rsidRPr="00ED5B14">
        <w:rPr>
          <w:color w:val="000000"/>
          <w:sz w:val="22"/>
          <w:szCs w:val="22"/>
          <w:lang w:val="en-GB" w:eastAsia="en-CA"/>
        </w:rPr>
        <w:t>need</w:t>
      </w:r>
      <w:r w:rsidR="00D05D44" w:rsidRPr="00ED5B14">
        <w:rPr>
          <w:color w:val="000000"/>
          <w:sz w:val="22"/>
          <w:szCs w:val="22"/>
          <w:lang w:val="en-GB" w:eastAsia="en-CA"/>
        </w:rPr>
        <w:t>ed</w:t>
      </w:r>
      <w:r w:rsidRPr="00ED5B14">
        <w:rPr>
          <w:color w:val="000000"/>
          <w:sz w:val="22"/>
          <w:szCs w:val="22"/>
          <w:lang w:val="en-GB" w:eastAsia="en-CA"/>
        </w:rPr>
        <w:t xml:space="preserve"> </w:t>
      </w:r>
      <w:r w:rsidR="00D05D44" w:rsidRPr="00ED5B14">
        <w:rPr>
          <w:color w:val="000000"/>
          <w:sz w:val="22"/>
          <w:szCs w:val="22"/>
          <w:lang w:val="en-GB" w:eastAsia="en-CA"/>
        </w:rPr>
        <w:t>upgrad</w:t>
      </w:r>
      <w:r w:rsidR="00202C38">
        <w:rPr>
          <w:color w:val="000000"/>
          <w:sz w:val="22"/>
          <w:szCs w:val="22"/>
          <w:lang w:val="en-GB" w:eastAsia="en-CA"/>
        </w:rPr>
        <w:t>ing</w:t>
      </w:r>
      <w:r w:rsidR="00D05D44" w:rsidRPr="00ED5B14">
        <w:rPr>
          <w:color w:val="000000"/>
          <w:sz w:val="22"/>
          <w:szCs w:val="22"/>
          <w:lang w:val="en-GB" w:eastAsia="en-CA"/>
        </w:rPr>
        <w:t xml:space="preserve">. Improvements </w:t>
      </w:r>
      <w:r w:rsidRPr="00ED5B14">
        <w:rPr>
          <w:color w:val="000000"/>
          <w:sz w:val="22"/>
          <w:szCs w:val="22"/>
          <w:lang w:val="en-GB" w:eastAsia="en-CA"/>
        </w:rPr>
        <w:t>to the water treatment plant, draining culverts, and septic drain fields</w:t>
      </w:r>
      <w:r w:rsidR="00D05D44" w:rsidRPr="00ED5B14">
        <w:rPr>
          <w:color w:val="000000"/>
          <w:sz w:val="22"/>
          <w:szCs w:val="22"/>
          <w:lang w:val="en-GB" w:eastAsia="en-CA"/>
        </w:rPr>
        <w:t xml:space="preserve"> were also needed</w:t>
      </w:r>
      <w:r w:rsidRPr="00ED5B14">
        <w:rPr>
          <w:color w:val="000000"/>
          <w:sz w:val="22"/>
          <w:szCs w:val="22"/>
          <w:lang w:val="en-GB" w:eastAsia="en-CA"/>
        </w:rPr>
        <w:t xml:space="preserve">. Without housing, it was difficult to </w:t>
      </w:r>
      <w:r w:rsidR="00D05D44" w:rsidRPr="00ED5B14">
        <w:rPr>
          <w:color w:val="000000"/>
          <w:sz w:val="22"/>
          <w:szCs w:val="22"/>
          <w:lang w:val="en-GB" w:eastAsia="en-CA"/>
        </w:rPr>
        <w:t xml:space="preserve">persuade </w:t>
      </w:r>
      <w:r w:rsidRPr="00ED5B14">
        <w:rPr>
          <w:color w:val="000000"/>
          <w:sz w:val="22"/>
          <w:szCs w:val="22"/>
          <w:lang w:val="en-GB" w:eastAsia="en-CA"/>
        </w:rPr>
        <w:t>the more experienced and qualified community membe</w:t>
      </w:r>
      <w:r w:rsidR="00901802" w:rsidRPr="00ED5B14">
        <w:rPr>
          <w:color w:val="000000"/>
          <w:sz w:val="22"/>
          <w:szCs w:val="22"/>
          <w:lang w:val="en-GB" w:eastAsia="en-CA"/>
        </w:rPr>
        <w:t xml:space="preserve">rs to return to the community. </w:t>
      </w:r>
      <w:r w:rsidRPr="00ED5B14">
        <w:rPr>
          <w:color w:val="000000"/>
          <w:sz w:val="22"/>
          <w:szCs w:val="22"/>
          <w:lang w:val="en-GB" w:eastAsia="en-CA"/>
        </w:rPr>
        <w:t xml:space="preserve">Further, since the introduction of </w:t>
      </w:r>
      <w:r w:rsidR="00D05D44" w:rsidRPr="00ED5B14">
        <w:rPr>
          <w:color w:val="000000"/>
          <w:sz w:val="22"/>
          <w:szCs w:val="22"/>
          <w:lang w:val="en-GB" w:eastAsia="en-CA"/>
        </w:rPr>
        <w:t xml:space="preserve">the </w:t>
      </w:r>
      <w:r w:rsidRPr="00ED5B14">
        <w:rPr>
          <w:color w:val="000000"/>
          <w:sz w:val="22"/>
          <w:szCs w:val="22"/>
          <w:lang w:val="en-GB" w:eastAsia="en-CA"/>
        </w:rPr>
        <w:t xml:space="preserve">CEDP, issues </w:t>
      </w:r>
      <w:r w:rsidR="00D05D44" w:rsidRPr="00ED5B14">
        <w:rPr>
          <w:color w:val="000000"/>
          <w:sz w:val="22"/>
          <w:szCs w:val="22"/>
          <w:lang w:val="en-GB" w:eastAsia="en-CA"/>
        </w:rPr>
        <w:t xml:space="preserve">related to </w:t>
      </w:r>
      <w:r w:rsidRPr="00ED5B14">
        <w:rPr>
          <w:color w:val="000000"/>
          <w:sz w:val="22"/>
          <w:szCs w:val="22"/>
          <w:lang w:val="en-GB" w:eastAsia="en-CA"/>
        </w:rPr>
        <w:t xml:space="preserve">climate change had </w:t>
      </w:r>
      <w:r w:rsidR="00D05D44" w:rsidRPr="00ED5B14">
        <w:rPr>
          <w:color w:val="000000"/>
          <w:sz w:val="22"/>
          <w:szCs w:val="22"/>
          <w:lang w:val="en-GB" w:eastAsia="en-CA"/>
        </w:rPr>
        <w:t>become more evident</w:t>
      </w:r>
      <w:r w:rsidRPr="00ED5B14">
        <w:rPr>
          <w:color w:val="000000"/>
          <w:sz w:val="22"/>
          <w:szCs w:val="22"/>
          <w:lang w:val="en-GB" w:eastAsia="en-CA"/>
        </w:rPr>
        <w:t xml:space="preserve">. In the </w:t>
      </w:r>
      <w:r w:rsidR="00D05D44" w:rsidRPr="00ED5B14">
        <w:rPr>
          <w:color w:val="000000"/>
          <w:sz w:val="22"/>
          <w:szCs w:val="22"/>
          <w:lang w:val="en-GB" w:eastAsia="en-CA"/>
        </w:rPr>
        <w:t>s</w:t>
      </w:r>
      <w:r w:rsidRPr="00ED5B14">
        <w:rPr>
          <w:color w:val="000000"/>
          <w:sz w:val="22"/>
          <w:szCs w:val="22"/>
          <w:lang w:val="en-GB" w:eastAsia="en-CA"/>
        </w:rPr>
        <w:t>pring of 2017, houses at Kanaka Bar flooded due to the spring freshet</w:t>
      </w:r>
      <w:r w:rsidR="00D05D44" w:rsidRPr="00ED5B14">
        <w:rPr>
          <w:color w:val="000000"/>
          <w:sz w:val="22"/>
          <w:szCs w:val="22"/>
          <w:lang w:val="en-GB" w:eastAsia="en-CA"/>
        </w:rPr>
        <w:t>—something that</w:t>
      </w:r>
      <w:r w:rsidRPr="00ED5B14">
        <w:rPr>
          <w:color w:val="000000"/>
          <w:sz w:val="22"/>
          <w:szCs w:val="22"/>
          <w:lang w:val="en-GB" w:eastAsia="en-CA"/>
        </w:rPr>
        <w:t xml:space="preserve"> had not happened before. </w:t>
      </w:r>
      <w:r w:rsidR="00D05D44" w:rsidRPr="00ED5B14">
        <w:rPr>
          <w:color w:val="000000"/>
          <w:sz w:val="22"/>
          <w:szCs w:val="22"/>
          <w:lang w:val="en-GB" w:eastAsia="en-CA"/>
        </w:rPr>
        <w:t>T</w:t>
      </w:r>
      <w:r w:rsidRPr="00ED5B14">
        <w:rPr>
          <w:color w:val="000000"/>
          <w:sz w:val="22"/>
          <w:szCs w:val="22"/>
          <w:lang w:val="en-GB" w:eastAsia="en-CA"/>
        </w:rPr>
        <w:t xml:space="preserve">here were </w:t>
      </w:r>
      <w:r w:rsidR="00D05D44" w:rsidRPr="00ED5B14">
        <w:rPr>
          <w:color w:val="000000"/>
          <w:sz w:val="22"/>
          <w:szCs w:val="22"/>
          <w:lang w:val="en-GB" w:eastAsia="en-CA"/>
        </w:rPr>
        <w:t xml:space="preserve">also </w:t>
      </w:r>
      <w:r w:rsidRPr="00ED5B14">
        <w:rPr>
          <w:color w:val="000000"/>
          <w:sz w:val="22"/>
          <w:szCs w:val="22"/>
          <w:lang w:val="en-GB" w:eastAsia="en-CA"/>
        </w:rPr>
        <w:t>surprising irregularities in temperature</w:t>
      </w:r>
      <w:r w:rsidR="00D05D44" w:rsidRPr="00ED5B14">
        <w:rPr>
          <w:color w:val="000000"/>
          <w:sz w:val="22"/>
          <w:szCs w:val="22"/>
          <w:lang w:val="en-GB" w:eastAsia="en-CA"/>
        </w:rPr>
        <w:t>,</w:t>
      </w:r>
      <w:r w:rsidRPr="00ED5B14">
        <w:rPr>
          <w:color w:val="000000"/>
          <w:sz w:val="22"/>
          <w:szCs w:val="22"/>
          <w:lang w:val="en-GB" w:eastAsia="en-CA"/>
        </w:rPr>
        <w:t xml:space="preserve"> with flood and drought conditions at unusual times of the year, an increase in forest fires, unexpected </w:t>
      </w:r>
      <w:r w:rsidR="00954ED3" w:rsidRPr="00ED5B14">
        <w:rPr>
          <w:color w:val="000000"/>
          <w:sz w:val="22"/>
          <w:szCs w:val="22"/>
          <w:lang w:val="en-GB" w:eastAsia="en-CA"/>
        </w:rPr>
        <w:t xml:space="preserve">die-offs </w:t>
      </w:r>
      <w:r w:rsidRPr="00ED5B14">
        <w:rPr>
          <w:color w:val="000000"/>
          <w:sz w:val="22"/>
          <w:szCs w:val="22"/>
          <w:lang w:val="en-GB" w:eastAsia="en-CA"/>
        </w:rPr>
        <w:t>of trees, and changes in precipitation levels.</w:t>
      </w:r>
      <w:r w:rsidRPr="002F564E">
        <w:rPr>
          <w:rFonts w:eastAsia="Cambria"/>
          <w:color w:val="000000"/>
          <w:sz w:val="24"/>
          <w:szCs w:val="24"/>
          <w:lang w:val="en-GB" w:eastAsia="en-CA"/>
        </w:rPr>
        <w:t xml:space="preserve"> </w:t>
      </w:r>
      <w:r w:rsidRPr="00ED5B14">
        <w:rPr>
          <w:color w:val="000000"/>
          <w:sz w:val="22"/>
          <w:szCs w:val="22"/>
          <w:lang w:val="en-GB" w:eastAsia="en-CA"/>
        </w:rPr>
        <w:t xml:space="preserve">Further, there </w:t>
      </w:r>
      <w:r w:rsidR="003A4E75" w:rsidRPr="00ED5B14">
        <w:rPr>
          <w:color w:val="000000"/>
          <w:sz w:val="22"/>
          <w:szCs w:val="22"/>
          <w:lang w:val="en-GB" w:eastAsia="en-CA"/>
        </w:rPr>
        <w:t>were</w:t>
      </w:r>
      <w:r w:rsidRPr="00ED5B14">
        <w:rPr>
          <w:color w:val="000000"/>
          <w:sz w:val="22"/>
          <w:szCs w:val="22"/>
          <w:lang w:val="en-GB" w:eastAsia="en-CA"/>
        </w:rPr>
        <w:t xml:space="preserve"> shift</w:t>
      </w:r>
      <w:r w:rsidR="00C4301B">
        <w:rPr>
          <w:color w:val="000000"/>
          <w:sz w:val="22"/>
          <w:szCs w:val="22"/>
          <w:lang w:val="en-GB" w:eastAsia="en-CA"/>
        </w:rPr>
        <w:t>s</w:t>
      </w:r>
      <w:r w:rsidRPr="00ED5B14">
        <w:rPr>
          <w:color w:val="000000"/>
          <w:sz w:val="22"/>
          <w:szCs w:val="22"/>
          <w:lang w:val="en-GB" w:eastAsia="en-CA"/>
        </w:rPr>
        <w:t xml:space="preserve"> in the local flora and fauna</w:t>
      </w:r>
      <w:r w:rsidR="00954ED3" w:rsidRPr="00ED5B14">
        <w:rPr>
          <w:color w:val="000000"/>
          <w:sz w:val="22"/>
          <w:szCs w:val="22"/>
          <w:lang w:val="en-GB" w:eastAsia="en-CA"/>
        </w:rPr>
        <w:t xml:space="preserve">: for example, </w:t>
      </w:r>
      <w:r w:rsidRPr="00ED5B14">
        <w:rPr>
          <w:color w:val="000000"/>
          <w:sz w:val="22"/>
          <w:szCs w:val="22"/>
          <w:lang w:val="en-GB" w:eastAsia="en-CA"/>
        </w:rPr>
        <w:t xml:space="preserve">deer </w:t>
      </w:r>
      <w:r w:rsidR="00954ED3" w:rsidRPr="00ED5B14">
        <w:rPr>
          <w:color w:val="000000"/>
          <w:sz w:val="22"/>
          <w:szCs w:val="22"/>
          <w:lang w:val="en-GB" w:eastAsia="en-CA"/>
        </w:rPr>
        <w:t xml:space="preserve">were </w:t>
      </w:r>
      <w:r w:rsidRPr="00ED5B14">
        <w:rPr>
          <w:color w:val="000000"/>
          <w:sz w:val="22"/>
          <w:szCs w:val="22"/>
          <w:lang w:val="en-GB" w:eastAsia="en-CA"/>
        </w:rPr>
        <w:t xml:space="preserve">leaving the area, mushrooms </w:t>
      </w:r>
      <w:r w:rsidR="00954ED3" w:rsidRPr="00ED5B14">
        <w:rPr>
          <w:color w:val="000000"/>
          <w:sz w:val="22"/>
          <w:szCs w:val="22"/>
          <w:lang w:val="en-GB" w:eastAsia="en-CA"/>
        </w:rPr>
        <w:t xml:space="preserve">were </w:t>
      </w:r>
      <w:r w:rsidRPr="00ED5B14">
        <w:rPr>
          <w:color w:val="000000"/>
          <w:sz w:val="22"/>
          <w:szCs w:val="22"/>
          <w:lang w:val="en-GB" w:eastAsia="en-CA"/>
        </w:rPr>
        <w:t xml:space="preserve">no longer growing, </w:t>
      </w:r>
      <w:r w:rsidR="00954ED3" w:rsidRPr="00ED5B14">
        <w:rPr>
          <w:color w:val="000000"/>
          <w:sz w:val="22"/>
          <w:szCs w:val="22"/>
          <w:lang w:val="en-GB" w:eastAsia="en-CA"/>
        </w:rPr>
        <w:t xml:space="preserve">the number of </w:t>
      </w:r>
      <w:r w:rsidRPr="00ED5B14">
        <w:rPr>
          <w:color w:val="000000"/>
          <w:sz w:val="22"/>
          <w:szCs w:val="22"/>
          <w:lang w:val="en-GB" w:eastAsia="en-CA"/>
        </w:rPr>
        <w:t xml:space="preserve">berries </w:t>
      </w:r>
      <w:r w:rsidR="00954ED3" w:rsidRPr="00ED5B14">
        <w:rPr>
          <w:color w:val="000000"/>
          <w:sz w:val="22"/>
          <w:szCs w:val="22"/>
          <w:lang w:val="en-GB" w:eastAsia="en-CA"/>
        </w:rPr>
        <w:t xml:space="preserve">was </w:t>
      </w:r>
      <w:r w:rsidRPr="00ED5B14">
        <w:rPr>
          <w:color w:val="000000"/>
          <w:sz w:val="22"/>
          <w:szCs w:val="22"/>
          <w:lang w:val="en-GB" w:eastAsia="en-CA"/>
        </w:rPr>
        <w:lastRenderedPageBreak/>
        <w:t xml:space="preserve">decreasing, and wild salmon stocks </w:t>
      </w:r>
      <w:r w:rsidR="003A4E75" w:rsidRPr="00ED5B14">
        <w:rPr>
          <w:color w:val="000000"/>
          <w:sz w:val="22"/>
          <w:szCs w:val="22"/>
          <w:lang w:val="en-GB" w:eastAsia="en-CA"/>
        </w:rPr>
        <w:t>were shrinking</w:t>
      </w:r>
      <w:r w:rsidRPr="00ED5B14">
        <w:rPr>
          <w:color w:val="000000"/>
          <w:sz w:val="22"/>
          <w:szCs w:val="22"/>
          <w:lang w:val="en-GB" w:eastAsia="en-CA"/>
        </w:rPr>
        <w:t>.</w:t>
      </w:r>
    </w:p>
    <w:p w14:paraId="320E68EC" w14:textId="6DDBE62C" w:rsidR="00115550" w:rsidRPr="00ED5B14" w:rsidRDefault="00115550" w:rsidP="00105145">
      <w:pPr>
        <w:widowControl w:val="0"/>
        <w:pBdr>
          <w:top w:val="nil"/>
          <w:left w:val="nil"/>
          <w:bottom w:val="nil"/>
          <w:right w:val="nil"/>
          <w:between w:val="nil"/>
        </w:pBdr>
        <w:jc w:val="both"/>
        <w:rPr>
          <w:color w:val="000000"/>
          <w:sz w:val="22"/>
          <w:szCs w:val="22"/>
          <w:lang w:val="en-GB" w:eastAsia="en-CA"/>
        </w:rPr>
      </w:pPr>
    </w:p>
    <w:p w14:paraId="01BADAB6" w14:textId="68519090" w:rsidR="00BE7F62" w:rsidRPr="00ED5B14" w:rsidRDefault="00115550" w:rsidP="00C731BA">
      <w:pPr>
        <w:widowControl w:val="0"/>
        <w:pBdr>
          <w:top w:val="nil"/>
          <w:left w:val="nil"/>
          <w:bottom w:val="nil"/>
          <w:right w:val="nil"/>
          <w:between w:val="nil"/>
        </w:pBdr>
        <w:jc w:val="both"/>
        <w:rPr>
          <w:color w:val="000000"/>
          <w:sz w:val="22"/>
          <w:szCs w:val="22"/>
          <w:lang w:val="en-GB" w:eastAsia="en-CA"/>
        </w:rPr>
      </w:pPr>
      <w:r w:rsidRPr="00ED5B14">
        <w:rPr>
          <w:color w:val="000000"/>
          <w:sz w:val="22"/>
          <w:szCs w:val="22"/>
          <w:lang w:val="en-GB" w:eastAsia="en-CA"/>
        </w:rPr>
        <w:t xml:space="preserve">The financial situation of the </w:t>
      </w:r>
      <w:r w:rsidR="003A4E75" w:rsidRPr="00ED5B14">
        <w:rPr>
          <w:color w:val="000000"/>
          <w:sz w:val="22"/>
          <w:szCs w:val="22"/>
          <w:lang w:val="en-GB" w:eastAsia="en-CA"/>
        </w:rPr>
        <w:t>b</w:t>
      </w:r>
      <w:r w:rsidRPr="00ED5B14">
        <w:rPr>
          <w:color w:val="000000"/>
          <w:sz w:val="22"/>
          <w:szCs w:val="22"/>
          <w:lang w:val="en-GB" w:eastAsia="en-CA"/>
        </w:rPr>
        <w:t xml:space="preserve">and </w:t>
      </w:r>
      <w:r w:rsidR="002018F5" w:rsidRPr="00ED5B14">
        <w:rPr>
          <w:color w:val="000000"/>
          <w:sz w:val="22"/>
          <w:szCs w:val="22"/>
          <w:lang w:val="en-GB" w:eastAsia="en-CA"/>
        </w:rPr>
        <w:t>was</w:t>
      </w:r>
      <w:r w:rsidRPr="00ED5B14">
        <w:rPr>
          <w:color w:val="000000"/>
          <w:sz w:val="22"/>
          <w:szCs w:val="22"/>
          <w:lang w:val="en-GB" w:eastAsia="en-CA"/>
        </w:rPr>
        <w:t xml:space="preserve"> strong. </w:t>
      </w:r>
      <w:r w:rsidR="003A4E75" w:rsidRPr="00ED5B14">
        <w:rPr>
          <w:color w:val="000000"/>
          <w:sz w:val="22"/>
          <w:szCs w:val="22"/>
          <w:lang w:val="en-GB" w:eastAsia="en-CA"/>
        </w:rPr>
        <w:t xml:space="preserve">As of March 2017, it </w:t>
      </w:r>
      <w:r w:rsidRPr="00ED5B14">
        <w:rPr>
          <w:color w:val="000000"/>
          <w:sz w:val="22"/>
          <w:szCs w:val="22"/>
          <w:lang w:val="en-GB" w:eastAsia="en-CA"/>
        </w:rPr>
        <w:t xml:space="preserve">had over </w:t>
      </w:r>
      <w:r w:rsidR="003A4E75" w:rsidRPr="00ED5B14">
        <w:rPr>
          <w:color w:val="000000"/>
          <w:sz w:val="22"/>
          <w:szCs w:val="22"/>
          <w:lang w:val="en-GB" w:eastAsia="en-CA"/>
        </w:rPr>
        <w:t>$2</w:t>
      </w:r>
      <w:r w:rsidRPr="00ED5B14">
        <w:rPr>
          <w:color w:val="000000"/>
          <w:sz w:val="22"/>
          <w:szCs w:val="22"/>
          <w:lang w:val="en-GB" w:eastAsia="en-CA"/>
        </w:rPr>
        <w:t xml:space="preserve"> million in cash </w:t>
      </w:r>
      <w:r w:rsidR="003A4E75" w:rsidRPr="00ED5B14">
        <w:rPr>
          <w:color w:val="000000"/>
          <w:sz w:val="22"/>
          <w:szCs w:val="22"/>
          <w:lang w:val="en-GB" w:eastAsia="en-CA"/>
        </w:rPr>
        <w:t>and</w:t>
      </w:r>
      <w:r w:rsidRPr="00ED5B14">
        <w:rPr>
          <w:color w:val="000000"/>
          <w:sz w:val="22"/>
          <w:szCs w:val="22"/>
          <w:lang w:val="en-GB" w:eastAsia="en-CA"/>
        </w:rPr>
        <w:t xml:space="preserve"> very little in the way of liabilities</w:t>
      </w:r>
      <w:r w:rsidR="003A4E75" w:rsidRPr="00ED5B14">
        <w:rPr>
          <w:color w:val="000000"/>
          <w:sz w:val="22"/>
          <w:szCs w:val="22"/>
          <w:lang w:val="en-GB" w:eastAsia="en-CA"/>
        </w:rPr>
        <w:t xml:space="preserve">; the band’s </w:t>
      </w:r>
      <w:r w:rsidR="00A3387F" w:rsidRPr="00ED5B14">
        <w:rPr>
          <w:color w:val="000000"/>
          <w:sz w:val="22"/>
          <w:szCs w:val="22"/>
          <w:lang w:val="en-GB" w:eastAsia="en-CA"/>
        </w:rPr>
        <w:t xml:space="preserve">overall </w:t>
      </w:r>
      <w:r w:rsidRPr="00ED5B14">
        <w:rPr>
          <w:color w:val="000000"/>
          <w:sz w:val="22"/>
          <w:szCs w:val="22"/>
          <w:lang w:val="en-GB" w:eastAsia="en-CA"/>
        </w:rPr>
        <w:t xml:space="preserve">net financial assets stood at almost </w:t>
      </w:r>
      <w:r w:rsidR="003A4E75" w:rsidRPr="00ED5B14">
        <w:rPr>
          <w:color w:val="000000"/>
          <w:sz w:val="22"/>
          <w:szCs w:val="22"/>
          <w:lang w:val="en-GB" w:eastAsia="en-CA"/>
        </w:rPr>
        <w:t>$4</w:t>
      </w:r>
      <w:r w:rsidRPr="00ED5B14">
        <w:rPr>
          <w:color w:val="000000"/>
          <w:sz w:val="22"/>
          <w:szCs w:val="22"/>
          <w:lang w:val="en-GB" w:eastAsia="en-CA"/>
        </w:rPr>
        <w:t xml:space="preserve"> million </w:t>
      </w:r>
      <w:r w:rsidR="00A3387F" w:rsidRPr="00ED5B14">
        <w:rPr>
          <w:color w:val="000000"/>
          <w:sz w:val="22"/>
          <w:szCs w:val="22"/>
          <w:lang w:val="en-GB" w:eastAsia="en-CA"/>
        </w:rPr>
        <w:t xml:space="preserve">(see Exhibit 3). </w:t>
      </w:r>
      <w:r w:rsidR="00E206BD" w:rsidRPr="00ED5B14">
        <w:rPr>
          <w:color w:val="000000"/>
          <w:sz w:val="22"/>
          <w:szCs w:val="22"/>
          <w:lang w:val="en-GB" w:eastAsia="en-CA"/>
        </w:rPr>
        <w:t xml:space="preserve">The </w:t>
      </w:r>
      <w:r w:rsidR="003A4E75" w:rsidRPr="00ED5B14">
        <w:rPr>
          <w:color w:val="000000"/>
          <w:sz w:val="22"/>
          <w:szCs w:val="22"/>
          <w:lang w:val="en-GB" w:eastAsia="en-CA"/>
        </w:rPr>
        <w:t xml:space="preserve">band generated </w:t>
      </w:r>
      <w:r w:rsidR="00E206BD" w:rsidRPr="00ED5B14">
        <w:rPr>
          <w:color w:val="000000"/>
          <w:sz w:val="22"/>
          <w:szCs w:val="22"/>
          <w:lang w:val="en-GB" w:eastAsia="en-CA"/>
        </w:rPr>
        <w:t xml:space="preserve">revenues through </w:t>
      </w:r>
      <w:r w:rsidR="003A4E75" w:rsidRPr="00ED5B14">
        <w:rPr>
          <w:color w:val="000000"/>
          <w:sz w:val="22"/>
          <w:szCs w:val="22"/>
          <w:lang w:val="en-GB" w:eastAsia="en-CA"/>
        </w:rPr>
        <w:t xml:space="preserve">its </w:t>
      </w:r>
      <w:r w:rsidR="00E206BD" w:rsidRPr="00ED5B14">
        <w:rPr>
          <w:color w:val="000000"/>
          <w:sz w:val="22"/>
          <w:szCs w:val="22"/>
          <w:lang w:val="en-GB" w:eastAsia="en-CA"/>
        </w:rPr>
        <w:t>own sources (</w:t>
      </w:r>
      <w:r w:rsidR="003A4E75" w:rsidRPr="00ED5B14">
        <w:rPr>
          <w:color w:val="000000"/>
          <w:sz w:val="22"/>
          <w:szCs w:val="22"/>
          <w:lang w:val="en-GB" w:eastAsia="en-CA"/>
        </w:rPr>
        <w:t xml:space="preserve">e.g., </w:t>
      </w:r>
      <w:r w:rsidR="00E206BD" w:rsidRPr="00ED5B14">
        <w:rPr>
          <w:color w:val="000000"/>
          <w:sz w:val="22"/>
          <w:szCs w:val="22"/>
          <w:lang w:val="en-GB" w:eastAsia="en-CA"/>
        </w:rPr>
        <w:t>taxation, revenue sharing, royalties</w:t>
      </w:r>
      <w:r w:rsidR="003A4E75" w:rsidRPr="00ED5B14">
        <w:rPr>
          <w:color w:val="000000"/>
          <w:sz w:val="22"/>
          <w:szCs w:val="22"/>
          <w:lang w:val="en-GB" w:eastAsia="en-CA"/>
        </w:rPr>
        <w:t>,</w:t>
      </w:r>
      <w:r w:rsidR="00E206BD" w:rsidRPr="00ED5B14">
        <w:rPr>
          <w:color w:val="000000"/>
          <w:sz w:val="22"/>
          <w:szCs w:val="22"/>
          <w:lang w:val="en-GB" w:eastAsia="en-CA"/>
        </w:rPr>
        <w:t xml:space="preserve"> and businesses) </w:t>
      </w:r>
      <w:r w:rsidR="003A4E75" w:rsidRPr="00ED5B14">
        <w:rPr>
          <w:color w:val="000000"/>
          <w:sz w:val="22"/>
          <w:szCs w:val="22"/>
          <w:lang w:val="en-GB" w:eastAsia="en-CA"/>
        </w:rPr>
        <w:t>and</w:t>
      </w:r>
      <w:r w:rsidR="00E206BD" w:rsidRPr="00ED5B14">
        <w:rPr>
          <w:color w:val="000000"/>
          <w:sz w:val="22"/>
          <w:szCs w:val="22"/>
          <w:lang w:val="en-GB" w:eastAsia="en-CA"/>
        </w:rPr>
        <w:t xml:space="preserve"> </w:t>
      </w:r>
      <w:r w:rsidR="00061578" w:rsidRPr="00ED5B14">
        <w:rPr>
          <w:color w:val="000000"/>
          <w:sz w:val="22"/>
          <w:szCs w:val="22"/>
          <w:lang w:val="en-GB" w:eastAsia="en-CA"/>
        </w:rPr>
        <w:t xml:space="preserve">through </w:t>
      </w:r>
      <w:r w:rsidR="00E206BD" w:rsidRPr="00ED5B14">
        <w:rPr>
          <w:color w:val="000000"/>
          <w:sz w:val="22"/>
          <w:szCs w:val="22"/>
          <w:lang w:val="en-GB" w:eastAsia="en-CA"/>
        </w:rPr>
        <w:t xml:space="preserve">various grants and contributions from external sources for delivery of specific programs and projects. </w:t>
      </w:r>
      <w:r w:rsidR="003A4E75" w:rsidRPr="00ED5B14">
        <w:rPr>
          <w:color w:val="000000"/>
          <w:sz w:val="22"/>
          <w:szCs w:val="22"/>
          <w:lang w:val="en-GB" w:eastAsia="en-CA"/>
        </w:rPr>
        <w:t>I</w:t>
      </w:r>
      <w:r w:rsidR="00E5034A" w:rsidRPr="00ED5B14">
        <w:rPr>
          <w:color w:val="000000"/>
          <w:sz w:val="22"/>
          <w:szCs w:val="22"/>
          <w:lang w:val="en-GB" w:eastAsia="en-CA"/>
        </w:rPr>
        <w:t>n a</w:t>
      </w:r>
      <w:r w:rsidR="003A4E75" w:rsidRPr="00ED5B14">
        <w:rPr>
          <w:color w:val="000000"/>
          <w:sz w:val="22"/>
          <w:szCs w:val="22"/>
          <w:lang w:val="en-GB" w:eastAsia="en-CA"/>
        </w:rPr>
        <w:t xml:space="preserve"> typical </w:t>
      </w:r>
      <w:r w:rsidR="00E5034A" w:rsidRPr="00ED5B14">
        <w:rPr>
          <w:color w:val="000000"/>
          <w:sz w:val="22"/>
          <w:szCs w:val="22"/>
          <w:lang w:val="en-GB" w:eastAsia="en-CA"/>
        </w:rPr>
        <w:t xml:space="preserve">year, </w:t>
      </w:r>
      <w:r w:rsidR="00E206BD" w:rsidRPr="00ED5B14">
        <w:rPr>
          <w:color w:val="000000"/>
          <w:sz w:val="22"/>
          <w:szCs w:val="22"/>
          <w:lang w:val="en-GB" w:eastAsia="en-CA"/>
        </w:rPr>
        <w:t xml:space="preserve">the </w:t>
      </w:r>
      <w:r w:rsidR="003A4E75" w:rsidRPr="00ED5B14">
        <w:rPr>
          <w:color w:val="000000"/>
          <w:sz w:val="22"/>
          <w:szCs w:val="22"/>
          <w:lang w:val="en-GB" w:eastAsia="en-CA"/>
        </w:rPr>
        <w:t>b</w:t>
      </w:r>
      <w:r w:rsidR="00E206BD" w:rsidRPr="00ED5B14">
        <w:rPr>
          <w:color w:val="000000"/>
          <w:sz w:val="22"/>
          <w:szCs w:val="22"/>
          <w:lang w:val="en-GB" w:eastAsia="en-CA"/>
        </w:rPr>
        <w:t xml:space="preserve">and </w:t>
      </w:r>
      <w:r w:rsidR="003A4E75" w:rsidRPr="00ED5B14">
        <w:rPr>
          <w:color w:val="000000"/>
          <w:sz w:val="22"/>
          <w:szCs w:val="22"/>
          <w:lang w:val="en-GB" w:eastAsia="en-CA"/>
        </w:rPr>
        <w:t xml:space="preserve">generated </w:t>
      </w:r>
      <w:r w:rsidR="00E206BD" w:rsidRPr="00ED5B14">
        <w:rPr>
          <w:color w:val="000000"/>
          <w:sz w:val="22"/>
          <w:szCs w:val="22"/>
          <w:lang w:val="en-GB" w:eastAsia="en-CA"/>
        </w:rPr>
        <w:t>60</w:t>
      </w:r>
      <w:r w:rsidR="00061578" w:rsidRPr="00ED5B14">
        <w:rPr>
          <w:color w:val="000000"/>
          <w:sz w:val="22"/>
          <w:szCs w:val="22"/>
          <w:lang w:val="en-GB" w:eastAsia="en-CA"/>
        </w:rPr>
        <w:t xml:space="preserve"> per</w:t>
      </w:r>
      <w:r w:rsidR="00BE7F62" w:rsidRPr="00ED5B14">
        <w:rPr>
          <w:color w:val="000000"/>
          <w:sz w:val="22"/>
          <w:szCs w:val="22"/>
          <w:lang w:val="en-GB" w:eastAsia="en-CA"/>
        </w:rPr>
        <w:t xml:space="preserve"> </w:t>
      </w:r>
      <w:r w:rsidR="00061578" w:rsidRPr="00ED5B14">
        <w:rPr>
          <w:color w:val="000000"/>
          <w:sz w:val="22"/>
          <w:szCs w:val="22"/>
          <w:lang w:val="en-GB" w:eastAsia="en-CA"/>
        </w:rPr>
        <w:t>cent</w:t>
      </w:r>
      <w:r w:rsidR="00E206BD" w:rsidRPr="00ED5B14">
        <w:rPr>
          <w:color w:val="000000"/>
          <w:sz w:val="22"/>
          <w:szCs w:val="22"/>
          <w:lang w:val="en-GB" w:eastAsia="en-CA"/>
        </w:rPr>
        <w:t xml:space="preserve"> of </w:t>
      </w:r>
      <w:r w:rsidR="003A4E75" w:rsidRPr="00ED5B14">
        <w:rPr>
          <w:color w:val="000000"/>
          <w:sz w:val="22"/>
          <w:szCs w:val="22"/>
          <w:lang w:val="en-GB" w:eastAsia="en-CA"/>
        </w:rPr>
        <w:t xml:space="preserve">its </w:t>
      </w:r>
      <w:r w:rsidR="00E206BD" w:rsidRPr="00ED5B14">
        <w:rPr>
          <w:color w:val="000000"/>
          <w:sz w:val="22"/>
          <w:szCs w:val="22"/>
          <w:lang w:val="en-GB" w:eastAsia="en-CA"/>
        </w:rPr>
        <w:t xml:space="preserve">revenue through </w:t>
      </w:r>
      <w:r w:rsidR="003A4E75" w:rsidRPr="00ED5B14">
        <w:rPr>
          <w:color w:val="000000"/>
          <w:sz w:val="22"/>
          <w:szCs w:val="22"/>
          <w:lang w:val="en-GB" w:eastAsia="en-CA"/>
        </w:rPr>
        <w:t xml:space="preserve">its </w:t>
      </w:r>
      <w:r w:rsidR="00E206BD" w:rsidRPr="00ED5B14">
        <w:rPr>
          <w:color w:val="000000"/>
          <w:sz w:val="22"/>
          <w:szCs w:val="22"/>
          <w:lang w:val="en-GB" w:eastAsia="en-CA"/>
        </w:rPr>
        <w:t>own sources</w:t>
      </w:r>
      <w:r w:rsidR="00A60C4A" w:rsidRPr="00ED5B14">
        <w:rPr>
          <w:color w:val="000000"/>
          <w:sz w:val="22"/>
          <w:szCs w:val="22"/>
          <w:lang w:val="en-GB" w:eastAsia="en-CA"/>
        </w:rPr>
        <w:t xml:space="preserve"> and </w:t>
      </w:r>
      <w:r w:rsidR="003A4E75" w:rsidRPr="00ED5B14">
        <w:rPr>
          <w:color w:val="000000"/>
          <w:sz w:val="22"/>
          <w:szCs w:val="22"/>
          <w:lang w:val="en-GB" w:eastAsia="en-CA"/>
        </w:rPr>
        <w:t xml:space="preserve">the </w:t>
      </w:r>
      <w:r w:rsidR="00A60C4A" w:rsidRPr="00ED5B14">
        <w:rPr>
          <w:color w:val="000000"/>
          <w:sz w:val="22"/>
          <w:szCs w:val="22"/>
          <w:lang w:val="en-GB" w:eastAsia="en-CA"/>
        </w:rPr>
        <w:t>rest through external sources</w:t>
      </w:r>
      <w:r w:rsidR="00E206BD" w:rsidRPr="00ED5B14">
        <w:rPr>
          <w:color w:val="000000"/>
          <w:sz w:val="22"/>
          <w:szCs w:val="22"/>
          <w:lang w:val="en-GB" w:eastAsia="en-CA"/>
        </w:rPr>
        <w:t xml:space="preserve">. </w:t>
      </w:r>
      <w:r w:rsidR="00A3387F" w:rsidRPr="00ED5B14">
        <w:rPr>
          <w:color w:val="000000"/>
          <w:sz w:val="22"/>
          <w:szCs w:val="22"/>
          <w:lang w:val="en-GB" w:eastAsia="en-CA"/>
        </w:rPr>
        <w:t>T</w:t>
      </w:r>
      <w:r w:rsidRPr="00ED5B14">
        <w:rPr>
          <w:color w:val="000000"/>
          <w:sz w:val="22"/>
          <w:szCs w:val="22"/>
          <w:lang w:val="en-GB" w:eastAsia="en-CA"/>
        </w:rPr>
        <w:t>he</w:t>
      </w:r>
      <w:r w:rsidR="003A4E75" w:rsidRPr="00ED5B14">
        <w:rPr>
          <w:color w:val="000000"/>
          <w:sz w:val="22"/>
          <w:szCs w:val="22"/>
          <w:lang w:val="en-GB" w:eastAsia="en-CA"/>
        </w:rPr>
        <w:t xml:space="preserve"> year </w:t>
      </w:r>
      <w:r w:rsidRPr="00ED5B14">
        <w:rPr>
          <w:color w:val="000000"/>
          <w:sz w:val="22"/>
          <w:szCs w:val="22"/>
          <w:lang w:val="en-GB" w:eastAsia="en-CA"/>
        </w:rPr>
        <w:t>2017</w:t>
      </w:r>
      <w:r w:rsidR="003A4E75" w:rsidRPr="00ED5B14">
        <w:rPr>
          <w:color w:val="000000"/>
          <w:sz w:val="22"/>
          <w:szCs w:val="22"/>
          <w:lang w:val="en-GB" w:eastAsia="en-CA"/>
        </w:rPr>
        <w:t xml:space="preserve"> was </w:t>
      </w:r>
      <w:r w:rsidR="00A60C4A" w:rsidRPr="00ED5B14">
        <w:rPr>
          <w:color w:val="000000"/>
          <w:sz w:val="22"/>
          <w:szCs w:val="22"/>
          <w:lang w:val="en-GB" w:eastAsia="en-CA"/>
        </w:rPr>
        <w:t>an anomaly</w:t>
      </w:r>
      <w:r w:rsidR="003A4E75" w:rsidRPr="00ED5B14">
        <w:rPr>
          <w:color w:val="000000"/>
          <w:sz w:val="22"/>
          <w:szCs w:val="22"/>
          <w:lang w:val="en-GB" w:eastAsia="en-CA"/>
        </w:rPr>
        <w:t>; revenue that</w:t>
      </w:r>
      <w:r w:rsidR="00A60C4A" w:rsidRPr="00ED5B14">
        <w:rPr>
          <w:color w:val="000000"/>
          <w:sz w:val="22"/>
          <w:szCs w:val="22"/>
          <w:lang w:val="en-GB" w:eastAsia="en-CA"/>
        </w:rPr>
        <w:t xml:space="preserve"> year</w:t>
      </w:r>
      <w:r w:rsidRPr="00ED5B14">
        <w:rPr>
          <w:color w:val="000000"/>
          <w:sz w:val="22"/>
          <w:szCs w:val="22"/>
          <w:lang w:val="en-GB" w:eastAsia="en-CA"/>
        </w:rPr>
        <w:t xml:space="preserve"> came primarily from Indigenous and Northern Affairs Canada</w:t>
      </w:r>
      <w:r w:rsidR="00A60C4A" w:rsidRPr="00ED5B14">
        <w:rPr>
          <w:color w:val="000000"/>
          <w:sz w:val="22"/>
          <w:szCs w:val="22"/>
          <w:lang w:val="en-GB" w:eastAsia="en-CA"/>
        </w:rPr>
        <w:t xml:space="preserve"> (INAC</w:t>
      </w:r>
      <w:r w:rsidR="00105145" w:rsidRPr="00ED5B14">
        <w:rPr>
          <w:color w:val="000000"/>
          <w:sz w:val="22"/>
          <w:szCs w:val="22"/>
          <w:lang w:val="en-GB" w:eastAsia="en-CA"/>
        </w:rPr>
        <w:t>). M</w:t>
      </w:r>
      <w:r w:rsidR="002D0182" w:rsidRPr="00ED5B14">
        <w:rPr>
          <w:color w:val="000000"/>
          <w:sz w:val="22"/>
          <w:szCs w:val="22"/>
          <w:lang w:val="en-GB" w:eastAsia="en-CA"/>
        </w:rPr>
        <w:t xml:space="preserve">ost of </w:t>
      </w:r>
      <w:r w:rsidR="00105145" w:rsidRPr="00ED5B14">
        <w:rPr>
          <w:color w:val="000000"/>
          <w:sz w:val="22"/>
          <w:szCs w:val="22"/>
          <w:lang w:val="en-GB" w:eastAsia="en-CA"/>
        </w:rPr>
        <w:t xml:space="preserve">this </w:t>
      </w:r>
      <w:r w:rsidR="002D0182" w:rsidRPr="00ED5B14">
        <w:rPr>
          <w:color w:val="000000"/>
          <w:sz w:val="22"/>
          <w:szCs w:val="22"/>
          <w:lang w:val="en-GB" w:eastAsia="en-CA"/>
        </w:rPr>
        <w:t xml:space="preserve">was </w:t>
      </w:r>
      <w:r w:rsidR="00A60C4A" w:rsidRPr="00ED5B14">
        <w:rPr>
          <w:color w:val="000000"/>
          <w:sz w:val="22"/>
          <w:szCs w:val="22"/>
          <w:lang w:val="en-GB" w:eastAsia="en-CA"/>
        </w:rPr>
        <w:t xml:space="preserve">grant-based and </w:t>
      </w:r>
      <w:r w:rsidR="002D0182" w:rsidRPr="00ED5B14">
        <w:rPr>
          <w:color w:val="000000"/>
          <w:sz w:val="22"/>
          <w:szCs w:val="22"/>
          <w:lang w:val="en-GB" w:eastAsia="en-CA"/>
        </w:rPr>
        <w:t>targeted for a new housing project</w:t>
      </w:r>
      <w:r w:rsidR="00105145" w:rsidRPr="00ED5B14">
        <w:rPr>
          <w:color w:val="000000"/>
          <w:sz w:val="22"/>
          <w:szCs w:val="22"/>
          <w:lang w:val="en-GB" w:eastAsia="en-CA"/>
        </w:rPr>
        <w:t xml:space="preserve">. Meanwhile, </w:t>
      </w:r>
      <w:r w:rsidRPr="00ED5B14">
        <w:rPr>
          <w:color w:val="000000"/>
          <w:sz w:val="22"/>
          <w:szCs w:val="22"/>
          <w:lang w:val="en-GB" w:eastAsia="en-CA"/>
        </w:rPr>
        <w:t xml:space="preserve">the bulk of the expenses </w:t>
      </w:r>
      <w:r w:rsidR="00105145" w:rsidRPr="00ED5B14">
        <w:rPr>
          <w:color w:val="000000"/>
          <w:sz w:val="22"/>
          <w:szCs w:val="22"/>
          <w:lang w:val="en-GB" w:eastAsia="en-CA"/>
        </w:rPr>
        <w:t xml:space="preserve">that year </w:t>
      </w:r>
      <w:r w:rsidRPr="00ED5B14">
        <w:rPr>
          <w:color w:val="000000"/>
          <w:sz w:val="22"/>
          <w:szCs w:val="22"/>
          <w:lang w:val="en-GB" w:eastAsia="en-CA"/>
        </w:rPr>
        <w:t xml:space="preserve">went to a variety of </w:t>
      </w:r>
      <w:r w:rsidR="00A60C4A" w:rsidRPr="00ED5B14">
        <w:rPr>
          <w:color w:val="000000"/>
          <w:sz w:val="22"/>
          <w:szCs w:val="22"/>
          <w:lang w:val="en-GB" w:eastAsia="en-CA"/>
        </w:rPr>
        <w:t xml:space="preserve">social and economic </w:t>
      </w:r>
      <w:r w:rsidR="008C649C" w:rsidRPr="00ED5B14">
        <w:rPr>
          <w:color w:val="000000"/>
          <w:sz w:val="22"/>
          <w:szCs w:val="22"/>
          <w:lang w:val="en-GB" w:eastAsia="en-CA"/>
        </w:rPr>
        <w:t>development</w:t>
      </w:r>
      <w:r w:rsidRPr="00ED5B14">
        <w:rPr>
          <w:color w:val="000000"/>
          <w:sz w:val="22"/>
          <w:szCs w:val="22"/>
          <w:lang w:val="en-GB" w:eastAsia="en-CA"/>
        </w:rPr>
        <w:t xml:space="preserve"> programs (see Exhibit 4).</w:t>
      </w:r>
      <w:r w:rsidR="00A60C4A" w:rsidRPr="00ED5B14">
        <w:rPr>
          <w:color w:val="000000"/>
          <w:sz w:val="22"/>
          <w:szCs w:val="22"/>
          <w:lang w:val="en-GB" w:eastAsia="en-CA"/>
        </w:rPr>
        <w:t xml:space="preserve"> The </w:t>
      </w:r>
      <w:r w:rsidR="00105145" w:rsidRPr="00ED5B14">
        <w:rPr>
          <w:color w:val="000000"/>
          <w:sz w:val="22"/>
          <w:szCs w:val="22"/>
          <w:lang w:val="en-GB" w:eastAsia="en-CA"/>
        </w:rPr>
        <w:t>b</w:t>
      </w:r>
      <w:r w:rsidR="00A60C4A" w:rsidRPr="00ED5B14">
        <w:rPr>
          <w:color w:val="000000"/>
          <w:sz w:val="22"/>
          <w:szCs w:val="22"/>
          <w:lang w:val="en-GB" w:eastAsia="en-CA"/>
        </w:rPr>
        <w:t xml:space="preserve">and </w:t>
      </w:r>
      <w:r w:rsidR="00105145" w:rsidRPr="00ED5B14">
        <w:rPr>
          <w:color w:val="000000"/>
          <w:sz w:val="22"/>
          <w:szCs w:val="22"/>
          <w:lang w:val="en-GB" w:eastAsia="en-CA"/>
        </w:rPr>
        <w:t xml:space="preserve">had </w:t>
      </w:r>
      <w:r w:rsidR="00A60C4A" w:rsidRPr="00ED5B14">
        <w:rPr>
          <w:color w:val="000000"/>
          <w:sz w:val="22"/>
          <w:szCs w:val="22"/>
          <w:lang w:val="en-GB" w:eastAsia="en-CA"/>
        </w:rPr>
        <w:t>a comprehensive funding agreement with INAC</w:t>
      </w:r>
      <w:r w:rsidR="00105145" w:rsidRPr="00ED5B14">
        <w:rPr>
          <w:color w:val="000000"/>
          <w:sz w:val="22"/>
          <w:szCs w:val="22"/>
          <w:lang w:val="en-GB" w:eastAsia="en-CA"/>
        </w:rPr>
        <w:t xml:space="preserve"> that saw</w:t>
      </w:r>
      <w:r w:rsidR="00A60C4A" w:rsidRPr="00ED5B14">
        <w:rPr>
          <w:color w:val="000000"/>
          <w:sz w:val="22"/>
          <w:szCs w:val="22"/>
          <w:lang w:val="en-GB" w:eastAsia="en-CA"/>
        </w:rPr>
        <w:t xml:space="preserve"> the </w:t>
      </w:r>
      <w:r w:rsidR="00105145" w:rsidRPr="00ED5B14">
        <w:rPr>
          <w:color w:val="000000"/>
          <w:sz w:val="22"/>
          <w:szCs w:val="22"/>
          <w:lang w:val="en-GB" w:eastAsia="en-CA"/>
        </w:rPr>
        <w:t>b</w:t>
      </w:r>
      <w:r w:rsidR="00A60C4A" w:rsidRPr="00ED5B14">
        <w:rPr>
          <w:color w:val="000000"/>
          <w:sz w:val="22"/>
          <w:szCs w:val="22"/>
          <w:lang w:val="en-GB" w:eastAsia="en-CA"/>
        </w:rPr>
        <w:t>and deliver various programs and services to its membership</w:t>
      </w:r>
      <w:r w:rsidR="00E5034A" w:rsidRPr="00ED5B14">
        <w:rPr>
          <w:color w:val="000000"/>
          <w:sz w:val="22"/>
          <w:szCs w:val="22"/>
          <w:lang w:val="en-GB" w:eastAsia="en-CA"/>
        </w:rPr>
        <w:t>.</w:t>
      </w:r>
      <w:r w:rsidR="00A60C4A" w:rsidRPr="00ED5B14">
        <w:rPr>
          <w:color w:val="000000"/>
          <w:sz w:val="22"/>
          <w:szCs w:val="22"/>
          <w:lang w:val="en-GB" w:eastAsia="en-CA"/>
        </w:rPr>
        <w:t xml:space="preserve"> </w:t>
      </w:r>
      <w:r w:rsidR="00E5034A" w:rsidRPr="00ED5B14">
        <w:rPr>
          <w:color w:val="000000"/>
          <w:sz w:val="22"/>
          <w:szCs w:val="22"/>
          <w:lang w:val="en-GB" w:eastAsia="en-CA"/>
        </w:rPr>
        <w:t>W</w:t>
      </w:r>
      <w:r w:rsidR="00A60C4A" w:rsidRPr="00ED5B14">
        <w:rPr>
          <w:color w:val="000000"/>
          <w:sz w:val="22"/>
          <w:szCs w:val="22"/>
          <w:lang w:val="en-GB" w:eastAsia="en-CA"/>
        </w:rPr>
        <w:t xml:space="preserve">hile INAC </w:t>
      </w:r>
      <w:r w:rsidR="00105145" w:rsidRPr="00ED5B14">
        <w:rPr>
          <w:color w:val="000000"/>
          <w:sz w:val="22"/>
          <w:szCs w:val="22"/>
          <w:lang w:val="en-GB" w:eastAsia="en-CA"/>
        </w:rPr>
        <w:t xml:space="preserve">contributed </w:t>
      </w:r>
      <w:r w:rsidR="00A60C4A" w:rsidRPr="00ED5B14">
        <w:rPr>
          <w:color w:val="000000"/>
          <w:sz w:val="22"/>
          <w:szCs w:val="22"/>
          <w:lang w:val="en-GB" w:eastAsia="en-CA"/>
        </w:rPr>
        <w:t xml:space="preserve">anywhere </w:t>
      </w:r>
      <w:r w:rsidR="00105145" w:rsidRPr="00ED5B14">
        <w:rPr>
          <w:color w:val="000000"/>
          <w:sz w:val="22"/>
          <w:szCs w:val="22"/>
          <w:lang w:val="en-GB" w:eastAsia="en-CA"/>
        </w:rPr>
        <w:t xml:space="preserve">from </w:t>
      </w:r>
      <w:r w:rsidR="00A60C4A" w:rsidRPr="00ED5B14">
        <w:rPr>
          <w:color w:val="000000"/>
          <w:sz w:val="22"/>
          <w:szCs w:val="22"/>
          <w:lang w:val="en-GB" w:eastAsia="en-CA"/>
        </w:rPr>
        <w:t>60 to 80</w:t>
      </w:r>
      <w:r w:rsidR="00061578" w:rsidRPr="00ED5B14">
        <w:rPr>
          <w:color w:val="000000"/>
          <w:sz w:val="22"/>
          <w:szCs w:val="22"/>
          <w:lang w:val="en-GB" w:eastAsia="en-CA"/>
        </w:rPr>
        <w:t xml:space="preserve"> </w:t>
      </w:r>
      <w:r w:rsidR="00105145" w:rsidRPr="00ED5B14">
        <w:rPr>
          <w:color w:val="000000"/>
          <w:sz w:val="22"/>
          <w:szCs w:val="22"/>
          <w:lang w:val="en-GB" w:eastAsia="en-CA"/>
        </w:rPr>
        <w:t xml:space="preserve">per cent </w:t>
      </w:r>
      <w:r w:rsidR="00A60C4A" w:rsidRPr="00ED5B14">
        <w:rPr>
          <w:color w:val="000000"/>
          <w:sz w:val="22"/>
          <w:szCs w:val="22"/>
          <w:lang w:val="en-GB" w:eastAsia="en-CA"/>
        </w:rPr>
        <w:t>towards the actual costs of delivery</w:t>
      </w:r>
      <w:r w:rsidR="00954C58" w:rsidRPr="00ED5B14">
        <w:rPr>
          <w:color w:val="000000"/>
          <w:sz w:val="22"/>
          <w:szCs w:val="22"/>
          <w:lang w:val="en-GB" w:eastAsia="en-CA"/>
        </w:rPr>
        <w:t>, depending on the type of program</w:t>
      </w:r>
      <w:r w:rsidR="000F3D59" w:rsidRPr="00ED5B14">
        <w:rPr>
          <w:color w:val="000000"/>
          <w:sz w:val="22"/>
          <w:szCs w:val="22"/>
          <w:lang w:val="en-GB" w:eastAsia="en-CA"/>
        </w:rPr>
        <w:t xml:space="preserve">, the </w:t>
      </w:r>
      <w:r w:rsidR="00954C58" w:rsidRPr="00ED5B14">
        <w:rPr>
          <w:color w:val="000000"/>
          <w:sz w:val="22"/>
          <w:szCs w:val="22"/>
          <w:lang w:val="en-GB" w:eastAsia="en-CA"/>
        </w:rPr>
        <w:t>b</w:t>
      </w:r>
      <w:r w:rsidR="000F3D59" w:rsidRPr="00ED5B14">
        <w:rPr>
          <w:color w:val="000000"/>
          <w:sz w:val="22"/>
          <w:szCs w:val="22"/>
          <w:lang w:val="en-GB" w:eastAsia="en-CA"/>
        </w:rPr>
        <w:t xml:space="preserve">and </w:t>
      </w:r>
      <w:r w:rsidR="00954C58" w:rsidRPr="00ED5B14">
        <w:rPr>
          <w:color w:val="000000"/>
          <w:sz w:val="22"/>
          <w:szCs w:val="22"/>
          <w:lang w:val="en-GB" w:eastAsia="en-CA"/>
        </w:rPr>
        <w:t xml:space="preserve">had </w:t>
      </w:r>
      <w:r w:rsidR="000F3D59" w:rsidRPr="00ED5B14">
        <w:rPr>
          <w:color w:val="000000"/>
          <w:sz w:val="22"/>
          <w:szCs w:val="22"/>
          <w:lang w:val="en-GB" w:eastAsia="en-CA"/>
        </w:rPr>
        <w:t xml:space="preserve">to fund the remaining costs through </w:t>
      </w:r>
      <w:r w:rsidR="00954C58" w:rsidRPr="00ED5B14">
        <w:rPr>
          <w:color w:val="000000"/>
          <w:sz w:val="22"/>
          <w:szCs w:val="22"/>
          <w:lang w:val="en-GB" w:eastAsia="en-CA"/>
        </w:rPr>
        <w:t xml:space="preserve">its </w:t>
      </w:r>
      <w:r w:rsidR="000F3D59" w:rsidRPr="00ED5B14">
        <w:rPr>
          <w:color w:val="000000"/>
          <w:sz w:val="22"/>
          <w:szCs w:val="22"/>
          <w:lang w:val="en-GB" w:eastAsia="en-CA"/>
        </w:rPr>
        <w:t>own sources</w:t>
      </w:r>
      <w:r w:rsidR="00BE7F62" w:rsidRPr="00ED5B14">
        <w:rPr>
          <w:color w:val="000000"/>
          <w:sz w:val="22"/>
          <w:szCs w:val="22"/>
          <w:lang w:val="en-GB" w:eastAsia="en-CA"/>
        </w:rPr>
        <w:t>.</w:t>
      </w:r>
    </w:p>
    <w:p w14:paraId="5C7FB54E" w14:textId="77777777" w:rsidR="00BE7F62" w:rsidRPr="00ED5B14" w:rsidRDefault="00BE7F62" w:rsidP="00BE7F62">
      <w:pPr>
        <w:pStyle w:val="BodyTextMain"/>
        <w:rPr>
          <w:lang w:val="en-GB" w:eastAsia="en-CA"/>
        </w:rPr>
      </w:pPr>
    </w:p>
    <w:p w14:paraId="2A5B5C1C" w14:textId="77777777" w:rsidR="00BE7F62" w:rsidRPr="00ED5B14" w:rsidRDefault="00BE7F62" w:rsidP="00BE7F62">
      <w:pPr>
        <w:pStyle w:val="BodyTextMain"/>
        <w:rPr>
          <w:lang w:val="en-GB" w:eastAsia="en-CA"/>
        </w:rPr>
      </w:pPr>
    </w:p>
    <w:p w14:paraId="6748B879" w14:textId="78652D17" w:rsidR="00330445" w:rsidRPr="00ED5B14" w:rsidRDefault="00330445" w:rsidP="00D70C09">
      <w:pPr>
        <w:widowControl w:val="0"/>
        <w:pBdr>
          <w:top w:val="nil"/>
          <w:left w:val="nil"/>
          <w:bottom w:val="nil"/>
          <w:right w:val="nil"/>
          <w:between w:val="nil"/>
        </w:pBdr>
        <w:jc w:val="both"/>
        <w:rPr>
          <w:rFonts w:ascii="Arial" w:hAnsi="Arial" w:cs="Arial"/>
          <w:b/>
          <w:color w:val="000000"/>
          <w:lang w:val="en-GB" w:eastAsia="en-CA"/>
        </w:rPr>
      </w:pPr>
      <w:r w:rsidRPr="00ED5B14">
        <w:rPr>
          <w:rFonts w:ascii="Arial" w:hAnsi="Arial" w:cs="Arial"/>
          <w:b/>
          <w:color w:val="000000"/>
          <w:lang w:val="en-GB" w:eastAsia="en-CA"/>
        </w:rPr>
        <w:t>LOOKING FORWARD</w:t>
      </w:r>
    </w:p>
    <w:p w14:paraId="6BD9F7AF" w14:textId="77777777" w:rsidR="00330445" w:rsidRPr="00ED5B14" w:rsidRDefault="00330445" w:rsidP="00D70C09">
      <w:pPr>
        <w:widowControl w:val="0"/>
        <w:pBdr>
          <w:top w:val="nil"/>
          <w:left w:val="nil"/>
          <w:bottom w:val="nil"/>
          <w:right w:val="nil"/>
          <w:between w:val="nil"/>
        </w:pBdr>
        <w:jc w:val="both"/>
        <w:rPr>
          <w:color w:val="000000"/>
          <w:sz w:val="22"/>
          <w:szCs w:val="22"/>
          <w:lang w:val="en-GB" w:eastAsia="en-CA"/>
        </w:rPr>
      </w:pPr>
    </w:p>
    <w:p w14:paraId="23FFECD6" w14:textId="56FB93EB" w:rsidR="00330445" w:rsidRPr="00ED5B14" w:rsidRDefault="00330445" w:rsidP="00D70C09">
      <w:pPr>
        <w:widowControl w:val="0"/>
        <w:pBdr>
          <w:top w:val="nil"/>
          <w:left w:val="nil"/>
          <w:bottom w:val="nil"/>
          <w:right w:val="nil"/>
          <w:between w:val="nil"/>
        </w:pBdr>
        <w:jc w:val="both"/>
        <w:rPr>
          <w:b/>
          <w:color w:val="000000"/>
          <w:sz w:val="22"/>
          <w:szCs w:val="22"/>
          <w:u w:val="single"/>
          <w:lang w:val="en-GB" w:eastAsia="en-CA"/>
        </w:rPr>
      </w:pPr>
      <w:r w:rsidRPr="00D70C09">
        <w:rPr>
          <w:color w:val="000000"/>
          <w:sz w:val="22"/>
          <w:szCs w:val="22"/>
          <w:lang w:val="en-GB" w:eastAsia="en-CA"/>
        </w:rPr>
        <w:t xml:space="preserve">By the end of 2017, the </w:t>
      </w:r>
      <w:r w:rsidR="00954C58" w:rsidRPr="00D70C09">
        <w:rPr>
          <w:color w:val="000000"/>
          <w:sz w:val="22"/>
          <w:szCs w:val="22"/>
          <w:lang w:val="en-GB" w:eastAsia="en-CA"/>
        </w:rPr>
        <w:t>c</w:t>
      </w:r>
      <w:r w:rsidRPr="00D70C09">
        <w:rPr>
          <w:color w:val="000000"/>
          <w:sz w:val="22"/>
          <w:szCs w:val="22"/>
          <w:lang w:val="en-GB" w:eastAsia="en-CA"/>
        </w:rPr>
        <w:t>ouncil reflected on past decades</w:t>
      </w:r>
      <w:r w:rsidR="00954C58" w:rsidRPr="00D70C09">
        <w:rPr>
          <w:color w:val="000000"/>
          <w:sz w:val="22"/>
          <w:szCs w:val="22"/>
          <w:lang w:val="en-GB" w:eastAsia="en-CA"/>
        </w:rPr>
        <w:t xml:space="preserve">, </w:t>
      </w:r>
      <w:r w:rsidRPr="00D70C09">
        <w:rPr>
          <w:color w:val="000000"/>
          <w:sz w:val="22"/>
          <w:szCs w:val="22"/>
          <w:lang w:val="en-GB" w:eastAsia="en-CA"/>
        </w:rPr>
        <w:t xml:space="preserve">took stock of </w:t>
      </w:r>
      <w:r w:rsidR="00954C58" w:rsidRPr="00D70C09">
        <w:rPr>
          <w:color w:val="000000"/>
          <w:sz w:val="22"/>
          <w:szCs w:val="22"/>
          <w:lang w:val="en-GB" w:eastAsia="en-CA"/>
        </w:rPr>
        <w:t xml:space="preserve">its </w:t>
      </w:r>
      <w:r w:rsidRPr="00D70C09">
        <w:rPr>
          <w:color w:val="000000"/>
          <w:sz w:val="22"/>
          <w:szCs w:val="22"/>
          <w:lang w:val="en-GB" w:eastAsia="en-CA"/>
        </w:rPr>
        <w:t>resources</w:t>
      </w:r>
      <w:r w:rsidR="00954C58" w:rsidRPr="00D70C09">
        <w:rPr>
          <w:color w:val="000000"/>
          <w:sz w:val="22"/>
          <w:szCs w:val="22"/>
          <w:lang w:val="en-GB" w:eastAsia="en-CA"/>
        </w:rPr>
        <w:t>,</w:t>
      </w:r>
      <w:r w:rsidRPr="00D70C09">
        <w:rPr>
          <w:color w:val="000000"/>
          <w:sz w:val="22"/>
          <w:szCs w:val="22"/>
          <w:lang w:val="en-GB" w:eastAsia="en-CA"/>
        </w:rPr>
        <w:t xml:space="preserve"> and assessed </w:t>
      </w:r>
      <w:r w:rsidR="00954C58" w:rsidRPr="00D70C09">
        <w:rPr>
          <w:color w:val="000000"/>
          <w:sz w:val="22"/>
          <w:szCs w:val="22"/>
          <w:lang w:val="en-GB" w:eastAsia="en-CA"/>
        </w:rPr>
        <w:t xml:space="preserve">its </w:t>
      </w:r>
      <w:r w:rsidRPr="00D70C09">
        <w:rPr>
          <w:color w:val="000000"/>
          <w:sz w:val="22"/>
          <w:szCs w:val="22"/>
          <w:lang w:val="en-GB" w:eastAsia="en-CA"/>
        </w:rPr>
        <w:t>challenges, with the aim, in the community’s words</w:t>
      </w:r>
      <w:r w:rsidR="00954C58" w:rsidRPr="00D70C09">
        <w:rPr>
          <w:color w:val="000000"/>
          <w:sz w:val="22"/>
          <w:szCs w:val="22"/>
          <w:lang w:val="en-GB" w:eastAsia="en-CA"/>
        </w:rPr>
        <w:t>,</w:t>
      </w:r>
      <w:r w:rsidRPr="00D70C09">
        <w:rPr>
          <w:color w:val="000000"/>
          <w:sz w:val="22"/>
          <w:szCs w:val="22"/>
          <w:lang w:val="en-GB" w:eastAsia="en-CA"/>
        </w:rPr>
        <w:t xml:space="preserve"> to “evolve and learn to focus energies on projects that play to the strengths of the community.” </w:t>
      </w:r>
      <w:r w:rsidR="00954C58" w:rsidRPr="00D70C09">
        <w:rPr>
          <w:color w:val="000000"/>
          <w:sz w:val="22"/>
          <w:szCs w:val="22"/>
          <w:lang w:val="en-GB" w:eastAsia="en-CA"/>
        </w:rPr>
        <w:t xml:space="preserve">Council members </w:t>
      </w:r>
      <w:r w:rsidRPr="00D70C09">
        <w:rPr>
          <w:color w:val="000000"/>
          <w:sz w:val="22"/>
          <w:szCs w:val="22"/>
          <w:lang w:val="en-GB" w:eastAsia="en-CA"/>
        </w:rPr>
        <w:t xml:space="preserve">asked themselves if the CEDP needed to evolve for the coming years to meet the overarching vision </w:t>
      </w:r>
      <w:r w:rsidR="00954C58" w:rsidRPr="00D70C09">
        <w:rPr>
          <w:color w:val="000000"/>
          <w:sz w:val="22"/>
          <w:szCs w:val="22"/>
          <w:lang w:val="en-GB" w:eastAsia="en-CA"/>
        </w:rPr>
        <w:t xml:space="preserve">of making </w:t>
      </w:r>
      <w:r w:rsidRPr="00D70C09">
        <w:rPr>
          <w:color w:val="000000"/>
          <w:sz w:val="22"/>
          <w:szCs w:val="22"/>
          <w:lang w:val="en-GB" w:eastAsia="en-CA"/>
        </w:rPr>
        <w:t xml:space="preserve">the community more self-sufficient, vibrant, and sustainable. Given </w:t>
      </w:r>
      <w:r w:rsidR="00954C58" w:rsidRPr="00D70C09">
        <w:rPr>
          <w:color w:val="000000"/>
          <w:sz w:val="22"/>
          <w:szCs w:val="22"/>
          <w:lang w:val="en-GB" w:eastAsia="en-CA"/>
        </w:rPr>
        <w:t xml:space="preserve">the community’s </w:t>
      </w:r>
      <w:r w:rsidRPr="00D70C09">
        <w:rPr>
          <w:color w:val="000000"/>
          <w:sz w:val="22"/>
          <w:szCs w:val="22"/>
          <w:lang w:val="en-GB" w:eastAsia="en-CA"/>
        </w:rPr>
        <w:t xml:space="preserve">multitude of resources, what resources could </w:t>
      </w:r>
      <w:r w:rsidR="00954C58" w:rsidRPr="00D70C09">
        <w:rPr>
          <w:color w:val="000000"/>
          <w:sz w:val="22"/>
          <w:szCs w:val="22"/>
          <w:lang w:val="en-GB" w:eastAsia="en-CA"/>
        </w:rPr>
        <w:t xml:space="preserve">it </w:t>
      </w:r>
      <w:r w:rsidRPr="00D70C09">
        <w:rPr>
          <w:color w:val="000000"/>
          <w:sz w:val="22"/>
          <w:szCs w:val="22"/>
          <w:lang w:val="en-GB" w:eastAsia="en-CA"/>
        </w:rPr>
        <w:t>use</w:t>
      </w:r>
      <w:r w:rsidR="00954C58" w:rsidRPr="00D70C09">
        <w:rPr>
          <w:color w:val="000000"/>
          <w:sz w:val="22"/>
          <w:szCs w:val="22"/>
          <w:lang w:val="en-GB" w:eastAsia="en-CA"/>
        </w:rPr>
        <w:t xml:space="preserve"> to</w:t>
      </w:r>
      <w:r w:rsidRPr="00D70C09">
        <w:rPr>
          <w:color w:val="000000"/>
          <w:sz w:val="22"/>
          <w:szCs w:val="22"/>
          <w:lang w:val="en-GB" w:eastAsia="en-CA"/>
        </w:rPr>
        <w:t xml:space="preserve"> </w:t>
      </w:r>
      <w:r w:rsidR="00954C58" w:rsidRPr="00D70C09">
        <w:rPr>
          <w:color w:val="000000"/>
          <w:sz w:val="22"/>
          <w:szCs w:val="22"/>
          <w:lang w:val="en-GB" w:eastAsia="en-CA"/>
        </w:rPr>
        <w:t>achieve this vision</w:t>
      </w:r>
      <w:r w:rsidRPr="00D70C09">
        <w:rPr>
          <w:color w:val="000000"/>
          <w:sz w:val="22"/>
          <w:szCs w:val="22"/>
          <w:lang w:val="en-GB" w:eastAsia="en-CA"/>
        </w:rPr>
        <w:t>?</w:t>
      </w:r>
      <w:r w:rsidRPr="00ED5B14">
        <w:rPr>
          <w:color w:val="000000"/>
          <w:sz w:val="22"/>
          <w:szCs w:val="22"/>
          <w:lang w:val="en-GB" w:eastAsia="en-CA"/>
        </w:rPr>
        <w:t xml:space="preserve"> </w:t>
      </w:r>
      <w:r w:rsidRPr="00D70C09">
        <w:rPr>
          <w:color w:val="000000"/>
          <w:sz w:val="22"/>
          <w:szCs w:val="22"/>
          <w:lang w:val="en-GB" w:eastAsia="en-CA"/>
        </w:rPr>
        <w:t xml:space="preserve">How </w:t>
      </w:r>
      <w:r w:rsidR="00954C58" w:rsidRPr="00D70C09">
        <w:rPr>
          <w:color w:val="000000"/>
          <w:sz w:val="22"/>
          <w:szCs w:val="22"/>
          <w:lang w:val="en-GB" w:eastAsia="en-CA"/>
        </w:rPr>
        <w:t xml:space="preserve">could the community </w:t>
      </w:r>
      <w:r w:rsidRPr="00D70C09">
        <w:rPr>
          <w:color w:val="000000"/>
          <w:sz w:val="22"/>
          <w:szCs w:val="22"/>
          <w:lang w:val="en-GB" w:eastAsia="en-CA"/>
        </w:rPr>
        <w:t xml:space="preserve">do </w:t>
      </w:r>
      <w:r w:rsidR="00954C58" w:rsidRPr="00D70C09">
        <w:rPr>
          <w:color w:val="000000"/>
          <w:sz w:val="22"/>
          <w:szCs w:val="22"/>
          <w:lang w:val="en-GB" w:eastAsia="en-CA"/>
        </w:rPr>
        <w:t xml:space="preserve">this </w:t>
      </w:r>
      <w:r w:rsidRPr="00D70C09">
        <w:rPr>
          <w:color w:val="000000"/>
          <w:sz w:val="22"/>
          <w:szCs w:val="22"/>
          <w:lang w:val="en-GB" w:eastAsia="en-CA"/>
        </w:rPr>
        <w:t xml:space="preserve">in a way that overcame </w:t>
      </w:r>
      <w:r w:rsidR="00954C58" w:rsidRPr="00D70C09">
        <w:rPr>
          <w:color w:val="000000"/>
          <w:sz w:val="22"/>
          <w:szCs w:val="22"/>
          <w:lang w:val="en-GB" w:eastAsia="en-CA"/>
        </w:rPr>
        <w:t xml:space="preserve">its </w:t>
      </w:r>
      <w:r w:rsidRPr="00D70C09">
        <w:rPr>
          <w:color w:val="000000"/>
          <w:sz w:val="22"/>
          <w:szCs w:val="22"/>
          <w:lang w:val="en-GB" w:eastAsia="en-CA"/>
        </w:rPr>
        <w:t>challenges</w:t>
      </w:r>
      <w:r w:rsidR="00954C58" w:rsidRPr="00D70C09">
        <w:rPr>
          <w:color w:val="000000"/>
          <w:sz w:val="22"/>
          <w:szCs w:val="22"/>
          <w:lang w:val="en-GB" w:eastAsia="en-CA"/>
        </w:rPr>
        <w:t xml:space="preserve"> but did</w:t>
      </w:r>
      <w:r w:rsidRPr="00D70C09">
        <w:rPr>
          <w:color w:val="000000"/>
          <w:sz w:val="22"/>
          <w:szCs w:val="22"/>
          <w:lang w:val="en-GB" w:eastAsia="en-CA"/>
        </w:rPr>
        <w:t xml:space="preserve"> not </w:t>
      </w:r>
      <w:r w:rsidR="00954C58" w:rsidRPr="00D70C09">
        <w:rPr>
          <w:color w:val="000000"/>
          <w:sz w:val="22"/>
          <w:szCs w:val="22"/>
          <w:lang w:val="en-GB" w:eastAsia="en-CA"/>
        </w:rPr>
        <w:t xml:space="preserve">lose </w:t>
      </w:r>
      <w:r w:rsidRPr="00D70C09">
        <w:rPr>
          <w:color w:val="000000"/>
          <w:sz w:val="22"/>
          <w:szCs w:val="22"/>
          <w:lang w:val="en-GB" w:eastAsia="en-CA"/>
        </w:rPr>
        <w:t xml:space="preserve">sight of </w:t>
      </w:r>
      <w:r w:rsidR="00954C58" w:rsidRPr="00D70C09">
        <w:rPr>
          <w:color w:val="000000"/>
          <w:sz w:val="22"/>
          <w:szCs w:val="22"/>
          <w:lang w:val="en-GB" w:eastAsia="en-CA"/>
        </w:rPr>
        <w:t xml:space="preserve">its </w:t>
      </w:r>
      <w:r w:rsidRPr="00D70C09">
        <w:rPr>
          <w:color w:val="000000"/>
          <w:sz w:val="22"/>
          <w:szCs w:val="22"/>
          <w:lang w:val="en-GB" w:eastAsia="en-CA"/>
        </w:rPr>
        <w:t xml:space="preserve">traditional community values? Which current or alternative projects </w:t>
      </w:r>
      <w:r w:rsidR="00954C58" w:rsidRPr="00D70C09">
        <w:rPr>
          <w:color w:val="000000"/>
          <w:sz w:val="22"/>
          <w:szCs w:val="22"/>
          <w:lang w:val="en-GB" w:eastAsia="en-CA"/>
        </w:rPr>
        <w:t xml:space="preserve">would </w:t>
      </w:r>
      <w:r w:rsidRPr="00D70C09">
        <w:rPr>
          <w:color w:val="000000"/>
          <w:sz w:val="22"/>
          <w:szCs w:val="22"/>
          <w:lang w:val="en-GB" w:eastAsia="en-CA"/>
        </w:rPr>
        <w:t>best meet the vision for the</w:t>
      </w:r>
      <w:r w:rsidR="00954C58" w:rsidRPr="00D70C09">
        <w:rPr>
          <w:color w:val="000000"/>
          <w:sz w:val="22"/>
          <w:szCs w:val="22"/>
          <w:lang w:val="en-GB" w:eastAsia="en-CA"/>
        </w:rPr>
        <w:t xml:space="preserve"> </w:t>
      </w:r>
      <w:r w:rsidRPr="00D70C09">
        <w:rPr>
          <w:color w:val="000000"/>
          <w:sz w:val="22"/>
          <w:szCs w:val="22"/>
          <w:lang w:val="en-GB" w:eastAsia="en-CA"/>
        </w:rPr>
        <w:t xml:space="preserve">community, leverage </w:t>
      </w:r>
      <w:r w:rsidR="00954C58" w:rsidRPr="00D70C09">
        <w:rPr>
          <w:color w:val="000000"/>
          <w:sz w:val="22"/>
          <w:szCs w:val="22"/>
          <w:lang w:val="en-GB" w:eastAsia="en-CA"/>
        </w:rPr>
        <w:t>its</w:t>
      </w:r>
      <w:r w:rsidRPr="00D70C09">
        <w:rPr>
          <w:color w:val="000000"/>
          <w:sz w:val="22"/>
          <w:szCs w:val="22"/>
          <w:lang w:val="en-GB" w:eastAsia="en-CA"/>
        </w:rPr>
        <w:t xml:space="preserve"> resources, and meet </w:t>
      </w:r>
      <w:r w:rsidR="00954C58" w:rsidRPr="00D70C09">
        <w:rPr>
          <w:color w:val="000000"/>
          <w:sz w:val="22"/>
          <w:szCs w:val="22"/>
          <w:lang w:val="en-GB" w:eastAsia="en-CA"/>
        </w:rPr>
        <w:t xml:space="preserve">its </w:t>
      </w:r>
      <w:r w:rsidRPr="00D70C09">
        <w:rPr>
          <w:color w:val="000000"/>
          <w:sz w:val="22"/>
          <w:szCs w:val="22"/>
          <w:lang w:val="en-GB" w:eastAsia="en-CA"/>
        </w:rPr>
        <w:t xml:space="preserve">challenges? </w:t>
      </w:r>
    </w:p>
    <w:p w14:paraId="2C2D95C0" w14:textId="0E92A893" w:rsidR="00330445" w:rsidRPr="00ED5B14" w:rsidRDefault="00330445">
      <w:pPr>
        <w:spacing w:after="200" w:line="276" w:lineRule="auto"/>
        <w:rPr>
          <w:sz w:val="22"/>
          <w:szCs w:val="22"/>
          <w:lang w:val="en-GB"/>
        </w:rPr>
      </w:pPr>
      <w:r w:rsidRPr="00ED5B14">
        <w:rPr>
          <w:lang w:val="en-GB"/>
        </w:rPr>
        <w:br w:type="page"/>
      </w:r>
    </w:p>
    <w:p w14:paraId="6BD6AF94" w14:textId="5CFAD4C5" w:rsidR="00330445" w:rsidRPr="00ED5B14" w:rsidRDefault="00330445" w:rsidP="00330445">
      <w:pPr>
        <w:pStyle w:val="ExhibitHeading"/>
        <w:rPr>
          <w:lang w:val="en-GB" w:eastAsia="en-CA"/>
        </w:rPr>
      </w:pPr>
      <w:r w:rsidRPr="00ED5B14">
        <w:rPr>
          <w:lang w:val="en-GB" w:eastAsia="en-CA"/>
        </w:rPr>
        <w:lastRenderedPageBreak/>
        <w:t>Exhibit 1: Kanaka Bar Indian Band’s Organization Chart, May 2016</w:t>
      </w:r>
    </w:p>
    <w:p w14:paraId="261AAFE3" w14:textId="77777777" w:rsidR="00330445" w:rsidRPr="00ED5B14" w:rsidRDefault="00330445" w:rsidP="00330445">
      <w:pPr>
        <w:pStyle w:val="ExhibitText"/>
        <w:rPr>
          <w:lang w:val="en-GB" w:eastAsia="en-CA"/>
        </w:rPr>
      </w:pPr>
    </w:p>
    <w:p w14:paraId="68DA5953" w14:textId="412CC997" w:rsidR="00330445" w:rsidRPr="00ED5B14" w:rsidRDefault="00BD6031" w:rsidP="00330445">
      <w:pPr>
        <w:widowControl w:val="0"/>
        <w:pBdr>
          <w:top w:val="nil"/>
          <w:left w:val="nil"/>
          <w:bottom w:val="nil"/>
          <w:right w:val="nil"/>
          <w:between w:val="nil"/>
        </w:pBdr>
        <w:jc w:val="center"/>
        <w:rPr>
          <w:b/>
          <w:color w:val="000000"/>
          <w:lang w:val="en-GB" w:eastAsia="en-CA"/>
        </w:rPr>
      </w:pPr>
      <w:r w:rsidRPr="00ED5B14">
        <w:rPr>
          <w:b/>
          <w:noProof/>
          <w:color w:val="000000"/>
        </w:rPr>
        <w:drawing>
          <wp:inline distT="0" distB="0" distL="0" distR="0" wp14:anchorId="6E3E7C22" wp14:editId="69E5AD51">
            <wp:extent cx="5755590" cy="416234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org chart.png"/>
                    <pic:cNvPicPr/>
                  </pic:nvPicPr>
                  <pic:blipFill>
                    <a:blip r:embed="rId12">
                      <a:extLst>
                        <a:ext uri="{28A0092B-C50C-407E-A947-70E740481C1C}">
                          <a14:useLocalDpi xmlns:a14="http://schemas.microsoft.com/office/drawing/2010/main" val="0"/>
                        </a:ext>
                      </a:extLst>
                    </a:blip>
                    <a:stretch>
                      <a:fillRect/>
                    </a:stretch>
                  </pic:blipFill>
                  <pic:spPr>
                    <a:xfrm>
                      <a:off x="0" y="0"/>
                      <a:ext cx="5769468" cy="4172385"/>
                    </a:xfrm>
                    <a:prstGeom prst="rect">
                      <a:avLst/>
                    </a:prstGeom>
                  </pic:spPr>
                </pic:pic>
              </a:graphicData>
            </a:graphic>
          </wp:inline>
        </w:drawing>
      </w:r>
    </w:p>
    <w:p w14:paraId="1BA1B865" w14:textId="77777777" w:rsidR="00330445" w:rsidRPr="00ED5B14" w:rsidRDefault="00330445" w:rsidP="00330445">
      <w:pPr>
        <w:widowControl w:val="0"/>
        <w:pBdr>
          <w:top w:val="nil"/>
          <w:left w:val="nil"/>
          <w:bottom w:val="nil"/>
          <w:right w:val="nil"/>
          <w:between w:val="nil"/>
        </w:pBdr>
        <w:rPr>
          <w:b/>
          <w:color w:val="000000"/>
          <w:lang w:val="en-GB" w:eastAsia="en-CA"/>
        </w:rPr>
      </w:pPr>
    </w:p>
    <w:p w14:paraId="5F80F578" w14:textId="7155DC33" w:rsidR="00376490" w:rsidRDefault="00376490" w:rsidP="00BD6031">
      <w:pPr>
        <w:pStyle w:val="Footnote"/>
        <w:tabs>
          <w:tab w:val="left" w:pos="6850"/>
        </w:tabs>
        <w:rPr>
          <w:lang w:val="en-GB" w:eastAsia="en-CA"/>
        </w:rPr>
      </w:pPr>
      <w:r>
        <w:rPr>
          <w:lang w:val="en-GB" w:eastAsia="en-CA"/>
        </w:rPr>
        <w:t>Note: CEO = chief executive officer; COO = chief operating officer</w:t>
      </w:r>
    </w:p>
    <w:p w14:paraId="262BBC1B" w14:textId="5329D543" w:rsidR="00330445" w:rsidRPr="00ED5B14" w:rsidRDefault="00330445" w:rsidP="00BD6031">
      <w:pPr>
        <w:pStyle w:val="Footnote"/>
        <w:tabs>
          <w:tab w:val="left" w:pos="6850"/>
        </w:tabs>
        <w:rPr>
          <w:lang w:val="en-GB" w:eastAsia="en-CA"/>
        </w:rPr>
      </w:pPr>
      <w:r w:rsidRPr="00ED5B14">
        <w:rPr>
          <w:lang w:val="en-GB" w:eastAsia="en-CA"/>
        </w:rPr>
        <w:t xml:space="preserve">Source: Company </w:t>
      </w:r>
      <w:r w:rsidR="00954C58" w:rsidRPr="00ED5B14">
        <w:rPr>
          <w:lang w:val="en-GB" w:eastAsia="en-CA"/>
        </w:rPr>
        <w:t>documents</w:t>
      </w:r>
      <w:r w:rsidRPr="00ED5B14">
        <w:rPr>
          <w:lang w:val="en-GB" w:eastAsia="en-CA"/>
        </w:rPr>
        <w:t>.</w:t>
      </w:r>
      <w:r w:rsidR="00BD6031" w:rsidRPr="00ED5B14">
        <w:rPr>
          <w:lang w:val="en-GB" w:eastAsia="en-CA"/>
        </w:rPr>
        <w:tab/>
      </w:r>
    </w:p>
    <w:p w14:paraId="76DC213C" w14:textId="77777777" w:rsidR="00330445" w:rsidRPr="00ED5B14" w:rsidRDefault="00330445" w:rsidP="00330445">
      <w:pPr>
        <w:widowControl w:val="0"/>
        <w:pBdr>
          <w:top w:val="nil"/>
          <w:left w:val="nil"/>
          <w:bottom w:val="nil"/>
          <w:right w:val="nil"/>
          <w:between w:val="nil"/>
        </w:pBdr>
        <w:rPr>
          <w:b/>
          <w:color w:val="000000"/>
          <w:lang w:val="en-GB" w:eastAsia="en-CA"/>
        </w:rPr>
      </w:pPr>
      <w:r w:rsidRPr="00ED5B14">
        <w:rPr>
          <w:b/>
          <w:color w:val="000000"/>
          <w:lang w:val="en-GB" w:eastAsia="en-CA"/>
        </w:rPr>
        <w:br w:type="page"/>
      </w:r>
    </w:p>
    <w:p w14:paraId="75F3FB4C" w14:textId="14886A1A" w:rsidR="00330445" w:rsidRPr="00ED5B14" w:rsidRDefault="00330445" w:rsidP="00330445">
      <w:pPr>
        <w:pStyle w:val="ExhibitHeading"/>
        <w:rPr>
          <w:lang w:val="en-GB" w:eastAsia="en-CA"/>
        </w:rPr>
      </w:pPr>
      <w:r w:rsidRPr="00ED5B14">
        <w:rPr>
          <w:lang w:val="en-GB" w:eastAsia="en-CA"/>
        </w:rPr>
        <w:lastRenderedPageBreak/>
        <w:t xml:space="preserve">Exhibit 2: </w:t>
      </w:r>
      <w:r w:rsidR="00954C58" w:rsidRPr="00ED5B14">
        <w:rPr>
          <w:lang w:val="en-GB" w:eastAsia="en-CA"/>
        </w:rPr>
        <w:t xml:space="preserve">Community Economic Development Plan (CEDP) </w:t>
      </w:r>
      <w:r w:rsidRPr="00ED5B14">
        <w:rPr>
          <w:lang w:val="en-GB" w:eastAsia="en-CA"/>
        </w:rPr>
        <w:t>Summary</w:t>
      </w:r>
      <w:r w:rsidR="00954C58" w:rsidRPr="00ED5B14">
        <w:rPr>
          <w:lang w:val="en-GB" w:eastAsia="en-CA"/>
        </w:rPr>
        <w:t>, 5-</w:t>
      </w:r>
      <w:r w:rsidRPr="00ED5B14">
        <w:rPr>
          <w:lang w:val="en-GB" w:eastAsia="en-CA"/>
        </w:rPr>
        <w:t>Year Implementation Plan</w:t>
      </w:r>
    </w:p>
    <w:p w14:paraId="2BFC803B" w14:textId="77777777" w:rsidR="00330445" w:rsidRPr="002F564E" w:rsidRDefault="00330445" w:rsidP="00330445">
      <w:pPr>
        <w:pStyle w:val="ExhibitText"/>
        <w:rPr>
          <w:sz w:val="8"/>
          <w:szCs w:val="8"/>
          <w:lang w:val="en-GB" w:eastAsia="en-CA"/>
        </w:rPr>
      </w:pPr>
    </w:p>
    <w:p w14:paraId="10D02763" w14:textId="77777777" w:rsidR="00330445" w:rsidRPr="00ED5B14" w:rsidRDefault="00330445" w:rsidP="00330445">
      <w:pPr>
        <w:widowControl w:val="0"/>
        <w:pBdr>
          <w:top w:val="nil"/>
          <w:left w:val="nil"/>
          <w:bottom w:val="nil"/>
          <w:right w:val="nil"/>
          <w:between w:val="nil"/>
        </w:pBdr>
        <w:jc w:val="right"/>
        <w:rPr>
          <w:b/>
          <w:color w:val="000000"/>
          <w:lang w:val="en-GB" w:eastAsia="en-CA"/>
        </w:rPr>
      </w:pPr>
      <w:r w:rsidRPr="00ED5B14">
        <w:rPr>
          <w:rFonts w:ascii="Cambria" w:eastAsia="Cambria" w:hAnsi="Cambria" w:cs="Cambria"/>
          <w:noProof/>
          <w:color w:val="000000"/>
          <w:sz w:val="24"/>
          <w:szCs w:val="24"/>
        </w:rPr>
        <w:drawing>
          <wp:inline distT="0" distB="0" distL="0" distR="0" wp14:anchorId="61190DBF" wp14:editId="19314B54">
            <wp:extent cx="5806958" cy="7327392"/>
            <wp:effectExtent l="0" t="0" r="381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cstate="print">
                      <a:grayscl/>
                      <a:extLst>
                        <a:ext uri="{28A0092B-C50C-407E-A947-70E740481C1C}">
                          <a14:useLocalDpi xmlns:a14="http://schemas.microsoft.com/office/drawing/2010/main" val="0"/>
                        </a:ext>
                      </a:extLst>
                    </a:blip>
                    <a:srcRect b="2162"/>
                    <a:stretch/>
                  </pic:blipFill>
                  <pic:spPr bwMode="auto">
                    <a:xfrm>
                      <a:off x="0" y="0"/>
                      <a:ext cx="5814889" cy="7337399"/>
                    </a:xfrm>
                    <a:prstGeom prst="rect">
                      <a:avLst/>
                    </a:prstGeom>
                    <a:noFill/>
                    <a:ln>
                      <a:noFill/>
                    </a:ln>
                    <a:extLst>
                      <a:ext uri="{53640926-AAD7-44D8-BBD7-CCE9431645EC}">
                        <a14:shadowObscured xmlns:a14="http://schemas.microsoft.com/office/drawing/2010/main"/>
                      </a:ext>
                    </a:extLst>
                  </pic:spPr>
                </pic:pic>
              </a:graphicData>
            </a:graphic>
          </wp:inline>
        </w:drawing>
      </w:r>
    </w:p>
    <w:p w14:paraId="1C83AD2D" w14:textId="77777777" w:rsidR="00330445" w:rsidRPr="00ED5B14" w:rsidRDefault="00330445" w:rsidP="002F564E">
      <w:pPr>
        <w:pStyle w:val="Footnote"/>
        <w:rPr>
          <w:lang w:val="en-GB" w:eastAsia="en-CA"/>
        </w:rPr>
      </w:pPr>
    </w:p>
    <w:p w14:paraId="02975145" w14:textId="505B354C" w:rsidR="00330445" w:rsidRPr="00ED5B14" w:rsidRDefault="00330445">
      <w:pPr>
        <w:pStyle w:val="Footnote"/>
        <w:rPr>
          <w:lang w:val="en-GB" w:eastAsia="en-CA"/>
        </w:rPr>
      </w:pPr>
      <w:r w:rsidRPr="00ED5B14">
        <w:rPr>
          <w:lang w:val="en-GB" w:eastAsia="en-CA"/>
        </w:rPr>
        <w:t xml:space="preserve">Source: Company </w:t>
      </w:r>
      <w:r w:rsidR="00954C58" w:rsidRPr="00ED5B14">
        <w:rPr>
          <w:lang w:val="en-GB" w:eastAsia="en-CA"/>
        </w:rPr>
        <w:t>d</w:t>
      </w:r>
      <w:r w:rsidRPr="00ED5B14">
        <w:rPr>
          <w:lang w:val="en-GB" w:eastAsia="en-CA"/>
        </w:rPr>
        <w:t>ocuments.</w:t>
      </w:r>
    </w:p>
    <w:p w14:paraId="1FA63DCC" w14:textId="05ED880B" w:rsidR="00445795" w:rsidRPr="00ED5B14" w:rsidRDefault="00445795" w:rsidP="00445795">
      <w:pPr>
        <w:pStyle w:val="ExhibitHeading"/>
        <w:rPr>
          <w:lang w:val="en-GB" w:eastAsia="en-CA"/>
        </w:rPr>
      </w:pPr>
      <w:r w:rsidRPr="00ED5B14">
        <w:rPr>
          <w:lang w:val="en-GB" w:eastAsia="en-CA"/>
        </w:rPr>
        <w:lastRenderedPageBreak/>
        <w:t>Exhibit 3: Financial position as of March 31, 2017</w:t>
      </w:r>
      <w:r w:rsidR="00376490">
        <w:rPr>
          <w:lang w:val="en-GB" w:eastAsia="en-CA"/>
        </w:rPr>
        <w:t xml:space="preserve"> (in ca$)</w:t>
      </w:r>
    </w:p>
    <w:p w14:paraId="00FE2042" w14:textId="302837D4" w:rsidR="00445795" w:rsidRPr="00ED5B14" w:rsidRDefault="00445795" w:rsidP="00330445">
      <w:pPr>
        <w:pStyle w:val="Footnote"/>
        <w:rPr>
          <w:lang w:val="en-GB" w:eastAsia="en-CA"/>
        </w:rPr>
      </w:pPr>
    </w:p>
    <w:p w14:paraId="11F28E2C" w14:textId="3A2FBAC1" w:rsidR="00445795" w:rsidRPr="00ED5B14" w:rsidRDefault="00445795" w:rsidP="00330445">
      <w:pPr>
        <w:pStyle w:val="Footnote"/>
        <w:rPr>
          <w:lang w:val="en-GB" w:eastAsia="en-CA"/>
        </w:rPr>
      </w:pPr>
      <w:r w:rsidRPr="00ED5B14">
        <w:rPr>
          <w:noProof/>
        </w:rPr>
        <mc:AlternateContent>
          <mc:Choice Requires="wps">
            <w:drawing>
              <wp:anchor distT="0" distB="0" distL="114300" distR="114300" simplePos="0" relativeHeight="251658240" behindDoc="0" locked="0" layoutInCell="1" allowOverlap="1" wp14:anchorId="6986CBF5" wp14:editId="3D1CB674">
                <wp:simplePos x="0" y="0"/>
                <wp:positionH relativeFrom="column">
                  <wp:posOffset>4889500</wp:posOffset>
                </wp:positionH>
                <wp:positionV relativeFrom="paragraph">
                  <wp:posOffset>48260</wp:posOffset>
                </wp:positionV>
                <wp:extent cx="876300" cy="13335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8763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970560" id="Rectangle 50" o:spid="_x0000_s1026" style="position:absolute;margin-left:385pt;margin-top:3.8pt;width:69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" fillcolor="white [3212]" strokecolor="white [3212]" strokeweight="2pt"/>
            </w:pict>
          </mc:Fallback>
        </mc:AlternateContent>
      </w:r>
      <w:r w:rsidRPr="00ED5B14">
        <w:rPr>
          <w:noProof/>
        </w:rPr>
        <w:drawing>
          <wp:inline distT="0" distB="0" distL="0" distR="0" wp14:anchorId="5E268B1B" wp14:editId="3FFD0EFD">
            <wp:extent cx="5943600" cy="4618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Lst>
                    </a:blip>
                    <a:stretch>
                      <a:fillRect/>
                    </a:stretch>
                  </pic:blipFill>
                  <pic:spPr>
                    <a:xfrm>
                      <a:off x="0" y="0"/>
                      <a:ext cx="5943600" cy="4618990"/>
                    </a:xfrm>
                    <a:prstGeom prst="rect">
                      <a:avLst/>
                    </a:prstGeom>
                  </pic:spPr>
                </pic:pic>
              </a:graphicData>
            </a:graphic>
          </wp:inline>
        </w:drawing>
      </w:r>
    </w:p>
    <w:p w14:paraId="770782CD" w14:textId="77777777" w:rsidR="00445795" w:rsidRPr="00ED5B14" w:rsidRDefault="00445795" w:rsidP="002F564E">
      <w:pPr>
        <w:pStyle w:val="Footnote"/>
        <w:rPr>
          <w:lang w:val="en-GB"/>
        </w:rPr>
      </w:pPr>
    </w:p>
    <w:p w14:paraId="3D2BEA7C" w14:textId="561873E2" w:rsidR="00445795" w:rsidRPr="00ED5B14" w:rsidRDefault="00445795" w:rsidP="00445795">
      <w:pPr>
        <w:pStyle w:val="Footnote"/>
        <w:rPr>
          <w:lang w:val="en-GB" w:eastAsia="en-CA"/>
        </w:rPr>
      </w:pPr>
      <w:r w:rsidRPr="00ED5B14">
        <w:rPr>
          <w:lang w:val="en-GB" w:eastAsia="en-CA"/>
        </w:rPr>
        <w:t xml:space="preserve">Source: Company </w:t>
      </w:r>
      <w:r w:rsidR="00954C58" w:rsidRPr="00ED5B14">
        <w:rPr>
          <w:lang w:val="en-GB" w:eastAsia="en-CA"/>
        </w:rPr>
        <w:t>d</w:t>
      </w:r>
      <w:r w:rsidRPr="00ED5B14">
        <w:rPr>
          <w:lang w:val="en-GB" w:eastAsia="en-CA"/>
        </w:rPr>
        <w:t>ocuments.</w:t>
      </w:r>
    </w:p>
    <w:p w14:paraId="69DFE91B" w14:textId="37F65120" w:rsidR="00445795" w:rsidRPr="00ED5B14" w:rsidRDefault="00445795">
      <w:pPr>
        <w:spacing w:after="200" w:line="276" w:lineRule="auto"/>
        <w:rPr>
          <w:rFonts w:ascii="Arial" w:hAnsi="Arial" w:cs="Arial"/>
          <w:b/>
          <w:caps/>
          <w:lang w:val="en-GB" w:eastAsia="en-CA"/>
        </w:rPr>
      </w:pPr>
      <w:r w:rsidRPr="00ED5B14">
        <w:rPr>
          <w:lang w:val="en-GB" w:eastAsia="en-CA"/>
        </w:rPr>
        <w:br w:type="page"/>
      </w:r>
    </w:p>
    <w:p w14:paraId="796E27C5" w14:textId="0BD52341" w:rsidR="00445795" w:rsidRPr="00ED5B14" w:rsidRDefault="00445795" w:rsidP="00445795">
      <w:pPr>
        <w:pStyle w:val="ExhibitHeading"/>
        <w:rPr>
          <w:lang w:val="en-GB" w:eastAsia="en-CA"/>
        </w:rPr>
      </w:pPr>
      <w:r w:rsidRPr="00ED5B14">
        <w:rPr>
          <w:lang w:val="en-GB" w:eastAsia="en-CA"/>
        </w:rPr>
        <w:lastRenderedPageBreak/>
        <w:t>Exhibit 4: Consolidated statement of operations as of march 31, 2017</w:t>
      </w:r>
      <w:r w:rsidR="00376490">
        <w:rPr>
          <w:lang w:val="en-GB" w:eastAsia="en-CA"/>
        </w:rPr>
        <w:t xml:space="preserve"> (in ca$)</w:t>
      </w:r>
    </w:p>
    <w:p w14:paraId="3E389901" w14:textId="77777777" w:rsidR="00445795" w:rsidRPr="00ED5B14" w:rsidRDefault="00445795" w:rsidP="00445795">
      <w:pPr>
        <w:pStyle w:val="ExhibitHeading"/>
        <w:rPr>
          <w:lang w:val="en-GB" w:eastAsia="en-CA"/>
        </w:rPr>
      </w:pPr>
    </w:p>
    <w:p w14:paraId="07089E25" w14:textId="6F72875E" w:rsidR="00445795" w:rsidRPr="00ED5B14" w:rsidRDefault="00445795" w:rsidP="00445795">
      <w:pPr>
        <w:pStyle w:val="ExhibitHeading"/>
        <w:rPr>
          <w:lang w:val="en-GB" w:eastAsia="en-CA"/>
        </w:rPr>
      </w:pPr>
      <w:r w:rsidRPr="00ED5B14">
        <w:rPr>
          <w:noProof/>
        </w:rPr>
        <mc:AlternateContent>
          <mc:Choice Requires="wps">
            <w:drawing>
              <wp:anchor distT="0" distB="0" distL="114300" distR="114300" simplePos="0" relativeHeight="251660288" behindDoc="0" locked="0" layoutInCell="1" allowOverlap="1" wp14:anchorId="09BEB0F7" wp14:editId="4762D528">
                <wp:simplePos x="0" y="0"/>
                <wp:positionH relativeFrom="column">
                  <wp:posOffset>4819650</wp:posOffset>
                </wp:positionH>
                <wp:positionV relativeFrom="paragraph">
                  <wp:posOffset>26035</wp:posOffset>
                </wp:positionV>
                <wp:extent cx="876300" cy="133350"/>
                <wp:effectExtent l="0" t="0" r="19050" b="19050"/>
                <wp:wrapNone/>
                <wp:docPr id="51" name="Rectangle 51"/>
                <wp:cNvGraphicFramePr/>
                <a:graphic xmlns:a="http://schemas.openxmlformats.org/drawingml/2006/main">
                  <a:graphicData uri="http://schemas.microsoft.com/office/word/2010/wordprocessingShape">
                    <wps:wsp>
                      <wps:cNvSpPr/>
                      <wps:spPr>
                        <a:xfrm>
                          <a:off x="0" y="0"/>
                          <a:ext cx="876300"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786162" id="Rectangle 51" o:spid="_x0000_s1026" style="position:absolute;margin-left:379.5pt;margin-top:2.05pt;width:69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" fillcolor="white [3212]" strokecolor="white [3212]" strokeweight="2pt"/>
            </w:pict>
          </mc:Fallback>
        </mc:AlternateContent>
      </w:r>
      <w:r w:rsidRPr="00ED5B14">
        <w:rPr>
          <w:noProof/>
        </w:rPr>
        <w:drawing>
          <wp:inline distT="0" distB="0" distL="0" distR="0" wp14:anchorId="71AEF57F" wp14:editId="3BD7BC50">
            <wp:extent cx="5943600" cy="726059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260590"/>
                    </a:xfrm>
                    <a:prstGeom prst="rect">
                      <a:avLst/>
                    </a:prstGeom>
                  </pic:spPr>
                </pic:pic>
              </a:graphicData>
            </a:graphic>
          </wp:inline>
        </w:drawing>
      </w:r>
    </w:p>
    <w:p w14:paraId="71B6D0F1" w14:textId="77777777" w:rsidR="00445795" w:rsidRPr="00ED5B14" w:rsidRDefault="00445795" w:rsidP="002F564E">
      <w:pPr>
        <w:pStyle w:val="Footnote"/>
        <w:rPr>
          <w:lang w:val="en-GB"/>
        </w:rPr>
      </w:pPr>
    </w:p>
    <w:p w14:paraId="0AB639A0" w14:textId="0BCD6DC5" w:rsidR="00376490" w:rsidRDefault="00376490" w:rsidP="00445795">
      <w:pPr>
        <w:pStyle w:val="Footnote"/>
        <w:rPr>
          <w:lang w:val="en-GB" w:eastAsia="en-CA"/>
        </w:rPr>
      </w:pPr>
      <w:r>
        <w:rPr>
          <w:lang w:val="en-GB" w:eastAsia="en-CA"/>
        </w:rPr>
        <w:t>Note: BC = British Columbia</w:t>
      </w:r>
    </w:p>
    <w:p w14:paraId="3EECB8C5" w14:textId="032285B0" w:rsidR="00445795" w:rsidRPr="00ED5B14" w:rsidRDefault="00445795" w:rsidP="00445795">
      <w:pPr>
        <w:pStyle w:val="Footnote"/>
        <w:rPr>
          <w:lang w:val="en-GB" w:eastAsia="en-CA"/>
        </w:rPr>
      </w:pPr>
      <w:r w:rsidRPr="00ED5B14">
        <w:rPr>
          <w:lang w:val="en-GB" w:eastAsia="en-CA"/>
        </w:rPr>
        <w:t xml:space="preserve">Source: Company </w:t>
      </w:r>
      <w:r w:rsidR="00954C58" w:rsidRPr="00ED5B14">
        <w:rPr>
          <w:lang w:val="en-GB" w:eastAsia="en-CA"/>
        </w:rPr>
        <w:t>documents</w:t>
      </w:r>
      <w:r w:rsidRPr="00ED5B14">
        <w:rPr>
          <w:lang w:val="en-GB" w:eastAsia="en-CA"/>
        </w:rPr>
        <w:t>.</w:t>
      </w:r>
    </w:p>
    <w:p w14:paraId="02158735" w14:textId="0D7AA1C5" w:rsidR="00465348" w:rsidRPr="00ED5B14" w:rsidRDefault="00330445" w:rsidP="00330445">
      <w:pPr>
        <w:pStyle w:val="ExhibitHeading"/>
        <w:jc w:val="left"/>
        <w:rPr>
          <w:lang w:val="en-GB"/>
        </w:rPr>
      </w:pPr>
      <w:r w:rsidRPr="00ED5B14">
        <w:rPr>
          <w:lang w:val="en-GB"/>
        </w:rPr>
        <w:lastRenderedPageBreak/>
        <w:t>ENDNOTES</w:t>
      </w:r>
    </w:p>
    <w:sectPr w:rsidR="00465348" w:rsidRPr="00ED5B14" w:rsidSect="00330445">
      <w:headerReference w:type="default" r:id="rId17"/>
      <w:endnotePr>
        <w:numFmt w:val="decimal"/>
      </w:endnotePr>
      <w:type w:val="continuous"/>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2878BA" w16cid:durableId="1EB16CE3"/>
  <w16cid:commentId w16cid:paraId="02EF9D8E" w16cid:durableId="1EB16D06"/>
  <w16cid:commentId w16cid:paraId="2B5277F7" w16cid:durableId="1EB16CE4"/>
  <w16cid:commentId w16cid:paraId="5A2A44AE" w16cid:durableId="1EB16D1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4D5E3" w14:textId="77777777" w:rsidR="00E43EDA" w:rsidRDefault="00E43EDA" w:rsidP="00D75295">
      <w:r>
        <w:separator/>
      </w:r>
    </w:p>
  </w:endnote>
  <w:endnote w:type="continuationSeparator" w:id="0">
    <w:p w14:paraId="77445BE6" w14:textId="77777777" w:rsidR="00E43EDA" w:rsidRDefault="00E43EDA" w:rsidP="00D75295">
      <w:r>
        <w:continuationSeparator/>
      </w:r>
    </w:p>
  </w:endnote>
  <w:endnote w:id="1">
    <w:p w14:paraId="6DC89A47" w14:textId="155D1336" w:rsidR="00E44C7F" w:rsidRPr="00E537E0" w:rsidRDefault="00E44C7F" w:rsidP="007965F1">
      <w:pPr>
        <w:pStyle w:val="Footnote"/>
        <w:rPr>
          <w:rStyle w:val="FootnoteChar"/>
          <w:rFonts w:eastAsia="Calibri"/>
          <w:sz w:val="16"/>
          <w:szCs w:val="16"/>
        </w:rPr>
      </w:pPr>
      <w:r w:rsidRPr="00E537E0">
        <w:rPr>
          <w:rStyle w:val="EndnoteReference"/>
          <w:sz w:val="16"/>
          <w:szCs w:val="16"/>
        </w:rPr>
        <w:endnoteRef/>
      </w:r>
      <w:r w:rsidRPr="00E537E0">
        <w:rPr>
          <w:sz w:val="16"/>
          <w:szCs w:val="16"/>
        </w:rPr>
        <w:t xml:space="preserve"> </w:t>
      </w:r>
      <w:r w:rsidRPr="00E537E0">
        <w:rPr>
          <w:rStyle w:val="FootnoteChar"/>
          <w:rFonts w:eastAsia="Calibri"/>
          <w:sz w:val="16"/>
          <w:szCs w:val="16"/>
        </w:rPr>
        <w:t>All currency amounts are in Canadian dollars unless otherwise specified.</w:t>
      </w:r>
    </w:p>
  </w:endnote>
  <w:endnote w:id="2">
    <w:p w14:paraId="0824FA53" w14:textId="108F81AE" w:rsidR="00705F31" w:rsidRPr="00E537E0" w:rsidRDefault="00E44C7F" w:rsidP="007965F1">
      <w:pPr>
        <w:pStyle w:val="Footnote"/>
        <w:rPr>
          <w:sz w:val="16"/>
          <w:szCs w:val="16"/>
        </w:rPr>
      </w:pPr>
      <w:r w:rsidRPr="00E537E0">
        <w:rPr>
          <w:rStyle w:val="EndnoteReference"/>
          <w:sz w:val="16"/>
          <w:szCs w:val="16"/>
        </w:rPr>
        <w:endnoteRef/>
      </w:r>
      <w:r w:rsidRPr="00E537E0">
        <w:rPr>
          <w:sz w:val="16"/>
          <w:szCs w:val="16"/>
        </w:rPr>
        <w:t xml:space="preserve"> Statistics Canada, “Census Profile, 2016 Census</w:t>
      </w:r>
      <w:r w:rsidR="00557042" w:rsidRPr="00E537E0">
        <w:rPr>
          <w:sz w:val="16"/>
          <w:szCs w:val="16"/>
          <w:lang w:val="en-CA"/>
        </w:rPr>
        <w:t>: Lower Mainland—Southwest [Economic region], British Columbia and British Columbia [Province]</w:t>
      </w:r>
      <w:r w:rsidRPr="00E537E0">
        <w:rPr>
          <w:sz w:val="16"/>
          <w:szCs w:val="16"/>
        </w:rPr>
        <w:t xml:space="preserve">,” Statistics Canada, 2016, accessed December 13, 2017, </w:t>
      </w:r>
      <w:r w:rsidR="00705F31" w:rsidRPr="00E537E0">
        <w:rPr>
          <w:sz w:val="16"/>
          <w:szCs w:val="16"/>
        </w:rPr>
        <w:t>http://www.12.statcan.gc.ca/census-recensement/2016/dp-pd/prof/details/Page.cfm?Lang=E&amp;Geo1=ER&amp;Code1=5920&amp;Geo2=PR&amp;Code2=59&amp;Data=Count&amp;</w:t>
      </w:r>
    </w:p>
    <w:p w14:paraId="320E672A" w14:textId="0B073DE9" w:rsidR="00E44C7F" w:rsidRPr="00E537E0" w:rsidRDefault="00705F31" w:rsidP="007965F1">
      <w:pPr>
        <w:pStyle w:val="Footnote"/>
        <w:rPr>
          <w:sz w:val="16"/>
          <w:szCs w:val="16"/>
        </w:rPr>
      </w:pPr>
      <w:r w:rsidRPr="00E537E0">
        <w:rPr>
          <w:sz w:val="16"/>
          <w:szCs w:val="16"/>
        </w:rPr>
        <w:t>SearchText=</w:t>
      </w:r>
      <w:r w:rsidRPr="00E537E0">
        <w:rPr>
          <w:rFonts w:ascii="Times New Roman" w:hAnsi="Times New Roman" w:cs="Times New Roman"/>
          <w:sz w:val="16"/>
          <w:szCs w:val="16"/>
        </w:rPr>
        <w:t xml:space="preserve"> </w:t>
      </w:r>
      <w:r w:rsidRPr="00E537E0">
        <w:rPr>
          <w:sz w:val="16"/>
          <w:szCs w:val="16"/>
        </w:rPr>
        <w:t>British%20Columbia&amp;SearchType=Begins&amp;SearchPR=01&amp;B1=All&amp;GeoLevel=PR&amp;GeoCode=59.</w:t>
      </w:r>
    </w:p>
  </w:endnote>
  <w:endnote w:id="3">
    <w:p w14:paraId="3FB16D6C" w14:textId="76B735A6" w:rsidR="00E537E0"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Environment Canada, “Monthly Data Reports: Lytton, British Columbia,” Environment Canada,</w:t>
      </w:r>
      <w:r w:rsidR="00705F31" w:rsidRPr="00E537E0">
        <w:rPr>
          <w:sz w:val="16"/>
          <w:szCs w:val="16"/>
        </w:rPr>
        <w:t xml:space="preserve"> 2017, accessed March 15, 2017, </w:t>
      </w:r>
      <w:r w:rsidR="00E537E0" w:rsidRPr="00E537E0">
        <w:rPr>
          <w:sz w:val="16"/>
          <w:szCs w:val="16"/>
        </w:rPr>
        <w:t>http://climate.weather.gc.ca/climate_data/hourly_data_e.html?hlyRange=2013-08-20%7C2018-04-10&amp;dlyRange=201</w:t>
      </w:r>
    </w:p>
    <w:p w14:paraId="3FF406E5" w14:textId="16A9D19B" w:rsidR="00705F31" w:rsidRPr="00E537E0" w:rsidRDefault="00705F31" w:rsidP="007965F1">
      <w:pPr>
        <w:pStyle w:val="Footnote"/>
        <w:rPr>
          <w:sz w:val="16"/>
          <w:szCs w:val="16"/>
        </w:rPr>
      </w:pPr>
      <w:r w:rsidRPr="00E537E0">
        <w:rPr>
          <w:sz w:val="16"/>
          <w:szCs w:val="16"/>
        </w:rPr>
        <w:t>3-08-22%7C2018-04-10&amp;mlyRange=%7C&amp;StationID=51598&amp;Prov=BC&amp;urlExtension=_e.html&amp;searchTy</w:t>
      </w:r>
      <w:r w:rsidR="00E537E0" w:rsidRPr="00E537E0">
        <w:rPr>
          <w:sz w:val="16"/>
          <w:szCs w:val="16"/>
        </w:rPr>
        <w:t>pe=stnProx&amp;optLim</w:t>
      </w:r>
    </w:p>
    <w:p w14:paraId="0022AA3D" w14:textId="46DDEE95" w:rsidR="00705F31" w:rsidRPr="00E537E0" w:rsidRDefault="00705F31" w:rsidP="007965F1">
      <w:pPr>
        <w:pStyle w:val="Footnote"/>
        <w:rPr>
          <w:sz w:val="16"/>
          <w:szCs w:val="16"/>
        </w:rPr>
      </w:pPr>
      <w:r w:rsidRPr="00E537E0">
        <w:rPr>
          <w:sz w:val="16"/>
          <w:szCs w:val="16"/>
        </w:rPr>
        <w:t>it=yearRange&amp;Month=4&amp;Day=10&amp;StartYear=1840&amp;EndYear=2018&amp;Year=2018&amp;selRowPerPage=25&amp;</w:t>
      </w:r>
      <w:r w:rsidR="00E537E0" w:rsidRPr="00E537E0">
        <w:rPr>
          <w:sz w:val="16"/>
          <w:szCs w:val="16"/>
        </w:rPr>
        <w:t>Line=1&amp;txtRadius=2</w:t>
      </w:r>
    </w:p>
    <w:p w14:paraId="6D9882AF" w14:textId="4B16B367" w:rsidR="00E44C7F" w:rsidRPr="00E537E0" w:rsidRDefault="00903FF9" w:rsidP="007965F1">
      <w:pPr>
        <w:pStyle w:val="Footnote"/>
        <w:rPr>
          <w:sz w:val="16"/>
          <w:szCs w:val="16"/>
        </w:rPr>
      </w:pPr>
      <w:r w:rsidRPr="00E537E0">
        <w:rPr>
          <w:sz w:val="16"/>
          <w:szCs w:val="16"/>
        </w:rPr>
        <w:t>5&amp;optProxType=custom&amp;selCity=&amp;selPark=&amp;txtCentralLatDeg=50&amp;txtCentralLatMin=07&amp;txtCentralLatSec=00.7&amp;txtCentralLongDeg=121&amp;txtCentralLongMin=33&amp;txtCentralLongSec=47.7&amp;timeframe=1</w:t>
      </w:r>
      <w:r w:rsidR="007965F1" w:rsidRPr="00E537E0">
        <w:rPr>
          <w:sz w:val="16"/>
          <w:szCs w:val="16"/>
        </w:rPr>
        <w:t>.</w:t>
      </w:r>
    </w:p>
  </w:endnote>
  <w:endnote w:id="4">
    <w:p w14:paraId="5BC1AB4B" w14:textId="518B1E7B" w:rsidR="00E44C7F" w:rsidRPr="00E537E0" w:rsidRDefault="00E44C7F" w:rsidP="007965F1">
      <w:pPr>
        <w:pStyle w:val="Footnote"/>
        <w:rPr>
          <w:spacing w:val="-2"/>
          <w:kern w:val="17"/>
          <w:sz w:val="16"/>
          <w:szCs w:val="16"/>
          <w:lang w:val="en-CA"/>
        </w:rPr>
      </w:pPr>
      <w:r w:rsidRPr="00E537E0">
        <w:rPr>
          <w:rStyle w:val="EndnoteReference"/>
          <w:spacing w:val="-2"/>
          <w:kern w:val="17"/>
          <w:sz w:val="16"/>
          <w:szCs w:val="16"/>
        </w:rPr>
        <w:endnoteRef/>
      </w:r>
      <w:r w:rsidRPr="00E537E0">
        <w:rPr>
          <w:spacing w:val="-2"/>
          <w:kern w:val="17"/>
          <w:sz w:val="16"/>
          <w:szCs w:val="16"/>
        </w:rPr>
        <w:t xml:space="preserve"> </w:t>
      </w:r>
      <w:r w:rsidRPr="00E537E0">
        <w:rPr>
          <w:spacing w:val="-2"/>
          <w:kern w:val="17"/>
          <w:sz w:val="16"/>
          <w:szCs w:val="16"/>
          <w:lang w:val="en-CA"/>
        </w:rPr>
        <w:t>For more information on the history of Kanaka Bar and its people, please consult James A. Teit</w:t>
      </w:r>
      <w:r w:rsidR="00804D19" w:rsidRPr="00E537E0">
        <w:rPr>
          <w:spacing w:val="-2"/>
          <w:kern w:val="17"/>
          <w:sz w:val="16"/>
          <w:szCs w:val="16"/>
          <w:lang w:val="en-CA"/>
        </w:rPr>
        <w:t>’</w:t>
      </w:r>
      <w:r w:rsidRPr="00E537E0">
        <w:rPr>
          <w:spacing w:val="-2"/>
          <w:kern w:val="17"/>
          <w:sz w:val="16"/>
          <w:szCs w:val="16"/>
          <w:lang w:val="en-CA"/>
        </w:rPr>
        <w:t>s work on the Nlaka</w:t>
      </w:r>
      <w:r w:rsidR="00804D19" w:rsidRPr="00E537E0">
        <w:rPr>
          <w:spacing w:val="-2"/>
          <w:kern w:val="17"/>
          <w:sz w:val="16"/>
          <w:szCs w:val="16"/>
          <w:lang w:val="en-CA"/>
        </w:rPr>
        <w:t>’</w:t>
      </w:r>
      <w:r w:rsidRPr="00E537E0">
        <w:rPr>
          <w:spacing w:val="-2"/>
          <w:kern w:val="17"/>
          <w:sz w:val="16"/>
          <w:szCs w:val="16"/>
          <w:lang w:val="en-CA"/>
        </w:rPr>
        <w:t>pamux, as well</w:t>
      </w:r>
      <w:r w:rsidRPr="00E537E0">
        <w:rPr>
          <w:spacing w:val="-2"/>
          <w:kern w:val="17"/>
          <w:sz w:val="16"/>
          <w:szCs w:val="16"/>
        </w:rPr>
        <w:t xml:space="preserve"> as the following three sources:</w:t>
      </w:r>
      <w:r w:rsidRPr="00E537E0">
        <w:rPr>
          <w:spacing w:val="-2"/>
          <w:kern w:val="17"/>
          <w:sz w:val="16"/>
          <w:szCs w:val="16"/>
          <w:lang w:val="en-CA"/>
        </w:rPr>
        <w:t xml:space="preserve"> Andrea Lynne </w:t>
      </w:r>
      <w:r w:rsidR="00804D19" w:rsidRPr="00E537E0">
        <w:rPr>
          <w:spacing w:val="-2"/>
          <w:kern w:val="17"/>
          <w:sz w:val="16"/>
          <w:szCs w:val="16"/>
          <w:lang w:val="en-CA"/>
        </w:rPr>
        <w:t xml:space="preserve">LaForet </w:t>
      </w:r>
      <w:r w:rsidRPr="00E537E0">
        <w:rPr>
          <w:spacing w:val="-2"/>
          <w:kern w:val="17"/>
          <w:sz w:val="16"/>
          <w:szCs w:val="16"/>
          <w:lang w:val="en-CA"/>
        </w:rPr>
        <w:t xml:space="preserve">and Annie York, </w:t>
      </w:r>
      <w:r w:rsidRPr="00E537E0">
        <w:rPr>
          <w:i/>
          <w:spacing w:val="-2"/>
          <w:kern w:val="17"/>
          <w:sz w:val="16"/>
          <w:szCs w:val="16"/>
          <w:lang w:val="en-CA"/>
        </w:rPr>
        <w:t>Spuzzum: Fraser Canyon Histories, 1808</w:t>
      </w:r>
      <w:r w:rsidR="00804D19" w:rsidRPr="00E537E0">
        <w:rPr>
          <w:i/>
          <w:spacing w:val="-2"/>
          <w:kern w:val="17"/>
          <w:sz w:val="16"/>
          <w:szCs w:val="16"/>
          <w:lang w:val="en-CA"/>
        </w:rPr>
        <w:t>–</w:t>
      </w:r>
      <w:r w:rsidRPr="00E537E0">
        <w:rPr>
          <w:i/>
          <w:spacing w:val="-2"/>
          <w:kern w:val="17"/>
          <w:sz w:val="16"/>
          <w:szCs w:val="16"/>
          <w:lang w:val="en-CA"/>
        </w:rPr>
        <w:t>1939</w:t>
      </w:r>
      <w:r w:rsidRPr="00E537E0">
        <w:rPr>
          <w:spacing w:val="-2"/>
          <w:kern w:val="17"/>
          <w:sz w:val="16"/>
          <w:szCs w:val="16"/>
          <w:lang w:val="en-CA"/>
        </w:rPr>
        <w:t xml:space="preserve"> </w:t>
      </w:r>
      <w:r w:rsidR="00804D19" w:rsidRPr="00E537E0">
        <w:rPr>
          <w:spacing w:val="-2"/>
          <w:kern w:val="17"/>
          <w:sz w:val="16"/>
          <w:szCs w:val="16"/>
          <w:lang w:val="en-CA"/>
        </w:rPr>
        <w:t>(</w:t>
      </w:r>
      <w:r w:rsidRPr="00E537E0">
        <w:rPr>
          <w:spacing w:val="-2"/>
          <w:kern w:val="17"/>
          <w:sz w:val="16"/>
          <w:szCs w:val="16"/>
          <w:lang w:val="en-CA"/>
        </w:rPr>
        <w:t>Vancouver</w:t>
      </w:r>
      <w:r w:rsidR="00376490" w:rsidRPr="00E537E0">
        <w:rPr>
          <w:spacing w:val="-2"/>
          <w:kern w:val="17"/>
          <w:sz w:val="16"/>
          <w:szCs w:val="16"/>
          <w:lang w:val="en-CA"/>
        </w:rPr>
        <w:t>, BC</w:t>
      </w:r>
      <w:r w:rsidRPr="00E537E0">
        <w:rPr>
          <w:spacing w:val="-2"/>
          <w:kern w:val="17"/>
          <w:sz w:val="16"/>
          <w:szCs w:val="16"/>
          <w:lang w:val="en-CA"/>
        </w:rPr>
        <w:t>: University of British Columbia Press</w:t>
      </w:r>
      <w:r w:rsidR="00804D19" w:rsidRPr="00E537E0">
        <w:rPr>
          <w:spacing w:val="-2"/>
          <w:kern w:val="17"/>
          <w:sz w:val="16"/>
          <w:szCs w:val="16"/>
          <w:lang w:val="en-CA"/>
        </w:rPr>
        <w:t>, 1999)</w:t>
      </w:r>
      <w:r w:rsidRPr="00E537E0">
        <w:rPr>
          <w:spacing w:val="-2"/>
          <w:kern w:val="17"/>
          <w:sz w:val="16"/>
          <w:szCs w:val="16"/>
          <w:lang w:val="en-CA"/>
        </w:rPr>
        <w:t>;</w:t>
      </w:r>
      <w:r w:rsidRPr="00E537E0">
        <w:rPr>
          <w:spacing w:val="-2"/>
          <w:kern w:val="17"/>
          <w:sz w:val="16"/>
          <w:szCs w:val="16"/>
        </w:rPr>
        <w:t xml:space="preserve"> Nancy J.</w:t>
      </w:r>
      <w:r w:rsidR="00804D19" w:rsidRPr="00E537E0">
        <w:rPr>
          <w:spacing w:val="-2"/>
          <w:kern w:val="17"/>
          <w:sz w:val="16"/>
          <w:szCs w:val="16"/>
        </w:rPr>
        <w:t xml:space="preserve"> Turner</w:t>
      </w:r>
      <w:r w:rsidRPr="00E537E0">
        <w:rPr>
          <w:spacing w:val="-2"/>
          <w:kern w:val="17"/>
          <w:sz w:val="16"/>
          <w:szCs w:val="16"/>
        </w:rPr>
        <w:t xml:space="preserve">,‎ Laurence C. Thompson, M. Terry Thompson, </w:t>
      </w:r>
      <w:r w:rsidR="00804D19" w:rsidRPr="00E537E0">
        <w:rPr>
          <w:spacing w:val="-2"/>
          <w:kern w:val="17"/>
          <w:sz w:val="16"/>
          <w:szCs w:val="16"/>
          <w:lang w:val="en-CA"/>
        </w:rPr>
        <w:t xml:space="preserve">and </w:t>
      </w:r>
      <w:r w:rsidRPr="00E537E0">
        <w:rPr>
          <w:spacing w:val="-2"/>
          <w:kern w:val="17"/>
          <w:sz w:val="16"/>
          <w:szCs w:val="16"/>
        </w:rPr>
        <w:t xml:space="preserve">Annie Z. York, </w:t>
      </w:r>
      <w:r w:rsidRPr="00E537E0">
        <w:rPr>
          <w:i/>
          <w:spacing w:val="-2"/>
          <w:kern w:val="17"/>
          <w:sz w:val="16"/>
          <w:szCs w:val="16"/>
        </w:rPr>
        <w:t>Thompson Ethnobotany: Knowledge and Usage of Plants by the Thompson Indians of British Columbia</w:t>
      </w:r>
      <w:r w:rsidR="00183A01" w:rsidRPr="00E537E0">
        <w:rPr>
          <w:i/>
          <w:spacing w:val="-2"/>
          <w:kern w:val="17"/>
          <w:sz w:val="16"/>
          <w:szCs w:val="16"/>
          <w:lang w:val="en-CA"/>
        </w:rPr>
        <w:t xml:space="preserve">, </w:t>
      </w:r>
      <w:r w:rsidR="00183A01" w:rsidRPr="00E537E0">
        <w:rPr>
          <w:spacing w:val="-2"/>
          <w:kern w:val="17"/>
          <w:sz w:val="16"/>
          <w:szCs w:val="16"/>
          <w:lang w:val="en-CA"/>
        </w:rPr>
        <w:t>Royal British Columbia Museum Memoir No. 3</w:t>
      </w:r>
      <w:r w:rsidRPr="00E537E0">
        <w:rPr>
          <w:spacing w:val="-2"/>
          <w:kern w:val="17"/>
          <w:sz w:val="16"/>
          <w:szCs w:val="16"/>
        </w:rPr>
        <w:t xml:space="preserve"> </w:t>
      </w:r>
      <w:r w:rsidR="00804D19" w:rsidRPr="00E537E0">
        <w:rPr>
          <w:spacing w:val="-2"/>
          <w:kern w:val="17"/>
          <w:sz w:val="16"/>
          <w:szCs w:val="16"/>
          <w:lang w:val="en-CA"/>
        </w:rPr>
        <w:t>(</w:t>
      </w:r>
      <w:r w:rsidR="00804D19" w:rsidRPr="00E537E0">
        <w:rPr>
          <w:spacing w:val="-2"/>
          <w:kern w:val="17"/>
          <w:sz w:val="16"/>
          <w:szCs w:val="16"/>
        </w:rPr>
        <w:t>V</w:t>
      </w:r>
      <w:r w:rsidR="00804D19" w:rsidRPr="00E537E0">
        <w:rPr>
          <w:spacing w:val="-2"/>
          <w:kern w:val="17"/>
          <w:sz w:val="16"/>
          <w:szCs w:val="16"/>
          <w:lang w:val="en-CA"/>
        </w:rPr>
        <w:t>ictoria</w:t>
      </w:r>
      <w:r w:rsidR="00376490" w:rsidRPr="00E537E0">
        <w:rPr>
          <w:spacing w:val="-2"/>
          <w:kern w:val="17"/>
          <w:sz w:val="16"/>
          <w:szCs w:val="16"/>
          <w:lang w:val="en-CA"/>
        </w:rPr>
        <w:t>, BC</w:t>
      </w:r>
      <w:r w:rsidRPr="00E537E0">
        <w:rPr>
          <w:spacing w:val="-2"/>
          <w:kern w:val="17"/>
          <w:sz w:val="16"/>
          <w:szCs w:val="16"/>
        </w:rPr>
        <w:t>: Royal British Columbia Museum</w:t>
      </w:r>
      <w:r w:rsidR="00804D19" w:rsidRPr="00E537E0">
        <w:rPr>
          <w:spacing w:val="-2"/>
          <w:kern w:val="17"/>
          <w:sz w:val="16"/>
          <w:szCs w:val="16"/>
          <w:lang w:val="en-CA"/>
        </w:rPr>
        <w:t xml:space="preserve">, </w:t>
      </w:r>
      <w:r w:rsidR="00804D19" w:rsidRPr="00E537E0">
        <w:rPr>
          <w:spacing w:val="-2"/>
          <w:kern w:val="17"/>
          <w:sz w:val="16"/>
          <w:szCs w:val="16"/>
        </w:rPr>
        <w:t>1990</w:t>
      </w:r>
      <w:r w:rsidR="00804D19" w:rsidRPr="00E537E0">
        <w:rPr>
          <w:spacing w:val="-2"/>
          <w:kern w:val="17"/>
          <w:sz w:val="16"/>
          <w:szCs w:val="16"/>
          <w:lang w:val="en-CA"/>
        </w:rPr>
        <w:t>)</w:t>
      </w:r>
      <w:r w:rsidRPr="00E537E0">
        <w:rPr>
          <w:spacing w:val="-2"/>
          <w:kern w:val="17"/>
          <w:sz w:val="16"/>
          <w:szCs w:val="16"/>
        </w:rPr>
        <w:t xml:space="preserve">; Darwin </w:t>
      </w:r>
      <w:r w:rsidR="00804D19" w:rsidRPr="00E537E0">
        <w:rPr>
          <w:spacing w:val="-2"/>
          <w:kern w:val="17"/>
          <w:sz w:val="16"/>
          <w:szCs w:val="16"/>
        </w:rPr>
        <w:t xml:space="preserve">Hanna </w:t>
      </w:r>
      <w:r w:rsidRPr="00E537E0">
        <w:rPr>
          <w:spacing w:val="-2"/>
          <w:kern w:val="17"/>
          <w:sz w:val="16"/>
          <w:szCs w:val="16"/>
        </w:rPr>
        <w:t xml:space="preserve">and Mamie Henry, </w:t>
      </w:r>
      <w:r w:rsidR="00804D19" w:rsidRPr="00E537E0">
        <w:rPr>
          <w:spacing w:val="-2"/>
          <w:kern w:val="17"/>
          <w:sz w:val="16"/>
          <w:szCs w:val="16"/>
          <w:lang w:val="en-CA"/>
        </w:rPr>
        <w:t xml:space="preserve">eds. </w:t>
      </w:r>
      <w:r w:rsidRPr="00E537E0">
        <w:rPr>
          <w:i/>
          <w:spacing w:val="-2"/>
          <w:kern w:val="17"/>
          <w:sz w:val="16"/>
          <w:szCs w:val="16"/>
        </w:rPr>
        <w:t>Our Tellings: Interior Salish Stories of the Nlhaʼkapmx People</w:t>
      </w:r>
      <w:r w:rsidRPr="00E537E0">
        <w:rPr>
          <w:spacing w:val="-2"/>
          <w:kern w:val="17"/>
          <w:sz w:val="16"/>
          <w:szCs w:val="16"/>
        </w:rPr>
        <w:t xml:space="preserve"> </w:t>
      </w:r>
      <w:r w:rsidR="00804D19" w:rsidRPr="00E537E0">
        <w:rPr>
          <w:spacing w:val="-2"/>
          <w:kern w:val="17"/>
          <w:sz w:val="16"/>
          <w:szCs w:val="16"/>
          <w:lang w:val="en-CA"/>
        </w:rPr>
        <w:t>(</w:t>
      </w:r>
      <w:r w:rsidRPr="00E537E0">
        <w:rPr>
          <w:spacing w:val="-2"/>
          <w:kern w:val="17"/>
          <w:sz w:val="16"/>
          <w:szCs w:val="16"/>
        </w:rPr>
        <w:t>Vancouver</w:t>
      </w:r>
      <w:r w:rsidR="00376490" w:rsidRPr="00E537E0">
        <w:rPr>
          <w:spacing w:val="-2"/>
          <w:kern w:val="17"/>
          <w:sz w:val="16"/>
          <w:szCs w:val="16"/>
        </w:rPr>
        <w:t>, BC</w:t>
      </w:r>
      <w:r w:rsidRPr="00E537E0">
        <w:rPr>
          <w:spacing w:val="-2"/>
          <w:kern w:val="17"/>
          <w:sz w:val="16"/>
          <w:szCs w:val="16"/>
        </w:rPr>
        <w:t>: University of British Columbia Press</w:t>
      </w:r>
      <w:r w:rsidR="00804D19" w:rsidRPr="00E537E0">
        <w:rPr>
          <w:spacing w:val="-2"/>
          <w:kern w:val="17"/>
          <w:sz w:val="16"/>
          <w:szCs w:val="16"/>
          <w:lang w:val="en-CA"/>
        </w:rPr>
        <w:t xml:space="preserve">, </w:t>
      </w:r>
      <w:r w:rsidR="00804D19" w:rsidRPr="00E537E0">
        <w:rPr>
          <w:spacing w:val="-2"/>
          <w:kern w:val="17"/>
          <w:sz w:val="16"/>
          <w:szCs w:val="16"/>
        </w:rPr>
        <w:t>199</w:t>
      </w:r>
      <w:r w:rsidR="00804D19" w:rsidRPr="00E537E0">
        <w:rPr>
          <w:spacing w:val="-2"/>
          <w:kern w:val="17"/>
          <w:sz w:val="16"/>
          <w:szCs w:val="16"/>
          <w:lang w:val="en-CA"/>
        </w:rPr>
        <w:t>5)</w:t>
      </w:r>
      <w:r w:rsidRPr="00E537E0">
        <w:rPr>
          <w:spacing w:val="-2"/>
          <w:kern w:val="17"/>
          <w:sz w:val="16"/>
          <w:szCs w:val="16"/>
        </w:rPr>
        <w:t>.</w:t>
      </w:r>
    </w:p>
  </w:endnote>
  <w:endnote w:id="5">
    <w:p w14:paraId="696B1B26" w14:textId="00881358" w:rsidR="00E44C7F" w:rsidRPr="00E537E0" w:rsidRDefault="00E44C7F" w:rsidP="007965F1">
      <w:pPr>
        <w:pStyle w:val="Footnote"/>
        <w:rPr>
          <w:sz w:val="16"/>
          <w:szCs w:val="16"/>
          <w:lang w:val="en-CA"/>
        </w:rPr>
      </w:pPr>
      <w:r w:rsidRPr="00E537E0">
        <w:rPr>
          <w:rStyle w:val="EndnoteReference"/>
          <w:sz w:val="16"/>
          <w:szCs w:val="16"/>
        </w:rPr>
        <w:endnoteRef/>
      </w:r>
      <w:r w:rsidR="00E537E0" w:rsidRPr="00E537E0">
        <w:rPr>
          <w:sz w:val="16"/>
          <w:szCs w:val="16"/>
        </w:rPr>
        <w:t> Patrick Michell, </w:t>
      </w:r>
      <w:r w:rsidR="00E537E0" w:rsidRPr="00E537E0">
        <w:rPr>
          <w:i/>
          <w:sz w:val="16"/>
          <w:szCs w:val="16"/>
        </w:rPr>
        <w:t>Memory, Loss and </w:t>
      </w:r>
      <w:r w:rsidRPr="00E537E0">
        <w:rPr>
          <w:i/>
          <w:sz w:val="16"/>
          <w:szCs w:val="16"/>
        </w:rPr>
        <w:t>Sorrow</w:t>
      </w:r>
      <w:r w:rsidR="00E537E0" w:rsidRPr="00E537E0">
        <w:rPr>
          <w:i/>
          <w:sz w:val="16"/>
          <w:szCs w:val="16"/>
          <w:lang w:val="en-CA"/>
        </w:rPr>
        <w:t>. . </w:t>
      </w:r>
      <w:r w:rsidR="00804D19" w:rsidRPr="00E537E0">
        <w:rPr>
          <w:i/>
          <w:sz w:val="16"/>
          <w:szCs w:val="16"/>
          <w:lang w:val="en-CA"/>
        </w:rPr>
        <w:t>.</w:t>
      </w:r>
      <w:r w:rsidR="005B3E73" w:rsidRPr="00E537E0">
        <w:rPr>
          <w:sz w:val="16"/>
          <w:szCs w:val="16"/>
          <w:lang w:val="en-CA"/>
        </w:rPr>
        <w:t>,</w:t>
      </w:r>
      <w:r w:rsidR="00E537E0" w:rsidRPr="00E537E0">
        <w:rPr>
          <w:sz w:val="16"/>
          <w:szCs w:val="16"/>
        </w:rPr>
        <w:t> Kanaka </w:t>
      </w:r>
      <w:r w:rsidRPr="00E537E0">
        <w:rPr>
          <w:sz w:val="16"/>
          <w:szCs w:val="16"/>
        </w:rPr>
        <w:t>Bar</w:t>
      </w:r>
      <w:r w:rsidR="00E537E0" w:rsidRPr="00E537E0">
        <w:rPr>
          <w:sz w:val="16"/>
          <w:szCs w:val="16"/>
          <w:lang w:val="en-CA"/>
        </w:rPr>
        <w:t> </w:t>
      </w:r>
      <w:r w:rsidR="00804D19" w:rsidRPr="00E537E0">
        <w:rPr>
          <w:sz w:val="16"/>
          <w:szCs w:val="16"/>
          <w:lang w:val="en-CA"/>
        </w:rPr>
        <w:t>Band</w:t>
      </w:r>
      <w:r w:rsidR="00E537E0" w:rsidRPr="00E537E0">
        <w:rPr>
          <w:sz w:val="16"/>
          <w:szCs w:val="16"/>
        </w:rPr>
        <w:t>, 2010, accessed April 1, 2017, </w:t>
      </w:r>
      <w:r w:rsidRPr="00E537E0">
        <w:rPr>
          <w:sz w:val="16"/>
          <w:szCs w:val="16"/>
        </w:rPr>
        <w:t>www.kanakabarband.ca/downloads/memory-loss-and-sorrow-2010.pdf.</w:t>
      </w:r>
    </w:p>
  </w:endnote>
  <w:endnote w:id="6">
    <w:p w14:paraId="4CFD5FAA" w14:textId="5823DDF1"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Super Natural British Columbia, “Lytton: Culture &amp; History,” Super Natural British Columbia, 2016, accessed March </w:t>
      </w:r>
      <w:r w:rsidR="00E45C95" w:rsidRPr="00E537E0">
        <w:rPr>
          <w:sz w:val="16"/>
          <w:szCs w:val="16"/>
        </w:rPr>
        <w:t>27, 2018</w:t>
      </w:r>
      <w:r w:rsidRPr="00E537E0">
        <w:rPr>
          <w:sz w:val="16"/>
          <w:szCs w:val="16"/>
        </w:rPr>
        <w:t xml:space="preserve">, </w:t>
      </w:r>
      <w:r w:rsidR="00E97671" w:rsidRPr="00E537E0">
        <w:rPr>
          <w:sz w:val="16"/>
          <w:szCs w:val="16"/>
        </w:rPr>
        <w:t>https://www.hellobc.com/lytton/culture-history.aspx.</w:t>
      </w:r>
      <w:r w:rsidR="00E97671" w:rsidRPr="00E537E0" w:rsidDel="00E45C95">
        <w:rPr>
          <w:sz w:val="16"/>
          <w:szCs w:val="16"/>
        </w:rPr>
        <w:t xml:space="preserve"> </w:t>
      </w:r>
    </w:p>
  </w:endnote>
  <w:endnote w:id="7">
    <w:p w14:paraId="2F4BD4F3" w14:textId="2F8DD065"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Ibid.</w:t>
      </w:r>
    </w:p>
  </w:endnote>
  <w:endnote w:id="8">
    <w:p w14:paraId="0B35401A" w14:textId="41CC292B"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Michell, op. cit.</w:t>
      </w:r>
      <w:r w:rsidR="00804D19" w:rsidRPr="00E537E0">
        <w:rPr>
          <w:sz w:val="16"/>
          <w:szCs w:val="16"/>
        </w:rPr>
        <w:t xml:space="preserve"> </w:t>
      </w:r>
    </w:p>
  </w:endnote>
  <w:endnote w:id="9">
    <w:p w14:paraId="14E8E669" w14:textId="444B884E" w:rsidR="00E44C7F" w:rsidRPr="00E537E0" w:rsidRDefault="00E44C7F" w:rsidP="007965F1">
      <w:pPr>
        <w:pStyle w:val="Footnote"/>
        <w:rPr>
          <w:sz w:val="16"/>
          <w:szCs w:val="16"/>
          <w:lang w:val="en-CA"/>
        </w:rPr>
      </w:pPr>
      <w:r w:rsidRPr="00E537E0">
        <w:rPr>
          <w:rStyle w:val="EndnoteReference"/>
          <w:sz w:val="16"/>
          <w:szCs w:val="16"/>
        </w:rPr>
        <w:endnoteRef/>
      </w:r>
      <w:r w:rsidRPr="00E537E0">
        <w:rPr>
          <w:sz w:val="16"/>
          <w:szCs w:val="16"/>
        </w:rPr>
        <w:t xml:space="preserve"> </w:t>
      </w:r>
      <w:r w:rsidRPr="00E537E0">
        <w:rPr>
          <w:sz w:val="16"/>
          <w:szCs w:val="16"/>
          <w:lang w:val="en-CA"/>
        </w:rPr>
        <w:t xml:space="preserve">“Trudeau </w:t>
      </w:r>
      <w:r w:rsidR="00E45C95" w:rsidRPr="00E537E0">
        <w:rPr>
          <w:sz w:val="16"/>
          <w:szCs w:val="16"/>
          <w:lang w:val="en-CA"/>
        </w:rPr>
        <w:t>Apologies for ‘Deep Harm’ of Residential Schools</w:t>
      </w:r>
      <w:r w:rsidRPr="00E537E0">
        <w:rPr>
          <w:sz w:val="16"/>
          <w:szCs w:val="16"/>
          <w:lang w:val="en-CA"/>
        </w:rPr>
        <w:t xml:space="preserve">,” BBC News, </w:t>
      </w:r>
      <w:r w:rsidR="00E97671" w:rsidRPr="00E537E0">
        <w:rPr>
          <w:sz w:val="16"/>
          <w:szCs w:val="16"/>
          <w:lang w:val="en-CA"/>
        </w:rPr>
        <w:t xml:space="preserve">November 24, 2017, </w:t>
      </w:r>
      <w:r w:rsidRPr="00E537E0">
        <w:rPr>
          <w:sz w:val="16"/>
          <w:szCs w:val="16"/>
          <w:lang w:val="en-CA"/>
        </w:rPr>
        <w:t>accessed January 23, 2018, www.bbc.com/news/world-us-canada-42101457</w:t>
      </w:r>
      <w:r w:rsidR="00E45C95" w:rsidRPr="00E537E0">
        <w:rPr>
          <w:sz w:val="16"/>
          <w:szCs w:val="16"/>
          <w:lang w:val="en-CA"/>
        </w:rPr>
        <w:t>.</w:t>
      </w:r>
    </w:p>
  </w:endnote>
  <w:endnote w:id="10">
    <w:p w14:paraId="45DC1021" w14:textId="20B8FD6B"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General Synod Archives, “St. George’s School</w:t>
      </w:r>
      <w:r w:rsidR="00E45C95" w:rsidRPr="00E537E0">
        <w:rPr>
          <w:sz w:val="16"/>
          <w:szCs w:val="16"/>
        </w:rPr>
        <w:t>—</w:t>
      </w:r>
      <w:r w:rsidRPr="00E537E0">
        <w:rPr>
          <w:sz w:val="16"/>
          <w:szCs w:val="16"/>
        </w:rPr>
        <w:t>Lytton, BC,” Anglican Church of Canada, accessed January 23, 2018, https://www.anglican.ca/tr/histories/st-georges-school-lytton/</w:t>
      </w:r>
      <w:r w:rsidR="00E45C95" w:rsidRPr="00E537E0">
        <w:rPr>
          <w:sz w:val="16"/>
          <w:szCs w:val="16"/>
        </w:rPr>
        <w:t>.</w:t>
      </w:r>
    </w:p>
  </w:endnote>
  <w:endnote w:id="11">
    <w:p w14:paraId="26638E7E" w14:textId="25F76FBD"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Michell, op. cit.</w:t>
      </w:r>
    </w:p>
  </w:endnote>
  <w:endnote w:id="12">
    <w:p w14:paraId="545E3CB5" w14:textId="611E56F5"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Super Natural British Columbia, op. cit.</w:t>
      </w:r>
      <w:r w:rsidR="00E97671" w:rsidRPr="00E537E0">
        <w:rPr>
          <w:sz w:val="16"/>
          <w:szCs w:val="16"/>
        </w:rPr>
        <w:t xml:space="preserve"> </w:t>
      </w:r>
    </w:p>
  </w:endnote>
  <w:endnote w:id="13">
    <w:p w14:paraId="3E4BC9CA" w14:textId="69F2C9AB"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Michell, op. cit.</w:t>
      </w:r>
      <w:r w:rsidR="00E45C95" w:rsidRPr="00E537E0">
        <w:rPr>
          <w:sz w:val="16"/>
          <w:szCs w:val="16"/>
        </w:rPr>
        <w:t xml:space="preserve"> </w:t>
      </w:r>
    </w:p>
  </w:endnote>
  <w:endnote w:id="14">
    <w:p w14:paraId="7C8922A5" w14:textId="2916945A"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Indigenous Business and Investment Council, “Kanaka Bar Indian Band and Innergex Renewable Energy Inc.</w:t>
      </w:r>
      <w:r w:rsidR="00376490" w:rsidRPr="00E537E0">
        <w:rPr>
          <w:sz w:val="16"/>
          <w:szCs w:val="16"/>
        </w:rPr>
        <w:t>,</w:t>
      </w:r>
      <w:r w:rsidRPr="00E537E0">
        <w:rPr>
          <w:sz w:val="16"/>
          <w:szCs w:val="16"/>
        </w:rPr>
        <w:t>” Indigenous Business and Investment Council, 2014, accessed December 13, 2017, www.bcabic.ca/success-stories/kanaka-bar-indian-band-and-innergex-renewable-energy-inc.</w:t>
      </w:r>
    </w:p>
  </w:endnote>
  <w:endnote w:id="15">
    <w:p w14:paraId="34031319" w14:textId="5C34D285"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Innergex</w:t>
      </w:r>
      <w:r w:rsidR="00E45C95" w:rsidRPr="00E537E0">
        <w:rPr>
          <w:sz w:val="16"/>
          <w:szCs w:val="16"/>
        </w:rPr>
        <w:t xml:space="preserve">, </w:t>
      </w:r>
      <w:r w:rsidRPr="00E537E0">
        <w:rPr>
          <w:sz w:val="16"/>
          <w:szCs w:val="16"/>
        </w:rPr>
        <w:t>“By Doing Something Different,” Innergex, 2013, accessed April 4, 2017, www.innergex.com/en/in-review/edition-2013/agir-autrement/.</w:t>
      </w:r>
    </w:p>
  </w:endnote>
  <w:endnote w:id="16">
    <w:p w14:paraId="750062FF" w14:textId="6CFDE74E"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Indigenous Business and Investment Council, op. cit.</w:t>
      </w:r>
    </w:p>
  </w:endnote>
  <w:endnote w:id="17">
    <w:p w14:paraId="2AE2C454" w14:textId="0AFED9D7"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Ibid.</w:t>
      </w:r>
    </w:p>
  </w:endnote>
  <w:endnote w:id="18">
    <w:p w14:paraId="58928F60" w14:textId="0DF3CB7D" w:rsidR="00E44C7F" w:rsidRPr="00E537E0" w:rsidRDefault="00E44C7F" w:rsidP="007965F1">
      <w:pPr>
        <w:pStyle w:val="Footnote"/>
        <w:rPr>
          <w:sz w:val="16"/>
          <w:szCs w:val="16"/>
        </w:rPr>
      </w:pPr>
      <w:r w:rsidRPr="00E537E0">
        <w:rPr>
          <w:rStyle w:val="EndnoteReference"/>
          <w:sz w:val="16"/>
          <w:szCs w:val="16"/>
        </w:rPr>
        <w:endnoteRef/>
      </w:r>
      <w:r w:rsidRPr="00E537E0">
        <w:rPr>
          <w:sz w:val="16"/>
          <w:szCs w:val="16"/>
        </w:rPr>
        <w:t xml:space="preserve"> Ibid.</w:t>
      </w:r>
      <w:r w:rsidR="00E97671" w:rsidRPr="00E537E0">
        <w:rPr>
          <w:sz w:val="16"/>
          <w:szCs w:val="16"/>
        </w:rPr>
        <w:t xml:space="preserve"> </w:t>
      </w:r>
    </w:p>
  </w:endnote>
  <w:endnote w:id="19">
    <w:p w14:paraId="09932CF2" w14:textId="15758126"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Innergex</w:t>
      </w:r>
      <w:r w:rsidR="00E97671" w:rsidRPr="00E537E0">
        <w:rPr>
          <w:sz w:val="16"/>
          <w:szCs w:val="16"/>
        </w:rPr>
        <w:t>, op. cit</w:t>
      </w:r>
      <w:r w:rsidRPr="00E537E0">
        <w:rPr>
          <w:sz w:val="16"/>
          <w:szCs w:val="16"/>
        </w:rPr>
        <w:t>.</w:t>
      </w:r>
      <w:r w:rsidR="00E97671" w:rsidRPr="00E537E0">
        <w:rPr>
          <w:sz w:val="16"/>
          <w:szCs w:val="16"/>
        </w:rPr>
        <w:t xml:space="preserve"> </w:t>
      </w:r>
    </w:p>
  </w:endnote>
  <w:endnote w:id="20">
    <w:p w14:paraId="6E2FF5EF" w14:textId="78C69DBB"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Indigenous Business and Investment Council, op. cit</w:t>
      </w:r>
      <w:r w:rsidR="00376490" w:rsidRPr="00E537E0">
        <w:rPr>
          <w:sz w:val="16"/>
          <w:szCs w:val="16"/>
        </w:rPr>
        <w:t>.</w:t>
      </w:r>
    </w:p>
  </w:endnote>
  <w:endnote w:id="21">
    <w:p w14:paraId="40FAD09A" w14:textId="769E1307"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Innergex, op. cit.</w:t>
      </w:r>
      <w:r w:rsidR="00E97671" w:rsidRPr="00E537E0">
        <w:rPr>
          <w:sz w:val="16"/>
          <w:szCs w:val="16"/>
        </w:rPr>
        <w:t xml:space="preserve"> </w:t>
      </w:r>
    </w:p>
  </w:endnote>
  <w:endnote w:id="22">
    <w:p w14:paraId="6F23E6A7" w14:textId="6DC7AC60" w:rsidR="00E537E0" w:rsidRPr="00E537E0" w:rsidRDefault="00E537E0" w:rsidP="00E537E0">
      <w:pPr>
        <w:pStyle w:val="Footnote"/>
        <w:rPr>
          <w:sz w:val="16"/>
          <w:szCs w:val="16"/>
        </w:rPr>
      </w:pPr>
      <w:r w:rsidRPr="00E537E0">
        <w:rPr>
          <w:sz w:val="16"/>
          <w:szCs w:val="16"/>
          <w:vertAlign w:val="superscript"/>
        </w:rPr>
        <w:endnoteRef/>
      </w:r>
      <w:r w:rsidRPr="00E537E0">
        <w:rPr>
          <w:sz w:val="16"/>
          <w:szCs w:val="16"/>
        </w:rPr>
        <w:t xml:space="preserve"> Indigenous Business and Investment Council, op. cit.</w:t>
      </w:r>
    </w:p>
  </w:endnote>
  <w:endnote w:id="23">
    <w:p w14:paraId="4043DA09" w14:textId="422AF362" w:rsidR="00E44C7F"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British Columbia, “Wildlife Viewing in the Thompson-Nicola Region,” British Columbia Government, 2016, accessed March 31, 2017, www.env.gov.bc.ca/fw/wildlife/viewing/docs/wildlife_viewing_thompson.pdf.</w:t>
      </w:r>
    </w:p>
  </w:endnote>
  <w:endnote w:id="24">
    <w:p w14:paraId="06105B26" w14:textId="7D839406" w:rsidR="00E44C7F" w:rsidRPr="00E537E0" w:rsidRDefault="00E44C7F" w:rsidP="007965F1">
      <w:pPr>
        <w:pStyle w:val="Footnote"/>
        <w:rPr>
          <w:spacing w:val="-4"/>
          <w:kern w:val="17"/>
          <w:sz w:val="16"/>
          <w:szCs w:val="16"/>
          <w:lang w:val="en-CA"/>
        </w:rPr>
      </w:pPr>
      <w:r w:rsidRPr="00E537E0">
        <w:rPr>
          <w:rStyle w:val="EndnoteReference"/>
          <w:spacing w:val="-4"/>
          <w:kern w:val="17"/>
          <w:sz w:val="16"/>
          <w:szCs w:val="16"/>
        </w:rPr>
        <w:endnoteRef/>
      </w:r>
      <w:r w:rsidRPr="00E537E0">
        <w:rPr>
          <w:spacing w:val="-4"/>
          <w:kern w:val="17"/>
          <w:sz w:val="16"/>
          <w:szCs w:val="16"/>
        </w:rPr>
        <w:t xml:space="preserve"> Village of Lytton, “About Lytton,</w:t>
      </w:r>
      <w:r w:rsidR="00E97671" w:rsidRPr="00E537E0">
        <w:rPr>
          <w:spacing w:val="-4"/>
          <w:kern w:val="17"/>
          <w:sz w:val="16"/>
          <w:szCs w:val="16"/>
          <w:lang w:val="en-CA"/>
        </w:rPr>
        <w:t>”</w:t>
      </w:r>
      <w:r w:rsidR="00E97671" w:rsidRPr="00E537E0">
        <w:rPr>
          <w:spacing w:val="-4"/>
          <w:kern w:val="17"/>
          <w:sz w:val="16"/>
          <w:szCs w:val="16"/>
        </w:rPr>
        <w:t xml:space="preserve"> </w:t>
      </w:r>
      <w:r w:rsidRPr="00E537E0">
        <w:rPr>
          <w:spacing w:val="-4"/>
          <w:kern w:val="17"/>
          <w:sz w:val="16"/>
          <w:szCs w:val="16"/>
        </w:rPr>
        <w:t>Village of Lytton, 2012, accessed December 15, 2017, www.lytton.ca/content/about-lytton</w:t>
      </w:r>
      <w:r w:rsidR="00E97671" w:rsidRPr="00E537E0">
        <w:rPr>
          <w:spacing w:val="-4"/>
          <w:kern w:val="17"/>
          <w:sz w:val="16"/>
          <w:szCs w:val="16"/>
          <w:lang w:val="en-CA"/>
        </w:rPr>
        <w:t>.</w:t>
      </w:r>
    </w:p>
  </w:endnote>
  <w:endnote w:id="25">
    <w:p w14:paraId="3AA857E4" w14:textId="69BCE81C" w:rsidR="007177E4"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Indigenous and Northern Affairs Canada, “</w:t>
      </w:r>
      <w:r w:rsidR="006A207A" w:rsidRPr="00E537E0">
        <w:rPr>
          <w:sz w:val="16"/>
          <w:szCs w:val="16"/>
        </w:rPr>
        <w:t>Registered Population</w:t>
      </w:r>
      <w:r w:rsidRPr="00E537E0">
        <w:rPr>
          <w:sz w:val="16"/>
          <w:szCs w:val="16"/>
        </w:rPr>
        <w:t xml:space="preserve">: Kanaka Bar,” Indigenous and Northern Affairs Canada, </w:t>
      </w:r>
      <w:r w:rsidR="007965F1" w:rsidRPr="00E537E0">
        <w:rPr>
          <w:sz w:val="16"/>
          <w:szCs w:val="16"/>
        </w:rPr>
        <w:t>March </w:t>
      </w:r>
      <w:r w:rsidR="006A207A" w:rsidRPr="00E537E0">
        <w:rPr>
          <w:sz w:val="16"/>
          <w:szCs w:val="16"/>
        </w:rPr>
        <w:t>28,</w:t>
      </w:r>
      <w:r w:rsidR="007965F1" w:rsidRPr="00E537E0">
        <w:rPr>
          <w:sz w:val="16"/>
          <w:szCs w:val="16"/>
        </w:rPr>
        <w:t> 2017, accessed December 1, 2017, </w:t>
      </w:r>
      <w:r w:rsidR="007177E4" w:rsidRPr="00E537E0">
        <w:rPr>
          <w:sz w:val="16"/>
          <w:szCs w:val="16"/>
        </w:rPr>
        <w:t>http://</w:t>
      </w:r>
      <w:r w:rsidR="007177E4" w:rsidRPr="00E537E0">
        <w:rPr>
          <w:rFonts w:ascii="Times New Roman" w:hAnsi="Times New Roman" w:cs="Times New Roman"/>
          <w:sz w:val="16"/>
          <w:szCs w:val="16"/>
        </w:rPr>
        <w:t xml:space="preserve"> </w:t>
      </w:r>
      <w:r w:rsidR="007177E4" w:rsidRPr="00E537E0">
        <w:rPr>
          <w:sz w:val="16"/>
          <w:szCs w:val="16"/>
        </w:rPr>
        <w:t>fnp-ppn.aadnc-aandc.gc.ca/FNP/Main/Search/FN RegPopulation.aspx</w:t>
      </w:r>
    </w:p>
    <w:p w14:paraId="3C85660B" w14:textId="0F21791B" w:rsidR="00E44C7F" w:rsidRPr="00E537E0" w:rsidRDefault="00E44C7F" w:rsidP="007965F1">
      <w:pPr>
        <w:pStyle w:val="Footnote"/>
        <w:rPr>
          <w:sz w:val="16"/>
          <w:szCs w:val="16"/>
        </w:rPr>
      </w:pPr>
      <w:r w:rsidRPr="00E537E0">
        <w:rPr>
          <w:sz w:val="16"/>
          <w:szCs w:val="16"/>
        </w:rPr>
        <w:t>?BAND_NUMBER=704&amp;lang=eng.</w:t>
      </w:r>
    </w:p>
  </w:endnote>
  <w:endnote w:id="26">
    <w:p w14:paraId="122FA8C0" w14:textId="79D4D179" w:rsidR="007177E4"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Indigenous and Northern Affairs Canada, “Household and Dwelling Characteristics: Kanaka Bar,” </w:t>
      </w:r>
      <w:r w:rsidR="007965F1" w:rsidRPr="00E537E0">
        <w:rPr>
          <w:sz w:val="16"/>
          <w:szCs w:val="16"/>
        </w:rPr>
        <w:t>Indigenous and Northern Affairs Canada, March </w:t>
      </w:r>
      <w:r w:rsidR="006A207A" w:rsidRPr="00E537E0">
        <w:rPr>
          <w:sz w:val="16"/>
          <w:szCs w:val="16"/>
        </w:rPr>
        <w:t>28,</w:t>
      </w:r>
      <w:r w:rsidR="007965F1" w:rsidRPr="00E537E0">
        <w:rPr>
          <w:sz w:val="16"/>
          <w:szCs w:val="16"/>
        </w:rPr>
        <w:t> 2017, accessed </w:t>
      </w:r>
      <w:r w:rsidR="006A207A" w:rsidRPr="00E537E0">
        <w:rPr>
          <w:sz w:val="16"/>
          <w:szCs w:val="16"/>
        </w:rPr>
        <w:t>Marc</w:t>
      </w:r>
      <w:r w:rsidR="007965F1" w:rsidRPr="00E537E0">
        <w:rPr>
          <w:sz w:val="16"/>
          <w:szCs w:val="16"/>
        </w:rPr>
        <w:t>h 27, 2018, </w:t>
      </w:r>
      <w:r w:rsidR="007177E4" w:rsidRPr="00E537E0">
        <w:rPr>
          <w:sz w:val="16"/>
          <w:szCs w:val="16"/>
        </w:rPr>
        <w:t>http://</w:t>
      </w:r>
      <w:r w:rsidR="007177E4" w:rsidRPr="00E537E0">
        <w:rPr>
          <w:rFonts w:ascii="Times New Roman" w:hAnsi="Times New Roman" w:cs="Times New Roman"/>
          <w:sz w:val="16"/>
          <w:szCs w:val="16"/>
        </w:rPr>
        <w:t xml:space="preserve"> </w:t>
      </w:r>
      <w:r w:rsidR="007177E4" w:rsidRPr="00E537E0">
        <w:rPr>
          <w:sz w:val="16"/>
          <w:szCs w:val="16"/>
        </w:rPr>
        <w:t>fnp-ppn.aandc-aadnc.gc.ca/fnp/Main/Search/FNHousehol</w:t>
      </w:r>
    </w:p>
    <w:p w14:paraId="64A89866" w14:textId="7474FE4C" w:rsidR="00E44C7F" w:rsidRPr="00E537E0" w:rsidRDefault="006A207A" w:rsidP="007965F1">
      <w:pPr>
        <w:pStyle w:val="Footnote"/>
        <w:rPr>
          <w:sz w:val="16"/>
          <w:szCs w:val="16"/>
        </w:rPr>
      </w:pPr>
      <w:r w:rsidRPr="00E537E0">
        <w:rPr>
          <w:sz w:val="16"/>
          <w:szCs w:val="16"/>
        </w:rPr>
        <w:t>d.aspx?BAND_NUMBER=704&amp;lang=eng.</w:t>
      </w:r>
      <w:r w:rsidRPr="00E537E0" w:rsidDel="006A207A">
        <w:rPr>
          <w:sz w:val="16"/>
          <w:szCs w:val="16"/>
        </w:rPr>
        <w:t xml:space="preserve"> </w:t>
      </w:r>
    </w:p>
  </w:endnote>
  <w:endnote w:id="27">
    <w:p w14:paraId="474CA6D0" w14:textId="3C3FCF05" w:rsidR="007177E4"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Indigenous and Northern Affairs Canada, “Mobility Characteristics: Kanaka Bar,” </w:t>
      </w:r>
      <w:r w:rsidR="006A207A" w:rsidRPr="00E537E0">
        <w:rPr>
          <w:sz w:val="16"/>
          <w:szCs w:val="16"/>
        </w:rPr>
        <w:t>Indigenous and</w:t>
      </w:r>
      <w:r w:rsidR="007965F1" w:rsidRPr="00E537E0">
        <w:rPr>
          <w:sz w:val="16"/>
          <w:szCs w:val="16"/>
        </w:rPr>
        <w:t xml:space="preserve"> Northern Affairs Canada, March </w:t>
      </w:r>
      <w:r w:rsidR="006A207A" w:rsidRPr="00E537E0">
        <w:rPr>
          <w:sz w:val="16"/>
          <w:szCs w:val="16"/>
        </w:rPr>
        <w:t>28</w:t>
      </w:r>
      <w:r w:rsidR="007965F1" w:rsidRPr="00E537E0">
        <w:rPr>
          <w:sz w:val="16"/>
          <w:szCs w:val="16"/>
        </w:rPr>
        <w:t>, </w:t>
      </w:r>
      <w:r w:rsidR="006A207A" w:rsidRPr="00E537E0">
        <w:rPr>
          <w:sz w:val="16"/>
          <w:szCs w:val="16"/>
        </w:rPr>
        <w:t>2017</w:t>
      </w:r>
      <w:r w:rsidR="007965F1" w:rsidRPr="00E537E0">
        <w:rPr>
          <w:sz w:val="16"/>
          <w:szCs w:val="16"/>
        </w:rPr>
        <w:t> accessed </w:t>
      </w:r>
      <w:r w:rsidR="006A207A" w:rsidRPr="00E537E0">
        <w:rPr>
          <w:sz w:val="16"/>
          <w:szCs w:val="16"/>
        </w:rPr>
        <w:t>Marc</w:t>
      </w:r>
      <w:r w:rsidR="007965F1" w:rsidRPr="00E537E0">
        <w:rPr>
          <w:sz w:val="16"/>
          <w:szCs w:val="16"/>
        </w:rPr>
        <w:t>h 27, 2018, </w:t>
      </w:r>
      <w:r w:rsidR="007177E4" w:rsidRPr="00E537E0">
        <w:rPr>
          <w:sz w:val="16"/>
          <w:szCs w:val="16"/>
        </w:rPr>
        <w:t>http:// fnp-ppn.aandc-aadnc.gc.ca/fnp/Main/Search/FNMobility.aspx?BAND_NU</w:t>
      </w:r>
    </w:p>
    <w:p w14:paraId="32EB6A2E" w14:textId="76F5D558" w:rsidR="00E44C7F" w:rsidRPr="00E537E0" w:rsidRDefault="006A207A" w:rsidP="007965F1">
      <w:pPr>
        <w:pStyle w:val="Footnote"/>
        <w:rPr>
          <w:sz w:val="16"/>
          <w:szCs w:val="16"/>
        </w:rPr>
      </w:pPr>
      <w:r w:rsidRPr="00E537E0">
        <w:rPr>
          <w:sz w:val="16"/>
          <w:szCs w:val="16"/>
        </w:rPr>
        <w:t>MBER=704&amp;lang=eng.</w:t>
      </w:r>
    </w:p>
  </w:endnote>
  <w:endnote w:id="28">
    <w:p w14:paraId="50068BB3" w14:textId="6FF1948F" w:rsidR="007177E4"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Indigenous and Northern Affairs Canada, “Population Characteristics: Kanaka Bar,” </w:t>
      </w:r>
      <w:r w:rsidR="006A207A" w:rsidRPr="00E537E0">
        <w:rPr>
          <w:sz w:val="16"/>
          <w:szCs w:val="16"/>
        </w:rPr>
        <w:t>Indigeno</w:t>
      </w:r>
      <w:r w:rsidR="007965F1" w:rsidRPr="00E537E0">
        <w:rPr>
          <w:sz w:val="16"/>
          <w:szCs w:val="16"/>
        </w:rPr>
        <w:t>us and Northern Affairs Canada, March </w:t>
      </w:r>
      <w:r w:rsidR="006A207A" w:rsidRPr="00E537E0">
        <w:rPr>
          <w:sz w:val="16"/>
          <w:szCs w:val="16"/>
        </w:rPr>
        <w:t>28</w:t>
      </w:r>
      <w:r w:rsidR="007965F1" w:rsidRPr="00E537E0">
        <w:rPr>
          <w:sz w:val="16"/>
          <w:szCs w:val="16"/>
        </w:rPr>
        <w:t>, 2017, accessed March 27, 2018, </w:t>
      </w:r>
      <w:r w:rsidR="007177E4" w:rsidRPr="00E537E0">
        <w:rPr>
          <w:sz w:val="16"/>
          <w:szCs w:val="16"/>
        </w:rPr>
        <w:t>http://fnp-ppn.aandc-aadnc.gc.ca/fnp/Main/Search/FNPopulation.aspx?</w:t>
      </w:r>
    </w:p>
    <w:p w14:paraId="0C553A7C" w14:textId="21DD2ABC" w:rsidR="00E44C7F" w:rsidRPr="00E537E0" w:rsidRDefault="006A207A" w:rsidP="007965F1">
      <w:pPr>
        <w:pStyle w:val="Footnote"/>
        <w:rPr>
          <w:sz w:val="16"/>
          <w:szCs w:val="16"/>
        </w:rPr>
      </w:pPr>
      <w:r w:rsidRPr="00E537E0">
        <w:rPr>
          <w:sz w:val="16"/>
          <w:szCs w:val="16"/>
        </w:rPr>
        <w:t>BAND_NUMBER=704&amp;lang=eng.</w:t>
      </w:r>
    </w:p>
  </w:endnote>
  <w:endnote w:id="29">
    <w:p w14:paraId="3CBD40A5" w14:textId="7B785593" w:rsidR="007177E4"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Indigenous and Northern Affairs Canada, “Language</w:t>
      </w:r>
      <w:r w:rsidR="006A207A" w:rsidRPr="00E537E0">
        <w:rPr>
          <w:sz w:val="16"/>
          <w:szCs w:val="16"/>
        </w:rPr>
        <w:t>s</w:t>
      </w:r>
      <w:r w:rsidRPr="00E537E0">
        <w:rPr>
          <w:sz w:val="16"/>
          <w:szCs w:val="16"/>
        </w:rPr>
        <w:t xml:space="preserve"> Characteristics: Kanaka Bar,” </w:t>
      </w:r>
      <w:r w:rsidR="006A207A" w:rsidRPr="00E537E0">
        <w:rPr>
          <w:sz w:val="16"/>
          <w:szCs w:val="16"/>
        </w:rPr>
        <w:t>Indigeno</w:t>
      </w:r>
      <w:r w:rsidR="007965F1" w:rsidRPr="00E537E0">
        <w:rPr>
          <w:sz w:val="16"/>
          <w:szCs w:val="16"/>
        </w:rPr>
        <w:t>us and Northern Affairs Canada, March </w:t>
      </w:r>
      <w:r w:rsidR="006A207A" w:rsidRPr="00E537E0">
        <w:rPr>
          <w:sz w:val="16"/>
          <w:szCs w:val="16"/>
        </w:rPr>
        <w:t>28</w:t>
      </w:r>
      <w:r w:rsidR="007965F1" w:rsidRPr="00E537E0">
        <w:rPr>
          <w:sz w:val="16"/>
          <w:szCs w:val="16"/>
        </w:rPr>
        <w:t>, 2017, </w:t>
      </w:r>
      <w:r w:rsidR="006A207A" w:rsidRPr="00E537E0">
        <w:rPr>
          <w:sz w:val="16"/>
          <w:szCs w:val="16"/>
        </w:rPr>
        <w:t>accessed</w:t>
      </w:r>
      <w:r w:rsidR="007965F1" w:rsidRPr="00E537E0">
        <w:rPr>
          <w:sz w:val="16"/>
          <w:szCs w:val="16"/>
        </w:rPr>
        <w:t> March 27, </w:t>
      </w:r>
      <w:r w:rsidR="006A207A" w:rsidRPr="00E537E0">
        <w:rPr>
          <w:sz w:val="16"/>
          <w:szCs w:val="16"/>
        </w:rPr>
        <w:t>2018,</w:t>
      </w:r>
      <w:r w:rsidR="007965F1" w:rsidRPr="00E537E0">
        <w:rPr>
          <w:sz w:val="16"/>
          <w:szCs w:val="16"/>
        </w:rPr>
        <w:t> </w:t>
      </w:r>
      <w:r w:rsidR="007177E4" w:rsidRPr="00E537E0">
        <w:rPr>
          <w:sz w:val="16"/>
          <w:szCs w:val="16"/>
        </w:rPr>
        <w:t>http://fnp-ppn.aandc-aadnc.gc.ca/fnp/Main/Search/FNLanguage.aspx?</w:t>
      </w:r>
    </w:p>
    <w:p w14:paraId="3CB15D5F" w14:textId="5277E5AF" w:rsidR="00E44C7F" w:rsidRPr="00E537E0" w:rsidRDefault="006A207A" w:rsidP="007965F1">
      <w:pPr>
        <w:pStyle w:val="Footnote"/>
        <w:rPr>
          <w:sz w:val="16"/>
          <w:szCs w:val="16"/>
        </w:rPr>
      </w:pPr>
      <w:r w:rsidRPr="00E537E0">
        <w:rPr>
          <w:sz w:val="16"/>
          <w:szCs w:val="16"/>
        </w:rPr>
        <w:t>BAND_NUMBER=704&amp;lang=eng.</w:t>
      </w:r>
    </w:p>
  </w:endnote>
  <w:endnote w:id="30">
    <w:p w14:paraId="5CB33906" w14:textId="2433C9D2" w:rsidR="007177E4" w:rsidRPr="00E537E0" w:rsidRDefault="00E44C7F" w:rsidP="007965F1">
      <w:pPr>
        <w:pStyle w:val="Footnote"/>
        <w:rPr>
          <w:sz w:val="16"/>
          <w:szCs w:val="16"/>
        </w:rPr>
      </w:pPr>
      <w:r w:rsidRPr="00E537E0">
        <w:rPr>
          <w:sz w:val="16"/>
          <w:szCs w:val="16"/>
          <w:vertAlign w:val="superscript"/>
        </w:rPr>
        <w:endnoteRef/>
      </w:r>
      <w:r w:rsidRPr="00E537E0">
        <w:rPr>
          <w:sz w:val="16"/>
          <w:szCs w:val="16"/>
        </w:rPr>
        <w:t xml:space="preserve"> Indigenous and Northern Affairs Canada, “Education Characteristics: Kanaka Bar,” </w:t>
      </w:r>
      <w:r w:rsidR="006A207A" w:rsidRPr="00E537E0">
        <w:rPr>
          <w:sz w:val="16"/>
          <w:szCs w:val="16"/>
        </w:rPr>
        <w:t>Indigenous and</w:t>
      </w:r>
      <w:r w:rsidR="007965F1" w:rsidRPr="00E537E0">
        <w:rPr>
          <w:sz w:val="16"/>
          <w:szCs w:val="16"/>
        </w:rPr>
        <w:t xml:space="preserve"> Northern Affairs Canada, March </w:t>
      </w:r>
      <w:r w:rsidR="006A207A" w:rsidRPr="00E537E0">
        <w:rPr>
          <w:sz w:val="16"/>
          <w:szCs w:val="16"/>
        </w:rPr>
        <w:t>28</w:t>
      </w:r>
      <w:r w:rsidR="007965F1" w:rsidRPr="00E537E0">
        <w:rPr>
          <w:sz w:val="16"/>
          <w:szCs w:val="16"/>
        </w:rPr>
        <w:t>, 2017, accessed March 27, 2018, </w:t>
      </w:r>
      <w:r w:rsidR="007177E4" w:rsidRPr="00E537E0">
        <w:rPr>
          <w:sz w:val="16"/>
          <w:szCs w:val="16"/>
        </w:rPr>
        <w:t>http://fnp-ppn.aandc-aadnc.gc.ca/fnp/Main/Search/FNEducation.aspx?BAND_N</w:t>
      </w:r>
    </w:p>
    <w:p w14:paraId="7B57D36F" w14:textId="2956AC86" w:rsidR="00E44C7F" w:rsidRPr="00AA15B7" w:rsidRDefault="006A207A" w:rsidP="007965F1">
      <w:pPr>
        <w:pStyle w:val="Footnote"/>
      </w:pPr>
      <w:r w:rsidRPr="00E537E0">
        <w:rPr>
          <w:sz w:val="16"/>
          <w:szCs w:val="16"/>
        </w:rPr>
        <w:t>UMBER=704&amp;lang=eng.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F541C" w14:textId="77777777" w:rsidR="00E43EDA" w:rsidRDefault="00E43EDA" w:rsidP="00D75295">
      <w:r>
        <w:separator/>
      </w:r>
    </w:p>
  </w:footnote>
  <w:footnote w:type="continuationSeparator" w:id="0">
    <w:p w14:paraId="1A533357" w14:textId="77777777" w:rsidR="00E43EDA" w:rsidRDefault="00E43EDA"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5CBB3" w14:textId="2C2984BA" w:rsidR="00E44C7F" w:rsidRPr="00C92CC4" w:rsidRDefault="00E44C7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27926">
      <w:rPr>
        <w:rFonts w:ascii="Arial" w:hAnsi="Arial"/>
        <w:b/>
        <w:noProof/>
      </w:rPr>
      <w:t>3</w:t>
    </w:r>
    <w:r>
      <w:rPr>
        <w:rFonts w:ascii="Arial" w:hAnsi="Arial"/>
        <w:b/>
      </w:rPr>
      <w:fldChar w:fldCharType="end"/>
    </w:r>
    <w:r>
      <w:rPr>
        <w:rFonts w:ascii="Arial" w:hAnsi="Arial"/>
        <w:b/>
      </w:rPr>
      <w:tab/>
    </w:r>
    <w:r w:rsidR="00727926">
      <w:rPr>
        <w:rFonts w:ascii="Arial" w:hAnsi="Arial"/>
        <w:b/>
      </w:rPr>
      <w:t>9B18M088</w:t>
    </w:r>
  </w:p>
  <w:p w14:paraId="11C45FBB" w14:textId="77777777" w:rsidR="00E44C7F" w:rsidRDefault="00E44C7F" w:rsidP="00D13667">
    <w:pPr>
      <w:pStyle w:val="Header"/>
      <w:tabs>
        <w:tab w:val="clear" w:pos="4680"/>
      </w:tabs>
      <w:rPr>
        <w:sz w:val="18"/>
        <w:szCs w:val="18"/>
      </w:rPr>
    </w:pPr>
  </w:p>
  <w:p w14:paraId="35994A46" w14:textId="77777777" w:rsidR="00E44C7F" w:rsidRPr="00C92CC4" w:rsidRDefault="00E44C7F"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C91910"/>
    <w:multiLevelType w:val="hybridMultilevel"/>
    <w:tmpl w:val="6E3209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199B74BF"/>
    <w:multiLevelType w:val="hybridMultilevel"/>
    <w:tmpl w:val="1E585F2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8"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19F5493"/>
    <w:multiLevelType w:val="hybridMultilevel"/>
    <w:tmpl w:val="C0424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5"/>
  </w:num>
  <w:num w:numId="3">
    <w:abstractNumId w:val="33"/>
  </w:num>
  <w:num w:numId="4">
    <w:abstractNumId w:val="16"/>
  </w:num>
  <w:num w:numId="5">
    <w:abstractNumId w:val="27"/>
  </w:num>
  <w:num w:numId="6">
    <w:abstractNumId w:val="31"/>
  </w:num>
  <w:num w:numId="7">
    <w:abstractNumId w:val="24"/>
  </w:num>
  <w:num w:numId="8">
    <w:abstractNumId w:val="32"/>
  </w:num>
  <w:num w:numId="9">
    <w:abstractNumId w:val="11"/>
  </w:num>
  <w:num w:numId="10">
    <w:abstractNumId w:val="20"/>
  </w:num>
  <w:num w:numId="11">
    <w:abstractNumId w:val="12"/>
  </w:num>
  <w:num w:numId="12">
    <w:abstractNumId w:val="38"/>
  </w:num>
  <w:num w:numId="13">
    <w:abstractNumId w:val="17"/>
  </w:num>
  <w:num w:numId="14">
    <w:abstractNumId w:val="30"/>
  </w:num>
  <w:num w:numId="15">
    <w:abstractNumId w:val="39"/>
  </w:num>
  <w:num w:numId="16">
    <w:abstractNumId w:val="19"/>
  </w:num>
  <w:num w:numId="17">
    <w:abstractNumId w:val="26"/>
  </w:num>
  <w:num w:numId="18">
    <w:abstractNumId w:val="18"/>
  </w:num>
  <w:num w:numId="19">
    <w:abstractNumId w:val="22"/>
  </w:num>
  <w:num w:numId="20">
    <w:abstractNumId w:val="37"/>
  </w:num>
  <w:num w:numId="21">
    <w:abstractNumId w:val="28"/>
  </w:num>
  <w:num w:numId="22">
    <w:abstractNumId w:val="29"/>
  </w:num>
  <w:num w:numId="23">
    <w:abstractNumId w:val="10"/>
  </w:num>
  <w:num w:numId="24">
    <w:abstractNumId w:val="15"/>
  </w:num>
  <w:num w:numId="25">
    <w:abstractNumId w:val="40"/>
  </w:num>
  <w:num w:numId="26">
    <w:abstractNumId w:val="41"/>
  </w:num>
  <w:num w:numId="27">
    <w:abstractNumId w:val="21"/>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4"/>
  </w:num>
  <w:num w:numId="39">
    <w:abstractNumId w:val="25"/>
  </w:num>
  <w:num w:numId="40">
    <w:abstractNumId w:val="14"/>
  </w:num>
  <w:num w:numId="41">
    <w:abstractNumId w:val="13"/>
  </w:num>
  <w:num w:numId="42">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228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575AD"/>
    <w:rsid w:val="00061578"/>
    <w:rsid w:val="0007605E"/>
    <w:rsid w:val="0008102D"/>
    <w:rsid w:val="00094C0E"/>
    <w:rsid w:val="000958D6"/>
    <w:rsid w:val="00096B2B"/>
    <w:rsid w:val="000B001B"/>
    <w:rsid w:val="000D1D70"/>
    <w:rsid w:val="000D3813"/>
    <w:rsid w:val="000D7091"/>
    <w:rsid w:val="000F0C22"/>
    <w:rsid w:val="000F3D59"/>
    <w:rsid w:val="000F6A6E"/>
    <w:rsid w:val="000F6B09"/>
    <w:rsid w:val="000F6FDC"/>
    <w:rsid w:val="00104567"/>
    <w:rsid w:val="00104916"/>
    <w:rsid w:val="00104AA7"/>
    <w:rsid w:val="00105145"/>
    <w:rsid w:val="001150CA"/>
    <w:rsid w:val="00115550"/>
    <w:rsid w:val="001235C5"/>
    <w:rsid w:val="0012732D"/>
    <w:rsid w:val="00143F25"/>
    <w:rsid w:val="00152682"/>
    <w:rsid w:val="00154FC9"/>
    <w:rsid w:val="00183A01"/>
    <w:rsid w:val="0019185D"/>
    <w:rsid w:val="0019241A"/>
    <w:rsid w:val="001A22D1"/>
    <w:rsid w:val="001A752D"/>
    <w:rsid w:val="001A757E"/>
    <w:rsid w:val="001B5032"/>
    <w:rsid w:val="001C7777"/>
    <w:rsid w:val="001E364F"/>
    <w:rsid w:val="001F4222"/>
    <w:rsid w:val="002018F5"/>
    <w:rsid w:val="00202C38"/>
    <w:rsid w:val="00203AA1"/>
    <w:rsid w:val="00213E98"/>
    <w:rsid w:val="0023081A"/>
    <w:rsid w:val="00246A32"/>
    <w:rsid w:val="00264D9C"/>
    <w:rsid w:val="00270FB0"/>
    <w:rsid w:val="00293785"/>
    <w:rsid w:val="002A0746"/>
    <w:rsid w:val="002A0DF7"/>
    <w:rsid w:val="002A1B89"/>
    <w:rsid w:val="002B2BCD"/>
    <w:rsid w:val="002D0182"/>
    <w:rsid w:val="002F460C"/>
    <w:rsid w:val="002F48D6"/>
    <w:rsid w:val="002F564E"/>
    <w:rsid w:val="00300766"/>
    <w:rsid w:val="00317391"/>
    <w:rsid w:val="00326216"/>
    <w:rsid w:val="00326BA6"/>
    <w:rsid w:val="00330445"/>
    <w:rsid w:val="00336580"/>
    <w:rsid w:val="00354899"/>
    <w:rsid w:val="00355FD6"/>
    <w:rsid w:val="00364A5C"/>
    <w:rsid w:val="003660E6"/>
    <w:rsid w:val="00373FB1"/>
    <w:rsid w:val="00376490"/>
    <w:rsid w:val="00394CD7"/>
    <w:rsid w:val="00396C76"/>
    <w:rsid w:val="003A4E75"/>
    <w:rsid w:val="003A61EA"/>
    <w:rsid w:val="003B2758"/>
    <w:rsid w:val="003B30D8"/>
    <w:rsid w:val="003B7EF2"/>
    <w:rsid w:val="003C3FA4"/>
    <w:rsid w:val="003D0BA1"/>
    <w:rsid w:val="003F2B0C"/>
    <w:rsid w:val="004105B2"/>
    <w:rsid w:val="00412900"/>
    <w:rsid w:val="00421A45"/>
    <w:rsid w:val="004221E4"/>
    <w:rsid w:val="004273F8"/>
    <w:rsid w:val="004355A3"/>
    <w:rsid w:val="00445795"/>
    <w:rsid w:val="00446546"/>
    <w:rsid w:val="00452769"/>
    <w:rsid w:val="00465348"/>
    <w:rsid w:val="004B1CCB"/>
    <w:rsid w:val="004B632F"/>
    <w:rsid w:val="004D3FB1"/>
    <w:rsid w:val="004D6F21"/>
    <w:rsid w:val="004D73A5"/>
    <w:rsid w:val="004E197C"/>
    <w:rsid w:val="004E7C6D"/>
    <w:rsid w:val="00512FD3"/>
    <w:rsid w:val="005160F1"/>
    <w:rsid w:val="00524F2F"/>
    <w:rsid w:val="00527E5C"/>
    <w:rsid w:val="00532CF5"/>
    <w:rsid w:val="005528CB"/>
    <w:rsid w:val="00557042"/>
    <w:rsid w:val="00566771"/>
    <w:rsid w:val="00581E2E"/>
    <w:rsid w:val="00584F15"/>
    <w:rsid w:val="00586880"/>
    <w:rsid w:val="0059514B"/>
    <w:rsid w:val="005A1B0F"/>
    <w:rsid w:val="005A30E1"/>
    <w:rsid w:val="005B3E73"/>
    <w:rsid w:val="005E6C1C"/>
    <w:rsid w:val="005E74A6"/>
    <w:rsid w:val="005F022D"/>
    <w:rsid w:val="006024C2"/>
    <w:rsid w:val="00611E4F"/>
    <w:rsid w:val="00614C0B"/>
    <w:rsid w:val="006163F7"/>
    <w:rsid w:val="00627C63"/>
    <w:rsid w:val="0063350B"/>
    <w:rsid w:val="00637C5F"/>
    <w:rsid w:val="00652606"/>
    <w:rsid w:val="00660070"/>
    <w:rsid w:val="006946EE"/>
    <w:rsid w:val="006A207A"/>
    <w:rsid w:val="006A51F5"/>
    <w:rsid w:val="006A58A9"/>
    <w:rsid w:val="006A606D"/>
    <w:rsid w:val="006C0371"/>
    <w:rsid w:val="006C08B6"/>
    <w:rsid w:val="006C0B1A"/>
    <w:rsid w:val="006C6065"/>
    <w:rsid w:val="006C7F9F"/>
    <w:rsid w:val="006E2F6D"/>
    <w:rsid w:val="006E33FF"/>
    <w:rsid w:val="006E58F6"/>
    <w:rsid w:val="006E77E1"/>
    <w:rsid w:val="006F131D"/>
    <w:rsid w:val="00705F31"/>
    <w:rsid w:val="00711642"/>
    <w:rsid w:val="007177E4"/>
    <w:rsid w:val="00727926"/>
    <w:rsid w:val="007300AF"/>
    <w:rsid w:val="007507C6"/>
    <w:rsid w:val="00751E0B"/>
    <w:rsid w:val="00752BCD"/>
    <w:rsid w:val="00762F4E"/>
    <w:rsid w:val="00766DA1"/>
    <w:rsid w:val="00777309"/>
    <w:rsid w:val="00780D94"/>
    <w:rsid w:val="007859CF"/>
    <w:rsid w:val="007866A6"/>
    <w:rsid w:val="007965F1"/>
    <w:rsid w:val="007A130D"/>
    <w:rsid w:val="007D1A2D"/>
    <w:rsid w:val="007D3150"/>
    <w:rsid w:val="007D4102"/>
    <w:rsid w:val="007D79AA"/>
    <w:rsid w:val="007E1D1B"/>
    <w:rsid w:val="007F43B7"/>
    <w:rsid w:val="00803DE9"/>
    <w:rsid w:val="00804D19"/>
    <w:rsid w:val="00821FFC"/>
    <w:rsid w:val="008271CA"/>
    <w:rsid w:val="0083139F"/>
    <w:rsid w:val="00843826"/>
    <w:rsid w:val="008467D5"/>
    <w:rsid w:val="00894048"/>
    <w:rsid w:val="008A4DC4"/>
    <w:rsid w:val="008B438C"/>
    <w:rsid w:val="008B4BFD"/>
    <w:rsid w:val="008B61E4"/>
    <w:rsid w:val="008C649C"/>
    <w:rsid w:val="008C769E"/>
    <w:rsid w:val="008D06CA"/>
    <w:rsid w:val="008D3A46"/>
    <w:rsid w:val="00901802"/>
    <w:rsid w:val="00903FF9"/>
    <w:rsid w:val="009067A4"/>
    <w:rsid w:val="009305A2"/>
    <w:rsid w:val="00930885"/>
    <w:rsid w:val="00933D68"/>
    <w:rsid w:val="009340DB"/>
    <w:rsid w:val="00936DC0"/>
    <w:rsid w:val="0094618C"/>
    <w:rsid w:val="00954C58"/>
    <w:rsid w:val="00954ED3"/>
    <w:rsid w:val="0095684B"/>
    <w:rsid w:val="00966439"/>
    <w:rsid w:val="00972498"/>
    <w:rsid w:val="0097481F"/>
    <w:rsid w:val="00974CC6"/>
    <w:rsid w:val="00976AD4"/>
    <w:rsid w:val="00990361"/>
    <w:rsid w:val="00995547"/>
    <w:rsid w:val="009A312F"/>
    <w:rsid w:val="009A5348"/>
    <w:rsid w:val="009B0AB7"/>
    <w:rsid w:val="009C07A7"/>
    <w:rsid w:val="009C2393"/>
    <w:rsid w:val="009C76D5"/>
    <w:rsid w:val="009D7CFF"/>
    <w:rsid w:val="009F5C9A"/>
    <w:rsid w:val="009F7AA4"/>
    <w:rsid w:val="00A10AD7"/>
    <w:rsid w:val="00A17204"/>
    <w:rsid w:val="00A3387F"/>
    <w:rsid w:val="00A559DB"/>
    <w:rsid w:val="00A569EA"/>
    <w:rsid w:val="00A60C4A"/>
    <w:rsid w:val="00A73A95"/>
    <w:rsid w:val="00A77E46"/>
    <w:rsid w:val="00AA4AC3"/>
    <w:rsid w:val="00AA4C3E"/>
    <w:rsid w:val="00AA517B"/>
    <w:rsid w:val="00AE3332"/>
    <w:rsid w:val="00AF35FC"/>
    <w:rsid w:val="00AF5556"/>
    <w:rsid w:val="00B03639"/>
    <w:rsid w:val="00B0652A"/>
    <w:rsid w:val="00B159C7"/>
    <w:rsid w:val="00B33DCC"/>
    <w:rsid w:val="00B40937"/>
    <w:rsid w:val="00B423EF"/>
    <w:rsid w:val="00B453DE"/>
    <w:rsid w:val="00B63DEE"/>
    <w:rsid w:val="00B711BA"/>
    <w:rsid w:val="00B72597"/>
    <w:rsid w:val="00B901F9"/>
    <w:rsid w:val="00BA15BA"/>
    <w:rsid w:val="00BD6031"/>
    <w:rsid w:val="00BD6EFB"/>
    <w:rsid w:val="00BE481B"/>
    <w:rsid w:val="00BE7F62"/>
    <w:rsid w:val="00C1584D"/>
    <w:rsid w:val="00C15BE2"/>
    <w:rsid w:val="00C3447F"/>
    <w:rsid w:val="00C4301B"/>
    <w:rsid w:val="00C65508"/>
    <w:rsid w:val="00C67102"/>
    <w:rsid w:val="00C731BA"/>
    <w:rsid w:val="00C81491"/>
    <w:rsid w:val="00C81676"/>
    <w:rsid w:val="00C85C5D"/>
    <w:rsid w:val="00C92CC4"/>
    <w:rsid w:val="00CA0AFB"/>
    <w:rsid w:val="00CA2CE1"/>
    <w:rsid w:val="00CA3976"/>
    <w:rsid w:val="00CA50E3"/>
    <w:rsid w:val="00CA757B"/>
    <w:rsid w:val="00CC1787"/>
    <w:rsid w:val="00CC182C"/>
    <w:rsid w:val="00CD0824"/>
    <w:rsid w:val="00CD2908"/>
    <w:rsid w:val="00D00D45"/>
    <w:rsid w:val="00D03A82"/>
    <w:rsid w:val="00D05D44"/>
    <w:rsid w:val="00D13667"/>
    <w:rsid w:val="00D14673"/>
    <w:rsid w:val="00D15344"/>
    <w:rsid w:val="00D23F57"/>
    <w:rsid w:val="00D268E5"/>
    <w:rsid w:val="00D27A83"/>
    <w:rsid w:val="00D31BEC"/>
    <w:rsid w:val="00D52160"/>
    <w:rsid w:val="00D60489"/>
    <w:rsid w:val="00D63150"/>
    <w:rsid w:val="00D636BA"/>
    <w:rsid w:val="00D64A32"/>
    <w:rsid w:val="00D64EFC"/>
    <w:rsid w:val="00D70C09"/>
    <w:rsid w:val="00D75295"/>
    <w:rsid w:val="00D76CE9"/>
    <w:rsid w:val="00D9500F"/>
    <w:rsid w:val="00D97F12"/>
    <w:rsid w:val="00DA6095"/>
    <w:rsid w:val="00DB42E7"/>
    <w:rsid w:val="00DD3C35"/>
    <w:rsid w:val="00DE01A6"/>
    <w:rsid w:val="00DE7A98"/>
    <w:rsid w:val="00DF2D3E"/>
    <w:rsid w:val="00DF32C2"/>
    <w:rsid w:val="00E206BD"/>
    <w:rsid w:val="00E43EDA"/>
    <w:rsid w:val="00E44C7F"/>
    <w:rsid w:val="00E45C95"/>
    <w:rsid w:val="00E471A7"/>
    <w:rsid w:val="00E5034A"/>
    <w:rsid w:val="00E537E0"/>
    <w:rsid w:val="00E635CF"/>
    <w:rsid w:val="00E7528B"/>
    <w:rsid w:val="00E9528B"/>
    <w:rsid w:val="00E97112"/>
    <w:rsid w:val="00E97671"/>
    <w:rsid w:val="00EA58EE"/>
    <w:rsid w:val="00EC6E0A"/>
    <w:rsid w:val="00ED4E18"/>
    <w:rsid w:val="00ED5B14"/>
    <w:rsid w:val="00EE1F37"/>
    <w:rsid w:val="00F0159C"/>
    <w:rsid w:val="00F105B7"/>
    <w:rsid w:val="00F13220"/>
    <w:rsid w:val="00F17A21"/>
    <w:rsid w:val="00F37B27"/>
    <w:rsid w:val="00F46556"/>
    <w:rsid w:val="00F50E91"/>
    <w:rsid w:val="00F54F8F"/>
    <w:rsid w:val="00F57D29"/>
    <w:rsid w:val="00F96201"/>
    <w:rsid w:val="00FA06ED"/>
    <w:rsid w:val="00FA169E"/>
    <w:rsid w:val="00FA378B"/>
    <w:rsid w:val="00FC2998"/>
    <w:rsid w:val="00FD0B18"/>
    <w:rsid w:val="00FD1C56"/>
    <w:rsid w:val="00FD2FAD"/>
    <w:rsid w:val="00FE714F"/>
    <w:rsid w:val="00FF3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D058802"/>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hyperlink" Target="mailto:cases@ivey.c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CBE07CA8-9BDF-4265-AF04-06E7B4E8099E}">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170C002-9C2D-4186-BEE3-FC2D8E4EEA41}">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A40DF-9458-4A31-8797-949C32F0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12</Pages>
  <Words>4303</Words>
  <Characters>23715</Characters>
  <Application>Microsoft Office Word</Application>
  <DocSecurity>0</DocSecurity>
  <Lines>364</Lines>
  <Paragraphs>70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27948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Gow, Jasmin</cp:lastModifiedBy>
  <cp:revision>5</cp:revision>
  <cp:lastPrinted>2018-05-11T12:59:00Z</cp:lastPrinted>
  <dcterms:created xsi:type="dcterms:W3CDTF">2018-05-25T12:05:00Z</dcterms:created>
  <dcterms:modified xsi:type="dcterms:W3CDTF">2018-10-15T19:07:00Z</dcterms:modified>
</cp:coreProperties>
</file>