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0C7" w:rsidRPr="00A67A76" w:rsidRDefault="00C820C7" w:rsidP="00C820C7">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34819FE5" wp14:editId="6BDFF260">
            <wp:simplePos x="0" y="0"/>
            <wp:positionH relativeFrom="margin">
              <wp:align>right</wp:align>
            </wp:positionH>
            <wp:positionV relativeFrom="paragraph">
              <wp:posOffset>47625</wp:posOffset>
            </wp:positionV>
            <wp:extent cx="2414016" cy="310896"/>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09623315" wp14:editId="174E56D1">
            <wp:simplePos x="0" y="0"/>
            <wp:positionH relativeFrom="column">
              <wp:posOffset>9525</wp:posOffset>
            </wp:positionH>
            <wp:positionV relativeFrom="page">
              <wp:posOffset>657225</wp:posOffset>
            </wp:positionV>
            <wp:extent cx="2614930" cy="5486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C820C7" w:rsidRDefault="00C820C7" w:rsidP="00C820C7">
      <w:pPr>
        <w:pStyle w:val="ProductNumber"/>
      </w:pPr>
      <w:bookmarkStart w:id="0" w:name="_Hlk509520406"/>
      <w:r>
        <w:t>9B18M097</w:t>
      </w:r>
    </w:p>
    <w:p w:rsidR="00C820C7" w:rsidRDefault="00C820C7" w:rsidP="00C820C7">
      <w:pPr>
        <w:jc w:val="right"/>
        <w:rPr>
          <w:rFonts w:ascii="Arial" w:hAnsi="Arial"/>
          <w:b/>
          <w:sz w:val="28"/>
          <w:szCs w:val="28"/>
        </w:rPr>
      </w:pPr>
    </w:p>
    <w:p w:rsidR="00C820C7" w:rsidRPr="003D0BA1" w:rsidRDefault="00C820C7" w:rsidP="00C820C7">
      <w:pPr>
        <w:jc w:val="right"/>
        <w:rPr>
          <w:rFonts w:ascii="Arial" w:hAnsi="Arial"/>
          <w:b/>
          <w:sz w:val="28"/>
          <w:szCs w:val="28"/>
        </w:rPr>
      </w:pPr>
    </w:p>
    <w:p w:rsidR="009C4159" w:rsidRPr="006403FC" w:rsidRDefault="00A77C2B" w:rsidP="00A77C2B">
      <w:pPr>
        <w:rPr>
          <w:rFonts w:ascii="Arial" w:hAnsi="Arial" w:cs="Arial"/>
          <w:b/>
          <w:sz w:val="18"/>
        </w:rPr>
      </w:pPr>
      <w:r>
        <w:rPr>
          <w:rFonts w:ascii="Arial" w:hAnsi="Arial" w:cs="Arial"/>
          <w:b/>
          <w:sz w:val="28"/>
        </w:rPr>
        <w:t>I</w:t>
      </w:r>
      <w:r w:rsidR="009C4159" w:rsidRPr="00ED5C2E">
        <w:rPr>
          <w:rFonts w:ascii="Arial" w:hAnsi="Arial" w:cs="Arial"/>
          <w:b/>
          <w:sz w:val="28"/>
        </w:rPr>
        <w:t>SPACE: EXPANDING A START-UP HUB FOR WEST AFRICAN ENTREPRENEURS</w:t>
      </w:r>
      <w:bookmarkEnd w:id="0"/>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343BA" w:rsidP="00627C63">
      <w:pPr>
        <w:pStyle w:val="StyleCopyrightStatementAfter0ptBottomSinglesolidline1"/>
      </w:pPr>
      <w:r w:rsidRPr="00290356">
        <w:rPr>
          <w:rFonts w:cs="Arial"/>
          <w:lang w:val="en-GB"/>
        </w:rPr>
        <w:t xml:space="preserve">Emma </w:t>
      </w:r>
      <w:proofErr w:type="spellStart"/>
      <w:r w:rsidRPr="00290356">
        <w:rPr>
          <w:rFonts w:cs="Arial"/>
          <w:lang w:val="en-GB"/>
        </w:rPr>
        <w:t>Hogeterp</w:t>
      </w:r>
      <w:proofErr w:type="spellEnd"/>
      <w:r w:rsidRPr="00290356">
        <w:rPr>
          <w:rFonts w:cs="Arial"/>
          <w:lang w:val="en-GB"/>
        </w:rPr>
        <w:t xml:space="preserve">, Ali </w:t>
      </w:r>
      <w:proofErr w:type="spellStart"/>
      <w:r w:rsidRPr="00290356">
        <w:rPr>
          <w:rFonts w:cs="Arial"/>
          <w:lang w:val="en-GB"/>
        </w:rPr>
        <w:t>Beres</w:t>
      </w:r>
      <w:proofErr w:type="spellEnd"/>
      <w:r w:rsidRPr="00290356">
        <w:rPr>
          <w:rFonts w:cs="Arial"/>
          <w:lang w:val="en-GB"/>
        </w:rPr>
        <w:t>, and Hui Fang</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Professors </w:t>
      </w:r>
      <w:proofErr w:type="spellStart"/>
      <w:r>
        <w:t>Darkwah</w:t>
      </w:r>
      <w:proofErr w:type="spellEnd"/>
      <w:r>
        <w:t xml:space="preserve"> Joseph Asante and Nicole Haggerty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3"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2343BA">
        <w:t>18</w:t>
      </w:r>
      <w:r>
        <w:t>, Ivey Business School Foundation</w:t>
      </w:r>
      <w:r>
        <w:tab/>
        <w:t>Version: 20</w:t>
      </w:r>
      <w:r w:rsidR="002343BA">
        <w:t>18</w:t>
      </w:r>
      <w:r>
        <w:t>-</w:t>
      </w:r>
      <w:r w:rsidR="002343BA">
        <w:t>0</w:t>
      </w:r>
      <w:r w:rsidR="00DF3B01">
        <w:t>8</w:t>
      </w:r>
      <w:r>
        <w:t>-</w:t>
      </w:r>
      <w:r w:rsidR="00B62A01">
        <w:t>24</w:t>
      </w:r>
      <w:bookmarkStart w:id="1" w:name="_GoBack"/>
      <w:bookmarkEnd w:id="1"/>
    </w:p>
    <w:p w:rsidR="00751E0B" w:rsidRPr="00DF3B01" w:rsidRDefault="00751E0B" w:rsidP="00751E0B">
      <w:pPr>
        <w:pStyle w:val="StyleCopyrightStatementAfter0ptBottomSinglesolidline1"/>
        <w:rPr>
          <w:rFonts w:ascii="Times New Roman" w:hAnsi="Times New Roman"/>
          <w:szCs w:val="16"/>
        </w:rPr>
      </w:pPr>
    </w:p>
    <w:p w:rsidR="004B632F" w:rsidRPr="00DF3B01" w:rsidRDefault="004B632F" w:rsidP="004B632F">
      <w:pPr>
        <w:pStyle w:val="StyleCopyrightStatementAfter0ptBottomSinglesolidline1"/>
        <w:rPr>
          <w:rFonts w:ascii="Times New Roman" w:hAnsi="Times New Roman"/>
          <w:szCs w:val="16"/>
        </w:rPr>
      </w:pPr>
    </w:p>
    <w:p w:rsidR="003753C1" w:rsidRPr="00290356" w:rsidRDefault="003753C1" w:rsidP="00C820C7">
      <w:pPr>
        <w:pStyle w:val="BodyTextMain"/>
        <w:rPr>
          <w:lang w:val="en-GB"/>
        </w:rPr>
      </w:pPr>
      <w:r w:rsidRPr="00290356">
        <w:rPr>
          <w:lang w:val="en-GB"/>
        </w:rPr>
        <w:t xml:space="preserve">On a sunny afternoon in May 2017, Josiah </w:t>
      </w:r>
      <w:proofErr w:type="spellStart"/>
      <w:r w:rsidRPr="00290356">
        <w:rPr>
          <w:lang w:val="en-GB"/>
        </w:rPr>
        <w:t>Eyison</w:t>
      </w:r>
      <w:proofErr w:type="spellEnd"/>
      <w:r w:rsidRPr="00290356">
        <w:rPr>
          <w:lang w:val="en-GB"/>
        </w:rPr>
        <w:t xml:space="preserve"> gazed proudly at the entrepreneurs busily working around him. One was designing a website for a new business idea, while others were preparing for an upcoming </w:t>
      </w:r>
      <w:r>
        <w:rPr>
          <w:lang w:val="en-GB"/>
        </w:rPr>
        <w:t>h</w:t>
      </w:r>
      <w:r w:rsidRPr="00290356">
        <w:rPr>
          <w:lang w:val="en-GB"/>
        </w:rPr>
        <w:t xml:space="preserve">ackathon event at the office. As co-founder of iSpace Foundation (iSpace), a hub </w:t>
      </w:r>
      <w:proofErr w:type="gramStart"/>
      <w:r w:rsidRPr="00290356">
        <w:rPr>
          <w:lang w:val="en-GB"/>
        </w:rPr>
        <w:t>that empowered entrepreneurs</w:t>
      </w:r>
      <w:proofErr w:type="gramEnd"/>
      <w:r w:rsidRPr="00290356">
        <w:rPr>
          <w:lang w:val="en-GB"/>
        </w:rPr>
        <w:t xml:space="preserve"> in Accra, Ghana, it was </w:t>
      </w:r>
      <w:proofErr w:type="spellStart"/>
      <w:r w:rsidRPr="00290356">
        <w:rPr>
          <w:lang w:val="en-GB"/>
        </w:rPr>
        <w:t>Eyison’s</w:t>
      </w:r>
      <w:proofErr w:type="spellEnd"/>
      <w:r w:rsidRPr="00290356">
        <w:rPr>
          <w:lang w:val="en-GB"/>
        </w:rPr>
        <w:t xml:space="preserve"> job to help entrepreneurs turn their start-up ideas into realities. Currently, iSpace was home to 62 entrepreneurs, and </w:t>
      </w:r>
      <w:proofErr w:type="spellStart"/>
      <w:r w:rsidRPr="00290356">
        <w:rPr>
          <w:lang w:val="en-GB"/>
        </w:rPr>
        <w:t>Eyison</w:t>
      </w:r>
      <w:proofErr w:type="spellEnd"/>
      <w:r w:rsidRPr="00290356">
        <w:rPr>
          <w:lang w:val="en-GB"/>
        </w:rPr>
        <w:t xml:space="preserve"> wanted to reach even more passionate entrepreneurs that summer. However, with potential entrepreneurs in so many places, he was unsure of what growth strategy iSpace should pursue next.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1"/>
        <w:rPr>
          <w:lang w:val="en-GB"/>
        </w:rPr>
      </w:pPr>
      <w:r w:rsidRPr="00290356">
        <w:rPr>
          <w:lang w:val="en-GB"/>
        </w:rPr>
        <w:t xml:space="preserve">EXTERNAL ENVIRONMENT IN GHANA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Ghana, in West Africa, had a population of approximately 25 million people as of 2012. Approximately 70 per cent of the population lived in the southern part of the country, and of the 37 per cent who lived in urban areas, 10 per cent lived in the capital city, Accra.</w:t>
      </w:r>
      <w:r w:rsidRPr="00290356">
        <w:rPr>
          <w:vertAlign w:val="superscript"/>
          <w:lang w:val="en-GB"/>
        </w:rPr>
        <w:footnoteReference w:id="1"/>
      </w:r>
      <w:r w:rsidRPr="00290356">
        <w:rPr>
          <w:lang w:val="en-GB"/>
        </w:rPr>
        <w:t xml:space="preserve"> Although education was compulsory up to the age of 14, financial and geographical barriers prevented many students from pursuing higher levels of education. Consequently, only about 120,000 people were enrolled in college or university programs as of 2015; twice as many of these students were male as female.</w:t>
      </w:r>
      <w:r w:rsidRPr="00290356">
        <w:rPr>
          <w:vertAlign w:val="superscript"/>
          <w:lang w:val="en-GB"/>
        </w:rPr>
        <w:footnoteReference w:id="2"/>
      </w:r>
    </w:p>
    <w:p w:rsidR="003753C1" w:rsidRPr="00290356" w:rsidRDefault="003753C1" w:rsidP="00C820C7">
      <w:pPr>
        <w:pStyle w:val="BodyTextMain"/>
        <w:rPr>
          <w:lang w:val="en-GB"/>
        </w:rPr>
      </w:pPr>
    </w:p>
    <w:p w:rsidR="003753C1" w:rsidRDefault="003753C1" w:rsidP="00C820C7">
      <w:pPr>
        <w:pStyle w:val="BodyTextMain"/>
        <w:rPr>
          <w:lang w:val="en-GB"/>
        </w:rPr>
      </w:pPr>
      <w:r w:rsidRPr="00290356">
        <w:rPr>
          <w:lang w:val="en-GB"/>
        </w:rPr>
        <w:t>Ghana was a parliamentary democracy and was stable compared to other countries in West Africa. It had first instituted a free market economy in 1992, and this resulted in an economic shift away from agriculture, which occupied 44.7 per cent of the national labour force, toward</w:t>
      </w:r>
      <w:r>
        <w:rPr>
          <w:lang w:val="en-GB"/>
        </w:rPr>
        <w:t>s</w:t>
      </w:r>
      <w:r w:rsidRPr="00290356">
        <w:rPr>
          <w:lang w:val="en-GB"/>
        </w:rPr>
        <w:t xml:space="preserve"> the service sector, which occupied 40.9 per cent of the labour force. As of 2016, Ghana’s gross domestic product (GDP) was valued at </w:t>
      </w:r>
      <w:r w:rsidR="006A5EAE">
        <w:rPr>
          <w:lang w:val="en-GB"/>
        </w:rPr>
        <w:t>US</w:t>
      </w:r>
      <w:r w:rsidRPr="00290356">
        <w:rPr>
          <w:lang w:val="en-GB"/>
        </w:rPr>
        <w:t>$120.8 billion, with a 3.3 per cent growth rate.</w:t>
      </w:r>
      <w:r w:rsidRPr="00290356">
        <w:rPr>
          <w:rStyle w:val="FootnoteReference"/>
          <w:lang w:val="en-GB"/>
        </w:rPr>
        <w:footnoteReference w:id="3"/>
      </w:r>
      <w:r w:rsidRPr="00290356">
        <w:rPr>
          <w:lang w:val="en-GB"/>
        </w:rPr>
        <w:t xml:space="preserve"> However, employment and income issues persisted: 24.2 per cent of the population was below the poverty line and GDP per capita was $4,400.</w:t>
      </w:r>
      <w:r w:rsidRPr="00290356">
        <w:rPr>
          <w:rStyle w:val="FootnoteReference"/>
          <w:lang w:val="en-GB"/>
        </w:rPr>
        <w:footnoteReference w:id="4"/>
      </w:r>
      <w:r w:rsidRPr="00290356">
        <w:rPr>
          <w:lang w:val="en-GB"/>
        </w:rPr>
        <w:t xml:space="preserve"> Consequently, an increasing number of Ghanaians looked to entrepreneurship as a means of employment.</w:t>
      </w:r>
    </w:p>
    <w:p w:rsidR="00432C08" w:rsidRPr="00290356" w:rsidRDefault="00432C08" w:rsidP="00C820C7">
      <w:pPr>
        <w:pStyle w:val="BodyTextMain"/>
        <w:rPr>
          <w:lang w:val="en-GB"/>
        </w:rPr>
      </w:pPr>
    </w:p>
    <w:p w:rsidR="003753C1" w:rsidRPr="00C820C7" w:rsidRDefault="003753C1" w:rsidP="00C820C7">
      <w:pPr>
        <w:pStyle w:val="Casehead1"/>
      </w:pPr>
      <w:r w:rsidRPr="00C820C7">
        <w:lastRenderedPageBreak/>
        <w:t>Entrepreneurship and start-ups IN Ghana</w:t>
      </w:r>
    </w:p>
    <w:p w:rsidR="003753C1" w:rsidRPr="00290356" w:rsidRDefault="003753C1" w:rsidP="00C820C7">
      <w:pPr>
        <w:pStyle w:val="BodyTextMain"/>
        <w:rPr>
          <w:lang w:val="en-GB"/>
        </w:rPr>
      </w:pPr>
    </w:p>
    <w:p w:rsidR="003753C1" w:rsidRPr="006A5EAE" w:rsidRDefault="003753C1" w:rsidP="00C820C7">
      <w:pPr>
        <w:pStyle w:val="BodyTextMain"/>
        <w:rPr>
          <w:spacing w:val="-2"/>
          <w:lang w:val="en-GB"/>
        </w:rPr>
      </w:pPr>
      <w:r w:rsidRPr="006A5EAE">
        <w:rPr>
          <w:spacing w:val="-2"/>
          <w:lang w:val="en-GB"/>
        </w:rPr>
        <w:t>Entrepreneurship was growing in Ghana, particularly among youth. As of 2013, 66 per cent of youth were engaged in entrepreneurship. Women entrepreneurs were predominantly involved in the retail sector, whereas men largely took part in the construction sector.</w:t>
      </w:r>
      <w:r w:rsidRPr="006A5EAE">
        <w:rPr>
          <w:rStyle w:val="FootnoteReference"/>
          <w:spacing w:val="-2"/>
          <w:lang w:val="en-GB"/>
        </w:rPr>
        <w:footnoteReference w:id="5"/>
      </w:r>
      <w:r w:rsidRPr="006A5EAE">
        <w:rPr>
          <w:spacing w:val="-2"/>
          <w:lang w:val="en-GB"/>
        </w:rPr>
        <w:t xml:space="preserve"> The rapidly developing economy in Ghana created many opportunities for young entrepreneurs to identify business solutions to problems in their communities. </w:t>
      </w:r>
    </w:p>
    <w:p w:rsidR="003753C1" w:rsidRPr="00290356" w:rsidRDefault="003753C1" w:rsidP="00C820C7">
      <w:pPr>
        <w:pStyle w:val="BodyTextMain"/>
        <w:rPr>
          <w:lang w:val="en-GB"/>
        </w:rPr>
      </w:pPr>
    </w:p>
    <w:p w:rsidR="003753C1" w:rsidRPr="006A5EAE" w:rsidRDefault="003753C1" w:rsidP="00C820C7">
      <w:pPr>
        <w:pStyle w:val="BodyTextMain"/>
        <w:rPr>
          <w:spacing w:val="-4"/>
          <w:lang w:val="en-GB"/>
        </w:rPr>
      </w:pPr>
      <w:r w:rsidRPr="006A5EAE">
        <w:rPr>
          <w:spacing w:val="-4"/>
          <w:lang w:val="en-GB"/>
        </w:rPr>
        <w:t xml:space="preserve">According to the </w:t>
      </w:r>
      <w:r w:rsidRPr="006A5EAE">
        <w:rPr>
          <w:i/>
          <w:spacing w:val="-4"/>
          <w:lang w:val="en-GB"/>
        </w:rPr>
        <w:t>Economist</w:t>
      </w:r>
      <w:r w:rsidRPr="006A5EAE">
        <w:rPr>
          <w:spacing w:val="-4"/>
          <w:lang w:val="en-GB"/>
        </w:rPr>
        <w:t xml:space="preserve">, Africa was “one of the world’s most difficult regions in which to do business and also perhaps </w:t>
      </w:r>
      <w:proofErr w:type="gramStart"/>
      <w:r w:rsidRPr="006A5EAE">
        <w:rPr>
          <w:spacing w:val="-4"/>
          <w:lang w:val="en-GB"/>
        </w:rPr>
        <w:t>its</w:t>
      </w:r>
      <w:proofErr w:type="gramEnd"/>
      <w:r w:rsidRPr="006A5EAE">
        <w:rPr>
          <w:spacing w:val="-4"/>
          <w:lang w:val="en-GB"/>
        </w:rPr>
        <w:t xml:space="preserve"> most entrepreneurial.”</w:t>
      </w:r>
      <w:r w:rsidRPr="006A5EAE">
        <w:rPr>
          <w:rStyle w:val="FootnoteReference"/>
          <w:spacing w:val="-4"/>
          <w:lang w:val="en-GB"/>
        </w:rPr>
        <w:footnoteReference w:id="6"/>
      </w:r>
      <w:r w:rsidRPr="006A5EAE">
        <w:rPr>
          <w:spacing w:val="-4"/>
          <w:lang w:val="en-GB"/>
        </w:rPr>
        <w:t xml:space="preserve"> However, several barriers existed to creating a start-up in Ghana.</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b/>
          <w:lang w:val="en-GB"/>
        </w:rPr>
        <w:t>Technological Barriers:</w:t>
      </w:r>
      <w:r w:rsidRPr="00290356">
        <w:rPr>
          <w:lang w:val="en-GB"/>
        </w:rPr>
        <w:t xml:space="preserve"> Broadband Internet infrastructure was limited across the country and especially in rural areas. As of 2016, approximately 100,000 Ghanaians subscribed to broadband Internet services, and the remaining population relied on expensive data or had no online access at all.</w:t>
      </w:r>
      <w:r w:rsidRPr="00290356">
        <w:rPr>
          <w:rStyle w:val="FootnoteReference"/>
          <w:lang w:val="en-GB"/>
        </w:rPr>
        <w:footnoteReference w:id="7"/>
      </w:r>
      <w:r w:rsidRPr="00290356">
        <w:rPr>
          <w:lang w:val="en-GB"/>
        </w:rPr>
        <w:t xml:space="preserve">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b/>
          <w:lang w:val="en-GB"/>
        </w:rPr>
        <w:t>Financial Barriers:</w:t>
      </w:r>
      <w:r w:rsidRPr="00290356">
        <w:rPr>
          <w:lang w:val="en-GB"/>
        </w:rPr>
        <w:t xml:space="preserve"> It was difficult for Ghanaians with little credit history to obtain loans from banking </w:t>
      </w:r>
      <w:proofErr w:type="gramStart"/>
      <w:r w:rsidRPr="00290356">
        <w:rPr>
          <w:lang w:val="en-GB"/>
        </w:rPr>
        <w:t>institutions,</w:t>
      </w:r>
      <w:proofErr w:type="gramEnd"/>
      <w:r w:rsidRPr="00290356">
        <w:rPr>
          <w:lang w:val="en-GB"/>
        </w:rPr>
        <w:t xml:space="preserve"> even with interest rates as high as 38 per cent.</w:t>
      </w:r>
      <w:r w:rsidRPr="00290356">
        <w:rPr>
          <w:rStyle w:val="FootnoteReference"/>
          <w:lang w:val="en-GB"/>
        </w:rPr>
        <w:footnoteReference w:id="8"/>
      </w:r>
      <w:r w:rsidRPr="00290356">
        <w:rPr>
          <w:lang w:val="en-GB"/>
        </w:rPr>
        <w:t xml:space="preserve"> Individuals without established business networks faced difficulty raising capital from investors.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b/>
          <w:lang w:val="en-GB"/>
        </w:rPr>
        <w:t>Social Barriers:</w:t>
      </w:r>
      <w:r w:rsidRPr="00290356">
        <w:rPr>
          <w:lang w:val="en-GB"/>
        </w:rPr>
        <w:t xml:space="preserve"> Young entrepreneurs, especially women, faced social barriers when dedicating time and effort to entrepreneurial ventures. Women were held back by social norms such as the expectations that they would take care of the family or come home early.</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b/>
          <w:lang w:val="en-GB"/>
        </w:rPr>
        <w:t>Regulatory Barriers:</w:t>
      </w:r>
      <w:r w:rsidRPr="00290356">
        <w:rPr>
          <w:lang w:val="en-GB"/>
        </w:rPr>
        <w:t xml:space="preserve"> Entrepreneurs faced bureaucratic barriers when registering their businesses with the Ghanaian government. It was meant to take three months to register a new business, yet 46 per cent of </w:t>
      </w:r>
      <w:proofErr w:type="gramStart"/>
      <w:r w:rsidRPr="00290356">
        <w:rPr>
          <w:lang w:val="en-GB"/>
        </w:rPr>
        <w:t>entrepreneurs</w:t>
      </w:r>
      <w:proofErr w:type="gramEnd"/>
      <w:r w:rsidRPr="00290356">
        <w:rPr>
          <w:lang w:val="en-GB"/>
        </w:rPr>
        <w:t xml:space="preserve"> experienced long</w:t>
      </w:r>
      <w:r>
        <w:rPr>
          <w:lang w:val="en-GB"/>
        </w:rPr>
        <w:t>er</w:t>
      </w:r>
      <w:r w:rsidRPr="00290356">
        <w:rPr>
          <w:lang w:val="en-GB"/>
        </w:rPr>
        <w:t xml:space="preserve"> delays.</w:t>
      </w:r>
      <w:r w:rsidRPr="00290356">
        <w:rPr>
          <w:rStyle w:val="FootnoteReference"/>
          <w:lang w:val="en-GB"/>
        </w:rPr>
        <w:footnoteReference w:id="9"/>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Due to these barriers, entrepreneurs often decided to operate their businesses in the informal economy, where they avoided taxation and other burdens. In response, the government began to establish more policies in support of entrepreneurship, including a tax-free year for business start-ups.</w:t>
      </w:r>
      <w:r w:rsidRPr="00290356">
        <w:rPr>
          <w:rStyle w:val="FootnoteReference"/>
          <w:lang w:val="en-GB"/>
        </w:rPr>
        <w:footnoteReference w:id="10"/>
      </w:r>
      <w:r w:rsidRPr="00290356">
        <w:rPr>
          <w:lang w:val="en-GB"/>
        </w:rPr>
        <w:t xml:space="preserve"> However, these policies still did not address the lack of resources that entrepreneurs faced.</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 xml:space="preserve">The Start-Up Hub Solution </w:t>
      </w:r>
    </w:p>
    <w:p w:rsidR="003753C1" w:rsidRPr="00290356" w:rsidRDefault="003753C1" w:rsidP="00C820C7">
      <w:pPr>
        <w:pStyle w:val="BodyTextMain"/>
        <w:rPr>
          <w:lang w:val="en-GB"/>
        </w:rPr>
      </w:pPr>
    </w:p>
    <w:p w:rsidR="003753C1" w:rsidRPr="006A5EAE" w:rsidRDefault="003753C1" w:rsidP="00C820C7">
      <w:pPr>
        <w:pStyle w:val="BodyTextMain"/>
        <w:rPr>
          <w:spacing w:val="-2"/>
          <w:lang w:val="en-GB"/>
        </w:rPr>
      </w:pPr>
      <w:r w:rsidRPr="006A5EAE">
        <w:rPr>
          <w:spacing w:val="-2"/>
          <w:lang w:val="en-GB"/>
        </w:rPr>
        <w:t xml:space="preserve">To address these gaps, hubs for start-ups began to proliferate in urban areas in Ghana. Start-up hubs provided support for entrepreneurs. This support could include funding, work space, technological resources, skills training, and other things needed to bring business ideas to life. Start-up hubs often operated as social enterprises—that is, they maximized the social impact in start-up communities while also making a </w:t>
      </w:r>
      <w:r w:rsidRPr="006A5EAE">
        <w:rPr>
          <w:spacing w:val="-2"/>
          <w:lang w:val="en-GB"/>
        </w:rPr>
        <w:lastRenderedPageBreak/>
        <w:t>profit from the rents they charged to entrepreneurs. Start-up hubs often sought outside funding from other institutions and non-governmental organizations to support their entrepreneurs. A full 90 per cent of the 5.5 million young Ghanaians either engaged in entrepreneurial opportunities or seeking these resources said that they could not access formal funding or support from the government or private institutions on their own.</w:t>
      </w:r>
      <w:r w:rsidRPr="006A5EAE">
        <w:rPr>
          <w:rStyle w:val="FootnoteReference"/>
          <w:spacing w:val="-2"/>
          <w:lang w:val="en-GB"/>
        </w:rPr>
        <w:footnoteReference w:id="11"/>
      </w:r>
      <w:r w:rsidRPr="006A5EAE">
        <w:rPr>
          <w:spacing w:val="-2"/>
          <w:lang w:val="en-GB"/>
        </w:rPr>
        <w:t xml:space="preserve"> Therefore, there was a large, underdeveloped market for start-up hubs to operate within.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C820C7" w:rsidRDefault="003753C1" w:rsidP="00C820C7">
      <w:pPr>
        <w:pStyle w:val="Casehead1"/>
      </w:pPr>
      <w:r w:rsidRPr="00C820C7">
        <w:t xml:space="preserve">Josiah Eyison </w:t>
      </w:r>
    </w:p>
    <w:p w:rsidR="003753C1" w:rsidRPr="00290356" w:rsidRDefault="003753C1" w:rsidP="00C820C7">
      <w:pPr>
        <w:pStyle w:val="BodyTextMain"/>
        <w:rPr>
          <w:lang w:val="en-GB"/>
        </w:rPr>
      </w:pPr>
    </w:p>
    <w:p w:rsidR="003753C1" w:rsidRPr="006A5EAE" w:rsidRDefault="003753C1" w:rsidP="00C820C7">
      <w:pPr>
        <w:pStyle w:val="BodyTextMain"/>
        <w:rPr>
          <w:spacing w:val="-2"/>
          <w:lang w:val="en-GB"/>
        </w:rPr>
      </w:pPr>
      <w:proofErr w:type="spellStart"/>
      <w:r w:rsidRPr="006A5EAE">
        <w:rPr>
          <w:spacing w:val="-2"/>
          <w:lang w:val="en-GB"/>
        </w:rPr>
        <w:t>Eyison</w:t>
      </w:r>
      <w:proofErr w:type="spellEnd"/>
      <w:r w:rsidRPr="006A5EAE">
        <w:rPr>
          <w:spacing w:val="-2"/>
          <w:lang w:val="en-GB"/>
        </w:rPr>
        <w:t xml:space="preserve">, co-founder of iSpace, was born in Ghana and moved to the United Kingdom with his mother in 1992. He obtained an education and began working for a concierge company called </w:t>
      </w:r>
      <w:proofErr w:type="gramStart"/>
      <w:r w:rsidRPr="006A5EAE">
        <w:rPr>
          <w:spacing w:val="-2"/>
          <w:lang w:val="en-GB"/>
        </w:rPr>
        <w:t>Quintessentially</w:t>
      </w:r>
      <w:proofErr w:type="gramEnd"/>
      <w:r w:rsidRPr="006A5EAE">
        <w:rPr>
          <w:spacing w:val="-2"/>
          <w:lang w:val="en-GB"/>
        </w:rPr>
        <w:t xml:space="preserve">, and from 2002 to 2010, he worked as a regional business development manager, spearheading the company’s entry into Africa. </w:t>
      </w:r>
      <w:proofErr w:type="spellStart"/>
      <w:r w:rsidRPr="006A5EAE">
        <w:rPr>
          <w:spacing w:val="-2"/>
          <w:lang w:val="en-GB"/>
        </w:rPr>
        <w:t>Eyison</w:t>
      </w:r>
      <w:proofErr w:type="spellEnd"/>
      <w:r w:rsidRPr="006A5EAE">
        <w:rPr>
          <w:spacing w:val="-2"/>
          <w:lang w:val="en-GB"/>
        </w:rPr>
        <w:t xml:space="preserve"> enjoyed the work, but he realized that he wanted to give other Ghanaians the same opportunities to earn a decent income in a job they enjoyed. After working for an educational organization called Learning without Frontiers, </w:t>
      </w:r>
      <w:proofErr w:type="spellStart"/>
      <w:r w:rsidRPr="006A5EAE">
        <w:rPr>
          <w:spacing w:val="-2"/>
          <w:lang w:val="en-GB"/>
        </w:rPr>
        <w:t>Eyison</w:t>
      </w:r>
      <w:proofErr w:type="spellEnd"/>
      <w:r w:rsidRPr="006A5EAE">
        <w:rPr>
          <w:spacing w:val="-2"/>
          <w:lang w:val="en-GB"/>
        </w:rPr>
        <w:t xml:space="preserve"> left his family in the United Kingdom to found iSpace.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3753C1">
      <w:pPr>
        <w:pStyle w:val="Casehead1"/>
        <w:rPr>
          <w:lang w:val="en-GB"/>
        </w:rPr>
      </w:pPr>
      <w:r w:rsidRPr="00290356">
        <w:rPr>
          <w:lang w:val="en-GB"/>
        </w:rPr>
        <w:t xml:space="preserve">iSpace Foundation </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gramStart"/>
      <w:r w:rsidRPr="00290356">
        <w:rPr>
          <w:lang w:val="en-GB"/>
        </w:rPr>
        <w:t>iSpace</w:t>
      </w:r>
      <w:proofErr w:type="gramEnd"/>
      <w:r w:rsidRPr="00290356">
        <w:rPr>
          <w:lang w:val="en-GB"/>
        </w:rPr>
        <w:t xml:space="preserve"> was founded in the </w:t>
      </w:r>
      <w:proofErr w:type="spellStart"/>
      <w:r w:rsidRPr="00290356">
        <w:rPr>
          <w:lang w:val="en-GB"/>
        </w:rPr>
        <w:t>Labone</w:t>
      </w:r>
      <w:proofErr w:type="spellEnd"/>
      <w:r w:rsidRPr="00290356">
        <w:rPr>
          <w:lang w:val="en-GB"/>
        </w:rPr>
        <w:t xml:space="preserve"> district of Accra in 2013. The mission of the start</w:t>
      </w:r>
      <w:r w:rsidRPr="00290356">
        <w:rPr>
          <w:lang w:val="en-GB"/>
        </w:rPr>
        <w:noBreakHyphen/>
        <w:t xml:space="preserve">up hub was to meet the underserved needs for skills training and technological resources of Ghana’s start-up community. Although iSpace was open to all entrepreneurs, it focused on fostering start-ups related to technology and social enterprise. </w:t>
      </w:r>
      <w:proofErr w:type="gramStart"/>
      <w:r w:rsidRPr="00290356">
        <w:rPr>
          <w:lang w:val="en-GB"/>
        </w:rPr>
        <w:t>iSpace</w:t>
      </w:r>
      <w:proofErr w:type="gramEnd"/>
      <w:r w:rsidRPr="00290356">
        <w:rPr>
          <w:lang w:val="en-GB"/>
        </w:rPr>
        <w:t xml:space="preserve"> provided three basic offerings to entrepreneurs: space, technology, and funding.</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gramStart"/>
      <w:r w:rsidRPr="00290356">
        <w:rPr>
          <w:lang w:val="en-GB"/>
        </w:rPr>
        <w:t>iSpace</w:t>
      </w:r>
      <w:proofErr w:type="gramEnd"/>
      <w:r w:rsidRPr="00290356">
        <w:rPr>
          <w:lang w:val="en-GB"/>
        </w:rPr>
        <w:t xml:space="preserve"> provided a co-working space that was open to all entrepreneurs, and it made private offices available for rent (see </w:t>
      </w:r>
      <w:r w:rsidRPr="00450306">
        <w:rPr>
          <w:lang w:val="en-GB"/>
        </w:rPr>
        <w:t>Exhibit 1</w:t>
      </w:r>
      <w:r w:rsidRPr="00290356">
        <w:rPr>
          <w:lang w:val="en-GB"/>
        </w:rPr>
        <w:t>). These spaces were open for use at all times of the day. They included beds and showers for entrepreneurs who had to travel long distances or needed to work through the night.</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All entrepreneurs at iSpace had access to a high-speed 4G Internet system. The hub also provided technological resources, including laptops and </w:t>
      </w:r>
      <w:r>
        <w:rPr>
          <w:lang w:val="en-GB"/>
        </w:rPr>
        <w:t xml:space="preserve">three-dimensional or </w:t>
      </w:r>
      <w:r w:rsidRPr="00290356">
        <w:rPr>
          <w:lang w:val="en-GB"/>
        </w:rPr>
        <w:t>3D printing resources</w:t>
      </w:r>
      <w:r>
        <w:rPr>
          <w:lang w:val="en-GB"/>
        </w:rPr>
        <w:t>.</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gramStart"/>
      <w:r w:rsidRPr="00290356">
        <w:rPr>
          <w:lang w:val="en-GB"/>
        </w:rPr>
        <w:t>iSpace</w:t>
      </w:r>
      <w:proofErr w:type="gramEnd"/>
      <w:r w:rsidRPr="00290356">
        <w:rPr>
          <w:lang w:val="en-GB"/>
        </w:rPr>
        <w:t xml:space="preserve"> provided funding at a basic level to help entrepreneurs get their businesses running. It leveraged its network to connect entrepreneurs with potential investors who could help scale business ideas.</w:t>
      </w:r>
      <w:r w:rsidRPr="00290356">
        <w:rPr>
          <w:rStyle w:val="FootnoteReference"/>
          <w:lang w:val="en-GB"/>
        </w:rPr>
        <w:footnoteReference w:id="12"/>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In addition to these basic offerings, iSpace hosted a variety of events and workshops for the start-up community. Workshops included a coding school, where entrepreneurs could gain the computer coding skills they needed to digitize their business ideas. Events included hackathons and pitching competitions, where entrepreneurs could show off their skills and ideas to potential investors. Recently, iSpace had also been working towards</w:t>
      </w:r>
      <w:r>
        <w:rPr>
          <w:lang w:val="en-GB"/>
        </w:rPr>
        <w:t xml:space="preserve"> persuading</w:t>
      </w:r>
      <w:r w:rsidRPr="00290356">
        <w:rPr>
          <w:lang w:val="en-GB"/>
        </w:rPr>
        <w:t xml:space="preserve"> the government to remove barriers</w:t>
      </w:r>
      <w:r>
        <w:rPr>
          <w:lang w:val="en-GB"/>
        </w:rPr>
        <w:t xml:space="preserve"> to </w:t>
      </w:r>
      <w:r w:rsidRPr="00290356">
        <w:rPr>
          <w:lang w:val="en-GB"/>
        </w:rPr>
        <w:t>starting</w:t>
      </w:r>
      <w:r>
        <w:rPr>
          <w:lang w:val="en-GB"/>
        </w:rPr>
        <w:t xml:space="preserve"> </w:t>
      </w:r>
      <w:r w:rsidRPr="00290356">
        <w:rPr>
          <w:lang w:val="en-GB"/>
        </w:rPr>
        <w:t>business</w:t>
      </w:r>
      <w:r>
        <w:rPr>
          <w:lang w:val="en-GB"/>
        </w:rPr>
        <w:t>es</w:t>
      </w:r>
      <w:r w:rsidRPr="00290356">
        <w:rPr>
          <w:lang w:val="en-GB"/>
        </w:rPr>
        <w:t xml:space="preserve">. However, </w:t>
      </w:r>
      <w:r>
        <w:rPr>
          <w:lang w:val="en-GB"/>
        </w:rPr>
        <w:t>bec</w:t>
      </w:r>
      <w:r w:rsidRPr="00290356">
        <w:rPr>
          <w:lang w:val="en-GB"/>
        </w:rPr>
        <w:t>a</w:t>
      </w:r>
      <w:r>
        <w:rPr>
          <w:lang w:val="en-GB"/>
        </w:rPr>
        <w:t>u</w:t>
      </w:r>
      <w:r w:rsidRPr="00290356">
        <w:rPr>
          <w:lang w:val="en-GB"/>
        </w:rPr>
        <w:t>s</w:t>
      </w:r>
      <w:r>
        <w:rPr>
          <w:lang w:val="en-GB"/>
        </w:rPr>
        <w:t>e</w:t>
      </w:r>
      <w:r w:rsidRPr="00290356">
        <w:rPr>
          <w:lang w:val="en-GB"/>
        </w:rPr>
        <w:t xml:space="preserve"> the government was highly bureaucratic, no significant changes had yet been made.</w:t>
      </w:r>
    </w:p>
    <w:p w:rsidR="003753C1" w:rsidRDefault="003753C1" w:rsidP="00C820C7">
      <w:pPr>
        <w:pStyle w:val="BodyTextMain"/>
        <w:rPr>
          <w:lang w:val="en-GB"/>
        </w:rPr>
      </w:pPr>
    </w:p>
    <w:p w:rsidR="00C820C7" w:rsidRPr="00290356" w:rsidRDefault="00C820C7" w:rsidP="00C820C7">
      <w:pPr>
        <w:pStyle w:val="BodyTextMain"/>
        <w:rPr>
          <w:lang w:val="en-GB"/>
        </w:rPr>
      </w:pPr>
    </w:p>
    <w:p w:rsidR="003753C1" w:rsidRPr="00290356" w:rsidRDefault="003753C1" w:rsidP="00C820C7">
      <w:pPr>
        <w:pStyle w:val="Casehead2"/>
        <w:rPr>
          <w:lang w:val="en-GB"/>
        </w:rPr>
      </w:pPr>
      <w:proofErr w:type="gramStart"/>
      <w:r w:rsidRPr="00290356">
        <w:rPr>
          <w:lang w:val="en-GB"/>
        </w:rPr>
        <w:t>iSpace</w:t>
      </w:r>
      <w:proofErr w:type="gramEnd"/>
      <w:r w:rsidRPr="00290356">
        <w:rPr>
          <w:lang w:val="en-GB"/>
        </w:rPr>
        <w:t xml:space="preserve"> Culture</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gramStart"/>
      <w:r w:rsidRPr="00290356">
        <w:rPr>
          <w:lang w:val="en-GB"/>
        </w:rPr>
        <w:t>iSpace</w:t>
      </w:r>
      <w:proofErr w:type="gramEnd"/>
      <w:r w:rsidRPr="00290356">
        <w:rPr>
          <w:lang w:val="en-GB"/>
        </w:rPr>
        <w:t xml:space="preserve"> had 14 staff members and 62 active in-house entrepreneurs, 80 per cent of whom were women. These individuals contributed to a culture of community and passion at iSpace. The iSpace staff did not </w:t>
      </w:r>
      <w:r w:rsidRPr="00290356">
        <w:rPr>
          <w:lang w:val="en-GB"/>
        </w:rPr>
        <w:lastRenderedPageBreak/>
        <w:t xml:space="preserve">implement a strict selection process when providing memberships for incoming entrepreneurs, nor did they examine entrepreneurs’ technical skills or their current financial situation. All an entrepreneur needed was an idea and the passion to see that idea through. Although iSpace provided physical, financial, and skills-based support, the staff also focused largely on psychological support. They developed relationships with all entrepreneurs in order to help them find the courage to overcome one of the largest barriers of all: </w:t>
      </w:r>
      <w:r w:rsidRPr="00450306">
        <w:rPr>
          <w:lang w:val="en-GB"/>
        </w:rPr>
        <w:t>fear of failure</w:t>
      </w:r>
      <w:r w:rsidRPr="00290356">
        <w:rPr>
          <w:lang w:val="en-GB"/>
        </w:rPr>
        <w:t xml:space="preserve">. In this way, iSpace was able to help start-ups grow organically and achieve a high success rate; only four entrepreneurs had ever dropped out, and these four had all done so for reasons related to family commitments. </w:t>
      </w:r>
    </w:p>
    <w:p w:rsidR="003753C1" w:rsidRDefault="003753C1" w:rsidP="00C820C7">
      <w:pPr>
        <w:pStyle w:val="BodyTextMain"/>
        <w:rPr>
          <w:lang w:val="en-GB"/>
        </w:rPr>
      </w:pPr>
    </w:p>
    <w:p w:rsidR="00C820C7" w:rsidRPr="00290356" w:rsidRDefault="00C820C7" w:rsidP="00C820C7">
      <w:pPr>
        <w:pStyle w:val="BodyTextMain"/>
        <w:rPr>
          <w:lang w:val="en-GB"/>
        </w:rPr>
      </w:pPr>
    </w:p>
    <w:p w:rsidR="003753C1" w:rsidRPr="00290356" w:rsidRDefault="003753C1" w:rsidP="00C820C7">
      <w:pPr>
        <w:pStyle w:val="Casehead2"/>
        <w:rPr>
          <w:lang w:val="en-GB"/>
        </w:rPr>
      </w:pPr>
      <w:proofErr w:type="gramStart"/>
      <w:r w:rsidRPr="00290356">
        <w:rPr>
          <w:lang w:val="en-GB"/>
        </w:rPr>
        <w:t>iSpace</w:t>
      </w:r>
      <w:proofErr w:type="gramEnd"/>
      <w:r w:rsidRPr="00290356">
        <w:rPr>
          <w:lang w:val="en-GB"/>
        </w:rPr>
        <w:t xml:space="preserve"> Business Model</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gramStart"/>
      <w:r w:rsidRPr="00290356">
        <w:rPr>
          <w:lang w:val="en-GB"/>
        </w:rPr>
        <w:t>iSpace</w:t>
      </w:r>
      <w:proofErr w:type="gramEnd"/>
      <w:r w:rsidRPr="00290356">
        <w:rPr>
          <w:lang w:val="en-GB"/>
        </w:rPr>
        <w:t xml:space="preserve"> operated as a social enterprise with a business model </w:t>
      </w:r>
      <w:proofErr w:type="spellStart"/>
      <w:r w:rsidRPr="00290356">
        <w:rPr>
          <w:lang w:val="en-GB"/>
        </w:rPr>
        <w:t>Eyison</w:t>
      </w:r>
      <w:proofErr w:type="spellEnd"/>
      <w:r w:rsidRPr="00290356">
        <w:rPr>
          <w:lang w:val="en-GB"/>
        </w:rPr>
        <w:t xml:space="preserve"> described as follows: “We help you, and in turn you will help us help other people.” The resources used by each active entrepreneur cost iSpace approximately $2,050 per month. However, iSpace initially charged entrepreneurs only if they chose to rent private office space, at an average cost of $615 per month. Additionally, iSpace provided each entrepreneur with basic funding of $5,000–$10,000, which was supplemented by sponsorships from outside organizations, including Google for Entrepreneurs and the Indigo Trust. Once entrepreneurs had successfully created and scaled their businesses, they would begin to pay iSpace at full cost for the resources they used, giving back to the start-up community. However, </w:t>
      </w:r>
      <w:r>
        <w:rPr>
          <w:lang w:val="en-GB"/>
        </w:rPr>
        <w:t>bec</w:t>
      </w:r>
      <w:r w:rsidRPr="00290356">
        <w:rPr>
          <w:lang w:val="en-GB"/>
        </w:rPr>
        <w:t>a</w:t>
      </w:r>
      <w:r>
        <w:rPr>
          <w:lang w:val="en-GB"/>
        </w:rPr>
        <w:t>u</w:t>
      </w:r>
      <w:r w:rsidRPr="00290356">
        <w:rPr>
          <w:lang w:val="en-GB"/>
        </w:rPr>
        <w:t>s</w:t>
      </w:r>
      <w:r>
        <w:rPr>
          <w:lang w:val="en-GB"/>
        </w:rPr>
        <w:t>e</w:t>
      </w:r>
      <w:r w:rsidRPr="00290356">
        <w:rPr>
          <w:lang w:val="en-GB"/>
        </w:rPr>
        <w:t xml:space="preserve"> iSpace was only four years old, its entrepreneurs had yet to grow large enough to begin giving back financially (see Exhibits </w:t>
      </w:r>
      <w:r>
        <w:rPr>
          <w:lang w:val="en-GB"/>
        </w:rPr>
        <w:t>2</w:t>
      </w:r>
      <w:r w:rsidRPr="00290356">
        <w:rPr>
          <w:lang w:val="en-GB"/>
        </w:rPr>
        <w:t xml:space="preserve"> and </w:t>
      </w:r>
      <w:r>
        <w:rPr>
          <w:lang w:val="en-GB"/>
        </w:rPr>
        <w:t>3</w:t>
      </w:r>
      <w:r w:rsidRPr="00290356">
        <w:rPr>
          <w:lang w:val="en-GB"/>
        </w:rPr>
        <w:t xml:space="preserve">).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proofErr w:type="gramStart"/>
      <w:r w:rsidRPr="00290356">
        <w:rPr>
          <w:lang w:val="en-GB"/>
        </w:rPr>
        <w:t>iSpace</w:t>
      </w:r>
      <w:proofErr w:type="gramEnd"/>
      <w:r w:rsidRPr="00290356">
        <w:rPr>
          <w:lang w:val="en-GB"/>
        </w:rPr>
        <w:t xml:space="preserve"> Entrepreneurs </w:t>
      </w:r>
    </w:p>
    <w:p w:rsidR="003753C1" w:rsidRDefault="003753C1" w:rsidP="00C820C7">
      <w:pPr>
        <w:pStyle w:val="BodyTextMain"/>
        <w:rPr>
          <w:lang w:val="en-GB"/>
        </w:rPr>
      </w:pPr>
    </w:p>
    <w:p w:rsidR="003753C1" w:rsidRPr="00290356" w:rsidRDefault="003753C1" w:rsidP="00C820C7">
      <w:pPr>
        <w:pStyle w:val="BodyTextMain"/>
        <w:rPr>
          <w:lang w:val="en-GB"/>
        </w:rPr>
      </w:pPr>
      <w:r w:rsidRPr="00450306">
        <w:rPr>
          <w:lang w:val="en-GB"/>
        </w:rPr>
        <w:t xml:space="preserve">Emma </w:t>
      </w:r>
      <w:proofErr w:type="spellStart"/>
      <w:r w:rsidRPr="00450306">
        <w:rPr>
          <w:lang w:val="en-GB"/>
        </w:rPr>
        <w:t>Tandoh</w:t>
      </w:r>
      <w:proofErr w:type="spellEnd"/>
      <w:r w:rsidRPr="00290356">
        <w:rPr>
          <w:lang w:val="en-GB"/>
        </w:rPr>
        <w:t xml:space="preserve"> was an iSpace entrepreneur and a mother of two. She had started two entrepreneurial ventures: a digital marketing firm called Outspoken Edge and an online fashion retailer called Love Ankara. A strong sense of community and a network of entrepreneurs brought </w:t>
      </w:r>
      <w:proofErr w:type="spellStart"/>
      <w:r w:rsidRPr="00290356">
        <w:rPr>
          <w:lang w:val="en-GB"/>
        </w:rPr>
        <w:t>Tandoh</w:t>
      </w:r>
      <w:proofErr w:type="spellEnd"/>
      <w:r w:rsidRPr="00290356">
        <w:rPr>
          <w:lang w:val="en-GB"/>
        </w:rPr>
        <w:t xml:space="preserve"> to iSpace with hopes of being able to grow her business and find more clients. </w:t>
      </w:r>
      <w:proofErr w:type="gramStart"/>
      <w:r w:rsidRPr="00290356">
        <w:rPr>
          <w:lang w:val="en-GB"/>
        </w:rPr>
        <w:t>iSpace</w:t>
      </w:r>
      <w:proofErr w:type="gramEnd"/>
      <w:r w:rsidRPr="00290356">
        <w:rPr>
          <w:lang w:val="en-GB"/>
        </w:rPr>
        <w:t xml:space="preserve"> also provided her with the resources to help develop a strong online presence for her companies. However, </w:t>
      </w:r>
      <w:proofErr w:type="spellStart"/>
      <w:r w:rsidRPr="00290356">
        <w:rPr>
          <w:lang w:val="en-GB"/>
        </w:rPr>
        <w:t>Tandoh</w:t>
      </w:r>
      <w:proofErr w:type="spellEnd"/>
      <w:r w:rsidRPr="00290356">
        <w:rPr>
          <w:lang w:val="en-GB"/>
        </w:rPr>
        <w:t xml:space="preserve"> faced many challenges as a woman entrepreneur. As she noted, there was “no balance between work and family—you just have to get it all done. Around male clients, I have to act like a male in order for them to take me seriously. But I think it should be a level playing field.” Additionally, now that her businesses were one year old, </w:t>
      </w:r>
      <w:proofErr w:type="spellStart"/>
      <w:r w:rsidRPr="00290356">
        <w:rPr>
          <w:lang w:val="en-GB"/>
        </w:rPr>
        <w:t>Tandoh</w:t>
      </w:r>
      <w:proofErr w:type="spellEnd"/>
      <w:r w:rsidRPr="00290356">
        <w:rPr>
          <w:lang w:val="en-GB"/>
        </w:rPr>
        <w:t xml:space="preserve"> wanted more funding in order to scale up. She looked forward to continuing to take risks and to learning from her entrepreneurial journey at iSpace. </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spellStart"/>
      <w:r w:rsidRPr="00450306">
        <w:rPr>
          <w:lang w:val="en-GB"/>
        </w:rPr>
        <w:t>Napoa</w:t>
      </w:r>
      <w:proofErr w:type="spellEnd"/>
      <w:r w:rsidRPr="00450306">
        <w:rPr>
          <w:lang w:val="en-GB"/>
        </w:rPr>
        <w:t xml:space="preserve"> </w:t>
      </w:r>
      <w:proofErr w:type="spellStart"/>
      <w:r w:rsidRPr="00450306">
        <w:rPr>
          <w:lang w:val="en-GB"/>
        </w:rPr>
        <w:t>Sandow</w:t>
      </w:r>
      <w:proofErr w:type="spellEnd"/>
      <w:r w:rsidRPr="00290356">
        <w:rPr>
          <w:lang w:val="en-GB"/>
        </w:rPr>
        <w:t xml:space="preserve"> was an 18-year-old senior high school graduate. She was in the late stages of launching her entrepreneurial venture, Ghana Lost and Found, an online platform for posting lost or stolen items</w:t>
      </w:r>
      <w:r>
        <w:rPr>
          <w:lang w:val="en-GB"/>
        </w:rPr>
        <w:t xml:space="preserve">. </w:t>
      </w:r>
      <w:proofErr w:type="spellStart"/>
      <w:r w:rsidRPr="00290356">
        <w:rPr>
          <w:lang w:val="en-GB"/>
        </w:rPr>
        <w:t>Sandow</w:t>
      </w:r>
      <w:proofErr w:type="spellEnd"/>
      <w:r w:rsidRPr="00290356">
        <w:rPr>
          <w:lang w:val="en-GB"/>
        </w:rPr>
        <w:t xml:space="preserve"> chose iSpace because of its technological resources. She was able to quickly learn programming and business development and was even given a laptop within one week of joining the hub. She noted that iSpace was more than just a workspace for her: “I call iSpace my home. Josiah and the staff are very supportive and always available for questions. I hope to give back to iSpace what they have given to me someday.” Despite iSpace’s support, </w:t>
      </w:r>
      <w:proofErr w:type="spellStart"/>
      <w:r w:rsidRPr="00290356">
        <w:rPr>
          <w:lang w:val="en-GB"/>
        </w:rPr>
        <w:t>Sandow</w:t>
      </w:r>
      <w:proofErr w:type="spellEnd"/>
      <w:r w:rsidRPr="00290356">
        <w:rPr>
          <w:lang w:val="en-GB"/>
        </w:rPr>
        <w:t xml:space="preserve"> still faced some barriers to bringing her business idea to life. She lived two hours away by </w:t>
      </w:r>
      <w:proofErr w:type="spellStart"/>
      <w:r w:rsidRPr="00450306">
        <w:rPr>
          <w:i/>
          <w:lang w:val="en-GB"/>
        </w:rPr>
        <w:t>tro</w:t>
      </w:r>
      <w:proofErr w:type="spellEnd"/>
      <w:r w:rsidRPr="00450306">
        <w:rPr>
          <w:i/>
          <w:lang w:val="en-GB"/>
        </w:rPr>
        <w:t xml:space="preserve"> </w:t>
      </w:r>
      <w:proofErr w:type="spellStart"/>
      <w:r w:rsidRPr="00450306">
        <w:rPr>
          <w:i/>
          <w:lang w:val="en-GB"/>
        </w:rPr>
        <w:t>tro</w:t>
      </w:r>
      <w:proofErr w:type="spellEnd"/>
      <w:r w:rsidRPr="00290356">
        <w:rPr>
          <w:rStyle w:val="FootnoteReference"/>
          <w:lang w:val="en-GB"/>
        </w:rPr>
        <w:footnoteReference w:id="13"/>
      </w:r>
      <w:r w:rsidRPr="00290356">
        <w:rPr>
          <w:lang w:val="en-GB"/>
        </w:rPr>
        <w:t xml:space="preserve"> and could not work late because her parents expected her to be</w:t>
      </w:r>
      <w:r>
        <w:rPr>
          <w:lang w:val="en-GB"/>
        </w:rPr>
        <w:t xml:space="preserve"> </w:t>
      </w:r>
      <w:r w:rsidRPr="00290356">
        <w:rPr>
          <w:lang w:val="en-GB"/>
        </w:rPr>
        <w:t xml:space="preserve">home early. She also interned at another organization four days a week, which left her only two days to work on her business. Still, this did not stop her from pursuing her dream of scaling up Ghana Lost and Found across the African continent. </w:t>
      </w:r>
    </w:p>
    <w:p w:rsidR="003753C1" w:rsidRPr="00290356" w:rsidRDefault="003753C1" w:rsidP="00C820C7">
      <w:pPr>
        <w:pStyle w:val="Casehead1"/>
        <w:rPr>
          <w:lang w:val="en-GB"/>
        </w:rPr>
      </w:pPr>
      <w:r w:rsidRPr="00290356">
        <w:rPr>
          <w:lang w:val="en-GB"/>
        </w:rPr>
        <w:lastRenderedPageBreak/>
        <w:t xml:space="preserve">COMPETITION </w:t>
      </w:r>
    </w:p>
    <w:p w:rsidR="003753C1" w:rsidRDefault="003753C1" w:rsidP="00C820C7">
      <w:pPr>
        <w:pStyle w:val="BodyTextMain"/>
        <w:rPr>
          <w:lang w:val="en-GB"/>
        </w:rPr>
      </w:pPr>
    </w:p>
    <w:p w:rsidR="003753C1" w:rsidRDefault="003753C1" w:rsidP="00C820C7">
      <w:pPr>
        <w:pStyle w:val="BodyTextMain"/>
        <w:rPr>
          <w:lang w:val="en-GB"/>
        </w:rPr>
      </w:pPr>
      <w:proofErr w:type="gramStart"/>
      <w:r w:rsidRPr="00883C4B">
        <w:rPr>
          <w:lang w:val="en-GB"/>
        </w:rPr>
        <w:t>iSpace</w:t>
      </w:r>
      <w:proofErr w:type="gramEnd"/>
      <w:r w:rsidRPr="00883C4B">
        <w:rPr>
          <w:lang w:val="en-GB"/>
        </w:rPr>
        <w:t xml:space="preserve"> faced competition from </w:t>
      </w:r>
      <w:r>
        <w:rPr>
          <w:lang w:val="en-GB"/>
        </w:rPr>
        <w:t>several</w:t>
      </w:r>
      <w:r w:rsidRPr="00883C4B">
        <w:rPr>
          <w:lang w:val="en-GB"/>
        </w:rPr>
        <w:t xml:space="preserve"> other start-up hubs, including Impact Hub in Ghana, the international Meltwater Foundation, and some government programs.</w:t>
      </w:r>
    </w:p>
    <w:p w:rsidR="003753C1" w:rsidRDefault="003753C1" w:rsidP="00C820C7">
      <w:pPr>
        <w:pStyle w:val="BodyTextMain"/>
        <w:rPr>
          <w:lang w:val="en-GB"/>
        </w:rPr>
      </w:pPr>
    </w:p>
    <w:p w:rsidR="003753C1" w:rsidRDefault="003753C1" w:rsidP="00C820C7">
      <w:pPr>
        <w:pStyle w:val="BodyTextMain"/>
        <w:rPr>
          <w:lang w:val="en-GB"/>
        </w:rPr>
      </w:pPr>
    </w:p>
    <w:p w:rsidR="003753C1" w:rsidRPr="00290356" w:rsidRDefault="003753C1" w:rsidP="00C820C7">
      <w:pPr>
        <w:pStyle w:val="Casehead2"/>
        <w:rPr>
          <w:lang w:val="en-GB"/>
        </w:rPr>
      </w:pPr>
      <w:r w:rsidRPr="00290356">
        <w:rPr>
          <w:lang w:val="en-GB"/>
        </w:rPr>
        <w:t xml:space="preserve">Impact Hub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Impact Hub, one of iSpace’s direct competitors, was a network of 85 hubs on five continents. Its Accra hub was established in 2013. An entrepreneur could access the resources at Impact Hub for $5 per day, $25 per 10 days, or $50 per month. These resources included co-working spaces, fast wireless Internet </w:t>
      </w:r>
      <w:r>
        <w:rPr>
          <w:lang w:val="en-GB"/>
        </w:rPr>
        <w:t>service</w:t>
      </w:r>
      <w:r w:rsidRPr="00290356">
        <w:rPr>
          <w:lang w:val="en-GB"/>
        </w:rPr>
        <w:t>, meeting rooms, in-house consultants, and networking events. However, attending events like hackathons or using some of the office resources involved additional costs, and the resources were available only 10 hours per day. One of Impact Hub’s unique offerings was its ability to connect entrepreneurs in Ghana with 11,000 other entrepreneurs at its hubs around the world. Impact Hub offered expertise primarily in technology and health innovation.</w:t>
      </w:r>
      <w:r w:rsidRPr="00290356">
        <w:rPr>
          <w:rStyle w:val="FootnoteReference"/>
          <w:lang w:val="en-GB"/>
        </w:rPr>
        <w:footnoteReference w:id="14"/>
      </w:r>
      <w:r w:rsidRPr="00290356">
        <w:rPr>
          <w:lang w:val="en-GB"/>
        </w:rPr>
        <w:t xml:space="preserve">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Meltwater Entrepreneurial School of Technology</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The Meltwater Entrepreneurial School of Technology (MEST) was established in Accra in 2008 with support from the Meltwater Foundation, a global non-profit organization. Each year, MEST identified high-performing graduates from universities within Ghana, Nigeria, Kenya, and South Africa to become Entrepreneurs in Training (EITs). EITs attended a 12-month training program to learn the skills, such as computer programming and </w:t>
      </w:r>
      <w:proofErr w:type="gramStart"/>
      <w:r w:rsidRPr="00290356">
        <w:rPr>
          <w:lang w:val="en-GB"/>
        </w:rPr>
        <w:t>finance, that</w:t>
      </w:r>
      <w:proofErr w:type="gramEnd"/>
      <w:r w:rsidRPr="00290356">
        <w:rPr>
          <w:lang w:val="en-GB"/>
        </w:rPr>
        <w:t xml:space="preserve"> were needed to build a technology start-up. This program was paid for by the Meltwater Foundation. After the EITs completed the program, they entered a business pitch competition for the chance to win seed funding, which ranged from $50,000 to $200,000. EITs also received further support from the MEST Incubator, an office space with consultants and resources such as high-speed Internet. However, support from the incubator was available only to winners of the pitch competition. MEST had invested in over 20 technology start-ups to date.</w:t>
      </w:r>
      <w:r w:rsidRPr="00290356">
        <w:rPr>
          <w:rStyle w:val="FootnoteReference"/>
          <w:lang w:val="en-GB"/>
        </w:rPr>
        <w:footnoteReference w:id="15"/>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Government Programs</w:t>
      </w:r>
    </w:p>
    <w:p w:rsidR="003753C1" w:rsidRPr="00290356" w:rsidRDefault="003753C1" w:rsidP="00C820C7">
      <w:pPr>
        <w:pStyle w:val="BodyTextMain"/>
        <w:rPr>
          <w:lang w:val="en-GB"/>
        </w:rPr>
      </w:pPr>
    </w:p>
    <w:p w:rsidR="003753C1" w:rsidRDefault="003753C1" w:rsidP="00C820C7">
      <w:pPr>
        <w:pStyle w:val="BodyTextMain"/>
        <w:rPr>
          <w:lang w:val="en-GB"/>
        </w:rPr>
      </w:pPr>
      <w:r w:rsidRPr="00290356">
        <w:rPr>
          <w:lang w:val="en-GB"/>
        </w:rPr>
        <w:t>The Ghanaian government had been progressively investing in information and communications technology (ICT) skills-building programs since the early 2000s. Its initiatives included the Ghana Multimedia Incubator Centre, the</w:t>
      </w:r>
      <w:r>
        <w:rPr>
          <w:lang w:val="en-GB"/>
        </w:rPr>
        <w:t xml:space="preserve"> Ghana-India</w:t>
      </w:r>
      <w:r>
        <w:rPr>
          <w:i/>
          <w:lang w:val="en-GB"/>
        </w:rPr>
        <w:t xml:space="preserve"> </w:t>
      </w:r>
      <w:r w:rsidRPr="00290356">
        <w:rPr>
          <w:lang w:val="en-GB"/>
        </w:rPr>
        <w:t>Kofi Annan ICT Centre of Excellence, and the Better Ghana ICT</w:t>
      </w:r>
      <w:r>
        <w:rPr>
          <w:lang w:val="en-GB"/>
        </w:rPr>
        <w:t xml:space="preserve"> </w:t>
      </w:r>
      <w:r w:rsidRPr="00290356">
        <w:rPr>
          <w:lang w:val="en-GB"/>
        </w:rPr>
        <w:t>Project.</w:t>
      </w:r>
      <w:r w:rsidRPr="00290356">
        <w:rPr>
          <w:rStyle w:val="FootnoteReference"/>
          <w:lang w:val="en-GB"/>
        </w:rPr>
        <w:footnoteReference w:id="16"/>
      </w:r>
      <w:r w:rsidRPr="00290356">
        <w:rPr>
          <w:lang w:val="en-GB"/>
        </w:rPr>
        <w:t xml:space="preserve"> However, entrepreneurs were critical of</w:t>
      </w:r>
      <w:r>
        <w:rPr>
          <w:lang w:val="en-GB"/>
        </w:rPr>
        <w:t xml:space="preserve"> the ability of these</w:t>
      </w:r>
      <w:r w:rsidRPr="00290356">
        <w:rPr>
          <w:lang w:val="en-GB"/>
        </w:rPr>
        <w:t xml:space="preserve"> programs to provide necessary resources or to teach the ICT or business skills they needed.</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1"/>
        <w:rPr>
          <w:lang w:val="en-GB"/>
        </w:rPr>
      </w:pPr>
      <w:r w:rsidRPr="00290356">
        <w:rPr>
          <w:lang w:val="en-GB"/>
        </w:rPr>
        <w:t>FUTURE GOALS</w:t>
      </w:r>
      <w:r>
        <w:rPr>
          <w:lang w:val="en-GB"/>
        </w:rPr>
        <w:t xml:space="preserve"> AND GROWTH ALTERNATIVES</w:t>
      </w:r>
    </w:p>
    <w:p w:rsidR="003753C1" w:rsidRPr="00290356" w:rsidRDefault="003753C1" w:rsidP="00C820C7">
      <w:pPr>
        <w:pStyle w:val="BodyTextMain"/>
        <w:rPr>
          <w:lang w:val="en-GB"/>
        </w:rPr>
      </w:pPr>
    </w:p>
    <w:p w:rsidR="003753C1" w:rsidRDefault="003753C1" w:rsidP="00C820C7">
      <w:pPr>
        <w:pStyle w:val="BodyTextMain"/>
        <w:rPr>
          <w:lang w:val="en-GB"/>
        </w:rPr>
      </w:pPr>
      <w:r w:rsidRPr="00290356">
        <w:rPr>
          <w:lang w:val="en-GB"/>
        </w:rPr>
        <w:t>Over the p</w:t>
      </w:r>
      <w:r>
        <w:rPr>
          <w:lang w:val="en-GB"/>
        </w:rPr>
        <w:t>revious</w:t>
      </w:r>
      <w:r w:rsidRPr="00290356">
        <w:rPr>
          <w:lang w:val="en-GB"/>
        </w:rPr>
        <w:t xml:space="preserve"> four years, </w:t>
      </w:r>
      <w:proofErr w:type="spellStart"/>
      <w:r w:rsidRPr="00290356">
        <w:rPr>
          <w:lang w:val="en-GB"/>
        </w:rPr>
        <w:t>Eyison</w:t>
      </w:r>
      <w:proofErr w:type="spellEnd"/>
      <w:r w:rsidRPr="00290356">
        <w:rPr>
          <w:lang w:val="en-GB"/>
        </w:rPr>
        <w:t xml:space="preserve"> had enjoyed watching iSpace grow from two to 14 staff members while expanding its programs and entrepreneur base. However, a large number of unserved potential entrepreneurs still existed in Accra and elsewhere. In the next two years, </w:t>
      </w:r>
      <w:proofErr w:type="spellStart"/>
      <w:r w:rsidRPr="00290356">
        <w:rPr>
          <w:lang w:val="en-GB"/>
        </w:rPr>
        <w:t>Eyison</w:t>
      </w:r>
      <w:proofErr w:type="spellEnd"/>
      <w:r w:rsidRPr="00290356">
        <w:rPr>
          <w:lang w:val="en-GB"/>
        </w:rPr>
        <w:t xml:space="preserve"> wanted to reach a far </w:t>
      </w:r>
      <w:r w:rsidRPr="00290356">
        <w:rPr>
          <w:lang w:val="en-GB"/>
        </w:rPr>
        <w:lastRenderedPageBreak/>
        <w:t xml:space="preserve">larger number of these entrepreneurs. Although he wanted to put Ghana first, he also dreamed of being the first African-origin hub to go international. </w:t>
      </w:r>
    </w:p>
    <w:p w:rsidR="003753C1"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 xml:space="preserve">Attracting More Entrepreneurs in Accra </w:t>
      </w:r>
    </w:p>
    <w:p w:rsidR="003753C1" w:rsidRPr="00290356" w:rsidRDefault="003753C1" w:rsidP="00C820C7">
      <w:pPr>
        <w:pStyle w:val="BodyTextMain"/>
        <w:rPr>
          <w:lang w:val="en-GB"/>
        </w:rPr>
      </w:pPr>
    </w:p>
    <w:p w:rsidR="003753C1" w:rsidRPr="006A5EAE" w:rsidRDefault="003753C1" w:rsidP="00C820C7">
      <w:pPr>
        <w:pStyle w:val="BodyTextMain"/>
        <w:rPr>
          <w:spacing w:val="-2"/>
          <w:lang w:val="en-GB"/>
        </w:rPr>
      </w:pPr>
      <w:r w:rsidRPr="006A5EAE">
        <w:rPr>
          <w:spacing w:val="-2"/>
          <w:lang w:val="en-GB"/>
        </w:rPr>
        <w:t xml:space="preserve">With so much of Ghana’s population in Accra, </w:t>
      </w:r>
      <w:proofErr w:type="spellStart"/>
      <w:r w:rsidRPr="006A5EAE">
        <w:rPr>
          <w:spacing w:val="-2"/>
          <w:lang w:val="en-GB"/>
        </w:rPr>
        <w:t>Eyison</w:t>
      </w:r>
      <w:proofErr w:type="spellEnd"/>
      <w:r w:rsidRPr="006A5EAE">
        <w:rPr>
          <w:spacing w:val="-2"/>
          <w:lang w:val="en-GB"/>
        </w:rPr>
        <w:t xml:space="preserve"> knew that there were still potential entrepreneurs who had not been reached. He tried to think of ways to attract new entrepreneurs by helping them overcome the barriers some of his current entrepreneurs were facing. He identified two potential programs.</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First, </w:t>
      </w:r>
      <w:proofErr w:type="spellStart"/>
      <w:r w:rsidRPr="00290356">
        <w:rPr>
          <w:lang w:val="en-GB"/>
        </w:rPr>
        <w:t>Eyison</w:t>
      </w:r>
      <w:proofErr w:type="spellEnd"/>
      <w:r w:rsidRPr="00290356">
        <w:rPr>
          <w:lang w:val="en-GB"/>
        </w:rPr>
        <w:t xml:space="preserve"> thought of creating a family program. For example, many younger entrepreneurs who still lived with their parents, like </w:t>
      </w:r>
      <w:proofErr w:type="spellStart"/>
      <w:r w:rsidRPr="00290356">
        <w:rPr>
          <w:lang w:val="en-GB"/>
        </w:rPr>
        <w:t>Sandow</w:t>
      </w:r>
      <w:proofErr w:type="spellEnd"/>
      <w:r w:rsidRPr="00290356">
        <w:rPr>
          <w:lang w:val="en-GB"/>
        </w:rPr>
        <w:t xml:space="preserve">, had to be home early or could not to join an organization at all. By holding a Family Day, </w:t>
      </w:r>
      <w:proofErr w:type="spellStart"/>
      <w:r w:rsidRPr="00290356">
        <w:rPr>
          <w:lang w:val="en-GB"/>
        </w:rPr>
        <w:t>Eyison</w:t>
      </w:r>
      <w:proofErr w:type="spellEnd"/>
      <w:r w:rsidRPr="00290356">
        <w:rPr>
          <w:lang w:val="en-GB"/>
        </w:rPr>
        <w:t xml:space="preserve"> could allow family members to come in, meet the staff, and see the great work that young entrepreneurs were doing. This way, families would feel comfortable allowing their younger family member</w:t>
      </w:r>
      <w:r>
        <w:rPr>
          <w:lang w:val="en-GB"/>
        </w:rPr>
        <w:t>s</w:t>
      </w:r>
      <w:r w:rsidRPr="00290356">
        <w:rPr>
          <w:lang w:val="en-GB"/>
        </w:rPr>
        <w:t xml:space="preserve"> to be at iSpace. </w:t>
      </w:r>
      <w:proofErr w:type="spellStart"/>
      <w:r w:rsidRPr="00290356">
        <w:rPr>
          <w:lang w:val="en-GB"/>
        </w:rPr>
        <w:t>Eyison</w:t>
      </w:r>
      <w:proofErr w:type="spellEnd"/>
      <w:r w:rsidRPr="00290356">
        <w:rPr>
          <w:lang w:val="en-GB"/>
        </w:rPr>
        <w:t xml:space="preserve"> felt that three Family Days per year would be sufficient. The costs for each day would be $500 for food and drink and $100 for promotional materials.</w:t>
      </w:r>
      <w:r w:rsidRPr="00290356" w:rsidDel="00373E5A">
        <w:rPr>
          <w:rStyle w:val="FootnoteReference"/>
          <w:lang w:val="en-GB"/>
        </w:rPr>
        <w:t xml:space="preserve">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Second, </w:t>
      </w:r>
      <w:proofErr w:type="spellStart"/>
      <w:r w:rsidRPr="00290356">
        <w:rPr>
          <w:lang w:val="en-GB"/>
        </w:rPr>
        <w:t>Eyison</w:t>
      </w:r>
      <w:proofErr w:type="spellEnd"/>
      <w:r w:rsidRPr="00290356">
        <w:rPr>
          <w:lang w:val="en-GB"/>
        </w:rPr>
        <w:t xml:space="preserve"> was considering a childcare program for entrepreneurs with families, especially young mothers. Offering on-site childcare would relieve the entrepreneurs of their family duties while still allowing them to be close to their children during the work day. One childcare worker, working four days per week for 48 weeks per year, would cost $2.10 per day.</w:t>
      </w:r>
      <w:r w:rsidRPr="00290356">
        <w:rPr>
          <w:rStyle w:val="FootnoteReference"/>
          <w:lang w:val="en-GB"/>
        </w:rPr>
        <w:footnoteReference w:id="17"/>
      </w:r>
      <w:r w:rsidRPr="00290356">
        <w:rPr>
          <w:lang w:val="en-GB"/>
        </w:rPr>
        <w:t xml:space="preserve"> </w:t>
      </w:r>
      <w:proofErr w:type="spellStart"/>
      <w:r w:rsidRPr="00290356">
        <w:rPr>
          <w:lang w:val="en-GB"/>
        </w:rPr>
        <w:t>Eyison</w:t>
      </w:r>
      <w:proofErr w:type="spellEnd"/>
      <w:r w:rsidRPr="00290356">
        <w:rPr>
          <w:lang w:val="en-GB"/>
        </w:rPr>
        <w:t xml:space="preserve"> knew that these programs would be beneficial for his entrepreneurs, but he was unsure how many entrepreneurs it would attract or how he would market it.</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 xml:space="preserve">Expanding into University Campuses </w:t>
      </w:r>
    </w:p>
    <w:p w:rsidR="003753C1" w:rsidRPr="00290356" w:rsidRDefault="003753C1" w:rsidP="00C820C7">
      <w:pPr>
        <w:pStyle w:val="BodyTextMain"/>
        <w:rPr>
          <w:lang w:val="en-GB"/>
        </w:rPr>
      </w:pPr>
    </w:p>
    <w:p w:rsidR="003753C1" w:rsidRDefault="003753C1" w:rsidP="00C820C7">
      <w:pPr>
        <w:pStyle w:val="BodyTextMain"/>
        <w:rPr>
          <w:lang w:val="en-GB"/>
        </w:rPr>
      </w:pPr>
      <w:proofErr w:type="spellStart"/>
      <w:r w:rsidRPr="00290356">
        <w:rPr>
          <w:lang w:val="en-GB"/>
        </w:rPr>
        <w:t>Eyison</w:t>
      </w:r>
      <w:proofErr w:type="spellEnd"/>
      <w:r w:rsidRPr="00290356">
        <w:rPr>
          <w:lang w:val="en-GB"/>
        </w:rPr>
        <w:t xml:space="preserve"> also considered reaching out to university students and encouraging them to pursue entrepreneurial ventures. To attract this target market, he would need to replicate the iSpace hub on a university campus. Staff could then interact directly with students and tailor skills-based programs to students’ needs. </w:t>
      </w:r>
      <w:proofErr w:type="spellStart"/>
      <w:r w:rsidRPr="00290356">
        <w:rPr>
          <w:lang w:val="en-GB"/>
        </w:rPr>
        <w:t>Eyison</w:t>
      </w:r>
      <w:proofErr w:type="spellEnd"/>
      <w:r w:rsidRPr="00290356">
        <w:rPr>
          <w:lang w:val="en-GB"/>
        </w:rPr>
        <w:t xml:space="preserve"> was considering Wisconsin International University College in Accra. The university had over 4,000 students and offered a range of programs, including business, information technology, and the social sciences.</w:t>
      </w:r>
      <w:r w:rsidRPr="00290356">
        <w:rPr>
          <w:rStyle w:val="FootnoteReference"/>
          <w:lang w:val="en-GB"/>
        </w:rPr>
        <w:footnoteReference w:id="18"/>
      </w:r>
      <w:r w:rsidRPr="00290356">
        <w:rPr>
          <w:lang w:val="en-GB"/>
        </w:rPr>
        <w:t xml:space="preserve"> If he were successful, </w:t>
      </w:r>
      <w:proofErr w:type="spellStart"/>
      <w:r w:rsidRPr="00290356">
        <w:rPr>
          <w:lang w:val="en-GB"/>
        </w:rPr>
        <w:t>Eyison</w:t>
      </w:r>
      <w:proofErr w:type="spellEnd"/>
      <w:r w:rsidRPr="00290356">
        <w:rPr>
          <w:lang w:val="en-GB"/>
        </w:rPr>
        <w:t xml:space="preserve"> would continue expanding onto other university campuses throughout Ghana.</w:t>
      </w:r>
    </w:p>
    <w:p w:rsidR="00C820C7" w:rsidRPr="00290356" w:rsidRDefault="00C820C7" w:rsidP="00C820C7">
      <w:pPr>
        <w:pStyle w:val="BodyTextMain"/>
        <w:rPr>
          <w:lang w:val="en-GB"/>
        </w:rPr>
      </w:pPr>
    </w:p>
    <w:p w:rsidR="003753C1" w:rsidRPr="00290356" w:rsidRDefault="003753C1" w:rsidP="00C820C7">
      <w:pPr>
        <w:pStyle w:val="BodyTextMain"/>
        <w:rPr>
          <w:lang w:val="en-GB"/>
        </w:rPr>
      </w:pPr>
      <w:proofErr w:type="spellStart"/>
      <w:r w:rsidRPr="00290356">
        <w:rPr>
          <w:lang w:val="en-GB"/>
        </w:rPr>
        <w:t>Eyison</w:t>
      </w:r>
      <w:proofErr w:type="spellEnd"/>
      <w:r w:rsidRPr="00290356">
        <w:rPr>
          <w:lang w:val="en-GB"/>
        </w:rPr>
        <w:t xml:space="preserve"> expected to attract 30 students in the first year. Each student would be given $5,000 for an entrepreneurial venture. </w:t>
      </w:r>
      <w:proofErr w:type="spellStart"/>
      <w:r w:rsidRPr="00290356">
        <w:rPr>
          <w:lang w:val="en-GB"/>
        </w:rPr>
        <w:t>Eyison</w:t>
      </w:r>
      <w:proofErr w:type="spellEnd"/>
      <w:r w:rsidRPr="00290356">
        <w:rPr>
          <w:lang w:val="en-GB"/>
        </w:rPr>
        <w:t xml:space="preserve"> would also have to pay rent ($35,000 per year) to the university. Utilities would amount to $1,000 per month, and staff wages would amount to $44,000 per year. </w:t>
      </w:r>
      <w:proofErr w:type="spellStart"/>
      <w:r w:rsidRPr="00290356">
        <w:rPr>
          <w:lang w:val="en-GB"/>
        </w:rPr>
        <w:t>Eyison</w:t>
      </w:r>
      <w:proofErr w:type="spellEnd"/>
      <w:r w:rsidRPr="00290356">
        <w:rPr>
          <w:lang w:val="en-GB"/>
        </w:rPr>
        <w:t xml:space="preserve"> expected the number of active entrepreneurs to grow by 10 per cent each year for the next five years.</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Although he was excited about the prospect of university partnerships, </w:t>
      </w:r>
      <w:proofErr w:type="spellStart"/>
      <w:r w:rsidRPr="00290356">
        <w:rPr>
          <w:lang w:val="en-GB"/>
        </w:rPr>
        <w:t>Eyison</w:t>
      </w:r>
      <w:proofErr w:type="spellEnd"/>
      <w:r w:rsidRPr="00290356">
        <w:rPr>
          <w:lang w:val="en-GB"/>
        </w:rPr>
        <w:t xml:space="preserve"> was also concerned about some barriers. He worried that universities did not share the iSpace’s vision in terms of supporting students beyond short-term skills building. He also expected that reaching out and creating the hub would be a slow and bureaucratic process. For example, Joseph </w:t>
      </w:r>
      <w:proofErr w:type="spellStart"/>
      <w:r w:rsidRPr="00290356">
        <w:rPr>
          <w:lang w:val="en-GB"/>
        </w:rPr>
        <w:t>Darkwah</w:t>
      </w:r>
      <w:proofErr w:type="spellEnd"/>
      <w:r w:rsidRPr="00290356">
        <w:rPr>
          <w:lang w:val="en-GB"/>
        </w:rPr>
        <w:t>, a university faculty member commented that “you have to be aware that a lot of universities have their own computer program. And like our university, we have our own computer programming class led by our senior students.”</w:t>
      </w:r>
    </w:p>
    <w:p w:rsidR="003753C1" w:rsidRPr="00290356" w:rsidRDefault="003753C1" w:rsidP="00C820C7">
      <w:pPr>
        <w:pStyle w:val="Casehead2"/>
        <w:rPr>
          <w:lang w:val="en-GB"/>
        </w:rPr>
      </w:pPr>
      <w:r w:rsidRPr="00290356">
        <w:rPr>
          <w:lang w:val="en-GB"/>
        </w:rPr>
        <w:lastRenderedPageBreak/>
        <w:t>Working with Government Programs</w:t>
      </w:r>
    </w:p>
    <w:p w:rsidR="003753C1" w:rsidRPr="00290356" w:rsidRDefault="003753C1" w:rsidP="00C820C7">
      <w:pPr>
        <w:pStyle w:val="BodyTextMain"/>
        <w:rPr>
          <w:lang w:val="en-GB"/>
        </w:rPr>
      </w:pPr>
    </w:p>
    <w:p w:rsidR="003753C1" w:rsidRPr="00290356" w:rsidRDefault="003753C1" w:rsidP="00C820C7">
      <w:pPr>
        <w:pStyle w:val="BodyTextMain"/>
        <w:rPr>
          <w:lang w:val="en-GB"/>
        </w:rPr>
      </w:pPr>
      <w:proofErr w:type="spellStart"/>
      <w:r w:rsidRPr="00290356">
        <w:rPr>
          <w:lang w:val="en-GB"/>
        </w:rPr>
        <w:t>Eyison</w:t>
      </w:r>
      <w:proofErr w:type="spellEnd"/>
      <w:r w:rsidRPr="00290356">
        <w:rPr>
          <w:lang w:val="en-GB"/>
        </w:rPr>
        <w:t xml:space="preserve"> also considered shifting his focus to work directly with the government. Although the government offered several ICT training programs, </w:t>
      </w:r>
      <w:proofErr w:type="spellStart"/>
      <w:r w:rsidRPr="00290356">
        <w:rPr>
          <w:lang w:val="en-GB"/>
        </w:rPr>
        <w:t>Eyison</w:t>
      </w:r>
      <w:proofErr w:type="spellEnd"/>
      <w:r w:rsidRPr="00290356">
        <w:rPr>
          <w:lang w:val="en-GB"/>
        </w:rPr>
        <w:t xml:space="preserve"> felt that government </w:t>
      </w:r>
      <w:proofErr w:type="gramStart"/>
      <w:r w:rsidRPr="00290356">
        <w:rPr>
          <w:lang w:val="en-GB"/>
        </w:rPr>
        <w:t>staff were</w:t>
      </w:r>
      <w:proofErr w:type="gramEnd"/>
      <w:r w:rsidRPr="00290356">
        <w:rPr>
          <w:lang w:val="en-GB"/>
        </w:rPr>
        <w:t xml:space="preserve"> not properly equipped to teach or make a long-term impact on young technology entrepreneurs. </w:t>
      </w:r>
      <w:proofErr w:type="spellStart"/>
      <w:r w:rsidRPr="00290356">
        <w:rPr>
          <w:lang w:val="en-GB"/>
        </w:rPr>
        <w:t>Eyison’s</w:t>
      </w:r>
      <w:proofErr w:type="spellEnd"/>
      <w:r w:rsidRPr="00290356">
        <w:rPr>
          <w:lang w:val="en-GB"/>
        </w:rPr>
        <w:t xml:space="preserve"> solution was a train-the-trainer initiative, in which iSpace staff would train government staff to run programs similar to those at iSpace. </w:t>
      </w:r>
      <w:proofErr w:type="spellStart"/>
      <w:r w:rsidRPr="00290356">
        <w:rPr>
          <w:lang w:val="en-GB"/>
        </w:rPr>
        <w:t>Eyison</w:t>
      </w:r>
      <w:proofErr w:type="spellEnd"/>
      <w:r w:rsidRPr="00290356">
        <w:rPr>
          <w:lang w:val="en-GB"/>
        </w:rPr>
        <w:t xml:space="preserve"> would have to pay five trainers, and each trainer would cost $8,800 per year. </w:t>
      </w:r>
      <w:proofErr w:type="spellStart"/>
      <w:r w:rsidRPr="00290356">
        <w:rPr>
          <w:lang w:val="en-GB"/>
        </w:rPr>
        <w:t>Eyison</w:t>
      </w:r>
      <w:proofErr w:type="spellEnd"/>
      <w:r w:rsidRPr="00290356">
        <w:rPr>
          <w:lang w:val="en-GB"/>
        </w:rPr>
        <w:t xml:space="preserve"> was unsure about what additional costs would be incurred during his negotiations with the government. He saw potential in this option to leverage his working relationship with the government to influence more policy change. However, he was also wary: after he approached government representatives with his idea, they could try to copy the iSpace model on their own and could implement it poorly.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2"/>
        <w:rPr>
          <w:lang w:val="en-GB"/>
        </w:rPr>
      </w:pPr>
      <w:r w:rsidRPr="00290356">
        <w:rPr>
          <w:lang w:val="en-GB"/>
        </w:rPr>
        <w:t>Expanding into other Regions or Countries</w:t>
      </w:r>
    </w:p>
    <w:p w:rsidR="003753C1" w:rsidRPr="00290356" w:rsidRDefault="003753C1" w:rsidP="00C820C7">
      <w:pPr>
        <w:pStyle w:val="BodyTextMain"/>
        <w:rPr>
          <w:lang w:val="en-GB"/>
        </w:rPr>
      </w:pPr>
    </w:p>
    <w:p w:rsidR="003753C1" w:rsidRPr="006A5EAE" w:rsidRDefault="003753C1" w:rsidP="00C820C7">
      <w:pPr>
        <w:pStyle w:val="BodyTextMain"/>
        <w:rPr>
          <w:spacing w:val="-2"/>
          <w:lang w:val="en-GB"/>
        </w:rPr>
      </w:pPr>
      <w:proofErr w:type="spellStart"/>
      <w:r w:rsidRPr="006A5EAE">
        <w:rPr>
          <w:spacing w:val="-2"/>
          <w:lang w:val="en-GB"/>
        </w:rPr>
        <w:t>Eyison</w:t>
      </w:r>
      <w:proofErr w:type="spellEnd"/>
      <w:r w:rsidRPr="006A5EAE">
        <w:rPr>
          <w:spacing w:val="-2"/>
          <w:lang w:val="en-GB"/>
        </w:rPr>
        <w:t xml:space="preserve"> could also create new iSpace hubs in other locations. First, he could expand to other regions in Ghana, including urban centres in populated regions like Kumasi or rural regions that currently had no established start-up hubs at all. </w:t>
      </w:r>
      <w:proofErr w:type="spellStart"/>
      <w:r w:rsidRPr="006A5EAE">
        <w:rPr>
          <w:spacing w:val="-2"/>
          <w:lang w:val="en-GB"/>
        </w:rPr>
        <w:t>Eyison</w:t>
      </w:r>
      <w:proofErr w:type="spellEnd"/>
      <w:r w:rsidRPr="006A5EAE">
        <w:rPr>
          <w:spacing w:val="-2"/>
          <w:lang w:val="en-GB"/>
        </w:rPr>
        <w:t xml:space="preserve"> could also leverage his international working experience to establish iSpace hubs in other African countries or even in the United Kingdom. Establishing each new hub would incur the same costs as the current iSpace hub, although </w:t>
      </w:r>
      <w:proofErr w:type="spellStart"/>
      <w:r w:rsidRPr="006A5EAE">
        <w:rPr>
          <w:spacing w:val="-2"/>
          <w:lang w:val="en-GB"/>
        </w:rPr>
        <w:t>Eyison</w:t>
      </w:r>
      <w:proofErr w:type="spellEnd"/>
      <w:r w:rsidRPr="006A5EAE">
        <w:rPr>
          <w:spacing w:val="-2"/>
          <w:lang w:val="en-GB"/>
        </w:rPr>
        <w:t xml:space="preserve"> expected to incur additional costs for travel and training when first establishing a hub, and these would amount to approximately $5,000. </w:t>
      </w:r>
    </w:p>
    <w:p w:rsidR="003753C1" w:rsidRPr="00290356" w:rsidRDefault="003753C1" w:rsidP="00C820C7">
      <w:pPr>
        <w:pStyle w:val="BodyTextMain"/>
        <w:rPr>
          <w:lang w:val="en-GB"/>
        </w:rPr>
      </w:pPr>
    </w:p>
    <w:p w:rsidR="003753C1" w:rsidRPr="00290356" w:rsidRDefault="003753C1" w:rsidP="00C820C7">
      <w:pPr>
        <w:pStyle w:val="BodyTextMain"/>
        <w:rPr>
          <w:lang w:val="en-GB"/>
        </w:rPr>
      </w:pPr>
    </w:p>
    <w:p w:rsidR="003753C1" w:rsidRPr="00290356" w:rsidRDefault="003753C1" w:rsidP="00C820C7">
      <w:pPr>
        <w:pStyle w:val="Casehead1"/>
        <w:rPr>
          <w:lang w:val="en-GB"/>
        </w:rPr>
      </w:pPr>
      <w:r w:rsidRPr="00290356">
        <w:rPr>
          <w:lang w:val="en-GB"/>
        </w:rPr>
        <w:t xml:space="preserve">FINANCIAL AND HUMAN RESOURCES CONSIDERATIONS </w:t>
      </w:r>
    </w:p>
    <w:p w:rsidR="003753C1" w:rsidRPr="00290356" w:rsidRDefault="003753C1" w:rsidP="00C820C7">
      <w:pPr>
        <w:pStyle w:val="BodyTextMain"/>
        <w:rPr>
          <w:lang w:val="en-GB"/>
        </w:rPr>
      </w:pPr>
    </w:p>
    <w:p w:rsidR="003753C1" w:rsidRPr="00290356" w:rsidRDefault="003753C1" w:rsidP="00C820C7">
      <w:pPr>
        <w:pStyle w:val="BodyTextMain"/>
        <w:rPr>
          <w:lang w:val="en-GB"/>
        </w:rPr>
      </w:pPr>
      <w:r w:rsidRPr="00290356">
        <w:rPr>
          <w:lang w:val="en-GB"/>
        </w:rPr>
        <w:t xml:space="preserve">The ventures of iSpace’s current entrepreneurs were not mature enough for them to start paying full cost for the resources they used at iSpace. As a result, </w:t>
      </w:r>
      <w:proofErr w:type="spellStart"/>
      <w:r w:rsidRPr="00290356">
        <w:rPr>
          <w:lang w:val="en-GB"/>
        </w:rPr>
        <w:t>Eyison</w:t>
      </w:r>
      <w:proofErr w:type="spellEnd"/>
      <w:r w:rsidRPr="00290356">
        <w:rPr>
          <w:lang w:val="en-GB"/>
        </w:rPr>
        <w:t xml:space="preserve"> would have to seek additional funding if he wished to expand. He could ask his current sponsors for additional funds or he could seek a loan from the bank. He could also begin charging his current entrepreneurs more for the resources they used. </w:t>
      </w:r>
      <w:proofErr w:type="spellStart"/>
      <w:r w:rsidRPr="00290356">
        <w:rPr>
          <w:lang w:val="en-GB"/>
        </w:rPr>
        <w:t>Eyison</w:t>
      </w:r>
      <w:proofErr w:type="spellEnd"/>
      <w:r w:rsidRPr="00290356">
        <w:rPr>
          <w:lang w:val="en-GB"/>
        </w:rPr>
        <w:t xml:space="preserve"> was unsure which of these financing options were viable. Was iSpace currently in a good financial position to expand?</w:t>
      </w:r>
    </w:p>
    <w:p w:rsidR="003753C1" w:rsidRPr="00290356" w:rsidRDefault="003753C1" w:rsidP="00C820C7">
      <w:pPr>
        <w:pStyle w:val="BodyTextMain"/>
        <w:rPr>
          <w:lang w:val="en-GB"/>
        </w:rPr>
      </w:pPr>
    </w:p>
    <w:p w:rsidR="003753C1" w:rsidRDefault="003753C1" w:rsidP="00C820C7">
      <w:pPr>
        <w:pStyle w:val="BodyTextMain"/>
        <w:rPr>
          <w:lang w:val="en-GB"/>
        </w:rPr>
      </w:pPr>
      <w:proofErr w:type="spellStart"/>
      <w:r w:rsidRPr="00290356">
        <w:rPr>
          <w:lang w:val="en-GB"/>
        </w:rPr>
        <w:t>Eyison</w:t>
      </w:r>
      <w:proofErr w:type="spellEnd"/>
      <w:r w:rsidRPr="00290356">
        <w:rPr>
          <w:lang w:val="en-GB"/>
        </w:rPr>
        <w:t xml:space="preserve"> was also concerned about preserving the iSpace culture if he chose to expand. </w:t>
      </w:r>
      <w:proofErr w:type="gramStart"/>
      <w:r w:rsidRPr="00290356">
        <w:rPr>
          <w:lang w:val="en-GB"/>
        </w:rPr>
        <w:t>iSpace</w:t>
      </w:r>
      <w:proofErr w:type="gramEnd"/>
      <w:r w:rsidRPr="00290356">
        <w:rPr>
          <w:lang w:val="en-GB"/>
        </w:rPr>
        <w:t xml:space="preserve"> was currently successful because it was a tight-knit community, able to build supportive long-term relationships with entrepreneurs. Could </w:t>
      </w:r>
      <w:proofErr w:type="spellStart"/>
      <w:r w:rsidRPr="00290356">
        <w:rPr>
          <w:lang w:val="en-GB"/>
        </w:rPr>
        <w:t>Eyison</w:t>
      </w:r>
      <w:proofErr w:type="spellEnd"/>
      <w:r w:rsidRPr="00290356">
        <w:rPr>
          <w:lang w:val="en-GB"/>
        </w:rPr>
        <w:t xml:space="preserve"> trust new managers, staff, and trainers to create the same culture elsewhere? </w:t>
      </w:r>
    </w:p>
    <w:p w:rsidR="004D04E1" w:rsidRDefault="004D04E1" w:rsidP="00C820C7">
      <w:pPr>
        <w:pStyle w:val="BodyTextMain"/>
        <w:rPr>
          <w:lang w:val="en-GB"/>
        </w:rPr>
      </w:pPr>
    </w:p>
    <w:p w:rsidR="004D04E1" w:rsidRDefault="004D04E1" w:rsidP="00C820C7">
      <w:pPr>
        <w:pStyle w:val="BodyTextMain"/>
        <w:rPr>
          <w:lang w:val="en-GB"/>
        </w:rPr>
      </w:pPr>
    </w:p>
    <w:p w:rsidR="003753C1" w:rsidRPr="00290356" w:rsidRDefault="003753C1" w:rsidP="00C820C7">
      <w:pPr>
        <w:pStyle w:val="Casehead1"/>
        <w:rPr>
          <w:lang w:val="en-GB"/>
        </w:rPr>
      </w:pPr>
      <w:r w:rsidRPr="00290356">
        <w:rPr>
          <w:lang w:val="en-GB"/>
        </w:rPr>
        <w:t>CONCLUSION</w:t>
      </w:r>
    </w:p>
    <w:p w:rsidR="003753C1" w:rsidRPr="00290356" w:rsidRDefault="003753C1" w:rsidP="00C820C7">
      <w:pPr>
        <w:pStyle w:val="BodyTextMain"/>
        <w:rPr>
          <w:lang w:val="en-GB"/>
        </w:rPr>
      </w:pPr>
    </w:p>
    <w:p w:rsidR="003753C1" w:rsidRDefault="003753C1" w:rsidP="00C820C7">
      <w:pPr>
        <w:pStyle w:val="BodyTextMain"/>
        <w:rPr>
          <w:lang w:val="en-GB"/>
        </w:rPr>
      </w:pPr>
      <w:proofErr w:type="spellStart"/>
      <w:r w:rsidRPr="00290356">
        <w:rPr>
          <w:lang w:val="en-GB"/>
        </w:rPr>
        <w:t>Eyison</w:t>
      </w:r>
      <w:proofErr w:type="spellEnd"/>
      <w:r w:rsidRPr="00290356">
        <w:rPr>
          <w:lang w:val="en-GB"/>
        </w:rPr>
        <w:t xml:space="preserve"> left the office that evening both exhausted and excited. He knew that he wanted to implement his growth strategy during the coming summer, and his </w:t>
      </w:r>
      <w:proofErr w:type="gramStart"/>
      <w:r w:rsidRPr="00290356">
        <w:rPr>
          <w:lang w:val="en-GB"/>
        </w:rPr>
        <w:t>staff were</w:t>
      </w:r>
      <w:proofErr w:type="gramEnd"/>
      <w:r w:rsidRPr="00290356">
        <w:rPr>
          <w:lang w:val="en-GB"/>
        </w:rPr>
        <w:t xml:space="preserve"> anxious to hear about his plans. How many other </w:t>
      </w:r>
      <w:proofErr w:type="spellStart"/>
      <w:r w:rsidRPr="00290356">
        <w:rPr>
          <w:lang w:val="en-GB"/>
        </w:rPr>
        <w:t>Tandohs</w:t>
      </w:r>
      <w:proofErr w:type="spellEnd"/>
      <w:r w:rsidRPr="00290356">
        <w:rPr>
          <w:lang w:val="en-GB"/>
        </w:rPr>
        <w:t xml:space="preserve"> and </w:t>
      </w:r>
      <w:proofErr w:type="spellStart"/>
      <w:r w:rsidRPr="00290356">
        <w:rPr>
          <w:lang w:val="en-GB"/>
        </w:rPr>
        <w:t>Sandows</w:t>
      </w:r>
      <w:proofErr w:type="spellEnd"/>
      <w:r w:rsidRPr="00290356">
        <w:rPr>
          <w:lang w:val="en-GB"/>
        </w:rPr>
        <w:t xml:space="preserve"> were out there, and how could he best reach them? There was one thing he knew for sure: like he told his entrepreneurs, he could not let the </w:t>
      </w:r>
      <w:r w:rsidRPr="006A0EE8">
        <w:rPr>
          <w:lang w:val="en-GB"/>
        </w:rPr>
        <w:t>fear of failure</w:t>
      </w:r>
      <w:r w:rsidRPr="00290356">
        <w:rPr>
          <w:lang w:val="en-GB"/>
        </w:rPr>
        <w:t xml:space="preserve"> hold iSpace back.</w:t>
      </w:r>
    </w:p>
    <w:p w:rsidR="003753C1" w:rsidRDefault="003753C1" w:rsidP="00C820C7">
      <w:pPr>
        <w:pStyle w:val="BodyTextMain"/>
        <w:rPr>
          <w:lang w:val="en-GB"/>
        </w:rPr>
      </w:pPr>
    </w:p>
    <w:p w:rsidR="003753C1" w:rsidRDefault="003753C1" w:rsidP="00C820C7">
      <w:pPr>
        <w:pStyle w:val="BodyTextMain"/>
        <w:rPr>
          <w:lang w:val="en-GB"/>
        </w:rPr>
      </w:pPr>
      <w:r>
        <w:rPr>
          <w:lang w:val="en-GB"/>
        </w:rPr>
        <w:br w:type="page"/>
      </w:r>
    </w:p>
    <w:p w:rsidR="003753C1" w:rsidRPr="00290356" w:rsidRDefault="003753C1" w:rsidP="00C820C7">
      <w:pPr>
        <w:pStyle w:val="Casehead1"/>
        <w:jc w:val="center"/>
        <w:rPr>
          <w:lang w:val="en-GB"/>
        </w:rPr>
      </w:pPr>
      <w:r w:rsidRPr="00290356">
        <w:rPr>
          <w:lang w:val="en-GB"/>
        </w:rPr>
        <w:lastRenderedPageBreak/>
        <w:t>EXHIBIT 1: CO-WORKING SPACE FOR ENTREPRENEURS</w:t>
      </w:r>
    </w:p>
    <w:p w:rsidR="003753C1" w:rsidRPr="00CB7906" w:rsidRDefault="003753C1" w:rsidP="00C820C7">
      <w:pPr>
        <w:pStyle w:val="BodyTextMain"/>
        <w:rPr>
          <w:lang w:val="en-GB"/>
        </w:rPr>
      </w:pPr>
    </w:p>
    <w:p w:rsidR="003753C1" w:rsidRPr="00C820C7" w:rsidRDefault="003753C1" w:rsidP="00C820C7">
      <w:pPr>
        <w:jc w:val="center"/>
        <w:rPr>
          <w:rStyle w:val="BodyTextMainChar"/>
        </w:rPr>
      </w:pPr>
      <w:r w:rsidRPr="00290356">
        <w:rPr>
          <w:noProof/>
          <w:lang w:val="en-GB" w:eastAsia="en-GB"/>
        </w:rPr>
        <w:drawing>
          <wp:inline distT="0" distB="0" distL="0" distR="0" wp14:anchorId="0515A03D" wp14:editId="29B0FD68">
            <wp:extent cx="3828430" cy="2872740"/>
            <wp:effectExtent l="0" t="0" r="635" b="3810"/>
            <wp:docPr id="3" name="Picture 3" descr="https://scontent-lhr3-1.xx.fbcdn.net/v/t34.0-12/18425867_1302727916443711_1335927509_n.jpg?oh=5a44525e931dc052b4de1a4a1015680e&amp;oe=5917D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8425867_1302727916443711_1335927509_n.jpg?oh=5a44525e931dc052b4de1a4a1015680e&amp;oe=5917DC74"/>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3859004" cy="2895682"/>
                    </a:xfrm>
                    <a:prstGeom prst="rect">
                      <a:avLst/>
                    </a:prstGeom>
                    <a:noFill/>
                    <a:ln>
                      <a:noFill/>
                    </a:ln>
                  </pic:spPr>
                </pic:pic>
              </a:graphicData>
            </a:graphic>
          </wp:inline>
        </w:drawing>
      </w:r>
    </w:p>
    <w:p w:rsidR="003753C1" w:rsidRPr="00290356" w:rsidRDefault="003753C1" w:rsidP="00C820C7">
      <w:pPr>
        <w:pStyle w:val="FootnoteText1"/>
        <w:rPr>
          <w:lang w:val="en-GB"/>
        </w:rPr>
      </w:pPr>
    </w:p>
    <w:p w:rsidR="003753C1" w:rsidRPr="00290356" w:rsidRDefault="003753C1" w:rsidP="00C820C7">
      <w:pPr>
        <w:pStyle w:val="FootnoteText1"/>
        <w:rPr>
          <w:lang w:val="en-GB"/>
        </w:rPr>
      </w:pPr>
      <w:r w:rsidRPr="00290356">
        <w:rPr>
          <w:lang w:val="en-GB"/>
        </w:rPr>
        <w:t>Source: Company files.</w:t>
      </w:r>
    </w:p>
    <w:p w:rsidR="003753C1" w:rsidRPr="00DB2F86" w:rsidRDefault="003753C1" w:rsidP="00C820C7">
      <w:pPr>
        <w:pStyle w:val="BodyTextMain"/>
        <w:rPr>
          <w:lang w:val="en-GB"/>
        </w:rPr>
      </w:pPr>
    </w:p>
    <w:p w:rsidR="003753C1" w:rsidRPr="00DB2F86" w:rsidRDefault="003753C1" w:rsidP="00C820C7">
      <w:pPr>
        <w:pStyle w:val="BodyTextMain"/>
        <w:rPr>
          <w:lang w:val="en-GB"/>
        </w:rPr>
      </w:pPr>
    </w:p>
    <w:p w:rsidR="003753C1" w:rsidRPr="00290356" w:rsidRDefault="003753C1" w:rsidP="00C820C7">
      <w:pPr>
        <w:pStyle w:val="Casehead1"/>
        <w:jc w:val="center"/>
        <w:rPr>
          <w:lang w:val="en-GB"/>
        </w:rPr>
      </w:pPr>
      <w:r w:rsidRPr="00290356">
        <w:rPr>
          <w:lang w:val="en-GB"/>
        </w:rPr>
        <w:t xml:space="preserve">EXHIBIT </w:t>
      </w:r>
      <w:r>
        <w:rPr>
          <w:lang w:val="en-GB"/>
        </w:rPr>
        <w:t>2</w:t>
      </w:r>
      <w:r w:rsidRPr="00290356">
        <w:rPr>
          <w:lang w:val="en-GB"/>
        </w:rPr>
        <w:t>: ISPACE STATEMENT OF COMPREHENSIVE INCOME</w:t>
      </w:r>
      <w:r w:rsidR="00C820C7">
        <w:rPr>
          <w:lang w:val="en-GB"/>
        </w:rPr>
        <w:t xml:space="preserve"> </w:t>
      </w:r>
      <w:r w:rsidRPr="00290356">
        <w:rPr>
          <w:lang w:val="en-GB"/>
        </w:rPr>
        <w:t>FOR THE YEAR ENDED DECEMBER 31</w:t>
      </w:r>
      <w:r>
        <w:rPr>
          <w:lang w:val="en-GB"/>
        </w:rPr>
        <w:t xml:space="preserve"> (in US$)</w:t>
      </w:r>
    </w:p>
    <w:p w:rsidR="003753C1" w:rsidRPr="00DB2F86" w:rsidRDefault="003753C1" w:rsidP="00C820C7">
      <w:pPr>
        <w:pStyle w:val="BodyTextMain"/>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6"/>
        <w:gridCol w:w="1130"/>
        <w:gridCol w:w="1066"/>
      </w:tblGrid>
      <w:tr w:rsidR="00DF3B01" w:rsidRPr="00290356" w:rsidTr="00DF3B01">
        <w:trPr>
          <w:jc w:val="center"/>
        </w:trPr>
        <w:tc>
          <w:tcPr>
            <w:tcW w:w="4976" w:type="dxa"/>
          </w:tcPr>
          <w:p w:rsidR="00DF3B01" w:rsidRPr="00290356" w:rsidRDefault="00DF3B01" w:rsidP="00257EE3">
            <w:pPr>
              <w:outlineLvl w:val="0"/>
              <w:rPr>
                <w:rFonts w:ascii="Arial" w:hAnsi="Arial" w:cs="Arial"/>
                <w:b/>
                <w:lang w:val="en-GB"/>
              </w:rPr>
            </w:pPr>
          </w:p>
        </w:tc>
        <w:tc>
          <w:tcPr>
            <w:tcW w:w="1130" w:type="dxa"/>
          </w:tcPr>
          <w:p w:rsidR="00DF3B01" w:rsidRPr="00290356" w:rsidRDefault="00DF3B01" w:rsidP="00DF3B01">
            <w:pPr>
              <w:jc w:val="right"/>
              <w:outlineLvl w:val="0"/>
              <w:rPr>
                <w:rFonts w:ascii="Arial" w:hAnsi="Arial" w:cs="Arial"/>
                <w:b/>
                <w:lang w:val="en-GB"/>
              </w:rPr>
            </w:pPr>
            <w:r w:rsidRPr="00290356">
              <w:rPr>
                <w:rFonts w:ascii="Arial" w:hAnsi="Arial" w:cs="Arial"/>
                <w:b/>
                <w:lang w:val="en-GB"/>
              </w:rPr>
              <w:t>2015</w:t>
            </w:r>
          </w:p>
        </w:tc>
        <w:tc>
          <w:tcPr>
            <w:tcW w:w="1066" w:type="dxa"/>
          </w:tcPr>
          <w:p w:rsidR="00DF3B01" w:rsidRPr="00290356" w:rsidRDefault="00DF3B01" w:rsidP="00DF3B01">
            <w:pPr>
              <w:jc w:val="right"/>
              <w:outlineLvl w:val="0"/>
              <w:rPr>
                <w:rFonts w:ascii="Arial" w:hAnsi="Arial" w:cs="Arial"/>
                <w:b/>
                <w:lang w:val="en-GB"/>
              </w:rPr>
            </w:pPr>
            <w:r w:rsidRPr="00290356">
              <w:rPr>
                <w:rFonts w:ascii="Arial" w:hAnsi="Arial" w:cs="Arial"/>
                <w:b/>
                <w:lang w:val="en-GB"/>
              </w:rPr>
              <w:t>2014</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INCOME</w:t>
            </w:r>
          </w:p>
        </w:tc>
        <w:tc>
          <w:tcPr>
            <w:tcW w:w="1130" w:type="dxa"/>
          </w:tcPr>
          <w:p w:rsidR="00DF3B01" w:rsidRPr="00290356" w:rsidRDefault="00DF3B01" w:rsidP="00257EE3">
            <w:pPr>
              <w:jc w:val="center"/>
              <w:outlineLvl w:val="0"/>
              <w:rPr>
                <w:rFonts w:ascii="Arial" w:hAnsi="Arial" w:cs="Arial"/>
                <w:lang w:val="en-GB"/>
              </w:rPr>
            </w:pPr>
          </w:p>
        </w:tc>
        <w:tc>
          <w:tcPr>
            <w:tcW w:w="1066" w:type="dxa"/>
          </w:tcPr>
          <w:p w:rsidR="00DF3B01" w:rsidRPr="00290356" w:rsidRDefault="00DF3B01" w:rsidP="00257EE3">
            <w:pPr>
              <w:jc w:val="center"/>
              <w:outlineLvl w:val="0"/>
              <w:rPr>
                <w:rFonts w:ascii="Arial" w:hAnsi="Arial" w:cs="Arial"/>
                <w:lang w:val="en-GB"/>
              </w:rPr>
            </w:pP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Operating Income</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109,328</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148,776</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p>
        </w:tc>
        <w:tc>
          <w:tcPr>
            <w:tcW w:w="1130" w:type="dxa"/>
          </w:tcPr>
          <w:p w:rsidR="00DF3B01" w:rsidRPr="00290356" w:rsidRDefault="00DF3B01" w:rsidP="00257EE3">
            <w:pPr>
              <w:jc w:val="right"/>
              <w:outlineLvl w:val="0"/>
              <w:rPr>
                <w:rFonts w:ascii="Arial" w:hAnsi="Arial" w:cs="Arial"/>
                <w:lang w:val="en-GB"/>
              </w:rPr>
            </w:pPr>
          </w:p>
        </w:tc>
        <w:tc>
          <w:tcPr>
            <w:tcW w:w="1066"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EXPENDITURES</w:t>
            </w:r>
          </w:p>
        </w:tc>
        <w:tc>
          <w:tcPr>
            <w:tcW w:w="1130" w:type="dxa"/>
          </w:tcPr>
          <w:p w:rsidR="00DF3B01" w:rsidRPr="00290356" w:rsidRDefault="00DF3B01" w:rsidP="00257EE3">
            <w:pPr>
              <w:jc w:val="right"/>
              <w:outlineLvl w:val="0"/>
              <w:rPr>
                <w:rFonts w:ascii="Arial" w:hAnsi="Arial" w:cs="Arial"/>
                <w:lang w:val="en-GB"/>
              </w:rPr>
            </w:pPr>
          </w:p>
        </w:tc>
        <w:tc>
          <w:tcPr>
            <w:tcW w:w="1066"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Depreciation</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9,687</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8,442</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Wages and Salaries</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24,493</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28,381</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Advertising and Publication</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3,102</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1,611</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General and Administrative Expenses</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18,002</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24,008</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Travelling and Transport</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9,666</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1,931</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Rent</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22,951</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54,588</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Event, Training, and Workshop</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26,286</w:t>
            </w:r>
          </w:p>
        </w:tc>
        <w:tc>
          <w:tcPr>
            <w:tcW w:w="1066" w:type="dxa"/>
          </w:tcPr>
          <w:p w:rsidR="00DF3B01" w:rsidRPr="00290356" w:rsidRDefault="00DF3B01" w:rsidP="00257EE3">
            <w:pPr>
              <w:jc w:val="right"/>
              <w:outlineLvl w:val="0"/>
              <w:rPr>
                <w:rFonts w:ascii="Arial" w:hAnsi="Arial" w:cs="Arial"/>
                <w:lang w:val="en-GB"/>
              </w:rPr>
            </w:pPr>
            <w:r>
              <w:rPr>
                <w:rFonts w:ascii="Arial" w:hAnsi="Arial" w:cs="Arial"/>
                <w:lang w:val="en-GB"/>
              </w:rPr>
              <w:t>–</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Bank Charges</w:t>
            </w:r>
          </w:p>
        </w:tc>
        <w:tc>
          <w:tcPr>
            <w:tcW w:w="1130"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3,895</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1,635</w:t>
            </w:r>
          </w:p>
        </w:tc>
      </w:tr>
      <w:tr w:rsidR="00DF3B01" w:rsidRPr="00290356" w:rsidTr="00DF3B01">
        <w:trPr>
          <w:jc w:val="center"/>
        </w:trPr>
        <w:tc>
          <w:tcPr>
            <w:tcW w:w="4976" w:type="dxa"/>
          </w:tcPr>
          <w:p w:rsidR="00DF3B01" w:rsidRPr="00290356" w:rsidRDefault="00DF3B01" w:rsidP="00257EE3">
            <w:pPr>
              <w:jc w:val="both"/>
              <w:outlineLvl w:val="0"/>
              <w:rPr>
                <w:rFonts w:ascii="Arial" w:hAnsi="Arial" w:cs="Arial"/>
                <w:lang w:val="en-GB"/>
              </w:rPr>
            </w:pPr>
          </w:p>
        </w:tc>
        <w:tc>
          <w:tcPr>
            <w:tcW w:w="1130" w:type="dxa"/>
          </w:tcPr>
          <w:p w:rsidR="00DF3B01" w:rsidRPr="00290356" w:rsidRDefault="00DF3B01" w:rsidP="00257EE3">
            <w:pPr>
              <w:jc w:val="right"/>
              <w:outlineLvl w:val="0"/>
              <w:rPr>
                <w:rFonts w:ascii="Arial" w:hAnsi="Arial" w:cs="Arial"/>
                <w:lang w:val="en-GB"/>
              </w:rPr>
            </w:pPr>
          </w:p>
        </w:tc>
        <w:tc>
          <w:tcPr>
            <w:tcW w:w="1066"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4976" w:type="dxa"/>
          </w:tcPr>
          <w:p w:rsidR="00DF3B01" w:rsidRPr="00290356" w:rsidRDefault="00DF3B01" w:rsidP="00DF3B01">
            <w:pPr>
              <w:jc w:val="both"/>
              <w:outlineLvl w:val="0"/>
              <w:rPr>
                <w:rFonts w:ascii="Arial" w:hAnsi="Arial" w:cs="Arial"/>
                <w:b/>
                <w:lang w:val="en-GB"/>
              </w:rPr>
            </w:pPr>
            <w:r w:rsidRPr="00290356">
              <w:rPr>
                <w:rFonts w:ascii="Arial" w:hAnsi="Arial" w:cs="Arial"/>
                <w:b/>
                <w:lang w:val="en-GB"/>
              </w:rPr>
              <w:t>Surplus/Deficit</w:t>
            </w:r>
          </w:p>
        </w:tc>
        <w:tc>
          <w:tcPr>
            <w:tcW w:w="1130" w:type="dxa"/>
          </w:tcPr>
          <w:p w:rsidR="00DF3B01" w:rsidRPr="00290356" w:rsidRDefault="00DF3B01" w:rsidP="00257EE3">
            <w:pPr>
              <w:jc w:val="right"/>
              <w:outlineLvl w:val="0"/>
              <w:rPr>
                <w:rFonts w:ascii="Arial" w:hAnsi="Arial" w:cs="Arial"/>
                <w:lang w:val="en-GB"/>
              </w:rPr>
            </w:pPr>
            <w:r>
              <w:rPr>
                <w:rFonts w:ascii="Arial" w:hAnsi="Arial" w:cs="Arial"/>
                <w:lang w:val="en-GB"/>
              </w:rPr>
              <w:t>−</w:t>
            </w:r>
            <w:r w:rsidRPr="00290356">
              <w:rPr>
                <w:rFonts w:ascii="Arial" w:hAnsi="Arial" w:cs="Arial"/>
                <w:lang w:val="en-GB"/>
              </w:rPr>
              <w:t>8,753</w:t>
            </w:r>
          </w:p>
        </w:tc>
        <w:tc>
          <w:tcPr>
            <w:tcW w:w="1066"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28,181</w:t>
            </w:r>
          </w:p>
        </w:tc>
      </w:tr>
    </w:tbl>
    <w:p w:rsidR="00DF3B01" w:rsidRDefault="00DF3B01" w:rsidP="00C820C7">
      <w:pPr>
        <w:pStyle w:val="FootnoteText1"/>
        <w:rPr>
          <w:lang w:val="en-GB"/>
        </w:rPr>
      </w:pPr>
    </w:p>
    <w:p w:rsidR="003753C1" w:rsidRPr="00290356" w:rsidRDefault="003753C1" w:rsidP="00C820C7">
      <w:pPr>
        <w:pStyle w:val="FootnoteText1"/>
        <w:rPr>
          <w:lang w:val="en-GB"/>
        </w:rPr>
      </w:pPr>
      <w:r w:rsidRPr="00290356">
        <w:rPr>
          <w:lang w:val="en-GB"/>
        </w:rPr>
        <w:t>Source: Company files.</w:t>
      </w:r>
    </w:p>
    <w:p w:rsidR="003753C1" w:rsidRPr="00DB2F86" w:rsidRDefault="003753C1" w:rsidP="00C820C7">
      <w:pPr>
        <w:pStyle w:val="BodyTextMain"/>
        <w:rPr>
          <w:lang w:val="en-GB"/>
        </w:rPr>
      </w:pPr>
    </w:p>
    <w:p w:rsidR="003753C1" w:rsidRDefault="003753C1" w:rsidP="00C820C7">
      <w:pPr>
        <w:pStyle w:val="BodyTextMain"/>
        <w:rPr>
          <w:sz w:val="18"/>
          <w:szCs w:val="18"/>
          <w:lang w:val="en-GB"/>
        </w:rPr>
      </w:pPr>
      <w:r>
        <w:rPr>
          <w:sz w:val="18"/>
          <w:szCs w:val="18"/>
          <w:lang w:val="en-GB"/>
        </w:rPr>
        <w:br w:type="page"/>
      </w:r>
    </w:p>
    <w:p w:rsidR="003753C1" w:rsidRPr="00290356" w:rsidRDefault="003753C1" w:rsidP="00C820C7">
      <w:pPr>
        <w:pStyle w:val="Casehead1"/>
        <w:jc w:val="center"/>
        <w:rPr>
          <w:lang w:val="en-GB"/>
        </w:rPr>
      </w:pPr>
      <w:bookmarkStart w:id="3" w:name="_Hlk482527584"/>
      <w:r w:rsidRPr="00290356">
        <w:rPr>
          <w:lang w:val="en-GB"/>
        </w:rPr>
        <w:lastRenderedPageBreak/>
        <w:t xml:space="preserve">EXHIBIT </w:t>
      </w:r>
      <w:r>
        <w:rPr>
          <w:lang w:val="en-GB"/>
        </w:rPr>
        <w:t>3</w:t>
      </w:r>
      <w:r w:rsidRPr="00290356">
        <w:rPr>
          <w:lang w:val="en-GB"/>
        </w:rPr>
        <w:t>: ISPACE STATEMENT OF FINANCIAL POSITION</w:t>
      </w:r>
      <w:r w:rsidR="00C820C7">
        <w:rPr>
          <w:lang w:val="en-GB"/>
        </w:rPr>
        <w:t xml:space="preserve"> </w:t>
      </w:r>
      <w:r w:rsidRPr="00290356">
        <w:rPr>
          <w:lang w:val="en-GB"/>
        </w:rPr>
        <w:t>FOR THE YEAR ENDED DECEMBER 31</w:t>
      </w:r>
      <w:r>
        <w:rPr>
          <w:lang w:val="en-GB"/>
        </w:rPr>
        <w:t xml:space="preserve"> (in US$)</w:t>
      </w:r>
    </w:p>
    <w:p w:rsidR="003753C1" w:rsidRPr="00C820C7" w:rsidRDefault="003753C1" w:rsidP="00C820C7">
      <w:pPr>
        <w:pStyle w:val="BodyTextMain"/>
      </w:pPr>
    </w:p>
    <w:tbl>
      <w:tblPr>
        <w:tblStyle w:val="TableGrid"/>
        <w:tblW w:w="0" w:type="auto"/>
        <w:jc w:val="center"/>
        <w:tblInd w:w="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4"/>
        <w:gridCol w:w="1843"/>
        <w:gridCol w:w="1559"/>
      </w:tblGrid>
      <w:tr w:rsidR="00DF3B01" w:rsidRPr="00290356" w:rsidTr="00DF3B01">
        <w:trPr>
          <w:jc w:val="center"/>
        </w:trPr>
        <w:tc>
          <w:tcPr>
            <w:tcW w:w="3644" w:type="dxa"/>
          </w:tcPr>
          <w:p w:rsidR="00DF3B01" w:rsidRPr="00290356" w:rsidRDefault="00DF3B01" w:rsidP="00257EE3">
            <w:pPr>
              <w:outlineLvl w:val="0"/>
              <w:rPr>
                <w:rFonts w:ascii="Arial" w:hAnsi="Arial" w:cs="Arial"/>
                <w:b/>
                <w:lang w:val="en-GB"/>
              </w:rPr>
            </w:pPr>
          </w:p>
        </w:tc>
        <w:tc>
          <w:tcPr>
            <w:tcW w:w="1843" w:type="dxa"/>
          </w:tcPr>
          <w:p w:rsidR="00DF3B01" w:rsidRPr="00290356" w:rsidRDefault="00DF3B01" w:rsidP="00DF3B01">
            <w:pPr>
              <w:jc w:val="right"/>
              <w:outlineLvl w:val="0"/>
              <w:rPr>
                <w:rFonts w:ascii="Arial" w:hAnsi="Arial" w:cs="Arial"/>
                <w:b/>
                <w:lang w:val="en-GB"/>
              </w:rPr>
            </w:pPr>
            <w:r w:rsidRPr="00290356">
              <w:rPr>
                <w:rFonts w:ascii="Arial" w:hAnsi="Arial" w:cs="Arial"/>
                <w:b/>
                <w:lang w:val="en-GB"/>
              </w:rPr>
              <w:t>2015</w:t>
            </w:r>
          </w:p>
        </w:tc>
        <w:tc>
          <w:tcPr>
            <w:tcW w:w="1559" w:type="dxa"/>
          </w:tcPr>
          <w:p w:rsidR="00DF3B01" w:rsidRPr="00290356" w:rsidRDefault="00DF3B01" w:rsidP="00DF3B01">
            <w:pPr>
              <w:jc w:val="right"/>
              <w:outlineLvl w:val="0"/>
              <w:rPr>
                <w:rFonts w:ascii="Arial" w:hAnsi="Arial" w:cs="Arial"/>
                <w:b/>
                <w:lang w:val="en-GB"/>
              </w:rPr>
            </w:pPr>
            <w:r w:rsidRPr="00290356">
              <w:rPr>
                <w:rFonts w:ascii="Arial" w:hAnsi="Arial" w:cs="Arial"/>
                <w:b/>
                <w:lang w:val="en-GB"/>
              </w:rPr>
              <w:t>2014</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ASSETS</w:t>
            </w:r>
          </w:p>
        </w:tc>
        <w:tc>
          <w:tcPr>
            <w:tcW w:w="1843" w:type="dxa"/>
          </w:tcPr>
          <w:p w:rsidR="00DF3B01" w:rsidRPr="00290356" w:rsidRDefault="00DF3B01" w:rsidP="00257EE3">
            <w:pPr>
              <w:jc w:val="center"/>
              <w:outlineLvl w:val="0"/>
              <w:rPr>
                <w:rFonts w:ascii="Arial" w:hAnsi="Arial" w:cs="Arial"/>
                <w:lang w:val="en-GB"/>
              </w:rPr>
            </w:pPr>
            <w:r w:rsidRPr="00290356">
              <w:rPr>
                <w:rFonts w:ascii="Arial" w:hAnsi="Arial" w:cs="Arial"/>
                <w:lang w:val="en-GB"/>
              </w:rPr>
              <w:t>US$</w:t>
            </w:r>
          </w:p>
        </w:tc>
        <w:tc>
          <w:tcPr>
            <w:tcW w:w="1559" w:type="dxa"/>
          </w:tcPr>
          <w:p w:rsidR="00DF3B01" w:rsidRPr="00290356" w:rsidRDefault="00DF3B01" w:rsidP="00257EE3">
            <w:pPr>
              <w:jc w:val="center"/>
              <w:outlineLvl w:val="0"/>
              <w:rPr>
                <w:rFonts w:ascii="Arial" w:hAnsi="Arial" w:cs="Arial"/>
                <w:lang w:val="en-GB"/>
              </w:rPr>
            </w:pPr>
            <w:r w:rsidRPr="00290356">
              <w:rPr>
                <w:rFonts w:ascii="Arial" w:hAnsi="Arial" w:cs="Arial"/>
                <w:lang w:val="en-GB"/>
              </w:rPr>
              <w:t>US$</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Non-Current Assets</w:t>
            </w:r>
          </w:p>
        </w:tc>
        <w:tc>
          <w:tcPr>
            <w:tcW w:w="1843" w:type="dxa"/>
          </w:tcPr>
          <w:p w:rsidR="00DF3B01" w:rsidRPr="00290356" w:rsidRDefault="00DF3B01" w:rsidP="00257EE3">
            <w:pPr>
              <w:jc w:val="center"/>
              <w:outlineLvl w:val="0"/>
              <w:rPr>
                <w:rFonts w:ascii="Arial" w:hAnsi="Arial" w:cs="Arial"/>
                <w:lang w:val="en-GB"/>
              </w:rPr>
            </w:pPr>
          </w:p>
        </w:tc>
        <w:tc>
          <w:tcPr>
            <w:tcW w:w="1559" w:type="dxa"/>
          </w:tcPr>
          <w:p w:rsidR="00DF3B01" w:rsidRPr="00290356" w:rsidRDefault="00DF3B01" w:rsidP="00257EE3">
            <w:pPr>
              <w:jc w:val="center"/>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Property, Plant, and Equipment</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12,507</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17,233</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Total Non-Current Assets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12,507</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17,233</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Current Assets</w:t>
            </w: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Bank and Cash Balances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52,196</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58,486</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 xml:space="preserve">Accounts Receivable </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3,036</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798</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Total Current Assets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55,232</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59,284</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Current Liabilities</w:t>
            </w: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Accruals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505</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528</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Net Current Assets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54,727</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58,756</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NET ASSETS</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67,234</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75,989</w:t>
            </w: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b/>
                <w:lang w:val="en-GB"/>
              </w:rPr>
            </w:pPr>
            <w:r w:rsidRPr="00290356">
              <w:rPr>
                <w:rFonts w:ascii="Arial" w:hAnsi="Arial" w:cs="Arial"/>
                <w:b/>
                <w:lang w:val="en-GB"/>
              </w:rPr>
              <w:t>EQUITY</w:t>
            </w:r>
          </w:p>
        </w:tc>
        <w:tc>
          <w:tcPr>
            <w:tcW w:w="1843" w:type="dxa"/>
          </w:tcPr>
          <w:p w:rsidR="00DF3B01" w:rsidRPr="00290356" w:rsidRDefault="00DF3B01" w:rsidP="00257EE3">
            <w:pPr>
              <w:jc w:val="right"/>
              <w:outlineLvl w:val="0"/>
              <w:rPr>
                <w:rFonts w:ascii="Arial" w:hAnsi="Arial" w:cs="Arial"/>
                <w:lang w:val="en-GB"/>
              </w:rPr>
            </w:pPr>
          </w:p>
        </w:tc>
        <w:tc>
          <w:tcPr>
            <w:tcW w:w="1559" w:type="dxa"/>
          </w:tcPr>
          <w:p w:rsidR="00DF3B01" w:rsidRPr="00290356" w:rsidRDefault="00DF3B01" w:rsidP="00257EE3">
            <w:pPr>
              <w:jc w:val="right"/>
              <w:outlineLvl w:val="0"/>
              <w:rPr>
                <w:rFonts w:ascii="Arial" w:hAnsi="Arial" w:cs="Arial"/>
                <w:lang w:val="en-GB"/>
              </w:rPr>
            </w:pPr>
          </w:p>
        </w:tc>
      </w:tr>
      <w:tr w:rsidR="00DF3B01" w:rsidRPr="00290356" w:rsidTr="00DF3B01">
        <w:trPr>
          <w:jc w:val="center"/>
        </w:trPr>
        <w:tc>
          <w:tcPr>
            <w:tcW w:w="3644" w:type="dxa"/>
          </w:tcPr>
          <w:p w:rsidR="00DF3B01" w:rsidRPr="00290356" w:rsidRDefault="00DF3B01" w:rsidP="00257EE3">
            <w:pPr>
              <w:jc w:val="both"/>
              <w:outlineLvl w:val="0"/>
              <w:rPr>
                <w:rFonts w:ascii="Arial" w:hAnsi="Arial" w:cs="Arial"/>
                <w:lang w:val="en-GB"/>
              </w:rPr>
            </w:pPr>
            <w:r w:rsidRPr="00290356">
              <w:rPr>
                <w:rFonts w:ascii="Arial" w:hAnsi="Arial" w:cs="Arial"/>
                <w:lang w:val="en-GB"/>
              </w:rPr>
              <w:t>Accumulated Capital</w:t>
            </w:r>
          </w:p>
        </w:tc>
        <w:tc>
          <w:tcPr>
            <w:tcW w:w="1843"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67,234</w:t>
            </w:r>
          </w:p>
        </w:tc>
        <w:tc>
          <w:tcPr>
            <w:tcW w:w="1559" w:type="dxa"/>
          </w:tcPr>
          <w:p w:rsidR="00DF3B01" w:rsidRPr="00290356" w:rsidRDefault="00DF3B01" w:rsidP="00257EE3">
            <w:pPr>
              <w:jc w:val="right"/>
              <w:outlineLvl w:val="0"/>
              <w:rPr>
                <w:rFonts w:ascii="Arial" w:hAnsi="Arial" w:cs="Arial"/>
                <w:lang w:val="en-GB"/>
              </w:rPr>
            </w:pPr>
            <w:r w:rsidRPr="00290356">
              <w:rPr>
                <w:rFonts w:ascii="Arial" w:hAnsi="Arial" w:cs="Arial"/>
                <w:lang w:val="en-GB"/>
              </w:rPr>
              <w:t>75,989</w:t>
            </w:r>
          </w:p>
        </w:tc>
      </w:tr>
    </w:tbl>
    <w:p w:rsidR="003753C1" w:rsidRPr="00290356" w:rsidRDefault="003753C1" w:rsidP="00C820C7">
      <w:pPr>
        <w:pStyle w:val="FootnoteText1"/>
        <w:rPr>
          <w:lang w:val="en-GB"/>
        </w:rPr>
      </w:pPr>
      <w:bookmarkStart w:id="4" w:name="_Hlk482528005"/>
      <w:bookmarkEnd w:id="3"/>
    </w:p>
    <w:p w:rsidR="003753C1" w:rsidRPr="00290356" w:rsidRDefault="003753C1" w:rsidP="00C820C7">
      <w:pPr>
        <w:pStyle w:val="FootnoteText1"/>
        <w:rPr>
          <w:lang w:val="en-GB"/>
        </w:rPr>
      </w:pPr>
      <w:r w:rsidRPr="00290356">
        <w:rPr>
          <w:lang w:val="en-GB"/>
        </w:rPr>
        <w:t>Source: Company files.</w:t>
      </w:r>
    </w:p>
    <w:bookmarkEnd w:id="4"/>
    <w:p w:rsidR="003753C1" w:rsidRPr="00DB2F86" w:rsidRDefault="003753C1" w:rsidP="00C820C7">
      <w:pPr>
        <w:pStyle w:val="BodyTextMain"/>
        <w:rPr>
          <w:lang w:val="en-GB"/>
        </w:rPr>
      </w:pPr>
    </w:p>
    <w:p w:rsidR="003753C1" w:rsidRDefault="003753C1" w:rsidP="00C820C7">
      <w:pPr>
        <w:pStyle w:val="BodyTextMain"/>
      </w:pPr>
    </w:p>
    <w:sectPr w:rsidR="003753C1"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3753C1" w:rsidRPr="00BB2656" w:rsidRDefault="003753C1" w:rsidP="00C820C7">
      <w:pPr>
        <w:pStyle w:val="FootnoteText1"/>
      </w:pPr>
      <w:r w:rsidRPr="00BB2656">
        <w:rPr>
          <w:rStyle w:val="FootnoteReference"/>
        </w:rPr>
        <w:footnoteRef/>
      </w:r>
      <w:r w:rsidRPr="00BB2656">
        <w:t xml:space="preserve"> “</w:t>
      </w:r>
      <w:r w:rsidRPr="00CA75C1">
        <w:t xml:space="preserve">Ghana Embassy </w:t>
      </w:r>
      <w:r>
        <w:t>C</w:t>
      </w:r>
      <w:r w:rsidRPr="00CA75C1">
        <w:t>ontacts in the USA</w:t>
      </w:r>
      <w:r w:rsidRPr="00BB2656">
        <w:t xml:space="preserve">,” Ghana Embassy, 2017, </w:t>
      </w:r>
      <w:r>
        <w:t>a</w:t>
      </w:r>
      <w:r w:rsidRPr="00BB2656">
        <w:t>ccessed May 13, 2017</w:t>
      </w:r>
      <w:r>
        <w:t>,</w:t>
      </w:r>
      <w:r w:rsidRPr="00CA75C1">
        <w:t xml:space="preserve"> www.ghana-embassy.org/</w:t>
      </w:r>
      <w:r>
        <w:t>.</w:t>
      </w:r>
    </w:p>
  </w:footnote>
  <w:footnote w:id="2">
    <w:p w:rsidR="003753C1" w:rsidRPr="00BB2656" w:rsidRDefault="003753C1" w:rsidP="00C820C7">
      <w:pPr>
        <w:pStyle w:val="FootnoteText1"/>
      </w:pPr>
      <w:r w:rsidRPr="00BB2656">
        <w:rPr>
          <w:rStyle w:val="FootnoteReference"/>
        </w:rPr>
        <w:footnoteRef/>
      </w:r>
      <w:r w:rsidRPr="00BB2656">
        <w:t xml:space="preserve"> </w:t>
      </w:r>
      <w:r>
        <w:t>Ministry of Education, Republic of Ghana</w:t>
      </w:r>
      <w:r w:rsidRPr="00BB2656">
        <w:t xml:space="preserve">, “Education Statistics,” </w:t>
      </w:r>
      <w:r>
        <w:t xml:space="preserve">Ministry of Education, </w:t>
      </w:r>
      <w:r w:rsidRPr="00BB2656">
        <w:t xml:space="preserve">2015, </w:t>
      </w:r>
      <w:r>
        <w:t>a</w:t>
      </w:r>
      <w:r w:rsidRPr="00BB2656">
        <w:t>ccessed May 13, 2017</w:t>
      </w:r>
      <w:r>
        <w:t xml:space="preserve">, </w:t>
      </w:r>
      <w:r w:rsidRPr="00BB2656">
        <w:t xml:space="preserve">www.moe.gov.gh/emis/. </w:t>
      </w:r>
    </w:p>
  </w:footnote>
  <w:footnote w:id="3">
    <w:p w:rsidR="003753C1" w:rsidRPr="00BB2656" w:rsidRDefault="003753C1" w:rsidP="00C820C7">
      <w:pPr>
        <w:pStyle w:val="FootnoteText1"/>
      </w:pPr>
      <w:r w:rsidRPr="00BB2656">
        <w:rPr>
          <w:rStyle w:val="FootnoteReference"/>
        </w:rPr>
        <w:footnoteRef/>
      </w:r>
      <w:r w:rsidRPr="00BB2656">
        <w:t xml:space="preserve"> All</w:t>
      </w:r>
      <w:r>
        <w:t xml:space="preserve"> currency</w:t>
      </w:r>
      <w:r w:rsidRPr="00BB2656">
        <w:t xml:space="preserve"> </w:t>
      </w:r>
      <w:r>
        <w:t>amounts</w:t>
      </w:r>
      <w:r w:rsidRPr="00BB2656">
        <w:t xml:space="preserve"> are in U</w:t>
      </w:r>
      <w:r w:rsidR="006A5EAE">
        <w:t>.</w:t>
      </w:r>
      <w:r w:rsidRPr="00BB2656">
        <w:t>S</w:t>
      </w:r>
      <w:r w:rsidR="006A5EAE">
        <w:t>.</w:t>
      </w:r>
      <w:r>
        <w:t xml:space="preserve"> dollars, unless otherwise specified</w:t>
      </w:r>
      <w:r w:rsidRPr="00BB2656">
        <w:t xml:space="preserve">. </w:t>
      </w:r>
    </w:p>
  </w:footnote>
  <w:footnote w:id="4">
    <w:p w:rsidR="003753C1" w:rsidRPr="00BB2656" w:rsidRDefault="003753C1" w:rsidP="00C820C7">
      <w:pPr>
        <w:pStyle w:val="FootnoteText1"/>
      </w:pPr>
      <w:r w:rsidRPr="00BB2656">
        <w:rPr>
          <w:rStyle w:val="FootnoteReference"/>
        </w:rPr>
        <w:footnoteRef/>
      </w:r>
      <w:r w:rsidRPr="00BB2656">
        <w:t xml:space="preserve"> “</w:t>
      </w:r>
      <w:r>
        <w:t xml:space="preserve">The World </w:t>
      </w:r>
      <w:proofErr w:type="spellStart"/>
      <w:r>
        <w:t>Factbook</w:t>
      </w:r>
      <w:proofErr w:type="spellEnd"/>
      <w:r>
        <w:t xml:space="preserve">: </w:t>
      </w:r>
      <w:r w:rsidRPr="00BB2656">
        <w:t>Ghana</w:t>
      </w:r>
      <w:r>
        <w:t>,</w:t>
      </w:r>
      <w:r w:rsidRPr="00BB2656">
        <w:t xml:space="preserve">” </w:t>
      </w:r>
      <w:r>
        <w:t>Central Intelligence Agency,</w:t>
      </w:r>
      <w:r w:rsidRPr="00BB2656">
        <w:t xml:space="preserve"> 2017, </w:t>
      </w:r>
      <w:r>
        <w:t>a</w:t>
      </w:r>
      <w:r w:rsidRPr="00BB2656">
        <w:t>ccessed May 13, 2017</w:t>
      </w:r>
      <w:r>
        <w:t xml:space="preserve">, </w:t>
      </w:r>
      <w:r w:rsidRPr="00BB2656">
        <w:t xml:space="preserve">https://www.cia.gov/library/publications/the-world-factbook/geos/gh.html. </w:t>
      </w:r>
    </w:p>
  </w:footnote>
  <w:footnote w:id="5">
    <w:p w:rsidR="003753C1" w:rsidRPr="00BB2656" w:rsidRDefault="003753C1" w:rsidP="00C820C7">
      <w:pPr>
        <w:pStyle w:val="FootnoteText1"/>
      </w:pPr>
      <w:r w:rsidRPr="00BB2656">
        <w:rPr>
          <w:rStyle w:val="FootnoteReference"/>
        </w:rPr>
        <w:footnoteRef/>
      </w:r>
      <w:r w:rsidRPr="00BB2656">
        <w:t xml:space="preserve"> </w:t>
      </w:r>
      <w:bookmarkStart w:id="2" w:name="_Hlk482463177"/>
      <w:r w:rsidRPr="00BB2656">
        <w:t>“2015</w:t>
      </w:r>
      <w:r>
        <w:t xml:space="preserve"> Summary of Youth Report for Ghana</w:t>
      </w:r>
      <w:r w:rsidRPr="00BB2656">
        <w:t xml:space="preserve">,” Global Entrepreneurship Monitor, 2015, </w:t>
      </w:r>
      <w:r>
        <w:t>a</w:t>
      </w:r>
      <w:r w:rsidRPr="00BB2656">
        <w:t>ccessed May 13, 2017</w:t>
      </w:r>
      <w:r>
        <w:t>,</w:t>
      </w:r>
      <w:r w:rsidRPr="00431D54">
        <w:t xml:space="preserve"> www.gemconsortium.org/report/49178</w:t>
      </w:r>
      <w:r w:rsidRPr="00BB2656">
        <w:t>.</w:t>
      </w:r>
      <w:bookmarkEnd w:id="2"/>
    </w:p>
  </w:footnote>
  <w:footnote w:id="6">
    <w:p w:rsidR="003753C1" w:rsidRPr="00BB2656" w:rsidRDefault="003753C1" w:rsidP="00C820C7">
      <w:pPr>
        <w:pStyle w:val="FootnoteText1"/>
      </w:pPr>
      <w:r w:rsidRPr="00BB2656">
        <w:rPr>
          <w:rStyle w:val="FootnoteReference"/>
        </w:rPr>
        <w:footnoteRef/>
      </w:r>
      <w:r w:rsidRPr="00BB2656">
        <w:t xml:space="preserve"> </w:t>
      </w:r>
      <w:r w:rsidRPr="00BF495D">
        <w:t>Daniel Knowles</w:t>
      </w:r>
      <w:r>
        <w:t>, “</w:t>
      </w:r>
      <w:r w:rsidRPr="005D5DDA">
        <w:t xml:space="preserve">The 1.2 Billion Opportunity: </w:t>
      </w:r>
      <w:r w:rsidRPr="00ED198E">
        <w:t>Special Report</w:t>
      </w:r>
      <w:r w:rsidRPr="00BF495D">
        <w:t>—Business in Africa,</w:t>
      </w:r>
      <w:r>
        <w:t>”</w:t>
      </w:r>
      <w:r w:rsidRPr="00BB2656">
        <w:t xml:space="preserve"> </w:t>
      </w:r>
      <w:r w:rsidRPr="006A0EE8">
        <w:rPr>
          <w:i/>
        </w:rPr>
        <w:t>The Economist</w:t>
      </w:r>
      <w:r w:rsidRPr="00BB2656">
        <w:t xml:space="preserve">, </w:t>
      </w:r>
      <w:r>
        <w:t xml:space="preserve">April 16, </w:t>
      </w:r>
      <w:r w:rsidRPr="00BB2656">
        <w:t xml:space="preserve">2016, </w:t>
      </w:r>
      <w:r>
        <w:t xml:space="preserve">accessed March 13, 2018, </w:t>
      </w:r>
      <w:r w:rsidRPr="00BB2656">
        <w:t>www.economist.com/sites/default/files/20160416_africa.pdf.</w:t>
      </w:r>
    </w:p>
  </w:footnote>
  <w:footnote w:id="7">
    <w:p w:rsidR="003753C1" w:rsidRPr="00BB2656" w:rsidRDefault="003753C1" w:rsidP="00C820C7">
      <w:pPr>
        <w:pStyle w:val="FootnoteText1"/>
      </w:pPr>
      <w:r w:rsidRPr="00BB2656">
        <w:rPr>
          <w:rStyle w:val="FootnoteReference"/>
        </w:rPr>
        <w:footnoteRef/>
      </w:r>
      <w:r w:rsidRPr="00BB2656">
        <w:t xml:space="preserve"> </w:t>
      </w:r>
      <w:proofErr w:type="gramStart"/>
      <w:r w:rsidRPr="00BB2656">
        <w:t>Infrastructure</w:t>
      </w:r>
      <w:r>
        <w:t>—</w:t>
      </w:r>
      <w:r w:rsidRPr="00BB2656">
        <w:t>ICT,</w:t>
      </w:r>
      <w:r>
        <w:t>” Ghana Investment Promotion Centre, a</w:t>
      </w:r>
      <w:r w:rsidRPr="00BB2656">
        <w:t>ccessed May 13, 2017</w:t>
      </w:r>
      <w:r>
        <w:t xml:space="preserve">, </w:t>
      </w:r>
      <w:r w:rsidRPr="00BB2656">
        <w:t>www.gipcghana.com/invest-in-ghana/why-ghana/infrastructure/ict-infrastructure.html.</w:t>
      </w:r>
      <w:proofErr w:type="gramEnd"/>
    </w:p>
  </w:footnote>
  <w:footnote w:id="8">
    <w:p w:rsidR="003753C1" w:rsidRPr="00BB2656" w:rsidRDefault="003753C1" w:rsidP="00C820C7">
      <w:pPr>
        <w:pStyle w:val="FootnoteText1"/>
      </w:pPr>
      <w:r w:rsidRPr="00BB2656">
        <w:rPr>
          <w:rStyle w:val="FootnoteReference"/>
        </w:rPr>
        <w:footnoteRef/>
      </w:r>
      <w:r w:rsidRPr="00BB2656">
        <w:t xml:space="preserve"> “Ghana Bank Lending Rate,</w:t>
      </w:r>
      <w:r>
        <w:t xml:space="preserve"> 2008–2018</w:t>
      </w:r>
      <w:r w:rsidRPr="00BB2656">
        <w:t xml:space="preserve">” Trading </w:t>
      </w:r>
      <w:proofErr w:type="gramStart"/>
      <w:r w:rsidRPr="00BB2656">
        <w:t>Economics,</w:t>
      </w:r>
      <w:proofErr w:type="gramEnd"/>
      <w:r w:rsidRPr="00BB2656">
        <w:t xml:space="preserve"> </w:t>
      </w:r>
      <w:r>
        <w:t>a</w:t>
      </w:r>
      <w:r w:rsidRPr="00BB2656">
        <w:t>ccessed May 13, 2017</w:t>
      </w:r>
      <w:r>
        <w:t xml:space="preserve">, </w:t>
      </w:r>
      <w:r w:rsidRPr="00BB2656">
        <w:t>www.tradingeconomics.com/ghana/bank-lending-rate.</w:t>
      </w:r>
    </w:p>
  </w:footnote>
  <w:footnote w:id="9">
    <w:p w:rsidR="003753C1" w:rsidRPr="00BB2656" w:rsidRDefault="003753C1" w:rsidP="00C820C7">
      <w:pPr>
        <w:pStyle w:val="FootnoteText1"/>
      </w:pPr>
      <w:r w:rsidRPr="00BB2656">
        <w:rPr>
          <w:rStyle w:val="FootnoteReference"/>
        </w:rPr>
        <w:footnoteRef/>
      </w:r>
      <w:r w:rsidRPr="00BB2656">
        <w:t xml:space="preserve"> Ernest </w:t>
      </w:r>
      <w:proofErr w:type="spellStart"/>
      <w:r w:rsidRPr="00BB2656">
        <w:t>Aryeetey</w:t>
      </w:r>
      <w:proofErr w:type="spellEnd"/>
      <w:r w:rsidRPr="002A51A5">
        <w:t xml:space="preserve"> and </w:t>
      </w:r>
      <w:proofErr w:type="spellStart"/>
      <w:r w:rsidRPr="002A51A5">
        <w:t>Ama</w:t>
      </w:r>
      <w:proofErr w:type="spellEnd"/>
      <w:r w:rsidRPr="002A51A5">
        <w:t xml:space="preserve"> </w:t>
      </w:r>
      <w:proofErr w:type="spellStart"/>
      <w:r w:rsidRPr="002A51A5">
        <w:t>Asantewah</w:t>
      </w:r>
      <w:proofErr w:type="spellEnd"/>
      <w:r w:rsidRPr="002A51A5">
        <w:t xml:space="preserve"> </w:t>
      </w:r>
      <w:proofErr w:type="spellStart"/>
      <w:r w:rsidRPr="002A51A5">
        <w:t>Ahene</w:t>
      </w:r>
      <w:proofErr w:type="spellEnd"/>
      <w:r w:rsidRPr="00BB2656">
        <w:t xml:space="preserve">, </w:t>
      </w:r>
      <w:r w:rsidRPr="00012170">
        <w:rPr>
          <w:i/>
        </w:rPr>
        <w:t>Changing Regulatory Environment for Small-Medium Enterprises and Their Performance in Ghana,</w:t>
      </w:r>
      <w:r w:rsidRPr="00BB2656">
        <w:t xml:space="preserve"> </w:t>
      </w:r>
      <w:r w:rsidRPr="002A51A5">
        <w:t>Institute for Development Policy and Management (IDPM),</w:t>
      </w:r>
      <w:r>
        <w:t xml:space="preserve"> working paper n</w:t>
      </w:r>
      <w:r w:rsidRPr="002A51A5">
        <w:t xml:space="preserve">o. 30594 </w:t>
      </w:r>
      <w:r>
        <w:t xml:space="preserve">(Manchester, UK: </w:t>
      </w:r>
      <w:r w:rsidRPr="002A51A5">
        <w:t>University of Manchester</w:t>
      </w:r>
      <w:r>
        <w:t>,</w:t>
      </w:r>
      <w:r w:rsidRPr="002A51A5">
        <w:t xml:space="preserve"> </w:t>
      </w:r>
      <w:r w:rsidRPr="00BB2656">
        <w:t>2005</w:t>
      </w:r>
      <w:r>
        <w:t>)</w:t>
      </w:r>
      <w:r w:rsidRPr="00BB2656">
        <w:t>.</w:t>
      </w:r>
    </w:p>
  </w:footnote>
  <w:footnote w:id="10">
    <w:p w:rsidR="003753C1" w:rsidRPr="00BB2656" w:rsidRDefault="003753C1" w:rsidP="00C820C7">
      <w:pPr>
        <w:pStyle w:val="FootnoteText1"/>
      </w:pPr>
      <w:r w:rsidRPr="00BB2656">
        <w:rPr>
          <w:rStyle w:val="FootnoteReference"/>
        </w:rPr>
        <w:footnoteRef/>
      </w:r>
      <w:r w:rsidRPr="00BB2656">
        <w:t xml:space="preserve"> Jessica </w:t>
      </w:r>
      <w:proofErr w:type="spellStart"/>
      <w:r w:rsidRPr="00BB2656">
        <w:t>Ayorkor</w:t>
      </w:r>
      <w:proofErr w:type="spellEnd"/>
      <w:r>
        <w:t xml:space="preserve"> </w:t>
      </w:r>
      <w:proofErr w:type="spellStart"/>
      <w:r>
        <w:t>Aryee</w:t>
      </w:r>
      <w:proofErr w:type="spellEnd"/>
      <w:r w:rsidRPr="00BB2656">
        <w:t>, “Star</w:t>
      </w:r>
      <w:r>
        <w:t>t</w:t>
      </w:r>
      <w:r w:rsidRPr="00BB2656">
        <w:t xml:space="preserve">-Ups </w:t>
      </w:r>
      <w:r>
        <w:t>t</w:t>
      </w:r>
      <w:r w:rsidRPr="00BB2656">
        <w:t>o Enjoy Tax</w:t>
      </w:r>
      <w:r>
        <w:t>-</w:t>
      </w:r>
      <w:r w:rsidRPr="00BB2656">
        <w:t>Free Year</w:t>
      </w:r>
      <w:r>
        <w:t xml:space="preserve">: Biz </w:t>
      </w:r>
      <w:proofErr w:type="spellStart"/>
      <w:r>
        <w:t>Dev’t</w:t>
      </w:r>
      <w:proofErr w:type="spellEnd"/>
      <w:r>
        <w:t xml:space="preserve"> Minister</w:t>
      </w:r>
      <w:r w:rsidRPr="00BB2656">
        <w:t xml:space="preserve">,” </w:t>
      </w:r>
      <w:r>
        <w:t xml:space="preserve">Citi FM Online, April 8, </w:t>
      </w:r>
      <w:r w:rsidRPr="00BB2656">
        <w:t xml:space="preserve">2017, </w:t>
      </w:r>
      <w:r>
        <w:t>a</w:t>
      </w:r>
      <w:r w:rsidRPr="00BB2656">
        <w:t>ccessed May 13, 2017</w:t>
      </w:r>
      <w:r>
        <w:t xml:space="preserve">, </w:t>
      </w:r>
      <w:r w:rsidRPr="00BB2656">
        <w:t xml:space="preserve">http://citifmonline.com/2017/04/08/start-ups-to-enjoy-tax-free-year-biz-devt-minister/. </w:t>
      </w:r>
    </w:p>
  </w:footnote>
  <w:footnote w:id="11">
    <w:p w:rsidR="003753C1" w:rsidRPr="00BB2656" w:rsidRDefault="003753C1" w:rsidP="00C820C7">
      <w:pPr>
        <w:pStyle w:val="FootnoteText1"/>
      </w:pPr>
      <w:r w:rsidRPr="00BB2656">
        <w:rPr>
          <w:rStyle w:val="FootnoteReference"/>
        </w:rPr>
        <w:footnoteRef/>
      </w:r>
      <w:r w:rsidRPr="00BB2656">
        <w:t xml:space="preserve"> “2015</w:t>
      </w:r>
      <w:r>
        <w:t xml:space="preserve"> Summary of Youth Report for Ghana</w:t>
      </w:r>
      <w:r w:rsidRPr="00BB2656">
        <w:t xml:space="preserve">,” Global Entrepreneurship Monitor, 2015, </w:t>
      </w:r>
      <w:r>
        <w:t>a</w:t>
      </w:r>
      <w:r w:rsidRPr="00BB2656">
        <w:t>ccessed May 13, 2017</w:t>
      </w:r>
      <w:r>
        <w:t>,</w:t>
      </w:r>
      <w:r w:rsidRPr="00431D54">
        <w:t xml:space="preserve"> www.gemconsortium.org/report/49178</w:t>
      </w:r>
      <w:r w:rsidRPr="00BB2656">
        <w:t>.</w:t>
      </w:r>
    </w:p>
  </w:footnote>
  <w:footnote w:id="12">
    <w:p w:rsidR="003753C1" w:rsidRPr="00BB2656" w:rsidRDefault="003753C1" w:rsidP="00C820C7">
      <w:pPr>
        <w:pStyle w:val="FootnoteText1"/>
      </w:pPr>
      <w:r w:rsidRPr="00BB2656">
        <w:rPr>
          <w:rStyle w:val="FootnoteReference"/>
        </w:rPr>
        <w:footnoteRef/>
      </w:r>
      <w:r w:rsidRPr="00BB2656">
        <w:t xml:space="preserve"> “Memberships,” iSpace, </w:t>
      </w:r>
      <w:r>
        <w:t>a</w:t>
      </w:r>
      <w:r w:rsidRPr="00BB2656">
        <w:t>ccessed May 13, 2017</w:t>
      </w:r>
      <w:r>
        <w:t xml:space="preserve">, </w:t>
      </w:r>
      <w:r w:rsidRPr="00BB2656">
        <w:t xml:space="preserve">http://ispacegh.com/#/memberships. </w:t>
      </w:r>
    </w:p>
  </w:footnote>
  <w:footnote w:id="13">
    <w:p w:rsidR="003753C1" w:rsidRPr="00BB2656" w:rsidRDefault="003753C1" w:rsidP="00C820C7">
      <w:pPr>
        <w:pStyle w:val="FootnoteText1"/>
      </w:pPr>
      <w:r w:rsidRPr="00BB2656">
        <w:rPr>
          <w:rStyle w:val="FootnoteReference"/>
        </w:rPr>
        <w:footnoteRef/>
      </w:r>
      <w:r w:rsidRPr="00BB2656">
        <w:t xml:space="preserve"> A </w:t>
      </w:r>
      <w:proofErr w:type="spellStart"/>
      <w:r w:rsidRPr="006A0EE8">
        <w:rPr>
          <w:i/>
        </w:rPr>
        <w:t>tro</w:t>
      </w:r>
      <w:proofErr w:type="spellEnd"/>
      <w:r w:rsidRPr="006A0EE8">
        <w:rPr>
          <w:i/>
        </w:rPr>
        <w:t xml:space="preserve"> </w:t>
      </w:r>
      <w:proofErr w:type="spellStart"/>
      <w:r w:rsidRPr="006A0EE8">
        <w:rPr>
          <w:i/>
        </w:rPr>
        <w:t>tro</w:t>
      </w:r>
      <w:proofErr w:type="spellEnd"/>
      <w:r w:rsidRPr="006A0EE8">
        <w:rPr>
          <w:i/>
        </w:rPr>
        <w:t xml:space="preserve"> </w:t>
      </w:r>
      <w:r>
        <w:t>wa</w:t>
      </w:r>
      <w:r w:rsidRPr="00BB2656">
        <w:t>s a privately owned 15-person minibus that travel</w:t>
      </w:r>
      <w:r>
        <w:t>led</w:t>
      </w:r>
      <w:r w:rsidRPr="00BB2656">
        <w:t xml:space="preserve"> from one fixed point to another. </w:t>
      </w:r>
      <w:proofErr w:type="spellStart"/>
      <w:r w:rsidRPr="00BB2656">
        <w:t>Tro</w:t>
      </w:r>
      <w:proofErr w:type="spellEnd"/>
      <w:r w:rsidRPr="00BB2656">
        <w:t xml:space="preserve"> </w:t>
      </w:r>
      <w:proofErr w:type="spellStart"/>
      <w:r w:rsidRPr="00BB2656">
        <w:t>tros</w:t>
      </w:r>
      <w:proofErr w:type="spellEnd"/>
      <w:r w:rsidRPr="00BB2656">
        <w:t xml:space="preserve"> </w:t>
      </w:r>
      <w:r>
        <w:t>we</w:t>
      </w:r>
      <w:r w:rsidRPr="00BB2656">
        <w:t>re sometimes prone to breakdowns</w:t>
      </w:r>
      <w:r>
        <w:t>,</w:t>
      </w:r>
      <w:r w:rsidRPr="00BB2656">
        <w:t xml:space="preserve"> and </w:t>
      </w:r>
      <w:r>
        <w:t xml:space="preserve">they </w:t>
      </w:r>
      <w:r w:rsidRPr="00BB2656">
        <w:t>only le</w:t>
      </w:r>
      <w:r>
        <w:t>ft</w:t>
      </w:r>
      <w:r w:rsidRPr="00BB2656">
        <w:t xml:space="preserve"> when</w:t>
      </w:r>
      <w:r>
        <w:t xml:space="preserve"> they were</w:t>
      </w:r>
      <w:r w:rsidRPr="00BB2656">
        <w:t xml:space="preserve"> filled to capacity.</w:t>
      </w:r>
    </w:p>
  </w:footnote>
  <w:footnote w:id="14">
    <w:p w:rsidR="003753C1" w:rsidRPr="00BB2656" w:rsidRDefault="003753C1" w:rsidP="00C820C7">
      <w:pPr>
        <w:pStyle w:val="FootnoteText1"/>
      </w:pPr>
      <w:r w:rsidRPr="00BB2656">
        <w:rPr>
          <w:rStyle w:val="FootnoteReference"/>
        </w:rPr>
        <w:footnoteRef/>
      </w:r>
      <w:r w:rsidRPr="00BB2656">
        <w:t xml:space="preserve"> </w:t>
      </w:r>
      <w:proofErr w:type="gramStart"/>
      <w:r w:rsidRPr="00BB2656">
        <w:t>Impact Hub Accra</w:t>
      </w:r>
      <w:r>
        <w:t xml:space="preserve"> website</w:t>
      </w:r>
      <w:r w:rsidRPr="00BB2656">
        <w:t xml:space="preserve">, </w:t>
      </w:r>
      <w:r>
        <w:t>a</w:t>
      </w:r>
      <w:r w:rsidRPr="00BB2656">
        <w:t>ccessed May 14, 2017</w:t>
      </w:r>
      <w:r>
        <w:t xml:space="preserve">, </w:t>
      </w:r>
      <w:r w:rsidRPr="00BB2656">
        <w:t>http://accra.impacthub.net/.</w:t>
      </w:r>
      <w:proofErr w:type="gramEnd"/>
    </w:p>
  </w:footnote>
  <w:footnote w:id="15">
    <w:p w:rsidR="003753C1" w:rsidRPr="00241975" w:rsidRDefault="003753C1" w:rsidP="00C820C7">
      <w:pPr>
        <w:pStyle w:val="FootnoteText1"/>
      </w:pPr>
      <w:r w:rsidRPr="00241975">
        <w:rPr>
          <w:rStyle w:val="FootnoteReference"/>
        </w:rPr>
        <w:footnoteRef/>
      </w:r>
      <w:r w:rsidRPr="00241975">
        <w:t xml:space="preserve"> Meltwater Foundation</w:t>
      </w:r>
      <w:r>
        <w:t xml:space="preserve"> </w:t>
      </w:r>
      <w:proofErr w:type="gramStart"/>
      <w:r>
        <w:t>website</w:t>
      </w:r>
      <w:r w:rsidRPr="00241975">
        <w:t>,</w:t>
      </w:r>
      <w:proofErr w:type="gramEnd"/>
      <w:r w:rsidRPr="00241975">
        <w:t xml:space="preserve"> </w:t>
      </w:r>
      <w:r>
        <w:t>a</w:t>
      </w:r>
      <w:r w:rsidRPr="00241975">
        <w:t>ccessed May 14, 2017</w:t>
      </w:r>
      <w:r>
        <w:t xml:space="preserve">, </w:t>
      </w:r>
      <w:r w:rsidRPr="00241975">
        <w:t xml:space="preserve">http://meltwater.org/. </w:t>
      </w:r>
    </w:p>
  </w:footnote>
  <w:footnote w:id="16">
    <w:p w:rsidR="003753C1" w:rsidRPr="00BB2656" w:rsidRDefault="003753C1" w:rsidP="00C820C7">
      <w:pPr>
        <w:pStyle w:val="FootnoteText1"/>
      </w:pPr>
      <w:r w:rsidRPr="00BB2656">
        <w:rPr>
          <w:rStyle w:val="FootnoteReference"/>
        </w:rPr>
        <w:footnoteRef/>
      </w:r>
      <w:r w:rsidRPr="00BB2656">
        <w:t xml:space="preserve"> </w:t>
      </w:r>
      <w:proofErr w:type="gramStart"/>
      <w:r w:rsidRPr="00BB2656">
        <w:t>IST</w:t>
      </w:r>
      <w:r>
        <w:t>-</w:t>
      </w:r>
      <w:r w:rsidRPr="00BB2656">
        <w:t>Africa</w:t>
      </w:r>
      <w:r>
        <w:t xml:space="preserve"> Initiative</w:t>
      </w:r>
      <w:r w:rsidRPr="00BB2656">
        <w:t>, “Current ICT Initiatives and Projects</w:t>
      </w:r>
      <w:r>
        <w:t>—</w:t>
      </w:r>
      <w:r w:rsidRPr="00BB2656">
        <w:t xml:space="preserve">Ghana,” </w:t>
      </w:r>
      <w:r>
        <w:t>IST Africa, a</w:t>
      </w:r>
      <w:r w:rsidRPr="00BB2656">
        <w:t>ccessed May 14, 2017</w:t>
      </w:r>
      <w:r>
        <w:t xml:space="preserve">, </w:t>
      </w:r>
      <w:r w:rsidRPr="00BB2656">
        <w:t>www.ist-africa.org/home/default.asp?page=doc-by-id&amp;docid=8224.</w:t>
      </w:r>
      <w:proofErr w:type="gramEnd"/>
      <w:r w:rsidRPr="00BB2656">
        <w:t xml:space="preserve"> </w:t>
      </w:r>
    </w:p>
  </w:footnote>
  <w:footnote w:id="17">
    <w:p w:rsidR="003753C1" w:rsidRPr="00BB2656" w:rsidRDefault="003753C1" w:rsidP="00C820C7">
      <w:pPr>
        <w:pStyle w:val="FootnoteText1"/>
      </w:pPr>
      <w:r w:rsidRPr="00BB2656">
        <w:rPr>
          <w:rStyle w:val="FootnoteReference"/>
        </w:rPr>
        <w:footnoteRef/>
      </w:r>
      <w:r w:rsidRPr="00BB2656">
        <w:t xml:space="preserve"> </w:t>
      </w:r>
      <w:proofErr w:type="spellStart"/>
      <w:proofErr w:type="gramStart"/>
      <w:r>
        <w:t>WageIndicator</w:t>
      </w:r>
      <w:proofErr w:type="spellEnd"/>
      <w:r>
        <w:t xml:space="preserve"> Foundation, </w:t>
      </w:r>
      <w:r w:rsidRPr="00BB2656">
        <w:t xml:space="preserve">“Minimum Wages in Ghana,” My Wage Ghana, </w:t>
      </w:r>
      <w:r>
        <w:t>a</w:t>
      </w:r>
      <w:r w:rsidRPr="00BB2656">
        <w:t>ccessed May 14, 2017</w:t>
      </w:r>
      <w:r>
        <w:t xml:space="preserve">, </w:t>
      </w:r>
      <w:r w:rsidRPr="00BB2656">
        <w:t>www.mywage.org/ghana/home/salary/minimum-wages.</w:t>
      </w:r>
      <w:proofErr w:type="gramEnd"/>
    </w:p>
  </w:footnote>
  <w:footnote w:id="18">
    <w:p w:rsidR="003753C1" w:rsidRPr="00BB2656" w:rsidRDefault="003753C1" w:rsidP="00C820C7">
      <w:pPr>
        <w:pStyle w:val="FootnoteText1"/>
      </w:pPr>
      <w:r w:rsidRPr="00BB2656">
        <w:rPr>
          <w:rStyle w:val="FootnoteReference"/>
        </w:rPr>
        <w:footnoteRef/>
      </w:r>
      <w:r w:rsidRPr="00BB2656">
        <w:t xml:space="preserve"> Wisconsin </w:t>
      </w:r>
      <w:r>
        <w:t xml:space="preserve">International University College </w:t>
      </w:r>
      <w:proofErr w:type="gramStart"/>
      <w:r>
        <w:t>website,</w:t>
      </w:r>
      <w:proofErr w:type="gramEnd"/>
      <w:r w:rsidRPr="00BB2656">
        <w:t xml:space="preserve"> </w:t>
      </w:r>
      <w:r>
        <w:t>a</w:t>
      </w:r>
      <w:r w:rsidRPr="00BB2656">
        <w:t>ccessed May 14, 2017</w:t>
      </w:r>
      <w:r>
        <w:t xml:space="preserve">, </w:t>
      </w:r>
      <w:r w:rsidRPr="00BB2656">
        <w:t>www.wiuc-ghana.edu.gh.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2A01">
      <w:rPr>
        <w:rFonts w:ascii="Arial" w:hAnsi="Arial"/>
        <w:b/>
        <w:noProof/>
      </w:rPr>
      <w:t>9</w:t>
    </w:r>
    <w:r>
      <w:rPr>
        <w:rFonts w:ascii="Arial" w:hAnsi="Arial"/>
        <w:b/>
      </w:rPr>
      <w:fldChar w:fldCharType="end"/>
    </w:r>
    <w:r>
      <w:rPr>
        <w:rFonts w:ascii="Arial" w:hAnsi="Arial"/>
        <w:b/>
      </w:rPr>
      <w:tab/>
    </w:r>
    <w:r w:rsidR="00DF3B01">
      <w:rPr>
        <w:rFonts w:ascii="Arial" w:hAnsi="Arial"/>
        <w:b/>
      </w:rPr>
      <w:t>9B18M097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421218"/>
    <w:lvl w:ilvl="0">
      <w:start w:val="1"/>
      <w:numFmt w:val="decimal"/>
      <w:lvlText w:val="%1."/>
      <w:lvlJc w:val="left"/>
      <w:pPr>
        <w:tabs>
          <w:tab w:val="num" w:pos="1492"/>
        </w:tabs>
        <w:ind w:left="1492" w:hanging="360"/>
      </w:pPr>
    </w:lvl>
  </w:abstractNum>
  <w:abstractNum w:abstractNumId="1">
    <w:nsid w:val="FFFFFF7D"/>
    <w:multiLevelType w:val="singleLevel"/>
    <w:tmpl w:val="45507D5A"/>
    <w:lvl w:ilvl="0">
      <w:start w:val="1"/>
      <w:numFmt w:val="decimal"/>
      <w:lvlText w:val="%1."/>
      <w:lvlJc w:val="left"/>
      <w:pPr>
        <w:tabs>
          <w:tab w:val="num" w:pos="1209"/>
        </w:tabs>
        <w:ind w:left="1209" w:hanging="360"/>
      </w:pPr>
    </w:lvl>
  </w:abstractNum>
  <w:abstractNum w:abstractNumId="2">
    <w:nsid w:val="FFFFFF7E"/>
    <w:multiLevelType w:val="singleLevel"/>
    <w:tmpl w:val="84DC66C8"/>
    <w:lvl w:ilvl="0">
      <w:start w:val="1"/>
      <w:numFmt w:val="decimal"/>
      <w:lvlText w:val="%1."/>
      <w:lvlJc w:val="left"/>
      <w:pPr>
        <w:tabs>
          <w:tab w:val="num" w:pos="926"/>
        </w:tabs>
        <w:ind w:left="926" w:hanging="360"/>
      </w:pPr>
    </w:lvl>
  </w:abstractNum>
  <w:abstractNum w:abstractNumId="3">
    <w:nsid w:val="FFFFFF7F"/>
    <w:multiLevelType w:val="singleLevel"/>
    <w:tmpl w:val="38BE2428"/>
    <w:lvl w:ilvl="0">
      <w:start w:val="1"/>
      <w:numFmt w:val="decimal"/>
      <w:lvlText w:val="%1."/>
      <w:lvlJc w:val="left"/>
      <w:pPr>
        <w:tabs>
          <w:tab w:val="num" w:pos="643"/>
        </w:tabs>
        <w:ind w:left="643" w:hanging="360"/>
      </w:pPr>
    </w:lvl>
  </w:abstractNum>
  <w:abstractNum w:abstractNumId="4">
    <w:nsid w:val="FFFFFF80"/>
    <w:multiLevelType w:val="singleLevel"/>
    <w:tmpl w:val="421EF4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2AB2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70BA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B82D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F65AE4"/>
    <w:lvl w:ilvl="0">
      <w:start w:val="1"/>
      <w:numFmt w:val="decimal"/>
      <w:lvlText w:val="%1."/>
      <w:lvlJc w:val="left"/>
      <w:pPr>
        <w:tabs>
          <w:tab w:val="num" w:pos="360"/>
        </w:tabs>
        <w:ind w:left="360" w:hanging="360"/>
      </w:pPr>
    </w:lvl>
  </w:abstractNum>
  <w:abstractNum w:abstractNumId="9">
    <w:nsid w:val="FFFFFF89"/>
    <w:multiLevelType w:val="singleLevel"/>
    <w:tmpl w:val="048A82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419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343BA"/>
    <w:rsid w:val="002B3821"/>
    <w:rsid w:val="002F460C"/>
    <w:rsid w:val="002F48D6"/>
    <w:rsid w:val="00317391"/>
    <w:rsid w:val="00326216"/>
    <w:rsid w:val="00336580"/>
    <w:rsid w:val="00354899"/>
    <w:rsid w:val="00355FD6"/>
    <w:rsid w:val="00364A5C"/>
    <w:rsid w:val="00373FB1"/>
    <w:rsid w:val="003753C1"/>
    <w:rsid w:val="00396C76"/>
    <w:rsid w:val="003B30D8"/>
    <w:rsid w:val="003B7EF2"/>
    <w:rsid w:val="003C3FA4"/>
    <w:rsid w:val="003F2B0C"/>
    <w:rsid w:val="004105B2"/>
    <w:rsid w:val="004221E4"/>
    <w:rsid w:val="004273F8"/>
    <w:rsid w:val="00432C08"/>
    <w:rsid w:val="004355A3"/>
    <w:rsid w:val="00446546"/>
    <w:rsid w:val="00452769"/>
    <w:rsid w:val="00465348"/>
    <w:rsid w:val="00480222"/>
    <w:rsid w:val="004B1CCB"/>
    <w:rsid w:val="004B632F"/>
    <w:rsid w:val="004D04E1"/>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5EAE"/>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4159"/>
    <w:rsid w:val="009C76D5"/>
    <w:rsid w:val="009F7AA4"/>
    <w:rsid w:val="00A10AD7"/>
    <w:rsid w:val="00A559DB"/>
    <w:rsid w:val="00A569EA"/>
    <w:rsid w:val="00A77C2B"/>
    <w:rsid w:val="00AF35FC"/>
    <w:rsid w:val="00AF5556"/>
    <w:rsid w:val="00B03639"/>
    <w:rsid w:val="00B0652A"/>
    <w:rsid w:val="00B40937"/>
    <w:rsid w:val="00B423EF"/>
    <w:rsid w:val="00B453DE"/>
    <w:rsid w:val="00B62A01"/>
    <w:rsid w:val="00B72597"/>
    <w:rsid w:val="00B901F9"/>
    <w:rsid w:val="00BD6EFB"/>
    <w:rsid w:val="00C1584D"/>
    <w:rsid w:val="00C15BE2"/>
    <w:rsid w:val="00C3447F"/>
    <w:rsid w:val="00C67102"/>
    <w:rsid w:val="00C81491"/>
    <w:rsid w:val="00C81676"/>
    <w:rsid w:val="00C820C7"/>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DF3B01"/>
    <w:rsid w:val="00E471A7"/>
    <w:rsid w:val="00E635CF"/>
    <w:rsid w:val="00E70A5D"/>
    <w:rsid w:val="00E83C43"/>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820C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customStyle="1" w:styleId="ExhibitHead">
    <w:name w:val="Exhibit Head"/>
    <w:basedOn w:val="ExhibitText"/>
    <w:qFormat/>
    <w:rsid w:val="003753C1"/>
    <w:pPr>
      <w:jc w:val="center"/>
      <w:outlineLvl w:val="0"/>
    </w:pPr>
    <w:rPr>
      <w:rFonts w:eastAsiaTheme="minorHAnsi"/>
      <w:b/>
      <w:caps/>
      <w:szCs w:val="22"/>
      <w:lang w:val="en-CA"/>
    </w:rPr>
  </w:style>
  <w:style w:type="paragraph" w:customStyle="1" w:styleId="FootnoteRef">
    <w:name w:val="Footnote Ref #"/>
    <w:basedOn w:val="Normal"/>
    <w:qFormat/>
    <w:rsid w:val="003753C1"/>
    <w:pPr>
      <w:jc w:val="both"/>
      <w:outlineLvl w:val="0"/>
    </w:pPr>
    <w:rPr>
      <w:rFonts w:eastAsiaTheme="minorHAnsi" w:cs="Arial"/>
      <w:sz w:val="22"/>
      <w:szCs w:val="22"/>
      <w:vertAlign w:val="superscript"/>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820C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customStyle="1" w:styleId="ExhibitHead">
    <w:name w:val="Exhibit Head"/>
    <w:basedOn w:val="ExhibitText"/>
    <w:qFormat/>
    <w:rsid w:val="003753C1"/>
    <w:pPr>
      <w:jc w:val="center"/>
      <w:outlineLvl w:val="0"/>
    </w:pPr>
    <w:rPr>
      <w:rFonts w:eastAsiaTheme="minorHAnsi"/>
      <w:b/>
      <w:caps/>
      <w:szCs w:val="22"/>
      <w:lang w:val="en-CA"/>
    </w:rPr>
  </w:style>
  <w:style w:type="paragraph" w:customStyle="1" w:styleId="FootnoteRef">
    <w:name w:val="Footnote Ref #"/>
    <w:basedOn w:val="Normal"/>
    <w:qFormat/>
    <w:rsid w:val="003753C1"/>
    <w:pPr>
      <w:jc w:val="both"/>
      <w:outlineLvl w:val="0"/>
    </w:pPr>
    <w:rPr>
      <w:rFonts w:eastAsiaTheme="minorHAnsi" w:cs="Arial"/>
      <w:sz w:val="22"/>
      <w:szCs w:val="22"/>
      <w:vertAlign w:val="superscript"/>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B3E5C-F6A6-48A3-A5AF-6759E25E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2018-06-26T18:38:00Z</dcterms:created>
  <dcterms:modified xsi:type="dcterms:W3CDTF">2018-08-24T13:44:00Z</dcterms:modified>
</cp:coreProperties>
</file>