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571B" w14:textId="77777777" w:rsidR="00EE4C7C" w:rsidRPr="005650D7" w:rsidRDefault="00EE4C7C" w:rsidP="00EE4C7C">
      <w:pPr>
        <w:pBdr>
          <w:bottom w:val="single" w:sz="18" w:space="1" w:color="auto"/>
        </w:pBdr>
        <w:tabs>
          <w:tab w:val="left" w:pos="-1440"/>
          <w:tab w:val="left" w:pos="-720"/>
          <w:tab w:val="left" w:pos="1"/>
        </w:tabs>
        <w:jc w:val="both"/>
        <w:rPr>
          <w:rFonts w:ascii="Arial" w:hAnsi="Arial"/>
          <w:b/>
          <w:sz w:val="24"/>
          <w:lang w:val="en-GB"/>
        </w:rPr>
      </w:pPr>
      <w:r w:rsidRPr="005D5720">
        <w:rPr>
          <w:rFonts w:ascii="Arial" w:hAnsi="Arial"/>
          <w:b/>
          <w:noProof/>
          <w:sz w:val="24"/>
        </w:rPr>
        <w:drawing>
          <wp:inline distT="0" distB="0" distL="0" distR="0" wp14:anchorId="53BBD6E0" wp14:editId="682F253E">
            <wp:extent cx="2613804" cy="551245"/>
            <wp:effectExtent l="0" t="0" r="0" b="127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0FEA2E4" w14:textId="77777777" w:rsidR="00EE4C7C" w:rsidRPr="005650D7" w:rsidRDefault="00EE4C7C" w:rsidP="00EE4C7C">
      <w:pPr>
        <w:pStyle w:val="ProductNumber"/>
        <w:rPr>
          <w:lang w:val="en-GB"/>
        </w:rPr>
      </w:pPr>
      <w:r>
        <w:rPr>
          <w:lang w:val="en-GB"/>
        </w:rPr>
        <w:t>9B18M100</w:t>
      </w:r>
    </w:p>
    <w:p w14:paraId="3CF65287" w14:textId="77777777" w:rsidR="00FB7D1F" w:rsidRPr="00FB7D1F" w:rsidRDefault="00FB7D1F" w:rsidP="00D75295">
      <w:pPr>
        <w:jc w:val="right"/>
        <w:rPr>
          <w:rFonts w:ascii="Arial" w:hAnsi="Arial"/>
          <w:b/>
          <w:szCs w:val="28"/>
          <w:lang w:val="en-GB"/>
        </w:rPr>
      </w:pPr>
    </w:p>
    <w:p w14:paraId="3D3B286F" w14:textId="77777777" w:rsidR="00013360" w:rsidRPr="00FB7D1F" w:rsidRDefault="00013360" w:rsidP="00D75295">
      <w:pPr>
        <w:jc w:val="right"/>
        <w:rPr>
          <w:rFonts w:ascii="Arial" w:hAnsi="Arial"/>
          <w:b/>
          <w:szCs w:val="28"/>
          <w:lang w:val="en-GB"/>
        </w:rPr>
      </w:pPr>
    </w:p>
    <w:p w14:paraId="218B0C7C" w14:textId="77777777" w:rsidR="00013360" w:rsidRPr="005650D7" w:rsidRDefault="00E2644F" w:rsidP="00013360">
      <w:pPr>
        <w:pStyle w:val="CaseTitle"/>
        <w:spacing w:after="0" w:line="240" w:lineRule="auto"/>
        <w:rPr>
          <w:sz w:val="20"/>
          <w:szCs w:val="20"/>
          <w:lang w:val="en-GB"/>
        </w:rPr>
      </w:pPr>
      <w:r w:rsidRPr="005650D7">
        <w:rPr>
          <w:rFonts w:eastAsia="Times New Roman"/>
          <w:szCs w:val="20"/>
          <w:lang w:val="en-GB"/>
        </w:rPr>
        <w:t>Meridian Credit Union: Taking on the Big Banks</w:t>
      </w:r>
    </w:p>
    <w:p w14:paraId="6E6AA292" w14:textId="77777777" w:rsidR="00CA3976" w:rsidRPr="005650D7" w:rsidRDefault="00CA3976" w:rsidP="00013360">
      <w:pPr>
        <w:pStyle w:val="CaseTitle"/>
        <w:spacing w:after="0" w:line="240" w:lineRule="auto"/>
        <w:rPr>
          <w:sz w:val="20"/>
          <w:szCs w:val="20"/>
          <w:lang w:val="en-GB"/>
        </w:rPr>
      </w:pPr>
    </w:p>
    <w:p w14:paraId="0BEBBDB8" w14:textId="77777777" w:rsidR="00013360" w:rsidRPr="005650D7" w:rsidRDefault="00013360" w:rsidP="00013360">
      <w:pPr>
        <w:pStyle w:val="CaseTitle"/>
        <w:spacing w:after="0" w:line="240" w:lineRule="auto"/>
        <w:rPr>
          <w:sz w:val="20"/>
          <w:szCs w:val="20"/>
          <w:lang w:val="en-GB"/>
        </w:rPr>
      </w:pPr>
    </w:p>
    <w:p w14:paraId="6DD9E6ED" w14:textId="5381B82A" w:rsidR="00627C63" w:rsidRPr="005650D7" w:rsidRDefault="00EE4C7C" w:rsidP="00627C63">
      <w:pPr>
        <w:pStyle w:val="StyleCopyrightStatementAfter0ptBottomSinglesolidline1"/>
        <w:rPr>
          <w:lang w:val="en-GB"/>
        </w:rPr>
      </w:pPr>
      <w:hyperlink r:id="rId9" w:history="1">
        <w:r w:rsidR="009A703E">
          <w:rPr>
            <w:rStyle w:val="Hyperlink"/>
            <w:color w:val="auto"/>
            <w:u w:val="none"/>
            <w:lang w:val="en-GB"/>
          </w:rPr>
          <w:t>Mike</w:t>
        </w:r>
        <w:r w:rsidR="00E2644F" w:rsidRPr="005650D7">
          <w:rPr>
            <w:rStyle w:val="Hyperlink"/>
            <w:color w:val="auto"/>
            <w:u w:val="none"/>
            <w:lang w:val="en-GB"/>
          </w:rPr>
          <w:t xml:space="preserve"> Valente</w:t>
        </w:r>
      </w:hyperlink>
      <w:r w:rsidR="00E2644F" w:rsidRPr="005650D7">
        <w:rPr>
          <w:rStyle w:val="Hyperlink"/>
          <w:color w:val="auto"/>
          <w:u w:val="none"/>
          <w:lang w:val="en-GB"/>
        </w:rPr>
        <w:t xml:space="preserve"> </w:t>
      </w:r>
      <w:r w:rsidR="004B632F" w:rsidRPr="005650D7">
        <w:rPr>
          <w:lang w:val="en-GB"/>
        </w:rPr>
        <w:t xml:space="preserve">wrote this </w:t>
      </w:r>
      <w:r w:rsidR="00152682" w:rsidRPr="005650D7">
        <w:rPr>
          <w:lang w:val="en-GB"/>
        </w:rPr>
        <w:t>case</w:t>
      </w:r>
      <w:r w:rsidR="004B632F" w:rsidRPr="005650D7">
        <w:rPr>
          <w:lang w:val="en-GB"/>
        </w:rPr>
        <w:t xml:space="preserve"> </w:t>
      </w:r>
      <w:r w:rsidR="00152682" w:rsidRPr="005650D7">
        <w:rPr>
          <w:lang w:val="en-GB"/>
        </w:rPr>
        <w:t>solely to provide material for class discussion. The</w:t>
      </w:r>
      <w:r w:rsidR="001C7777" w:rsidRPr="005650D7">
        <w:rPr>
          <w:lang w:val="en-GB"/>
        </w:rPr>
        <w:t xml:space="preserve"> author</w:t>
      </w:r>
      <w:r w:rsidR="00152682" w:rsidRPr="005650D7">
        <w:rPr>
          <w:lang w:val="en-GB"/>
        </w:rPr>
        <w:t xml:space="preserve"> do</w:t>
      </w:r>
      <w:r w:rsidR="00E2644F" w:rsidRPr="005650D7">
        <w:rPr>
          <w:lang w:val="en-GB"/>
        </w:rPr>
        <w:t>es</w:t>
      </w:r>
      <w:r w:rsidR="00152682" w:rsidRPr="005650D7">
        <w:rPr>
          <w:lang w:val="en-GB"/>
        </w:rPr>
        <w:t xml:space="preserve"> not intend to illustrate either effective or ineffective handling of a managerial situation. The author may have disguised certain names and other identifying information to protect confidentiality.</w:t>
      </w:r>
      <w:r w:rsidR="004C0E9D" w:rsidRPr="004C0E9D">
        <w:rPr>
          <w:lang w:val="en-GB"/>
        </w:rPr>
        <w:t xml:space="preserve"> </w:t>
      </w:r>
    </w:p>
    <w:p w14:paraId="5B7CFCF2" w14:textId="77777777" w:rsidR="00751E0B" w:rsidRPr="005650D7" w:rsidRDefault="00751E0B" w:rsidP="00751E0B">
      <w:pPr>
        <w:pStyle w:val="StyleCopyrightStatementAfter0ptBottomSinglesolidline1"/>
        <w:rPr>
          <w:lang w:val="en-GB"/>
        </w:rPr>
      </w:pPr>
    </w:p>
    <w:p w14:paraId="08C37918" w14:textId="77777777" w:rsidR="00EE4C7C" w:rsidRPr="00E23AB7" w:rsidRDefault="00EE4C7C" w:rsidP="00EE4C7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r w:rsidRPr="005D0C0B">
        <w:rPr>
          <w:rFonts w:ascii="Arial" w:hAnsi="Arial"/>
          <w:i/>
          <w:iCs/>
          <w:color w:val="000000"/>
          <w:sz w:val="16"/>
        </w:rPr>
        <w:t>www.iveypublishing.ca</w:t>
      </w:r>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 xml:space="preserve">. </w:t>
      </w:r>
      <w:r w:rsidRPr="00923EE0">
        <w:rPr>
          <w:rFonts w:ascii="Arial" w:hAnsi="Arial"/>
          <w:i/>
          <w:iCs/>
          <w:color w:val="FFFFFF" w:themeColor="background1"/>
          <w:sz w:val="16"/>
        </w:rPr>
        <w:t>i1v2e5y5pubs</w:t>
      </w:r>
    </w:p>
    <w:p w14:paraId="7B280D21" w14:textId="77777777" w:rsidR="00FB7D1F" w:rsidRPr="005650D7" w:rsidRDefault="00FB7D1F" w:rsidP="00751E0B">
      <w:pPr>
        <w:pStyle w:val="StyleCopyrightStatementAfter0ptBottomSinglesolidline1"/>
        <w:rPr>
          <w:lang w:val="en-GB"/>
        </w:rPr>
      </w:pPr>
    </w:p>
    <w:p w14:paraId="229BFBA2" w14:textId="0CA42F5F" w:rsidR="00751E0B" w:rsidRPr="005650D7" w:rsidRDefault="00EE4C7C"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452862">
        <w:rPr>
          <w:rFonts w:cs="Arial"/>
          <w:szCs w:val="16"/>
          <w:lang w:val="en-GB"/>
        </w:rPr>
        <w:tab/>
      </w:r>
      <w:r w:rsidR="00751E0B" w:rsidRPr="005650D7">
        <w:rPr>
          <w:lang w:val="en-GB"/>
        </w:rPr>
        <w:t xml:space="preserve">Version: </w:t>
      </w:r>
      <w:r w:rsidR="003D0BA1" w:rsidRPr="005650D7">
        <w:rPr>
          <w:lang w:val="en-GB"/>
        </w:rPr>
        <w:t>20</w:t>
      </w:r>
      <w:r w:rsidR="00FB7D1F">
        <w:rPr>
          <w:lang w:val="en-GB"/>
        </w:rPr>
        <w:t>23-</w:t>
      </w:r>
      <w:r>
        <w:rPr>
          <w:lang w:val="en-GB"/>
        </w:rPr>
        <w:t>11</w:t>
      </w:r>
      <w:r w:rsidR="00FB7D1F">
        <w:rPr>
          <w:lang w:val="en-GB"/>
        </w:rPr>
        <w:t>-</w:t>
      </w:r>
      <w:r>
        <w:rPr>
          <w:lang w:val="en-GB"/>
        </w:rPr>
        <w:t>02</w:t>
      </w:r>
    </w:p>
    <w:p w14:paraId="55114DD1" w14:textId="77777777" w:rsidR="00751E0B" w:rsidRPr="005650D7" w:rsidRDefault="00751E0B" w:rsidP="00751E0B">
      <w:pPr>
        <w:pStyle w:val="StyleCopyrightStatementAfter0ptBottomSinglesolidline1"/>
        <w:rPr>
          <w:rFonts w:ascii="Times New Roman" w:hAnsi="Times New Roman"/>
          <w:sz w:val="20"/>
          <w:lang w:val="en-GB"/>
        </w:rPr>
      </w:pPr>
    </w:p>
    <w:p w14:paraId="13E32E35" w14:textId="77777777" w:rsidR="004B632F" w:rsidRPr="005650D7" w:rsidRDefault="004B632F" w:rsidP="004B632F">
      <w:pPr>
        <w:pStyle w:val="StyleCopyrightStatementAfter0ptBottomSinglesolidline1"/>
        <w:rPr>
          <w:rFonts w:ascii="Times New Roman" w:hAnsi="Times New Roman"/>
          <w:sz w:val="20"/>
          <w:lang w:val="en-GB"/>
        </w:rPr>
      </w:pPr>
    </w:p>
    <w:p w14:paraId="0D707495" w14:textId="382A6B4B" w:rsidR="00401C58" w:rsidRPr="005650D7" w:rsidRDefault="00E2644F" w:rsidP="00E2644F">
      <w:pPr>
        <w:pStyle w:val="BodyTextMain"/>
        <w:rPr>
          <w:rFonts w:eastAsia="Calibri"/>
          <w:lang w:val="en-GB"/>
        </w:rPr>
      </w:pPr>
      <w:r w:rsidRPr="005650D7">
        <w:rPr>
          <w:rFonts w:eastAsia="Calibri"/>
          <w:lang w:val="en-GB"/>
        </w:rPr>
        <w:t>Meridian Credit Union</w:t>
      </w:r>
      <w:r w:rsidR="00F620D6" w:rsidRPr="005650D7">
        <w:rPr>
          <w:rFonts w:eastAsia="Calibri"/>
          <w:lang w:val="en-GB"/>
        </w:rPr>
        <w:t xml:space="preserve"> (Meridian)</w:t>
      </w:r>
      <w:r w:rsidRPr="005650D7">
        <w:rPr>
          <w:rFonts w:eastAsia="Calibri"/>
          <w:lang w:val="en-GB"/>
        </w:rPr>
        <w:t xml:space="preserve"> was an Ontario-based co</w:t>
      </w:r>
      <w:r w:rsidR="00F51F2D">
        <w:rPr>
          <w:rFonts w:eastAsia="Calibri"/>
          <w:lang w:val="en-GB"/>
        </w:rPr>
        <w:t>-</w:t>
      </w:r>
      <w:r w:rsidRPr="005650D7">
        <w:rPr>
          <w:rFonts w:eastAsia="Calibri"/>
          <w:lang w:val="en-GB"/>
        </w:rPr>
        <w:t>operative</w:t>
      </w:r>
      <w:r w:rsidR="00E23C21">
        <w:rPr>
          <w:rFonts w:eastAsia="Calibri"/>
          <w:lang w:val="en-GB"/>
        </w:rPr>
        <w:t xml:space="preserve"> (co-op)</w:t>
      </w:r>
      <w:r w:rsidRPr="005650D7">
        <w:rPr>
          <w:rFonts w:eastAsia="Calibri"/>
          <w:lang w:val="en-GB"/>
        </w:rPr>
        <w:t xml:space="preserve"> bank with over 300,000 </w:t>
      </w:r>
      <w:r w:rsidR="00962AE0" w:rsidRPr="005650D7">
        <w:rPr>
          <w:rFonts w:eastAsia="Calibri"/>
          <w:lang w:val="en-GB"/>
        </w:rPr>
        <w:t xml:space="preserve">members </w:t>
      </w:r>
      <w:r w:rsidRPr="00452862">
        <w:rPr>
          <w:rFonts w:eastAsia="Calibri"/>
          <w:lang w:val="en-GB"/>
        </w:rPr>
        <w:t>(i.e.</w:t>
      </w:r>
      <w:r w:rsidR="00962AE0" w:rsidRPr="00452862">
        <w:rPr>
          <w:rFonts w:eastAsia="Calibri"/>
          <w:lang w:val="en-GB"/>
        </w:rPr>
        <w:t>,</w:t>
      </w:r>
      <w:r w:rsidRPr="00452862">
        <w:rPr>
          <w:rFonts w:eastAsia="Calibri"/>
          <w:lang w:val="en-GB"/>
        </w:rPr>
        <w:t xml:space="preserve"> customers</w:t>
      </w:r>
      <w:r w:rsidR="00962AE0" w:rsidRPr="00452862">
        <w:rPr>
          <w:rFonts w:eastAsia="Calibri"/>
          <w:lang w:val="en-GB"/>
        </w:rPr>
        <w:t xml:space="preserve">) </w:t>
      </w:r>
      <w:r w:rsidRPr="005650D7">
        <w:rPr>
          <w:rFonts w:eastAsia="Calibri"/>
          <w:lang w:val="en-GB"/>
        </w:rPr>
        <w:t xml:space="preserve">and close to </w:t>
      </w:r>
      <w:r w:rsidR="00A111D2">
        <w:rPr>
          <w:rFonts w:eastAsia="Calibri"/>
          <w:lang w:val="en-GB"/>
        </w:rPr>
        <w:t>C</w:t>
      </w:r>
      <w:r w:rsidR="00E23C21">
        <w:rPr>
          <w:rFonts w:eastAsia="Calibri"/>
          <w:lang w:val="en-GB"/>
        </w:rPr>
        <w:t>A</w:t>
      </w:r>
      <w:r w:rsidRPr="005650D7">
        <w:rPr>
          <w:rFonts w:eastAsia="Calibri"/>
          <w:lang w:val="en-GB"/>
        </w:rPr>
        <w:t>$16 billion</w:t>
      </w:r>
      <w:r w:rsidR="00401C58" w:rsidRPr="005650D7">
        <w:rPr>
          <w:rStyle w:val="EndnoteReference"/>
          <w:rFonts w:eastAsia="Calibri"/>
          <w:lang w:val="en-GB"/>
        </w:rPr>
        <w:endnoteReference w:id="1"/>
      </w:r>
      <w:r w:rsidR="00401C58" w:rsidRPr="005650D7">
        <w:rPr>
          <w:rFonts w:eastAsia="Calibri"/>
          <w:lang w:val="en-GB"/>
        </w:rPr>
        <w:t xml:space="preserve"> in assets. Unlike chartered banks, credit unions possessed a co</w:t>
      </w:r>
      <w:r w:rsidR="00F51F2D">
        <w:rPr>
          <w:rFonts w:eastAsia="Calibri"/>
          <w:lang w:val="en-GB"/>
        </w:rPr>
        <w:noBreakHyphen/>
      </w:r>
      <w:r w:rsidR="00E23C21">
        <w:rPr>
          <w:rFonts w:eastAsia="Calibri"/>
          <w:lang w:val="en-GB"/>
        </w:rPr>
        <w:t>op</w:t>
      </w:r>
      <w:r w:rsidR="00401C58" w:rsidRPr="005650D7">
        <w:rPr>
          <w:rFonts w:eastAsia="Calibri"/>
          <w:lang w:val="en-GB"/>
        </w:rPr>
        <w:t xml:space="preserve"> ownership structure, where customers, not shareholders, owned the financial institution. Meridian had an intimate relationship with its members and an authentic commitment to the communities in which it resided, something the big banks often struggled to achieve. Although credit unions had been around for over 100 years, they had struggled to achieve a significant market share relative to Canada’s big banks </w:t>
      </w:r>
      <w:r w:rsidR="00401C58" w:rsidRPr="00452862">
        <w:rPr>
          <w:rFonts w:eastAsia="Calibri"/>
          <w:lang w:val="en-GB"/>
        </w:rPr>
        <w:t>in Ontario and beyond</w:t>
      </w:r>
      <w:r w:rsidR="00401C58" w:rsidRPr="005650D7">
        <w:rPr>
          <w:rFonts w:eastAsia="Calibri"/>
          <w:lang w:val="en-GB"/>
        </w:rPr>
        <w:t>. Since 2014, however, Meridian had experienced tremendous growth in its membership base and had been able to capture a modest slice of the big banks’ customer base. In March 2018, Meridian’s executive team reflected on this recent growth and the changes th</w:t>
      </w:r>
      <w:r w:rsidR="00A111D2">
        <w:rPr>
          <w:rFonts w:eastAsia="Calibri"/>
          <w:lang w:val="en-GB"/>
        </w:rPr>
        <w:t>e</w:t>
      </w:r>
      <w:r w:rsidR="00401C58" w:rsidRPr="005650D7">
        <w:rPr>
          <w:rFonts w:eastAsia="Calibri"/>
          <w:lang w:val="en-GB"/>
        </w:rPr>
        <w:t xml:space="preserve"> growth had made to Meridian. It was time to think about where Meridian should go from here.</w:t>
      </w:r>
      <w:r w:rsidR="005D5720">
        <w:rPr>
          <w:rFonts w:eastAsia="Calibri"/>
          <w:lang w:val="en-GB"/>
        </w:rPr>
        <w:t xml:space="preserve"> </w:t>
      </w:r>
    </w:p>
    <w:p w14:paraId="2E353CFD" w14:textId="77777777" w:rsidR="00401C58" w:rsidRPr="005650D7" w:rsidRDefault="00401C58" w:rsidP="00E2644F">
      <w:pPr>
        <w:pStyle w:val="BodyTextMain"/>
        <w:rPr>
          <w:rFonts w:eastAsia="Calibri"/>
          <w:lang w:val="en-GB"/>
        </w:rPr>
      </w:pPr>
    </w:p>
    <w:p w14:paraId="4B718CFA" w14:textId="77777777" w:rsidR="00401C58" w:rsidRPr="005650D7" w:rsidRDefault="00401C58" w:rsidP="00E2644F">
      <w:pPr>
        <w:pStyle w:val="BodyTextMain"/>
        <w:rPr>
          <w:rFonts w:eastAsia="Calibri"/>
          <w:lang w:val="en-GB"/>
        </w:rPr>
      </w:pPr>
    </w:p>
    <w:p w14:paraId="5E3A2F35" w14:textId="77777777" w:rsidR="00401C58" w:rsidRPr="005D5720" w:rsidRDefault="00401C58" w:rsidP="005D5720">
      <w:pPr>
        <w:pStyle w:val="Casehead1"/>
        <w:rPr>
          <w:rFonts w:eastAsia="Calibri"/>
        </w:rPr>
      </w:pPr>
      <w:r w:rsidRPr="005D5720">
        <w:rPr>
          <w:rFonts w:eastAsia="Calibri"/>
        </w:rPr>
        <w:t>The Canadian Financial Services Industry</w:t>
      </w:r>
    </w:p>
    <w:p w14:paraId="7931DCAB" w14:textId="77777777" w:rsidR="00401C58" w:rsidRPr="005650D7" w:rsidRDefault="00401C58" w:rsidP="00E2644F">
      <w:pPr>
        <w:pStyle w:val="BodyTextMain"/>
        <w:rPr>
          <w:rFonts w:eastAsia="Calibri"/>
          <w:lang w:val="en-GB"/>
        </w:rPr>
      </w:pPr>
    </w:p>
    <w:p w14:paraId="08EB72DA" w14:textId="73AF39B7" w:rsidR="00401C58" w:rsidRPr="005650D7" w:rsidRDefault="00401C58" w:rsidP="00E2644F">
      <w:pPr>
        <w:pStyle w:val="BodyTextMain"/>
        <w:rPr>
          <w:rFonts w:eastAsia="Calibri"/>
          <w:lang w:val="en-GB"/>
        </w:rPr>
      </w:pPr>
      <w:r w:rsidRPr="005650D7">
        <w:rPr>
          <w:rFonts w:eastAsia="Calibri"/>
          <w:lang w:val="en-GB"/>
        </w:rPr>
        <w:t xml:space="preserve">The financial services industry in Canada was concentrated. Six banks—TD Canada Trust (TD), Bank of Montreal (BMO), The Bank of Nova Scotia (Scotiabank), Canadian Imperial Bank of Commerce (CIBC), Royal Bank of Canada (RBC), and National Bank of Canada (NBC)—claimed roughly 80 per cent of total </w:t>
      </w:r>
      <w:r w:rsidRPr="00452862">
        <w:rPr>
          <w:rFonts w:eastAsia="Calibri"/>
          <w:lang w:val="en-GB"/>
        </w:rPr>
        <w:t xml:space="preserve">industry </w:t>
      </w:r>
      <w:r w:rsidRPr="005650D7">
        <w:rPr>
          <w:rFonts w:eastAsia="Calibri"/>
          <w:lang w:val="en-GB"/>
        </w:rPr>
        <w:t>asset</w:t>
      </w:r>
      <w:bookmarkStart w:id="0" w:name="_ftnref2"/>
      <w:r w:rsidRPr="005650D7">
        <w:rPr>
          <w:rFonts w:eastAsia="Calibri"/>
          <w:lang w:val="en-GB"/>
        </w:rPr>
        <w:t>s</w:t>
      </w:r>
      <w:bookmarkEnd w:id="0"/>
      <w:r w:rsidRPr="005650D7">
        <w:rPr>
          <w:rFonts w:eastAsia="Calibri"/>
          <w:lang w:val="en-GB"/>
        </w:rPr>
        <w:t>.</w:t>
      </w:r>
      <w:r w:rsidRPr="005650D7">
        <w:rPr>
          <w:rFonts w:eastAsia="Calibri"/>
          <w:vertAlign w:val="superscript"/>
          <w:lang w:val="en-GB"/>
        </w:rPr>
        <w:endnoteReference w:id="2"/>
      </w:r>
      <w:r w:rsidRPr="005650D7">
        <w:rPr>
          <w:rFonts w:eastAsia="Calibri"/>
          <w:lang w:val="en-GB"/>
        </w:rPr>
        <w:t xml:space="preserve"> Financial performance in the industry had been nothing short of stellar. </w:t>
      </w:r>
      <w:r w:rsidRPr="00452862">
        <w:rPr>
          <w:rFonts w:eastAsia="Calibri"/>
          <w:lang w:val="en-GB"/>
        </w:rPr>
        <w:t xml:space="preserve">Total revenues in 2016 across the six banks amounted to $141 billion (a 9 per cent increase from 2015), and profits added up to $36.9 billion (a 5.7 per cent increase from 2015). The banks had enjoyed similar increases over the </w:t>
      </w:r>
      <w:r w:rsidR="00A111D2">
        <w:rPr>
          <w:rFonts w:eastAsia="Calibri"/>
          <w:lang w:val="en-GB"/>
        </w:rPr>
        <w:t>p</w:t>
      </w:r>
      <w:r w:rsidRPr="00452862">
        <w:rPr>
          <w:rFonts w:eastAsia="Calibri"/>
          <w:lang w:val="en-GB"/>
        </w:rPr>
        <w:t xml:space="preserve">ast several years. Although average return on equity (ROE) across the big banks had declined </w:t>
      </w:r>
      <w:r w:rsidRPr="005650D7">
        <w:rPr>
          <w:rFonts w:eastAsia="Calibri"/>
          <w:lang w:val="en-GB"/>
        </w:rPr>
        <w:t>from 15.</w:t>
      </w:r>
      <w:r w:rsidR="00F51F2D" w:rsidRPr="005650D7">
        <w:rPr>
          <w:rFonts w:eastAsia="Calibri"/>
          <w:lang w:val="en-GB"/>
        </w:rPr>
        <w:t>8</w:t>
      </w:r>
      <w:r w:rsidR="00F51F2D">
        <w:rPr>
          <w:rFonts w:eastAsia="Calibri"/>
          <w:lang w:val="en-GB"/>
        </w:rPr>
        <w:t> </w:t>
      </w:r>
      <w:r w:rsidR="00F51F2D" w:rsidRPr="005650D7">
        <w:rPr>
          <w:rFonts w:eastAsia="Calibri"/>
          <w:lang w:val="en-GB"/>
        </w:rPr>
        <w:t>per</w:t>
      </w:r>
      <w:r w:rsidR="00F51F2D">
        <w:rPr>
          <w:rFonts w:eastAsia="Calibri"/>
          <w:lang w:val="en-GB"/>
        </w:rPr>
        <w:t> </w:t>
      </w:r>
      <w:r w:rsidRPr="005650D7">
        <w:rPr>
          <w:rFonts w:eastAsia="Calibri"/>
          <w:lang w:val="en-GB"/>
        </w:rPr>
        <w:t>cent in 2015 to 14.8 per cent in 2016, it remained higher than asset growth, meaning that the big banks had been able to grow their assets while maintaining healthy financial margins.</w:t>
      </w:r>
    </w:p>
    <w:p w14:paraId="4BA1C9DF" w14:textId="77777777" w:rsidR="00401C58" w:rsidRPr="005650D7" w:rsidRDefault="00401C58" w:rsidP="00E2644F">
      <w:pPr>
        <w:pStyle w:val="BodyTextMain"/>
        <w:rPr>
          <w:rFonts w:eastAsia="Calibri"/>
          <w:lang w:val="en-GB"/>
        </w:rPr>
      </w:pPr>
    </w:p>
    <w:p w14:paraId="18CA3E17" w14:textId="08E67389" w:rsidR="00401C58" w:rsidRPr="00B12C1D" w:rsidRDefault="00401C58" w:rsidP="006E16AB">
      <w:pPr>
        <w:pStyle w:val="BodyTextMain"/>
        <w:rPr>
          <w:rFonts w:eastAsia="Calibri"/>
        </w:rPr>
      </w:pPr>
      <w:r w:rsidRPr="006E16AB">
        <w:rPr>
          <w:rFonts w:eastAsia="Calibri"/>
        </w:rPr>
        <w:t>Revenues of most financial institutions (e.g.</w:t>
      </w:r>
      <w:r w:rsidRPr="00D57512">
        <w:rPr>
          <w:rFonts w:eastAsia="Calibri"/>
        </w:rPr>
        <w:t>, banks</w:t>
      </w:r>
      <w:r w:rsidRPr="00B12C1D">
        <w:rPr>
          <w:rFonts w:eastAsia="Calibri"/>
        </w:rPr>
        <w:t xml:space="preserve"> and credit unions) were lumped into two main categories: interest income and non-interest income. Interest income made up approximately 56 per cent of the revenue of the largest banks</w:t>
      </w:r>
      <w:r w:rsidRPr="006E16AB">
        <w:rPr>
          <w:rFonts w:eastAsia="Calibri"/>
          <w:vertAlign w:val="superscript"/>
        </w:rPr>
        <w:endnoteReference w:id="3"/>
      </w:r>
      <w:r w:rsidRPr="00123E67">
        <w:rPr>
          <w:rStyle w:val="CommentReference"/>
          <w:sz w:val="22"/>
          <w:szCs w:val="22"/>
        </w:rPr>
        <w:t xml:space="preserve"> </w:t>
      </w:r>
      <w:r w:rsidRPr="006E16AB">
        <w:rPr>
          <w:rStyle w:val="CommentReference"/>
          <w:sz w:val="22"/>
          <w:szCs w:val="22"/>
        </w:rPr>
        <w:t>a</w:t>
      </w:r>
      <w:r w:rsidRPr="00D57512">
        <w:rPr>
          <w:rFonts w:eastAsia="Calibri"/>
        </w:rPr>
        <w:t>nd was generated from what was known as the “spread</w:t>
      </w:r>
      <w:r w:rsidRPr="008B0C3D">
        <w:rPr>
          <w:rFonts w:eastAsia="Calibri"/>
        </w:rPr>
        <w:t xml:space="preserve">.” </w:t>
      </w:r>
      <w:r w:rsidRPr="00B12C1D">
        <w:rPr>
          <w:rFonts w:eastAsia="Calibri"/>
        </w:rPr>
        <w:t xml:space="preserve">The spread was the difference between the interest a bank earned on its loans to customers and the interest it paid to depositors and other creditors for the use of their money. Non-interest income, which made up the remaining 44 per cent of big bank revenue, represented a variety of value-added services including securities trading, providing assistance for companies issuing new equity financing, personal banking service fees, commissions on securities, and wealth management. </w:t>
      </w:r>
    </w:p>
    <w:p w14:paraId="6CB3CD05" w14:textId="77777777" w:rsidR="00401C58" w:rsidRPr="005650D7" w:rsidRDefault="00401C58" w:rsidP="00E2644F">
      <w:pPr>
        <w:pStyle w:val="Casehead2"/>
        <w:rPr>
          <w:rFonts w:eastAsia="Calibri"/>
          <w:lang w:val="en-GB"/>
        </w:rPr>
      </w:pPr>
      <w:r w:rsidRPr="005650D7">
        <w:rPr>
          <w:rFonts w:eastAsia="Calibri"/>
          <w:lang w:val="en-GB"/>
        </w:rPr>
        <w:lastRenderedPageBreak/>
        <w:t>Regulatory Environment</w:t>
      </w:r>
    </w:p>
    <w:p w14:paraId="48CD3ABE" w14:textId="77777777" w:rsidR="00401C58" w:rsidRPr="005650D7" w:rsidRDefault="00401C58" w:rsidP="00E2644F">
      <w:pPr>
        <w:pStyle w:val="BodyTextMain"/>
        <w:rPr>
          <w:rFonts w:eastAsia="Calibri"/>
          <w:lang w:val="en-GB"/>
        </w:rPr>
      </w:pPr>
    </w:p>
    <w:p w14:paraId="045363AB" w14:textId="2F482230" w:rsidR="00401C58" w:rsidRPr="005650D7" w:rsidRDefault="00401C58" w:rsidP="00E2644F">
      <w:pPr>
        <w:pStyle w:val="BodyTextMain"/>
        <w:rPr>
          <w:rFonts w:eastAsia="Calibri"/>
          <w:lang w:val="en-GB"/>
        </w:rPr>
      </w:pPr>
      <w:r w:rsidRPr="005650D7">
        <w:rPr>
          <w:rFonts w:eastAsia="Calibri"/>
          <w:lang w:val="en-GB"/>
        </w:rPr>
        <w:t>The Canadian government had generally sought to protect Canada’s big banks. For instance, because of the requirement that large banks be widely held, it was impossible for any large Canadian bank to be foreign controlled.</w:t>
      </w:r>
      <w:r w:rsidRPr="005650D7">
        <w:rPr>
          <w:rFonts w:eastAsia="Calibri"/>
          <w:vertAlign w:val="superscript"/>
          <w:lang w:val="en-GB"/>
        </w:rPr>
        <w:endnoteReference w:id="4"/>
      </w:r>
      <w:r w:rsidRPr="005650D7">
        <w:rPr>
          <w:rFonts w:eastAsia="Calibri"/>
          <w:lang w:val="en-GB"/>
        </w:rPr>
        <w:t xml:space="preserve"> The big banks were also quite well protected from domestic competition. Although credit unions emerged as potential competitors to the big banks, they were provincially regulated, which made it difficult for them to compete at a national level because of variations in regulation across provinces and limitations on doing business across provinces. While the Canadian government offered credit unions the opportunity to establish themselves federally, the process of making this transition remained ambiguous, and lingering inequities put federal credit unions at a disadvantage relative to their banking counterparts, which—unlike credit unions—were able to rely on multiple institutions to leverage limits on deposit insurance. The banks’ oligopoly was further entrenched by a past change to the Bank Act, which allowed banks to engage in a broad range of financial service</w:t>
      </w:r>
      <w:r w:rsidR="00A111D2">
        <w:rPr>
          <w:rFonts w:eastAsia="Calibri"/>
          <w:lang w:val="en-GB"/>
        </w:rPr>
        <w:t>s. T</w:t>
      </w:r>
      <w:r w:rsidRPr="005650D7">
        <w:rPr>
          <w:rFonts w:eastAsia="Calibri"/>
          <w:lang w:val="en-GB"/>
        </w:rPr>
        <w:t>hey could manage trusts, sell insurance, and underwrite corporate securiti</w:t>
      </w:r>
      <w:bookmarkStart w:id="1" w:name="_ftnref8"/>
      <w:r w:rsidRPr="005650D7">
        <w:rPr>
          <w:rFonts w:eastAsia="Calibri"/>
          <w:lang w:val="en-GB"/>
        </w:rPr>
        <w:t>es</w:t>
      </w:r>
      <w:bookmarkEnd w:id="1"/>
      <w:r w:rsidRPr="005650D7">
        <w:rPr>
          <w:rFonts w:eastAsia="Calibri"/>
          <w:vertAlign w:val="superscript"/>
          <w:lang w:val="en-GB"/>
        </w:rPr>
        <w:endnoteReference w:id="5"/>
      </w:r>
      <w:r w:rsidRPr="005650D7">
        <w:rPr>
          <w:rFonts w:eastAsia="Calibri"/>
          <w:lang w:val="en-GB"/>
        </w:rPr>
        <w:t xml:space="preserve"> (primarily through affiliated entities), and this allowed them to further cement their dominant market position.</w:t>
      </w:r>
      <w:r w:rsidR="005D5720">
        <w:rPr>
          <w:rFonts w:eastAsia="Calibri"/>
          <w:lang w:val="en-GB"/>
        </w:rPr>
        <w:t xml:space="preserve"> </w:t>
      </w:r>
    </w:p>
    <w:p w14:paraId="0E234608" w14:textId="77777777" w:rsidR="00401C58" w:rsidRPr="005650D7" w:rsidRDefault="00401C58" w:rsidP="00E2644F">
      <w:pPr>
        <w:pStyle w:val="BodyTextMain"/>
        <w:rPr>
          <w:rFonts w:eastAsia="Calibri"/>
          <w:lang w:val="en-GB"/>
        </w:rPr>
      </w:pPr>
    </w:p>
    <w:p w14:paraId="7A424924" w14:textId="7D545803" w:rsidR="00401C58" w:rsidRPr="005650D7" w:rsidRDefault="00401C58" w:rsidP="00E2644F">
      <w:pPr>
        <w:pStyle w:val="BodyTextMain"/>
        <w:rPr>
          <w:rFonts w:eastAsia="Calibri"/>
          <w:lang w:val="en-GB"/>
        </w:rPr>
      </w:pPr>
      <w:r w:rsidRPr="005650D7">
        <w:rPr>
          <w:rFonts w:eastAsia="Calibri"/>
          <w:lang w:val="en-GB"/>
        </w:rPr>
        <w:t xml:space="preserve">Although the government’s protection of the banks originated partly from its history of exercising control over </w:t>
      </w:r>
      <w:r w:rsidR="00A111D2">
        <w:rPr>
          <w:rFonts w:eastAsia="Calibri"/>
          <w:lang w:val="en-GB"/>
        </w:rPr>
        <w:t>them</w:t>
      </w:r>
      <w:r w:rsidRPr="005650D7">
        <w:rPr>
          <w:rFonts w:eastAsia="Calibri"/>
          <w:lang w:val="en-GB"/>
        </w:rPr>
        <w:t>, the big banks, through the Canadian Bankers Association, had actively lobbied for regulations that would preserve their market position. Recently, they had almost succeeded in persuading the government to pass a regulation that would prohibit non-chartered banks (e.g., credit unions) from using the word “bank,” or any derivative, in any communications—because, as the banks claimed, this use was causing market confusion.</w:t>
      </w:r>
      <w:r w:rsidRPr="005650D7">
        <w:rPr>
          <w:rFonts w:eastAsia="Calibri"/>
          <w:vertAlign w:val="superscript"/>
          <w:lang w:val="en-GB"/>
        </w:rPr>
        <w:endnoteReference w:id="6"/>
      </w:r>
      <w:r w:rsidRPr="005650D7">
        <w:rPr>
          <w:rFonts w:eastAsia="Calibri"/>
          <w:lang w:val="en-GB"/>
        </w:rPr>
        <w:t xml:space="preserve"> This attitude of superiority on the part of the big banks also played out in their relationships with consumers, and the banks’ historical ties to government encouraged an authoritarian approach toward consumers. Instead of seeing consumers as valuable customers, the banks tended to expect consumers to view recei</w:t>
      </w:r>
      <w:r w:rsidR="009E244B">
        <w:rPr>
          <w:rFonts w:eastAsia="Calibri"/>
          <w:lang w:val="en-GB"/>
        </w:rPr>
        <w:t xml:space="preserve">ving </w:t>
      </w:r>
      <w:r w:rsidRPr="005650D7">
        <w:rPr>
          <w:rFonts w:eastAsia="Calibri"/>
          <w:lang w:val="en-GB"/>
        </w:rPr>
        <w:t>banking services as a privilege.</w:t>
      </w:r>
      <w:r w:rsidRPr="005650D7">
        <w:rPr>
          <w:rFonts w:eastAsia="Calibri"/>
          <w:vertAlign w:val="superscript"/>
          <w:lang w:val="en-GB"/>
        </w:rPr>
        <w:endnoteReference w:id="7"/>
      </w:r>
      <w:r w:rsidRPr="005650D7">
        <w:rPr>
          <w:rStyle w:val="CommentReference"/>
          <w:sz w:val="22"/>
          <w:szCs w:val="22"/>
          <w:lang w:val="en-GB"/>
        </w:rPr>
        <w:t xml:space="preserve"> </w:t>
      </w:r>
      <w:r w:rsidRPr="005650D7">
        <w:rPr>
          <w:rFonts w:eastAsia="Calibri"/>
          <w:lang w:val="en-GB"/>
        </w:rPr>
        <w:t xml:space="preserve">Studies confirmed that, as a result, </w:t>
      </w:r>
      <w:r w:rsidRPr="00452862">
        <w:rPr>
          <w:rFonts w:eastAsia="Calibri"/>
          <w:lang w:val="en-GB"/>
        </w:rPr>
        <w:t>the big banks in Canada had struggled to develop strong relationships with customers.</w:t>
      </w:r>
      <w:r w:rsidRPr="00452862">
        <w:rPr>
          <w:rFonts w:eastAsia="Calibri"/>
          <w:vertAlign w:val="superscript"/>
          <w:lang w:val="en-GB"/>
        </w:rPr>
        <w:endnoteReference w:id="8"/>
      </w:r>
      <w:r w:rsidRPr="00452862">
        <w:rPr>
          <w:rFonts w:eastAsia="Calibri"/>
          <w:lang w:val="en-GB"/>
        </w:rPr>
        <w:t xml:space="preserve"> That said, </w:t>
      </w:r>
      <w:r w:rsidRPr="005650D7">
        <w:rPr>
          <w:rFonts w:eastAsia="Calibri"/>
          <w:lang w:val="en-GB"/>
        </w:rPr>
        <w:t xml:space="preserve">a recent survey had found that Canadians trusted the big banks: </w:t>
      </w:r>
      <w:r w:rsidRPr="00452862">
        <w:rPr>
          <w:rFonts w:eastAsia="Calibri"/>
          <w:lang w:val="en-GB"/>
        </w:rPr>
        <w:t>84 per cent of Canadians had a favourable impression of Canadian banks, and 93 per cent of respondents had a favourable impression of the bank they did most of their business with.</w:t>
      </w:r>
      <w:r w:rsidRPr="00452862">
        <w:rPr>
          <w:rFonts w:eastAsia="Calibri"/>
          <w:vertAlign w:val="superscript"/>
          <w:lang w:val="en-GB"/>
        </w:rPr>
        <w:endnoteReference w:id="9"/>
      </w:r>
      <w:r w:rsidRPr="00452862">
        <w:rPr>
          <w:rFonts w:eastAsia="Calibri"/>
          <w:lang w:val="en-GB"/>
        </w:rPr>
        <w:t xml:space="preserve"> Overall, Canadians tended to associate the high profitability of the big banks with stability and security in the Canadian economy.</w:t>
      </w:r>
    </w:p>
    <w:p w14:paraId="5BFCD8AC" w14:textId="77777777" w:rsidR="00401C58" w:rsidRPr="005650D7" w:rsidRDefault="00401C58" w:rsidP="00E2644F">
      <w:pPr>
        <w:pStyle w:val="BodyTextMain"/>
        <w:rPr>
          <w:rFonts w:eastAsia="Calibri"/>
          <w:lang w:val="en-GB"/>
        </w:rPr>
      </w:pPr>
    </w:p>
    <w:p w14:paraId="0E111C39" w14:textId="77777777" w:rsidR="00401C58" w:rsidRPr="005650D7" w:rsidRDefault="00401C58" w:rsidP="00E2644F">
      <w:pPr>
        <w:pStyle w:val="BodyTextMain"/>
        <w:rPr>
          <w:rFonts w:eastAsia="Calibri"/>
          <w:lang w:val="en-GB"/>
        </w:rPr>
      </w:pPr>
    </w:p>
    <w:p w14:paraId="41747319" w14:textId="77777777" w:rsidR="00401C58" w:rsidRPr="005650D7" w:rsidRDefault="00401C58" w:rsidP="00E2644F">
      <w:pPr>
        <w:pStyle w:val="Casehead2"/>
        <w:rPr>
          <w:rFonts w:eastAsia="Calibri"/>
          <w:lang w:val="en-GB"/>
        </w:rPr>
      </w:pPr>
      <w:r w:rsidRPr="005650D7">
        <w:rPr>
          <w:rFonts w:eastAsia="Calibri"/>
          <w:lang w:val="en-GB"/>
        </w:rPr>
        <w:t>Responsible Banking</w:t>
      </w:r>
    </w:p>
    <w:p w14:paraId="2B706F5C" w14:textId="77777777" w:rsidR="00401C58" w:rsidRPr="005650D7" w:rsidRDefault="00401C58" w:rsidP="00E2644F">
      <w:pPr>
        <w:pStyle w:val="BodyTextMain"/>
        <w:rPr>
          <w:rFonts w:eastAsia="Calibri"/>
          <w:lang w:val="en-GB"/>
        </w:rPr>
      </w:pPr>
    </w:p>
    <w:p w14:paraId="136CD7C5" w14:textId="2F397BA5" w:rsidR="00401C58" w:rsidRPr="005650D7" w:rsidRDefault="00401C58" w:rsidP="00E2644F">
      <w:pPr>
        <w:pStyle w:val="BodyTextMain"/>
        <w:rPr>
          <w:rFonts w:eastAsia="Calibri"/>
          <w:lang w:val="en-GB"/>
        </w:rPr>
      </w:pPr>
      <w:r w:rsidRPr="005650D7">
        <w:rPr>
          <w:rFonts w:eastAsia="Calibri"/>
          <w:lang w:val="en-GB"/>
        </w:rPr>
        <w:t xml:space="preserve">Together, the six big banks spent </w:t>
      </w:r>
      <w:r w:rsidRPr="00452862">
        <w:rPr>
          <w:rFonts w:eastAsia="Calibri"/>
          <w:lang w:val="en-GB"/>
        </w:rPr>
        <w:t xml:space="preserve">close to $1 billion on a wide range of corporate social responsibility (CSR) initiatives in 2016. </w:t>
      </w:r>
      <w:r w:rsidRPr="005650D7">
        <w:rPr>
          <w:rFonts w:eastAsia="Calibri"/>
          <w:lang w:val="en-GB"/>
        </w:rPr>
        <w:t xml:space="preserve">CIBC, for instance, said in its CSR report that it was “committed to creating value for [its] clients, employees, communities, and . . . stakeholders.” Its landmark CSR activity was </w:t>
      </w:r>
      <w:r w:rsidRPr="00452862">
        <w:rPr>
          <w:rFonts w:eastAsia="Calibri"/>
          <w:lang w:val="en-GB"/>
        </w:rPr>
        <w:t xml:space="preserve">the </w:t>
      </w:r>
      <w:r w:rsidRPr="005650D7">
        <w:rPr>
          <w:rFonts w:eastAsia="Calibri"/>
          <w:lang w:val="en-GB"/>
        </w:rPr>
        <w:t xml:space="preserve">CIBC </w:t>
      </w:r>
      <w:r w:rsidRPr="00452862">
        <w:rPr>
          <w:rFonts w:eastAsia="Calibri"/>
          <w:lang w:val="en-GB"/>
        </w:rPr>
        <w:t>R</w:t>
      </w:r>
      <w:r w:rsidRPr="005650D7">
        <w:rPr>
          <w:rFonts w:eastAsia="Calibri"/>
          <w:lang w:val="en-GB"/>
        </w:rPr>
        <w:t>un for the Cure, a major event that raised up to $17 million in 2016 for breast cancer research.</w:t>
      </w:r>
      <w:r w:rsidRPr="005650D7">
        <w:rPr>
          <w:rFonts w:eastAsia="Calibri"/>
          <w:vertAlign w:val="superscript"/>
          <w:lang w:val="en-GB"/>
        </w:rPr>
        <w:endnoteReference w:id="10"/>
      </w:r>
      <w:r w:rsidRPr="005650D7">
        <w:rPr>
          <w:rFonts w:eastAsia="Calibri"/>
          <w:lang w:val="en-GB"/>
        </w:rPr>
        <w:t xml:space="preserve"> In its 2016 CSR report, RBC state</w:t>
      </w:r>
      <w:r w:rsidRPr="00452862">
        <w:rPr>
          <w:rFonts w:eastAsia="Calibri"/>
          <w:lang w:val="en-GB"/>
        </w:rPr>
        <w:t>d</w:t>
      </w:r>
      <w:r w:rsidRPr="005650D7">
        <w:rPr>
          <w:rFonts w:eastAsia="Calibri"/>
          <w:lang w:val="en-GB"/>
        </w:rPr>
        <w:t xml:space="preserve"> that it contributed $100 million in donations, sponsorship and community investments and achieved a 24.5 per cent drop in the CO</w:t>
      </w:r>
      <w:r w:rsidRPr="005650D7">
        <w:rPr>
          <w:rFonts w:eastAsia="Calibri"/>
          <w:vertAlign w:val="subscript"/>
          <w:lang w:val="en-GB"/>
        </w:rPr>
        <w:t>2</w:t>
      </w:r>
      <w:r w:rsidRPr="005650D7">
        <w:rPr>
          <w:rFonts w:eastAsia="Calibri"/>
          <w:lang w:val="en-GB"/>
        </w:rPr>
        <w:t xml:space="preserve"> emissions of its operation</w:t>
      </w:r>
      <w:r w:rsidRPr="00452862">
        <w:rPr>
          <w:rFonts w:eastAsia="Calibri"/>
          <w:lang w:val="en-GB"/>
        </w:rPr>
        <w:t>s</w:t>
      </w:r>
      <w:r w:rsidRPr="005650D7">
        <w:rPr>
          <w:rFonts w:eastAsia="Calibri"/>
          <w:lang w:val="en-GB"/>
        </w:rPr>
        <w:t>. RBC also claimed to be one of the largest purchasers of renewable energy and articulated its organizational purpose as “helping clients thrive and communities prosper.”</w:t>
      </w:r>
      <w:r w:rsidRPr="005650D7">
        <w:rPr>
          <w:rFonts w:eastAsia="Calibri"/>
          <w:vertAlign w:val="superscript"/>
          <w:lang w:val="en-GB"/>
        </w:rPr>
        <w:endnoteReference w:id="11"/>
      </w:r>
      <w:r w:rsidRPr="005650D7">
        <w:rPr>
          <w:rFonts w:eastAsia="Calibri"/>
          <w:lang w:val="en-GB"/>
        </w:rPr>
        <w:t xml:space="preserve"> BMO funded a nationwide financial literacy program that aimed to educate 45,000 students about personal finance over three years, while its policy on board diversity ensured that women represented at least one-third of the bank’s independent directors.</w:t>
      </w:r>
      <w:r w:rsidRPr="005650D7">
        <w:rPr>
          <w:rFonts w:eastAsia="Calibri"/>
          <w:vertAlign w:val="superscript"/>
          <w:lang w:val="en-GB"/>
        </w:rPr>
        <w:endnoteReference w:id="12"/>
      </w:r>
      <w:r w:rsidR="005D5720">
        <w:rPr>
          <w:rFonts w:eastAsia="Calibri"/>
          <w:lang w:val="en-GB"/>
        </w:rPr>
        <w:t xml:space="preserve"> </w:t>
      </w:r>
      <w:r w:rsidRPr="005650D7">
        <w:rPr>
          <w:rFonts w:eastAsia="Calibri"/>
          <w:lang w:val="en-GB"/>
        </w:rPr>
        <w:t xml:space="preserve">TD divided its CSR into four categories: responsible banking, strengthening communities, building an extraordinary workplace, and being an environmental leader. </w:t>
      </w:r>
      <w:r w:rsidRPr="00452862">
        <w:rPr>
          <w:rFonts w:eastAsia="Calibri"/>
          <w:lang w:val="en-GB"/>
        </w:rPr>
        <w:t xml:space="preserve">TD said that it aimed </w:t>
      </w:r>
      <w:r w:rsidRPr="005650D7">
        <w:rPr>
          <w:rFonts w:eastAsia="Calibri"/>
          <w:lang w:val="en-GB"/>
        </w:rPr>
        <w:t>“to enable better, more prosperous lives by taking a more human approach to everything that we do.</w:t>
      </w:r>
      <w:r w:rsidRPr="00452862">
        <w:rPr>
          <w:rFonts w:eastAsia="Calibri"/>
          <w:lang w:val="en-GB"/>
        </w:rPr>
        <w:t>”</w:t>
      </w:r>
      <w:r w:rsidRPr="00452862">
        <w:rPr>
          <w:rFonts w:eastAsia="Calibri"/>
          <w:vertAlign w:val="superscript"/>
          <w:lang w:val="en-GB"/>
        </w:rPr>
        <w:endnoteReference w:id="13"/>
      </w:r>
      <w:r w:rsidRPr="00452862">
        <w:rPr>
          <w:rFonts w:eastAsia="Calibri"/>
          <w:lang w:val="en-GB"/>
        </w:rPr>
        <w:t xml:space="preserve"> The bank </w:t>
      </w:r>
      <w:r w:rsidRPr="005650D7">
        <w:rPr>
          <w:rFonts w:eastAsia="Calibri"/>
          <w:lang w:val="en-GB"/>
        </w:rPr>
        <w:t>invested over $15 million to support financial educatio</w:t>
      </w:r>
      <w:r w:rsidR="00E23C21">
        <w:rPr>
          <w:rFonts w:eastAsia="Calibri"/>
          <w:lang w:val="en-GB"/>
        </w:rPr>
        <w:t>n programs across North America</w:t>
      </w:r>
      <w:r w:rsidRPr="005650D7">
        <w:rPr>
          <w:rFonts w:eastAsia="Calibri"/>
          <w:lang w:val="en-GB"/>
        </w:rPr>
        <w:t xml:space="preserve"> and the United Kingdom, and over 3,000 TD employees volunteered each year to teach free financial seminars.</w:t>
      </w:r>
      <w:r w:rsidRPr="005650D7">
        <w:rPr>
          <w:rFonts w:eastAsia="Calibri"/>
          <w:vertAlign w:val="superscript"/>
          <w:lang w:val="en-GB"/>
        </w:rPr>
        <w:endnoteReference w:id="14"/>
      </w:r>
      <w:r w:rsidRPr="005650D7">
        <w:rPr>
          <w:rFonts w:eastAsia="Calibri"/>
          <w:lang w:val="en-GB"/>
        </w:rPr>
        <w:t xml:space="preserve"> On top of that, “TD Forests” </w:t>
      </w:r>
      <w:r w:rsidR="009E244B">
        <w:rPr>
          <w:rFonts w:eastAsia="Calibri"/>
          <w:lang w:val="en-GB"/>
        </w:rPr>
        <w:t xml:space="preserve">had </w:t>
      </w:r>
      <w:r w:rsidRPr="005650D7">
        <w:rPr>
          <w:rFonts w:eastAsia="Calibri"/>
          <w:lang w:val="en-GB"/>
        </w:rPr>
        <w:t>protected 487 hectares of critical forest habitat across North America since 2012.</w:t>
      </w:r>
      <w:r w:rsidRPr="005650D7">
        <w:rPr>
          <w:rFonts w:eastAsia="Calibri"/>
          <w:vertAlign w:val="superscript"/>
          <w:lang w:val="en-GB"/>
        </w:rPr>
        <w:endnoteReference w:id="15"/>
      </w:r>
      <w:r w:rsidRPr="005650D7">
        <w:rPr>
          <w:rFonts w:eastAsia="Calibri"/>
          <w:lang w:val="en-GB"/>
        </w:rPr>
        <w:t xml:space="preserve"> </w:t>
      </w:r>
    </w:p>
    <w:p w14:paraId="3697E062" w14:textId="77777777" w:rsidR="00401C58" w:rsidRPr="005650D7" w:rsidRDefault="00401C58" w:rsidP="00E2644F">
      <w:pPr>
        <w:pStyle w:val="Casehead2"/>
        <w:rPr>
          <w:rFonts w:eastAsia="Calibri"/>
          <w:lang w:val="en-GB"/>
        </w:rPr>
      </w:pPr>
      <w:r w:rsidRPr="00452862">
        <w:rPr>
          <w:rFonts w:eastAsia="Calibri"/>
          <w:lang w:val="en-GB"/>
        </w:rPr>
        <w:lastRenderedPageBreak/>
        <w:t>Neglected Social Issues</w:t>
      </w:r>
    </w:p>
    <w:p w14:paraId="7B87E936" w14:textId="77777777" w:rsidR="00401C58" w:rsidRPr="005650D7" w:rsidRDefault="00401C58" w:rsidP="00E2644F">
      <w:pPr>
        <w:pStyle w:val="BodyTextMain"/>
        <w:rPr>
          <w:rFonts w:eastAsia="Calibri"/>
          <w:lang w:val="en-GB"/>
        </w:rPr>
      </w:pPr>
    </w:p>
    <w:p w14:paraId="280AC61D" w14:textId="3DB719F8" w:rsidR="00401C58" w:rsidRPr="006B439A" w:rsidRDefault="00401C58" w:rsidP="00E2644F">
      <w:pPr>
        <w:pStyle w:val="BodyTextMain"/>
        <w:rPr>
          <w:rFonts w:eastAsia="Calibri"/>
          <w:spacing w:val="-2"/>
          <w:kern w:val="22"/>
          <w:lang w:val="en-GB"/>
        </w:rPr>
      </w:pPr>
      <w:r w:rsidRPr="006B439A">
        <w:rPr>
          <w:rFonts w:eastAsia="Calibri"/>
          <w:spacing w:val="-2"/>
          <w:kern w:val="22"/>
          <w:lang w:val="en-GB"/>
        </w:rPr>
        <w:t>Although the growth of attention to social and environmental issues among the big banks had been substantial, there were at least three social issues they had failed to address. First, Canadian debt levels were at an all-time high. Growing criticism of the big banks pointed to exploitative lending practices and suggested banks searched for gaps in consumer knowledge in order to impose the maximum amount of credit possible on consumers without them defaulting.</w:t>
      </w:r>
      <w:r w:rsidRPr="006B439A">
        <w:rPr>
          <w:rFonts w:eastAsia="Calibri"/>
          <w:spacing w:val="-2"/>
          <w:kern w:val="22"/>
          <w:vertAlign w:val="superscript"/>
          <w:lang w:val="en-GB"/>
        </w:rPr>
        <w:endnoteReference w:id="16"/>
      </w:r>
      <w:r w:rsidRPr="006B439A">
        <w:rPr>
          <w:rFonts w:eastAsia="Calibri"/>
          <w:spacing w:val="-2"/>
          <w:kern w:val="22"/>
          <w:lang w:val="en-GB"/>
        </w:rPr>
        <w:t xml:space="preserve"> Indeed, a scathing report by the</w:t>
      </w:r>
      <w:r w:rsidR="00865FDB" w:rsidRPr="006B439A">
        <w:rPr>
          <w:rFonts w:eastAsia="Calibri"/>
          <w:spacing w:val="-2"/>
          <w:kern w:val="22"/>
          <w:lang w:val="en-GB"/>
        </w:rPr>
        <w:t xml:space="preserve"> Canadian Broadcasting Corporation</w:t>
      </w:r>
      <w:r w:rsidRPr="006B439A">
        <w:rPr>
          <w:rFonts w:eastAsia="Calibri"/>
          <w:spacing w:val="-2"/>
          <w:kern w:val="22"/>
          <w:lang w:val="en-GB"/>
        </w:rPr>
        <w:t xml:space="preserve"> </w:t>
      </w:r>
      <w:r w:rsidR="00865FDB" w:rsidRPr="006B439A">
        <w:rPr>
          <w:rFonts w:eastAsia="Calibri"/>
          <w:spacing w:val="-2"/>
          <w:kern w:val="22"/>
          <w:lang w:val="en-GB"/>
        </w:rPr>
        <w:t>(</w:t>
      </w:r>
      <w:r w:rsidRPr="006B439A">
        <w:rPr>
          <w:rFonts w:eastAsia="Calibri"/>
          <w:spacing w:val="-2"/>
          <w:kern w:val="22"/>
          <w:lang w:val="en-GB"/>
        </w:rPr>
        <w:t>CBC</w:t>
      </w:r>
      <w:r w:rsidR="00865FDB" w:rsidRPr="006B439A">
        <w:rPr>
          <w:rFonts w:eastAsia="Calibri"/>
          <w:spacing w:val="-2"/>
          <w:kern w:val="22"/>
          <w:lang w:val="en-GB"/>
        </w:rPr>
        <w:t>)</w:t>
      </w:r>
      <w:r w:rsidRPr="006B439A">
        <w:rPr>
          <w:rFonts w:eastAsia="Calibri"/>
          <w:spacing w:val="-2"/>
          <w:kern w:val="22"/>
          <w:lang w:val="en-GB"/>
        </w:rPr>
        <w:t xml:space="preserve"> found that big banks were pressuring front-line employees to sell consumers products they didn’t ne</w:t>
      </w:r>
      <w:bookmarkStart w:id="2" w:name="_ftnref19"/>
      <w:r w:rsidRPr="006B439A">
        <w:rPr>
          <w:rFonts w:eastAsia="Calibri"/>
          <w:spacing w:val="-2"/>
          <w:kern w:val="22"/>
          <w:lang w:val="en-GB"/>
        </w:rPr>
        <w:t>ed</w:t>
      </w:r>
      <w:bookmarkEnd w:id="2"/>
      <w:r w:rsidRPr="006B439A">
        <w:rPr>
          <w:rFonts w:eastAsia="Calibri"/>
          <w:spacing w:val="-2"/>
          <w:kern w:val="22"/>
          <w:lang w:val="en-GB"/>
        </w:rPr>
        <w:t>. Bank employees interviewed by CBC said things like, “I felt like I’m not really helping my clients,” “I’m not making their life easier . . . I put them into more debt,” “We have a script to follow, and if the customer says ‘no’ you have to rebut them at least three times.”</w:t>
      </w:r>
      <w:r w:rsidRPr="006B439A">
        <w:rPr>
          <w:rFonts w:eastAsia="Calibri"/>
          <w:spacing w:val="-2"/>
          <w:kern w:val="22"/>
          <w:vertAlign w:val="superscript"/>
          <w:lang w:val="en-GB"/>
        </w:rPr>
        <w:endnoteReference w:id="17"/>
      </w:r>
      <w:r w:rsidRPr="006B439A">
        <w:rPr>
          <w:rFonts w:eastAsia="Calibri"/>
          <w:spacing w:val="-2"/>
          <w:kern w:val="22"/>
          <w:lang w:val="en-GB"/>
        </w:rPr>
        <w:t xml:space="preserve"> A report from an equity research firm in Toronto that examined the ease with which consumers could get mortgages found that banks were bending over backward to make it easy for customers to buy. It noted, “At one sales centre, Bank of Montreal (BMO) was willing to lend half of the required 20 per cent down payment. Apparently, BMO is qualifying the prospective borrower on the full mortgage before approving the down-payment loan.”</w:t>
      </w:r>
      <w:r w:rsidRPr="006B439A">
        <w:rPr>
          <w:rFonts w:eastAsia="Calibri"/>
          <w:spacing w:val="-2"/>
          <w:kern w:val="22"/>
          <w:vertAlign w:val="superscript"/>
          <w:lang w:val="en-GB"/>
        </w:rPr>
        <w:endnoteReference w:id="18"/>
      </w:r>
      <w:r w:rsidR="005D5720" w:rsidRPr="006B439A">
        <w:rPr>
          <w:rFonts w:eastAsia="Calibri"/>
          <w:spacing w:val="-2"/>
          <w:kern w:val="22"/>
          <w:lang w:val="en-GB"/>
        </w:rPr>
        <w:t xml:space="preserve"> </w:t>
      </w:r>
    </w:p>
    <w:p w14:paraId="405F0600" w14:textId="77777777" w:rsidR="00401C58" w:rsidRPr="005650D7" w:rsidRDefault="00401C58" w:rsidP="00E2644F">
      <w:pPr>
        <w:pStyle w:val="BodyTextMain"/>
        <w:rPr>
          <w:rFonts w:eastAsia="Calibri"/>
          <w:lang w:val="en-GB"/>
        </w:rPr>
      </w:pPr>
    </w:p>
    <w:p w14:paraId="18760213" w14:textId="5061DABC" w:rsidR="00401C58" w:rsidRPr="005650D7" w:rsidRDefault="00401C58" w:rsidP="00E2644F">
      <w:pPr>
        <w:pStyle w:val="BodyTextMain"/>
        <w:rPr>
          <w:rFonts w:eastAsia="Calibri"/>
          <w:lang w:val="en-GB"/>
        </w:rPr>
      </w:pPr>
      <w:r w:rsidRPr="005650D7">
        <w:rPr>
          <w:rFonts w:eastAsia="Calibri"/>
          <w:lang w:val="en-GB"/>
        </w:rPr>
        <w:t>The second, related issue was poor financial literacy in Canada, where over 60 per cent of Canadian adults rated their financial knowledge as “fair” or “poor,” 8 out of 10 Canadians lacked confidence in their financial knowledge, and 46 per cent of national youth scored a C or worse on a basic financial literacy test.</w:t>
      </w:r>
      <w:r w:rsidRPr="005650D7">
        <w:rPr>
          <w:rFonts w:eastAsia="Calibri"/>
          <w:vertAlign w:val="superscript"/>
          <w:lang w:val="en-GB"/>
        </w:rPr>
        <w:endnoteReference w:id="19"/>
      </w:r>
      <w:r w:rsidRPr="005650D7">
        <w:rPr>
          <w:rFonts w:eastAsia="Calibri"/>
          <w:lang w:val="en-GB"/>
        </w:rPr>
        <w:t xml:space="preserve"> In an environment where consumers were financially illiterate, the consumer knowledge that would otherwise deter egregious lending practices was weak or </w:t>
      </w:r>
      <w:r w:rsidR="00F51F2D" w:rsidRPr="006E16AB">
        <w:rPr>
          <w:rFonts w:eastAsia="Calibri"/>
          <w:lang w:val="en-GB"/>
        </w:rPr>
        <w:t>non-existent</w:t>
      </w:r>
      <w:r w:rsidRPr="005650D7">
        <w:rPr>
          <w:rFonts w:eastAsia="Calibri"/>
          <w:lang w:val="en-GB"/>
        </w:rPr>
        <w:t>. This meant that a growing portion of economic value was diverted away from other segments of society and toward financial institutions. The unprecedented 30–35 per cent net income margins of big banks spoke to this very point.</w:t>
      </w:r>
    </w:p>
    <w:p w14:paraId="023A3EBD" w14:textId="77777777" w:rsidR="00401C58" w:rsidRPr="005650D7" w:rsidRDefault="00401C58" w:rsidP="00E2644F">
      <w:pPr>
        <w:pStyle w:val="BodyTextMain"/>
        <w:rPr>
          <w:rFonts w:eastAsia="Calibri"/>
          <w:lang w:val="en-GB"/>
        </w:rPr>
      </w:pPr>
    </w:p>
    <w:p w14:paraId="0F85961B" w14:textId="7BF61D3F" w:rsidR="00401C58" w:rsidRPr="005650D7" w:rsidRDefault="00401C58" w:rsidP="00E2644F">
      <w:pPr>
        <w:pStyle w:val="BodyTextMain"/>
        <w:rPr>
          <w:rFonts w:eastAsia="Calibri"/>
          <w:lang w:val="en-GB"/>
        </w:rPr>
      </w:pPr>
      <w:r w:rsidRPr="005650D7">
        <w:rPr>
          <w:rFonts w:eastAsia="Calibri"/>
          <w:lang w:val="en-GB"/>
        </w:rPr>
        <w:t>The third issue was the payday loan industry. Payday loans were small, unsecured loans that were due on the borrowers’ next payday; they were designed to relieve urgent, short-term cash needs. The payday loan industry provided $2.5 billion in loans to approximately 2 million households across Canada each year.</w:t>
      </w:r>
      <w:r w:rsidRPr="005650D7">
        <w:rPr>
          <w:rFonts w:eastAsia="Calibri"/>
          <w:vertAlign w:val="superscript"/>
          <w:lang w:val="en-GB"/>
        </w:rPr>
        <w:endnoteReference w:id="20"/>
      </w:r>
      <w:r w:rsidRPr="005650D7">
        <w:rPr>
          <w:rFonts w:eastAsia="Calibri"/>
          <w:lang w:val="en-GB"/>
        </w:rPr>
        <w:t xml:space="preserve"> These trends suggested that there was a relatively large untapped market for financial services—a market that few financial institutions had chosen to pursue</w:t>
      </w:r>
      <w:r w:rsidR="004C0E9D">
        <w:rPr>
          <w:rFonts w:eastAsia="Calibri"/>
          <w:lang w:val="en-GB"/>
        </w:rPr>
        <w:t xml:space="preserve"> (an exception </w:t>
      </w:r>
      <w:r w:rsidR="00A111D2">
        <w:rPr>
          <w:rFonts w:eastAsia="Calibri"/>
          <w:lang w:val="en-GB"/>
        </w:rPr>
        <w:t>was</w:t>
      </w:r>
      <w:r w:rsidR="00894674">
        <w:rPr>
          <w:rFonts w:eastAsia="Calibri"/>
          <w:lang w:val="en-GB"/>
        </w:rPr>
        <w:t xml:space="preserve"> Vancity</w:t>
      </w:r>
      <w:r w:rsidR="004C0E9D">
        <w:rPr>
          <w:rFonts w:eastAsia="Calibri"/>
          <w:lang w:val="en-GB"/>
        </w:rPr>
        <w:t xml:space="preserve"> Fair and Fast Loan</w:t>
      </w:r>
      <w:r w:rsidR="004C0E9D">
        <w:rPr>
          <w:rStyle w:val="EndnoteReference"/>
          <w:rFonts w:eastAsia="Calibri"/>
          <w:lang w:val="en-GB"/>
        </w:rPr>
        <w:endnoteReference w:id="21"/>
      </w:r>
      <w:r w:rsidR="004C0E9D">
        <w:rPr>
          <w:rFonts w:eastAsia="Calibri"/>
          <w:lang w:val="en-GB"/>
        </w:rPr>
        <w:t>)</w:t>
      </w:r>
      <w:r w:rsidRPr="005650D7">
        <w:rPr>
          <w:rFonts w:eastAsia="Calibri"/>
          <w:lang w:val="en-GB"/>
        </w:rPr>
        <w:t>. However, the feasibility of the payday loan business model was based on repeat customers. That is, payday loan companies struggled to make a profit if they made small loans to a high number of customers once or twice. Instead, they had to build consumers’ dependence on payday loans by pushing loans with interest charges that borrowers could not pay in time, thus initiating a never-ending series of loans.</w:t>
      </w:r>
    </w:p>
    <w:p w14:paraId="12DC3B31" w14:textId="77777777" w:rsidR="00401C58" w:rsidRPr="005650D7" w:rsidRDefault="00401C58" w:rsidP="00E2644F">
      <w:pPr>
        <w:pStyle w:val="BodyTextMain"/>
        <w:rPr>
          <w:rFonts w:eastAsia="Calibri"/>
          <w:lang w:val="en-GB"/>
        </w:rPr>
      </w:pPr>
    </w:p>
    <w:p w14:paraId="25D785D1" w14:textId="77777777" w:rsidR="00401C58" w:rsidRPr="005650D7" w:rsidRDefault="00401C58" w:rsidP="00E2644F">
      <w:pPr>
        <w:pStyle w:val="BodyTextMain"/>
        <w:rPr>
          <w:rFonts w:eastAsia="Calibri"/>
          <w:lang w:val="en-GB"/>
        </w:rPr>
      </w:pPr>
    </w:p>
    <w:p w14:paraId="5835738C" w14:textId="77777777" w:rsidR="00401C58" w:rsidRPr="005650D7" w:rsidRDefault="00401C58" w:rsidP="00E2644F">
      <w:pPr>
        <w:pStyle w:val="Casehead2"/>
        <w:rPr>
          <w:rFonts w:eastAsia="Calibri"/>
          <w:lang w:val="en-GB"/>
        </w:rPr>
      </w:pPr>
      <w:r w:rsidRPr="00452862">
        <w:rPr>
          <w:rFonts w:eastAsia="Calibri"/>
          <w:lang w:val="en-GB"/>
        </w:rPr>
        <w:t>The Future of Banking</w:t>
      </w:r>
    </w:p>
    <w:p w14:paraId="159EACC9" w14:textId="77777777" w:rsidR="00401C58" w:rsidRPr="005650D7" w:rsidRDefault="00401C58" w:rsidP="00E2644F">
      <w:pPr>
        <w:pStyle w:val="BodyTextMain"/>
        <w:rPr>
          <w:rFonts w:eastAsia="Calibri"/>
          <w:lang w:val="en-GB"/>
        </w:rPr>
      </w:pPr>
    </w:p>
    <w:p w14:paraId="4893427D" w14:textId="1E4ECC52" w:rsidR="00401C58" w:rsidRPr="005650D7" w:rsidRDefault="00401C58" w:rsidP="00E2644F">
      <w:pPr>
        <w:pStyle w:val="BodyTextMain"/>
        <w:rPr>
          <w:rFonts w:eastAsia="Calibri"/>
          <w:lang w:val="en-GB"/>
        </w:rPr>
      </w:pPr>
      <w:r w:rsidRPr="005650D7">
        <w:rPr>
          <w:rFonts w:eastAsia="Calibri"/>
          <w:lang w:val="en-GB"/>
        </w:rPr>
        <w:t>Analysts had remarked on the looming impact of technology on the financial services industry, saying that it would severely disrupt the status quo.</w:t>
      </w:r>
      <w:r w:rsidRPr="005650D7">
        <w:rPr>
          <w:rFonts w:eastAsia="Calibri"/>
          <w:vertAlign w:val="superscript"/>
          <w:lang w:val="en-GB"/>
        </w:rPr>
        <w:endnoteReference w:id="22"/>
      </w:r>
      <w:r w:rsidRPr="005650D7">
        <w:rPr>
          <w:rFonts w:eastAsia="Calibri"/>
          <w:lang w:val="en-GB"/>
        </w:rPr>
        <w:t xml:space="preserve"> Financial technology (</w:t>
      </w:r>
      <w:r w:rsidR="00452862" w:rsidRPr="006E16AB">
        <w:rPr>
          <w:rFonts w:eastAsia="Calibri"/>
          <w:lang w:val="en-GB"/>
        </w:rPr>
        <w:t>fintech</w:t>
      </w:r>
      <w:r w:rsidRPr="005650D7">
        <w:rPr>
          <w:rFonts w:eastAsia="Calibri"/>
          <w:lang w:val="en-GB"/>
        </w:rPr>
        <w:t xml:space="preserve">) was most commonly thought of in the industry as those mechanisms that cut through the more inconvenient and traditional forms of banking that had become institutionalized over the </w:t>
      </w:r>
      <w:r w:rsidR="00A111D2">
        <w:rPr>
          <w:rFonts w:eastAsia="Calibri"/>
          <w:lang w:val="en-GB"/>
        </w:rPr>
        <w:t>p</w:t>
      </w:r>
      <w:r w:rsidRPr="005650D7">
        <w:rPr>
          <w:rFonts w:eastAsia="Calibri"/>
          <w:lang w:val="en-GB"/>
        </w:rPr>
        <w:t>ast several decades. Although they had become mundane, automated teller machines (ATM</w:t>
      </w:r>
      <w:r w:rsidR="00E23C21">
        <w:rPr>
          <w:rFonts w:eastAsia="Calibri"/>
          <w:lang w:val="en-GB"/>
        </w:rPr>
        <w:t>s) had represented</w:t>
      </w:r>
      <w:r w:rsidRPr="005650D7">
        <w:rPr>
          <w:rFonts w:eastAsia="Calibri"/>
          <w:lang w:val="en-GB"/>
        </w:rPr>
        <w:t xml:space="preserve"> radical technology </w:t>
      </w:r>
      <w:r w:rsidR="00E23C21">
        <w:rPr>
          <w:rFonts w:eastAsia="Calibri"/>
          <w:lang w:val="en-GB"/>
        </w:rPr>
        <w:t xml:space="preserve">advancement </w:t>
      </w:r>
      <w:r w:rsidRPr="005650D7">
        <w:rPr>
          <w:rFonts w:eastAsia="Calibri"/>
          <w:lang w:val="en-GB"/>
        </w:rPr>
        <w:t>in the 1980s and started a revolution away from branch banking. Now, inconvenient forms of day-to-day banking were being disrupted by the introduction of email money transfers, web and mobile banking, electronic money transfers, and image-capture cheque cashing.</w:t>
      </w:r>
      <w:r w:rsidRPr="005650D7">
        <w:rPr>
          <w:rFonts w:eastAsia="Calibri"/>
          <w:vertAlign w:val="superscript"/>
          <w:lang w:val="en-GB"/>
        </w:rPr>
        <w:endnoteReference w:id="23"/>
      </w:r>
      <w:r w:rsidRPr="005650D7">
        <w:rPr>
          <w:rFonts w:eastAsia="Calibri"/>
          <w:lang w:val="en-GB"/>
        </w:rPr>
        <w:t xml:space="preserve"> Blockchain was expected to severely threaten the traditional banking model because the revolutionary platform would remove the need for banking intermediaries to facilitate money transfers. The basic notion of having a legitimate third party (i.e., a financial institution) deposit funds from one party and distribute them as loans to a</w:t>
      </w:r>
      <w:r w:rsidR="00DB103D">
        <w:rPr>
          <w:rFonts w:eastAsia="Calibri"/>
          <w:lang w:val="en-GB"/>
        </w:rPr>
        <w:t>nother party was threatened by b</w:t>
      </w:r>
      <w:r w:rsidRPr="005650D7">
        <w:rPr>
          <w:rFonts w:eastAsia="Calibri"/>
          <w:lang w:val="en-GB"/>
        </w:rPr>
        <w:t xml:space="preserve">lockchain’s peer-to-peer, self-enforcing lending platform. This was especially important given the growing number of Canadians—especially young Canadians—engaging in </w:t>
      </w:r>
      <w:r w:rsidR="00DB103D">
        <w:rPr>
          <w:rFonts w:eastAsia="Calibri"/>
          <w:lang w:val="en-GB"/>
        </w:rPr>
        <w:t>fringe financial services like b</w:t>
      </w:r>
      <w:r w:rsidRPr="005650D7">
        <w:rPr>
          <w:rFonts w:eastAsia="Calibri"/>
          <w:lang w:val="en-GB"/>
        </w:rPr>
        <w:t>lockchain.</w:t>
      </w:r>
      <w:r w:rsidRPr="005650D7">
        <w:rPr>
          <w:rFonts w:eastAsia="Calibri"/>
          <w:vertAlign w:val="superscript"/>
          <w:lang w:val="en-GB"/>
        </w:rPr>
        <w:endnoteReference w:id="24"/>
      </w:r>
      <w:r w:rsidRPr="005650D7">
        <w:rPr>
          <w:rFonts w:eastAsia="Calibri"/>
          <w:lang w:val="en-GB"/>
        </w:rPr>
        <w:t xml:space="preserve"> </w:t>
      </w:r>
    </w:p>
    <w:p w14:paraId="19823587" w14:textId="2669312B" w:rsidR="00401C58" w:rsidRPr="005650D7" w:rsidRDefault="00401C58" w:rsidP="005650D7">
      <w:pPr>
        <w:pStyle w:val="BodyTextMain"/>
        <w:rPr>
          <w:rFonts w:eastAsia="Calibri"/>
          <w:lang w:val="en-GB"/>
        </w:rPr>
      </w:pPr>
      <w:r w:rsidRPr="005650D7">
        <w:rPr>
          <w:rFonts w:eastAsia="Calibri"/>
          <w:lang w:val="en-GB"/>
        </w:rPr>
        <w:lastRenderedPageBreak/>
        <w:t>According to this prediction, consumers would find financial advice embedded in their life activities in real time. Banking could be seen as evolving through a series of versions: Bank 1.0, characterized by 700 years of teller-wicket banking; Bank 2.0, characterized by ATMs and online self-service; Bank 3.0, characterized by mobile anytime/anywhere banking; and Bank 4.0—the experience era—characterized by minimum friction and maximum impact.</w:t>
      </w:r>
    </w:p>
    <w:p w14:paraId="334C4373" w14:textId="77777777" w:rsidR="00401C58" w:rsidRPr="00EE4C7C" w:rsidRDefault="00401C58" w:rsidP="00E2644F">
      <w:pPr>
        <w:pStyle w:val="BodyTextMain"/>
        <w:rPr>
          <w:rFonts w:eastAsia="Calibri"/>
          <w:sz w:val="20"/>
          <w:szCs w:val="20"/>
          <w:lang w:val="en-GB"/>
        </w:rPr>
      </w:pPr>
    </w:p>
    <w:p w14:paraId="0FC47097" w14:textId="77777777" w:rsidR="00401C58" w:rsidRPr="00EE4C7C" w:rsidRDefault="00401C58" w:rsidP="00E2644F">
      <w:pPr>
        <w:pStyle w:val="BodyTextMain"/>
        <w:rPr>
          <w:rFonts w:eastAsia="Calibri"/>
          <w:sz w:val="20"/>
          <w:szCs w:val="20"/>
          <w:lang w:val="en-GB"/>
        </w:rPr>
      </w:pPr>
    </w:p>
    <w:p w14:paraId="7E201436" w14:textId="77777777" w:rsidR="00401C58" w:rsidRPr="005650D7" w:rsidRDefault="00401C58" w:rsidP="00E2644F">
      <w:pPr>
        <w:pStyle w:val="Casehead1"/>
        <w:rPr>
          <w:rFonts w:eastAsia="Calibri"/>
          <w:lang w:val="en-GB"/>
        </w:rPr>
      </w:pPr>
      <w:r w:rsidRPr="005650D7">
        <w:rPr>
          <w:rFonts w:eastAsia="Calibri"/>
          <w:lang w:val="en-GB"/>
        </w:rPr>
        <w:t>Credit Unions</w:t>
      </w:r>
    </w:p>
    <w:p w14:paraId="2FB46723" w14:textId="77777777" w:rsidR="00401C58" w:rsidRPr="00EE4C7C" w:rsidRDefault="00401C58" w:rsidP="00E2644F">
      <w:pPr>
        <w:pStyle w:val="BodyTextMain"/>
        <w:rPr>
          <w:sz w:val="20"/>
          <w:szCs w:val="20"/>
          <w:lang w:val="en-GB"/>
        </w:rPr>
      </w:pPr>
    </w:p>
    <w:p w14:paraId="36E56595" w14:textId="1CDD72C5" w:rsidR="00401C58" w:rsidRPr="005650D7" w:rsidRDefault="00401C58" w:rsidP="00E2644F">
      <w:pPr>
        <w:pStyle w:val="BodyTextMain"/>
        <w:rPr>
          <w:lang w:val="en-GB"/>
        </w:rPr>
      </w:pPr>
      <w:r w:rsidRPr="005650D7">
        <w:rPr>
          <w:lang w:val="en-GB"/>
        </w:rPr>
        <w:t xml:space="preserve">Credit unions were full-service </w:t>
      </w:r>
      <w:r w:rsidR="00E23C21">
        <w:rPr>
          <w:lang w:val="en-GB"/>
        </w:rPr>
        <w:t>financial co-ops</w:t>
      </w:r>
      <w:r w:rsidRPr="005650D7">
        <w:rPr>
          <w:lang w:val="en-GB"/>
        </w:rPr>
        <w:t>—associations of people who united voluntarily to meet common objectives through a formal and jointly owned organization.</w:t>
      </w:r>
      <w:r w:rsidRPr="005650D7" w:rsidDel="004231CE">
        <w:rPr>
          <w:lang w:val="en-GB"/>
        </w:rPr>
        <w:t xml:space="preserve"> </w:t>
      </w:r>
      <w:r w:rsidR="00E23C21">
        <w:rPr>
          <w:lang w:val="en-GB"/>
        </w:rPr>
        <w:t>Co-op</w:t>
      </w:r>
      <w:r w:rsidRPr="005650D7">
        <w:rPr>
          <w:lang w:val="en-GB"/>
        </w:rPr>
        <w:t>s were unlike traditional businesses, whose owners (i.e., shareholders) were typically not associated with the users of the service being provided or with the means of producing that service or product. Because co</w:t>
      </w:r>
      <w:r w:rsidR="00A111D2">
        <w:rPr>
          <w:lang w:val="en-GB"/>
        </w:rPr>
        <w:noBreakHyphen/>
      </w:r>
      <w:r w:rsidR="00E23C21">
        <w:rPr>
          <w:lang w:val="en-GB"/>
        </w:rPr>
        <w:t>ops</w:t>
      </w:r>
      <w:r w:rsidRPr="005650D7">
        <w:rPr>
          <w:lang w:val="en-GB"/>
        </w:rPr>
        <w:t xml:space="preserve"> were neither obligated to pay dividends to shareholders nor pressured to engage in activities that increased share price, all surplus income could be passed on to members.</w:t>
      </w:r>
      <w:r w:rsidR="005D5720">
        <w:rPr>
          <w:lang w:val="en-GB"/>
        </w:rPr>
        <w:t xml:space="preserve"> </w:t>
      </w:r>
    </w:p>
    <w:p w14:paraId="1976E3FE" w14:textId="77777777" w:rsidR="00401C58" w:rsidRPr="00EE4C7C" w:rsidRDefault="00401C58" w:rsidP="00E2644F">
      <w:pPr>
        <w:pStyle w:val="BodyTextMain"/>
        <w:rPr>
          <w:sz w:val="20"/>
          <w:szCs w:val="20"/>
          <w:lang w:val="en-GB"/>
        </w:rPr>
      </w:pPr>
    </w:p>
    <w:p w14:paraId="0115391B" w14:textId="78E8F3B7" w:rsidR="00401C58" w:rsidRPr="005650D7" w:rsidRDefault="00401C58" w:rsidP="00E2644F">
      <w:pPr>
        <w:pStyle w:val="BodyTextMain"/>
        <w:rPr>
          <w:lang w:val="en-GB"/>
        </w:rPr>
      </w:pPr>
      <w:r w:rsidRPr="005650D7">
        <w:rPr>
          <w:lang w:val="en-GB"/>
        </w:rPr>
        <w:t>Credit unions in Canada emerged in the early 1900s in response to the excessive interest rates charged by private lenders. Although credit unions initially struggled in Ontario, hundreds emerged during the 1940s, 1950s, and 1960s, and there were up to 1,400 in Ontario in the 1960s, before they moved to consolidate. Credit unions were originally meant to serve the needs of parishes, employee groups, trade and professional associations, and other groups that were overlooked or neglected by mainstream banks.</w:t>
      </w:r>
      <w:r w:rsidRPr="005650D7">
        <w:rPr>
          <w:vertAlign w:val="superscript"/>
          <w:lang w:val="en-GB"/>
        </w:rPr>
        <w:endnoteReference w:id="25"/>
      </w:r>
      <w:r w:rsidRPr="005650D7">
        <w:rPr>
          <w:lang w:val="en-GB"/>
        </w:rPr>
        <w:t xml:space="preserve"> By early 2018, there were over 1,800 credit union locations representing 290 credit unions nationwide (down from 297 in 2016) and serving over 5.5 million Canadians. Together, these credit unions held a total of $215 billion in assets (4 per cent </w:t>
      </w:r>
      <w:r w:rsidR="00A111D2">
        <w:rPr>
          <w:lang w:val="en-GB"/>
        </w:rPr>
        <w:t xml:space="preserve">of </w:t>
      </w:r>
      <w:r w:rsidRPr="005650D7">
        <w:rPr>
          <w:lang w:val="en-GB"/>
        </w:rPr>
        <w:t>that of the top six banks) and had 28,000 employees and 5.8 million members.</w:t>
      </w:r>
      <w:r w:rsidR="004C0E9D">
        <w:rPr>
          <w:rStyle w:val="EndnoteReference"/>
          <w:lang w:val="en-GB"/>
        </w:rPr>
        <w:endnoteReference w:id="26"/>
      </w:r>
      <w:r w:rsidRPr="005650D7">
        <w:rPr>
          <w:lang w:val="en-GB"/>
        </w:rPr>
        <w:t xml:space="preserve"> Although credit unions commanded 20 per cent of the market in Canada, they had only a 4 per cent penetration rate in Ontario. Ontario represented the most promising area for growth among credit unions as several non-Ontario credit unions began to enter this market. </w:t>
      </w:r>
    </w:p>
    <w:p w14:paraId="263C6C45" w14:textId="77777777" w:rsidR="00401C58" w:rsidRPr="00EE4C7C" w:rsidRDefault="00401C58" w:rsidP="00E2644F">
      <w:pPr>
        <w:pStyle w:val="BodyTextMain"/>
        <w:rPr>
          <w:sz w:val="20"/>
          <w:szCs w:val="20"/>
          <w:lang w:val="en-GB"/>
        </w:rPr>
      </w:pPr>
    </w:p>
    <w:p w14:paraId="77125407" w14:textId="671B3C03" w:rsidR="00401C58" w:rsidRPr="005650D7" w:rsidRDefault="00401C58" w:rsidP="00E2644F">
      <w:pPr>
        <w:pStyle w:val="BodyTextMain"/>
        <w:rPr>
          <w:lang w:val="en-GB"/>
        </w:rPr>
      </w:pPr>
      <w:r w:rsidRPr="005650D7">
        <w:rPr>
          <w:lang w:val="en-GB"/>
        </w:rPr>
        <w:t>Like other financial institutions, credit unions provided basic financial services such as bank accounts, mortgages, business loans</w:t>
      </w:r>
      <w:r w:rsidR="00A111D2">
        <w:rPr>
          <w:lang w:val="en-GB"/>
        </w:rPr>
        <w:t>,</w:t>
      </w:r>
      <w:r w:rsidRPr="005650D7">
        <w:rPr>
          <w:lang w:val="en-GB"/>
        </w:rPr>
        <w:t xml:space="preserve"> and investment advice. The Canadian Credit Union Association (CCUA) claimed that the fundamental difference between a credit union and a traditional bank was that the credit union provided high-quality service to members and communities: </w:t>
      </w:r>
    </w:p>
    <w:p w14:paraId="27EBC472" w14:textId="77777777" w:rsidR="00401C58" w:rsidRPr="00EE4C7C" w:rsidRDefault="00401C58" w:rsidP="00E2644F">
      <w:pPr>
        <w:pStyle w:val="BodyTextMain"/>
        <w:ind w:left="900"/>
        <w:rPr>
          <w:rFonts w:eastAsia="Calibri"/>
          <w:sz w:val="20"/>
          <w:szCs w:val="20"/>
          <w:lang w:val="en-GB"/>
        </w:rPr>
      </w:pPr>
    </w:p>
    <w:p w14:paraId="152E8865" w14:textId="5E9C91E6" w:rsidR="00401C58" w:rsidRPr="005650D7" w:rsidRDefault="00401C58" w:rsidP="00E2644F">
      <w:pPr>
        <w:pStyle w:val="BodyTextMain"/>
        <w:ind w:left="900"/>
        <w:rPr>
          <w:rFonts w:eastAsia="Calibri"/>
          <w:lang w:val="en-GB"/>
        </w:rPr>
      </w:pPr>
      <w:r w:rsidRPr="00452862">
        <w:rPr>
          <w:rFonts w:eastAsia="Calibri"/>
          <w:lang w:val="en-GB"/>
        </w:rPr>
        <w:t>Credit unions are focused on strengthening Canada’s economy; keeping money in the pockets of their member; helping communities prosper; putting people before profits; and partnering for public policy solutions. While each credit union is independent and locally controlled by its member-owners, all credit unions share a common bond—a dedication to the people and communities they serve.</w:t>
      </w:r>
      <w:r w:rsidRPr="00452862">
        <w:rPr>
          <w:rFonts w:eastAsia="Calibri"/>
          <w:vertAlign w:val="superscript"/>
          <w:lang w:val="en-GB"/>
        </w:rPr>
        <w:endnoteReference w:id="27"/>
      </w:r>
      <w:r w:rsidRPr="005650D7">
        <w:rPr>
          <w:rFonts w:eastAsia="Calibri"/>
          <w:lang w:val="en-GB"/>
        </w:rPr>
        <w:t xml:space="preserve"> </w:t>
      </w:r>
    </w:p>
    <w:p w14:paraId="35333F84" w14:textId="77777777" w:rsidR="00401C58" w:rsidRPr="005650D7" w:rsidRDefault="00401C58" w:rsidP="00E2644F">
      <w:pPr>
        <w:pStyle w:val="BodyTextMain"/>
        <w:rPr>
          <w:rFonts w:eastAsia="Calibri"/>
          <w:lang w:val="en-GB"/>
        </w:rPr>
      </w:pPr>
    </w:p>
    <w:p w14:paraId="3F9DC10A" w14:textId="77777777" w:rsidR="00E23C21" w:rsidRDefault="00401C58" w:rsidP="00E2644F">
      <w:pPr>
        <w:pStyle w:val="BodyTextMain"/>
        <w:rPr>
          <w:rFonts w:eastAsia="Calibri"/>
          <w:shd w:val="clear" w:color="auto" w:fill="FFFFFF"/>
          <w:lang w:val="en-GB"/>
        </w:rPr>
      </w:pPr>
      <w:r w:rsidRPr="00452862">
        <w:rPr>
          <w:rFonts w:eastAsia="Calibri"/>
          <w:lang w:val="en-GB"/>
        </w:rPr>
        <w:t xml:space="preserve">However, a recent study </w:t>
      </w:r>
      <w:r w:rsidRPr="005650D7">
        <w:rPr>
          <w:rFonts w:eastAsia="Calibri"/>
          <w:lang w:val="en-GB"/>
        </w:rPr>
        <w:t>conducted by the CCUA found that there was a chronic lack of understanding and awareness of credit unions.</w:t>
      </w:r>
      <w:r w:rsidRPr="005650D7">
        <w:rPr>
          <w:rFonts w:eastAsia="Calibri"/>
          <w:vertAlign w:val="superscript"/>
          <w:lang w:val="en-GB"/>
        </w:rPr>
        <w:endnoteReference w:id="28"/>
      </w:r>
      <w:r w:rsidRPr="005650D7">
        <w:rPr>
          <w:rFonts w:eastAsia="Calibri"/>
          <w:lang w:val="en-GB"/>
        </w:rPr>
        <w:t xml:space="preserve"> Many respondents, for instance, did not really know that credit unions were financial institutions that provided services they would typically get from a bank. The study noted the expectations people had of any financial institution: things like convenience, online banking services, responsive and friendly service, a full range of services, branch locations, and knowledgeable staff. What differentiated </w:t>
      </w:r>
      <w:r w:rsidR="00452862" w:rsidRPr="006E16AB">
        <w:rPr>
          <w:rFonts w:eastAsia="Calibri"/>
          <w:lang w:val="en-GB"/>
        </w:rPr>
        <w:t>credit</w:t>
      </w:r>
      <w:r w:rsidRPr="005650D7">
        <w:rPr>
          <w:rFonts w:eastAsia="Calibri"/>
          <w:lang w:val="en-GB"/>
        </w:rPr>
        <w:t xml:space="preserve"> unions in the minds of customers were </w:t>
      </w:r>
      <w:r w:rsidR="006E16AB">
        <w:rPr>
          <w:rFonts w:eastAsia="Calibri"/>
          <w:lang w:val="en-GB"/>
        </w:rPr>
        <w:t>a lack of fees or no</w:t>
      </w:r>
      <w:r w:rsidRPr="005650D7">
        <w:rPr>
          <w:rFonts w:eastAsia="Calibri"/>
          <w:lang w:val="en-GB"/>
        </w:rPr>
        <w:t xml:space="preserve"> fees</w:t>
      </w:r>
      <w:r w:rsidR="006E16AB">
        <w:rPr>
          <w:rFonts w:eastAsia="Calibri"/>
          <w:lang w:val="en-GB"/>
        </w:rPr>
        <w:t xml:space="preserve">, </w:t>
      </w:r>
      <w:r w:rsidRPr="006E16AB">
        <w:rPr>
          <w:rFonts w:eastAsia="Calibri"/>
        </w:rPr>
        <w:t xml:space="preserve">competitive </w:t>
      </w:r>
      <w:r w:rsidRPr="005650D7">
        <w:rPr>
          <w:rFonts w:eastAsia="Calibri"/>
          <w:lang w:val="en-GB"/>
        </w:rPr>
        <w:t>interest rates, authenticity, innovation, ethics, and a culture of putting consumers before shareholders</w:t>
      </w:r>
      <w:r w:rsidR="00A111D2">
        <w:rPr>
          <w:rFonts w:eastAsia="Calibri"/>
          <w:lang w:val="en-GB"/>
        </w:rPr>
        <w:t>.</w:t>
      </w:r>
      <w:r w:rsidRPr="005650D7">
        <w:rPr>
          <w:rFonts w:eastAsia="Calibri"/>
          <w:lang w:val="en-GB"/>
        </w:rPr>
        <w:t xml:space="preserve"> The study indicated that members were drawn to credit unions not because they were member-owned or active in the community but because they made their members a true priority, unlike the big banks, which left customers feeling like they were being exploited for the benefit of shareholders. </w:t>
      </w:r>
      <w:r w:rsidR="00E23C21" w:rsidRPr="00E23C21">
        <w:rPr>
          <w:rFonts w:eastAsia="Calibri"/>
          <w:i/>
          <w:lang w:val="en-GB"/>
        </w:rPr>
        <w:t>The</w:t>
      </w:r>
      <w:r w:rsidR="00E23C21">
        <w:rPr>
          <w:rFonts w:eastAsia="Calibri"/>
          <w:lang w:val="en-GB"/>
        </w:rPr>
        <w:t xml:space="preserve"> </w:t>
      </w:r>
      <w:r w:rsidRPr="005650D7">
        <w:rPr>
          <w:rFonts w:eastAsia="Calibri"/>
          <w:i/>
          <w:lang w:val="en-GB"/>
        </w:rPr>
        <w:t>Globe and Mail</w:t>
      </w:r>
      <w:r w:rsidRPr="005650D7">
        <w:rPr>
          <w:rFonts w:eastAsia="Calibri"/>
          <w:lang w:val="en-GB"/>
        </w:rPr>
        <w:t xml:space="preserve"> columnist Rob Carrick explained that the shareholder model did not always align with the interests of consumers:</w:t>
      </w:r>
    </w:p>
    <w:p w14:paraId="0A1886F8" w14:textId="681797C0" w:rsidR="00401C58" w:rsidRPr="005650D7" w:rsidRDefault="00401C58" w:rsidP="00D9041F">
      <w:pPr>
        <w:pStyle w:val="BodyTextMain"/>
        <w:tabs>
          <w:tab w:val="left" w:pos="720"/>
        </w:tabs>
        <w:ind w:left="720"/>
        <w:rPr>
          <w:rFonts w:eastAsia="Calibri"/>
          <w:lang w:val="en-GB"/>
        </w:rPr>
      </w:pPr>
      <w:r w:rsidRPr="00D9041F">
        <w:rPr>
          <w:rFonts w:eastAsia="Calibri"/>
          <w:lang w:val="en-GB"/>
        </w:rPr>
        <w:lastRenderedPageBreak/>
        <w:t>Banks don’t have a policy of putting the interests of customers first. The point of being a bank is to make money for shareholders and this they do with great success. If bank shareholders and</w:t>
      </w:r>
      <w:r w:rsidRPr="005650D7">
        <w:rPr>
          <w:rFonts w:eastAsia="Calibri"/>
          <w:shd w:val="clear" w:color="auto" w:fill="FFFFFF"/>
          <w:lang w:val="en-GB"/>
        </w:rPr>
        <w:t xml:space="preserve"> </w:t>
      </w:r>
      <w:r w:rsidRPr="00D9041F">
        <w:rPr>
          <w:rFonts w:eastAsia="Calibri"/>
          <w:lang w:val="en-GB"/>
        </w:rPr>
        <w:t>customers can both be happy, then great. If not, then shareholders come first.</w:t>
      </w:r>
      <w:r w:rsidRPr="00D9041F">
        <w:rPr>
          <w:rFonts w:eastAsia="Calibri"/>
          <w:vertAlign w:val="superscript"/>
          <w:lang w:val="en-GB"/>
        </w:rPr>
        <w:endnoteReference w:id="29"/>
      </w:r>
    </w:p>
    <w:p w14:paraId="075C8173" w14:textId="77777777" w:rsidR="00401C58" w:rsidRPr="005650D7" w:rsidRDefault="00401C58" w:rsidP="00D9041F">
      <w:pPr>
        <w:pStyle w:val="BodyTextMain"/>
        <w:rPr>
          <w:rFonts w:eastAsia="Calibri"/>
          <w:lang w:val="en-GB"/>
        </w:rPr>
      </w:pPr>
    </w:p>
    <w:p w14:paraId="02DECB22" w14:textId="7561D1F4" w:rsidR="00401C58" w:rsidRPr="005650D7" w:rsidRDefault="00401C58" w:rsidP="00D9041F">
      <w:pPr>
        <w:pStyle w:val="BodyTextMain"/>
        <w:rPr>
          <w:rFonts w:eastAsia="Calibri"/>
          <w:lang w:val="en-GB"/>
        </w:rPr>
      </w:pPr>
      <w:r w:rsidRPr="00452862">
        <w:rPr>
          <w:rFonts w:eastAsia="Calibri"/>
          <w:lang w:val="en-GB"/>
        </w:rPr>
        <w:t xml:space="preserve">According to </w:t>
      </w:r>
      <w:r w:rsidRPr="005650D7">
        <w:rPr>
          <w:rFonts w:eastAsia="Calibri"/>
          <w:lang w:val="en-GB"/>
        </w:rPr>
        <w:t>Ipsos, which held an annual Best Banking</w:t>
      </w:r>
      <w:r w:rsidRPr="00452862">
        <w:rPr>
          <w:rFonts w:eastAsia="Calibri"/>
          <w:lang w:val="en-GB"/>
        </w:rPr>
        <w:t xml:space="preserve"> Awards program, those who were familiar with credit unions had ranked them first in terms of customer service excellence and branch service excellence for 11 consecutive years.</w:t>
      </w:r>
      <w:r w:rsidR="00F83048">
        <w:rPr>
          <w:rStyle w:val="EndnoteReference"/>
          <w:rFonts w:eastAsia="Calibri"/>
          <w:lang w:val="en-GB"/>
        </w:rPr>
        <w:endnoteReference w:id="30"/>
      </w:r>
      <w:r w:rsidRPr="00452862">
        <w:rPr>
          <w:rFonts w:eastAsia="Calibri"/>
          <w:lang w:val="en-GB"/>
        </w:rPr>
        <w:t xml:space="preserve"> Business owners had also ranked credit unions first for the past eight years for valuing their business. According to a survey by the Canadian Federation of Independent Businesses (CFIB)—a national organization that </w:t>
      </w:r>
      <w:r w:rsidR="006E16AB" w:rsidRPr="00452862">
        <w:rPr>
          <w:rFonts w:eastAsia="Calibri"/>
          <w:lang w:val="en-GB"/>
        </w:rPr>
        <w:t>represent</w:t>
      </w:r>
      <w:r w:rsidR="006E16AB">
        <w:rPr>
          <w:rFonts w:eastAsia="Calibri"/>
          <w:lang w:val="en-GB"/>
        </w:rPr>
        <w:t>ed</w:t>
      </w:r>
      <w:r w:rsidR="006E16AB" w:rsidRPr="00452862">
        <w:rPr>
          <w:rFonts w:eastAsia="Calibri"/>
          <w:lang w:val="en-GB"/>
        </w:rPr>
        <w:t xml:space="preserve"> </w:t>
      </w:r>
      <w:r w:rsidRPr="00452862">
        <w:rPr>
          <w:rFonts w:eastAsia="Calibri"/>
          <w:lang w:val="en-GB"/>
        </w:rPr>
        <w:t>some 10,000 small business owners in Canada—small business owners ranked credit unions first.</w:t>
      </w:r>
      <w:r w:rsidRPr="00452862">
        <w:rPr>
          <w:rFonts w:eastAsia="Calibri"/>
          <w:vertAlign w:val="superscript"/>
          <w:lang w:val="en-GB"/>
        </w:rPr>
        <w:endnoteReference w:id="31"/>
      </w:r>
      <w:r w:rsidRPr="00452862">
        <w:rPr>
          <w:rFonts w:eastAsia="Calibri"/>
          <w:lang w:val="en-GB"/>
        </w:rPr>
        <w:t xml:space="preserve"> Perhaps surprisingly, </w:t>
      </w:r>
      <w:r w:rsidRPr="005650D7">
        <w:rPr>
          <w:rFonts w:eastAsia="Calibri"/>
          <w:lang w:val="en-GB"/>
        </w:rPr>
        <w:t>m</w:t>
      </w:r>
      <w:r w:rsidRPr="00452862">
        <w:rPr>
          <w:rFonts w:eastAsia="Calibri"/>
          <w:lang w:val="en-GB"/>
        </w:rPr>
        <w:t>any of the services taken for granted in the banking sector—including full-service ATMs, daily</w:t>
      </w:r>
      <w:r w:rsidR="006E16AB">
        <w:rPr>
          <w:rFonts w:eastAsia="Calibri"/>
          <w:lang w:val="en-GB"/>
        </w:rPr>
        <w:t>-</w:t>
      </w:r>
      <w:r w:rsidRPr="00452862">
        <w:rPr>
          <w:rFonts w:eastAsia="Calibri"/>
          <w:lang w:val="en-GB"/>
        </w:rPr>
        <w:t xml:space="preserve">interest savings, online banking, open mortgages, home equity lines of credit, debit card services, and cheque imaging services—had originated with </w:t>
      </w:r>
      <w:r w:rsidR="00E23C21">
        <w:rPr>
          <w:rFonts w:eastAsia="Calibri"/>
          <w:lang w:val="en-GB"/>
        </w:rPr>
        <w:t>banking co-op</w:t>
      </w:r>
      <w:r w:rsidRPr="00452862">
        <w:rPr>
          <w:rFonts w:eastAsia="Calibri"/>
          <w:lang w:val="en-GB"/>
        </w:rPr>
        <w:t>s.</w:t>
      </w:r>
      <w:r w:rsidRPr="00452862">
        <w:rPr>
          <w:rFonts w:eastAsia="Calibri"/>
          <w:vertAlign w:val="superscript"/>
          <w:lang w:val="en-GB"/>
        </w:rPr>
        <w:endnoteReference w:id="32"/>
      </w:r>
      <w:r w:rsidR="005D5720">
        <w:rPr>
          <w:rFonts w:eastAsia="Calibri"/>
          <w:lang w:val="en-GB"/>
        </w:rPr>
        <w:t xml:space="preserve"> </w:t>
      </w:r>
    </w:p>
    <w:p w14:paraId="38238D3A" w14:textId="77777777" w:rsidR="00401C58" w:rsidRPr="005650D7" w:rsidRDefault="00401C58" w:rsidP="00D9041F">
      <w:pPr>
        <w:pStyle w:val="BodyTextMain"/>
        <w:rPr>
          <w:rFonts w:eastAsia="Calibri"/>
          <w:lang w:val="en-GB"/>
        </w:rPr>
      </w:pPr>
    </w:p>
    <w:p w14:paraId="46EDB48D" w14:textId="77777777" w:rsidR="00401C58" w:rsidRPr="005650D7" w:rsidRDefault="00401C58" w:rsidP="00D9041F">
      <w:pPr>
        <w:pStyle w:val="BodyTextMain"/>
        <w:rPr>
          <w:rFonts w:eastAsia="Calibri"/>
          <w:lang w:val="en-GB"/>
        </w:rPr>
      </w:pPr>
    </w:p>
    <w:p w14:paraId="283464D5" w14:textId="77777777" w:rsidR="00401C58" w:rsidRPr="005650D7" w:rsidRDefault="00401C58" w:rsidP="00D9041F">
      <w:pPr>
        <w:pStyle w:val="Casehead1"/>
        <w:rPr>
          <w:rFonts w:eastAsia="Calibri"/>
          <w:lang w:val="en-GB"/>
        </w:rPr>
      </w:pPr>
      <w:r w:rsidRPr="005650D7">
        <w:rPr>
          <w:rFonts w:eastAsia="Calibri"/>
          <w:lang w:val="en-GB"/>
        </w:rPr>
        <w:t>Meridian</w:t>
      </w:r>
    </w:p>
    <w:p w14:paraId="7D0D1086" w14:textId="77777777" w:rsidR="00401C58" w:rsidRPr="005650D7" w:rsidRDefault="00401C58" w:rsidP="00D9041F">
      <w:pPr>
        <w:rPr>
          <w:rFonts w:eastAsia="Calibri"/>
          <w:color w:val="000000"/>
          <w:sz w:val="22"/>
          <w:szCs w:val="22"/>
          <w:lang w:val="en-GB"/>
        </w:rPr>
      </w:pPr>
    </w:p>
    <w:p w14:paraId="793FDA04" w14:textId="77777777" w:rsidR="00401C58" w:rsidRPr="005650D7" w:rsidRDefault="00401C58" w:rsidP="00D9041F">
      <w:pPr>
        <w:pStyle w:val="Casehead2"/>
        <w:rPr>
          <w:rFonts w:eastAsia="Calibri"/>
          <w:lang w:val="en-GB"/>
        </w:rPr>
      </w:pPr>
      <w:r w:rsidRPr="005650D7">
        <w:rPr>
          <w:rFonts w:eastAsia="Calibri"/>
          <w:lang w:val="en-GB"/>
        </w:rPr>
        <w:t>Background</w:t>
      </w:r>
    </w:p>
    <w:p w14:paraId="219BB6AD" w14:textId="77777777" w:rsidR="00401C58" w:rsidRPr="005650D7" w:rsidRDefault="00401C58" w:rsidP="00D9041F">
      <w:pPr>
        <w:pStyle w:val="BodyTextMain"/>
        <w:rPr>
          <w:rFonts w:eastAsia="Calibri"/>
          <w:lang w:val="en-GB"/>
        </w:rPr>
      </w:pPr>
    </w:p>
    <w:p w14:paraId="6DBBE1FD" w14:textId="3077E68C" w:rsidR="00401C58" w:rsidRPr="005650D7" w:rsidRDefault="00401C58" w:rsidP="00D9041F">
      <w:pPr>
        <w:pStyle w:val="BodyTextMain"/>
        <w:rPr>
          <w:rFonts w:eastAsia="Calibri"/>
          <w:lang w:val="en-GB"/>
        </w:rPr>
      </w:pPr>
      <w:r w:rsidRPr="005650D7">
        <w:rPr>
          <w:rFonts w:eastAsia="Calibri"/>
          <w:lang w:val="en-GB"/>
        </w:rPr>
        <w:t xml:space="preserve">Meridian was formed in 2005 by the merger of Niagara Credit Union and HEPCOE Credit Union. Niagara Credit Union was </w:t>
      </w:r>
      <w:r w:rsidRPr="00D9041F">
        <w:rPr>
          <w:rFonts w:eastAsia="Calibri"/>
          <w:lang w:val="en-GB"/>
        </w:rPr>
        <w:t>established in 1945 to provide a full range of retail and commercial financial services in the Niagara Region and Guelph-Wellington County. HEPCOE Credit Union, established in 1942, was a full-service financial institution that provided personal and commercial banking throughout south-central</w:t>
      </w:r>
      <w:r w:rsidRPr="005650D7">
        <w:rPr>
          <w:rFonts w:eastAsia="Calibri"/>
          <w:shd w:val="clear" w:color="auto" w:fill="FFFFFF"/>
          <w:lang w:val="en-GB"/>
        </w:rPr>
        <w:t xml:space="preserve"> </w:t>
      </w:r>
      <w:r w:rsidRPr="00D9041F">
        <w:rPr>
          <w:rFonts w:eastAsia="Calibri"/>
          <w:lang w:val="en-GB"/>
        </w:rPr>
        <w:t>Ontario and around the Greater Toronto Area (GTA)</w:t>
      </w:r>
      <w:r w:rsidR="00A111D2" w:rsidRPr="00D9041F">
        <w:rPr>
          <w:rFonts w:eastAsia="Calibri"/>
          <w:lang w:val="en-GB"/>
        </w:rPr>
        <w:t>.</w:t>
      </w:r>
      <w:r w:rsidRPr="00D9041F">
        <w:rPr>
          <w:rFonts w:eastAsia="Calibri"/>
          <w:vertAlign w:val="superscript"/>
          <w:lang w:val="en-GB"/>
        </w:rPr>
        <w:endnoteReference w:id="33"/>
      </w:r>
      <w:r w:rsidRPr="005650D7">
        <w:rPr>
          <w:rFonts w:eastAsia="Calibri"/>
          <w:lang w:val="en-GB"/>
        </w:rPr>
        <w:t xml:space="preserve"> In 2011, Meridian merged with Desjardins Credit Union, a financial institution that emerged from the Province of Ontario Savings Office, which itself had been created by the United Farmers of Ontario to provide loans to farmers and other small borrowers</w:t>
      </w:r>
      <w:r w:rsidR="00A111D2">
        <w:rPr>
          <w:rFonts w:eastAsia="Calibri"/>
          <w:lang w:val="en-GB"/>
        </w:rPr>
        <w:t>.</w:t>
      </w:r>
      <w:r w:rsidRPr="005650D7">
        <w:rPr>
          <w:rFonts w:eastAsia="Calibri"/>
          <w:lang w:val="en-GB"/>
        </w:rPr>
        <w:t xml:space="preserve"> All three credit unions represented both a response to a significant gap in the ability and/or willingness of larger banks to meet the specific needs of community members and small businesses</w:t>
      </w:r>
      <w:r w:rsidR="00244F89">
        <w:rPr>
          <w:rFonts w:eastAsia="Calibri"/>
          <w:lang w:val="en-GB"/>
        </w:rPr>
        <w:t>.</w:t>
      </w:r>
    </w:p>
    <w:p w14:paraId="5BD98A44" w14:textId="77777777" w:rsidR="00401C58" w:rsidRPr="005650D7" w:rsidRDefault="00401C58" w:rsidP="00E2644F">
      <w:pPr>
        <w:pStyle w:val="BodyTextMain"/>
        <w:rPr>
          <w:rFonts w:eastAsia="Calibri"/>
          <w:lang w:val="en-GB"/>
        </w:rPr>
      </w:pPr>
    </w:p>
    <w:p w14:paraId="439A2726" w14:textId="7B5D3E22" w:rsidR="00401C58" w:rsidRPr="005D5720" w:rsidRDefault="00F83048" w:rsidP="00E2644F">
      <w:pPr>
        <w:pStyle w:val="BodyTextMain"/>
        <w:rPr>
          <w:rFonts w:eastAsia="Calibri"/>
          <w:spacing w:val="-2"/>
          <w:kern w:val="22"/>
          <w:lang w:val="en-GB"/>
        </w:rPr>
      </w:pPr>
      <w:r w:rsidRPr="005D5720">
        <w:rPr>
          <w:rFonts w:eastAsia="Calibri"/>
          <w:spacing w:val="-2"/>
          <w:kern w:val="22"/>
          <w:lang w:val="en-GB"/>
        </w:rPr>
        <w:t xml:space="preserve">The core essence of Meridian’s value proposition </w:t>
      </w:r>
      <w:r w:rsidR="00EB7003" w:rsidRPr="005D5720">
        <w:rPr>
          <w:rFonts w:eastAsia="Calibri"/>
          <w:spacing w:val="-2"/>
          <w:kern w:val="22"/>
          <w:lang w:val="en-GB"/>
        </w:rPr>
        <w:t>wa</w:t>
      </w:r>
      <w:r w:rsidRPr="005D5720">
        <w:rPr>
          <w:rFonts w:eastAsia="Calibri"/>
          <w:spacing w:val="-2"/>
          <w:kern w:val="22"/>
          <w:lang w:val="en-GB"/>
        </w:rPr>
        <w:t>s “where banking feels good</w:t>
      </w:r>
      <w:r w:rsidR="00A111D2">
        <w:rPr>
          <w:rFonts w:eastAsia="Calibri"/>
          <w:spacing w:val="-2"/>
          <w:kern w:val="22"/>
          <w:lang w:val="en-GB"/>
        </w:rPr>
        <w:t>,</w:t>
      </w:r>
      <w:r w:rsidRPr="005D5720">
        <w:rPr>
          <w:rFonts w:eastAsia="Calibri"/>
          <w:spacing w:val="-2"/>
          <w:kern w:val="22"/>
          <w:lang w:val="en-GB"/>
        </w:rPr>
        <w:t xml:space="preserve">” while its mission or purpose </w:t>
      </w:r>
      <w:r w:rsidR="00EB7003" w:rsidRPr="005D5720">
        <w:rPr>
          <w:rFonts w:eastAsia="Calibri"/>
          <w:spacing w:val="-2"/>
          <w:kern w:val="22"/>
          <w:lang w:val="en-GB"/>
        </w:rPr>
        <w:t>wa</w:t>
      </w:r>
      <w:r w:rsidRPr="005D5720">
        <w:rPr>
          <w:rFonts w:eastAsia="Calibri"/>
          <w:spacing w:val="-2"/>
          <w:kern w:val="22"/>
          <w:lang w:val="en-GB"/>
        </w:rPr>
        <w:t>s “to make it simple for Canadians to achieve a better life</w:t>
      </w:r>
      <w:r w:rsidR="00EB7003" w:rsidRPr="005D5720">
        <w:rPr>
          <w:rFonts w:eastAsia="Calibri"/>
          <w:spacing w:val="-2"/>
          <w:kern w:val="22"/>
          <w:lang w:val="en-GB"/>
        </w:rPr>
        <w:t>.</w:t>
      </w:r>
      <w:r w:rsidRPr="005D5720">
        <w:rPr>
          <w:rFonts w:eastAsia="Calibri"/>
          <w:spacing w:val="-2"/>
          <w:kern w:val="22"/>
          <w:lang w:val="en-GB"/>
        </w:rPr>
        <w:t xml:space="preserve">” </w:t>
      </w:r>
      <w:r w:rsidR="00401C58" w:rsidRPr="005D5720">
        <w:rPr>
          <w:rFonts w:eastAsia="Calibri"/>
          <w:spacing w:val="-2"/>
          <w:kern w:val="22"/>
          <w:lang w:val="en-GB"/>
        </w:rPr>
        <w:t xml:space="preserve">By early 2018, Meridian was Ontario’s largest </w:t>
      </w:r>
      <w:r w:rsidRPr="005D5720">
        <w:rPr>
          <w:rFonts w:eastAsia="Calibri"/>
          <w:spacing w:val="-2"/>
          <w:kern w:val="22"/>
          <w:lang w:val="en-GB"/>
        </w:rPr>
        <w:t xml:space="preserve">and Canada’s third largest </w:t>
      </w:r>
      <w:r w:rsidR="00401C58" w:rsidRPr="005D5720">
        <w:rPr>
          <w:rFonts w:eastAsia="Calibri"/>
          <w:spacing w:val="-2"/>
          <w:kern w:val="22"/>
          <w:lang w:val="en-GB"/>
        </w:rPr>
        <w:t>credit union, with over 300,000 members and close to $16 billion in managed assets (see Exhibit 1). Meridian was expected to earn roughly $340 million in revenue in 2017 (up from $290 million in 2016)</w:t>
      </w:r>
      <w:r w:rsidR="00A111D2">
        <w:rPr>
          <w:rFonts w:eastAsia="Calibri"/>
          <w:spacing w:val="-2"/>
          <w:kern w:val="22"/>
          <w:lang w:val="en-GB"/>
        </w:rPr>
        <w:t>,</w:t>
      </w:r>
      <w:r w:rsidR="00401C58" w:rsidRPr="005D5720">
        <w:rPr>
          <w:rFonts w:eastAsia="Calibri"/>
          <w:spacing w:val="-2"/>
          <w:kern w:val="22"/>
          <w:lang w:val="en-GB"/>
        </w:rPr>
        <w:t xml:space="preserve"> and had over 84 branches concentrated in the GTA </w:t>
      </w:r>
      <w:r w:rsidR="00E23C21">
        <w:rPr>
          <w:rFonts w:eastAsia="Calibri"/>
          <w:spacing w:val="-2"/>
          <w:kern w:val="22"/>
          <w:lang w:val="en-GB"/>
        </w:rPr>
        <w:t xml:space="preserve">(Greater Toronto Area) </w:t>
      </w:r>
      <w:r w:rsidR="00401C58" w:rsidRPr="005D5720">
        <w:rPr>
          <w:rFonts w:eastAsia="Calibri"/>
          <w:spacing w:val="-2"/>
          <w:kern w:val="22"/>
          <w:lang w:val="en-GB"/>
        </w:rPr>
        <w:t>and southwestern Ontario, with a small penetration in the Ottawa market. Thirty per cent of Meridian’s business was commercial</w:t>
      </w:r>
      <w:r w:rsidR="006E16AB" w:rsidRPr="005D5720">
        <w:rPr>
          <w:rFonts w:eastAsia="Calibri"/>
          <w:spacing w:val="-2"/>
          <w:kern w:val="22"/>
          <w:lang w:val="en-GB"/>
        </w:rPr>
        <w:t xml:space="preserve"> and was</w:t>
      </w:r>
      <w:r w:rsidR="00401C58" w:rsidRPr="005D5720">
        <w:rPr>
          <w:rFonts w:eastAsia="Calibri"/>
          <w:spacing w:val="-2"/>
          <w:kern w:val="22"/>
          <w:lang w:val="en-GB"/>
        </w:rPr>
        <w:t xml:space="preserve"> supported by eight commercial business centres. Although Meridian’s commercial success had been concentrated in the Niagara region for many years, it had since diversified into other markets in southwestern Ontario and the GTA. Meridian offered all the personal and business financial products and services that were available at any of the big banks, including daily banking services, loans, mortgages, and investment services, through online-banking platforms, ATMs, branches, and call-centre locations. </w:t>
      </w:r>
      <w:r w:rsidR="00942A05">
        <w:rPr>
          <w:rFonts w:eastAsia="Calibri"/>
          <w:spacing w:val="-2"/>
          <w:kern w:val="22"/>
          <w:lang w:val="en-GB"/>
        </w:rPr>
        <w:t xml:space="preserve">Interestingly, </w:t>
      </w:r>
      <w:r w:rsidR="00502D09">
        <w:rPr>
          <w:rFonts w:eastAsia="Calibri"/>
          <w:spacing w:val="-2"/>
          <w:kern w:val="22"/>
          <w:lang w:val="en-GB"/>
        </w:rPr>
        <w:t>Meridian’s executives tended to originate from the big banks</w:t>
      </w:r>
      <w:r w:rsidR="00942A05">
        <w:rPr>
          <w:rFonts w:eastAsia="Calibri"/>
          <w:spacing w:val="-2"/>
          <w:kern w:val="22"/>
          <w:lang w:val="en-GB"/>
        </w:rPr>
        <w:t xml:space="preserve"> which, on the one hand, assisted in understanding how to compete with the big banks but, on the other hand, </w:t>
      </w:r>
      <w:r w:rsidR="00B02A45">
        <w:rPr>
          <w:rFonts w:eastAsia="Calibri"/>
          <w:spacing w:val="-2"/>
          <w:kern w:val="22"/>
          <w:lang w:val="en-GB"/>
        </w:rPr>
        <w:t xml:space="preserve">led to some tension </w:t>
      </w:r>
      <w:r w:rsidR="00103111">
        <w:rPr>
          <w:rFonts w:eastAsia="Calibri"/>
          <w:spacing w:val="-2"/>
          <w:kern w:val="22"/>
          <w:lang w:val="en-GB"/>
        </w:rPr>
        <w:t>as these executives</w:t>
      </w:r>
      <w:r w:rsidR="00762386">
        <w:rPr>
          <w:rFonts w:eastAsia="Calibri"/>
          <w:spacing w:val="-2"/>
          <w:kern w:val="22"/>
          <w:lang w:val="en-GB"/>
        </w:rPr>
        <w:t>’</w:t>
      </w:r>
      <w:r w:rsidR="00103111">
        <w:rPr>
          <w:rFonts w:eastAsia="Calibri"/>
          <w:spacing w:val="-2"/>
          <w:kern w:val="22"/>
          <w:lang w:val="en-GB"/>
        </w:rPr>
        <w:t xml:space="preserve"> views were often informed by their experience at the big banks.  </w:t>
      </w:r>
      <w:r w:rsidR="004F0C97">
        <w:rPr>
          <w:rFonts w:eastAsia="Calibri"/>
          <w:spacing w:val="-2"/>
          <w:kern w:val="22"/>
          <w:lang w:val="en-GB"/>
        </w:rPr>
        <w:t xml:space="preserve">Adding to this tension was the fact that executive </w:t>
      </w:r>
      <w:r w:rsidR="00313748">
        <w:rPr>
          <w:rFonts w:eastAsia="Calibri"/>
          <w:spacing w:val="-2"/>
          <w:kern w:val="22"/>
          <w:lang w:val="en-GB"/>
        </w:rPr>
        <w:t>compensation was</w:t>
      </w:r>
      <w:r w:rsidR="004F0C97">
        <w:rPr>
          <w:rFonts w:eastAsia="Calibri"/>
          <w:spacing w:val="-2"/>
          <w:kern w:val="22"/>
          <w:lang w:val="en-GB"/>
        </w:rPr>
        <w:t xml:space="preserve"> largely based on financial performance (e.g. </w:t>
      </w:r>
      <w:r w:rsidR="00C7417D">
        <w:rPr>
          <w:rFonts w:eastAsia="Calibri"/>
          <w:spacing w:val="-2"/>
          <w:kern w:val="22"/>
          <w:lang w:val="en-GB"/>
        </w:rPr>
        <w:t>Operating Earnings)</w:t>
      </w:r>
      <w:r w:rsidR="00EE4C7C">
        <w:rPr>
          <w:rFonts w:eastAsia="Calibri"/>
          <w:spacing w:val="-2"/>
          <w:kern w:val="22"/>
          <w:lang w:val="en-GB"/>
        </w:rPr>
        <w:t>.</w:t>
      </w:r>
      <w:r w:rsidR="00B02A45">
        <w:rPr>
          <w:rFonts w:eastAsia="Calibri"/>
          <w:spacing w:val="-2"/>
          <w:kern w:val="22"/>
          <w:lang w:val="en-GB"/>
        </w:rPr>
        <w:t xml:space="preserve"> </w:t>
      </w:r>
    </w:p>
    <w:p w14:paraId="0BDCAB7C" w14:textId="77777777" w:rsidR="00401C58" w:rsidRDefault="00401C58" w:rsidP="00E2644F">
      <w:pPr>
        <w:pStyle w:val="BodyTextMain"/>
        <w:rPr>
          <w:rFonts w:eastAsia="Calibri"/>
          <w:lang w:val="en-GB"/>
        </w:rPr>
      </w:pPr>
    </w:p>
    <w:p w14:paraId="1665B225" w14:textId="77777777" w:rsidR="00EE4C7C" w:rsidRPr="005650D7" w:rsidRDefault="00EE4C7C" w:rsidP="00E2644F">
      <w:pPr>
        <w:pStyle w:val="BodyTextMain"/>
        <w:rPr>
          <w:rFonts w:eastAsia="Calibri"/>
          <w:lang w:val="en-GB"/>
        </w:rPr>
      </w:pPr>
    </w:p>
    <w:p w14:paraId="681723B7" w14:textId="3DE59EEF" w:rsidR="00401C58" w:rsidRPr="005650D7" w:rsidRDefault="00401C58" w:rsidP="00EE4C7C">
      <w:pPr>
        <w:pStyle w:val="Casehead2"/>
        <w:keepNext/>
        <w:rPr>
          <w:rFonts w:eastAsia="Calibri"/>
          <w:lang w:val="en-GB"/>
        </w:rPr>
      </w:pPr>
      <w:r w:rsidRPr="005650D7">
        <w:rPr>
          <w:rFonts w:eastAsia="Calibri"/>
          <w:lang w:val="en-GB"/>
        </w:rPr>
        <w:lastRenderedPageBreak/>
        <w:t>Strategic Imperatives</w:t>
      </w:r>
    </w:p>
    <w:p w14:paraId="5AC2069C" w14:textId="77777777" w:rsidR="00401C58" w:rsidRPr="005D5720" w:rsidRDefault="00401C58" w:rsidP="00EE4C7C">
      <w:pPr>
        <w:pStyle w:val="BodyTextMain"/>
        <w:keepNext/>
        <w:rPr>
          <w:rFonts w:eastAsia="Calibri"/>
          <w:sz w:val="18"/>
          <w:szCs w:val="18"/>
          <w:lang w:val="en-GB"/>
        </w:rPr>
      </w:pPr>
    </w:p>
    <w:p w14:paraId="6084746C" w14:textId="082B6E4E" w:rsidR="00401C58" w:rsidRPr="005D5720" w:rsidRDefault="00401C58" w:rsidP="00EE4C7C">
      <w:pPr>
        <w:pStyle w:val="BodyTextMain"/>
        <w:keepNext/>
        <w:rPr>
          <w:rFonts w:eastAsia="Calibri"/>
          <w:spacing w:val="-2"/>
          <w:kern w:val="22"/>
          <w:lang w:val="en-GB"/>
        </w:rPr>
      </w:pPr>
      <w:r w:rsidRPr="005D5720">
        <w:rPr>
          <w:rFonts w:eastAsia="Calibri"/>
          <w:spacing w:val="-2"/>
          <w:kern w:val="22"/>
          <w:lang w:val="en-GB"/>
        </w:rPr>
        <w:t>Meridian aspired to become “a much larger financial services partner” so that it would be perceived as relevant and sustainable in the mainstream marketplace. To that end, in 2015, Meridian established its Blueprint for Growth, which evolved into five key strategic imperatives.</w:t>
      </w:r>
    </w:p>
    <w:p w14:paraId="547346B3" w14:textId="77777777" w:rsidR="00401C58" w:rsidRPr="005D5720" w:rsidRDefault="00401C58" w:rsidP="00E2644F">
      <w:pPr>
        <w:pStyle w:val="BodyTextMain"/>
        <w:rPr>
          <w:rFonts w:eastAsia="Calibri"/>
          <w:color w:val="000000"/>
          <w:sz w:val="18"/>
          <w:szCs w:val="18"/>
          <w:lang w:val="en-GB"/>
        </w:rPr>
      </w:pPr>
    </w:p>
    <w:p w14:paraId="656C1758" w14:textId="77777777" w:rsidR="00401C58" w:rsidRPr="005D5720" w:rsidRDefault="00401C58" w:rsidP="00E2644F">
      <w:pPr>
        <w:pStyle w:val="BodyTextMain"/>
        <w:rPr>
          <w:rFonts w:eastAsia="Calibri"/>
          <w:color w:val="000000"/>
          <w:sz w:val="18"/>
          <w:szCs w:val="18"/>
          <w:lang w:val="en-GB"/>
        </w:rPr>
      </w:pPr>
    </w:p>
    <w:p w14:paraId="7EC86E65" w14:textId="3F97CB9E" w:rsidR="00401C58" w:rsidRPr="005650D7" w:rsidRDefault="00401C58" w:rsidP="00E2644F">
      <w:pPr>
        <w:pStyle w:val="Casehead3"/>
        <w:rPr>
          <w:rFonts w:eastAsia="Calibri"/>
          <w:lang w:val="en-GB"/>
        </w:rPr>
      </w:pPr>
      <w:r w:rsidRPr="005650D7">
        <w:rPr>
          <w:rFonts w:eastAsia="Calibri"/>
          <w:lang w:val="en-GB"/>
        </w:rPr>
        <w:t>Differentiated Member Experience</w:t>
      </w:r>
    </w:p>
    <w:p w14:paraId="6A401A51" w14:textId="77777777" w:rsidR="00401C58" w:rsidRPr="005D5720" w:rsidRDefault="00401C58" w:rsidP="00E2644F">
      <w:pPr>
        <w:pStyle w:val="BodyTextMain"/>
        <w:rPr>
          <w:rFonts w:eastAsia="Calibri"/>
          <w:color w:val="000000"/>
          <w:sz w:val="18"/>
          <w:szCs w:val="18"/>
          <w:lang w:val="en-GB"/>
        </w:rPr>
      </w:pPr>
    </w:p>
    <w:p w14:paraId="4A79D2F8" w14:textId="09B776FE" w:rsidR="00401C58" w:rsidRPr="005650D7" w:rsidRDefault="00401C58" w:rsidP="00E2644F">
      <w:pPr>
        <w:pStyle w:val="BodyTextMain"/>
        <w:rPr>
          <w:rFonts w:eastAsia="Calibri"/>
          <w:lang w:val="en-GB"/>
        </w:rPr>
      </w:pPr>
      <w:r w:rsidRPr="005650D7">
        <w:rPr>
          <w:rFonts w:eastAsia="Calibri"/>
          <w:color w:val="000000"/>
          <w:lang w:val="en-GB"/>
        </w:rPr>
        <w:t>Meridian believed that any growth strategy must include strengthening and maintaining its differentiated member experience. Meridian’s website claimed that it</w:t>
      </w:r>
      <w:r w:rsidR="00865FDB">
        <w:rPr>
          <w:rFonts w:eastAsia="Calibri"/>
          <w:color w:val="000000"/>
          <w:lang w:val="en-GB"/>
        </w:rPr>
        <w:t xml:space="preserve"> was there to support its members at all times b</w:t>
      </w:r>
      <w:r w:rsidRPr="005650D7">
        <w:rPr>
          <w:rFonts w:eastAsia="Calibri"/>
          <w:color w:val="000000"/>
          <w:lang w:val="en-GB"/>
        </w:rPr>
        <w:t>ecause Meridian employees knew their members and their circumstances extremely well and thus had “the ability and power to make decisions on the spot.”</w:t>
      </w:r>
      <w:r w:rsidRPr="005650D7">
        <w:rPr>
          <w:rFonts w:eastAsia="Calibri"/>
          <w:color w:val="000000"/>
          <w:vertAlign w:val="superscript"/>
          <w:lang w:val="en-GB"/>
        </w:rPr>
        <w:endnoteReference w:id="34"/>
      </w:r>
      <w:r w:rsidRPr="005650D7">
        <w:rPr>
          <w:rFonts w:eastAsia="Calibri"/>
          <w:color w:val="000000"/>
          <w:lang w:val="en-GB"/>
        </w:rPr>
        <w:t xml:space="preserve"> The credit union called this the Meridian difference, claimed leadership in being a member-centric financial services institution in Ontario and beyond, and counted on that leadership to fuel growth. Testimonials from current members supported this claim: </w:t>
      </w:r>
      <w:r w:rsidRPr="005650D7">
        <w:rPr>
          <w:rFonts w:eastAsia="Calibri"/>
          <w:lang w:val="en-GB"/>
        </w:rPr>
        <w:t>“Just switched over to Meridian Credit Union from TD, couldn’t be happier! Much better customer service and overall better environment (everyone seems much happier).” “Meridian is definitely about the people! I know they always have my back. I am so done with Scotiabank and RBC. Thank you Meridian!”</w:t>
      </w:r>
    </w:p>
    <w:p w14:paraId="3E9F4F5B" w14:textId="77777777" w:rsidR="00401C58" w:rsidRPr="005D5720" w:rsidRDefault="00401C58" w:rsidP="00E2644F">
      <w:pPr>
        <w:pStyle w:val="BodyTextMain"/>
        <w:rPr>
          <w:rFonts w:eastAsia="Calibri"/>
          <w:sz w:val="18"/>
          <w:szCs w:val="18"/>
          <w:lang w:val="en-GB"/>
        </w:rPr>
      </w:pPr>
    </w:p>
    <w:p w14:paraId="00B4390B" w14:textId="77777777" w:rsidR="00401C58" w:rsidRPr="005D5720" w:rsidRDefault="00401C58" w:rsidP="00E2644F">
      <w:pPr>
        <w:pStyle w:val="BodyTextMain"/>
        <w:rPr>
          <w:rFonts w:eastAsia="Calibri"/>
          <w:sz w:val="18"/>
          <w:szCs w:val="18"/>
          <w:lang w:val="en-GB"/>
        </w:rPr>
      </w:pPr>
    </w:p>
    <w:p w14:paraId="1CFD0C74" w14:textId="77777777" w:rsidR="00401C58" w:rsidRPr="005650D7" w:rsidRDefault="00401C58" w:rsidP="005650D7">
      <w:pPr>
        <w:pStyle w:val="Casehead3"/>
        <w:keepNext/>
        <w:keepLines/>
        <w:rPr>
          <w:rFonts w:eastAsia="Calibri"/>
          <w:lang w:val="en-GB"/>
        </w:rPr>
      </w:pPr>
      <w:r w:rsidRPr="005650D7">
        <w:rPr>
          <w:rFonts w:eastAsia="Calibri"/>
          <w:lang w:val="en-GB"/>
        </w:rPr>
        <w:t>Exceptional Employee Experience</w:t>
      </w:r>
    </w:p>
    <w:p w14:paraId="32D36D1F" w14:textId="77777777" w:rsidR="00401C58" w:rsidRPr="005D5720" w:rsidRDefault="00401C58" w:rsidP="005650D7">
      <w:pPr>
        <w:pStyle w:val="BodyTextMain"/>
        <w:keepNext/>
        <w:keepLines/>
        <w:rPr>
          <w:rFonts w:eastAsia="Calibri"/>
          <w:color w:val="000000"/>
          <w:sz w:val="18"/>
          <w:szCs w:val="18"/>
          <w:lang w:val="en-GB"/>
        </w:rPr>
      </w:pPr>
    </w:p>
    <w:p w14:paraId="740E1F54" w14:textId="61502185" w:rsidR="00401C58" w:rsidRPr="005650D7" w:rsidRDefault="00401C58" w:rsidP="005650D7">
      <w:pPr>
        <w:pStyle w:val="BodyTextMain"/>
        <w:keepNext/>
        <w:keepLines/>
        <w:rPr>
          <w:rFonts w:eastAsia="Calibri"/>
          <w:color w:val="000000"/>
          <w:lang w:val="en-GB"/>
        </w:rPr>
      </w:pPr>
      <w:r w:rsidRPr="005650D7">
        <w:rPr>
          <w:rFonts w:eastAsia="Calibri"/>
          <w:color w:val="000000"/>
          <w:lang w:val="en-GB"/>
        </w:rPr>
        <w:t xml:space="preserve">Driving this differentiated member experience was a unique, member-focused culture: members felt different walking into Meridian than </w:t>
      </w:r>
      <w:r w:rsidR="006E16AB">
        <w:rPr>
          <w:rFonts w:eastAsia="Calibri"/>
          <w:color w:val="000000"/>
          <w:lang w:val="en-GB"/>
        </w:rPr>
        <w:t xml:space="preserve">they did in </w:t>
      </w:r>
      <w:r w:rsidRPr="005650D7">
        <w:rPr>
          <w:rFonts w:eastAsia="Calibri"/>
          <w:color w:val="000000"/>
          <w:lang w:val="en-GB"/>
        </w:rPr>
        <w:t xml:space="preserve">a traditional bank. Many employees were proud of the authentic relationships they had with consumers, in large part because the absence of shareholder demands afforded them the freedom to go out of their way to meet members’ needs. Interestingly, many senior managers at Meridian headquarters had come from the big banks and were attracted to the unique value proposition Meridian offered to its members. Although they did have sales targets, Meridian executives claimed that </w:t>
      </w:r>
      <w:r w:rsidR="00A111D2">
        <w:rPr>
          <w:rFonts w:eastAsia="Calibri"/>
          <w:color w:val="000000"/>
          <w:lang w:val="en-GB"/>
        </w:rPr>
        <w:t>Meridian’s</w:t>
      </w:r>
      <w:r w:rsidRPr="005650D7">
        <w:rPr>
          <w:rFonts w:eastAsia="Calibri"/>
          <w:color w:val="000000"/>
          <w:lang w:val="en-GB"/>
        </w:rPr>
        <w:t xml:space="preserve"> culture separated those targets from the aggressive sales targets of the big banks and even some credit unions.</w:t>
      </w:r>
      <w:r w:rsidRPr="005650D7">
        <w:rPr>
          <w:rFonts w:eastAsia="Calibri"/>
          <w:color w:val="000000"/>
          <w:vertAlign w:val="superscript"/>
          <w:lang w:val="en-GB"/>
        </w:rPr>
        <w:endnoteReference w:id="35"/>
      </w:r>
      <w:r w:rsidRPr="005650D7">
        <w:rPr>
          <w:rFonts w:eastAsia="Calibri"/>
          <w:color w:val="000000"/>
          <w:lang w:val="en-GB"/>
        </w:rPr>
        <w:t xml:space="preserve"> Consider the following quotations from employees:</w:t>
      </w:r>
    </w:p>
    <w:p w14:paraId="5CD4D2A3" w14:textId="77777777" w:rsidR="00401C58" w:rsidRPr="005D5720" w:rsidRDefault="00401C58" w:rsidP="00E2644F">
      <w:pPr>
        <w:pStyle w:val="BodyTextMain"/>
        <w:rPr>
          <w:rFonts w:eastAsia="Calibri"/>
          <w:sz w:val="18"/>
          <w:szCs w:val="18"/>
          <w:lang w:val="en-GB"/>
        </w:rPr>
      </w:pPr>
    </w:p>
    <w:p w14:paraId="6BA195D9" w14:textId="6666FB0D" w:rsidR="00401C58" w:rsidRPr="005650D7" w:rsidRDefault="00401C58" w:rsidP="00E2644F">
      <w:pPr>
        <w:pStyle w:val="BodyTextMain"/>
        <w:ind w:left="900"/>
        <w:rPr>
          <w:rFonts w:eastAsia="Calibri"/>
          <w:lang w:val="en-GB"/>
        </w:rPr>
      </w:pPr>
      <w:r w:rsidRPr="005650D7">
        <w:rPr>
          <w:rFonts w:eastAsia="Calibri"/>
          <w:lang w:val="en-GB"/>
        </w:rPr>
        <w:t>As a Senior Small Business Advisor with Meridian, I am able to act as a true advisor for the Small Business Community I serve. Daily, I work to achieve my goals; however, I do so by wearing my advisor hat and not my salesperson hat. . . . Since joining the team at Meridian, I have been able to re-ignite my passion for doing what I love to do. For me, my experience here has changed my life for the better.</w:t>
      </w:r>
    </w:p>
    <w:p w14:paraId="30FE8F7B" w14:textId="77777777" w:rsidR="00401C58" w:rsidRPr="005D5720" w:rsidRDefault="00401C58" w:rsidP="00E2644F">
      <w:pPr>
        <w:pStyle w:val="BodyTextMain"/>
        <w:rPr>
          <w:rFonts w:eastAsia="Calibri"/>
          <w:sz w:val="18"/>
          <w:szCs w:val="18"/>
          <w:lang w:val="en-GB"/>
        </w:rPr>
      </w:pPr>
    </w:p>
    <w:p w14:paraId="30D34005" w14:textId="6274990D" w:rsidR="00401C58" w:rsidRPr="005D5720" w:rsidRDefault="00401C58" w:rsidP="00E2644F">
      <w:pPr>
        <w:pStyle w:val="BodyTextMain"/>
        <w:ind w:left="900"/>
        <w:rPr>
          <w:rFonts w:eastAsia="Calibri"/>
          <w:spacing w:val="-4"/>
          <w:kern w:val="22"/>
          <w:lang w:val="en-GB"/>
        </w:rPr>
      </w:pPr>
      <w:r w:rsidRPr="005D5720">
        <w:rPr>
          <w:rFonts w:eastAsia="Calibri"/>
          <w:spacing w:val="-4"/>
          <w:kern w:val="22"/>
          <w:lang w:val="en-GB"/>
        </w:rPr>
        <w:t>Meridian is a great company, with talented people who care about what they do. As a Business Analyst, I collaborate with people across different departments, and the one common thing is that they are passionate. We have a great work culture that is collaborative, supportive, and the team is diverse.</w:t>
      </w:r>
    </w:p>
    <w:p w14:paraId="334BCD98" w14:textId="77777777" w:rsidR="00401C58" w:rsidRPr="005D5720" w:rsidRDefault="00401C58" w:rsidP="00E2644F">
      <w:pPr>
        <w:pStyle w:val="BodyTextMain"/>
        <w:rPr>
          <w:rFonts w:eastAsia="Calibri"/>
          <w:sz w:val="18"/>
          <w:szCs w:val="18"/>
          <w:lang w:val="en-GB"/>
        </w:rPr>
      </w:pPr>
    </w:p>
    <w:p w14:paraId="7E1B0885" w14:textId="0B74AA61" w:rsidR="00401C58" w:rsidRPr="005650D7" w:rsidRDefault="00401C58" w:rsidP="00E2644F">
      <w:pPr>
        <w:pStyle w:val="BodyTextMain"/>
        <w:rPr>
          <w:rFonts w:eastAsia="Calibri"/>
          <w:lang w:val="en-GB"/>
        </w:rPr>
      </w:pPr>
      <w:r w:rsidRPr="005650D7">
        <w:rPr>
          <w:rFonts w:eastAsia="Calibri"/>
          <w:lang w:val="en-GB"/>
        </w:rPr>
        <w:t>In 2017, Meridian was recognized as having one of Canada’s most admired corporate cultures. The award was based on the credit union’s leadership, which drove vision, mission, and values; its culture, which was aligned to that vision; and this culture’s promotion and support of organizational and individual involvement in social issues.</w:t>
      </w:r>
      <w:r w:rsidRPr="005650D7">
        <w:rPr>
          <w:rFonts w:eastAsia="Calibri"/>
          <w:vertAlign w:val="superscript"/>
          <w:lang w:val="en-GB"/>
        </w:rPr>
        <w:endnoteReference w:id="36"/>
      </w:r>
    </w:p>
    <w:p w14:paraId="6E22E161" w14:textId="77777777" w:rsidR="00401C58" w:rsidRPr="005D5720" w:rsidRDefault="00401C58" w:rsidP="00E2644F">
      <w:pPr>
        <w:pStyle w:val="BodyTextMain"/>
        <w:rPr>
          <w:rFonts w:eastAsia="Calibri"/>
          <w:sz w:val="18"/>
          <w:szCs w:val="18"/>
          <w:lang w:val="en-GB"/>
        </w:rPr>
      </w:pPr>
    </w:p>
    <w:p w14:paraId="4B2D4B3C" w14:textId="77777777" w:rsidR="00401C58" w:rsidRPr="005D5720" w:rsidRDefault="00401C58" w:rsidP="00E2644F">
      <w:pPr>
        <w:pStyle w:val="BodyTextMain"/>
        <w:rPr>
          <w:rFonts w:eastAsia="Calibri"/>
          <w:sz w:val="18"/>
          <w:szCs w:val="18"/>
          <w:lang w:val="en-GB"/>
        </w:rPr>
      </w:pPr>
    </w:p>
    <w:p w14:paraId="23AC2686" w14:textId="77777777" w:rsidR="00401C58" w:rsidRPr="005650D7" w:rsidRDefault="00401C58" w:rsidP="00E2644F">
      <w:pPr>
        <w:pStyle w:val="Casehead3"/>
        <w:rPr>
          <w:rFonts w:eastAsia="Calibri"/>
          <w:lang w:val="en-GB"/>
        </w:rPr>
      </w:pPr>
      <w:r w:rsidRPr="005650D7">
        <w:rPr>
          <w:rFonts w:eastAsia="Calibri"/>
          <w:lang w:val="en-GB"/>
        </w:rPr>
        <w:t>Social Commitment</w:t>
      </w:r>
    </w:p>
    <w:p w14:paraId="1E4EA179" w14:textId="77777777" w:rsidR="00401C58" w:rsidRPr="005D5720" w:rsidRDefault="00401C58" w:rsidP="00E2644F">
      <w:pPr>
        <w:pStyle w:val="BodyTextMain"/>
        <w:rPr>
          <w:rFonts w:eastAsia="Calibri"/>
          <w:sz w:val="18"/>
          <w:szCs w:val="18"/>
          <w:lang w:val="en-GB"/>
        </w:rPr>
      </w:pPr>
    </w:p>
    <w:p w14:paraId="49955AAD" w14:textId="242EBE9C" w:rsidR="00401C58" w:rsidRPr="00EE4C7C" w:rsidRDefault="00401C58" w:rsidP="00E2644F">
      <w:pPr>
        <w:pStyle w:val="BodyTextMain"/>
        <w:rPr>
          <w:rFonts w:eastAsia="Calibri"/>
          <w:spacing w:val="-4"/>
          <w:lang w:val="en-GB"/>
        </w:rPr>
      </w:pPr>
      <w:r w:rsidRPr="00EE4C7C">
        <w:rPr>
          <w:rFonts w:eastAsia="Calibri"/>
          <w:spacing w:val="-4"/>
          <w:lang w:val="en-GB"/>
        </w:rPr>
        <w:t xml:space="preserve">Meridian maintained its commitment to its existing members through community development, investing surplus earnings in its communities through sponsorships and donations. To Meridian, these initiatives represented important ways to communicate the credit union’s commitment to the community and to attract </w:t>
      </w:r>
      <w:r w:rsidRPr="00EE4C7C">
        <w:rPr>
          <w:rFonts w:eastAsia="Calibri"/>
          <w:spacing w:val="-4"/>
          <w:lang w:val="en-GB"/>
        </w:rPr>
        <w:lastRenderedPageBreak/>
        <w:t xml:space="preserve">members and employees. Meridian’s commitment to communities was reflected in five main goals: improving financial literacy, investing in communities, engaging employees, contributing to a healthier environment, and </w:t>
      </w:r>
      <w:r w:rsidR="00E23C21" w:rsidRPr="00EE4C7C">
        <w:rPr>
          <w:rFonts w:eastAsia="Calibri"/>
          <w:spacing w:val="-4"/>
          <w:lang w:val="en-GB"/>
        </w:rPr>
        <w:t>supporting a strong co-op</w:t>
      </w:r>
      <w:r w:rsidRPr="00EE4C7C">
        <w:rPr>
          <w:rFonts w:eastAsia="Calibri"/>
          <w:spacing w:val="-4"/>
          <w:lang w:val="en-GB"/>
        </w:rPr>
        <w:t xml:space="preserve"> sector. Meridian aimed to improve financial literacy by educating members about how to “better manage their money and grow their lives,” for example, by helping Canadian families learn how to save for their children’s education. It invested in communities by using surplus income from operations to fund community programs and/or to partner with community organizations identified by local employees. Meridian engaged employees by encouraging them to support their communities; it did so by matching employees’ personal donations of up to $1,000 and by donating $12.50 for each hour an employee volunteered (up to $500) to any charity the employee chose. Meridian’s contribution to a healthier environment involved assessing and minimizing the company’s environmental impact.</w:t>
      </w:r>
      <w:r w:rsidRPr="00EE4C7C" w:rsidDel="009E3C97">
        <w:rPr>
          <w:rFonts w:eastAsia="Calibri"/>
          <w:spacing w:val="-4"/>
          <w:lang w:val="en-GB"/>
        </w:rPr>
        <w:t xml:space="preserve"> </w:t>
      </w:r>
      <w:r w:rsidRPr="00EE4C7C">
        <w:rPr>
          <w:rFonts w:eastAsia="Calibri"/>
          <w:spacing w:val="-4"/>
          <w:lang w:val="en-GB"/>
        </w:rPr>
        <w:t>Its support of a st</w:t>
      </w:r>
      <w:r w:rsidR="00E23C21" w:rsidRPr="00EE4C7C">
        <w:rPr>
          <w:rFonts w:eastAsia="Calibri"/>
          <w:spacing w:val="-4"/>
          <w:lang w:val="en-GB"/>
        </w:rPr>
        <w:t>rong co-op</w:t>
      </w:r>
      <w:r w:rsidRPr="00EE4C7C">
        <w:rPr>
          <w:rFonts w:eastAsia="Calibri"/>
          <w:spacing w:val="-4"/>
          <w:lang w:val="en-GB"/>
        </w:rPr>
        <w:t xml:space="preserve"> sector involved educating high school students about co-ops, supporting conferences related to co</w:t>
      </w:r>
      <w:r w:rsidR="00E23C21" w:rsidRPr="00EE4C7C">
        <w:rPr>
          <w:rFonts w:eastAsia="Calibri"/>
          <w:spacing w:val="-4"/>
          <w:lang w:val="en-GB"/>
        </w:rPr>
        <w:t>-ops, and promoting co-op</w:t>
      </w:r>
      <w:r w:rsidRPr="00EE4C7C">
        <w:rPr>
          <w:rFonts w:eastAsia="Calibri"/>
          <w:spacing w:val="-4"/>
          <w:lang w:val="en-GB"/>
        </w:rPr>
        <w:t xml:space="preserve"> problem solving through its Co</w:t>
      </w:r>
      <w:r w:rsidRPr="00EE4C7C">
        <w:rPr>
          <w:rFonts w:eastAsia="Calibri"/>
          <w:spacing w:val="-4"/>
          <w:lang w:val="en-GB"/>
        </w:rPr>
        <w:noBreakHyphen/>
        <w:t>operative Young Leaders program.</w:t>
      </w:r>
    </w:p>
    <w:p w14:paraId="01C46FC6" w14:textId="77777777" w:rsidR="00401C58" w:rsidRPr="005D5720" w:rsidRDefault="00401C58" w:rsidP="00E2644F">
      <w:pPr>
        <w:pStyle w:val="BodyTextMain"/>
        <w:rPr>
          <w:rFonts w:eastAsia="Calibri"/>
          <w:sz w:val="18"/>
          <w:szCs w:val="18"/>
          <w:lang w:val="en-GB"/>
        </w:rPr>
      </w:pPr>
    </w:p>
    <w:p w14:paraId="6800B8FF" w14:textId="77777777" w:rsidR="00401C58" w:rsidRPr="005D5720" w:rsidRDefault="00401C58" w:rsidP="00E2644F">
      <w:pPr>
        <w:pStyle w:val="BodyTextMain"/>
        <w:rPr>
          <w:rFonts w:eastAsia="Calibri"/>
          <w:sz w:val="18"/>
          <w:szCs w:val="18"/>
          <w:lang w:val="en-GB"/>
        </w:rPr>
      </w:pPr>
    </w:p>
    <w:p w14:paraId="7EC60612" w14:textId="1701C698" w:rsidR="00401C58" w:rsidRPr="005650D7" w:rsidRDefault="00401C58" w:rsidP="00E2644F">
      <w:pPr>
        <w:pStyle w:val="Casehead3"/>
        <w:rPr>
          <w:rFonts w:eastAsia="Calibri"/>
          <w:lang w:val="en-GB"/>
        </w:rPr>
      </w:pPr>
      <w:r w:rsidRPr="005650D7">
        <w:rPr>
          <w:rFonts w:eastAsia="Calibri"/>
          <w:lang w:val="en-GB"/>
        </w:rPr>
        <w:t>Market and Membership Growth</w:t>
      </w:r>
    </w:p>
    <w:p w14:paraId="0DE3E5EA" w14:textId="77777777" w:rsidR="00401C58" w:rsidRPr="005D5720" w:rsidRDefault="00401C58" w:rsidP="00E2644F">
      <w:pPr>
        <w:pStyle w:val="BodyTextMain"/>
        <w:rPr>
          <w:rFonts w:eastAsia="Calibri"/>
          <w:sz w:val="18"/>
          <w:szCs w:val="18"/>
          <w:lang w:val="en-GB"/>
        </w:rPr>
      </w:pPr>
    </w:p>
    <w:p w14:paraId="7AF801C5" w14:textId="7CED136F" w:rsidR="00401C58" w:rsidRPr="005650D7" w:rsidRDefault="00401C58" w:rsidP="00E2644F">
      <w:pPr>
        <w:pStyle w:val="BodyTextMain"/>
        <w:rPr>
          <w:rFonts w:eastAsia="Calibri"/>
          <w:lang w:val="en-GB"/>
        </w:rPr>
      </w:pPr>
      <w:r w:rsidRPr="005650D7">
        <w:rPr>
          <w:rFonts w:eastAsia="Calibri"/>
          <w:lang w:val="en-GB"/>
        </w:rPr>
        <w:t xml:space="preserve">To drive membership growth, Meridian aggressively promoted attractive product offerings with some of the best rates on the market across its in-branch and digital platforms. For example, in July 2016, Meridian’s 2.44 per cent five-year fixed mortgage was lowest, next to BMO’s 2.49 per cent and TD’s 2.59 per cent. Meridian was also proud of being the first financial institution in Canada to offer a 1.49 per cent 12-month mortgage rate. Meridian had also been promoting high-interest savings accounts at 1.5 per cent, whereas competing financial institutions offered somewhere between 0.5 per cent and 0.9 per cent, depending on various conditions. In perhaps a more direct effort to increase market share, Meridian offered a special savings rate to new members who deposited money at Meridian. This initiative also targeted existing members who deposited new money into the credit union. Overall, Meridian’s membership growth had been explosive: it had 20,000 new members in 2016, and its growth in new members for 2017 was expected to be similar if not better than in 2016. </w:t>
      </w:r>
    </w:p>
    <w:p w14:paraId="7814215A" w14:textId="77777777" w:rsidR="00401C58" w:rsidRPr="005D5720" w:rsidRDefault="00401C58" w:rsidP="00E2644F">
      <w:pPr>
        <w:pStyle w:val="Casehead3"/>
        <w:rPr>
          <w:rFonts w:eastAsia="Calibri"/>
          <w:sz w:val="18"/>
          <w:szCs w:val="18"/>
          <w:lang w:val="en-GB"/>
        </w:rPr>
      </w:pPr>
    </w:p>
    <w:p w14:paraId="37506BD0" w14:textId="77777777" w:rsidR="00401C58" w:rsidRPr="005D5720" w:rsidRDefault="00401C58" w:rsidP="00E2644F">
      <w:pPr>
        <w:pStyle w:val="Casehead3"/>
        <w:rPr>
          <w:rFonts w:eastAsia="Calibri"/>
          <w:sz w:val="18"/>
          <w:szCs w:val="18"/>
          <w:lang w:val="en-GB"/>
        </w:rPr>
      </w:pPr>
    </w:p>
    <w:p w14:paraId="1768D283" w14:textId="77777777" w:rsidR="00401C58" w:rsidRPr="005650D7" w:rsidRDefault="00401C58" w:rsidP="00E2644F">
      <w:pPr>
        <w:pStyle w:val="Casehead3"/>
        <w:rPr>
          <w:rFonts w:eastAsia="Calibri"/>
          <w:lang w:val="en-GB"/>
        </w:rPr>
      </w:pPr>
      <w:r w:rsidRPr="005650D7">
        <w:rPr>
          <w:rFonts w:eastAsia="Calibri"/>
          <w:lang w:val="en-GB"/>
        </w:rPr>
        <w:t>Diversified Business Model</w:t>
      </w:r>
    </w:p>
    <w:p w14:paraId="2B60AD74" w14:textId="77777777" w:rsidR="00401C58" w:rsidRPr="005D5720" w:rsidRDefault="00401C58" w:rsidP="00E2644F">
      <w:pPr>
        <w:pStyle w:val="BodyTextMain"/>
        <w:rPr>
          <w:rFonts w:eastAsia="Calibri"/>
          <w:sz w:val="18"/>
          <w:szCs w:val="18"/>
          <w:lang w:val="en-GB"/>
        </w:rPr>
      </w:pPr>
    </w:p>
    <w:p w14:paraId="2F50D994" w14:textId="10D6E187" w:rsidR="00A111D2" w:rsidRPr="00EE4C7C" w:rsidRDefault="00401C58" w:rsidP="00E2644F">
      <w:pPr>
        <w:pStyle w:val="BodyTextMain"/>
        <w:rPr>
          <w:rFonts w:eastAsia="Calibri"/>
          <w:spacing w:val="-4"/>
          <w:lang w:val="en-GB"/>
        </w:rPr>
      </w:pPr>
      <w:r w:rsidRPr="00EE4C7C">
        <w:rPr>
          <w:rFonts w:eastAsia="Calibri"/>
          <w:spacing w:val="-4"/>
          <w:lang w:val="en-GB"/>
        </w:rPr>
        <w:t>As part of its diversification effort, Meridian purchased a leasing company in 2016 and established Meridian OneCap Credit Corp</w:t>
      </w:r>
      <w:r w:rsidR="00E23C21" w:rsidRPr="00EE4C7C">
        <w:rPr>
          <w:rFonts w:eastAsia="Calibri"/>
          <w:spacing w:val="-4"/>
          <w:lang w:val="en-GB"/>
        </w:rPr>
        <w:t>.</w:t>
      </w:r>
      <w:r w:rsidRPr="00EE4C7C">
        <w:rPr>
          <w:rFonts w:eastAsia="Calibri"/>
          <w:spacing w:val="-4"/>
          <w:lang w:val="en-GB"/>
        </w:rPr>
        <w:t xml:space="preserve"> (OneCap) to help expand its brand nationally. With a client base of approximately 23,000, OneCap provided equipment leasing and loan financing solutions and value-added services to the small- and mid-market equipment finance market. By the end of September 2016, OneCap’s portfolio totalled close to $1 billion. In August 2016, Meridian announced it would establish a national bank as a subsidiary, using a digital retail platform—that is, it would have no physical branch locations. The bank would be structured as a subsi</w:t>
      </w:r>
      <w:r w:rsidR="00E23C21" w:rsidRPr="00EE4C7C">
        <w:rPr>
          <w:rFonts w:eastAsia="Calibri"/>
          <w:spacing w:val="-4"/>
          <w:lang w:val="en-GB"/>
        </w:rPr>
        <w:t>diary of the parent co-op</w:t>
      </w:r>
      <w:r w:rsidRPr="00EE4C7C">
        <w:rPr>
          <w:rFonts w:eastAsia="Calibri"/>
          <w:spacing w:val="-4"/>
          <w:lang w:val="en-GB"/>
        </w:rPr>
        <w:t xml:space="preserve"> based in Ontario, meaning Meridian members in Ontario would essentially own the bank. Importantly, however, Meridian bank customers would not own the bank or the credit union. </w:t>
      </w:r>
    </w:p>
    <w:p w14:paraId="6491BAC4" w14:textId="77777777" w:rsidR="00A111D2" w:rsidRDefault="00A111D2" w:rsidP="00E2644F">
      <w:pPr>
        <w:pStyle w:val="BodyTextMain"/>
        <w:rPr>
          <w:rFonts w:eastAsia="Calibri"/>
          <w:spacing w:val="-2"/>
          <w:kern w:val="22"/>
          <w:lang w:val="en-GB"/>
        </w:rPr>
      </w:pPr>
    </w:p>
    <w:p w14:paraId="36EB0805" w14:textId="1C0B7482" w:rsidR="00401C58" w:rsidRPr="005D5720" w:rsidRDefault="00401C58" w:rsidP="00E2644F">
      <w:pPr>
        <w:pStyle w:val="BodyTextMain"/>
        <w:rPr>
          <w:rFonts w:eastAsia="Calibri"/>
          <w:spacing w:val="-2"/>
          <w:kern w:val="22"/>
          <w:lang w:val="en-GB"/>
        </w:rPr>
      </w:pPr>
      <w:r w:rsidRPr="005D5720">
        <w:rPr>
          <w:rFonts w:eastAsia="Calibri"/>
          <w:spacing w:val="-2"/>
          <w:kern w:val="22"/>
          <w:lang w:val="en-GB"/>
        </w:rPr>
        <w:t xml:space="preserve">A </w:t>
      </w:r>
      <w:r w:rsidRPr="005D5720">
        <w:rPr>
          <w:rFonts w:eastAsia="Calibri"/>
          <w:i/>
          <w:spacing w:val="-2"/>
          <w:kern w:val="22"/>
          <w:lang w:val="en-GB"/>
        </w:rPr>
        <w:t>Financial Post</w:t>
      </w:r>
      <w:r w:rsidRPr="005D5720">
        <w:rPr>
          <w:rFonts w:eastAsia="Calibri"/>
          <w:spacing w:val="-2"/>
          <w:kern w:val="22"/>
          <w:lang w:val="en-GB"/>
        </w:rPr>
        <w:t xml:space="preserve"> article quoted chief executive officer (CEO) Bill Maurin as explaining that his intention was to compete directly with the country’s big banks: “There’s not a lot of Canadian love for the </w:t>
      </w:r>
      <w:r w:rsidR="00894674" w:rsidRPr="005D5720">
        <w:rPr>
          <w:rFonts w:eastAsia="Calibri"/>
          <w:spacing w:val="-2"/>
          <w:kern w:val="22"/>
          <w:lang w:val="en-GB"/>
        </w:rPr>
        <w:t>big</w:t>
      </w:r>
      <w:r w:rsidRPr="005D5720">
        <w:rPr>
          <w:rFonts w:eastAsia="Calibri"/>
          <w:spacing w:val="-2"/>
          <w:kern w:val="22"/>
          <w:lang w:val="en-GB"/>
        </w:rPr>
        <w:t xml:space="preserve"> banks, but we think there can be a lot of love for a Meridian version</w:t>
      </w:r>
      <w:bookmarkStart w:id="3" w:name="_ftnref39"/>
      <w:r w:rsidRPr="005D5720">
        <w:rPr>
          <w:rFonts w:eastAsia="Calibri"/>
          <w:spacing w:val="-2"/>
          <w:kern w:val="22"/>
          <w:lang w:val="en-GB"/>
        </w:rPr>
        <w:t>.”</w:t>
      </w:r>
      <w:bookmarkEnd w:id="3"/>
      <w:r w:rsidRPr="005D5720">
        <w:rPr>
          <w:rFonts w:eastAsia="Calibri"/>
          <w:spacing w:val="-2"/>
          <w:kern w:val="22"/>
          <w:vertAlign w:val="superscript"/>
          <w:lang w:val="en-GB"/>
        </w:rPr>
        <w:endnoteReference w:id="37"/>
      </w:r>
      <w:r w:rsidRPr="005D5720">
        <w:rPr>
          <w:rFonts w:eastAsia="Calibri"/>
          <w:spacing w:val="-2"/>
          <w:kern w:val="22"/>
          <w:lang w:val="en-GB"/>
        </w:rPr>
        <w:t xml:space="preserve"> Meridian sought to use this expansion strategy to compete against other mobile and online banks such as Tangerine, a unit of the Bank of Nova Scotia, by offering higher-interest savings rates and lower mortgage rates: “We pride ourselves on being bold and feisty, and we will bring that philosophy to Meridian Bank.” In explaining the decision to go with a bank rather than a credit union, Maurin said that it was best to expand across Canada as a bank, as that was “the financial entity Canadians were most used to. The understanding of credit unions is not where we’d want it to be.” The CEO added that “applying for a separate federal bank license would allow the credit union ‘to preserve a lot of the benefits we have,’ including higher deposit insurance.”</w:t>
      </w:r>
      <w:r w:rsidRPr="005D5720">
        <w:rPr>
          <w:rFonts w:eastAsia="Calibri"/>
          <w:spacing w:val="-2"/>
          <w:kern w:val="22"/>
          <w:vertAlign w:val="superscript"/>
          <w:lang w:val="en-GB"/>
        </w:rPr>
        <w:endnoteReference w:id="38"/>
      </w:r>
      <w:r w:rsidRPr="005D5720">
        <w:rPr>
          <w:rFonts w:eastAsia="Calibri"/>
          <w:spacing w:val="-2"/>
          <w:kern w:val="22"/>
          <w:lang w:val="en-GB"/>
        </w:rPr>
        <w:t xml:space="preserve"> </w:t>
      </w:r>
    </w:p>
    <w:p w14:paraId="719F693A" w14:textId="77777777" w:rsidR="00401C58" w:rsidRPr="005D5720" w:rsidRDefault="00401C58" w:rsidP="00E2644F">
      <w:pPr>
        <w:pStyle w:val="BodyTextMain"/>
        <w:rPr>
          <w:rFonts w:eastAsia="Calibri"/>
          <w:sz w:val="18"/>
          <w:szCs w:val="18"/>
          <w:lang w:val="en-GB"/>
        </w:rPr>
      </w:pPr>
    </w:p>
    <w:p w14:paraId="6577896C" w14:textId="77777777" w:rsidR="00401C58" w:rsidRPr="005650D7" w:rsidRDefault="00401C58" w:rsidP="005650D7">
      <w:pPr>
        <w:pStyle w:val="Casehead2"/>
        <w:keepNext/>
        <w:keepLines/>
        <w:rPr>
          <w:rFonts w:eastAsia="Calibri"/>
          <w:lang w:val="en-GB"/>
        </w:rPr>
      </w:pPr>
      <w:r w:rsidRPr="005650D7">
        <w:rPr>
          <w:rFonts w:eastAsia="Calibri"/>
          <w:lang w:val="en-GB"/>
        </w:rPr>
        <w:lastRenderedPageBreak/>
        <w:t>Capital to Fund Growth</w:t>
      </w:r>
    </w:p>
    <w:p w14:paraId="35DFE1C8" w14:textId="77777777" w:rsidR="00401C58" w:rsidRPr="005D5720" w:rsidRDefault="00401C58" w:rsidP="005650D7">
      <w:pPr>
        <w:pStyle w:val="BodyTextMain"/>
        <w:keepNext/>
        <w:keepLines/>
        <w:rPr>
          <w:rFonts w:eastAsia="Calibri"/>
          <w:sz w:val="18"/>
          <w:szCs w:val="18"/>
          <w:lang w:val="en-GB"/>
        </w:rPr>
      </w:pPr>
    </w:p>
    <w:p w14:paraId="68E57E8F" w14:textId="77337291" w:rsidR="00401C58" w:rsidRPr="005650D7" w:rsidRDefault="00401C58" w:rsidP="005650D7">
      <w:pPr>
        <w:pStyle w:val="BodyTextMain"/>
        <w:keepNext/>
        <w:keepLines/>
        <w:rPr>
          <w:rFonts w:eastAsia="Calibri"/>
          <w:lang w:val="en-GB"/>
        </w:rPr>
      </w:pPr>
      <w:r w:rsidRPr="005650D7">
        <w:rPr>
          <w:rFonts w:eastAsia="Calibri"/>
          <w:lang w:val="en-GB"/>
        </w:rPr>
        <w:t>Unlike the big banks</w:t>
      </w:r>
      <w:r w:rsidR="00A111D2">
        <w:rPr>
          <w:rFonts w:eastAsia="Calibri"/>
          <w:lang w:val="en-GB"/>
        </w:rPr>
        <w:t>, which</w:t>
      </w:r>
      <w:r w:rsidRPr="005650D7">
        <w:rPr>
          <w:rFonts w:eastAsia="Calibri"/>
          <w:lang w:val="en-GB"/>
        </w:rPr>
        <w:t xml:space="preserve"> relied on an almost endless supply of external capital, credit unions like Meridian had to be innovative to find the necessary funding to fuel their growth. Governmental efforts to cool the housing market in Canada in 2016 led to changes in the policy that affected financial institutions’ reliance on mortgage securitization as a form of funding. This left financial institutions like credit unions at a disadvantage. In addition, recent efforts by the Ministry of Finance to extend Basel III rules related to the amount and type of capital required to achieve the minimum capital ratio would have a substantial impact on credit unions’ ability to grow. As a result, efforts to implement Meridian’s strategic imperatives were contingent on new capital. In response, Meridian had recently increased its issuance of share offerings to members in 2015 and 2017 at a promoted return rate of 4.00–4.25 per cent, which was more than the 1.5 per cent rate members typically earned through term deposits. These shares were non-voting, non-participating, and non-cumulative, making them slightly different from traditional shares of the big banks. </w:t>
      </w:r>
      <w:r w:rsidR="00E14C50">
        <w:rPr>
          <w:rFonts w:eastAsia="Calibri"/>
          <w:lang w:val="en-GB"/>
        </w:rPr>
        <w:t>That said, share owners could exercise their right to propose changes to Meridian’s business affairs so long as a majority of share owners (voting based on number of shares) agreed to such changes and the proposed changes were supported by the majority of members.  Turnout to member-based events, like the Annual General Meeting however, had been very low with less than 0.5</w:t>
      </w:r>
      <w:r w:rsidR="00EE4C7C">
        <w:rPr>
          <w:rFonts w:eastAsia="Calibri"/>
          <w:lang w:val="en-GB"/>
        </w:rPr>
        <w:t xml:space="preserve"> per cent</w:t>
      </w:r>
      <w:r w:rsidR="00E14C50">
        <w:rPr>
          <w:rFonts w:eastAsia="Calibri"/>
          <w:lang w:val="en-GB"/>
        </w:rPr>
        <w:t xml:space="preserve"> of the membership participating, many of wh</w:t>
      </w:r>
      <w:r w:rsidR="00384C2C">
        <w:rPr>
          <w:rFonts w:eastAsia="Calibri"/>
          <w:lang w:val="en-GB"/>
        </w:rPr>
        <w:t>om</w:t>
      </w:r>
      <w:r w:rsidR="00E14C50">
        <w:rPr>
          <w:rFonts w:eastAsia="Calibri"/>
          <w:lang w:val="en-GB"/>
        </w:rPr>
        <w:t xml:space="preserve"> were existing employees of Meridian.  This lack of member participation was a concerning trend among all credit unions in Canada and cooperatives more generally.  Non-members interested in purchasing shares could do so by becoming a member at the time of share purchase. </w:t>
      </w:r>
      <w:r w:rsidRPr="005650D7">
        <w:rPr>
          <w:rFonts w:eastAsia="Calibri"/>
          <w:lang w:val="en-GB"/>
        </w:rPr>
        <w:t>By the end of 2017, Meridian’s share of capital originating from member shares rose to 55 per cent, with the remaining mostly attributed to retained earnings. Although the share offering was helpful in identifying sources of capital, Meridian was eager to find additional forms of capital to fund its growth. </w:t>
      </w:r>
    </w:p>
    <w:p w14:paraId="47352A09" w14:textId="55422A84" w:rsidR="00401C58" w:rsidRDefault="00401C58" w:rsidP="00E2644F">
      <w:pPr>
        <w:pStyle w:val="BodyTextMain"/>
        <w:rPr>
          <w:rFonts w:eastAsia="Calibri"/>
          <w:sz w:val="18"/>
          <w:szCs w:val="18"/>
          <w:lang w:val="en-GB"/>
        </w:rPr>
      </w:pPr>
    </w:p>
    <w:p w14:paraId="6665FC97" w14:textId="1A7C9B67" w:rsidR="00E14C50" w:rsidRPr="005D5720" w:rsidRDefault="00E14C50" w:rsidP="00E2644F">
      <w:pPr>
        <w:pStyle w:val="BodyTextMain"/>
        <w:rPr>
          <w:rFonts w:eastAsia="Calibri"/>
          <w:sz w:val="18"/>
          <w:szCs w:val="18"/>
          <w:lang w:val="en-GB"/>
        </w:rPr>
      </w:pPr>
    </w:p>
    <w:p w14:paraId="0B127342" w14:textId="79AFB1CD" w:rsidR="00401C58" w:rsidRPr="005650D7" w:rsidRDefault="00401C58" w:rsidP="00E2644F">
      <w:pPr>
        <w:pStyle w:val="Casehead2"/>
        <w:rPr>
          <w:rFonts w:eastAsia="Calibri"/>
          <w:lang w:val="en-GB"/>
        </w:rPr>
      </w:pPr>
      <w:r w:rsidRPr="005650D7">
        <w:rPr>
          <w:rFonts w:eastAsia="Calibri"/>
          <w:lang w:val="en-GB"/>
        </w:rPr>
        <w:t>Future Place in the Canadian Financial Services Industry</w:t>
      </w:r>
    </w:p>
    <w:p w14:paraId="5DDC6CFD" w14:textId="77777777" w:rsidR="00401C58" w:rsidRPr="005D5720" w:rsidRDefault="00401C58" w:rsidP="00E2644F">
      <w:pPr>
        <w:pStyle w:val="BodyTextMain"/>
        <w:rPr>
          <w:rFonts w:eastAsia="Calibri"/>
          <w:sz w:val="18"/>
          <w:szCs w:val="18"/>
          <w:lang w:val="en-GB"/>
        </w:rPr>
      </w:pPr>
    </w:p>
    <w:p w14:paraId="6C4E00B9" w14:textId="69671CF5" w:rsidR="00401C58" w:rsidRPr="005650D7" w:rsidRDefault="00401C58" w:rsidP="00E2644F">
      <w:pPr>
        <w:pStyle w:val="BodyTextMain"/>
        <w:rPr>
          <w:rFonts w:eastAsia="Calibri"/>
          <w:lang w:val="en-GB"/>
        </w:rPr>
      </w:pPr>
      <w:r w:rsidRPr="005650D7">
        <w:rPr>
          <w:rFonts w:eastAsia="Calibri"/>
          <w:lang w:val="en-GB"/>
        </w:rPr>
        <w:t>Meridian strived to be a leader in member-centric financial services in the Canadian market, “with a member experience that continues to be a differentiator and supports the Credit Union’s growth aspirations to become a much larger financial services partner.” Meridian was committed to delivering on the Meridian difference and helping build communities: it sought “to not only acquire market share but also be a market maker.”</w:t>
      </w:r>
      <w:r w:rsidRPr="005650D7">
        <w:rPr>
          <w:rFonts w:eastAsia="Calibri"/>
          <w:vertAlign w:val="superscript"/>
          <w:lang w:val="en-GB"/>
        </w:rPr>
        <w:endnoteReference w:id="39"/>
      </w:r>
      <w:r w:rsidRPr="005650D7">
        <w:rPr>
          <w:rFonts w:eastAsia="Calibri"/>
          <w:lang w:val="en-GB"/>
        </w:rPr>
        <w:t xml:space="preserve"> Meridian aimed to be strategically proactive—to exploit some of the opportunities presented by complacency in a financial services sector that was vulnerable to technological disruption. Now was the time to reflect on the success of its growth strategy and to consider some of the emerging trends in the marketplace (e.g., </w:t>
      </w:r>
      <w:r w:rsidR="00D57512">
        <w:rPr>
          <w:rFonts w:eastAsia="Calibri"/>
          <w:lang w:val="en-GB"/>
        </w:rPr>
        <w:t>f</w:t>
      </w:r>
      <w:r w:rsidR="00D57512" w:rsidRPr="005650D7">
        <w:rPr>
          <w:rFonts w:eastAsia="Calibri"/>
          <w:lang w:val="en-GB"/>
        </w:rPr>
        <w:t>intech</w:t>
      </w:r>
      <w:r w:rsidRPr="005650D7">
        <w:rPr>
          <w:rFonts w:eastAsia="Calibri"/>
          <w:lang w:val="en-GB"/>
        </w:rPr>
        <w:t>) and the anticipated response by the big banks.</w:t>
      </w:r>
    </w:p>
    <w:p w14:paraId="3D36CCAC" w14:textId="77777777" w:rsidR="00401C58" w:rsidRPr="005D5720" w:rsidRDefault="00401C58" w:rsidP="00E2644F">
      <w:pPr>
        <w:pStyle w:val="BodyTextMain"/>
        <w:rPr>
          <w:rFonts w:eastAsia="Calibri"/>
          <w:sz w:val="18"/>
          <w:szCs w:val="18"/>
          <w:lang w:val="en-GB"/>
        </w:rPr>
      </w:pPr>
    </w:p>
    <w:p w14:paraId="077E98BF" w14:textId="0F6F8A7F" w:rsidR="00E2644F" w:rsidRPr="00EE4C7C" w:rsidRDefault="00401C58" w:rsidP="00E2644F">
      <w:pPr>
        <w:pStyle w:val="BodyTextMain"/>
        <w:rPr>
          <w:rFonts w:eastAsia="Calibri"/>
          <w:spacing w:val="-4"/>
          <w:lang w:val="en-GB"/>
        </w:rPr>
      </w:pPr>
      <w:r w:rsidRPr="00EE4C7C">
        <w:rPr>
          <w:rFonts w:eastAsia="Calibri"/>
          <w:spacing w:val="-4"/>
          <w:lang w:val="en-GB"/>
        </w:rPr>
        <w:t xml:space="preserve">Meridian also needed to consider some </w:t>
      </w:r>
      <w:r w:rsidR="00D57512" w:rsidRPr="00EE4C7C">
        <w:rPr>
          <w:rFonts w:eastAsia="Calibri"/>
          <w:spacing w:val="-4"/>
          <w:lang w:val="en-GB"/>
        </w:rPr>
        <w:t>macroeconomic challenges</w:t>
      </w:r>
      <w:r w:rsidRPr="00EE4C7C">
        <w:rPr>
          <w:rFonts w:eastAsia="Calibri"/>
          <w:spacing w:val="-4"/>
          <w:lang w:val="en-GB"/>
        </w:rPr>
        <w:t xml:space="preserve">. The Conference Board of Canada expected Canada’s </w:t>
      </w:r>
      <w:r w:rsidR="00F51F2D" w:rsidRPr="00EE4C7C">
        <w:rPr>
          <w:rFonts w:eastAsia="Calibri"/>
          <w:spacing w:val="-4"/>
          <w:lang w:val="en-GB"/>
        </w:rPr>
        <w:t xml:space="preserve">gross domestic product </w:t>
      </w:r>
      <w:r w:rsidRPr="00EE4C7C">
        <w:rPr>
          <w:rFonts w:eastAsia="Calibri"/>
          <w:spacing w:val="-4"/>
          <w:lang w:val="en-GB"/>
        </w:rPr>
        <w:t>to increase to 2.6 per cent in 2017 and then to drop to 2 per cent in 2018 because of a decline in consumer spending and residential investment. Over the medium term, the Canadian economy was expected to grow at a modest rate of 1.8 per cent annually.</w:t>
      </w:r>
      <w:r w:rsidRPr="00EE4C7C">
        <w:rPr>
          <w:rFonts w:eastAsia="Calibri"/>
          <w:spacing w:val="-4"/>
          <w:vertAlign w:val="superscript"/>
          <w:lang w:val="en-GB"/>
        </w:rPr>
        <w:endnoteReference w:id="40"/>
      </w:r>
      <w:r w:rsidRPr="00EE4C7C">
        <w:rPr>
          <w:rFonts w:eastAsia="Calibri"/>
          <w:spacing w:val="-4"/>
          <w:lang w:val="en-GB"/>
        </w:rPr>
        <w:t xml:space="preserve"> </w:t>
      </w:r>
      <w:r w:rsidR="00E2644F" w:rsidRPr="00EE4C7C">
        <w:rPr>
          <w:rFonts w:eastAsia="Calibri"/>
          <w:spacing w:val="-4"/>
          <w:lang w:val="en-GB"/>
        </w:rPr>
        <w:t>In 2017, the Bank of Canada wound down its monetary stimulus by in</w:t>
      </w:r>
      <w:r w:rsidR="00E51E8E" w:rsidRPr="00EE4C7C">
        <w:rPr>
          <w:rFonts w:eastAsia="Calibri"/>
          <w:spacing w:val="-4"/>
          <w:lang w:val="en-GB"/>
        </w:rPr>
        <w:t>creasing interest rates twice</w:t>
      </w:r>
      <w:r w:rsidR="0005366F" w:rsidRPr="00EE4C7C">
        <w:rPr>
          <w:rFonts w:eastAsia="Calibri"/>
          <w:spacing w:val="-4"/>
          <w:lang w:val="en-GB"/>
        </w:rPr>
        <w:t xml:space="preserve">. </w:t>
      </w:r>
      <w:r w:rsidR="00E2644F" w:rsidRPr="00EE4C7C">
        <w:rPr>
          <w:rFonts w:eastAsia="Calibri"/>
          <w:spacing w:val="-4"/>
          <w:lang w:val="en-GB"/>
        </w:rPr>
        <w:t xml:space="preserve">Barring any </w:t>
      </w:r>
      <w:r w:rsidR="0005366F" w:rsidRPr="00EE4C7C">
        <w:rPr>
          <w:rFonts w:eastAsia="Calibri"/>
          <w:spacing w:val="-4"/>
          <w:lang w:val="en-GB"/>
        </w:rPr>
        <w:t>major surprises</w:t>
      </w:r>
      <w:r w:rsidR="00E2644F" w:rsidRPr="00EE4C7C">
        <w:rPr>
          <w:rFonts w:eastAsia="Calibri"/>
          <w:spacing w:val="-4"/>
          <w:lang w:val="en-GB"/>
        </w:rPr>
        <w:t>, interest rates were expected to rise gradually as the economy grew</w:t>
      </w:r>
      <w:r w:rsidR="0005366F" w:rsidRPr="00EE4C7C">
        <w:rPr>
          <w:rFonts w:eastAsia="Calibri"/>
          <w:spacing w:val="-4"/>
          <w:lang w:val="en-GB"/>
        </w:rPr>
        <w:t xml:space="preserve">. </w:t>
      </w:r>
      <w:r w:rsidR="00E2644F" w:rsidRPr="00EE4C7C">
        <w:rPr>
          <w:rFonts w:eastAsia="Calibri"/>
          <w:spacing w:val="-4"/>
          <w:lang w:val="en-GB"/>
        </w:rPr>
        <w:t xml:space="preserve">By the end of 2017, it was apparent that federal and provincial policy measures were cooling the housing market, </w:t>
      </w:r>
      <w:r w:rsidR="0005366F" w:rsidRPr="00EE4C7C">
        <w:rPr>
          <w:rFonts w:eastAsia="Calibri"/>
          <w:spacing w:val="-4"/>
          <w:lang w:val="en-GB"/>
        </w:rPr>
        <w:t xml:space="preserve">and this </w:t>
      </w:r>
      <w:r w:rsidR="00E2644F" w:rsidRPr="00EE4C7C">
        <w:rPr>
          <w:rFonts w:eastAsia="Calibri"/>
          <w:spacing w:val="-4"/>
          <w:lang w:val="en-GB"/>
        </w:rPr>
        <w:t>effect was expe</w:t>
      </w:r>
      <w:r w:rsidR="00E51E8E" w:rsidRPr="00EE4C7C">
        <w:rPr>
          <w:rFonts w:eastAsia="Calibri"/>
          <w:spacing w:val="-4"/>
          <w:lang w:val="en-GB"/>
        </w:rPr>
        <w:t>cted to continue through 2018.</w:t>
      </w:r>
    </w:p>
    <w:p w14:paraId="1EB67B48" w14:textId="77777777" w:rsidR="00E51E8E" w:rsidRPr="005D5720" w:rsidRDefault="00E51E8E" w:rsidP="00E2644F">
      <w:pPr>
        <w:pStyle w:val="BodyTextMain"/>
        <w:rPr>
          <w:rFonts w:eastAsia="Calibri"/>
          <w:sz w:val="18"/>
          <w:szCs w:val="18"/>
          <w:lang w:val="en-GB"/>
        </w:rPr>
      </w:pPr>
    </w:p>
    <w:p w14:paraId="59A42CDB" w14:textId="0476C740" w:rsidR="00E2644F" w:rsidRDefault="00E2644F" w:rsidP="00E2644F">
      <w:pPr>
        <w:pStyle w:val="BodyTextMain"/>
        <w:rPr>
          <w:rFonts w:eastAsia="Calibri"/>
          <w:lang w:val="en-GB"/>
        </w:rPr>
      </w:pPr>
      <w:r w:rsidRPr="005650D7">
        <w:rPr>
          <w:rFonts w:eastAsia="Calibri"/>
          <w:lang w:val="en-GB"/>
        </w:rPr>
        <w:t>It was therefore important to consider how and where Meridian should go strategi</w:t>
      </w:r>
      <w:r w:rsidR="00E51E8E" w:rsidRPr="005650D7">
        <w:rPr>
          <w:rFonts w:eastAsia="Calibri"/>
          <w:lang w:val="en-GB"/>
        </w:rPr>
        <w:t xml:space="preserve">cally. Should </w:t>
      </w:r>
      <w:r w:rsidR="0005366F" w:rsidRPr="005650D7">
        <w:rPr>
          <w:rFonts w:eastAsia="Calibri"/>
          <w:lang w:val="en-GB"/>
        </w:rPr>
        <w:t xml:space="preserve">it become more </w:t>
      </w:r>
      <w:r w:rsidR="00E51E8E" w:rsidRPr="005650D7">
        <w:rPr>
          <w:rFonts w:eastAsia="Calibri"/>
          <w:lang w:val="en-GB"/>
        </w:rPr>
        <w:t>focus</w:t>
      </w:r>
      <w:r w:rsidR="0005366F" w:rsidRPr="005650D7">
        <w:rPr>
          <w:rFonts w:eastAsia="Calibri"/>
          <w:lang w:val="en-GB"/>
        </w:rPr>
        <w:t>ed</w:t>
      </w:r>
      <w:r w:rsidR="00E51E8E" w:rsidRPr="005650D7">
        <w:rPr>
          <w:rFonts w:eastAsia="Calibri"/>
          <w:lang w:val="en-GB"/>
        </w:rPr>
        <w:t>?</w:t>
      </w:r>
      <w:r w:rsidR="0005366F" w:rsidRPr="005650D7">
        <w:rPr>
          <w:rFonts w:eastAsia="Calibri"/>
          <w:lang w:val="en-GB"/>
        </w:rPr>
        <w:t xml:space="preserve"> </w:t>
      </w:r>
      <w:r w:rsidRPr="005650D7">
        <w:rPr>
          <w:rFonts w:eastAsia="Calibri"/>
          <w:lang w:val="en-GB"/>
        </w:rPr>
        <w:t xml:space="preserve">Should </w:t>
      </w:r>
      <w:r w:rsidR="0005366F" w:rsidRPr="005650D7">
        <w:rPr>
          <w:rFonts w:eastAsia="Calibri"/>
          <w:lang w:val="en-GB"/>
        </w:rPr>
        <w:t xml:space="preserve">it </w:t>
      </w:r>
      <w:r w:rsidRPr="005650D7">
        <w:rPr>
          <w:rFonts w:eastAsia="Calibri"/>
          <w:lang w:val="en-GB"/>
        </w:rPr>
        <w:t>expand and dive</w:t>
      </w:r>
      <w:r w:rsidR="00E51E8E" w:rsidRPr="005650D7">
        <w:rPr>
          <w:rFonts w:eastAsia="Calibri"/>
          <w:lang w:val="en-GB"/>
        </w:rPr>
        <w:t xml:space="preserve">rsify </w:t>
      </w:r>
      <w:r w:rsidR="0005366F" w:rsidRPr="005650D7">
        <w:rPr>
          <w:rFonts w:eastAsia="Calibri"/>
          <w:lang w:val="en-GB"/>
        </w:rPr>
        <w:t xml:space="preserve">its </w:t>
      </w:r>
      <w:r w:rsidR="00E51E8E" w:rsidRPr="005650D7">
        <w:rPr>
          <w:rFonts w:eastAsia="Calibri"/>
          <w:lang w:val="en-GB"/>
        </w:rPr>
        <w:t>service offerings</w:t>
      </w:r>
      <w:r w:rsidR="0005366F" w:rsidRPr="005650D7">
        <w:rPr>
          <w:rFonts w:eastAsia="Calibri"/>
          <w:lang w:val="en-GB"/>
        </w:rPr>
        <w:t xml:space="preserve">? </w:t>
      </w:r>
      <w:r w:rsidRPr="005650D7">
        <w:rPr>
          <w:rFonts w:eastAsia="Calibri"/>
          <w:lang w:val="en-GB"/>
        </w:rPr>
        <w:t xml:space="preserve">What </w:t>
      </w:r>
      <w:r w:rsidR="0005366F" w:rsidRPr="005650D7">
        <w:rPr>
          <w:rFonts w:eastAsia="Calibri"/>
          <w:lang w:val="en-GB"/>
        </w:rPr>
        <w:t xml:space="preserve">were </w:t>
      </w:r>
      <w:r w:rsidRPr="005650D7">
        <w:rPr>
          <w:rFonts w:eastAsia="Calibri"/>
          <w:lang w:val="en-GB"/>
        </w:rPr>
        <w:t>the ris</w:t>
      </w:r>
      <w:r w:rsidR="00E51E8E" w:rsidRPr="005650D7">
        <w:rPr>
          <w:rFonts w:eastAsia="Calibri"/>
          <w:lang w:val="en-GB"/>
        </w:rPr>
        <w:t xml:space="preserve">ks of </w:t>
      </w:r>
      <w:r w:rsidR="0005366F" w:rsidRPr="005650D7">
        <w:rPr>
          <w:rFonts w:eastAsia="Calibri"/>
          <w:lang w:val="en-GB"/>
        </w:rPr>
        <w:t>these strategies</w:t>
      </w:r>
      <w:r w:rsidR="00E51E8E" w:rsidRPr="005650D7">
        <w:rPr>
          <w:rFonts w:eastAsia="Calibri"/>
          <w:lang w:val="en-GB"/>
        </w:rPr>
        <w:t>?</w:t>
      </w:r>
      <w:r w:rsidRPr="005650D7">
        <w:rPr>
          <w:rFonts w:eastAsia="Calibri"/>
          <w:lang w:val="en-GB"/>
        </w:rPr>
        <w:t xml:space="preserve"> What </w:t>
      </w:r>
      <w:r w:rsidR="0005366F" w:rsidRPr="005650D7">
        <w:rPr>
          <w:rFonts w:eastAsia="Calibri"/>
          <w:lang w:val="en-GB"/>
        </w:rPr>
        <w:t xml:space="preserve">were </w:t>
      </w:r>
      <w:r w:rsidRPr="005650D7">
        <w:rPr>
          <w:rFonts w:eastAsia="Calibri"/>
          <w:lang w:val="en-GB"/>
        </w:rPr>
        <w:t xml:space="preserve">the opportunities and threats of </w:t>
      </w:r>
      <w:r w:rsidR="0006149D">
        <w:rPr>
          <w:rFonts w:eastAsia="Calibri"/>
          <w:lang w:val="en-GB"/>
        </w:rPr>
        <w:t>f</w:t>
      </w:r>
      <w:r w:rsidR="0006149D" w:rsidRPr="005650D7">
        <w:rPr>
          <w:rFonts w:eastAsia="Calibri"/>
          <w:lang w:val="en-GB"/>
        </w:rPr>
        <w:t>intech</w:t>
      </w:r>
      <w:r w:rsidRPr="005650D7">
        <w:rPr>
          <w:rFonts w:eastAsia="Calibri"/>
          <w:lang w:val="en-GB"/>
        </w:rPr>
        <w:t xml:space="preserve">? </w:t>
      </w:r>
      <w:r w:rsidR="006C24BF" w:rsidRPr="005650D7">
        <w:rPr>
          <w:rFonts w:eastAsia="Calibri"/>
          <w:lang w:val="en-GB"/>
        </w:rPr>
        <w:t>W</w:t>
      </w:r>
      <w:r w:rsidR="0005366F" w:rsidRPr="005650D7">
        <w:rPr>
          <w:rFonts w:eastAsia="Calibri"/>
          <w:lang w:val="en-GB"/>
        </w:rPr>
        <w:t xml:space="preserve">ere </w:t>
      </w:r>
      <w:r w:rsidRPr="005650D7">
        <w:rPr>
          <w:rFonts w:eastAsia="Calibri"/>
          <w:lang w:val="en-GB"/>
        </w:rPr>
        <w:t xml:space="preserve">there other growth options </w:t>
      </w:r>
      <w:r w:rsidR="0005366F" w:rsidRPr="005650D7">
        <w:rPr>
          <w:rFonts w:eastAsia="Calibri"/>
          <w:lang w:val="en-GB"/>
        </w:rPr>
        <w:t xml:space="preserve">Meridian </w:t>
      </w:r>
      <w:r w:rsidRPr="005650D7">
        <w:rPr>
          <w:rFonts w:eastAsia="Calibri"/>
          <w:lang w:val="en-GB"/>
        </w:rPr>
        <w:t>should be considering in light of these trends?</w:t>
      </w:r>
    </w:p>
    <w:p w14:paraId="2BDE3C64" w14:textId="330155BD" w:rsidR="00EB7003" w:rsidRDefault="00EB7003" w:rsidP="00E2644F">
      <w:pPr>
        <w:pStyle w:val="BodyTextMain"/>
        <w:rPr>
          <w:rFonts w:eastAsia="Calibri"/>
          <w:lang w:val="en-GB"/>
        </w:rPr>
      </w:pPr>
    </w:p>
    <w:p w14:paraId="0A59B424" w14:textId="55431404" w:rsidR="00E2644F" w:rsidRPr="005D5720" w:rsidRDefault="00604292" w:rsidP="005D5720">
      <w:pPr>
        <w:pStyle w:val="BodyTextMain"/>
        <w:rPr>
          <w:rFonts w:eastAsia="Calibri"/>
          <w:lang w:val="en-GB"/>
        </w:rPr>
      </w:pPr>
      <w:r w:rsidRPr="005D5720">
        <w:rPr>
          <w:rFonts w:eastAsia="Calibri"/>
          <w:noProof/>
        </w:rPr>
        <mc:AlternateContent>
          <mc:Choice Requires="wps">
            <w:drawing>
              <wp:anchor distT="45720" distB="45720" distL="114300" distR="114300" simplePos="0" relativeHeight="251659264" behindDoc="0" locked="0" layoutInCell="1" allowOverlap="1" wp14:anchorId="0D6748DD" wp14:editId="14D91593">
                <wp:simplePos x="0" y="0"/>
                <wp:positionH relativeFrom="column">
                  <wp:posOffset>358140</wp:posOffset>
                </wp:positionH>
                <wp:positionV relativeFrom="paragraph">
                  <wp:posOffset>5080</wp:posOffset>
                </wp:positionV>
                <wp:extent cx="5069205" cy="1404620"/>
                <wp:effectExtent l="0" t="0" r="1714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205" cy="1404620"/>
                        </a:xfrm>
                        <a:prstGeom prst="rect">
                          <a:avLst/>
                        </a:prstGeom>
                        <a:solidFill>
                          <a:srgbClr val="FFFFFF"/>
                        </a:solidFill>
                        <a:ln w="9525">
                          <a:solidFill>
                            <a:srgbClr val="000000"/>
                          </a:solidFill>
                          <a:miter lim="800000"/>
                          <a:headEnd/>
                          <a:tailEnd/>
                        </a:ln>
                      </wps:spPr>
                      <wps:txbx>
                        <w:txbxContent>
                          <w:p w14:paraId="7713048F" w14:textId="1838AA60" w:rsidR="00A111D2" w:rsidRDefault="00A111D2" w:rsidP="005D5720">
                            <w:pPr>
                              <w:pStyle w:val="Footnote"/>
                            </w:pPr>
                            <w:r>
                              <w:rPr>
                                <w:lang w:val="en-GB"/>
                              </w:rPr>
                              <w:t xml:space="preserve">At the time of the case, </w:t>
                            </w:r>
                            <w:r w:rsidR="00E23C21">
                              <w:rPr>
                                <w:lang w:val="en-GB"/>
                              </w:rPr>
                              <w:t>Michael</w:t>
                            </w:r>
                            <w:r w:rsidRPr="005D5720">
                              <w:rPr>
                                <w:lang w:val="en-GB"/>
                              </w:rPr>
                              <w:t xml:space="preserve"> Valente was a member of the Meridian Credit Union Board of Directors.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6748DD" id="_x0000_t202" coordsize="21600,21600" o:spt="202" path="m,l,21600r21600,l21600,xe">
                <v:stroke joinstyle="miter"/>
                <v:path gradientshapeok="t" o:connecttype="rect"/>
              </v:shapetype>
              <v:shape id="Text Box 2" o:spid="_x0000_s1026" type="#_x0000_t202" style="position:absolute;left:0;text-align:left;margin-left:28.2pt;margin-top:.4pt;width:399.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">
                <v:textbox style="mso-fit-shape-to-text:t">
                  <w:txbxContent>
                    <w:p w14:paraId="7713048F" w14:textId="1838AA60" w:rsidR="00A111D2" w:rsidRDefault="00A111D2" w:rsidP="005D5720">
                      <w:pPr>
                        <w:pStyle w:val="Footnote"/>
                      </w:pPr>
                      <w:r>
                        <w:rPr>
                          <w:lang w:val="en-GB"/>
                        </w:rPr>
                        <w:t xml:space="preserve">At the time of the case, </w:t>
                      </w:r>
                      <w:r w:rsidR="00E23C21">
                        <w:rPr>
                          <w:lang w:val="en-GB"/>
                        </w:rPr>
                        <w:t>Michael</w:t>
                      </w:r>
                      <w:r w:rsidRPr="005D5720">
                        <w:rPr>
                          <w:lang w:val="en-GB"/>
                        </w:rPr>
                        <w:t xml:space="preserve"> Valente was a member of the Meridian Credit Union Board of Directors.</w:t>
                      </w:r>
                    </w:p>
                  </w:txbxContent>
                </v:textbox>
                <w10:wrap type="square"/>
              </v:shape>
            </w:pict>
          </mc:Fallback>
        </mc:AlternateContent>
      </w:r>
      <w:r w:rsidR="00E2644F" w:rsidRPr="005650D7">
        <w:rPr>
          <w:rFonts w:eastAsia="Calibri"/>
          <w:color w:val="000000"/>
          <w:lang w:val="en-GB"/>
        </w:rPr>
        <w:br w:type="page"/>
      </w:r>
    </w:p>
    <w:p w14:paraId="44AB9B5F" w14:textId="4175D477" w:rsidR="00E2644F" w:rsidRPr="00604292" w:rsidRDefault="00E2644F" w:rsidP="00604292">
      <w:pPr>
        <w:pStyle w:val="ExhibitHeading"/>
        <w:rPr>
          <w:rFonts w:eastAsia="Calibri"/>
        </w:rPr>
      </w:pPr>
      <w:r w:rsidRPr="00604292">
        <w:rPr>
          <w:rFonts w:eastAsia="Calibri"/>
        </w:rPr>
        <w:lastRenderedPageBreak/>
        <w:t>Exhibit 1</w:t>
      </w:r>
      <w:r w:rsidR="00986ED4" w:rsidRPr="00604292">
        <w:rPr>
          <w:rFonts w:eastAsia="Calibri"/>
        </w:rPr>
        <w:t xml:space="preserve">: </w:t>
      </w:r>
      <w:r w:rsidRPr="00604292">
        <w:rPr>
          <w:rFonts w:eastAsia="Calibri"/>
        </w:rPr>
        <w:t xml:space="preserve">Summary of Financial Performance (in </w:t>
      </w:r>
      <w:r w:rsidR="00A13BB5" w:rsidRPr="00604292">
        <w:rPr>
          <w:rFonts w:eastAsia="Calibri"/>
        </w:rPr>
        <w:t xml:space="preserve">CA$ </w:t>
      </w:r>
      <w:r w:rsidRPr="00604292">
        <w:rPr>
          <w:rFonts w:eastAsia="Calibri"/>
        </w:rPr>
        <w:t>millions)</w:t>
      </w:r>
    </w:p>
    <w:p w14:paraId="06747311" w14:textId="77777777" w:rsidR="00E2644F" w:rsidRPr="005650D7" w:rsidRDefault="00E2644F" w:rsidP="007E2FD2">
      <w:pPr>
        <w:pStyle w:val="ExhibitText"/>
        <w:rPr>
          <w:rFonts w:eastAsia="Calibri"/>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5"/>
        <w:gridCol w:w="810"/>
        <w:gridCol w:w="1260"/>
        <w:gridCol w:w="1106"/>
        <w:gridCol w:w="1440"/>
        <w:gridCol w:w="1144"/>
      </w:tblGrid>
      <w:tr w:rsidR="007E2FD2" w:rsidRPr="00452862" w14:paraId="0F6A5904" w14:textId="77777777" w:rsidTr="00865FDB">
        <w:trPr>
          <w:trHeight w:val="633"/>
          <w:jc w:val="center"/>
        </w:trPr>
        <w:tc>
          <w:tcPr>
            <w:tcW w:w="1435" w:type="dxa"/>
            <w:tcMar>
              <w:top w:w="0" w:type="dxa"/>
              <w:left w:w="108" w:type="dxa"/>
              <w:bottom w:w="0" w:type="dxa"/>
              <w:right w:w="108" w:type="dxa"/>
            </w:tcMar>
            <w:vAlign w:val="center"/>
            <w:hideMark/>
          </w:tcPr>
          <w:p w14:paraId="3C6F07B3" w14:textId="77777777" w:rsidR="00E2644F" w:rsidRPr="005650D7" w:rsidRDefault="00E2644F" w:rsidP="007E2FD2">
            <w:pPr>
              <w:pStyle w:val="ExhibitText"/>
              <w:jc w:val="left"/>
              <w:rPr>
                <w:rFonts w:eastAsia="Calibri"/>
                <w:b/>
                <w:lang w:val="en-GB"/>
              </w:rPr>
            </w:pPr>
            <w:r w:rsidRPr="005650D7">
              <w:rPr>
                <w:rFonts w:eastAsia="Calibri"/>
                <w:b/>
                <w:lang w:val="en-GB"/>
              </w:rPr>
              <w:t>Financial Institution</w:t>
            </w:r>
          </w:p>
        </w:tc>
        <w:tc>
          <w:tcPr>
            <w:tcW w:w="810" w:type="dxa"/>
            <w:tcMar>
              <w:top w:w="0" w:type="dxa"/>
              <w:left w:w="108" w:type="dxa"/>
              <w:bottom w:w="0" w:type="dxa"/>
              <w:right w:w="108" w:type="dxa"/>
            </w:tcMar>
            <w:vAlign w:val="center"/>
            <w:hideMark/>
          </w:tcPr>
          <w:p w14:paraId="0A874488" w14:textId="77777777" w:rsidR="00E2644F" w:rsidRPr="005650D7" w:rsidRDefault="00E2644F" w:rsidP="007E2FD2">
            <w:pPr>
              <w:pStyle w:val="ExhibitText"/>
              <w:jc w:val="center"/>
              <w:rPr>
                <w:rFonts w:eastAsia="Calibri"/>
                <w:b/>
                <w:lang w:val="en-GB"/>
              </w:rPr>
            </w:pPr>
            <w:r w:rsidRPr="005650D7">
              <w:rPr>
                <w:rFonts w:eastAsia="Calibri"/>
                <w:b/>
                <w:lang w:val="en-GB"/>
              </w:rPr>
              <w:t>Year</w:t>
            </w:r>
          </w:p>
        </w:tc>
        <w:tc>
          <w:tcPr>
            <w:tcW w:w="1260" w:type="dxa"/>
            <w:tcMar>
              <w:top w:w="0" w:type="dxa"/>
              <w:left w:w="108" w:type="dxa"/>
              <w:bottom w:w="0" w:type="dxa"/>
              <w:right w:w="108" w:type="dxa"/>
            </w:tcMar>
            <w:vAlign w:val="center"/>
            <w:hideMark/>
          </w:tcPr>
          <w:p w14:paraId="025CDB78" w14:textId="77777777" w:rsidR="00E2644F" w:rsidRPr="005650D7" w:rsidRDefault="00E2644F" w:rsidP="007E2FD2">
            <w:pPr>
              <w:pStyle w:val="ExhibitText"/>
              <w:jc w:val="center"/>
              <w:rPr>
                <w:rFonts w:eastAsia="Calibri"/>
                <w:b/>
                <w:lang w:val="en-GB"/>
              </w:rPr>
            </w:pPr>
            <w:r w:rsidRPr="005650D7">
              <w:rPr>
                <w:rFonts w:eastAsia="Calibri"/>
                <w:b/>
                <w:lang w:val="en-GB"/>
              </w:rPr>
              <w:t>Revenue</w:t>
            </w:r>
          </w:p>
        </w:tc>
        <w:tc>
          <w:tcPr>
            <w:tcW w:w="1106" w:type="dxa"/>
            <w:tcMar>
              <w:top w:w="0" w:type="dxa"/>
              <w:left w:w="108" w:type="dxa"/>
              <w:bottom w:w="0" w:type="dxa"/>
              <w:right w:w="108" w:type="dxa"/>
            </w:tcMar>
            <w:vAlign w:val="center"/>
            <w:hideMark/>
          </w:tcPr>
          <w:p w14:paraId="3F5C37B3" w14:textId="77777777" w:rsidR="00E2644F" w:rsidRPr="005650D7" w:rsidRDefault="00E2644F" w:rsidP="007E2FD2">
            <w:pPr>
              <w:pStyle w:val="ExhibitText"/>
              <w:jc w:val="center"/>
              <w:rPr>
                <w:rFonts w:eastAsia="Calibri"/>
                <w:b/>
                <w:lang w:val="en-GB"/>
              </w:rPr>
            </w:pPr>
            <w:r w:rsidRPr="005650D7">
              <w:rPr>
                <w:rFonts w:eastAsia="Calibri"/>
                <w:b/>
                <w:lang w:val="en-GB"/>
              </w:rPr>
              <w:t>Profit</w:t>
            </w:r>
          </w:p>
        </w:tc>
        <w:tc>
          <w:tcPr>
            <w:tcW w:w="1440" w:type="dxa"/>
            <w:tcMar>
              <w:top w:w="0" w:type="dxa"/>
              <w:left w:w="108" w:type="dxa"/>
              <w:bottom w:w="0" w:type="dxa"/>
              <w:right w:w="108" w:type="dxa"/>
            </w:tcMar>
            <w:vAlign w:val="center"/>
            <w:hideMark/>
          </w:tcPr>
          <w:p w14:paraId="4FD1B535" w14:textId="77777777" w:rsidR="00E2644F" w:rsidRPr="005650D7" w:rsidRDefault="00E2644F" w:rsidP="007E2FD2">
            <w:pPr>
              <w:pStyle w:val="ExhibitText"/>
              <w:jc w:val="center"/>
              <w:rPr>
                <w:rFonts w:eastAsia="Calibri"/>
                <w:b/>
                <w:lang w:val="en-GB"/>
              </w:rPr>
            </w:pPr>
            <w:r w:rsidRPr="005650D7">
              <w:rPr>
                <w:rFonts w:eastAsia="Calibri"/>
                <w:b/>
                <w:lang w:val="en-GB"/>
              </w:rPr>
              <w:t>Total Assets</w:t>
            </w:r>
          </w:p>
        </w:tc>
        <w:tc>
          <w:tcPr>
            <w:tcW w:w="1144" w:type="dxa"/>
            <w:tcMar>
              <w:top w:w="0" w:type="dxa"/>
              <w:left w:w="108" w:type="dxa"/>
              <w:bottom w:w="0" w:type="dxa"/>
              <w:right w:w="108" w:type="dxa"/>
            </w:tcMar>
            <w:vAlign w:val="center"/>
            <w:hideMark/>
          </w:tcPr>
          <w:p w14:paraId="3B21814E" w14:textId="40B365F9" w:rsidR="00E2644F" w:rsidRPr="005650D7" w:rsidRDefault="00E2644F" w:rsidP="007E2FD2">
            <w:pPr>
              <w:pStyle w:val="ExhibitText"/>
              <w:jc w:val="center"/>
              <w:rPr>
                <w:rFonts w:eastAsia="Calibri"/>
                <w:b/>
                <w:lang w:val="en-GB"/>
              </w:rPr>
            </w:pPr>
            <w:r w:rsidRPr="005650D7">
              <w:rPr>
                <w:rFonts w:eastAsia="Calibri"/>
                <w:b/>
                <w:lang w:val="en-GB"/>
              </w:rPr>
              <w:t>R</w:t>
            </w:r>
            <w:r w:rsidR="00865FDB">
              <w:rPr>
                <w:rFonts w:eastAsia="Calibri"/>
                <w:b/>
                <w:lang w:val="en-GB"/>
              </w:rPr>
              <w:t xml:space="preserve">eturn on </w:t>
            </w:r>
            <w:r w:rsidRPr="005650D7">
              <w:rPr>
                <w:rFonts w:eastAsia="Calibri"/>
                <w:b/>
                <w:lang w:val="en-GB"/>
              </w:rPr>
              <w:t>E</w:t>
            </w:r>
            <w:r w:rsidR="00865FDB">
              <w:rPr>
                <w:rFonts w:eastAsia="Calibri"/>
                <w:b/>
                <w:lang w:val="en-GB"/>
              </w:rPr>
              <w:t>quity</w:t>
            </w:r>
          </w:p>
        </w:tc>
      </w:tr>
      <w:tr w:rsidR="007E2FD2" w:rsidRPr="00452862" w14:paraId="460196B9" w14:textId="77777777" w:rsidTr="00865FDB">
        <w:trPr>
          <w:trHeight w:val="353"/>
          <w:jc w:val="center"/>
        </w:trPr>
        <w:tc>
          <w:tcPr>
            <w:tcW w:w="1435" w:type="dxa"/>
            <w:vMerge w:val="restart"/>
            <w:tcMar>
              <w:top w:w="0" w:type="dxa"/>
              <w:left w:w="108" w:type="dxa"/>
              <w:bottom w:w="0" w:type="dxa"/>
              <w:right w:w="108" w:type="dxa"/>
            </w:tcMar>
            <w:vAlign w:val="center"/>
            <w:hideMark/>
          </w:tcPr>
          <w:p w14:paraId="7DE5B375" w14:textId="77777777" w:rsidR="00E2644F" w:rsidRPr="005650D7" w:rsidRDefault="00E2644F" w:rsidP="007E2FD2">
            <w:pPr>
              <w:pStyle w:val="ExhibitText"/>
              <w:jc w:val="left"/>
              <w:rPr>
                <w:rFonts w:eastAsia="Calibri"/>
                <w:b/>
                <w:lang w:val="en-GB"/>
              </w:rPr>
            </w:pPr>
            <w:r w:rsidRPr="005650D7">
              <w:rPr>
                <w:rFonts w:eastAsia="Calibri"/>
                <w:b/>
                <w:lang w:val="en-GB"/>
              </w:rPr>
              <w:t>RBC</w:t>
            </w:r>
          </w:p>
        </w:tc>
        <w:tc>
          <w:tcPr>
            <w:tcW w:w="810" w:type="dxa"/>
            <w:tcMar>
              <w:top w:w="0" w:type="dxa"/>
              <w:left w:w="108" w:type="dxa"/>
              <w:bottom w:w="0" w:type="dxa"/>
              <w:right w:w="108" w:type="dxa"/>
            </w:tcMar>
            <w:vAlign w:val="center"/>
            <w:hideMark/>
          </w:tcPr>
          <w:p w14:paraId="70229ADE"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7A9C3127" w14:textId="77777777" w:rsidR="00E2644F" w:rsidRPr="005650D7" w:rsidRDefault="00E2644F" w:rsidP="007E2FD2">
            <w:pPr>
              <w:pStyle w:val="ExhibitText"/>
              <w:jc w:val="right"/>
              <w:rPr>
                <w:rFonts w:eastAsia="Calibri"/>
                <w:lang w:val="en-GB"/>
              </w:rPr>
            </w:pPr>
            <w:r w:rsidRPr="005650D7">
              <w:rPr>
                <w:rFonts w:eastAsia="Calibri"/>
                <w:lang w:val="en-GB"/>
              </w:rPr>
              <w:t>$38,405</w:t>
            </w:r>
          </w:p>
        </w:tc>
        <w:tc>
          <w:tcPr>
            <w:tcW w:w="1106" w:type="dxa"/>
            <w:tcMar>
              <w:top w:w="0" w:type="dxa"/>
              <w:left w:w="108" w:type="dxa"/>
              <w:bottom w:w="0" w:type="dxa"/>
              <w:right w:w="108" w:type="dxa"/>
            </w:tcMar>
            <w:vAlign w:val="center"/>
            <w:hideMark/>
          </w:tcPr>
          <w:p w14:paraId="5516A4C5" w14:textId="7E86CFB3" w:rsidR="00E2644F" w:rsidRPr="005650D7" w:rsidRDefault="00E2644F" w:rsidP="007E2FD2">
            <w:pPr>
              <w:pStyle w:val="ExhibitText"/>
              <w:jc w:val="right"/>
              <w:rPr>
                <w:rFonts w:eastAsia="Calibri"/>
                <w:lang w:val="en-GB"/>
              </w:rPr>
            </w:pPr>
            <w:r w:rsidRPr="005650D7">
              <w:rPr>
                <w:rFonts w:eastAsia="Calibri"/>
                <w:lang w:val="en-GB"/>
              </w:rPr>
              <w:t>$10,500</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60BC004B" w14:textId="77777777" w:rsidR="00E2644F" w:rsidRPr="005650D7" w:rsidRDefault="00E2644F" w:rsidP="007E2FD2">
            <w:pPr>
              <w:pStyle w:val="ExhibitText"/>
              <w:jc w:val="right"/>
              <w:rPr>
                <w:rFonts w:eastAsia="Calibri"/>
                <w:lang w:val="en-GB"/>
              </w:rPr>
            </w:pPr>
            <w:r w:rsidRPr="005650D7">
              <w:rPr>
                <w:rFonts w:eastAsia="Calibri"/>
                <w:lang w:val="en-GB"/>
              </w:rPr>
              <w:t>$1,180,258</w:t>
            </w:r>
          </w:p>
        </w:tc>
        <w:tc>
          <w:tcPr>
            <w:tcW w:w="1144" w:type="dxa"/>
            <w:tcMar>
              <w:top w:w="0" w:type="dxa"/>
              <w:left w:w="108" w:type="dxa"/>
              <w:bottom w:w="0" w:type="dxa"/>
              <w:right w:w="108" w:type="dxa"/>
            </w:tcMar>
            <w:vAlign w:val="center"/>
            <w:hideMark/>
          </w:tcPr>
          <w:p w14:paraId="27641836" w14:textId="77777777" w:rsidR="00E2644F" w:rsidRPr="005650D7" w:rsidRDefault="00E2644F" w:rsidP="007E2FD2">
            <w:pPr>
              <w:pStyle w:val="ExhibitText"/>
              <w:jc w:val="right"/>
              <w:rPr>
                <w:rFonts w:eastAsia="Calibri"/>
                <w:lang w:val="en-GB"/>
              </w:rPr>
            </w:pPr>
            <w:r w:rsidRPr="005650D7">
              <w:rPr>
                <w:rFonts w:eastAsia="Calibri"/>
                <w:lang w:val="en-GB"/>
              </w:rPr>
              <w:t>16.3%</w:t>
            </w:r>
          </w:p>
        </w:tc>
      </w:tr>
      <w:tr w:rsidR="007E2FD2" w:rsidRPr="00452862" w14:paraId="33D5BA1F" w14:textId="77777777" w:rsidTr="00865FDB">
        <w:trPr>
          <w:trHeight w:val="325"/>
          <w:jc w:val="center"/>
        </w:trPr>
        <w:tc>
          <w:tcPr>
            <w:tcW w:w="1435" w:type="dxa"/>
            <w:vMerge/>
            <w:vAlign w:val="center"/>
            <w:hideMark/>
          </w:tcPr>
          <w:p w14:paraId="46001F82"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0DC59213"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6F81A031" w14:textId="77777777" w:rsidR="00E2644F" w:rsidRPr="005650D7" w:rsidRDefault="00E2644F" w:rsidP="007E2FD2">
            <w:pPr>
              <w:pStyle w:val="ExhibitText"/>
              <w:jc w:val="right"/>
              <w:rPr>
                <w:rFonts w:eastAsia="Calibri"/>
                <w:lang w:val="en-GB"/>
              </w:rPr>
            </w:pPr>
            <w:r w:rsidRPr="005650D7">
              <w:rPr>
                <w:rFonts w:eastAsia="Calibri"/>
                <w:lang w:val="en-GB"/>
              </w:rPr>
              <w:t>$35,321</w:t>
            </w:r>
          </w:p>
        </w:tc>
        <w:tc>
          <w:tcPr>
            <w:tcW w:w="1106" w:type="dxa"/>
            <w:tcMar>
              <w:top w:w="0" w:type="dxa"/>
              <w:left w:w="108" w:type="dxa"/>
              <w:bottom w:w="0" w:type="dxa"/>
              <w:right w:w="108" w:type="dxa"/>
            </w:tcMar>
            <w:vAlign w:val="center"/>
            <w:hideMark/>
          </w:tcPr>
          <w:p w14:paraId="5AEB67F8" w14:textId="43CBDA69" w:rsidR="00E2644F" w:rsidRPr="005650D7" w:rsidRDefault="00E2644F" w:rsidP="007E2FD2">
            <w:pPr>
              <w:pStyle w:val="ExhibitText"/>
              <w:jc w:val="right"/>
              <w:rPr>
                <w:rFonts w:eastAsia="Calibri"/>
                <w:lang w:val="en-GB"/>
              </w:rPr>
            </w:pPr>
            <w:r w:rsidRPr="005650D7">
              <w:rPr>
                <w:rFonts w:eastAsia="Calibri"/>
                <w:lang w:val="en-GB"/>
              </w:rPr>
              <w:t>$10,000</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14006BCA" w14:textId="77777777" w:rsidR="00E2644F" w:rsidRPr="005650D7" w:rsidRDefault="00E2644F" w:rsidP="007E2FD2">
            <w:pPr>
              <w:pStyle w:val="ExhibitText"/>
              <w:jc w:val="right"/>
              <w:rPr>
                <w:rFonts w:eastAsia="Calibri"/>
                <w:lang w:val="en-GB"/>
              </w:rPr>
            </w:pPr>
            <w:r w:rsidRPr="005650D7">
              <w:rPr>
                <w:rFonts w:eastAsia="Calibri"/>
                <w:lang w:val="en-GB"/>
              </w:rPr>
              <w:t>$1,074,208</w:t>
            </w:r>
          </w:p>
        </w:tc>
        <w:tc>
          <w:tcPr>
            <w:tcW w:w="1144" w:type="dxa"/>
            <w:tcMar>
              <w:top w:w="0" w:type="dxa"/>
              <w:left w:w="108" w:type="dxa"/>
              <w:bottom w:w="0" w:type="dxa"/>
              <w:right w:w="108" w:type="dxa"/>
            </w:tcMar>
            <w:vAlign w:val="center"/>
            <w:hideMark/>
          </w:tcPr>
          <w:p w14:paraId="6F33DDED" w14:textId="77777777" w:rsidR="00E2644F" w:rsidRPr="005650D7" w:rsidRDefault="00E2644F" w:rsidP="007E2FD2">
            <w:pPr>
              <w:pStyle w:val="ExhibitText"/>
              <w:jc w:val="right"/>
              <w:rPr>
                <w:rFonts w:eastAsia="Calibri"/>
                <w:lang w:val="en-GB"/>
              </w:rPr>
            </w:pPr>
            <w:r w:rsidRPr="005650D7">
              <w:rPr>
                <w:rFonts w:eastAsia="Calibri"/>
                <w:lang w:val="en-GB"/>
              </w:rPr>
              <w:t>18.6%</w:t>
            </w:r>
          </w:p>
        </w:tc>
      </w:tr>
      <w:tr w:rsidR="007E2FD2" w:rsidRPr="00452862" w14:paraId="7BBC9B8F" w14:textId="77777777" w:rsidTr="00865FDB">
        <w:trPr>
          <w:jc w:val="center"/>
        </w:trPr>
        <w:tc>
          <w:tcPr>
            <w:tcW w:w="1435" w:type="dxa"/>
            <w:vMerge/>
            <w:vAlign w:val="center"/>
            <w:hideMark/>
          </w:tcPr>
          <w:p w14:paraId="2951F5D4"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48509331"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562B9C16" w14:textId="77777777" w:rsidR="00E2644F" w:rsidRPr="005650D7" w:rsidRDefault="00E2644F" w:rsidP="007E2FD2">
            <w:pPr>
              <w:pStyle w:val="ExhibitText"/>
              <w:jc w:val="right"/>
              <w:rPr>
                <w:rFonts w:eastAsia="Calibri"/>
                <w:lang w:val="en-GB"/>
              </w:rPr>
            </w:pPr>
            <w:r w:rsidRPr="005650D7">
              <w:rPr>
                <w:rFonts w:eastAsia="Calibri"/>
                <w:lang w:val="en-GB"/>
              </w:rPr>
              <w:t>$34,108</w:t>
            </w:r>
          </w:p>
        </w:tc>
        <w:tc>
          <w:tcPr>
            <w:tcW w:w="1106" w:type="dxa"/>
            <w:tcMar>
              <w:top w:w="0" w:type="dxa"/>
              <w:left w:w="108" w:type="dxa"/>
              <w:bottom w:w="0" w:type="dxa"/>
              <w:right w:w="108" w:type="dxa"/>
            </w:tcMar>
            <w:vAlign w:val="center"/>
            <w:hideMark/>
          </w:tcPr>
          <w:p w14:paraId="620FD74D" w14:textId="57571BA1" w:rsidR="00E2644F" w:rsidRPr="005650D7" w:rsidRDefault="00E2644F" w:rsidP="007E2FD2">
            <w:pPr>
              <w:pStyle w:val="ExhibitText"/>
              <w:jc w:val="right"/>
              <w:rPr>
                <w:rFonts w:eastAsia="Calibri"/>
                <w:lang w:val="en-GB"/>
              </w:rPr>
            </w:pPr>
            <w:r w:rsidRPr="005650D7">
              <w:rPr>
                <w:rFonts w:eastAsia="Calibri"/>
                <w:lang w:val="en-GB"/>
              </w:rPr>
              <w:t>$9,004</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14C3809D" w14:textId="77777777" w:rsidR="00E2644F" w:rsidRPr="005650D7" w:rsidRDefault="00E2644F" w:rsidP="007E2FD2">
            <w:pPr>
              <w:pStyle w:val="ExhibitText"/>
              <w:jc w:val="right"/>
              <w:rPr>
                <w:rFonts w:eastAsia="Calibri"/>
                <w:lang w:val="en-GB"/>
              </w:rPr>
            </w:pPr>
            <w:r w:rsidRPr="005650D7">
              <w:rPr>
                <w:rFonts w:eastAsia="Calibri"/>
                <w:lang w:val="en-GB"/>
              </w:rPr>
              <w:t>$940,550</w:t>
            </w:r>
          </w:p>
        </w:tc>
        <w:tc>
          <w:tcPr>
            <w:tcW w:w="1144" w:type="dxa"/>
            <w:tcMar>
              <w:top w:w="0" w:type="dxa"/>
              <w:left w:w="108" w:type="dxa"/>
              <w:bottom w:w="0" w:type="dxa"/>
              <w:right w:w="108" w:type="dxa"/>
            </w:tcMar>
            <w:vAlign w:val="center"/>
            <w:hideMark/>
          </w:tcPr>
          <w:p w14:paraId="2B29C022"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0EB0558B" w14:textId="77777777" w:rsidTr="00865FDB">
        <w:trPr>
          <w:trHeight w:val="325"/>
          <w:jc w:val="center"/>
        </w:trPr>
        <w:tc>
          <w:tcPr>
            <w:tcW w:w="1435" w:type="dxa"/>
            <w:vMerge w:val="restart"/>
            <w:tcMar>
              <w:top w:w="0" w:type="dxa"/>
              <w:left w:w="108" w:type="dxa"/>
              <w:bottom w:w="0" w:type="dxa"/>
              <w:right w:w="108" w:type="dxa"/>
            </w:tcMar>
            <w:vAlign w:val="center"/>
            <w:hideMark/>
          </w:tcPr>
          <w:p w14:paraId="0DA8BA88" w14:textId="77777777" w:rsidR="00E2644F" w:rsidRPr="005650D7" w:rsidRDefault="00E2644F" w:rsidP="007E2FD2">
            <w:pPr>
              <w:pStyle w:val="ExhibitText"/>
              <w:jc w:val="left"/>
              <w:rPr>
                <w:rFonts w:eastAsia="Calibri"/>
                <w:b/>
                <w:lang w:val="en-GB"/>
              </w:rPr>
            </w:pPr>
            <w:r w:rsidRPr="005650D7">
              <w:rPr>
                <w:rFonts w:eastAsia="Calibri"/>
                <w:b/>
                <w:lang w:val="en-GB"/>
              </w:rPr>
              <w:t>TD</w:t>
            </w:r>
          </w:p>
        </w:tc>
        <w:tc>
          <w:tcPr>
            <w:tcW w:w="810" w:type="dxa"/>
            <w:tcMar>
              <w:top w:w="0" w:type="dxa"/>
              <w:left w:w="108" w:type="dxa"/>
              <w:bottom w:w="0" w:type="dxa"/>
              <w:right w:w="108" w:type="dxa"/>
            </w:tcMar>
            <w:vAlign w:val="center"/>
            <w:hideMark/>
          </w:tcPr>
          <w:p w14:paraId="1D08B75E"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726F6152" w14:textId="77777777" w:rsidR="00E2644F" w:rsidRPr="005650D7" w:rsidRDefault="00E2644F" w:rsidP="007E2FD2">
            <w:pPr>
              <w:pStyle w:val="ExhibitText"/>
              <w:jc w:val="right"/>
              <w:rPr>
                <w:rFonts w:eastAsia="Calibri"/>
                <w:lang w:val="en-GB"/>
              </w:rPr>
            </w:pPr>
            <w:r w:rsidRPr="005650D7">
              <w:rPr>
                <w:rFonts w:eastAsia="Calibri"/>
                <w:lang w:val="en-GB"/>
              </w:rPr>
              <w:t>$34,315</w:t>
            </w:r>
          </w:p>
        </w:tc>
        <w:tc>
          <w:tcPr>
            <w:tcW w:w="1106" w:type="dxa"/>
            <w:tcMar>
              <w:top w:w="0" w:type="dxa"/>
              <w:left w:w="108" w:type="dxa"/>
              <w:bottom w:w="0" w:type="dxa"/>
              <w:right w:w="108" w:type="dxa"/>
            </w:tcMar>
            <w:vAlign w:val="center"/>
            <w:hideMark/>
          </w:tcPr>
          <w:p w14:paraId="35F56E44" w14:textId="689C82E9" w:rsidR="00E2644F" w:rsidRPr="005650D7" w:rsidRDefault="00E2644F" w:rsidP="007E2FD2">
            <w:pPr>
              <w:pStyle w:val="ExhibitText"/>
              <w:jc w:val="right"/>
              <w:rPr>
                <w:rFonts w:eastAsia="Calibri"/>
                <w:lang w:val="en-GB"/>
              </w:rPr>
            </w:pPr>
            <w:r w:rsidRPr="005650D7">
              <w:rPr>
                <w:rFonts w:eastAsia="Calibri"/>
                <w:lang w:val="en-GB"/>
              </w:rPr>
              <w:t>$8,936</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2393FAB3" w14:textId="77777777" w:rsidR="00E2644F" w:rsidRPr="005650D7" w:rsidRDefault="00E2644F" w:rsidP="007E2FD2">
            <w:pPr>
              <w:pStyle w:val="ExhibitText"/>
              <w:jc w:val="right"/>
              <w:rPr>
                <w:rFonts w:eastAsia="Calibri"/>
                <w:lang w:val="en-GB"/>
              </w:rPr>
            </w:pPr>
            <w:r w:rsidRPr="005650D7">
              <w:rPr>
                <w:rFonts w:eastAsia="Calibri"/>
                <w:lang w:val="en-GB"/>
              </w:rPr>
              <w:t>$1,176,967</w:t>
            </w:r>
          </w:p>
        </w:tc>
        <w:tc>
          <w:tcPr>
            <w:tcW w:w="1144" w:type="dxa"/>
            <w:tcMar>
              <w:top w:w="0" w:type="dxa"/>
              <w:left w:w="108" w:type="dxa"/>
              <w:bottom w:w="0" w:type="dxa"/>
              <w:right w:w="108" w:type="dxa"/>
            </w:tcMar>
            <w:vAlign w:val="center"/>
            <w:hideMark/>
          </w:tcPr>
          <w:p w14:paraId="7F057040" w14:textId="77777777" w:rsidR="00E2644F" w:rsidRPr="005650D7" w:rsidRDefault="00E2644F" w:rsidP="007E2FD2">
            <w:pPr>
              <w:pStyle w:val="ExhibitText"/>
              <w:jc w:val="right"/>
              <w:rPr>
                <w:rFonts w:eastAsia="Calibri"/>
                <w:lang w:val="en-GB"/>
              </w:rPr>
            </w:pPr>
            <w:r w:rsidRPr="005650D7">
              <w:rPr>
                <w:rFonts w:eastAsia="Calibri"/>
                <w:lang w:val="en-GB"/>
              </w:rPr>
              <w:t>14.6%</w:t>
            </w:r>
          </w:p>
        </w:tc>
      </w:tr>
      <w:tr w:rsidR="007E2FD2" w:rsidRPr="00452862" w14:paraId="5D0D737D" w14:textId="77777777" w:rsidTr="00865FDB">
        <w:trPr>
          <w:trHeight w:val="325"/>
          <w:jc w:val="center"/>
        </w:trPr>
        <w:tc>
          <w:tcPr>
            <w:tcW w:w="1435" w:type="dxa"/>
            <w:vMerge/>
            <w:vAlign w:val="center"/>
            <w:hideMark/>
          </w:tcPr>
          <w:p w14:paraId="1DCE6694"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1241EE45"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065E90E1" w14:textId="77777777" w:rsidR="00E2644F" w:rsidRPr="005650D7" w:rsidRDefault="00E2644F" w:rsidP="007E2FD2">
            <w:pPr>
              <w:pStyle w:val="ExhibitText"/>
              <w:jc w:val="right"/>
              <w:rPr>
                <w:rFonts w:eastAsia="Calibri"/>
                <w:lang w:val="en-GB"/>
              </w:rPr>
            </w:pPr>
            <w:r w:rsidRPr="005650D7">
              <w:rPr>
                <w:rFonts w:eastAsia="Calibri"/>
                <w:lang w:val="en-GB"/>
              </w:rPr>
              <w:t>$31,426</w:t>
            </w:r>
          </w:p>
        </w:tc>
        <w:tc>
          <w:tcPr>
            <w:tcW w:w="1106" w:type="dxa"/>
            <w:tcMar>
              <w:top w:w="0" w:type="dxa"/>
              <w:left w:w="108" w:type="dxa"/>
              <w:bottom w:w="0" w:type="dxa"/>
              <w:right w:w="108" w:type="dxa"/>
            </w:tcMar>
            <w:vAlign w:val="center"/>
            <w:hideMark/>
          </w:tcPr>
          <w:p w14:paraId="74E8C9F9" w14:textId="15DA091E" w:rsidR="00E2644F" w:rsidRPr="005650D7" w:rsidRDefault="00E2644F" w:rsidP="007E2FD2">
            <w:pPr>
              <w:pStyle w:val="ExhibitText"/>
              <w:jc w:val="right"/>
              <w:rPr>
                <w:rFonts w:eastAsia="Calibri"/>
                <w:lang w:val="en-GB"/>
              </w:rPr>
            </w:pPr>
            <w:r w:rsidRPr="005650D7">
              <w:rPr>
                <w:rFonts w:eastAsia="Calibri"/>
                <w:lang w:val="en-GB"/>
              </w:rPr>
              <w:t>$8,024</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2199452D" w14:textId="77777777" w:rsidR="00E2644F" w:rsidRPr="005650D7" w:rsidRDefault="00E2644F" w:rsidP="007E2FD2">
            <w:pPr>
              <w:pStyle w:val="ExhibitText"/>
              <w:jc w:val="right"/>
              <w:rPr>
                <w:rFonts w:eastAsia="Calibri"/>
                <w:lang w:val="en-GB"/>
              </w:rPr>
            </w:pPr>
            <w:r w:rsidRPr="005650D7">
              <w:rPr>
                <w:rFonts w:eastAsia="Calibri"/>
                <w:lang w:val="en-GB"/>
              </w:rPr>
              <w:t>$1,104,373</w:t>
            </w:r>
          </w:p>
        </w:tc>
        <w:tc>
          <w:tcPr>
            <w:tcW w:w="1144" w:type="dxa"/>
            <w:tcMar>
              <w:top w:w="0" w:type="dxa"/>
              <w:left w:w="108" w:type="dxa"/>
              <w:bottom w:w="0" w:type="dxa"/>
              <w:right w:w="108" w:type="dxa"/>
            </w:tcMar>
            <w:vAlign w:val="center"/>
            <w:hideMark/>
          </w:tcPr>
          <w:p w14:paraId="0FFFA299" w14:textId="77777777" w:rsidR="00E2644F" w:rsidRPr="005650D7" w:rsidRDefault="00E2644F" w:rsidP="007E2FD2">
            <w:pPr>
              <w:pStyle w:val="ExhibitText"/>
              <w:jc w:val="right"/>
              <w:rPr>
                <w:rFonts w:eastAsia="Calibri"/>
                <w:lang w:val="en-GB"/>
              </w:rPr>
            </w:pPr>
            <w:r w:rsidRPr="005650D7">
              <w:rPr>
                <w:rFonts w:eastAsia="Calibri"/>
                <w:lang w:val="en-GB"/>
              </w:rPr>
              <w:t>15.7%</w:t>
            </w:r>
          </w:p>
        </w:tc>
      </w:tr>
      <w:tr w:rsidR="007E2FD2" w:rsidRPr="00452862" w14:paraId="79A1FD9A" w14:textId="77777777" w:rsidTr="00865FDB">
        <w:trPr>
          <w:jc w:val="center"/>
        </w:trPr>
        <w:tc>
          <w:tcPr>
            <w:tcW w:w="1435" w:type="dxa"/>
            <w:vMerge/>
            <w:vAlign w:val="center"/>
            <w:hideMark/>
          </w:tcPr>
          <w:p w14:paraId="68146D2E"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72AD77B1"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03D5B66B" w14:textId="77777777" w:rsidR="00E2644F" w:rsidRPr="005650D7" w:rsidRDefault="00E2644F" w:rsidP="007E2FD2">
            <w:pPr>
              <w:pStyle w:val="ExhibitText"/>
              <w:jc w:val="right"/>
              <w:rPr>
                <w:rFonts w:eastAsia="Calibri"/>
                <w:lang w:val="en-GB"/>
              </w:rPr>
            </w:pPr>
            <w:r w:rsidRPr="005650D7">
              <w:rPr>
                <w:rFonts w:eastAsia="Calibri"/>
                <w:lang w:val="en-GB"/>
              </w:rPr>
              <w:t>$29,961</w:t>
            </w:r>
          </w:p>
        </w:tc>
        <w:tc>
          <w:tcPr>
            <w:tcW w:w="1106" w:type="dxa"/>
            <w:tcMar>
              <w:top w:w="0" w:type="dxa"/>
              <w:left w:w="108" w:type="dxa"/>
              <w:bottom w:w="0" w:type="dxa"/>
              <w:right w:w="108" w:type="dxa"/>
            </w:tcMar>
            <w:vAlign w:val="center"/>
            <w:hideMark/>
          </w:tcPr>
          <w:p w14:paraId="38C3D6C0" w14:textId="06CA3182" w:rsidR="00E2644F" w:rsidRPr="005650D7" w:rsidRDefault="00E2644F" w:rsidP="007E2FD2">
            <w:pPr>
              <w:pStyle w:val="ExhibitText"/>
              <w:jc w:val="right"/>
              <w:rPr>
                <w:rFonts w:eastAsia="Calibri"/>
                <w:lang w:val="en-GB"/>
              </w:rPr>
            </w:pPr>
            <w:r w:rsidRPr="005650D7">
              <w:rPr>
                <w:rFonts w:eastAsia="Calibri"/>
                <w:lang w:val="en-GB"/>
              </w:rPr>
              <w:t>$7,883</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4C126036" w14:textId="77777777" w:rsidR="00E2644F" w:rsidRPr="005650D7" w:rsidRDefault="00E2644F" w:rsidP="007E2FD2">
            <w:pPr>
              <w:pStyle w:val="ExhibitText"/>
              <w:jc w:val="right"/>
              <w:rPr>
                <w:rFonts w:eastAsia="Calibri"/>
                <w:lang w:val="en-GB"/>
              </w:rPr>
            </w:pPr>
            <w:r w:rsidRPr="005650D7">
              <w:rPr>
                <w:rFonts w:eastAsia="Calibri"/>
                <w:lang w:val="en-GB"/>
              </w:rPr>
              <w:t>$960,511</w:t>
            </w:r>
          </w:p>
        </w:tc>
        <w:tc>
          <w:tcPr>
            <w:tcW w:w="1144" w:type="dxa"/>
            <w:tcMar>
              <w:top w:w="0" w:type="dxa"/>
              <w:left w:w="108" w:type="dxa"/>
              <w:bottom w:w="0" w:type="dxa"/>
              <w:right w:w="108" w:type="dxa"/>
            </w:tcMar>
            <w:vAlign w:val="center"/>
            <w:hideMark/>
          </w:tcPr>
          <w:p w14:paraId="7801D6FF"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3FD7E6F4" w14:textId="77777777" w:rsidTr="00865FDB">
        <w:trPr>
          <w:jc w:val="center"/>
        </w:trPr>
        <w:tc>
          <w:tcPr>
            <w:tcW w:w="1435" w:type="dxa"/>
            <w:vMerge w:val="restart"/>
            <w:tcMar>
              <w:top w:w="0" w:type="dxa"/>
              <w:left w:w="108" w:type="dxa"/>
              <w:bottom w:w="0" w:type="dxa"/>
              <w:right w:w="108" w:type="dxa"/>
            </w:tcMar>
            <w:vAlign w:val="center"/>
            <w:hideMark/>
          </w:tcPr>
          <w:p w14:paraId="568AFEA5" w14:textId="77777777" w:rsidR="00E2644F" w:rsidRPr="005650D7" w:rsidRDefault="00E2644F" w:rsidP="007E2FD2">
            <w:pPr>
              <w:pStyle w:val="ExhibitText"/>
              <w:jc w:val="left"/>
              <w:rPr>
                <w:rFonts w:eastAsia="Calibri"/>
                <w:b/>
                <w:lang w:val="en-GB"/>
              </w:rPr>
            </w:pPr>
            <w:r w:rsidRPr="005650D7">
              <w:rPr>
                <w:rFonts w:eastAsia="Calibri"/>
                <w:b/>
                <w:lang w:val="en-GB"/>
              </w:rPr>
              <w:t>Scotiabank</w:t>
            </w:r>
          </w:p>
        </w:tc>
        <w:tc>
          <w:tcPr>
            <w:tcW w:w="810" w:type="dxa"/>
            <w:tcMar>
              <w:top w:w="0" w:type="dxa"/>
              <w:left w:w="108" w:type="dxa"/>
              <w:bottom w:w="0" w:type="dxa"/>
              <w:right w:w="108" w:type="dxa"/>
            </w:tcMar>
            <w:vAlign w:val="center"/>
            <w:hideMark/>
          </w:tcPr>
          <w:p w14:paraId="2D57E9F7"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20B78365" w14:textId="77777777" w:rsidR="00E2644F" w:rsidRPr="005650D7" w:rsidRDefault="00E2644F" w:rsidP="007E2FD2">
            <w:pPr>
              <w:pStyle w:val="ExhibitText"/>
              <w:jc w:val="right"/>
              <w:rPr>
                <w:rFonts w:eastAsia="Calibri"/>
                <w:lang w:val="en-GB"/>
              </w:rPr>
            </w:pPr>
            <w:r w:rsidRPr="005650D7">
              <w:rPr>
                <w:rFonts w:eastAsia="Calibri"/>
                <w:lang w:val="en-GB"/>
              </w:rPr>
              <w:t>$26,350</w:t>
            </w:r>
          </w:p>
        </w:tc>
        <w:tc>
          <w:tcPr>
            <w:tcW w:w="1106" w:type="dxa"/>
            <w:tcMar>
              <w:top w:w="0" w:type="dxa"/>
              <w:left w:w="108" w:type="dxa"/>
              <w:bottom w:w="0" w:type="dxa"/>
              <w:right w:w="108" w:type="dxa"/>
            </w:tcMar>
            <w:vAlign w:val="center"/>
            <w:hideMark/>
          </w:tcPr>
          <w:p w14:paraId="3B388B4A" w14:textId="4A7BB48C" w:rsidR="00E2644F" w:rsidRPr="005650D7" w:rsidRDefault="00E2644F" w:rsidP="007E2FD2">
            <w:pPr>
              <w:pStyle w:val="ExhibitText"/>
              <w:jc w:val="right"/>
              <w:rPr>
                <w:rFonts w:eastAsia="Calibri"/>
                <w:lang w:val="en-GB"/>
              </w:rPr>
            </w:pPr>
            <w:r w:rsidRPr="005650D7">
              <w:rPr>
                <w:rFonts w:eastAsia="Calibri"/>
                <w:lang w:val="en-GB"/>
              </w:rPr>
              <w:t>$7,368</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0344684F" w14:textId="77777777" w:rsidR="00E2644F" w:rsidRPr="005650D7" w:rsidRDefault="00E2644F" w:rsidP="007E2FD2">
            <w:pPr>
              <w:pStyle w:val="ExhibitText"/>
              <w:jc w:val="right"/>
              <w:rPr>
                <w:rFonts w:eastAsia="Calibri"/>
                <w:lang w:val="en-GB"/>
              </w:rPr>
            </w:pPr>
            <w:r w:rsidRPr="005650D7">
              <w:rPr>
                <w:rFonts w:eastAsia="Calibri"/>
                <w:lang w:val="en-GB"/>
              </w:rPr>
              <w:t>$896,266</w:t>
            </w:r>
          </w:p>
        </w:tc>
        <w:tc>
          <w:tcPr>
            <w:tcW w:w="1144" w:type="dxa"/>
            <w:tcMar>
              <w:top w:w="0" w:type="dxa"/>
              <w:left w:w="108" w:type="dxa"/>
              <w:bottom w:w="0" w:type="dxa"/>
              <w:right w:w="108" w:type="dxa"/>
            </w:tcMar>
            <w:vAlign w:val="center"/>
            <w:hideMark/>
          </w:tcPr>
          <w:p w14:paraId="72624AAE" w14:textId="77777777" w:rsidR="00E2644F" w:rsidRPr="005650D7" w:rsidRDefault="00E2644F" w:rsidP="007E2FD2">
            <w:pPr>
              <w:pStyle w:val="ExhibitText"/>
              <w:jc w:val="right"/>
              <w:rPr>
                <w:rFonts w:eastAsia="Calibri"/>
                <w:lang w:val="en-GB"/>
              </w:rPr>
            </w:pPr>
            <w:r w:rsidRPr="005650D7">
              <w:rPr>
                <w:rFonts w:eastAsia="Calibri"/>
                <w:lang w:val="en-GB"/>
              </w:rPr>
              <w:t>13.1%</w:t>
            </w:r>
          </w:p>
        </w:tc>
      </w:tr>
      <w:tr w:rsidR="007E2FD2" w:rsidRPr="00452862" w14:paraId="6BDAE675" w14:textId="77777777" w:rsidTr="00865FDB">
        <w:trPr>
          <w:jc w:val="center"/>
        </w:trPr>
        <w:tc>
          <w:tcPr>
            <w:tcW w:w="1435" w:type="dxa"/>
            <w:vMerge/>
            <w:vAlign w:val="center"/>
            <w:hideMark/>
          </w:tcPr>
          <w:p w14:paraId="58C40537"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7309025E"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3BACC5DD" w14:textId="77777777" w:rsidR="00E2644F" w:rsidRPr="005650D7" w:rsidRDefault="00E2644F" w:rsidP="007E2FD2">
            <w:pPr>
              <w:pStyle w:val="ExhibitText"/>
              <w:jc w:val="right"/>
              <w:rPr>
                <w:rFonts w:eastAsia="Calibri"/>
                <w:lang w:val="en-GB"/>
              </w:rPr>
            </w:pPr>
            <w:r w:rsidRPr="005650D7">
              <w:rPr>
                <w:rFonts w:eastAsia="Calibri"/>
                <w:lang w:val="en-GB"/>
              </w:rPr>
              <w:t>$24,049</w:t>
            </w:r>
          </w:p>
        </w:tc>
        <w:tc>
          <w:tcPr>
            <w:tcW w:w="1106" w:type="dxa"/>
            <w:tcMar>
              <w:top w:w="0" w:type="dxa"/>
              <w:left w:w="108" w:type="dxa"/>
              <w:bottom w:w="0" w:type="dxa"/>
              <w:right w:w="108" w:type="dxa"/>
            </w:tcMar>
            <w:vAlign w:val="center"/>
            <w:hideMark/>
          </w:tcPr>
          <w:p w14:paraId="6E2F708C" w14:textId="491BCC5C" w:rsidR="00E2644F" w:rsidRPr="005650D7" w:rsidRDefault="00E2644F" w:rsidP="007E2FD2">
            <w:pPr>
              <w:pStyle w:val="ExhibitText"/>
              <w:jc w:val="right"/>
              <w:rPr>
                <w:rFonts w:eastAsia="Calibri"/>
                <w:lang w:val="en-GB"/>
              </w:rPr>
            </w:pPr>
            <w:r w:rsidRPr="005650D7">
              <w:rPr>
                <w:rFonts w:eastAsia="Calibri"/>
                <w:lang w:val="en-GB"/>
              </w:rPr>
              <w:t>$7,213</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2CFD8CB8" w14:textId="77777777" w:rsidR="00E2644F" w:rsidRPr="005650D7" w:rsidRDefault="00E2644F" w:rsidP="007E2FD2">
            <w:pPr>
              <w:pStyle w:val="ExhibitText"/>
              <w:jc w:val="right"/>
              <w:rPr>
                <w:rFonts w:eastAsia="Calibri"/>
                <w:lang w:val="en-GB"/>
              </w:rPr>
            </w:pPr>
            <w:r w:rsidRPr="005650D7">
              <w:rPr>
                <w:rFonts w:eastAsia="Calibri"/>
                <w:lang w:val="en-GB"/>
              </w:rPr>
              <w:t>$856,497</w:t>
            </w:r>
          </w:p>
        </w:tc>
        <w:tc>
          <w:tcPr>
            <w:tcW w:w="1144" w:type="dxa"/>
            <w:tcMar>
              <w:top w:w="0" w:type="dxa"/>
              <w:left w:w="108" w:type="dxa"/>
              <w:bottom w:w="0" w:type="dxa"/>
              <w:right w:w="108" w:type="dxa"/>
            </w:tcMar>
            <w:vAlign w:val="center"/>
            <w:hideMark/>
          </w:tcPr>
          <w:p w14:paraId="160C2B04" w14:textId="77777777" w:rsidR="00E2644F" w:rsidRPr="005650D7" w:rsidRDefault="00E2644F" w:rsidP="007E2FD2">
            <w:pPr>
              <w:pStyle w:val="ExhibitText"/>
              <w:jc w:val="right"/>
              <w:rPr>
                <w:rFonts w:eastAsia="Calibri"/>
                <w:lang w:val="en-GB"/>
              </w:rPr>
            </w:pPr>
            <w:r w:rsidRPr="005650D7">
              <w:rPr>
                <w:rFonts w:eastAsia="Calibri"/>
                <w:lang w:val="en-GB"/>
              </w:rPr>
              <w:t>14.7%</w:t>
            </w:r>
          </w:p>
        </w:tc>
      </w:tr>
      <w:tr w:rsidR="007E2FD2" w:rsidRPr="00452862" w14:paraId="37A1ED73" w14:textId="77777777" w:rsidTr="00865FDB">
        <w:trPr>
          <w:jc w:val="center"/>
        </w:trPr>
        <w:tc>
          <w:tcPr>
            <w:tcW w:w="1435" w:type="dxa"/>
            <w:vMerge/>
            <w:vAlign w:val="center"/>
            <w:hideMark/>
          </w:tcPr>
          <w:p w14:paraId="47C80493"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5F644ECC"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262FC852" w14:textId="77777777" w:rsidR="00E2644F" w:rsidRPr="005650D7" w:rsidRDefault="00E2644F" w:rsidP="007E2FD2">
            <w:pPr>
              <w:pStyle w:val="ExhibitText"/>
              <w:jc w:val="right"/>
              <w:rPr>
                <w:rFonts w:eastAsia="Calibri"/>
                <w:lang w:val="en-GB"/>
              </w:rPr>
            </w:pPr>
            <w:r w:rsidRPr="005650D7">
              <w:rPr>
                <w:rFonts w:eastAsia="Calibri"/>
                <w:lang w:val="en-GB"/>
              </w:rPr>
              <w:t>$23,604</w:t>
            </w:r>
          </w:p>
        </w:tc>
        <w:tc>
          <w:tcPr>
            <w:tcW w:w="1106" w:type="dxa"/>
            <w:tcMar>
              <w:top w:w="0" w:type="dxa"/>
              <w:left w:w="108" w:type="dxa"/>
              <w:bottom w:w="0" w:type="dxa"/>
              <w:right w:w="108" w:type="dxa"/>
            </w:tcMar>
            <w:vAlign w:val="center"/>
            <w:hideMark/>
          </w:tcPr>
          <w:p w14:paraId="1224ADF6" w14:textId="15FDEA8C" w:rsidR="00E2644F" w:rsidRPr="005650D7" w:rsidRDefault="00E2644F" w:rsidP="007E2FD2">
            <w:pPr>
              <w:pStyle w:val="ExhibitText"/>
              <w:jc w:val="right"/>
              <w:rPr>
                <w:rFonts w:eastAsia="Calibri"/>
                <w:lang w:val="en-GB"/>
              </w:rPr>
            </w:pPr>
            <w:r w:rsidRPr="005650D7">
              <w:rPr>
                <w:rFonts w:eastAsia="Calibri"/>
                <w:lang w:val="en-GB"/>
              </w:rPr>
              <w:t>$7,298</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24326460" w14:textId="77777777" w:rsidR="00E2644F" w:rsidRPr="005650D7" w:rsidRDefault="00E2644F" w:rsidP="007E2FD2">
            <w:pPr>
              <w:pStyle w:val="ExhibitText"/>
              <w:jc w:val="right"/>
              <w:rPr>
                <w:rFonts w:eastAsia="Calibri"/>
                <w:lang w:val="en-GB"/>
              </w:rPr>
            </w:pPr>
            <w:r w:rsidRPr="005650D7">
              <w:rPr>
                <w:rFonts w:eastAsia="Calibri"/>
                <w:lang w:val="en-GB"/>
              </w:rPr>
              <w:t>$805,666</w:t>
            </w:r>
          </w:p>
        </w:tc>
        <w:tc>
          <w:tcPr>
            <w:tcW w:w="1144" w:type="dxa"/>
            <w:tcMar>
              <w:top w:w="0" w:type="dxa"/>
              <w:left w:w="108" w:type="dxa"/>
              <w:bottom w:w="0" w:type="dxa"/>
              <w:right w:w="108" w:type="dxa"/>
            </w:tcMar>
            <w:vAlign w:val="center"/>
            <w:hideMark/>
          </w:tcPr>
          <w:p w14:paraId="3C417E95"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197B44B8" w14:textId="77777777" w:rsidTr="00865FDB">
        <w:trPr>
          <w:jc w:val="center"/>
        </w:trPr>
        <w:tc>
          <w:tcPr>
            <w:tcW w:w="1435" w:type="dxa"/>
            <w:vMerge w:val="restart"/>
            <w:tcMar>
              <w:top w:w="0" w:type="dxa"/>
              <w:left w:w="108" w:type="dxa"/>
              <w:bottom w:w="0" w:type="dxa"/>
              <w:right w:w="108" w:type="dxa"/>
            </w:tcMar>
            <w:vAlign w:val="center"/>
            <w:hideMark/>
          </w:tcPr>
          <w:p w14:paraId="5A1F2E04" w14:textId="77777777" w:rsidR="00E2644F" w:rsidRPr="005650D7" w:rsidRDefault="00E2644F" w:rsidP="007E2FD2">
            <w:pPr>
              <w:pStyle w:val="ExhibitText"/>
              <w:jc w:val="left"/>
              <w:rPr>
                <w:rFonts w:eastAsia="Calibri"/>
                <w:b/>
                <w:lang w:val="en-GB"/>
              </w:rPr>
            </w:pPr>
            <w:r w:rsidRPr="005650D7">
              <w:rPr>
                <w:rFonts w:eastAsia="Calibri"/>
                <w:b/>
                <w:lang w:val="en-GB"/>
              </w:rPr>
              <w:t>BMO</w:t>
            </w:r>
          </w:p>
        </w:tc>
        <w:tc>
          <w:tcPr>
            <w:tcW w:w="810" w:type="dxa"/>
            <w:tcMar>
              <w:top w:w="0" w:type="dxa"/>
              <w:left w:w="108" w:type="dxa"/>
              <w:bottom w:w="0" w:type="dxa"/>
              <w:right w:w="108" w:type="dxa"/>
            </w:tcMar>
            <w:vAlign w:val="center"/>
            <w:hideMark/>
          </w:tcPr>
          <w:p w14:paraId="7935361A"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09697DCF" w14:textId="77777777" w:rsidR="00E2644F" w:rsidRPr="005650D7" w:rsidRDefault="00E2644F" w:rsidP="007E2FD2">
            <w:pPr>
              <w:pStyle w:val="ExhibitText"/>
              <w:jc w:val="right"/>
              <w:rPr>
                <w:rFonts w:eastAsia="Calibri"/>
                <w:lang w:val="en-GB"/>
              </w:rPr>
            </w:pPr>
            <w:r w:rsidRPr="005650D7">
              <w:rPr>
                <w:rFonts w:eastAsia="Calibri"/>
                <w:lang w:val="en-GB"/>
              </w:rPr>
              <w:t>$21,087</w:t>
            </w:r>
          </w:p>
        </w:tc>
        <w:tc>
          <w:tcPr>
            <w:tcW w:w="1106" w:type="dxa"/>
            <w:tcMar>
              <w:top w:w="0" w:type="dxa"/>
              <w:left w:w="108" w:type="dxa"/>
              <w:bottom w:w="0" w:type="dxa"/>
              <w:right w:w="108" w:type="dxa"/>
            </w:tcMar>
            <w:vAlign w:val="center"/>
            <w:hideMark/>
          </w:tcPr>
          <w:p w14:paraId="2F0C1324" w14:textId="2675F327" w:rsidR="00E2644F" w:rsidRPr="005650D7" w:rsidRDefault="00E2644F" w:rsidP="007E2FD2">
            <w:pPr>
              <w:pStyle w:val="ExhibitText"/>
              <w:jc w:val="right"/>
              <w:rPr>
                <w:rFonts w:eastAsia="Calibri"/>
                <w:lang w:val="en-GB"/>
              </w:rPr>
            </w:pPr>
            <w:r w:rsidRPr="005650D7">
              <w:rPr>
                <w:rFonts w:eastAsia="Calibri"/>
                <w:lang w:val="en-GB"/>
              </w:rPr>
              <w:t>$4,631</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7D47149B" w14:textId="77777777" w:rsidR="00E2644F" w:rsidRPr="005650D7" w:rsidRDefault="00E2644F" w:rsidP="007E2FD2">
            <w:pPr>
              <w:pStyle w:val="ExhibitText"/>
              <w:jc w:val="right"/>
              <w:rPr>
                <w:rFonts w:eastAsia="Calibri"/>
                <w:lang w:val="en-GB"/>
              </w:rPr>
            </w:pPr>
            <w:r w:rsidRPr="005650D7">
              <w:rPr>
                <w:rFonts w:eastAsia="Calibri"/>
                <w:lang w:val="en-GB"/>
              </w:rPr>
              <w:t>$687,935</w:t>
            </w:r>
          </w:p>
        </w:tc>
        <w:tc>
          <w:tcPr>
            <w:tcW w:w="1144" w:type="dxa"/>
            <w:tcMar>
              <w:top w:w="0" w:type="dxa"/>
              <w:left w:w="108" w:type="dxa"/>
              <w:bottom w:w="0" w:type="dxa"/>
              <w:right w:w="108" w:type="dxa"/>
            </w:tcMar>
            <w:vAlign w:val="center"/>
            <w:hideMark/>
          </w:tcPr>
          <w:p w14:paraId="2AEE77EB" w14:textId="77777777" w:rsidR="00E2644F" w:rsidRPr="005650D7" w:rsidRDefault="00E2644F" w:rsidP="007E2FD2">
            <w:pPr>
              <w:pStyle w:val="ExhibitText"/>
              <w:jc w:val="right"/>
              <w:rPr>
                <w:rFonts w:eastAsia="Calibri"/>
                <w:lang w:val="en-GB"/>
              </w:rPr>
            </w:pPr>
            <w:r w:rsidRPr="005650D7">
              <w:rPr>
                <w:rFonts w:eastAsia="Calibri"/>
                <w:lang w:val="en-GB"/>
              </w:rPr>
              <w:t>10.9%</w:t>
            </w:r>
          </w:p>
        </w:tc>
      </w:tr>
      <w:tr w:rsidR="007E2FD2" w:rsidRPr="00452862" w14:paraId="6C728B86" w14:textId="77777777" w:rsidTr="00865FDB">
        <w:trPr>
          <w:jc w:val="center"/>
        </w:trPr>
        <w:tc>
          <w:tcPr>
            <w:tcW w:w="1435" w:type="dxa"/>
            <w:vMerge/>
            <w:vAlign w:val="center"/>
            <w:hideMark/>
          </w:tcPr>
          <w:p w14:paraId="29081239"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35AFE435"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37D29461" w14:textId="77777777" w:rsidR="00E2644F" w:rsidRPr="005650D7" w:rsidRDefault="00E2644F" w:rsidP="007E2FD2">
            <w:pPr>
              <w:pStyle w:val="ExhibitText"/>
              <w:jc w:val="right"/>
              <w:rPr>
                <w:rFonts w:eastAsia="Calibri"/>
                <w:lang w:val="en-GB"/>
              </w:rPr>
            </w:pPr>
            <w:r w:rsidRPr="005650D7">
              <w:rPr>
                <w:rFonts w:eastAsia="Calibri"/>
                <w:lang w:val="en-GB"/>
              </w:rPr>
              <w:t>$19,389</w:t>
            </w:r>
          </w:p>
        </w:tc>
        <w:tc>
          <w:tcPr>
            <w:tcW w:w="1106" w:type="dxa"/>
            <w:tcMar>
              <w:top w:w="0" w:type="dxa"/>
              <w:left w:w="108" w:type="dxa"/>
              <w:bottom w:w="0" w:type="dxa"/>
              <w:right w:w="108" w:type="dxa"/>
            </w:tcMar>
            <w:vAlign w:val="center"/>
            <w:hideMark/>
          </w:tcPr>
          <w:p w14:paraId="24931FE3" w14:textId="4BFC3B26" w:rsidR="00E2644F" w:rsidRPr="005650D7" w:rsidRDefault="00E2644F" w:rsidP="007E2FD2">
            <w:pPr>
              <w:pStyle w:val="ExhibitText"/>
              <w:jc w:val="right"/>
              <w:rPr>
                <w:rFonts w:eastAsia="Calibri"/>
                <w:lang w:val="en-GB"/>
              </w:rPr>
            </w:pPr>
            <w:r w:rsidRPr="005650D7">
              <w:rPr>
                <w:rFonts w:eastAsia="Calibri"/>
                <w:lang w:val="en-GB"/>
              </w:rPr>
              <w:t>$4,405</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3B3B085A" w14:textId="77777777" w:rsidR="00E2644F" w:rsidRPr="005650D7" w:rsidRDefault="00E2644F" w:rsidP="007E2FD2">
            <w:pPr>
              <w:pStyle w:val="ExhibitText"/>
              <w:jc w:val="right"/>
              <w:rPr>
                <w:rFonts w:eastAsia="Calibri"/>
                <w:lang w:val="en-GB"/>
              </w:rPr>
            </w:pPr>
            <w:r w:rsidRPr="005650D7">
              <w:rPr>
                <w:rFonts w:eastAsia="Calibri"/>
                <w:lang w:val="en-GB"/>
              </w:rPr>
              <w:t>$641,881</w:t>
            </w:r>
          </w:p>
        </w:tc>
        <w:tc>
          <w:tcPr>
            <w:tcW w:w="1144" w:type="dxa"/>
            <w:tcMar>
              <w:top w:w="0" w:type="dxa"/>
              <w:left w:w="108" w:type="dxa"/>
              <w:bottom w:w="0" w:type="dxa"/>
              <w:right w:w="108" w:type="dxa"/>
            </w:tcMar>
            <w:vAlign w:val="center"/>
            <w:hideMark/>
          </w:tcPr>
          <w:p w14:paraId="62BC4A12" w14:textId="77777777" w:rsidR="00E2644F" w:rsidRPr="005650D7" w:rsidRDefault="00E2644F" w:rsidP="007E2FD2">
            <w:pPr>
              <w:pStyle w:val="ExhibitText"/>
              <w:jc w:val="right"/>
              <w:rPr>
                <w:rFonts w:eastAsia="Calibri"/>
                <w:lang w:val="en-GB"/>
              </w:rPr>
            </w:pPr>
            <w:r w:rsidRPr="005650D7">
              <w:rPr>
                <w:rFonts w:eastAsia="Calibri"/>
                <w:lang w:val="en-GB"/>
              </w:rPr>
              <w:t>11.2%</w:t>
            </w:r>
          </w:p>
        </w:tc>
      </w:tr>
      <w:tr w:rsidR="007E2FD2" w:rsidRPr="00452862" w14:paraId="18B71F62" w14:textId="77777777" w:rsidTr="00865FDB">
        <w:trPr>
          <w:jc w:val="center"/>
        </w:trPr>
        <w:tc>
          <w:tcPr>
            <w:tcW w:w="1435" w:type="dxa"/>
            <w:vMerge/>
            <w:vAlign w:val="center"/>
            <w:hideMark/>
          </w:tcPr>
          <w:p w14:paraId="015F7E9B"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4788BB94"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6390EA3E" w14:textId="77777777" w:rsidR="00E2644F" w:rsidRPr="005650D7" w:rsidRDefault="00E2644F" w:rsidP="007E2FD2">
            <w:pPr>
              <w:pStyle w:val="ExhibitText"/>
              <w:jc w:val="right"/>
              <w:rPr>
                <w:rFonts w:eastAsia="Calibri"/>
                <w:lang w:val="en-GB"/>
              </w:rPr>
            </w:pPr>
            <w:r w:rsidRPr="005650D7">
              <w:rPr>
                <w:rFonts w:eastAsia="Calibri"/>
                <w:lang w:val="en-GB"/>
              </w:rPr>
              <w:t>$18,223</w:t>
            </w:r>
          </w:p>
        </w:tc>
        <w:tc>
          <w:tcPr>
            <w:tcW w:w="1106" w:type="dxa"/>
            <w:tcMar>
              <w:top w:w="0" w:type="dxa"/>
              <w:left w:w="108" w:type="dxa"/>
              <w:bottom w:w="0" w:type="dxa"/>
              <w:right w:w="108" w:type="dxa"/>
            </w:tcMar>
            <w:vAlign w:val="center"/>
            <w:hideMark/>
          </w:tcPr>
          <w:p w14:paraId="49772AC8" w14:textId="5C01CC01" w:rsidR="00E2644F" w:rsidRPr="005650D7" w:rsidRDefault="00E2644F" w:rsidP="007E2FD2">
            <w:pPr>
              <w:pStyle w:val="ExhibitText"/>
              <w:jc w:val="right"/>
              <w:rPr>
                <w:rFonts w:eastAsia="Calibri"/>
                <w:lang w:val="en-GB"/>
              </w:rPr>
            </w:pPr>
            <w:r w:rsidRPr="005650D7">
              <w:rPr>
                <w:rFonts w:eastAsia="Calibri"/>
                <w:lang w:val="en-GB"/>
              </w:rPr>
              <w:t>$4,333</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7BB127D3" w14:textId="77777777" w:rsidR="00E2644F" w:rsidRPr="005650D7" w:rsidRDefault="00E2644F" w:rsidP="007E2FD2">
            <w:pPr>
              <w:pStyle w:val="ExhibitText"/>
              <w:jc w:val="right"/>
              <w:rPr>
                <w:rFonts w:eastAsia="Calibri"/>
                <w:lang w:val="en-GB"/>
              </w:rPr>
            </w:pPr>
            <w:r w:rsidRPr="005650D7">
              <w:rPr>
                <w:rFonts w:eastAsia="Calibri"/>
                <w:lang w:val="en-GB"/>
              </w:rPr>
              <w:t>$588,659</w:t>
            </w:r>
          </w:p>
        </w:tc>
        <w:tc>
          <w:tcPr>
            <w:tcW w:w="1144" w:type="dxa"/>
            <w:tcMar>
              <w:top w:w="0" w:type="dxa"/>
              <w:left w:w="108" w:type="dxa"/>
              <w:bottom w:w="0" w:type="dxa"/>
              <w:right w:w="108" w:type="dxa"/>
            </w:tcMar>
            <w:vAlign w:val="center"/>
            <w:hideMark/>
          </w:tcPr>
          <w:p w14:paraId="5651BC71"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62F9D157" w14:textId="77777777" w:rsidTr="00865FDB">
        <w:trPr>
          <w:jc w:val="center"/>
        </w:trPr>
        <w:tc>
          <w:tcPr>
            <w:tcW w:w="1435" w:type="dxa"/>
            <w:vMerge w:val="restart"/>
            <w:tcMar>
              <w:top w:w="0" w:type="dxa"/>
              <w:left w:w="108" w:type="dxa"/>
              <w:bottom w:w="0" w:type="dxa"/>
              <w:right w:w="108" w:type="dxa"/>
            </w:tcMar>
            <w:vAlign w:val="center"/>
            <w:hideMark/>
          </w:tcPr>
          <w:p w14:paraId="443BAE65" w14:textId="77777777" w:rsidR="00E2644F" w:rsidRPr="005650D7" w:rsidRDefault="00E2644F" w:rsidP="007E2FD2">
            <w:pPr>
              <w:pStyle w:val="ExhibitText"/>
              <w:jc w:val="left"/>
              <w:rPr>
                <w:rFonts w:eastAsia="Calibri"/>
                <w:b/>
                <w:lang w:val="en-GB"/>
              </w:rPr>
            </w:pPr>
            <w:r w:rsidRPr="005650D7">
              <w:rPr>
                <w:rFonts w:eastAsia="Calibri"/>
                <w:b/>
                <w:lang w:val="en-GB"/>
              </w:rPr>
              <w:t>CIBC</w:t>
            </w:r>
          </w:p>
        </w:tc>
        <w:tc>
          <w:tcPr>
            <w:tcW w:w="810" w:type="dxa"/>
            <w:tcMar>
              <w:top w:w="0" w:type="dxa"/>
              <w:left w:w="108" w:type="dxa"/>
              <w:bottom w:w="0" w:type="dxa"/>
              <w:right w:w="108" w:type="dxa"/>
            </w:tcMar>
            <w:vAlign w:val="center"/>
            <w:hideMark/>
          </w:tcPr>
          <w:p w14:paraId="409E3095"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0FBAA072" w14:textId="77777777" w:rsidR="00E2644F" w:rsidRPr="005650D7" w:rsidRDefault="00E2644F" w:rsidP="007E2FD2">
            <w:pPr>
              <w:pStyle w:val="ExhibitText"/>
              <w:jc w:val="right"/>
              <w:rPr>
                <w:rFonts w:eastAsia="Calibri"/>
                <w:lang w:val="en-GB"/>
              </w:rPr>
            </w:pPr>
            <w:r w:rsidRPr="005650D7">
              <w:rPr>
                <w:rFonts w:eastAsia="Calibri"/>
                <w:lang w:val="en-GB"/>
              </w:rPr>
              <w:t>$15,035</w:t>
            </w:r>
          </w:p>
        </w:tc>
        <w:tc>
          <w:tcPr>
            <w:tcW w:w="1106" w:type="dxa"/>
            <w:tcMar>
              <w:top w:w="0" w:type="dxa"/>
              <w:left w:w="108" w:type="dxa"/>
              <w:bottom w:w="0" w:type="dxa"/>
              <w:right w:w="108" w:type="dxa"/>
            </w:tcMar>
            <w:vAlign w:val="center"/>
            <w:hideMark/>
          </w:tcPr>
          <w:p w14:paraId="05A9E080" w14:textId="47E94B7D" w:rsidR="00E2644F" w:rsidRPr="005650D7" w:rsidRDefault="00E2644F" w:rsidP="007E2FD2">
            <w:pPr>
              <w:pStyle w:val="ExhibitText"/>
              <w:jc w:val="right"/>
              <w:rPr>
                <w:rFonts w:eastAsia="Calibri"/>
                <w:lang w:val="en-GB"/>
              </w:rPr>
            </w:pPr>
            <w:r w:rsidRPr="005650D7">
              <w:rPr>
                <w:rFonts w:eastAsia="Calibri"/>
                <w:lang w:val="en-GB"/>
              </w:rPr>
              <w:t>$4,295</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611652FC" w14:textId="77777777" w:rsidR="00E2644F" w:rsidRPr="005650D7" w:rsidRDefault="00E2644F" w:rsidP="007E2FD2">
            <w:pPr>
              <w:pStyle w:val="ExhibitText"/>
              <w:jc w:val="right"/>
              <w:rPr>
                <w:rFonts w:eastAsia="Calibri"/>
                <w:lang w:val="en-GB"/>
              </w:rPr>
            </w:pPr>
            <w:r w:rsidRPr="005650D7">
              <w:rPr>
                <w:rFonts w:eastAsia="Calibri"/>
                <w:lang w:val="en-GB"/>
              </w:rPr>
              <w:t>$501,357</w:t>
            </w:r>
          </w:p>
        </w:tc>
        <w:tc>
          <w:tcPr>
            <w:tcW w:w="1144" w:type="dxa"/>
            <w:tcMar>
              <w:top w:w="0" w:type="dxa"/>
              <w:left w:w="108" w:type="dxa"/>
              <w:bottom w:w="0" w:type="dxa"/>
              <w:right w:w="108" w:type="dxa"/>
            </w:tcMar>
            <w:vAlign w:val="center"/>
            <w:hideMark/>
          </w:tcPr>
          <w:p w14:paraId="307A6823" w14:textId="77777777" w:rsidR="00E2644F" w:rsidRPr="005650D7" w:rsidRDefault="00E2644F" w:rsidP="007E2FD2">
            <w:pPr>
              <w:pStyle w:val="ExhibitText"/>
              <w:jc w:val="right"/>
              <w:rPr>
                <w:rFonts w:eastAsia="Calibri"/>
                <w:lang w:val="en-GB"/>
              </w:rPr>
            </w:pPr>
            <w:r w:rsidRPr="005650D7">
              <w:rPr>
                <w:rFonts w:eastAsia="Calibri"/>
                <w:lang w:val="en-GB"/>
              </w:rPr>
              <w:t>18.3%</w:t>
            </w:r>
          </w:p>
        </w:tc>
      </w:tr>
      <w:tr w:rsidR="007E2FD2" w:rsidRPr="00452862" w14:paraId="144D4BAB" w14:textId="77777777" w:rsidTr="00865FDB">
        <w:trPr>
          <w:jc w:val="center"/>
        </w:trPr>
        <w:tc>
          <w:tcPr>
            <w:tcW w:w="1435" w:type="dxa"/>
            <w:vMerge/>
            <w:vAlign w:val="center"/>
            <w:hideMark/>
          </w:tcPr>
          <w:p w14:paraId="24E0F383"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64EABA8F"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1C03F537" w14:textId="77777777" w:rsidR="00E2644F" w:rsidRPr="005650D7" w:rsidRDefault="00E2644F" w:rsidP="007E2FD2">
            <w:pPr>
              <w:pStyle w:val="ExhibitText"/>
              <w:jc w:val="right"/>
              <w:rPr>
                <w:rFonts w:eastAsia="Calibri"/>
                <w:lang w:val="en-GB"/>
              </w:rPr>
            </w:pPr>
            <w:r w:rsidRPr="005650D7">
              <w:rPr>
                <w:rFonts w:eastAsia="Calibri"/>
                <w:lang w:val="en-GB"/>
              </w:rPr>
              <w:t>$13,900</w:t>
            </w:r>
          </w:p>
        </w:tc>
        <w:tc>
          <w:tcPr>
            <w:tcW w:w="1106" w:type="dxa"/>
            <w:tcMar>
              <w:top w:w="0" w:type="dxa"/>
              <w:left w:w="108" w:type="dxa"/>
              <w:bottom w:w="0" w:type="dxa"/>
              <w:right w:w="108" w:type="dxa"/>
            </w:tcMar>
            <w:vAlign w:val="center"/>
            <w:hideMark/>
          </w:tcPr>
          <w:p w14:paraId="5EE2FCB8" w14:textId="4ED120EF" w:rsidR="00E2644F" w:rsidRPr="005650D7" w:rsidRDefault="00E2644F" w:rsidP="007E2FD2">
            <w:pPr>
              <w:pStyle w:val="ExhibitText"/>
              <w:jc w:val="right"/>
              <w:rPr>
                <w:rFonts w:eastAsia="Calibri"/>
                <w:lang w:val="en-GB"/>
              </w:rPr>
            </w:pPr>
            <w:r w:rsidRPr="005650D7">
              <w:rPr>
                <w:rFonts w:eastAsia="Calibri"/>
                <w:lang w:val="en-GB"/>
              </w:rPr>
              <w:t>$3,590</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45061275" w14:textId="77777777" w:rsidR="00E2644F" w:rsidRPr="005650D7" w:rsidRDefault="00E2644F" w:rsidP="007E2FD2">
            <w:pPr>
              <w:pStyle w:val="ExhibitText"/>
              <w:jc w:val="right"/>
              <w:rPr>
                <w:rFonts w:eastAsia="Calibri"/>
                <w:lang w:val="en-GB"/>
              </w:rPr>
            </w:pPr>
            <w:r w:rsidRPr="005650D7">
              <w:rPr>
                <w:rFonts w:eastAsia="Calibri"/>
                <w:lang w:val="en-GB"/>
              </w:rPr>
              <w:t>$463,309</w:t>
            </w:r>
          </w:p>
        </w:tc>
        <w:tc>
          <w:tcPr>
            <w:tcW w:w="1144" w:type="dxa"/>
            <w:tcMar>
              <w:top w:w="0" w:type="dxa"/>
              <w:left w:w="108" w:type="dxa"/>
              <w:bottom w:w="0" w:type="dxa"/>
              <w:right w:w="108" w:type="dxa"/>
            </w:tcMar>
            <w:vAlign w:val="center"/>
            <w:hideMark/>
          </w:tcPr>
          <w:p w14:paraId="14FEF6C3" w14:textId="77777777" w:rsidR="00E2644F" w:rsidRPr="005650D7" w:rsidRDefault="00E2644F" w:rsidP="007E2FD2">
            <w:pPr>
              <w:pStyle w:val="ExhibitText"/>
              <w:jc w:val="right"/>
              <w:rPr>
                <w:rFonts w:eastAsia="Calibri"/>
                <w:lang w:val="en-GB"/>
              </w:rPr>
            </w:pPr>
            <w:r w:rsidRPr="005650D7">
              <w:rPr>
                <w:rFonts w:eastAsia="Calibri"/>
                <w:lang w:val="en-GB"/>
              </w:rPr>
              <w:t>16.8%</w:t>
            </w:r>
          </w:p>
        </w:tc>
      </w:tr>
      <w:tr w:rsidR="007E2FD2" w:rsidRPr="00452862" w14:paraId="4D714509" w14:textId="77777777" w:rsidTr="00865FDB">
        <w:trPr>
          <w:jc w:val="center"/>
        </w:trPr>
        <w:tc>
          <w:tcPr>
            <w:tcW w:w="1435" w:type="dxa"/>
            <w:vMerge/>
            <w:vAlign w:val="center"/>
            <w:hideMark/>
          </w:tcPr>
          <w:p w14:paraId="745C94C4"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1EC42581"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65DF9AE8" w14:textId="77777777" w:rsidR="00E2644F" w:rsidRPr="005650D7" w:rsidRDefault="00E2644F" w:rsidP="007E2FD2">
            <w:pPr>
              <w:pStyle w:val="ExhibitText"/>
              <w:jc w:val="right"/>
              <w:rPr>
                <w:rFonts w:eastAsia="Calibri"/>
                <w:lang w:val="en-GB"/>
              </w:rPr>
            </w:pPr>
            <w:r w:rsidRPr="005650D7">
              <w:rPr>
                <w:rFonts w:eastAsia="Calibri"/>
                <w:lang w:val="en-GB"/>
              </w:rPr>
              <w:t>$13,400</w:t>
            </w:r>
          </w:p>
        </w:tc>
        <w:tc>
          <w:tcPr>
            <w:tcW w:w="1106" w:type="dxa"/>
            <w:tcMar>
              <w:top w:w="0" w:type="dxa"/>
              <w:left w:w="108" w:type="dxa"/>
              <w:bottom w:w="0" w:type="dxa"/>
              <w:right w:w="108" w:type="dxa"/>
            </w:tcMar>
            <w:vAlign w:val="center"/>
            <w:hideMark/>
          </w:tcPr>
          <w:p w14:paraId="4E469657" w14:textId="3BF8B1FE" w:rsidR="00E2644F" w:rsidRPr="005650D7" w:rsidRDefault="00E2644F" w:rsidP="007E2FD2">
            <w:pPr>
              <w:pStyle w:val="ExhibitText"/>
              <w:jc w:val="right"/>
              <w:rPr>
                <w:rFonts w:eastAsia="Calibri"/>
                <w:lang w:val="en-GB"/>
              </w:rPr>
            </w:pPr>
            <w:r w:rsidRPr="005650D7">
              <w:rPr>
                <w:rFonts w:eastAsia="Calibri"/>
                <w:lang w:val="en-GB"/>
              </w:rPr>
              <w:t>$3,200</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05025C34" w14:textId="77777777" w:rsidR="00E2644F" w:rsidRPr="005650D7" w:rsidRDefault="00E2644F" w:rsidP="007E2FD2">
            <w:pPr>
              <w:pStyle w:val="ExhibitText"/>
              <w:jc w:val="right"/>
              <w:rPr>
                <w:rFonts w:eastAsia="Calibri"/>
                <w:lang w:val="en-GB"/>
              </w:rPr>
            </w:pPr>
            <w:r w:rsidRPr="005650D7">
              <w:rPr>
                <w:rFonts w:eastAsia="Calibri"/>
                <w:lang w:val="en-GB"/>
              </w:rPr>
              <w:t>$414,903</w:t>
            </w:r>
          </w:p>
        </w:tc>
        <w:tc>
          <w:tcPr>
            <w:tcW w:w="1144" w:type="dxa"/>
            <w:tcMar>
              <w:top w:w="0" w:type="dxa"/>
              <w:left w:w="108" w:type="dxa"/>
              <w:bottom w:w="0" w:type="dxa"/>
              <w:right w:w="108" w:type="dxa"/>
            </w:tcMar>
            <w:vAlign w:val="center"/>
            <w:hideMark/>
          </w:tcPr>
          <w:p w14:paraId="4697ED23"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636FB022" w14:textId="77777777" w:rsidTr="00865FDB">
        <w:trPr>
          <w:jc w:val="center"/>
        </w:trPr>
        <w:tc>
          <w:tcPr>
            <w:tcW w:w="1435" w:type="dxa"/>
            <w:vMerge w:val="restart"/>
            <w:tcMar>
              <w:top w:w="0" w:type="dxa"/>
              <w:left w:w="108" w:type="dxa"/>
              <w:bottom w:w="0" w:type="dxa"/>
              <w:right w:w="108" w:type="dxa"/>
            </w:tcMar>
            <w:vAlign w:val="center"/>
            <w:hideMark/>
          </w:tcPr>
          <w:p w14:paraId="0D7244A3" w14:textId="77777777" w:rsidR="00E2644F" w:rsidRPr="005650D7" w:rsidRDefault="00E2644F" w:rsidP="007E2FD2">
            <w:pPr>
              <w:pStyle w:val="ExhibitText"/>
              <w:jc w:val="left"/>
              <w:rPr>
                <w:rFonts w:eastAsia="Calibri"/>
                <w:b/>
                <w:lang w:val="en-GB"/>
              </w:rPr>
            </w:pPr>
            <w:r w:rsidRPr="005650D7">
              <w:rPr>
                <w:rFonts w:eastAsia="Calibri"/>
                <w:b/>
                <w:lang w:val="en-GB"/>
              </w:rPr>
              <w:t>NBC</w:t>
            </w:r>
          </w:p>
        </w:tc>
        <w:tc>
          <w:tcPr>
            <w:tcW w:w="810" w:type="dxa"/>
            <w:tcMar>
              <w:top w:w="0" w:type="dxa"/>
              <w:left w:w="108" w:type="dxa"/>
              <w:bottom w:w="0" w:type="dxa"/>
              <w:right w:w="108" w:type="dxa"/>
            </w:tcMar>
            <w:vAlign w:val="center"/>
            <w:hideMark/>
          </w:tcPr>
          <w:p w14:paraId="73BFD6F0"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21A59818" w14:textId="77777777" w:rsidR="00E2644F" w:rsidRPr="005650D7" w:rsidRDefault="00E2644F" w:rsidP="007E2FD2">
            <w:pPr>
              <w:pStyle w:val="ExhibitText"/>
              <w:jc w:val="right"/>
              <w:rPr>
                <w:rFonts w:eastAsia="Calibri"/>
                <w:lang w:val="en-GB"/>
              </w:rPr>
            </w:pPr>
            <w:r w:rsidRPr="005650D7">
              <w:rPr>
                <w:rFonts w:eastAsia="Calibri"/>
                <w:lang w:val="en-GB"/>
              </w:rPr>
              <w:t>$5,840</w:t>
            </w:r>
          </w:p>
        </w:tc>
        <w:tc>
          <w:tcPr>
            <w:tcW w:w="1106" w:type="dxa"/>
            <w:tcMar>
              <w:top w:w="0" w:type="dxa"/>
              <w:left w:w="108" w:type="dxa"/>
              <w:bottom w:w="0" w:type="dxa"/>
              <w:right w:w="108" w:type="dxa"/>
            </w:tcMar>
            <w:vAlign w:val="center"/>
            <w:hideMark/>
          </w:tcPr>
          <w:p w14:paraId="68C8A190" w14:textId="0AF389C3" w:rsidR="00E2644F" w:rsidRPr="005650D7" w:rsidRDefault="00E2644F" w:rsidP="007E2FD2">
            <w:pPr>
              <w:pStyle w:val="ExhibitText"/>
              <w:jc w:val="right"/>
              <w:rPr>
                <w:rFonts w:eastAsia="Calibri"/>
                <w:lang w:val="en-GB"/>
              </w:rPr>
            </w:pPr>
            <w:r w:rsidRPr="005650D7">
              <w:rPr>
                <w:rFonts w:eastAsia="Calibri"/>
                <w:lang w:val="en-GB"/>
              </w:rPr>
              <w:t>$1,256</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73EB1123" w14:textId="77777777" w:rsidR="00E2644F" w:rsidRPr="005650D7" w:rsidRDefault="00E2644F" w:rsidP="007E2FD2">
            <w:pPr>
              <w:pStyle w:val="ExhibitText"/>
              <w:jc w:val="right"/>
              <w:rPr>
                <w:rFonts w:eastAsia="Calibri"/>
                <w:lang w:val="en-GB"/>
              </w:rPr>
            </w:pPr>
            <w:r w:rsidRPr="005650D7">
              <w:rPr>
                <w:rFonts w:eastAsia="Calibri"/>
                <w:lang w:val="en-GB"/>
              </w:rPr>
              <w:t>$232,206</w:t>
            </w:r>
          </w:p>
        </w:tc>
        <w:tc>
          <w:tcPr>
            <w:tcW w:w="1144" w:type="dxa"/>
            <w:tcMar>
              <w:top w:w="0" w:type="dxa"/>
              <w:left w:w="108" w:type="dxa"/>
              <w:bottom w:w="0" w:type="dxa"/>
              <w:right w:w="108" w:type="dxa"/>
            </w:tcMar>
            <w:vAlign w:val="center"/>
            <w:hideMark/>
          </w:tcPr>
          <w:p w14:paraId="1BFD6746" w14:textId="77777777" w:rsidR="00E2644F" w:rsidRPr="005650D7" w:rsidRDefault="00E2644F" w:rsidP="007E2FD2">
            <w:pPr>
              <w:pStyle w:val="ExhibitText"/>
              <w:jc w:val="right"/>
              <w:rPr>
                <w:rFonts w:eastAsia="Calibri"/>
                <w:lang w:val="en-GB"/>
              </w:rPr>
            </w:pPr>
            <w:r w:rsidRPr="005650D7">
              <w:rPr>
                <w:rFonts w:eastAsia="Calibri"/>
                <w:lang w:val="en-GB"/>
              </w:rPr>
              <w:t>15.5%</w:t>
            </w:r>
          </w:p>
        </w:tc>
      </w:tr>
      <w:tr w:rsidR="007E2FD2" w:rsidRPr="00452862" w14:paraId="40559115" w14:textId="77777777" w:rsidTr="00865FDB">
        <w:trPr>
          <w:trHeight w:val="288"/>
          <w:jc w:val="center"/>
        </w:trPr>
        <w:tc>
          <w:tcPr>
            <w:tcW w:w="1435" w:type="dxa"/>
            <w:vMerge/>
            <w:vAlign w:val="center"/>
            <w:hideMark/>
          </w:tcPr>
          <w:p w14:paraId="4EC50209"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76EBEC82"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53DD1DE1" w14:textId="77777777" w:rsidR="00E2644F" w:rsidRPr="005650D7" w:rsidRDefault="00E2644F" w:rsidP="007E2FD2">
            <w:pPr>
              <w:pStyle w:val="ExhibitText"/>
              <w:jc w:val="right"/>
              <w:rPr>
                <w:rFonts w:eastAsia="Calibri"/>
                <w:lang w:val="en-GB"/>
              </w:rPr>
            </w:pPr>
            <w:r w:rsidRPr="005650D7">
              <w:rPr>
                <w:rFonts w:eastAsia="Calibri"/>
                <w:lang w:val="en-GB"/>
              </w:rPr>
              <w:t>$5,746</w:t>
            </w:r>
          </w:p>
        </w:tc>
        <w:tc>
          <w:tcPr>
            <w:tcW w:w="1106" w:type="dxa"/>
            <w:tcMar>
              <w:top w:w="0" w:type="dxa"/>
              <w:left w:w="108" w:type="dxa"/>
              <w:bottom w:w="0" w:type="dxa"/>
              <w:right w:w="108" w:type="dxa"/>
            </w:tcMar>
            <w:vAlign w:val="center"/>
            <w:hideMark/>
          </w:tcPr>
          <w:p w14:paraId="64D014E1" w14:textId="4184490F" w:rsidR="00E2644F" w:rsidRPr="005650D7" w:rsidRDefault="00E2644F" w:rsidP="007E2FD2">
            <w:pPr>
              <w:pStyle w:val="ExhibitText"/>
              <w:jc w:val="right"/>
              <w:rPr>
                <w:rFonts w:eastAsia="Calibri"/>
                <w:lang w:val="en-GB"/>
              </w:rPr>
            </w:pPr>
            <w:r w:rsidRPr="005650D7">
              <w:rPr>
                <w:rFonts w:eastAsia="Calibri"/>
                <w:lang w:val="en-GB"/>
              </w:rPr>
              <w:t>$1,619</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1DBDFB45" w14:textId="77777777" w:rsidR="00E2644F" w:rsidRPr="005650D7" w:rsidRDefault="00E2644F" w:rsidP="007E2FD2">
            <w:pPr>
              <w:pStyle w:val="ExhibitText"/>
              <w:jc w:val="right"/>
              <w:rPr>
                <w:rFonts w:eastAsia="Calibri"/>
                <w:lang w:val="en-GB"/>
              </w:rPr>
            </w:pPr>
            <w:r w:rsidRPr="005650D7">
              <w:rPr>
                <w:rFonts w:eastAsia="Calibri"/>
                <w:lang w:val="en-GB"/>
              </w:rPr>
              <w:t>$216,090</w:t>
            </w:r>
          </w:p>
        </w:tc>
        <w:tc>
          <w:tcPr>
            <w:tcW w:w="1144" w:type="dxa"/>
            <w:tcMar>
              <w:top w:w="0" w:type="dxa"/>
              <w:left w:w="108" w:type="dxa"/>
              <w:bottom w:w="0" w:type="dxa"/>
              <w:right w:w="108" w:type="dxa"/>
            </w:tcMar>
            <w:vAlign w:val="center"/>
            <w:hideMark/>
          </w:tcPr>
          <w:p w14:paraId="1C5D3F64" w14:textId="77777777" w:rsidR="00E2644F" w:rsidRPr="005650D7" w:rsidRDefault="00E2644F" w:rsidP="007E2FD2">
            <w:pPr>
              <w:pStyle w:val="ExhibitText"/>
              <w:jc w:val="right"/>
              <w:rPr>
                <w:rFonts w:eastAsia="Calibri"/>
                <w:lang w:val="en-GB"/>
              </w:rPr>
            </w:pPr>
            <w:r w:rsidRPr="005650D7">
              <w:rPr>
                <w:rFonts w:eastAsia="Calibri"/>
                <w:lang w:val="en-GB"/>
              </w:rPr>
              <w:t>17.6%</w:t>
            </w:r>
          </w:p>
        </w:tc>
      </w:tr>
      <w:tr w:rsidR="007E2FD2" w:rsidRPr="00452862" w14:paraId="2FDA4113" w14:textId="77777777" w:rsidTr="00865FDB">
        <w:trPr>
          <w:jc w:val="center"/>
        </w:trPr>
        <w:tc>
          <w:tcPr>
            <w:tcW w:w="1435" w:type="dxa"/>
            <w:vMerge/>
            <w:vAlign w:val="center"/>
            <w:hideMark/>
          </w:tcPr>
          <w:p w14:paraId="2DAB9D7C"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2BC56322"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4E78D4F6" w14:textId="77777777" w:rsidR="00E2644F" w:rsidRPr="005650D7" w:rsidRDefault="00E2644F" w:rsidP="007E2FD2">
            <w:pPr>
              <w:pStyle w:val="ExhibitText"/>
              <w:jc w:val="right"/>
              <w:rPr>
                <w:rFonts w:eastAsia="Calibri"/>
                <w:lang w:val="en-GB"/>
              </w:rPr>
            </w:pPr>
            <w:r w:rsidRPr="005650D7">
              <w:rPr>
                <w:rFonts w:eastAsia="Calibri"/>
                <w:lang w:val="en-GB"/>
              </w:rPr>
              <w:t>$5,464</w:t>
            </w:r>
          </w:p>
        </w:tc>
        <w:tc>
          <w:tcPr>
            <w:tcW w:w="1106" w:type="dxa"/>
            <w:tcMar>
              <w:top w:w="0" w:type="dxa"/>
              <w:left w:w="108" w:type="dxa"/>
              <w:bottom w:w="0" w:type="dxa"/>
              <w:right w:w="108" w:type="dxa"/>
            </w:tcMar>
            <w:vAlign w:val="center"/>
            <w:hideMark/>
          </w:tcPr>
          <w:p w14:paraId="0C8EB165" w14:textId="29807E91" w:rsidR="00E2644F" w:rsidRPr="005650D7" w:rsidRDefault="00E2644F" w:rsidP="007E2FD2">
            <w:pPr>
              <w:pStyle w:val="ExhibitText"/>
              <w:jc w:val="right"/>
              <w:rPr>
                <w:rFonts w:eastAsia="Calibri"/>
                <w:lang w:val="en-GB"/>
              </w:rPr>
            </w:pPr>
            <w:r w:rsidRPr="005650D7">
              <w:rPr>
                <w:rFonts w:eastAsia="Calibri"/>
                <w:lang w:val="en-GB"/>
              </w:rPr>
              <w:t>$1,538</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593822DE" w14:textId="77777777" w:rsidR="00E2644F" w:rsidRPr="005650D7" w:rsidRDefault="00E2644F" w:rsidP="007E2FD2">
            <w:pPr>
              <w:pStyle w:val="ExhibitText"/>
              <w:jc w:val="right"/>
              <w:rPr>
                <w:rFonts w:eastAsia="Calibri"/>
                <w:lang w:val="en-GB"/>
              </w:rPr>
            </w:pPr>
            <w:r w:rsidRPr="005650D7">
              <w:rPr>
                <w:rFonts w:eastAsia="Calibri"/>
                <w:lang w:val="en-GB"/>
              </w:rPr>
              <w:t>$205,429</w:t>
            </w:r>
          </w:p>
        </w:tc>
        <w:tc>
          <w:tcPr>
            <w:tcW w:w="1144" w:type="dxa"/>
            <w:tcMar>
              <w:top w:w="0" w:type="dxa"/>
              <w:left w:w="108" w:type="dxa"/>
              <w:bottom w:w="0" w:type="dxa"/>
              <w:right w:w="108" w:type="dxa"/>
            </w:tcMar>
            <w:vAlign w:val="center"/>
            <w:hideMark/>
          </w:tcPr>
          <w:p w14:paraId="599E7ACF"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00AB772E" w14:textId="77777777" w:rsidTr="00865FDB">
        <w:trPr>
          <w:jc w:val="center"/>
        </w:trPr>
        <w:tc>
          <w:tcPr>
            <w:tcW w:w="1435" w:type="dxa"/>
            <w:vMerge w:val="restart"/>
            <w:tcMar>
              <w:top w:w="0" w:type="dxa"/>
              <w:left w:w="108" w:type="dxa"/>
              <w:bottom w:w="0" w:type="dxa"/>
              <w:right w:w="108" w:type="dxa"/>
            </w:tcMar>
            <w:vAlign w:val="center"/>
            <w:hideMark/>
          </w:tcPr>
          <w:p w14:paraId="62FF42A1" w14:textId="6064A176" w:rsidR="00E2644F" w:rsidRPr="005650D7" w:rsidRDefault="00E2644F" w:rsidP="00A13BB5">
            <w:pPr>
              <w:pStyle w:val="ExhibitText"/>
              <w:jc w:val="left"/>
              <w:rPr>
                <w:rFonts w:eastAsia="Calibri"/>
                <w:b/>
                <w:lang w:val="en-GB"/>
              </w:rPr>
            </w:pPr>
            <w:r w:rsidRPr="005650D7">
              <w:rPr>
                <w:rFonts w:eastAsia="Calibri"/>
                <w:b/>
                <w:lang w:val="en-GB"/>
              </w:rPr>
              <w:t>Meridian C</w:t>
            </w:r>
            <w:r w:rsidR="00A13BB5" w:rsidRPr="005650D7">
              <w:rPr>
                <w:rFonts w:eastAsia="Calibri"/>
                <w:b/>
                <w:lang w:val="en-GB"/>
              </w:rPr>
              <w:t xml:space="preserve">redit </w:t>
            </w:r>
            <w:r w:rsidRPr="005650D7">
              <w:rPr>
                <w:rFonts w:eastAsia="Calibri"/>
                <w:b/>
                <w:lang w:val="en-GB"/>
              </w:rPr>
              <w:t>Union*</w:t>
            </w:r>
          </w:p>
        </w:tc>
        <w:tc>
          <w:tcPr>
            <w:tcW w:w="810" w:type="dxa"/>
            <w:tcMar>
              <w:top w:w="0" w:type="dxa"/>
              <w:left w:w="108" w:type="dxa"/>
              <w:bottom w:w="0" w:type="dxa"/>
              <w:right w:w="108" w:type="dxa"/>
            </w:tcMar>
            <w:vAlign w:val="center"/>
            <w:hideMark/>
          </w:tcPr>
          <w:p w14:paraId="75ABF453"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60C90C30" w14:textId="77777777" w:rsidR="00E2644F" w:rsidRPr="005650D7" w:rsidRDefault="00E2644F" w:rsidP="007E2FD2">
            <w:pPr>
              <w:pStyle w:val="ExhibitText"/>
              <w:jc w:val="right"/>
              <w:rPr>
                <w:rFonts w:eastAsia="Calibri"/>
                <w:lang w:val="en-GB"/>
              </w:rPr>
            </w:pPr>
            <w:r w:rsidRPr="005650D7">
              <w:rPr>
                <w:rFonts w:eastAsia="Calibri"/>
                <w:lang w:val="en-GB"/>
              </w:rPr>
              <w:t>$290</w:t>
            </w:r>
          </w:p>
        </w:tc>
        <w:tc>
          <w:tcPr>
            <w:tcW w:w="1106" w:type="dxa"/>
            <w:tcMar>
              <w:top w:w="0" w:type="dxa"/>
              <w:left w:w="108" w:type="dxa"/>
              <w:bottom w:w="0" w:type="dxa"/>
              <w:right w:w="108" w:type="dxa"/>
            </w:tcMar>
            <w:vAlign w:val="center"/>
            <w:hideMark/>
          </w:tcPr>
          <w:p w14:paraId="1BE566FB" w14:textId="370A8441" w:rsidR="00E2644F" w:rsidRPr="005650D7" w:rsidRDefault="00E2644F" w:rsidP="007E2FD2">
            <w:pPr>
              <w:pStyle w:val="ExhibitText"/>
              <w:jc w:val="right"/>
              <w:rPr>
                <w:rFonts w:eastAsia="Calibri"/>
                <w:lang w:val="en-GB"/>
              </w:rPr>
            </w:pPr>
            <w:r w:rsidRPr="005650D7">
              <w:rPr>
                <w:rFonts w:eastAsia="Calibri"/>
                <w:lang w:val="en-GB"/>
              </w:rPr>
              <w:t>$36</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4AAC60FB" w14:textId="77777777" w:rsidR="00E2644F" w:rsidRPr="005650D7" w:rsidRDefault="00E2644F" w:rsidP="007E2FD2">
            <w:pPr>
              <w:pStyle w:val="ExhibitText"/>
              <w:jc w:val="right"/>
              <w:rPr>
                <w:rFonts w:eastAsia="Calibri"/>
                <w:lang w:val="en-GB"/>
              </w:rPr>
            </w:pPr>
            <w:r w:rsidRPr="005650D7">
              <w:rPr>
                <w:rFonts w:eastAsia="Calibri"/>
                <w:lang w:val="en-GB"/>
              </w:rPr>
              <w:t>$13,920</w:t>
            </w:r>
          </w:p>
        </w:tc>
        <w:tc>
          <w:tcPr>
            <w:tcW w:w="1144" w:type="dxa"/>
            <w:tcMar>
              <w:top w:w="0" w:type="dxa"/>
              <w:left w:w="108" w:type="dxa"/>
              <w:bottom w:w="0" w:type="dxa"/>
              <w:right w:w="108" w:type="dxa"/>
            </w:tcMar>
            <w:vAlign w:val="center"/>
            <w:hideMark/>
          </w:tcPr>
          <w:p w14:paraId="5211670E" w14:textId="77777777" w:rsidR="00E2644F" w:rsidRPr="005650D7" w:rsidRDefault="00E2644F" w:rsidP="007E2FD2">
            <w:pPr>
              <w:pStyle w:val="ExhibitText"/>
              <w:jc w:val="right"/>
              <w:rPr>
                <w:rFonts w:eastAsia="Calibri"/>
                <w:lang w:val="en-GB"/>
              </w:rPr>
            </w:pPr>
            <w:r w:rsidRPr="005650D7">
              <w:rPr>
                <w:rFonts w:eastAsia="Calibri"/>
                <w:lang w:val="en-GB"/>
              </w:rPr>
              <w:t>6.1%</w:t>
            </w:r>
          </w:p>
        </w:tc>
      </w:tr>
      <w:tr w:rsidR="007E2FD2" w:rsidRPr="00452862" w14:paraId="7B3E5F63" w14:textId="77777777" w:rsidTr="00865FDB">
        <w:trPr>
          <w:jc w:val="center"/>
        </w:trPr>
        <w:tc>
          <w:tcPr>
            <w:tcW w:w="1435" w:type="dxa"/>
            <w:vMerge/>
            <w:vAlign w:val="center"/>
            <w:hideMark/>
          </w:tcPr>
          <w:p w14:paraId="4D07D330"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403DAA1C"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18B3D907" w14:textId="77777777" w:rsidR="00E2644F" w:rsidRPr="005650D7" w:rsidRDefault="00E2644F" w:rsidP="007E2FD2">
            <w:pPr>
              <w:pStyle w:val="ExhibitText"/>
              <w:jc w:val="right"/>
              <w:rPr>
                <w:rFonts w:eastAsia="Calibri"/>
                <w:lang w:val="en-GB"/>
              </w:rPr>
            </w:pPr>
            <w:r w:rsidRPr="005650D7">
              <w:rPr>
                <w:rFonts w:eastAsia="Calibri"/>
                <w:lang w:val="en-GB"/>
              </w:rPr>
              <w:t>$239</w:t>
            </w:r>
          </w:p>
        </w:tc>
        <w:tc>
          <w:tcPr>
            <w:tcW w:w="1106" w:type="dxa"/>
            <w:tcMar>
              <w:top w:w="0" w:type="dxa"/>
              <w:left w:w="108" w:type="dxa"/>
              <w:bottom w:w="0" w:type="dxa"/>
              <w:right w:w="108" w:type="dxa"/>
            </w:tcMar>
            <w:vAlign w:val="center"/>
            <w:hideMark/>
          </w:tcPr>
          <w:p w14:paraId="4699A7C0" w14:textId="43B94EA2" w:rsidR="00E2644F" w:rsidRPr="005650D7" w:rsidRDefault="00E2644F" w:rsidP="007E2FD2">
            <w:pPr>
              <w:pStyle w:val="ExhibitText"/>
              <w:jc w:val="right"/>
              <w:rPr>
                <w:rFonts w:eastAsia="Calibri"/>
                <w:lang w:val="en-GB"/>
              </w:rPr>
            </w:pPr>
            <w:r w:rsidRPr="005650D7">
              <w:rPr>
                <w:rFonts w:eastAsia="Calibri"/>
                <w:lang w:val="en-GB"/>
              </w:rPr>
              <w:t>$34</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0FC55229" w14:textId="77777777" w:rsidR="00E2644F" w:rsidRPr="005650D7" w:rsidRDefault="00E2644F" w:rsidP="007E2FD2">
            <w:pPr>
              <w:pStyle w:val="ExhibitText"/>
              <w:jc w:val="right"/>
              <w:rPr>
                <w:rFonts w:eastAsia="Calibri"/>
                <w:lang w:val="en-GB"/>
              </w:rPr>
            </w:pPr>
            <w:r w:rsidRPr="005650D7">
              <w:rPr>
                <w:rFonts w:eastAsia="Calibri"/>
                <w:lang w:val="en-GB"/>
              </w:rPr>
              <w:t>$11,103</w:t>
            </w:r>
          </w:p>
        </w:tc>
        <w:tc>
          <w:tcPr>
            <w:tcW w:w="1144" w:type="dxa"/>
            <w:tcMar>
              <w:top w:w="0" w:type="dxa"/>
              <w:left w:w="108" w:type="dxa"/>
              <w:bottom w:w="0" w:type="dxa"/>
              <w:right w:w="108" w:type="dxa"/>
            </w:tcMar>
            <w:vAlign w:val="center"/>
            <w:hideMark/>
          </w:tcPr>
          <w:p w14:paraId="1FEDA778" w14:textId="77777777" w:rsidR="00E2644F" w:rsidRPr="005650D7" w:rsidRDefault="00E2644F" w:rsidP="007E2FD2">
            <w:pPr>
              <w:pStyle w:val="ExhibitText"/>
              <w:jc w:val="right"/>
              <w:rPr>
                <w:rFonts w:eastAsia="Calibri"/>
                <w:lang w:val="en-GB"/>
              </w:rPr>
            </w:pPr>
            <w:r w:rsidRPr="005650D7">
              <w:rPr>
                <w:rFonts w:eastAsia="Calibri"/>
                <w:lang w:val="en-GB"/>
              </w:rPr>
              <w:t>2.9%</w:t>
            </w:r>
          </w:p>
        </w:tc>
      </w:tr>
      <w:tr w:rsidR="007E2FD2" w:rsidRPr="00452862" w14:paraId="26DEC139" w14:textId="77777777" w:rsidTr="00865FDB">
        <w:trPr>
          <w:trHeight w:val="297"/>
          <w:jc w:val="center"/>
        </w:trPr>
        <w:tc>
          <w:tcPr>
            <w:tcW w:w="1435" w:type="dxa"/>
            <w:vMerge/>
            <w:vAlign w:val="center"/>
            <w:hideMark/>
          </w:tcPr>
          <w:p w14:paraId="22DE4D08"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453DED52"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73C62C37" w14:textId="77777777" w:rsidR="00E2644F" w:rsidRPr="005650D7" w:rsidRDefault="00E2644F" w:rsidP="007E2FD2">
            <w:pPr>
              <w:pStyle w:val="ExhibitText"/>
              <w:jc w:val="right"/>
              <w:rPr>
                <w:rFonts w:eastAsia="Calibri"/>
                <w:lang w:val="en-GB"/>
              </w:rPr>
            </w:pPr>
            <w:r w:rsidRPr="005650D7">
              <w:rPr>
                <w:rFonts w:eastAsia="Calibri"/>
                <w:lang w:val="en-GB"/>
              </w:rPr>
              <w:t>$227</w:t>
            </w:r>
          </w:p>
        </w:tc>
        <w:tc>
          <w:tcPr>
            <w:tcW w:w="1106" w:type="dxa"/>
            <w:tcMar>
              <w:top w:w="0" w:type="dxa"/>
              <w:left w:w="108" w:type="dxa"/>
              <w:bottom w:w="0" w:type="dxa"/>
              <w:right w:w="108" w:type="dxa"/>
            </w:tcMar>
            <w:vAlign w:val="center"/>
            <w:hideMark/>
          </w:tcPr>
          <w:p w14:paraId="149B3A7C" w14:textId="1ACCF3FF" w:rsidR="00E2644F" w:rsidRPr="005650D7" w:rsidRDefault="00E2644F" w:rsidP="007E2FD2">
            <w:pPr>
              <w:pStyle w:val="ExhibitText"/>
              <w:jc w:val="right"/>
              <w:rPr>
                <w:rFonts w:eastAsia="Calibri"/>
                <w:lang w:val="en-GB"/>
              </w:rPr>
            </w:pPr>
            <w:r w:rsidRPr="005650D7">
              <w:rPr>
                <w:rFonts w:eastAsia="Calibri"/>
                <w:lang w:val="en-GB"/>
              </w:rPr>
              <w:t>$44</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221F6E4E" w14:textId="77777777" w:rsidR="00E2644F" w:rsidRPr="005650D7" w:rsidRDefault="00E2644F" w:rsidP="007E2FD2">
            <w:pPr>
              <w:pStyle w:val="ExhibitText"/>
              <w:jc w:val="right"/>
              <w:rPr>
                <w:rFonts w:eastAsia="Calibri"/>
                <w:lang w:val="en-GB"/>
              </w:rPr>
            </w:pPr>
            <w:r w:rsidRPr="005650D7">
              <w:rPr>
                <w:rFonts w:eastAsia="Calibri"/>
                <w:lang w:val="en-GB"/>
              </w:rPr>
              <w:t>$9,993</w:t>
            </w:r>
          </w:p>
        </w:tc>
        <w:tc>
          <w:tcPr>
            <w:tcW w:w="1144" w:type="dxa"/>
            <w:tcMar>
              <w:top w:w="0" w:type="dxa"/>
              <w:left w:w="108" w:type="dxa"/>
              <w:bottom w:w="0" w:type="dxa"/>
              <w:right w:w="108" w:type="dxa"/>
            </w:tcMar>
            <w:vAlign w:val="center"/>
            <w:hideMark/>
          </w:tcPr>
          <w:p w14:paraId="2AD77636"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0E19F5B1" w14:textId="77777777" w:rsidTr="00865FDB">
        <w:trPr>
          <w:jc w:val="center"/>
        </w:trPr>
        <w:tc>
          <w:tcPr>
            <w:tcW w:w="1435" w:type="dxa"/>
            <w:vMerge w:val="restart"/>
            <w:tcMar>
              <w:top w:w="0" w:type="dxa"/>
              <w:left w:w="108" w:type="dxa"/>
              <w:bottom w:w="0" w:type="dxa"/>
              <w:right w:w="108" w:type="dxa"/>
            </w:tcMar>
            <w:vAlign w:val="center"/>
            <w:hideMark/>
          </w:tcPr>
          <w:p w14:paraId="4AA765BF" w14:textId="77777777" w:rsidR="00E2644F" w:rsidRPr="005650D7" w:rsidRDefault="00E2644F" w:rsidP="007E2FD2">
            <w:pPr>
              <w:pStyle w:val="ExhibitText"/>
              <w:jc w:val="left"/>
              <w:rPr>
                <w:rFonts w:eastAsia="Calibri"/>
                <w:b/>
                <w:lang w:val="en-GB"/>
              </w:rPr>
            </w:pPr>
            <w:r w:rsidRPr="005650D7">
              <w:rPr>
                <w:rFonts w:eastAsia="Calibri"/>
                <w:b/>
                <w:lang w:val="en-GB"/>
              </w:rPr>
              <w:t>Libro Credit Union**</w:t>
            </w:r>
          </w:p>
        </w:tc>
        <w:tc>
          <w:tcPr>
            <w:tcW w:w="810" w:type="dxa"/>
            <w:tcMar>
              <w:top w:w="0" w:type="dxa"/>
              <w:left w:w="108" w:type="dxa"/>
              <w:bottom w:w="0" w:type="dxa"/>
              <w:right w:w="108" w:type="dxa"/>
            </w:tcMar>
            <w:vAlign w:val="center"/>
            <w:hideMark/>
          </w:tcPr>
          <w:p w14:paraId="12F73984"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31662A5C" w14:textId="77777777" w:rsidR="00E2644F" w:rsidRPr="005650D7" w:rsidRDefault="00E2644F" w:rsidP="007E2FD2">
            <w:pPr>
              <w:pStyle w:val="ExhibitText"/>
              <w:jc w:val="right"/>
              <w:rPr>
                <w:rFonts w:eastAsia="Calibri"/>
                <w:lang w:val="en-GB"/>
              </w:rPr>
            </w:pPr>
            <w:r w:rsidRPr="005650D7">
              <w:rPr>
                <w:rFonts w:eastAsia="Calibri"/>
                <w:lang w:val="en-GB"/>
              </w:rPr>
              <w:t>$130</w:t>
            </w:r>
          </w:p>
        </w:tc>
        <w:tc>
          <w:tcPr>
            <w:tcW w:w="1106" w:type="dxa"/>
            <w:tcMar>
              <w:top w:w="0" w:type="dxa"/>
              <w:left w:w="108" w:type="dxa"/>
              <w:bottom w:w="0" w:type="dxa"/>
              <w:right w:w="108" w:type="dxa"/>
            </w:tcMar>
            <w:vAlign w:val="center"/>
            <w:hideMark/>
          </w:tcPr>
          <w:p w14:paraId="3773E81C" w14:textId="77777777" w:rsidR="00E2644F" w:rsidRPr="005650D7" w:rsidRDefault="00E2644F" w:rsidP="007E2FD2">
            <w:pPr>
              <w:pStyle w:val="ExhibitText"/>
              <w:jc w:val="right"/>
              <w:rPr>
                <w:rFonts w:eastAsia="Calibri"/>
                <w:lang w:val="en-GB"/>
              </w:rPr>
            </w:pPr>
            <w:r w:rsidRPr="005650D7">
              <w:rPr>
                <w:rFonts w:eastAsia="Calibri"/>
                <w:lang w:val="en-GB"/>
              </w:rPr>
              <w:t>$5.5</w:t>
            </w:r>
          </w:p>
        </w:tc>
        <w:tc>
          <w:tcPr>
            <w:tcW w:w="1440" w:type="dxa"/>
            <w:tcMar>
              <w:top w:w="0" w:type="dxa"/>
              <w:left w:w="108" w:type="dxa"/>
              <w:bottom w:w="0" w:type="dxa"/>
              <w:right w:w="108" w:type="dxa"/>
            </w:tcMar>
            <w:vAlign w:val="center"/>
            <w:hideMark/>
          </w:tcPr>
          <w:p w14:paraId="749C4818" w14:textId="77777777" w:rsidR="00E2644F" w:rsidRPr="005650D7" w:rsidRDefault="00E2644F" w:rsidP="007E2FD2">
            <w:pPr>
              <w:pStyle w:val="ExhibitText"/>
              <w:jc w:val="right"/>
              <w:rPr>
                <w:rFonts w:eastAsia="Calibri"/>
                <w:lang w:val="en-GB"/>
              </w:rPr>
            </w:pPr>
            <w:r w:rsidRPr="005650D7">
              <w:rPr>
                <w:rFonts w:eastAsia="Calibri"/>
                <w:lang w:val="en-GB"/>
              </w:rPr>
              <w:t>$3,359</w:t>
            </w:r>
          </w:p>
        </w:tc>
        <w:tc>
          <w:tcPr>
            <w:tcW w:w="1144" w:type="dxa"/>
            <w:tcMar>
              <w:top w:w="0" w:type="dxa"/>
              <w:left w:w="108" w:type="dxa"/>
              <w:bottom w:w="0" w:type="dxa"/>
              <w:right w:w="108" w:type="dxa"/>
            </w:tcMar>
            <w:vAlign w:val="center"/>
            <w:hideMark/>
          </w:tcPr>
          <w:p w14:paraId="2A86BD53" w14:textId="77777777" w:rsidR="00E2644F" w:rsidRPr="005650D7" w:rsidRDefault="00E2644F" w:rsidP="007E2FD2">
            <w:pPr>
              <w:pStyle w:val="ExhibitText"/>
              <w:jc w:val="right"/>
              <w:rPr>
                <w:rFonts w:eastAsia="Calibri"/>
                <w:lang w:val="en-GB"/>
              </w:rPr>
            </w:pPr>
            <w:r w:rsidRPr="005650D7">
              <w:rPr>
                <w:rFonts w:eastAsia="Calibri"/>
                <w:lang w:val="en-GB"/>
              </w:rPr>
              <w:t>4.3%</w:t>
            </w:r>
          </w:p>
        </w:tc>
      </w:tr>
      <w:tr w:rsidR="007E2FD2" w:rsidRPr="00452862" w14:paraId="3F41CF79" w14:textId="77777777" w:rsidTr="00865FDB">
        <w:trPr>
          <w:trHeight w:val="296"/>
          <w:jc w:val="center"/>
        </w:trPr>
        <w:tc>
          <w:tcPr>
            <w:tcW w:w="1435" w:type="dxa"/>
            <w:vMerge/>
            <w:vAlign w:val="center"/>
            <w:hideMark/>
          </w:tcPr>
          <w:p w14:paraId="14F3474B"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5402C05E"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089AB1DD" w14:textId="77777777" w:rsidR="00E2644F" w:rsidRPr="005650D7" w:rsidRDefault="00E2644F" w:rsidP="007E2FD2">
            <w:pPr>
              <w:pStyle w:val="ExhibitText"/>
              <w:jc w:val="right"/>
              <w:rPr>
                <w:rFonts w:eastAsia="Calibri"/>
                <w:lang w:val="en-GB"/>
              </w:rPr>
            </w:pPr>
            <w:r w:rsidRPr="005650D7">
              <w:rPr>
                <w:rFonts w:eastAsia="Calibri"/>
                <w:lang w:val="en-GB"/>
              </w:rPr>
              <w:t>$119</w:t>
            </w:r>
          </w:p>
        </w:tc>
        <w:tc>
          <w:tcPr>
            <w:tcW w:w="1106" w:type="dxa"/>
            <w:tcMar>
              <w:top w:w="0" w:type="dxa"/>
              <w:left w:w="108" w:type="dxa"/>
              <w:bottom w:w="0" w:type="dxa"/>
              <w:right w:w="108" w:type="dxa"/>
            </w:tcMar>
            <w:vAlign w:val="center"/>
            <w:hideMark/>
          </w:tcPr>
          <w:p w14:paraId="31A62B5A" w14:textId="77777777" w:rsidR="00E2644F" w:rsidRPr="005650D7" w:rsidRDefault="00E2644F" w:rsidP="007E2FD2">
            <w:pPr>
              <w:pStyle w:val="ExhibitText"/>
              <w:jc w:val="right"/>
              <w:rPr>
                <w:rFonts w:eastAsia="Calibri"/>
                <w:lang w:val="en-GB"/>
              </w:rPr>
            </w:pPr>
            <w:r w:rsidRPr="005650D7">
              <w:rPr>
                <w:rFonts w:eastAsia="Calibri"/>
                <w:lang w:val="en-GB"/>
              </w:rPr>
              <w:t>$0.6</w:t>
            </w:r>
          </w:p>
        </w:tc>
        <w:tc>
          <w:tcPr>
            <w:tcW w:w="1440" w:type="dxa"/>
            <w:tcMar>
              <w:top w:w="0" w:type="dxa"/>
              <w:left w:w="108" w:type="dxa"/>
              <w:bottom w:w="0" w:type="dxa"/>
              <w:right w:w="108" w:type="dxa"/>
            </w:tcMar>
            <w:vAlign w:val="center"/>
            <w:hideMark/>
          </w:tcPr>
          <w:p w14:paraId="4ED9DAC9" w14:textId="77777777" w:rsidR="00E2644F" w:rsidRPr="005650D7" w:rsidRDefault="00E2644F" w:rsidP="007E2FD2">
            <w:pPr>
              <w:pStyle w:val="ExhibitText"/>
              <w:jc w:val="right"/>
              <w:rPr>
                <w:rFonts w:eastAsia="Calibri"/>
                <w:lang w:val="en-GB"/>
              </w:rPr>
            </w:pPr>
            <w:r w:rsidRPr="005650D7">
              <w:rPr>
                <w:rFonts w:eastAsia="Calibri"/>
                <w:lang w:val="en-GB"/>
              </w:rPr>
              <w:t>$3,130</w:t>
            </w:r>
          </w:p>
        </w:tc>
        <w:tc>
          <w:tcPr>
            <w:tcW w:w="1144" w:type="dxa"/>
            <w:tcMar>
              <w:top w:w="0" w:type="dxa"/>
              <w:left w:w="108" w:type="dxa"/>
              <w:bottom w:w="0" w:type="dxa"/>
              <w:right w:w="108" w:type="dxa"/>
            </w:tcMar>
            <w:vAlign w:val="center"/>
            <w:hideMark/>
          </w:tcPr>
          <w:p w14:paraId="16AB289D" w14:textId="77777777" w:rsidR="00E2644F" w:rsidRPr="005650D7" w:rsidRDefault="00E2644F" w:rsidP="007E2FD2">
            <w:pPr>
              <w:pStyle w:val="ExhibitText"/>
              <w:jc w:val="right"/>
              <w:rPr>
                <w:rFonts w:eastAsia="Calibri"/>
                <w:lang w:val="en-GB"/>
              </w:rPr>
            </w:pPr>
            <w:r w:rsidRPr="005650D7">
              <w:rPr>
                <w:rFonts w:eastAsia="Calibri"/>
                <w:lang w:val="en-GB"/>
              </w:rPr>
              <w:t>0.5%</w:t>
            </w:r>
          </w:p>
        </w:tc>
      </w:tr>
      <w:tr w:rsidR="007E2FD2" w:rsidRPr="00452862" w14:paraId="4B736AD9" w14:textId="77777777" w:rsidTr="00865FDB">
        <w:trPr>
          <w:jc w:val="center"/>
        </w:trPr>
        <w:tc>
          <w:tcPr>
            <w:tcW w:w="1435" w:type="dxa"/>
            <w:vMerge/>
            <w:vAlign w:val="center"/>
            <w:hideMark/>
          </w:tcPr>
          <w:p w14:paraId="5AC136E3"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41638BD0"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22F7933D" w14:textId="77777777" w:rsidR="00E2644F" w:rsidRPr="005650D7" w:rsidRDefault="00E2644F" w:rsidP="007E2FD2">
            <w:pPr>
              <w:pStyle w:val="ExhibitText"/>
              <w:jc w:val="right"/>
              <w:rPr>
                <w:rFonts w:eastAsia="Calibri"/>
                <w:lang w:val="en-GB"/>
              </w:rPr>
            </w:pPr>
            <w:r w:rsidRPr="005650D7">
              <w:rPr>
                <w:rFonts w:eastAsia="Calibri"/>
                <w:lang w:val="en-GB"/>
              </w:rPr>
              <w:t>$137</w:t>
            </w:r>
          </w:p>
        </w:tc>
        <w:tc>
          <w:tcPr>
            <w:tcW w:w="1106" w:type="dxa"/>
            <w:tcMar>
              <w:top w:w="0" w:type="dxa"/>
              <w:left w:w="108" w:type="dxa"/>
              <w:bottom w:w="0" w:type="dxa"/>
              <w:right w:w="108" w:type="dxa"/>
            </w:tcMar>
            <w:vAlign w:val="center"/>
            <w:hideMark/>
          </w:tcPr>
          <w:p w14:paraId="0ED85B7D" w14:textId="77777777" w:rsidR="00E2644F" w:rsidRPr="005650D7" w:rsidRDefault="00E2644F" w:rsidP="007E2FD2">
            <w:pPr>
              <w:pStyle w:val="ExhibitText"/>
              <w:jc w:val="right"/>
              <w:rPr>
                <w:rFonts w:eastAsia="Calibri"/>
                <w:lang w:val="en-GB"/>
              </w:rPr>
            </w:pPr>
            <w:r w:rsidRPr="005650D7">
              <w:rPr>
                <w:rFonts w:eastAsia="Calibri"/>
                <w:lang w:val="en-GB"/>
              </w:rPr>
              <w:t>$1.2</w:t>
            </w:r>
          </w:p>
        </w:tc>
        <w:tc>
          <w:tcPr>
            <w:tcW w:w="1440" w:type="dxa"/>
            <w:tcMar>
              <w:top w:w="0" w:type="dxa"/>
              <w:left w:w="108" w:type="dxa"/>
              <w:bottom w:w="0" w:type="dxa"/>
              <w:right w:w="108" w:type="dxa"/>
            </w:tcMar>
            <w:vAlign w:val="center"/>
            <w:hideMark/>
          </w:tcPr>
          <w:p w14:paraId="1D3A7319" w14:textId="77777777" w:rsidR="00E2644F" w:rsidRPr="005650D7" w:rsidRDefault="00E2644F" w:rsidP="007E2FD2">
            <w:pPr>
              <w:pStyle w:val="ExhibitText"/>
              <w:jc w:val="right"/>
              <w:rPr>
                <w:rFonts w:eastAsia="Calibri"/>
                <w:lang w:val="en-GB"/>
              </w:rPr>
            </w:pPr>
            <w:r w:rsidRPr="005650D7">
              <w:rPr>
                <w:rFonts w:eastAsia="Calibri"/>
                <w:lang w:val="en-GB"/>
              </w:rPr>
              <w:t>$2,801</w:t>
            </w:r>
          </w:p>
        </w:tc>
        <w:tc>
          <w:tcPr>
            <w:tcW w:w="1144" w:type="dxa"/>
            <w:tcMar>
              <w:top w:w="0" w:type="dxa"/>
              <w:left w:w="108" w:type="dxa"/>
              <w:bottom w:w="0" w:type="dxa"/>
              <w:right w:w="108" w:type="dxa"/>
            </w:tcMar>
            <w:vAlign w:val="center"/>
            <w:hideMark/>
          </w:tcPr>
          <w:p w14:paraId="665E51C2"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5605550E" w14:textId="77777777" w:rsidTr="00865FDB">
        <w:trPr>
          <w:jc w:val="center"/>
        </w:trPr>
        <w:tc>
          <w:tcPr>
            <w:tcW w:w="1435" w:type="dxa"/>
            <w:vMerge w:val="restart"/>
            <w:tcMar>
              <w:top w:w="0" w:type="dxa"/>
              <w:left w:w="108" w:type="dxa"/>
              <w:bottom w:w="0" w:type="dxa"/>
              <w:right w:w="108" w:type="dxa"/>
            </w:tcMar>
            <w:vAlign w:val="center"/>
            <w:hideMark/>
          </w:tcPr>
          <w:p w14:paraId="25D6EBD6" w14:textId="77777777" w:rsidR="00E2644F" w:rsidRPr="005650D7" w:rsidRDefault="00E2644F" w:rsidP="007E2FD2">
            <w:pPr>
              <w:pStyle w:val="ExhibitText"/>
              <w:jc w:val="left"/>
              <w:rPr>
                <w:rFonts w:eastAsia="Calibri"/>
                <w:b/>
                <w:lang w:val="en-GB"/>
              </w:rPr>
            </w:pPr>
            <w:r w:rsidRPr="005650D7">
              <w:rPr>
                <w:rFonts w:eastAsia="Calibri"/>
                <w:b/>
                <w:lang w:val="en-GB"/>
              </w:rPr>
              <w:t>Duca</w:t>
            </w:r>
          </w:p>
          <w:p w14:paraId="412244E3" w14:textId="0F93099B" w:rsidR="00E2644F" w:rsidRPr="005650D7" w:rsidRDefault="00E2644F" w:rsidP="00712116">
            <w:pPr>
              <w:pStyle w:val="ExhibitText"/>
              <w:jc w:val="left"/>
              <w:rPr>
                <w:rFonts w:eastAsia="Calibri"/>
                <w:b/>
                <w:lang w:val="en-GB"/>
              </w:rPr>
            </w:pPr>
            <w:r w:rsidRPr="005650D7">
              <w:rPr>
                <w:rFonts w:eastAsia="Calibri"/>
                <w:b/>
                <w:lang w:val="en-GB"/>
              </w:rPr>
              <w:t>C</w:t>
            </w:r>
            <w:r w:rsidR="00A13BB5" w:rsidRPr="005650D7">
              <w:rPr>
                <w:rFonts w:eastAsia="Calibri"/>
                <w:b/>
                <w:lang w:val="en-GB"/>
              </w:rPr>
              <w:t xml:space="preserve">redit </w:t>
            </w:r>
            <w:r w:rsidRPr="005650D7">
              <w:rPr>
                <w:rFonts w:eastAsia="Calibri"/>
                <w:b/>
                <w:lang w:val="en-GB"/>
              </w:rPr>
              <w:t>Union</w:t>
            </w:r>
          </w:p>
        </w:tc>
        <w:tc>
          <w:tcPr>
            <w:tcW w:w="810" w:type="dxa"/>
            <w:tcMar>
              <w:top w:w="0" w:type="dxa"/>
              <w:left w:w="108" w:type="dxa"/>
              <w:bottom w:w="0" w:type="dxa"/>
              <w:right w:w="108" w:type="dxa"/>
            </w:tcMar>
            <w:vAlign w:val="center"/>
            <w:hideMark/>
          </w:tcPr>
          <w:p w14:paraId="5AB991A1"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1C14AD2D" w14:textId="77777777" w:rsidR="00E2644F" w:rsidRPr="005650D7" w:rsidRDefault="00E2644F" w:rsidP="007E2FD2">
            <w:pPr>
              <w:pStyle w:val="ExhibitText"/>
              <w:jc w:val="right"/>
              <w:rPr>
                <w:rFonts w:eastAsia="Calibri"/>
                <w:lang w:val="en-GB"/>
              </w:rPr>
            </w:pPr>
            <w:r w:rsidRPr="005650D7">
              <w:rPr>
                <w:rFonts w:eastAsia="Calibri"/>
                <w:lang w:val="en-GB"/>
              </w:rPr>
              <w:t>$49</w:t>
            </w:r>
          </w:p>
        </w:tc>
        <w:tc>
          <w:tcPr>
            <w:tcW w:w="1106" w:type="dxa"/>
            <w:tcMar>
              <w:top w:w="0" w:type="dxa"/>
              <w:left w:w="108" w:type="dxa"/>
              <w:bottom w:w="0" w:type="dxa"/>
              <w:right w:w="108" w:type="dxa"/>
            </w:tcMar>
            <w:vAlign w:val="center"/>
            <w:hideMark/>
          </w:tcPr>
          <w:p w14:paraId="60444919" w14:textId="77777777" w:rsidR="00E2644F" w:rsidRPr="005650D7" w:rsidRDefault="00E2644F" w:rsidP="007E2FD2">
            <w:pPr>
              <w:pStyle w:val="ExhibitText"/>
              <w:jc w:val="right"/>
              <w:rPr>
                <w:rFonts w:eastAsia="Calibri"/>
                <w:lang w:val="en-GB"/>
              </w:rPr>
            </w:pPr>
            <w:r w:rsidRPr="005650D7">
              <w:rPr>
                <w:rFonts w:eastAsia="Calibri"/>
                <w:lang w:val="en-GB"/>
              </w:rPr>
              <w:t>$13.7</w:t>
            </w:r>
          </w:p>
        </w:tc>
        <w:tc>
          <w:tcPr>
            <w:tcW w:w="1440" w:type="dxa"/>
            <w:tcMar>
              <w:top w:w="0" w:type="dxa"/>
              <w:left w:w="108" w:type="dxa"/>
              <w:bottom w:w="0" w:type="dxa"/>
              <w:right w:w="108" w:type="dxa"/>
            </w:tcMar>
            <w:vAlign w:val="center"/>
            <w:hideMark/>
          </w:tcPr>
          <w:p w14:paraId="36B5354D" w14:textId="77777777" w:rsidR="00E2644F" w:rsidRPr="005650D7" w:rsidRDefault="00E2644F" w:rsidP="007E2FD2">
            <w:pPr>
              <w:pStyle w:val="ExhibitText"/>
              <w:jc w:val="right"/>
              <w:rPr>
                <w:rFonts w:eastAsia="Calibri"/>
                <w:lang w:val="en-GB"/>
              </w:rPr>
            </w:pPr>
            <w:r w:rsidRPr="005650D7">
              <w:rPr>
                <w:rFonts w:eastAsia="Calibri"/>
                <w:lang w:val="en-GB"/>
              </w:rPr>
              <w:t>$2,476</w:t>
            </w:r>
          </w:p>
        </w:tc>
        <w:tc>
          <w:tcPr>
            <w:tcW w:w="1144" w:type="dxa"/>
            <w:tcMar>
              <w:top w:w="0" w:type="dxa"/>
              <w:left w:w="108" w:type="dxa"/>
              <w:bottom w:w="0" w:type="dxa"/>
              <w:right w:w="108" w:type="dxa"/>
            </w:tcMar>
            <w:vAlign w:val="center"/>
            <w:hideMark/>
          </w:tcPr>
          <w:p w14:paraId="60CA900E" w14:textId="77777777" w:rsidR="00E2644F" w:rsidRPr="005650D7" w:rsidRDefault="00E2644F" w:rsidP="007E2FD2">
            <w:pPr>
              <w:pStyle w:val="ExhibitText"/>
              <w:jc w:val="right"/>
              <w:rPr>
                <w:rFonts w:eastAsia="Calibri"/>
                <w:lang w:val="en-GB"/>
              </w:rPr>
            </w:pPr>
            <w:r w:rsidRPr="005650D7">
              <w:rPr>
                <w:rFonts w:eastAsia="Calibri"/>
                <w:lang w:val="en-GB"/>
              </w:rPr>
              <w:t>8.7%</w:t>
            </w:r>
          </w:p>
        </w:tc>
      </w:tr>
      <w:tr w:rsidR="007E2FD2" w:rsidRPr="00452862" w14:paraId="68574550" w14:textId="77777777" w:rsidTr="00865FDB">
        <w:trPr>
          <w:jc w:val="center"/>
        </w:trPr>
        <w:tc>
          <w:tcPr>
            <w:tcW w:w="1435" w:type="dxa"/>
            <w:vMerge/>
            <w:vAlign w:val="center"/>
            <w:hideMark/>
          </w:tcPr>
          <w:p w14:paraId="259CF079"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10C22B80"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040B834D" w14:textId="77777777" w:rsidR="00E2644F" w:rsidRPr="005650D7" w:rsidRDefault="00E2644F" w:rsidP="007E2FD2">
            <w:pPr>
              <w:pStyle w:val="ExhibitText"/>
              <w:jc w:val="right"/>
              <w:rPr>
                <w:rFonts w:eastAsia="Calibri"/>
                <w:lang w:val="en-GB"/>
              </w:rPr>
            </w:pPr>
            <w:r w:rsidRPr="005650D7">
              <w:rPr>
                <w:rFonts w:eastAsia="Calibri"/>
                <w:lang w:val="en-GB"/>
              </w:rPr>
              <w:t>$44</w:t>
            </w:r>
          </w:p>
        </w:tc>
        <w:tc>
          <w:tcPr>
            <w:tcW w:w="1106" w:type="dxa"/>
            <w:tcMar>
              <w:top w:w="0" w:type="dxa"/>
              <w:left w:w="108" w:type="dxa"/>
              <w:bottom w:w="0" w:type="dxa"/>
              <w:right w:w="108" w:type="dxa"/>
            </w:tcMar>
            <w:vAlign w:val="center"/>
            <w:hideMark/>
          </w:tcPr>
          <w:p w14:paraId="48B8E47C" w14:textId="77777777" w:rsidR="00E2644F" w:rsidRPr="005650D7" w:rsidRDefault="00E2644F" w:rsidP="007E2FD2">
            <w:pPr>
              <w:pStyle w:val="ExhibitText"/>
              <w:jc w:val="right"/>
              <w:rPr>
                <w:rFonts w:eastAsia="Calibri"/>
                <w:lang w:val="en-GB"/>
              </w:rPr>
            </w:pPr>
            <w:r w:rsidRPr="005650D7">
              <w:rPr>
                <w:rFonts w:eastAsia="Calibri"/>
                <w:lang w:val="en-GB"/>
              </w:rPr>
              <w:t>$2.0</w:t>
            </w:r>
          </w:p>
        </w:tc>
        <w:tc>
          <w:tcPr>
            <w:tcW w:w="1440" w:type="dxa"/>
            <w:tcMar>
              <w:top w:w="0" w:type="dxa"/>
              <w:left w:w="108" w:type="dxa"/>
              <w:bottom w:w="0" w:type="dxa"/>
              <w:right w:w="108" w:type="dxa"/>
            </w:tcMar>
            <w:vAlign w:val="center"/>
            <w:hideMark/>
          </w:tcPr>
          <w:p w14:paraId="782235C5" w14:textId="16E43BB4" w:rsidR="00E2644F" w:rsidRPr="005650D7" w:rsidRDefault="00E2644F" w:rsidP="00CB507E">
            <w:pPr>
              <w:pStyle w:val="ExhibitText"/>
              <w:jc w:val="right"/>
              <w:rPr>
                <w:rFonts w:eastAsia="Calibri"/>
                <w:lang w:val="en-GB"/>
              </w:rPr>
            </w:pPr>
            <w:r w:rsidRPr="005650D7">
              <w:rPr>
                <w:rFonts w:eastAsia="Calibri"/>
                <w:lang w:val="en-GB"/>
              </w:rPr>
              <w:t>$2</w:t>
            </w:r>
            <w:r w:rsidR="00CB507E" w:rsidRPr="005650D7">
              <w:rPr>
                <w:rFonts w:eastAsia="Calibri"/>
                <w:lang w:val="en-GB"/>
              </w:rPr>
              <w:t>,</w:t>
            </w:r>
            <w:r w:rsidRPr="005650D7">
              <w:rPr>
                <w:rFonts w:eastAsia="Calibri"/>
                <w:lang w:val="en-GB"/>
              </w:rPr>
              <w:t>282</w:t>
            </w:r>
          </w:p>
        </w:tc>
        <w:tc>
          <w:tcPr>
            <w:tcW w:w="1144" w:type="dxa"/>
            <w:tcMar>
              <w:top w:w="0" w:type="dxa"/>
              <w:left w:w="108" w:type="dxa"/>
              <w:bottom w:w="0" w:type="dxa"/>
              <w:right w:w="108" w:type="dxa"/>
            </w:tcMar>
            <w:vAlign w:val="center"/>
            <w:hideMark/>
          </w:tcPr>
          <w:p w14:paraId="5375C6C5" w14:textId="77777777" w:rsidR="00E2644F" w:rsidRPr="005650D7" w:rsidRDefault="00E2644F" w:rsidP="007E2FD2">
            <w:pPr>
              <w:pStyle w:val="ExhibitText"/>
              <w:jc w:val="right"/>
              <w:rPr>
                <w:rFonts w:eastAsia="Calibri"/>
                <w:lang w:val="en-GB"/>
              </w:rPr>
            </w:pPr>
            <w:r w:rsidRPr="005650D7">
              <w:rPr>
                <w:rFonts w:eastAsia="Calibri"/>
                <w:lang w:val="en-GB"/>
              </w:rPr>
              <w:t>1.4%</w:t>
            </w:r>
          </w:p>
        </w:tc>
      </w:tr>
      <w:tr w:rsidR="007E2FD2" w:rsidRPr="00452862" w14:paraId="154CD2E4" w14:textId="77777777" w:rsidTr="00865FDB">
        <w:trPr>
          <w:trHeight w:val="227"/>
          <w:jc w:val="center"/>
        </w:trPr>
        <w:tc>
          <w:tcPr>
            <w:tcW w:w="1435" w:type="dxa"/>
            <w:vMerge/>
            <w:vAlign w:val="center"/>
            <w:hideMark/>
          </w:tcPr>
          <w:p w14:paraId="770AEE6B" w14:textId="77777777" w:rsidR="00E2644F" w:rsidRPr="005650D7" w:rsidRDefault="00E2644F" w:rsidP="007E2FD2">
            <w:pPr>
              <w:pStyle w:val="ExhibitText"/>
              <w:jc w:val="left"/>
              <w:rPr>
                <w:rFonts w:eastAsia="Calibri"/>
                <w:b/>
                <w:lang w:val="en-GB"/>
              </w:rPr>
            </w:pPr>
          </w:p>
        </w:tc>
        <w:tc>
          <w:tcPr>
            <w:tcW w:w="810" w:type="dxa"/>
            <w:tcMar>
              <w:top w:w="0" w:type="dxa"/>
              <w:left w:w="108" w:type="dxa"/>
              <w:bottom w:w="0" w:type="dxa"/>
              <w:right w:w="108" w:type="dxa"/>
            </w:tcMar>
            <w:vAlign w:val="center"/>
            <w:hideMark/>
          </w:tcPr>
          <w:p w14:paraId="79696F56"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5CE128CE" w14:textId="77777777" w:rsidR="00E2644F" w:rsidRPr="005650D7" w:rsidRDefault="00E2644F" w:rsidP="007E2FD2">
            <w:pPr>
              <w:pStyle w:val="ExhibitText"/>
              <w:jc w:val="right"/>
              <w:rPr>
                <w:rFonts w:eastAsia="Calibri"/>
                <w:lang w:val="en-GB"/>
              </w:rPr>
            </w:pPr>
            <w:r w:rsidRPr="005650D7">
              <w:rPr>
                <w:rFonts w:eastAsia="Calibri"/>
                <w:lang w:val="en-GB"/>
              </w:rPr>
              <w:t>$34</w:t>
            </w:r>
          </w:p>
        </w:tc>
        <w:tc>
          <w:tcPr>
            <w:tcW w:w="1106" w:type="dxa"/>
            <w:tcMar>
              <w:top w:w="0" w:type="dxa"/>
              <w:left w:w="108" w:type="dxa"/>
              <w:bottom w:w="0" w:type="dxa"/>
              <w:right w:w="108" w:type="dxa"/>
            </w:tcMar>
            <w:vAlign w:val="center"/>
            <w:hideMark/>
          </w:tcPr>
          <w:p w14:paraId="44E75CB3" w14:textId="77777777" w:rsidR="00E2644F" w:rsidRPr="005650D7" w:rsidRDefault="00E2644F" w:rsidP="007E2FD2">
            <w:pPr>
              <w:pStyle w:val="ExhibitText"/>
              <w:jc w:val="right"/>
              <w:rPr>
                <w:rFonts w:eastAsia="Calibri"/>
                <w:lang w:val="en-GB"/>
              </w:rPr>
            </w:pPr>
            <w:r w:rsidRPr="005650D7">
              <w:rPr>
                <w:rFonts w:eastAsia="Calibri"/>
                <w:lang w:val="en-GB"/>
              </w:rPr>
              <w:t>$2.5</w:t>
            </w:r>
          </w:p>
        </w:tc>
        <w:tc>
          <w:tcPr>
            <w:tcW w:w="1440" w:type="dxa"/>
            <w:tcMar>
              <w:top w:w="0" w:type="dxa"/>
              <w:left w:w="108" w:type="dxa"/>
              <w:bottom w:w="0" w:type="dxa"/>
              <w:right w:w="108" w:type="dxa"/>
            </w:tcMar>
            <w:vAlign w:val="center"/>
            <w:hideMark/>
          </w:tcPr>
          <w:p w14:paraId="7ADC0E26" w14:textId="77777777" w:rsidR="00E2644F" w:rsidRPr="005650D7" w:rsidRDefault="00E2644F" w:rsidP="007E2FD2">
            <w:pPr>
              <w:pStyle w:val="ExhibitText"/>
              <w:jc w:val="right"/>
              <w:rPr>
                <w:rFonts w:eastAsia="Calibri"/>
                <w:lang w:val="en-GB"/>
              </w:rPr>
            </w:pPr>
            <w:r w:rsidRPr="005650D7">
              <w:rPr>
                <w:rFonts w:eastAsia="Calibri"/>
                <w:lang w:val="en-GB"/>
              </w:rPr>
              <w:t>$1,877</w:t>
            </w:r>
          </w:p>
        </w:tc>
        <w:tc>
          <w:tcPr>
            <w:tcW w:w="1144" w:type="dxa"/>
            <w:tcMar>
              <w:top w:w="0" w:type="dxa"/>
              <w:left w:w="108" w:type="dxa"/>
              <w:bottom w:w="0" w:type="dxa"/>
              <w:right w:w="108" w:type="dxa"/>
            </w:tcMar>
            <w:vAlign w:val="center"/>
            <w:hideMark/>
          </w:tcPr>
          <w:p w14:paraId="6717C0D0" w14:textId="77777777" w:rsidR="00E2644F" w:rsidRPr="005650D7" w:rsidRDefault="00E2644F" w:rsidP="007E2FD2">
            <w:pPr>
              <w:pStyle w:val="ExhibitText"/>
              <w:jc w:val="right"/>
              <w:rPr>
                <w:rFonts w:eastAsia="Calibri"/>
                <w:lang w:val="en-GB"/>
              </w:rPr>
            </w:pPr>
            <w:r w:rsidRPr="005650D7">
              <w:rPr>
                <w:rFonts w:eastAsia="Calibri"/>
                <w:lang w:val="en-GB"/>
              </w:rPr>
              <w:t> </w:t>
            </w:r>
          </w:p>
        </w:tc>
      </w:tr>
      <w:tr w:rsidR="007E2FD2" w:rsidRPr="00452862" w14:paraId="43ACBE04" w14:textId="77777777" w:rsidTr="00865FDB">
        <w:trPr>
          <w:trHeight w:val="227"/>
          <w:jc w:val="center"/>
        </w:trPr>
        <w:tc>
          <w:tcPr>
            <w:tcW w:w="1435" w:type="dxa"/>
            <w:vMerge w:val="restart"/>
            <w:tcMar>
              <w:top w:w="0" w:type="dxa"/>
              <w:left w:w="108" w:type="dxa"/>
              <w:bottom w:w="0" w:type="dxa"/>
              <w:right w:w="108" w:type="dxa"/>
            </w:tcMar>
            <w:vAlign w:val="center"/>
            <w:hideMark/>
          </w:tcPr>
          <w:p w14:paraId="3F433AD0" w14:textId="77777777" w:rsidR="00E2644F" w:rsidRPr="005650D7" w:rsidRDefault="00E2644F" w:rsidP="007E2FD2">
            <w:pPr>
              <w:pStyle w:val="ExhibitText"/>
              <w:jc w:val="left"/>
              <w:rPr>
                <w:rFonts w:eastAsia="Calibri"/>
                <w:b/>
                <w:lang w:val="en-GB"/>
              </w:rPr>
            </w:pPr>
            <w:r w:rsidRPr="005650D7">
              <w:rPr>
                <w:rFonts w:eastAsia="Calibri"/>
                <w:b/>
                <w:lang w:val="en-GB"/>
              </w:rPr>
              <w:t>Vancity (BC)</w:t>
            </w:r>
          </w:p>
        </w:tc>
        <w:tc>
          <w:tcPr>
            <w:tcW w:w="810" w:type="dxa"/>
            <w:tcMar>
              <w:top w:w="0" w:type="dxa"/>
              <w:left w:w="108" w:type="dxa"/>
              <w:bottom w:w="0" w:type="dxa"/>
              <w:right w:w="108" w:type="dxa"/>
            </w:tcMar>
            <w:vAlign w:val="center"/>
            <w:hideMark/>
          </w:tcPr>
          <w:p w14:paraId="11340A11" w14:textId="77777777" w:rsidR="00E2644F" w:rsidRPr="005650D7" w:rsidRDefault="00E2644F" w:rsidP="007E2FD2">
            <w:pPr>
              <w:pStyle w:val="ExhibitText"/>
              <w:jc w:val="center"/>
              <w:rPr>
                <w:rFonts w:eastAsia="Calibri"/>
                <w:lang w:val="en-GB"/>
              </w:rPr>
            </w:pPr>
            <w:r w:rsidRPr="005650D7">
              <w:rPr>
                <w:rFonts w:eastAsia="Calibri"/>
                <w:lang w:val="en-GB"/>
              </w:rPr>
              <w:t>2016</w:t>
            </w:r>
          </w:p>
        </w:tc>
        <w:tc>
          <w:tcPr>
            <w:tcW w:w="1260" w:type="dxa"/>
            <w:tcMar>
              <w:top w:w="0" w:type="dxa"/>
              <w:left w:w="108" w:type="dxa"/>
              <w:bottom w:w="0" w:type="dxa"/>
              <w:right w:w="108" w:type="dxa"/>
            </w:tcMar>
            <w:vAlign w:val="center"/>
            <w:hideMark/>
          </w:tcPr>
          <w:p w14:paraId="1472F31D" w14:textId="77777777" w:rsidR="00E2644F" w:rsidRPr="005650D7" w:rsidRDefault="00E2644F" w:rsidP="007E2FD2">
            <w:pPr>
              <w:pStyle w:val="ExhibitText"/>
              <w:jc w:val="right"/>
              <w:rPr>
                <w:rFonts w:eastAsia="Calibri"/>
                <w:lang w:val="en-GB"/>
              </w:rPr>
            </w:pPr>
            <w:r w:rsidRPr="005650D7">
              <w:rPr>
                <w:rFonts w:eastAsia="Calibri"/>
                <w:lang w:val="en-GB"/>
              </w:rPr>
              <w:t>$695</w:t>
            </w:r>
          </w:p>
        </w:tc>
        <w:tc>
          <w:tcPr>
            <w:tcW w:w="1106" w:type="dxa"/>
            <w:tcMar>
              <w:top w:w="0" w:type="dxa"/>
              <w:left w:w="108" w:type="dxa"/>
              <w:bottom w:w="0" w:type="dxa"/>
              <w:right w:w="108" w:type="dxa"/>
            </w:tcMar>
            <w:vAlign w:val="center"/>
            <w:hideMark/>
          </w:tcPr>
          <w:p w14:paraId="18E55736" w14:textId="521C17E1" w:rsidR="00E2644F" w:rsidRPr="005650D7" w:rsidRDefault="00E2644F" w:rsidP="007E2FD2">
            <w:pPr>
              <w:pStyle w:val="ExhibitText"/>
              <w:jc w:val="right"/>
              <w:rPr>
                <w:rFonts w:eastAsia="Calibri"/>
                <w:lang w:val="en-GB"/>
              </w:rPr>
            </w:pPr>
            <w:r w:rsidRPr="005650D7">
              <w:rPr>
                <w:rFonts w:eastAsia="Calibri"/>
                <w:lang w:val="en-GB"/>
              </w:rPr>
              <w:t>$62</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314F6485" w14:textId="77777777" w:rsidR="00E2644F" w:rsidRPr="005650D7" w:rsidRDefault="00E2644F" w:rsidP="007E2FD2">
            <w:pPr>
              <w:pStyle w:val="ExhibitText"/>
              <w:jc w:val="right"/>
              <w:rPr>
                <w:rFonts w:eastAsia="Calibri"/>
                <w:lang w:val="en-GB"/>
              </w:rPr>
            </w:pPr>
            <w:r w:rsidRPr="005650D7">
              <w:rPr>
                <w:rFonts w:eastAsia="Calibri"/>
                <w:lang w:val="en-GB"/>
              </w:rPr>
              <w:t>$21,131</w:t>
            </w:r>
          </w:p>
        </w:tc>
        <w:tc>
          <w:tcPr>
            <w:tcW w:w="1144" w:type="dxa"/>
            <w:tcMar>
              <w:top w:w="0" w:type="dxa"/>
              <w:left w:w="108" w:type="dxa"/>
              <w:bottom w:w="0" w:type="dxa"/>
              <w:right w:w="108" w:type="dxa"/>
            </w:tcMar>
            <w:vAlign w:val="center"/>
            <w:hideMark/>
          </w:tcPr>
          <w:p w14:paraId="4DD01B1B" w14:textId="77777777" w:rsidR="00E2644F" w:rsidRPr="005650D7" w:rsidRDefault="00E2644F" w:rsidP="007E2FD2">
            <w:pPr>
              <w:pStyle w:val="ExhibitText"/>
              <w:jc w:val="right"/>
              <w:rPr>
                <w:rFonts w:eastAsia="Calibri"/>
                <w:lang w:val="en-GB"/>
              </w:rPr>
            </w:pPr>
            <w:r w:rsidRPr="005650D7">
              <w:rPr>
                <w:rFonts w:eastAsia="Calibri"/>
                <w:lang w:val="en-GB"/>
              </w:rPr>
              <w:t>4.5%</w:t>
            </w:r>
          </w:p>
        </w:tc>
      </w:tr>
      <w:tr w:rsidR="007E2FD2" w:rsidRPr="00452862" w14:paraId="4281A869" w14:textId="77777777" w:rsidTr="00865FDB">
        <w:trPr>
          <w:trHeight w:val="227"/>
          <w:jc w:val="center"/>
        </w:trPr>
        <w:tc>
          <w:tcPr>
            <w:tcW w:w="1435" w:type="dxa"/>
            <w:vMerge/>
            <w:vAlign w:val="center"/>
            <w:hideMark/>
          </w:tcPr>
          <w:p w14:paraId="550265CF" w14:textId="77777777" w:rsidR="00E2644F" w:rsidRPr="005650D7" w:rsidRDefault="00E2644F" w:rsidP="007E2FD2">
            <w:pPr>
              <w:pStyle w:val="ExhibitText"/>
              <w:rPr>
                <w:rFonts w:eastAsia="Calibri"/>
                <w:lang w:val="en-GB"/>
              </w:rPr>
            </w:pPr>
          </w:p>
        </w:tc>
        <w:tc>
          <w:tcPr>
            <w:tcW w:w="810" w:type="dxa"/>
            <w:tcMar>
              <w:top w:w="0" w:type="dxa"/>
              <w:left w:w="108" w:type="dxa"/>
              <w:bottom w:w="0" w:type="dxa"/>
              <w:right w:w="108" w:type="dxa"/>
            </w:tcMar>
            <w:vAlign w:val="center"/>
            <w:hideMark/>
          </w:tcPr>
          <w:p w14:paraId="5808A58B" w14:textId="77777777" w:rsidR="00E2644F" w:rsidRPr="005650D7" w:rsidRDefault="00E2644F" w:rsidP="007E2FD2">
            <w:pPr>
              <w:pStyle w:val="ExhibitText"/>
              <w:jc w:val="center"/>
              <w:rPr>
                <w:rFonts w:eastAsia="Calibri"/>
                <w:lang w:val="en-GB"/>
              </w:rPr>
            </w:pPr>
            <w:r w:rsidRPr="005650D7">
              <w:rPr>
                <w:rFonts w:eastAsia="Calibri"/>
                <w:lang w:val="en-GB"/>
              </w:rPr>
              <w:t>2015</w:t>
            </w:r>
          </w:p>
        </w:tc>
        <w:tc>
          <w:tcPr>
            <w:tcW w:w="1260" w:type="dxa"/>
            <w:tcMar>
              <w:top w:w="0" w:type="dxa"/>
              <w:left w:w="108" w:type="dxa"/>
              <w:bottom w:w="0" w:type="dxa"/>
              <w:right w:w="108" w:type="dxa"/>
            </w:tcMar>
            <w:vAlign w:val="center"/>
            <w:hideMark/>
          </w:tcPr>
          <w:p w14:paraId="5EC39C30" w14:textId="77777777" w:rsidR="00E2644F" w:rsidRPr="005650D7" w:rsidRDefault="00E2644F" w:rsidP="007E2FD2">
            <w:pPr>
              <w:pStyle w:val="ExhibitText"/>
              <w:jc w:val="right"/>
              <w:rPr>
                <w:rFonts w:eastAsia="Calibri"/>
                <w:lang w:val="en-GB"/>
              </w:rPr>
            </w:pPr>
            <w:r w:rsidRPr="005650D7">
              <w:rPr>
                <w:rFonts w:eastAsia="Calibri"/>
                <w:lang w:val="en-GB"/>
              </w:rPr>
              <w:t>$692</w:t>
            </w:r>
          </w:p>
        </w:tc>
        <w:tc>
          <w:tcPr>
            <w:tcW w:w="1106" w:type="dxa"/>
            <w:tcMar>
              <w:top w:w="0" w:type="dxa"/>
              <w:left w:w="108" w:type="dxa"/>
              <w:bottom w:w="0" w:type="dxa"/>
              <w:right w:w="108" w:type="dxa"/>
            </w:tcMar>
            <w:vAlign w:val="center"/>
            <w:hideMark/>
          </w:tcPr>
          <w:p w14:paraId="114BBD59" w14:textId="3102C3BE" w:rsidR="00E2644F" w:rsidRPr="005650D7" w:rsidRDefault="00E2644F" w:rsidP="007E2FD2">
            <w:pPr>
              <w:pStyle w:val="ExhibitText"/>
              <w:jc w:val="right"/>
              <w:rPr>
                <w:rFonts w:eastAsia="Calibri"/>
                <w:lang w:val="en-GB"/>
              </w:rPr>
            </w:pPr>
            <w:r w:rsidRPr="005650D7">
              <w:rPr>
                <w:rFonts w:eastAsia="Calibri"/>
                <w:lang w:val="en-GB"/>
              </w:rPr>
              <w:t>$65</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21ABC5FE" w14:textId="77777777" w:rsidR="00E2644F" w:rsidRPr="005650D7" w:rsidRDefault="00E2644F" w:rsidP="007E2FD2">
            <w:pPr>
              <w:pStyle w:val="ExhibitText"/>
              <w:jc w:val="right"/>
              <w:rPr>
                <w:rFonts w:eastAsia="Calibri"/>
                <w:lang w:val="en-GB"/>
              </w:rPr>
            </w:pPr>
            <w:r w:rsidRPr="005650D7">
              <w:rPr>
                <w:rFonts w:eastAsia="Calibri"/>
                <w:lang w:val="en-GB"/>
              </w:rPr>
              <w:t>$19,829</w:t>
            </w:r>
          </w:p>
        </w:tc>
        <w:tc>
          <w:tcPr>
            <w:tcW w:w="1144" w:type="dxa"/>
            <w:tcMar>
              <w:top w:w="0" w:type="dxa"/>
              <w:left w:w="108" w:type="dxa"/>
              <w:bottom w:w="0" w:type="dxa"/>
              <w:right w:w="108" w:type="dxa"/>
            </w:tcMar>
            <w:vAlign w:val="center"/>
            <w:hideMark/>
          </w:tcPr>
          <w:p w14:paraId="55D75FC3" w14:textId="77777777" w:rsidR="00E2644F" w:rsidRPr="005650D7" w:rsidRDefault="00E2644F" w:rsidP="007E2FD2">
            <w:pPr>
              <w:pStyle w:val="ExhibitText"/>
              <w:jc w:val="right"/>
              <w:rPr>
                <w:rFonts w:eastAsia="Calibri"/>
                <w:lang w:val="en-GB"/>
              </w:rPr>
            </w:pPr>
            <w:r w:rsidRPr="005650D7">
              <w:rPr>
                <w:rFonts w:eastAsia="Calibri"/>
                <w:lang w:val="en-GB"/>
              </w:rPr>
              <w:t>6.0%</w:t>
            </w:r>
          </w:p>
        </w:tc>
      </w:tr>
      <w:tr w:rsidR="007E2FD2" w:rsidRPr="00452862" w14:paraId="45E183E8" w14:textId="77777777" w:rsidTr="00865FDB">
        <w:trPr>
          <w:trHeight w:val="227"/>
          <w:jc w:val="center"/>
        </w:trPr>
        <w:tc>
          <w:tcPr>
            <w:tcW w:w="1435" w:type="dxa"/>
            <w:vMerge/>
            <w:vAlign w:val="center"/>
            <w:hideMark/>
          </w:tcPr>
          <w:p w14:paraId="0326A58E" w14:textId="77777777" w:rsidR="00E2644F" w:rsidRPr="005650D7" w:rsidRDefault="00E2644F" w:rsidP="007E2FD2">
            <w:pPr>
              <w:pStyle w:val="ExhibitText"/>
              <w:rPr>
                <w:rFonts w:eastAsia="Calibri"/>
                <w:lang w:val="en-GB"/>
              </w:rPr>
            </w:pPr>
          </w:p>
        </w:tc>
        <w:tc>
          <w:tcPr>
            <w:tcW w:w="810" w:type="dxa"/>
            <w:tcMar>
              <w:top w:w="0" w:type="dxa"/>
              <w:left w:w="108" w:type="dxa"/>
              <w:bottom w:w="0" w:type="dxa"/>
              <w:right w:w="108" w:type="dxa"/>
            </w:tcMar>
            <w:vAlign w:val="center"/>
            <w:hideMark/>
          </w:tcPr>
          <w:p w14:paraId="7CA9F127" w14:textId="77777777" w:rsidR="00E2644F" w:rsidRPr="005650D7" w:rsidRDefault="00E2644F" w:rsidP="007E2FD2">
            <w:pPr>
              <w:pStyle w:val="ExhibitText"/>
              <w:jc w:val="center"/>
              <w:rPr>
                <w:rFonts w:eastAsia="Calibri"/>
                <w:lang w:val="en-GB"/>
              </w:rPr>
            </w:pPr>
            <w:r w:rsidRPr="005650D7">
              <w:rPr>
                <w:rFonts w:eastAsia="Calibri"/>
                <w:lang w:val="en-GB"/>
              </w:rPr>
              <w:t>2014</w:t>
            </w:r>
          </w:p>
        </w:tc>
        <w:tc>
          <w:tcPr>
            <w:tcW w:w="1260" w:type="dxa"/>
            <w:tcMar>
              <w:top w:w="0" w:type="dxa"/>
              <w:left w:w="108" w:type="dxa"/>
              <w:bottom w:w="0" w:type="dxa"/>
              <w:right w:w="108" w:type="dxa"/>
            </w:tcMar>
            <w:vAlign w:val="center"/>
            <w:hideMark/>
          </w:tcPr>
          <w:p w14:paraId="1E956AB2" w14:textId="77777777" w:rsidR="00E2644F" w:rsidRPr="005650D7" w:rsidRDefault="00E2644F" w:rsidP="007E2FD2">
            <w:pPr>
              <w:pStyle w:val="ExhibitText"/>
              <w:jc w:val="right"/>
              <w:rPr>
                <w:rFonts w:eastAsia="Calibri"/>
                <w:lang w:val="en-GB"/>
              </w:rPr>
            </w:pPr>
            <w:r w:rsidRPr="005650D7">
              <w:rPr>
                <w:rFonts w:eastAsia="Calibri"/>
                <w:lang w:val="en-GB"/>
              </w:rPr>
              <w:t>$683</w:t>
            </w:r>
          </w:p>
        </w:tc>
        <w:tc>
          <w:tcPr>
            <w:tcW w:w="1106" w:type="dxa"/>
            <w:tcMar>
              <w:top w:w="0" w:type="dxa"/>
              <w:left w:w="108" w:type="dxa"/>
              <w:bottom w:w="0" w:type="dxa"/>
              <w:right w:w="108" w:type="dxa"/>
            </w:tcMar>
            <w:vAlign w:val="center"/>
            <w:hideMark/>
          </w:tcPr>
          <w:p w14:paraId="652AED14" w14:textId="49D5FAC9" w:rsidR="00E2644F" w:rsidRPr="005650D7" w:rsidRDefault="00E2644F" w:rsidP="007E2FD2">
            <w:pPr>
              <w:pStyle w:val="ExhibitText"/>
              <w:jc w:val="right"/>
              <w:rPr>
                <w:rFonts w:eastAsia="Calibri"/>
                <w:lang w:val="en-GB"/>
              </w:rPr>
            </w:pPr>
            <w:r w:rsidRPr="005650D7">
              <w:rPr>
                <w:rFonts w:eastAsia="Calibri"/>
                <w:lang w:val="en-GB"/>
              </w:rPr>
              <w:t>$55</w:t>
            </w:r>
            <w:r w:rsidR="00CB507E" w:rsidRPr="005650D7">
              <w:rPr>
                <w:rFonts w:eastAsia="Calibri"/>
                <w:lang w:val="en-GB"/>
              </w:rPr>
              <w:t>.0</w:t>
            </w:r>
          </w:p>
        </w:tc>
        <w:tc>
          <w:tcPr>
            <w:tcW w:w="1440" w:type="dxa"/>
            <w:tcMar>
              <w:top w:w="0" w:type="dxa"/>
              <w:left w:w="108" w:type="dxa"/>
              <w:bottom w:w="0" w:type="dxa"/>
              <w:right w:w="108" w:type="dxa"/>
            </w:tcMar>
            <w:vAlign w:val="center"/>
            <w:hideMark/>
          </w:tcPr>
          <w:p w14:paraId="3AD5FDDE" w14:textId="77777777" w:rsidR="00E2644F" w:rsidRPr="005650D7" w:rsidRDefault="00E2644F" w:rsidP="007E2FD2">
            <w:pPr>
              <w:pStyle w:val="ExhibitText"/>
              <w:jc w:val="right"/>
              <w:rPr>
                <w:rFonts w:eastAsia="Calibri"/>
                <w:lang w:val="en-GB"/>
              </w:rPr>
            </w:pPr>
            <w:r w:rsidRPr="005650D7">
              <w:rPr>
                <w:rFonts w:eastAsia="Calibri"/>
                <w:lang w:val="en-GB"/>
              </w:rPr>
              <w:t>$18,559</w:t>
            </w:r>
          </w:p>
        </w:tc>
        <w:tc>
          <w:tcPr>
            <w:tcW w:w="1144" w:type="dxa"/>
            <w:tcMar>
              <w:top w:w="0" w:type="dxa"/>
              <w:left w:w="108" w:type="dxa"/>
              <w:bottom w:w="0" w:type="dxa"/>
              <w:right w:w="108" w:type="dxa"/>
            </w:tcMar>
            <w:vAlign w:val="center"/>
            <w:hideMark/>
          </w:tcPr>
          <w:p w14:paraId="3E79132D" w14:textId="77777777" w:rsidR="00E2644F" w:rsidRPr="005650D7" w:rsidRDefault="00E2644F" w:rsidP="007E2FD2">
            <w:pPr>
              <w:pStyle w:val="ExhibitText"/>
              <w:jc w:val="right"/>
              <w:rPr>
                <w:rFonts w:eastAsia="Calibri"/>
                <w:lang w:val="en-GB"/>
              </w:rPr>
            </w:pPr>
            <w:r w:rsidRPr="005650D7">
              <w:rPr>
                <w:rFonts w:eastAsia="Calibri"/>
                <w:lang w:val="en-GB"/>
              </w:rPr>
              <w:t> </w:t>
            </w:r>
          </w:p>
        </w:tc>
      </w:tr>
    </w:tbl>
    <w:p w14:paraId="778E3DF5" w14:textId="77777777" w:rsidR="00E2644F" w:rsidRPr="005650D7" w:rsidRDefault="00E2644F" w:rsidP="007E2FD2">
      <w:pPr>
        <w:pStyle w:val="ExhibitText"/>
        <w:rPr>
          <w:rFonts w:eastAsia="Calibri"/>
          <w:lang w:val="en-GB"/>
        </w:rPr>
      </w:pPr>
    </w:p>
    <w:p w14:paraId="26EBE8AD" w14:textId="607389A7" w:rsidR="00E2644F" w:rsidRPr="005650D7" w:rsidRDefault="00E2644F" w:rsidP="007E2FD2">
      <w:pPr>
        <w:pStyle w:val="Footnote"/>
        <w:rPr>
          <w:lang w:val="en-GB"/>
        </w:rPr>
      </w:pPr>
      <w:r w:rsidRPr="005650D7">
        <w:rPr>
          <w:lang w:val="en-GB"/>
        </w:rPr>
        <w:t>Note: *</w:t>
      </w:r>
      <w:r w:rsidR="00A13BB5" w:rsidRPr="005650D7">
        <w:rPr>
          <w:lang w:val="en-GB"/>
        </w:rPr>
        <w:t>Meridian Credit Union was the l</w:t>
      </w:r>
      <w:r w:rsidRPr="005650D7">
        <w:rPr>
          <w:lang w:val="en-GB"/>
        </w:rPr>
        <w:t>argest credit union in Ontario; **</w:t>
      </w:r>
      <w:r w:rsidR="00A13BB5" w:rsidRPr="005650D7">
        <w:rPr>
          <w:lang w:val="en-GB"/>
        </w:rPr>
        <w:t>Libro Credit Union was the s</w:t>
      </w:r>
      <w:r w:rsidRPr="005650D7">
        <w:rPr>
          <w:lang w:val="en-GB"/>
        </w:rPr>
        <w:t>econd</w:t>
      </w:r>
      <w:r w:rsidR="00A13BB5" w:rsidRPr="005650D7">
        <w:rPr>
          <w:lang w:val="en-GB"/>
        </w:rPr>
        <w:t>-</w:t>
      </w:r>
      <w:r w:rsidRPr="005650D7">
        <w:rPr>
          <w:lang w:val="en-GB"/>
        </w:rPr>
        <w:t>largest credit union in Ontario</w:t>
      </w:r>
      <w:r w:rsidR="007E2FD2" w:rsidRPr="005650D7">
        <w:rPr>
          <w:lang w:val="en-GB"/>
        </w:rPr>
        <w:t>.</w:t>
      </w:r>
    </w:p>
    <w:p w14:paraId="4349F450" w14:textId="13A4F00E" w:rsidR="00E2644F" w:rsidRPr="005650D7" w:rsidRDefault="00E2644F" w:rsidP="007E2FD2">
      <w:pPr>
        <w:pStyle w:val="Footnote"/>
        <w:rPr>
          <w:rFonts w:eastAsia="Calibri"/>
          <w:lang w:val="en-GB"/>
        </w:rPr>
      </w:pPr>
      <w:r w:rsidRPr="005650D7">
        <w:rPr>
          <w:lang w:val="en-GB"/>
        </w:rPr>
        <w:t xml:space="preserve">Source: Created by </w:t>
      </w:r>
      <w:r w:rsidR="00A13BB5" w:rsidRPr="005650D7">
        <w:rPr>
          <w:lang w:val="en-GB"/>
        </w:rPr>
        <w:t xml:space="preserve">case </w:t>
      </w:r>
      <w:r w:rsidRPr="005650D7">
        <w:rPr>
          <w:lang w:val="en-GB"/>
        </w:rPr>
        <w:t xml:space="preserve">author based on </w:t>
      </w:r>
      <w:r w:rsidR="00A13BB5" w:rsidRPr="005650D7">
        <w:rPr>
          <w:lang w:val="en-GB"/>
        </w:rPr>
        <w:t xml:space="preserve">data from </w:t>
      </w:r>
      <w:r w:rsidRPr="005650D7">
        <w:rPr>
          <w:lang w:val="en-GB"/>
        </w:rPr>
        <w:t>T</w:t>
      </w:r>
      <w:r w:rsidR="00A13BB5" w:rsidRPr="005650D7">
        <w:rPr>
          <w:lang w:val="en-GB"/>
        </w:rPr>
        <w:t>oronto Dominion Bank</w:t>
      </w:r>
      <w:r w:rsidRPr="005650D7">
        <w:rPr>
          <w:lang w:val="en-GB"/>
        </w:rPr>
        <w:t xml:space="preserve">, </w:t>
      </w:r>
      <w:r w:rsidRPr="005650D7">
        <w:rPr>
          <w:i/>
          <w:lang w:val="en-GB"/>
        </w:rPr>
        <w:t>2016 Annual Report</w:t>
      </w:r>
      <w:r w:rsidRPr="005650D7">
        <w:rPr>
          <w:lang w:val="en-GB"/>
        </w:rPr>
        <w:t xml:space="preserve">, February </w:t>
      </w:r>
      <w:r w:rsidR="00A13BB5" w:rsidRPr="005650D7">
        <w:rPr>
          <w:lang w:val="en-GB"/>
        </w:rPr>
        <w:t>2017</w:t>
      </w:r>
      <w:r w:rsidRPr="005650D7">
        <w:rPr>
          <w:lang w:val="en-GB"/>
        </w:rPr>
        <w:t xml:space="preserve">, </w:t>
      </w:r>
      <w:r w:rsidR="00A13BB5" w:rsidRPr="005650D7">
        <w:rPr>
          <w:lang w:val="en-GB"/>
        </w:rPr>
        <w:t xml:space="preserve">accessed </w:t>
      </w:r>
      <w:r w:rsidRPr="005650D7">
        <w:rPr>
          <w:lang w:val="en-GB"/>
        </w:rPr>
        <w:t>September 10, 2017</w:t>
      </w:r>
      <w:r w:rsidR="00A13BB5" w:rsidRPr="005650D7">
        <w:rPr>
          <w:lang w:val="en-GB"/>
        </w:rPr>
        <w:t xml:space="preserve">, </w:t>
      </w:r>
      <w:hyperlink r:id="rId11" w:history="1">
        <w:r w:rsidRPr="005650D7">
          <w:rPr>
            <w:lang w:val="en-GB"/>
          </w:rPr>
          <w:t>https://www.td.com/annual-report/ar2016/</w:t>
        </w:r>
      </w:hyperlink>
      <w:r w:rsidRPr="005650D7">
        <w:rPr>
          <w:lang w:val="en-GB"/>
        </w:rPr>
        <w:t xml:space="preserve">; BMO, </w:t>
      </w:r>
      <w:r w:rsidRPr="005650D7">
        <w:rPr>
          <w:i/>
          <w:lang w:val="en-GB"/>
        </w:rPr>
        <w:t>Annual Report</w:t>
      </w:r>
      <w:r w:rsidR="00A13BB5" w:rsidRPr="005650D7">
        <w:rPr>
          <w:i/>
          <w:lang w:val="en-GB"/>
        </w:rPr>
        <w:t xml:space="preserve"> 2016</w:t>
      </w:r>
      <w:r w:rsidR="00A13BB5" w:rsidRPr="005650D7">
        <w:rPr>
          <w:lang w:val="en-GB"/>
        </w:rPr>
        <w:t xml:space="preserve">, </w:t>
      </w:r>
      <w:r w:rsidR="00452862" w:rsidRPr="00D57512">
        <w:rPr>
          <w:lang w:val="en-GB"/>
        </w:rPr>
        <w:t>accessed</w:t>
      </w:r>
      <w:r w:rsidRPr="005650D7">
        <w:rPr>
          <w:lang w:val="en-GB"/>
        </w:rPr>
        <w:t xml:space="preserve"> September 10, 2017</w:t>
      </w:r>
      <w:r w:rsidR="00A13BB5" w:rsidRPr="005650D7">
        <w:rPr>
          <w:lang w:val="en-GB"/>
        </w:rPr>
        <w:t xml:space="preserve">, </w:t>
      </w:r>
      <w:hyperlink r:id="rId12" w:history="1">
        <w:r w:rsidRPr="005650D7">
          <w:rPr>
            <w:lang w:val="en-GB"/>
          </w:rPr>
          <w:t>https://www.bmo.com/ar2016/</w:t>
        </w:r>
      </w:hyperlink>
      <w:r w:rsidRPr="005650D7">
        <w:rPr>
          <w:lang w:val="en-GB"/>
        </w:rPr>
        <w:t xml:space="preserve">; </w:t>
      </w:r>
      <w:r w:rsidR="00A13BB5" w:rsidRPr="005650D7">
        <w:rPr>
          <w:lang w:val="en-GB"/>
        </w:rPr>
        <w:t>Canadian Imperial Bank of Commerce</w:t>
      </w:r>
      <w:r w:rsidRPr="005650D7">
        <w:rPr>
          <w:lang w:val="en-GB"/>
        </w:rPr>
        <w:t xml:space="preserve">, </w:t>
      </w:r>
      <w:r w:rsidRPr="005650D7">
        <w:rPr>
          <w:i/>
          <w:lang w:val="en-GB"/>
        </w:rPr>
        <w:t>CIBC 2016 Annual Report</w:t>
      </w:r>
      <w:r w:rsidR="00A13BB5" w:rsidRPr="005650D7">
        <w:rPr>
          <w:lang w:val="en-GB"/>
        </w:rPr>
        <w:t>,</w:t>
      </w:r>
      <w:r w:rsidRPr="005650D7">
        <w:rPr>
          <w:lang w:val="en-GB"/>
        </w:rPr>
        <w:t xml:space="preserve"> </w:t>
      </w:r>
      <w:r w:rsidR="00A13BB5" w:rsidRPr="005650D7">
        <w:rPr>
          <w:lang w:val="en-GB"/>
        </w:rPr>
        <w:t xml:space="preserve">2017, accessed </w:t>
      </w:r>
      <w:r w:rsidRPr="005650D7">
        <w:rPr>
          <w:lang w:val="en-GB"/>
        </w:rPr>
        <w:t>September</w:t>
      </w:r>
      <w:r w:rsidR="00A111D2">
        <w:rPr>
          <w:lang w:val="en-GB"/>
        </w:rPr>
        <w:t> </w:t>
      </w:r>
      <w:r w:rsidRPr="005650D7">
        <w:rPr>
          <w:lang w:val="en-GB"/>
        </w:rPr>
        <w:t>10, 2017</w:t>
      </w:r>
      <w:r w:rsidR="00A13BB5" w:rsidRPr="005650D7">
        <w:rPr>
          <w:lang w:val="en-GB"/>
        </w:rPr>
        <w:t xml:space="preserve">, </w:t>
      </w:r>
      <w:hyperlink r:id="rId13" w:history="1">
        <w:r w:rsidRPr="005650D7">
          <w:rPr>
            <w:lang w:val="en-GB"/>
          </w:rPr>
          <w:t>https://www.cibc.com/content/dam/about_cibc/investor_relations/pdfs/annual_reports/2016/ar-16-en.pdf</w:t>
        </w:r>
      </w:hyperlink>
      <w:r w:rsidRPr="005650D7">
        <w:rPr>
          <w:lang w:val="en-GB"/>
        </w:rPr>
        <w:t xml:space="preserve">; </w:t>
      </w:r>
      <w:r w:rsidR="00962AE0" w:rsidRPr="005650D7">
        <w:rPr>
          <w:lang w:val="en-GB"/>
        </w:rPr>
        <w:t>Royal Bank of Canada</w:t>
      </w:r>
      <w:r w:rsidRPr="005650D7">
        <w:rPr>
          <w:lang w:val="en-GB"/>
        </w:rPr>
        <w:t xml:space="preserve">, </w:t>
      </w:r>
      <w:r w:rsidRPr="005650D7">
        <w:rPr>
          <w:i/>
          <w:lang w:val="en-GB"/>
        </w:rPr>
        <w:t>Annual Report</w:t>
      </w:r>
      <w:r w:rsidR="00962AE0" w:rsidRPr="005650D7">
        <w:rPr>
          <w:i/>
          <w:lang w:val="en-GB"/>
        </w:rPr>
        <w:t xml:space="preserve"> </w:t>
      </w:r>
      <w:r w:rsidR="00A13BB5" w:rsidRPr="005650D7">
        <w:rPr>
          <w:i/>
          <w:lang w:val="en-GB"/>
        </w:rPr>
        <w:t>2016</w:t>
      </w:r>
      <w:r w:rsidRPr="005650D7">
        <w:rPr>
          <w:lang w:val="en-GB"/>
        </w:rPr>
        <w:t xml:space="preserve">, </w:t>
      </w:r>
      <w:r w:rsidR="00A13BB5" w:rsidRPr="005650D7">
        <w:rPr>
          <w:lang w:val="en-GB"/>
        </w:rPr>
        <w:t>a</w:t>
      </w:r>
      <w:r w:rsidRPr="005650D7">
        <w:rPr>
          <w:lang w:val="en-GB"/>
        </w:rPr>
        <w:t>ccessed September 10, 2017</w:t>
      </w:r>
      <w:r w:rsidR="00A13BB5" w:rsidRPr="005650D7">
        <w:rPr>
          <w:lang w:val="en-GB"/>
        </w:rPr>
        <w:t xml:space="preserve">, </w:t>
      </w:r>
      <w:hyperlink r:id="rId14" w:history="1">
        <w:r w:rsidRPr="005650D7">
          <w:rPr>
            <w:lang w:val="en-GB"/>
          </w:rPr>
          <w:t>http://annualreports.rbc.com/ar2016/</w:t>
        </w:r>
      </w:hyperlink>
      <w:r w:rsidRPr="005650D7">
        <w:rPr>
          <w:lang w:val="en-GB"/>
        </w:rPr>
        <w:t xml:space="preserve">; National Bank of Canada, </w:t>
      </w:r>
      <w:r w:rsidRPr="005650D7">
        <w:rPr>
          <w:i/>
          <w:lang w:val="en-GB"/>
        </w:rPr>
        <w:t>2016 Annual Report</w:t>
      </w:r>
      <w:r w:rsidRPr="005650D7">
        <w:rPr>
          <w:lang w:val="en-GB"/>
        </w:rPr>
        <w:t xml:space="preserve">, </w:t>
      </w:r>
      <w:r w:rsidR="00962AE0" w:rsidRPr="005650D7">
        <w:rPr>
          <w:lang w:val="en-GB"/>
        </w:rPr>
        <w:t>2017, a</w:t>
      </w:r>
      <w:r w:rsidRPr="005650D7">
        <w:rPr>
          <w:lang w:val="en-GB"/>
        </w:rPr>
        <w:t>ccessed September 10, 2017</w:t>
      </w:r>
      <w:r w:rsidR="00962AE0" w:rsidRPr="005650D7">
        <w:rPr>
          <w:lang w:val="en-GB"/>
        </w:rPr>
        <w:t>, https://www.nbc.ca/content/dam/bnc/a-propos-de-nous/relations-investisseurs/assemblee-annuelle/2017/nbc-annual-report-2016.pdf</w:t>
      </w:r>
      <w:r w:rsidRPr="005650D7">
        <w:rPr>
          <w:lang w:val="en-GB"/>
        </w:rPr>
        <w:t>; Libro</w:t>
      </w:r>
      <w:r w:rsidR="00962AE0" w:rsidRPr="005650D7">
        <w:rPr>
          <w:lang w:val="en-GB"/>
        </w:rPr>
        <w:t xml:space="preserve"> Credit Union</w:t>
      </w:r>
      <w:r w:rsidRPr="005650D7">
        <w:rPr>
          <w:lang w:val="en-GB"/>
        </w:rPr>
        <w:t xml:space="preserve">, </w:t>
      </w:r>
      <w:r w:rsidR="006B439A">
        <w:rPr>
          <w:i/>
          <w:lang w:val="en-GB"/>
        </w:rPr>
        <w:t>2016 Annual </w:t>
      </w:r>
      <w:r w:rsidRPr="005650D7">
        <w:rPr>
          <w:i/>
          <w:lang w:val="en-GB"/>
        </w:rPr>
        <w:t>Report</w:t>
      </w:r>
      <w:r w:rsidR="006B439A">
        <w:rPr>
          <w:lang w:val="en-GB"/>
        </w:rPr>
        <w:t>, </w:t>
      </w:r>
      <w:r w:rsidR="00962AE0" w:rsidRPr="005650D7">
        <w:rPr>
          <w:lang w:val="en-GB"/>
        </w:rPr>
        <w:t>2017,</w:t>
      </w:r>
      <w:r w:rsidR="006B439A">
        <w:rPr>
          <w:lang w:val="en-GB"/>
        </w:rPr>
        <w:t> accessed September 10, </w:t>
      </w:r>
      <w:r w:rsidRPr="005650D7">
        <w:rPr>
          <w:lang w:val="en-GB"/>
        </w:rPr>
        <w:t>2017</w:t>
      </w:r>
      <w:r w:rsidR="006B439A">
        <w:rPr>
          <w:lang w:val="en-GB"/>
        </w:rPr>
        <w:t>, </w:t>
      </w:r>
      <w:r w:rsidR="00962AE0" w:rsidRPr="005650D7">
        <w:rPr>
          <w:lang w:val="en-GB"/>
        </w:rPr>
        <w:t>https://www.libro.ca/application/files/5114/9270/7453/2016_Annual_Report.pdf</w:t>
      </w:r>
      <w:r w:rsidRPr="005650D7">
        <w:rPr>
          <w:lang w:val="en-GB"/>
        </w:rPr>
        <w:t xml:space="preserve">; DUCA, </w:t>
      </w:r>
      <w:r w:rsidRPr="005650D7">
        <w:rPr>
          <w:i/>
          <w:lang w:val="en-GB"/>
        </w:rPr>
        <w:t>2016 Annual Report</w:t>
      </w:r>
      <w:r w:rsidRPr="005650D7">
        <w:rPr>
          <w:lang w:val="en-GB"/>
        </w:rPr>
        <w:t xml:space="preserve">, </w:t>
      </w:r>
      <w:r w:rsidR="00962AE0" w:rsidRPr="005650D7">
        <w:rPr>
          <w:lang w:val="en-GB"/>
        </w:rPr>
        <w:t>2017, a</w:t>
      </w:r>
      <w:r w:rsidRPr="005650D7">
        <w:rPr>
          <w:lang w:val="en-GB"/>
        </w:rPr>
        <w:t>ccessed September 10, 2017</w:t>
      </w:r>
      <w:r w:rsidR="00962AE0" w:rsidRPr="005650D7">
        <w:rPr>
          <w:lang w:val="en-GB"/>
        </w:rPr>
        <w:t>, http://annualreport2016.duca.com/</w:t>
      </w:r>
      <w:r w:rsidRPr="005650D7">
        <w:rPr>
          <w:lang w:val="en-GB"/>
        </w:rPr>
        <w:t xml:space="preserve">; </w:t>
      </w:r>
      <w:r w:rsidR="006B439A">
        <w:rPr>
          <w:lang w:val="en-GB"/>
        </w:rPr>
        <w:t>Vancouver City Savings Credit </w:t>
      </w:r>
      <w:r w:rsidR="00962AE0" w:rsidRPr="005650D7">
        <w:rPr>
          <w:lang w:val="en-GB"/>
        </w:rPr>
        <w:t>Union</w:t>
      </w:r>
      <w:r w:rsidR="00604292">
        <w:rPr>
          <w:lang w:val="en-GB"/>
        </w:rPr>
        <w:t>, </w:t>
      </w:r>
      <w:r w:rsidR="00604292">
        <w:rPr>
          <w:i/>
          <w:lang w:val="en-GB"/>
        </w:rPr>
        <w:t>2016 Annual </w:t>
      </w:r>
      <w:r w:rsidRPr="005650D7">
        <w:rPr>
          <w:i/>
          <w:lang w:val="en-GB"/>
        </w:rPr>
        <w:t>Report</w:t>
      </w:r>
      <w:r w:rsidR="00604292">
        <w:rPr>
          <w:lang w:val="en-GB"/>
        </w:rPr>
        <w:t>, </w:t>
      </w:r>
      <w:r w:rsidR="00962AE0" w:rsidRPr="005650D7">
        <w:rPr>
          <w:lang w:val="en-GB"/>
        </w:rPr>
        <w:t>2017,</w:t>
      </w:r>
      <w:r w:rsidR="00604292">
        <w:rPr>
          <w:lang w:val="en-GB"/>
        </w:rPr>
        <w:t> accessed September 10, </w:t>
      </w:r>
      <w:r w:rsidRPr="005650D7">
        <w:rPr>
          <w:lang w:val="en-GB"/>
        </w:rPr>
        <w:t>2017</w:t>
      </w:r>
      <w:r w:rsidR="00604292">
        <w:rPr>
          <w:lang w:val="en-GB"/>
        </w:rPr>
        <w:t>, </w:t>
      </w:r>
      <w:r w:rsidR="00962AE0" w:rsidRPr="005650D7">
        <w:rPr>
          <w:lang w:val="en-GB"/>
        </w:rPr>
        <w:t>https://www.vancity.com/AboutVancity/GovernanceAndLeadership/OurReports/2016/</w:t>
      </w:r>
      <w:r w:rsidR="007E2FD2" w:rsidRPr="005650D7">
        <w:rPr>
          <w:lang w:val="en-GB"/>
        </w:rPr>
        <w:t>.</w:t>
      </w:r>
    </w:p>
    <w:p w14:paraId="072E7523" w14:textId="77777777" w:rsidR="00E2644F" w:rsidRPr="005650D7" w:rsidRDefault="00E2644F">
      <w:pPr>
        <w:spacing w:after="200" w:line="276" w:lineRule="auto"/>
        <w:rPr>
          <w:rFonts w:eastAsia="Calibri"/>
          <w:color w:val="000000"/>
          <w:sz w:val="16"/>
          <w:szCs w:val="16"/>
          <w:lang w:val="en-GB"/>
        </w:rPr>
      </w:pPr>
      <w:r w:rsidRPr="005650D7">
        <w:rPr>
          <w:rFonts w:eastAsia="Calibri"/>
          <w:color w:val="000000"/>
          <w:sz w:val="16"/>
          <w:szCs w:val="16"/>
          <w:lang w:val="en-GB"/>
        </w:rPr>
        <w:br w:type="page"/>
      </w:r>
    </w:p>
    <w:p w14:paraId="1C506B8D" w14:textId="77777777" w:rsidR="00465348" w:rsidRPr="005650D7" w:rsidRDefault="00E2644F" w:rsidP="007E2FD2">
      <w:pPr>
        <w:pStyle w:val="ExhibitHeading"/>
        <w:jc w:val="left"/>
        <w:rPr>
          <w:rFonts w:eastAsia="Calibri"/>
          <w:sz w:val="22"/>
          <w:szCs w:val="22"/>
          <w:lang w:val="en-GB"/>
        </w:rPr>
      </w:pPr>
      <w:r w:rsidRPr="005650D7">
        <w:rPr>
          <w:rFonts w:eastAsia="Calibri"/>
          <w:lang w:val="en-GB"/>
        </w:rPr>
        <w:lastRenderedPageBreak/>
        <w:t>ENDNOTES</w:t>
      </w:r>
    </w:p>
    <w:sectPr w:rsidR="00465348" w:rsidRPr="005650D7" w:rsidSect="007E2FD2">
      <w:headerReference w:type="default" r:id="rId15"/>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99445" w14:textId="77777777" w:rsidR="005C26F2" w:rsidRDefault="005C26F2" w:rsidP="00D75295">
      <w:r>
        <w:separator/>
      </w:r>
    </w:p>
  </w:endnote>
  <w:endnote w:type="continuationSeparator" w:id="0">
    <w:p w14:paraId="1B62DAB7" w14:textId="77777777" w:rsidR="005C26F2" w:rsidRDefault="005C26F2" w:rsidP="00D75295">
      <w:r>
        <w:continuationSeparator/>
      </w:r>
    </w:p>
  </w:endnote>
  <w:endnote w:id="1">
    <w:p w14:paraId="595813EA" w14:textId="77777777" w:rsidR="00A111D2" w:rsidRPr="00A111D2" w:rsidRDefault="00A111D2" w:rsidP="00F620D6">
      <w:pPr>
        <w:pStyle w:val="Footnote"/>
      </w:pPr>
      <w:r w:rsidRPr="00A111D2">
        <w:rPr>
          <w:rStyle w:val="EndnoteReference"/>
        </w:rPr>
        <w:endnoteRef/>
      </w:r>
      <w:r w:rsidRPr="00A111D2">
        <w:t xml:space="preserve"> All currency amounts are in Canadian dollars unless otherwise specified.</w:t>
      </w:r>
    </w:p>
  </w:endnote>
  <w:endnote w:id="2">
    <w:p w14:paraId="2300DEBD" w14:textId="64B723C2" w:rsidR="00A111D2" w:rsidRPr="00A111D2" w:rsidRDefault="00A111D2" w:rsidP="007E2FD2">
      <w:pPr>
        <w:pStyle w:val="Footnote"/>
        <w:rPr>
          <w:lang w:val="en-CA"/>
        </w:rPr>
      </w:pPr>
      <w:r w:rsidRPr="00865FDB">
        <w:rPr>
          <w:rStyle w:val="EndnoteReference"/>
        </w:rPr>
        <w:endnoteRef/>
      </w:r>
      <w:r w:rsidR="006B439A">
        <w:t> </w:t>
      </w:r>
      <w:r w:rsidRPr="00A111D2">
        <w:t>“Financial Services,” City of Toronto, accessed July 2017, https://www.toronto.ca/business-economy/industry-sector-support/financial-services/.</w:t>
      </w:r>
    </w:p>
  </w:endnote>
  <w:endnote w:id="3">
    <w:p w14:paraId="736DAD42" w14:textId="77777777" w:rsidR="00A111D2" w:rsidRPr="00A111D2" w:rsidRDefault="00A111D2" w:rsidP="007E2FD2">
      <w:pPr>
        <w:pStyle w:val="Footnote"/>
        <w:rPr>
          <w:lang w:val="en-CA"/>
        </w:rPr>
      </w:pPr>
      <w:r w:rsidRPr="00865FDB">
        <w:rPr>
          <w:rStyle w:val="EndnoteReference"/>
        </w:rPr>
        <w:endnoteRef/>
      </w:r>
      <w:r w:rsidRPr="00A111D2">
        <w:t xml:space="preserve"> Identified by the author by looking up financial statements of the 2016 annual reports of the six banks.</w:t>
      </w:r>
    </w:p>
  </w:endnote>
  <w:endnote w:id="4">
    <w:p w14:paraId="519CAA72" w14:textId="0ED10689" w:rsidR="00A111D2" w:rsidRPr="00A111D2" w:rsidRDefault="00A111D2" w:rsidP="007E2FD2">
      <w:pPr>
        <w:pStyle w:val="Footnote"/>
        <w:rPr>
          <w:lang w:val="en-CA"/>
        </w:rPr>
      </w:pPr>
      <w:r w:rsidRPr="00865FDB">
        <w:rPr>
          <w:rStyle w:val="EndnoteReference"/>
        </w:rPr>
        <w:endnoteRef/>
      </w:r>
      <w:r w:rsidRPr="00A111D2">
        <w:t xml:space="preserve"> Rudy Mezzetta, “Foreign Banks in Canada,” Canadian Banks and Insurance (blog), October 16, 2006, accessed August 17, 2017, http://financialsector.blogspot.ca/2006/10/foreign-banks-in-canada.html.</w:t>
      </w:r>
    </w:p>
  </w:endnote>
  <w:endnote w:id="5">
    <w:p w14:paraId="0243BFCB" w14:textId="18FA20B8" w:rsidR="00A111D2" w:rsidRPr="00A111D2" w:rsidRDefault="00A111D2" w:rsidP="007E2FD2">
      <w:pPr>
        <w:pStyle w:val="Footnote"/>
        <w:rPr>
          <w:lang w:val="en-CA"/>
        </w:rPr>
      </w:pPr>
      <w:r w:rsidRPr="00865FDB">
        <w:rPr>
          <w:rStyle w:val="EndnoteReference"/>
        </w:rPr>
        <w:endnoteRef/>
      </w:r>
      <w:r w:rsidR="006B439A">
        <w:t> </w:t>
      </w:r>
      <w:r w:rsidRPr="00A111D2">
        <w:t>Paul Boothe, “Bank Act,” The Canadian Encyclopedia, February 6, 2006, accessed June 10, 2017, www.thecanadianencyclopedia.ca/en/article/bank-act/.</w:t>
      </w:r>
    </w:p>
  </w:endnote>
  <w:endnote w:id="6">
    <w:p w14:paraId="7C218331" w14:textId="1C354607" w:rsidR="00A111D2" w:rsidRPr="00A111D2" w:rsidRDefault="00A111D2" w:rsidP="007E2FD2">
      <w:pPr>
        <w:pStyle w:val="Footnote"/>
        <w:rPr>
          <w:lang w:val="en-CA"/>
        </w:rPr>
      </w:pPr>
      <w:r w:rsidRPr="00865FDB">
        <w:rPr>
          <w:rStyle w:val="EndnoteReference"/>
        </w:rPr>
        <w:endnoteRef/>
      </w:r>
      <w:r w:rsidR="006B439A">
        <w:t> </w:t>
      </w:r>
      <w:r w:rsidRPr="00A111D2">
        <w:t>Office of the Superintendent of Financial Institutions, “Advisory 2017-01: Restrictions on the Use of the Words ‘Bank,’ ‘Banker,’ and ‘Banking,’” Government of Canada, June 30, 2017, accessed October 10, 2017, www.osfi-bsif.gc.ca/eng/fi-if/app/rla-prl/Pages/adv-2017-01cr.aspx.</w:t>
      </w:r>
    </w:p>
  </w:endnote>
  <w:endnote w:id="7">
    <w:p w14:paraId="2CB2F4B4" w14:textId="313EA2C3" w:rsidR="00A111D2" w:rsidRPr="00A111D2" w:rsidRDefault="00A111D2" w:rsidP="007E2FD2">
      <w:pPr>
        <w:pStyle w:val="Footnote"/>
        <w:rPr>
          <w:lang w:val="en-CA"/>
        </w:rPr>
      </w:pPr>
      <w:r w:rsidRPr="00865FDB">
        <w:rPr>
          <w:rStyle w:val="EndnoteReference"/>
        </w:rPr>
        <w:endnoteRef/>
      </w:r>
      <w:r w:rsidR="006B439A">
        <w:t> </w:t>
      </w:r>
      <w:r w:rsidRPr="00A111D2">
        <w:rPr>
          <w:color w:val="000000"/>
        </w:rPr>
        <w:t>Alix Granger and Gord McIntosh, “Banking in Canada,” The Canadian Encyclopedia, August 1, 2017, accessed September 14, 2017, www.thecanadianencyclopedia.ca/en/article/banking/.</w:t>
      </w:r>
    </w:p>
  </w:endnote>
  <w:endnote w:id="8">
    <w:p w14:paraId="68625835" w14:textId="4B56D6E8" w:rsidR="00A111D2" w:rsidRPr="00A111D2" w:rsidRDefault="00A111D2" w:rsidP="007E2FD2">
      <w:pPr>
        <w:pStyle w:val="Footnote"/>
        <w:rPr>
          <w:lang w:val="en-CA"/>
        </w:rPr>
      </w:pPr>
      <w:r w:rsidRPr="00865FDB">
        <w:rPr>
          <w:rStyle w:val="EndnoteReference"/>
        </w:rPr>
        <w:endnoteRef/>
      </w:r>
      <w:r w:rsidRPr="00A111D2">
        <w:t xml:space="preserve"> Bill Schlich, David Ebstein, Teresa Schrezenmaier, and Anna Slodka Turner, </w:t>
      </w:r>
      <w:r w:rsidRPr="00A111D2">
        <w:rPr>
          <w:i/>
        </w:rPr>
        <w:t>The Relevance Challenge: What Retail Banks Must Do to Remain in the Game</w:t>
      </w:r>
      <w:r w:rsidRPr="00A111D2">
        <w:t>, Ernst and Young, 2016, accessed July 10, 2017, www.ey.com/Publication/vwLUAssets/ey-the-relevance-challenge/$FILE/ey-the-relevance-challenge-2016.pdf; Daniel Tencer, “Canada’s Big Banks Lose Again in Customer Satisfaction Survey,” Huffington Post, July 14, 2017, accessed August 10, 2017, www.huffingtonpost.ca/2017/07/14/canada-s-big-banks-lose-again-in-customer-satisfaction-survey_a_23030223/.</w:t>
      </w:r>
    </w:p>
  </w:endnote>
  <w:endnote w:id="9">
    <w:p w14:paraId="1FDED9A6" w14:textId="369A528A" w:rsidR="00A111D2" w:rsidRPr="00A111D2" w:rsidRDefault="00A111D2" w:rsidP="007E2FD2">
      <w:pPr>
        <w:pStyle w:val="Footnote"/>
      </w:pPr>
      <w:r w:rsidRPr="00A111D2">
        <w:rPr>
          <w:vertAlign w:val="superscript"/>
        </w:rPr>
        <w:endnoteRef/>
      </w:r>
      <w:r w:rsidRPr="00A111D2">
        <w:t xml:space="preserve"> Bruce Anderson, </w:t>
      </w:r>
      <w:r w:rsidRPr="00A111D2">
        <w:rPr>
          <w:i/>
        </w:rPr>
        <w:t>The Reputation of Canada’s Banks 2016</w:t>
      </w:r>
      <w:r w:rsidRPr="00A111D2">
        <w:t>,</w:t>
      </w:r>
      <w:r w:rsidRPr="00A111D2" w:rsidDel="0094039C">
        <w:t xml:space="preserve"> </w:t>
      </w:r>
      <w:r w:rsidRPr="00A111D2">
        <w:t>Abacus Data and Canadian Bankers Association, accessed July 27, 2017, https://www.cba.ca/Assets/CBA/Files/Article%20Category/PDF/misc_2015annualpoll_en.pdf.</w:t>
      </w:r>
    </w:p>
  </w:endnote>
  <w:endnote w:id="10">
    <w:p w14:paraId="43507A77" w14:textId="595D363F" w:rsidR="00A111D2" w:rsidRPr="00A111D2" w:rsidRDefault="00A111D2" w:rsidP="007E2FD2">
      <w:pPr>
        <w:pStyle w:val="Footnote"/>
        <w:rPr>
          <w:lang w:val="en-CA"/>
        </w:rPr>
      </w:pPr>
      <w:r w:rsidRPr="00865FDB">
        <w:rPr>
          <w:rStyle w:val="EndnoteReference"/>
        </w:rPr>
        <w:endnoteRef/>
      </w:r>
      <w:r w:rsidRPr="00A111D2">
        <w:t xml:space="preserve"> </w:t>
      </w:r>
      <w:r w:rsidRPr="00A111D2">
        <w:rPr>
          <w:color w:val="000000"/>
        </w:rPr>
        <w:t xml:space="preserve">CIBC, </w:t>
      </w:r>
      <w:r w:rsidRPr="00A111D2">
        <w:rPr>
          <w:i/>
          <w:color w:val="000000"/>
        </w:rPr>
        <w:t>CIBC 2016 Corporate Responsibility Report and Public Accountability Statement,</w:t>
      </w:r>
      <w:r w:rsidRPr="00A111D2">
        <w:rPr>
          <w:color w:val="000000"/>
        </w:rPr>
        <w:t xml:space="preserve"> 3, February 2017, accessed July 3, 2017, https://www.cibc.com/content/dam/about_cibc/corporate_responsibility/pdfs/cibc-crr-2016-en.pdf.</w:t>
      </w:r>
    </w:p>
  </w:endnote>
  <w:endnote w:id="11">
    <w:p w14:paraId="0176F3D0" w14:textId="7AE60348" w:rsidR="00A111D2" w:rsidRPr="00A111D2" w:rsidRDefault="00A111D2" w:rsidP="007E2FD2">
      <w:pPr>
        <w:pStyle w:val="Footnote"/>
        <w:rPr>
          <w:lang w:val="en-CA"/>
        </w:rPr>
      </w:pPr>
      <w:r w:rsidRPr="00865FDB">
        <w:rPr>
          <w:rStyle w:val="EndnoteReference"/>
        </w:rPr>
        <w:endnoteRef/>
      </w:r>
      <w:r w:rsidR="006B439A">
        <w:t> </w:t>
      </w:r>
      <w:r w:rsidRPr="00A111D2">
        <w:t xml:space="preserve">Royal Bank of Canada, </w:t>
      </w:r>
      <w:r w:rsidRPr="00A111D2">
        <w:rPr>
          <w:i/>
        </w:rPr>
        <w:t>Corporate Citizenship Report 2016</w:t>
      </w:r>
      <w:r w:rsidRPr="00A111D2">
        <w:t>, 74, July 2017, accessed July 18, 2017, www.rbc.com/community-sustainability/_assets-custom/pdf/RBC-CCR-Report-2016-e.pdf.</w:t>
      </w:r>
    </w:p>
  </w:endnote>
  <w:endnote w:id="12">
    <w:p w14:paraId="4B74181A" w14:textId="65153576" w:rsidR="00A111D2" w:rsidRPr="00A111D2" w:rsidRDefault="00A111D2" w:rsidP="007E2FD2">
      <w:pPr>
        <w:pStyle w:val="Footnote"/>
        <w:rPr>
          <w:lang w:val="en-CA"/>
        </w:rPr>
      </w:pPr>
      <w:r w:rsidRPr="00865FDB">
        <w:rPr>
          <w:rStyle w:val="EndnoteReference"/>
        </w:rPr>
        <w:endnoteRef/>
      </w:r>
      <w:r w:rsidRPr="00A111D2">
        <w:t xml:space="preserve"> </w:t>
      </w:r>
      <w:r w:rsidRPr="00865FDB">
        <w:rPr>
          <w:i/>
        </w:rPr>
        <w:t>BMO Financial Group 2016 Corporate Social Responsibility Report,</w:t>
      </w:r>
      <w:r w:rsidRPr="00A111D2">
        <w:t xml:space="preserve"> July 2016, accessed September 19, 2017, https://www.bmo.com/cr/files/BMO_CR2016en.pdf.</w:t>
      </w:r>
    </w:p>
  </w:endnote>
  <w:endnote w:id="13">
    <w:p w14:paraId="3FCD775C" w14:textId="04547D2B" w:rsidR="00A111D2" w:rsidRPr="00A111D2" w:rsidRDefault="00A111D2" w:rsidP="00864F86">
      <w:pPr>
        <w:pStyle w:val="Footnote"/>
        <w:rPr>
          <w:spacing w:val="-4"/>
          <w:kern w:val="17"/>
          <w:lang w:val="en-CA"/>
        </w:rPr>
      </w:pPr>
      <w:r w:rsidRPr="00865FDB">
        <w:rPr>
          <w:rStyle w:val="EndnoteReference"/>
          <w:spacing w:val="-4"/>
          <w:kern w:val="17"/>
        </w:rPr>
        <w:endnoteRef/>
      </w:r>
      <w:r w:rsidRPr="00A111D2">
        <w:rPr>
          <w:spacing w:val="-4"/>
          <w:kern w:val="17"/>
        </w:rPr>
        <w:t xml:space="preserve"> </w:t>
      </w:r>
      <w:r w:rsidR="00894674" w:rsidRPr="00894674">
        <w:rPr>
          <w:spacing w:val="-4"/>
          <w:kern w:val="17"/>
        </w:rPr>
        <w:t xml:space="preserve">TD Bank Group, </w:t>
      </w:r>
      <w:r w:rsidR="00894674" w:rsidRPr="00894674">
        <w:rPr>
          <w:i/>
          <w:spacing w:val="-4"/>
          <w:kern w:val="17"/>
        </w:rPr>
        <w:t>2015 TD Corporate Responsibility Report: Adapting to Be the Bank You Need</w:t>
      </w:r>
      <w:r w:rsidR="00894674" w:rsidRPr="00894674">
        <w:rPr>
          <w:spacing w:val="-4"/>
          <w:kern w:val="17"/>
        </w:rPr>
        <w:t>, 2016, 11, accessed July 29, 2017, https://www.td.com/document/PDF/corporateresponsibility/2015-Final-CRR_EN.pdf.</w:t>
      </w:r>
    </w:p>
  </w:endnote>
  <w:endnote w:id="14">
    <w:p w14:paraId="4868E887" w14:textId="20A82375" w:rsidR="00A111D2" w:rsidRPr="00A111D2" w:rsidRDefault="00A111D2" w:rsidP="007E2FD2">
      <w:pPr>
        <w:pStyle w:val="Footnote"/>
        <w:rPr>
          <w:lang w:val="en-CA"/>
        </w:rPr>
      </w:pPr>
      <w:r w:rsidRPr="00865FDB">
        <w:rPr>
          <w:rStyle w:val="EndnoteReference"/>
        </w:rPr>
        <w:endnoteRef/>
      </w:r>
      <w:r w:rsidRPr="00A111D2">
        <w:t xml:space="preserve"> TD Bank Group, op. cit., 49</w:t>
      </w:r>
      <w:r w:rsidR="009C6B5E">
        <w:t>.</w:t>
      </w:r>
    </w:p>
  </w:endnote>
  <w:endnote w:id="15">
    <w:p w14:paraId="7BAD504A" w14:textId="6D650137" w:rsidR="00A111D2" w:rsidRPr="00A111D2" w:rsidRDefault="00A111D2" w:rsidP="007E2FD2">
      <w:pPr>
        <w:pStyle w:val="Footnote"/>
        <w:rPr>
          <w:lang w:val="en-CA"/>
        </w:rPr>
      </w:pPr>
      <w:r w:rsidRPr="00865FDB">
        <w:rPr>
          <w:rStyle w:val="EndnoteReference"/>
        </w:rPr>
        <w:endnoteRef/>
      </w:r>
      <w:r w:rsidRPr="00A111D2">
        <w:t xml:space="preserve"> “The Top 50: Best in Class,” </w:t>
      </w:r>
      <w:r w:rsidRPr="00A111D2">
        <w:rPr>
          <w:i/>
        </w:rPr>
        <w:t>Maclean’s</w:t>
      </w:r>
      <w:r w:rsidRPr="00A111D2">
        <w:t>, June 6, 2013,</w:t>
      </w:r>
      <w:r w:rsidRPr="00A111D2">
        <w:rPr>
          <w:i/>
        </w:rPr>
        <w:t xml:space="preserve"> </w:t>
      </w:r>
      <w:r w:rsidRPr="00A111D2">
        <w:t>accessed August 29, 2017, www.macleans.ca/canada-top-50-socially-responsible-corporations-2013/.</w:t>
      </w:r>
    </w:p>
  </w:endnote>
  <w:endnote w:id="16">
    <w:p w14:paraId="42EE3180" w14:textId="56EC8048" w:rsidR="00A111D2" w:rsidRPr="00A111D2" w:rsidRDefault="00A111D2" w:rsidP="007E2FD2">
      <w:pPr>
        <w:pStyle w:val="Footnote"/>
        <w:rPr>
          <w:lang w:val="en-CA"/>
        </w:rPr>
      </w:pPr>
      <w:r w:rsidRPr="00865FDB">
        <w:rPr>
          <w:rStyle w:val="EndnoteReference"/>
        </w:rPr>
        <w:endnoteRef/>
      </w:r>
      <w:r w:rsidRPr="00A111D2">
        <w:t xml:space="preserve"> Mike Valente, “Who’s to Blame for Household Debt Levels?” Business in a Sustainable Society (blog), October 22, 2012, accessed July 28, 2017, http://valentemike.blogspot.ca/2012/10/whos-to-blame-for-household-debt-levels.html.</w:t>
      </w:r>
    </w:p>
  </w:endnote>
  <w:endnote w:id="17">
    <w:p w14:paraId="7A6DE7E6" w14:textId="4A023A2C" w:rsidR="00A111D2" w:rsidRPr="00A111D2" w:rsidRDefault="00A111D2" w:rsidP="000A1006">
      <w:pPr>
        <w:pStyle w:val="Footnote"/>
        <w:rPr>
          <w:lang w:val="en-CA"/>
        </w:rPr>
      </w:pPr>
      <w:r w:rsidRPr="00865FDB">
        <w:rPr>
          <w:rStyle w:val="EndnoteReference"/>
        </w:rPr>
        <w:endnoteRef/>
      </w:r>
      <w:r w:rsidRPr="00A111D2">
        <w:t xml:space="preserve"> Erica Johnson,</w:t>
      </w:r>
      <w:r w:rsidRPr="00A111D2" w:rsidDel="00735266">
        <w:t xml:space="preserve"> </w:t>
      </w:r>
      <w:r w:rsidRPr="00A111D2">
        <w:t>“‘Sell to T</w:t>
      </w:r>
      <w:r w:rsidRPr="00A111D2" w:rsidDel="00735266">
        <w:t xml:space="preserve">hem </w:t>
      </w:r>
      <w:r w:rsidRPr="00A111D2">
        <w:t>or You Will Lose Your Job’: Call Centre Employees for Big Banks Reveal Upsell Pressures,” CBC News,</w:t>
      </w:r>
      <w:r w:rsidRPr="00A111D2">
        <w:rPr>
          <w:i/>
        </w:rPr>
        <w:t xml:space="preserve"> </w:t>
      </w:r>
      <w:r w:rsidRPr="00A111D2">
        <w:t>March 20, 2017, accessed April 10, 2017, www.cbc.ca/news/business/banks-sales-tactics-call-centres-go-public-1.4030981</w:t>
      </w:r>
      <w:r w:rsidRPr="00A111D2" w:rsidDel="00735266">
        <w:t>www.cbc.ca/news/business/banks-sales-tactics-call-centres-go-public-1.4030981</w:t>
      </w:r>
      <w:r w:rsidRPr="00A111D2">
        <w:t>.</w:t>
      </w:r>
    </w:p>
  </w:endnote>
  <w:endnote w:id="18">
    <w:p w14:paraId="2D57B9B1" w14:textId="04067524" w:rsidR="00A111D2" w:rsidRPr="00A111D2" w:rsidRDefault="00A111D2" w:rsidP="007E2FD2">
      <w:pPr>
        <w:pStyle w:val="Footnote"/>
        <w:rPr>
          <w:spacing w:val="-4"/>
          <w:kern w:val="17"/>
          <w:lang w:val="en-CA"/>
        </w:rPr>
      </w:pPr>
      <w:r w:rsidRPr="00865FDB">
        <w:rPr>
          <w:rStyle w:val="EndnoteReference"/>
          <w:spacing w:val="-4"/>
          <w:kern w:val="17"/>
        </w:rPr>
        <w:endnoteRef/>
      </w:r>
      <w:r w:rsidR="006B439A">
        <w:rPr>
          <w:spacing w:val="-4"/>
          <w:kern w:val="17"/>
        </w:rPr>
        <w:t> </w:t>
      </w:r>
      <w:r w:rsidRPr="00A111D2">
        <w:rPr>
          <w:spacing w:val="-4"/>
          <w:kern w:val="17"/>
        </w:rPr>
        <w:t>Daniel Tencer, “Housing Market: Toronto Condo Analysis Uncovers Spectre of Irresponsible Lending,” Huffington Post,</w:t>
      </w:r>
      <w:r w:rsidRPr="00A111D2">
        <w:rPr>
          <w:i/>
          <w:spacing w:val="-4"/>
          <w:kern w:val="17"/>
        </w:rPr>
        <w:t xml:space="preserve"> </w:t>
      </w:r>
      <w:r w:rsidRPr="00A111D2">
        <w:rPr>
          <w:spacing w:val="-4"/>
          <w:kern w:val="17"/>
        </w:rPr>
        <w:t>November</w:t>
      </w:r>
      <w:r>
        <w:rPr>
          <w:spacing w:val="-4"/>
          <w:kern w:val="17"/>
        </w:rPr>
        <w:t> </w:t>
      </w:r>
      <w:r w:rsidRPr="00A111D2">
        <w:rPr>
          <w:spacing w:val="-4"/>
          <w:kern w:val="17"/>
        </w:rPr>
        <w:t>6, 2012, accessed July 10, 2017, www.huffingtonpost.ca/2012/11/05/condo-market-toronto-vancouver-canada_n_2079394.html.</w:t>
      </w:r>
    </w:p>
  </w:endnote>
  <w:endnote w:id="19">
    <w:p w14:paraId="197B8F00" w14:textId="40B3DEEE" w:rsidR="00A111D2" w:rsidRPr="00A111D2" w:rsidRDefault="00A111D2" w:rsidP="007E2FD2">
      <w:pPr>
        <w:pStyle w:val="Footnote"/>
        <w:rPr>
          <w:lang w:val="en-CA"/>
        </w:rPr>
      </w:pPr>
      <w:r w:rsidRPr="00865FDB">
        <w:rPr>
          <w:rStyle w:val="EndnoteReference"/>
        </w:rPr>
        <w:endnoteRef/>
      </w:r>
      <w:r w:rsidRPr="00A111D2">
        <w:t xml:space="preserve"> Financial Consumer Agency of Canada, “Strengthening Financial Literacy in Canada,” Government of Canada, accessed July 29, 2017, https://www.canada.ca/en/financial-consumer-agency/programs/financial-literacy.html.</w:t>
      </w:r>
    </w:p>
  </w:endnote>
  <w:endnote w:id="20">
    <w:p w14:paraId="24CBFCE8" w14:textId="1BF3C7F0" w:rsidR="00A111D2" w:rsidRPr="00A111D2" w:rsidRDefault="00A111D2" w:rsidP="007E2FD2">
      <w:pPr>
        <w:pStyle w:val="Footnote"/>
        <w:rPr>
          <w:lang w:val="en-CA"/>
        </w:rPr>
      </w:pPr>
      <w:r w:rsidRPr="00865FDB">
        <w:rPr>
          <w:rStyle w:val="EndnoteReference"/>
        </w:rPr>
        <w:endnoteRef/>
      </w:r>
      <w:r w:rsidRPr="00A111D2">
        <w:t xml:space="preserve"> </w:t>
      </w:r>
      <w:r w:rsidRPr="00A111D2">
        <w:rPr>
          <w:color w:val="000000"/>
          <w:shd w:val="clear" w:color="auto" w:fill="FFFFFF"/>
        </w:rPr>
        <w:t xml:space="preserve">Madhavi Acharya and Tom Yew, “Cash Store Runs out of Money,” </w:t>
      </w:r>
      <w:r w:rsidRPr="00A111D2">
        <w:rPr>
          <w:i/>
          <w:iCs/>
          <w:color w:val="000000"/>
          <w:shd w:val="clear" w:color="auto" w:fill="FFFFFF"/>
        </w:rPr>
        <w:t>Toronto Star,</w:t>
      </w:r>
      <w:r w:rsidRPr="00A111D2">
        <w:rPr>
          <w:color w:val="000000"/>
          <w:shd w:val="clear" w:color="auto" w:fill="FFFFFF"/>
        </w:rPr>
        <w:t xml:space="preserve"> April 25, 2014, accessed July 28, 2017, </w:t>
      </w:r>
      <w:r w:rsidRPr="00A111D2">
        <w:rPr>
          <w:shd w:val="clear" w:color="auto" w:fill="FFFFFF"/>
        </w:rPr>
        <w:t>https://www.thestar.com/business/personal_finance/2014/04/25/cash_store_runs_out_of_money.html</w:t>
      </w:r>
      <w:r w:rsidRPr="00A111D2">
        <w:rPr>
          <w:color w:val="000000"/>
          <w:shd w:val="clear" w:color="auto" w:fill="FFFFFF"/>
        </w:rPr>
        <w:t>.</w:t>
      </w:r>
    </w:p>
  </w:endnote>
  <w:endnote w:id="21">
    <w:p w14:paraId="7ABCD8AD" w14:textId="79E8501A" w:rsidR="00A111D2" w:rsidRPr="00A111D2" w:rsidRDefault="00A111D2" w:rsidP="004C0E9D">
      <w:pPr>
        <w:pStyle w:val="EndnoteText"/>
        <w:rPr>
          <w:rFonts w:ascii="Arial" w:hAnsi="Arial" w:cs="Arial"/>
          <w:spacing w:val="-4"/>
          <w:kern w:val="17"/>
          <w:sz w:val="17"/>
          <w:szCs w:val="17"/>
          <w:lang w:val="en-US"/>
        </w:rPr>
      </w:pPr>
      <w:r w:rsidRPr="00A111D2">
        <w:rPr>
          <w:rStyle w:val="EndnoteReference"/>
          <w:rFonts w:ascii="Arial" w:hAnsi="Arial" w:cs="Arial"/>
          <w:spacing w:val="-4"/>
          <w:kern w:val="17"/>
          <w:sz w:val="17"/>
          <w:szCs w:val="17"/>
        </w:rPr>
        <w:endnoteRef/>
      </w:r>
      <w:r w:rsidRPr="00A111D2">
        <w:rPr>
          <w:rFonts w:ascii="Arial" w:hAnsi="Arial" w:cs="Arial"/>
          <w:spacing w:val="-4"/>
          <w:kern w:val="17"/>
          <w:sz w:val="17"/>
          <w:szCs w:val="17"/>
        </w:rPr>
        <w:t xml:space="preserve"> </w:t>
      </w:r>
      <w:r w:rsidR="00CC4F32">
        <w:rPr>
          <w:rFonts w:ascii="Arial" w:hAnsi="Arial" w:cs="Arial"/>
          <w:spacing w:val="-4"/>
          <w:kern w:val="17"/>
          <w:sz w:val="17"/>
          <w:szCs w:val="17"/>
          <w:lang w:val="en-US"/>
        </w:rPr>
        <w:t>“</w:t>
      </w:r>
      <w:r w:rsidRPr="00A111D2">
        <w:rPr>
          <w:rFonts w:ascii="Arial" w:hAnsi="Arial" w:cs="Arial"/>
          <w:spacing w:val="-4"/>
          <w:kern w:val="17"/>
          <w:sz w:val="17"/>
          <w:szCs w:val="17"/>
          <w:lang w:val="en-US"/>
        </w:rPr>
        <w:t>Vancity Fair and Fast Loan,</w:t>
      </w:r>
      <w:r w:rsidR="00CC4F32">
        <w:rPr>
          <w:rFonts w:ascii="Arial" w:hAnsi="Arial" w:cs="Arial"/>
          <w:spacing w:val="-4"/>
          <w:kern w:val="17"/>
          <w:sz w:val="17"/>
          <w:szCs w:val="17"/>
          <w:lang w:val="en-US"/>
        </w:rPr>
        <w:t>” Vancity,</w:t>
      </w:r>
      <w:r w:rsidRPr="00A111D2">
        <w:rPr>
          <w:rFonts w:ascii="Arial" w:hAnsi="Arial" w:cs="Arial"/>
          <w:spacing w:val="-4"/>
          <w:kern w:val="17"/>
          <w:sz w:val="17"/>
          <w:szCs w:val="17"/>
          <w:lang w:val="en-US"/>
        </w:rPr>
        <w:t xml:space="preserve"> accessed May 24, 2018</w:t>
      </w:r>
      <w:r w:rsidR="00CC4F32">
        <w:rPr>
          <w:rFonts w:ascii="Arial" w:hAnsi="Arial" w:cs="Arial"/>
          <w:spacing w:val="-4"/>
          <w:kern w:val="17"/>
          <w:sz w:val="17"/>
          <w:szCs w:val="17"/>
          <w:lang w:val="en-US"/>
        </w:rPr>
        <w:t xml:space="preserve">, </w:t>
      </w:r>
      <w:r w:rsidRPr="00A111D2">
        <w:rPr>
          <w:rFonts w:ascii="Arial" w:hAnsi="Arial" w:cs="Arial"/>
          <w:spacing w:val="-4"/>
          <w:kern w:val="17"/>
          <w:sz w:val="17"/>
          <w:szCs w:val="17"/>
          <w:lang w:val="en-US"/>
        </w:rPr>
        <w:t>https://www.vancity.com/Loans/TypesOfLoans/Fair AndFastLoan/.</w:t>
      </w:r>
    </w:p>
  </w:endnote>
  <w:endnote w:id="22">
    <w:p w14:paraId="3C464F1B" w14:textId="5A0DBEDE" w:rsidR="00A111D2" w:rsidRPr="00A111D2" w:rsidRDefault="00A111D2" w:rsidP="007E2FD2">
      <w:pPr>
        <w:pStyle w:val="Footnote"/>
        <w:rPr>
          <w:lang w:val="en-CA"/>
        </w:rPr>
      </w:pPr>
      <w:r w:rsidRPr="00865FDB">
        <w:rPr>
          <w:rStyle w:val="EndnoteReference"/>
        </w:rPr>
        <w:endnoteRef/>
      </w:r>
      <w:r w:rsidRPr="00A111D2">
        <w:t xml:space="preserve"> PwC, </w:t>
      </w:r>
      <w:r w:rsidRPr="00A111D2">
        <w:rPr>
          <w:i/>
        </w:rPr>
        <w:t>20th CEO Survey:</w:t>
      </w:r>
      <w:r w:rsidRPr="00A111D2">
        <w:t xml:space="preserve"> </w:t>
      </w:r>
      <w:r w:rsidRPr="00A111D2">
        <w:rPr>
          <w:i/>
        </w:rPr>
        <w:t>Key Findings from the Banking and Capital Markets Industry</w:t>
      </w:r>
      <w:r w:rsidRPr="00A111D2">
        <w:t>, Februar</w:t>
      </w:r>
      <w:r w:rsidR="006B439A">
        <w:t>y 2017, accessed July 29, 2017, </w:t>
      </w:r>
      <w:r w:rsidRPr="00A111D2">
        <w:t>https://www.pwchk.com/en/research-and-insights/global-ceo-survey/20/banking-and-capital-markets/pwc-20th-ceo-survey-banking-capital-markets.pdf.</w:t>
      </w:r>
    </w:p>
  </w:endnote>
  <w:endnote w:id="23">
    <w:p w14:paraId="705594AC" w14:textId="35DE834E" w:rsidR="00A111D2" w:rsidRPr="00A111D2" w:rsidRDefault="00A111D2" w:rsidP="007E2FD2">
      <w:pPr>
        <w:pStyle w:val="Footnote"/>
        <w:rPr>
          <w:lang w:val="en-CA"/>
        </w:rPr>
      </w:pPr>
      <w:r w:rsidRPr="00865FDB">
        <w:rPr>
          <w:rStyle w:val="EndnoteReference"/>
        </w:rPr>
        <w:endnoteRef/>
      </w:r>
      <w:r w:rsidRPr="00A111D2">
        <w:t xml:space="preserve"> Jens Munch, “What </w:t>
      </w:r>
      <w:r w:rsidR="00CC4F32">
        <w:t>I</w:t>
      </w:r>
      <w:r w:rsidRPr="00A111D2">
        <w:t xml:space="preserve">s Fintech and Why Does </w:t>
      </w:r>
      <w:r w:rsidR="00CC4F32">
        <w:t>I</w:t>
      </w:r>
      <w:r w:rsidRPr="00A111D2">
        <w:t>t Matter to All Entrepreneurs?” Hot Topics,</w:t>
      </w:r>
      <w:r w:rsidRPr="00A111D2">
        <w:rPr>
          <w:i/>
        </w:rPr>
        <w:t xml:space="preserve"> </w:t>
      </w:r>
      <w:r w:rsidRPr="00A111D2">
        <w:t>accessed August 19, 2017, https://www.hottopics.ht/3182/what-is-fintech-and-why-it-matters/.</w:t>
      </w:r>
    </w:p>
  </w:endnote>
  <w:endnote w:id="24">
    <w:p w14:paraId="1E3590D5" w14:textId="4A808FEE" w:rsidR="00A111D2" w:rsidRPr="00A111D2" w:rsidRDefault="00A111D2" w:rsidP="007E2FD2">
      <w:pPr>
        <w:pStyle w:val="Footnote"/>
        <w:rPr>
          <w:lang w:val="en-CA"/>
        </w:rPr>
      </w:pPr>
      <w:r w:rsidRPr="00865FDB">
        <w:rPr>
          <w:rStyle w:val="EndnoteReference"/>
        </w:rPr>
        <w:endnoteRef/>
      </w:r>
      <w:r w:rsidRPr="00A111D2">
        <w:t xml:space="preserve"> PwC, op. cit.</w:t>
      </w:r>
    </w:p>
  </w:endnote>
  <w:endnote w:id="25">
    <w:p w14:paraId="51232BF7" w14:textId="10521BA9" w:rsidR="00A111D2" w:rsidRPr="00A111D2" w:rsidRDefault="00A111D2" w:rsidP="00A111D2">
      <w:pPr>
        <w:pStyle w:val="Footnote"/>
        <w:rPr>
          <w:lang w:val="en-CA"/>
        </w:rPr>
      </w:pPr>
      <w:r w:rsidRPr="00865FDB">
        <w:rPr>
          <w:rStyle w:val="EndnoteReference"/>
        </w:rPr>
        <w:endnoteRef/>
      </w:r>
      <w:r w:rsidRPr="00A111D2">
        <w:t xml:space="preserve"> Globe Investor, “Meridian Credit Union Set To Launch April 4 After Two-Thirds of Members Approve Merger of HEPCOE Credit Union and NIAGARA Credit Union,” News release, Globe Investor,</w:t>
      </w:r>
      <w:r w:rsidRPr="00A111D2">
        <w:rPr>
          <w:i/>
        </w:rPr>
        <w:t xml:space="preserve"> </w:t>
      </w:r>
      <w:r w:rsidRPr="00A111D2">
        <w:t>February 16, 2005, accessed July 10, 2017, www.globeinvestor.com/servlet/ArticleNews/print/CNW/20050216/1302165334.</w:t>
      </w:r>
    </w:p>
  </w:endnote>
  <w:endnote w:id="26">
    <w:p w14:paraId="3C5325EE" w14:textId="70927380" w:rsidR="00A111D2" w:rsidRPr="00865FDB" w:rsidRDefault="00A111D2" w:rsidP="00865FDB">
      <w:pPr>
        <w:pStyle w:val="EndnoteText"/>
        <w:jc w:val="both"/>
        <w:rPr>
          <w:rFonts w:ascii="Arial" w:hAnsi="Arial" w:cs="Arial"/>
          <w:lang w:val="en-US"/>
        </w:rPr>
      </w:pPr>
      <w:r w:rsidRPr="00865FDB">
        <w:rPr>
          <w:rStyle w:val="EndnoteReference"/>
          <w:rFonts w:ascii="Arial" w:hAnsi="Arial" w:cs="Arial"/>
          <w:sz w:val="17"/>
          <w:szCs w:val="17"/>
        </w:rPr>
        <w:endnoteRef/>
      </w:r>
      <w:r w:rsidR="006B439A">
        <w:rPr>
          <w:rFonts w:ascii="Arial" w:hAnsi="Arial" w:cs="Arial"/>
        </w:rPr>
        <w:t> </w:t>
      </w:r>
      <w:r w:rsidRPr="00A111D2">
        <w:rPr>
          <w:rFonts w:ascii="Arial" w:hAnsi="Arial" w:cs="Arial"/>
          <w:sz w:val="17"/>
          <w:szCs w:val="17"/>
          <w:lang w:val="en-US"/>
        </w:rPr>
        <w:t xml:space="preserve">Canadian Credit Union Association (CCUA), </w:t>
      </w:r>
      <w:r w:rsidRPr="00865FDB">
        <w:rPr>
          <w:rFonts w:ascii="Arial" w:hAnsi="Arial" w:cs="Arial"/>
          <w:i/>
          <w:sz w:val="17"/>
          <w:szCs w:val="17"/>
          <w:lang w:val="en-US"/>
        </w:rPr>
        <w:t>National System Results: Fourth Quarter 2016</w:t>
      </w:r>
      <w:r w:rsidR="00CC4F32" w:rsidRPr="00865FDB">
        <w:rPr>
          <w:rFonts w:ascii="Arial" w:hAnsi="Arial" w:cs="Arial"/>
          <w:i/>
          <w:sz w:val="17"/>
          <w:szCs w:val="17"/>
          <w:lang w:val="en-US"/>
        </w:rPr>
        <w:t>,</w:t>
      </w:r>
      <w:r w:rsidR="00CC4F32">
        <w:rPr>
          <w:rFonts w:ascii="Arial" w:hAnsi="Arial" w:cs="Arial"/>
          <w:sz w:val="17"/>
          <w:szCs w:val="17"/>
          <w:lang w:val="en-US"/>
        </w:rPr>
        <w:t xml:space="preserve"> a</w:t>
      </w:r>
      <w:r w:rsidRPr="00A111D2">
        <w:rPr>
          <w:rFonts w:ascii="Arial" w:hAnsi="Arial" w:cs="Arial"/>
          <w:sz w:val="17"/>
          <w:szCs w:val="17"/>
          <w:lang w:val="en-US"/>
        </w:rPr>
        <w:t>ccessed May 24, 2018, https://www.ccua.com/~/media/CCUA/About/pdfs/4Q16SystemResults_7-Mar-17.pdf</w:t>
      </w:r>
      <w:r w:rsidR="00CC4F32">
        <w:rPr>
          <w:rFonts w:ascii="Arial" w:hAnsi="Arial" w:cs="Arial"/>
          <w:sz w:val="17"/>
          <w:szCs w:val="17"/>
          <w:lang w:val="en-US"/>
        </w:rPr>
        <w:t>.</w:t>
      </w:r>
    </w:p>
  </w:endnote>
  <w:endnote w:id="27">
    <w:p w14:paraId="4D5A8B8E" w14:textId="09E37F7C" w:rsidR="00A111D2" w:rsidRPr="00A111D2" w:rsidRDefault="00A111D2" w:rsidP="007E2FD2">
      <w:pPr>
        <w:pStyle w:val="Footnote"/>
        <w:rPr>
          <w:lang w:val="en-CA"/>
        </w:rPr>
      </w:pPr>
      <w:r w:rsidRPr="00865FDB">
        <w:rPr>
          <w:rStyle w:val="EndnoteReference"/>
        </w:rPr>
        <w:endnoteRef/>
      </w:r>
      <w:r w:rsidR="006B439A">
        <w:t> </w:t>
      </w:r>
      <w:r w:rsidRPr="00A111D2">
        <w:t>“Credit Unions in Canada,” Canadian Credit Union Association (CCUA), accessed September 9, 2017, https://www.ccua.com/credit_unions_in_canada.</w:t>
      </w:r>
    </w:p>
  </w:endnote>
  <w:endnote w:id="28">
    <w:p w14:paraId="25A8A4D9" w14:textId="3A6D1A78" w:rsidR="00A111D2" w:rsidRPr="00A111D2" w:rsidRDefault="00A111D2" w:rsidP="007E2FD2">
      <w:pPr>
        <w:pStyle w:val="Footnote"/>
        <w:rPr>
          <w:lang w:val="en-CA"/>
        </w:rPr>
      </w:pPr>
      <w:r w:rsidRPr="00865FDB">
        <w:rPr>
          <w:rStyle w:val="EndnoteReference"/>
        </w:rPr>
        <w:endnoteRef/>
      </w:r>
      <w:r w:rsidRPr="00A111D2">
        <w:t xml:space="preserve"> “May 10th Webinar: National Credit Union Awareness &amp; Perceptions: Study Results,” Canadian Credit Union Association (CCUA), May 15, 2017, accessed May 7, 2018, https://www.ccua.com/news/2017_05_05_national_credit_union_perception_and_awareness_results.</w:t>
      </w:r>
    </w:p>
  </w:endnote>
  <w:endnote w:id="29">
    <w:p w14:paraId="6E217065" w14:textId="77777777" w:rsidR="00A111D2" w:rsidRPr="00A111D2" w:rsidRDefault="00A111D2" w:rsidP="000145CB">
      <w:pPr>
        <w:pStyle w:val="Footnote"/>
        <w:rPr>
          <w:lang w:val="en-CA"/>
        </w:rPr>
      </w:pPr>
      <w:r w:rsidRPr="00865FDB">
        <w:rPr>
          <w:rStyle w:val="EndnoteReference"/>
        </w:rPr>
        <w:endnoteRef/>
      </w:r>
      <w:r w:rsidRPr="00A111D2">
        <w:t xml:space="preserve"> Rob Carrick, “Millennials, Banks Are Not Your Friends,” </w:t>
      </w:r>
      <w:r w:rsidRPr="00A111D2">
        <w:rPr>
          <w:i/>
        </w:rPr>
        <w:t xml:space="preserve">Globe and Mail, </w:t>
      </w:r>
      <w:r w:rsidRPr="00A111D2">
        <w:t>September 18, 2016, accessed July 12, 2017, https://www.theglobeandmail.com/globe-investor/personal-finance/genymoney/millennials-should-shop-around-for-banks/article31946752/.</w:t>
      </w:r>
    </w:p>
  </w:endnote>
  <w:endnote w:id="30">
    <w:p w14:paraId="660A2D28" w14:textId="78697F32" w:rsidR="00A111D2" w:rsidRPr="00865FDB" w:rsidRDefault="00A111D2" w:rsidP="00865FDB">
      <w:pPr>
        <w:pStyle w:val="EndnoteText"/>
        <w:jc w:val="both"/>
        <w:rPr>
          <w:rFonts w:ascii="Arial" w:hAnsi="Arial" w:cs="Arial"/>
          <w:spacing w:val="-4"/>
          <w:kern w:val="17"/>
          <w:lang w:val="en-US"/>
        </w:rPr>
      </w:pPr>
      <w:r w:rsidRPr="00A111D2">
        <w:rPr>
          <w:rStyle w:val="EndnoteReference"/>
          <w:rFonts w:ascii="Arial" w:hAnsi="Arial" w:cs="Arial"/>
          <w:spacing w:val="-4"/>
          <w:kern w:val="17"/>
          <w:sz w:val="17"/>
          <w:szCs w:val="17"/>
        </w:rPr>
        <w:endnoteRef/>
      </w:r>
      <w:r w:rsidRPr="00865FDB">
        <w:rPr>
          <w:rFonts w:ascii="Arial" w:hAnsi="Arial" w:cs="Arial"/>
          <w:spacing w:val="-4"/>
          <w:kern w:val="17"/>
        </w:rPr>
        <w:t xml:space="preserve"> </w:t>
      </w:r>
      <w:r w:rsidR="00CC4F32">
        <w:rPr>
          <w:rFonts w:ascii="Arial" w:hAnsi="Arial" w:cs="Arial"/>
          <w:spacing w:val="-4"/>
          <w:kern w:val="17"/>
          <w:sz w:val="17"/>
          <w:szCs w:val="17"/>
          <w:lang w:val="en-US"/>
        </w:rPr>
        <w:t>“</w:t>
      </w:r>
      <w:r w:rsidRPr="00A111D2">
        <w:rPr>
          <w:rFonts w:ascii="Arial" w:hAnsi="Arial" w:cs="Arial"/>
          <w:spacing w:val="-4"/>
          <w:kern w:val="17"/>
          <w:sz w:val="17"/>
          <w:szCs w:val="17"/>
          <w:lang w:val="en-US"/>
        </w:rPr>
        <w:t>Ipsos Awards Top Honours for Financial Services Excellence in Canada: Ipsos Announces Winners of 2017 Best Banking Awards</w:t>
      </w:r>
      <w:r w:rsidR="00CC4F32">
        <w:rPr>
          <w:rFonts w:ascii="Arial" w:hAnsi="Arial" w:cs="Arial"/>
          <w:spacing w:val="-4"/>
          <w:kern w:val="17"/>
          <w:sz w:val="17"/>
          <w:szCs w:val="17"/>
          <w:lang w:val="en-US"/>
        </w:rPr>
        <w:t xml:space="preserve">,” Ipsos, </w:t>
      </w:r>
      <w:r w:rsidRPr="00A111D2">
        <w:rPr>
          <w:rFonts w:ascii="Arial" w:hAnsi="Arial" w:cs="Arial"/>
          <w:spacing w:val="-4"/>
          <w:kern w:val="17"/>
          <w:sz w:val="17"/>
          <w:szCs w:val="17"/>
          <w:lang w:val="en-US"/>
        </w:rPr>
        <w:t xml:space="preserve">August 29, 2017, accessed November 18, 2017, </w:t>
      </w:r>
      <w:r w:rsidRPr="00A111D2">
        <w:rPr>
          <w:rFonts w:ascii="Arial" w:hAnsi="Arial" w:cs="Arial"/>
          <w:spacing w:val="-4"/>
          <w:kern w:val="17"/>
          <w:sz w:val="17"/>
          <w:szCs w:val="17"/>
        </w:rPr>
        <w:t>https://www.ipsos.com/en-ca/news-polls/banking-awards-2017</w:t>
      </w:r>
      <w:r w:rsidRPr="00A111D2">
        <w:rPr>
          <w:rFonts w:ascii="Arial" w:hAnsi="Arial" w:cs="Arial"/>
          <w:spacing w:val="-4"/>
          <w:kern w:val="17"/>
          <w:sz w:val="17"/>
          <w:szCs w:val="17"/>
          <w:lang w:val="en-US"/>
        </w:rPr>
        <w:t>.</w:t>
      </w:r>
    </w:p>
  </w:endnote>
  <w:endnote w:id="31">
    <w:p w14:paraId="22386302" w14:textId="37C1872B" w:rsidR="00A111D2" w:rsidRPr="00A111D2" w:rsidRDefault="00A111D2" w:rsidP="007E2FD2">
      <w:pPr>
        <w:pStyle w:val="Footnote"/>
        <w:rPr>
          <w:lang w:val="en-CA"/>
        </w:rPr>
      </w:pPr>
      <w:r w:rsidRPr="00865FDB">
        <w:rPr>
          <w:rStyle w:val="EndnoteReference"/>
        </w:rPr>
        <w:endnoteRef/>
      </w:r>
      <w:r w:rsidRPr="00A111D2">
        <w:t xml:space="preserve"> “Credit Unions Rated Best by Small Business; Scotiabank Tops List Among Big Five,” Canadian Federation of Independent Businesses, October 20, 2016, accessed July 12, 2017, https://www.cfib-fcei.ca/en/media/credit-unions-rated-best-small-business-scotiabank-tops-list-among-big-five.</w:t>
      </w:r>
    </w:p>
  </w:endnote>
  <w:endnote w:id="32">
    <w:p w14:paraId="683B01B1" w14:textId="02419BC0" w:rsidR="00A111D2" w:rsidRPr="00A111D2" w:rsidRDefault="00A111D2" w:rsidP="007E2FD2">
      <w:pPr>
        <w:pStyle w:val="Footnote"/>
        <w:rPr>
          <w:lang w:val="en-CA"/>
        </w:rPr>
      </w:pPr>
      <w:r w:rsidRPr="00865FDB">
        <w:rPr>
          <w:rStyle w:val="EndnoteReference"/>
        </w:rPr>
        <w:endnoteRef/>
      </w:r>
      <w:r w:rsidRPr="00A111D2">
        <w:t xml:space="preserve"> “Credit Unions in Canada,” Canadian Credit Union Association (CCUA), op. cit.</w:t>
      </w:r>
    </w:p>
  </w:endnote>
  <w:endnote w:id="33">
    <w:p w14:paraId="3ABCC575" w14:textId="7BFF9FE1" w:rsidR="00A111D2" w:rsidRPr="00A111D2" w:rsidRDefault="00A111D2" w:rsidP="007E2FD2">
      <w:pPr>
        <w:pStyle w:val="Footnote"/>
        <w:rPr>
          <w:lang w:val="en-CA"/>
        </w:rPr>
      </w:pPr>
      <w:r w:rsidRPr="00865FDB">
        <w:rPr>
          <w:rStyle w:val="EndnoteReference"/>
        </w:rPr>
        <w:endnoteRef/>
      </w:r>
      <w:r w:rsidRPr="00A111D2">
        <w:t xml:space="preserve"> Globe Investor, op. cit.</w:t>
      </w:r>
    </w:p>
  </w:endnote>
  <w:endnote w:id="34">
    <w:p w14:paraId="76EFF164" w14:textId="159DCDB0" w:rsidR="00A111D2" w:rsidRPr="00A111D2" w:rsidRDefault="00A111D2" w:rsidP="007E2FD2">
      <w:pPr>
        <w:pStyle w:val="Footnote"/>
        <w:rPr>
          <w:lang w:val="en-CA"/>
        </w:rPr>
      </w:pPr>
      <w:r w:rsidRPr="00865FDB">
        <w:rPr>
          <w:rStyle w:val="EndnoteReference"/>
        </w:rPr>
        <w:endnoteRef/>
      </w:r>
      <w:r w:rsidR="006B439A">
        <w:t> </w:t>
      </w:r>
      <w:r w:rsidRPr="00A111D2">
        <w:t>“Corporate Backgrounder,” Meridian Credit Union,</w:t>
      </w:r>
      <w:r w:rsidRPr="00A111D2">
        <w:rPr>
          <w:i/>
        </w:rPr>
        <w:t xml:space="preserve"> </w:t>
      </w:r>
      <w:r w:rsidRPr="00A111D2">
        <w:t>accessed February 10, 2017, https://www.meridiancu.ca/About-Meridian/Corporate-Backgrounder.aspx.</w:t>
      </w:r>
    </w:p>
  </w:endnote>
  <w:endnote w:id="35">
    <w:p w14:paraId="6E0C8C00" w14:textId="06E83381" w:rsidR="00A111D2" w:rsidRPr="00A111D2" w:rsidRDefault="00A111D2" w:rsidP="007E2FD2">
      <w:pPr>
        <w:pStyle w:val="Footnote"/>
        <w:rPr>
          <w:spacing w:val="-4"/>
          <w:kern w:val="17"/>
          <w:lang w:val="en-CA"/>
        </w:rPr>
      </w:pPr>
      <w:r w:rsidRPr="00A111D2">
        <w:rPr>
          <w:rStyle w:val="EndnoteReference"/>
          <w:spacing w:val="-4"/>
          <w:kern w:val="17"/>
        </w:rPr>
        <w:endnoteRef/>
      </w:r>
      <w:r w:rsidRPr="00A111D2">
        <w:rPr>
          <w:spacing w:val="-4"/>
          <w:kern w:val="17"/>
        </w:rPr>
        <w:t xml:space="preserve"> Erica Johnson, “Credit Union Employees Say High-Pressure Sales Targets Turn ‘Members’ into ‘Marks’,” CBC News, May 16, 2017, accessed July 29, 2017, www.cbc.ca/news/business/credit-union-employees-say-sales-targets-too-high-1.4109076.</w:t>
      </w:r>
    </w:p>
  </w:endnote>
  <w:endnote w:id="36">
    <w:p w14:paraId="7263D3CF" w14:textId="33483A32" w:rsidR="00A111D2" w:rsidRPr="00A111D2" w:rsidRDefault="00A111D2" w:rsidP="007E2FD2">
      <w:pPr>
        <w:pStyle w:val="Footnote"/>
        <w:rPr>
          <w:lang w:val="en-CA"/>
        </w:rPr>
      </w:pPr>
      <w:r w:rsidRPr="00A111D2">
        <w:rPr>
          <w:rStyle w:val="EndnoteReference"/>
        </w:rPr>
        <w:endnoteRef/>
      </w:r>
      <w:r w:rsidR="006B439A">
        <w:t> </w:t>
      </w:r>
      <w:r w:rsidRPr="00A111D2">
        <w:t>“Over a Decade of Canada’s Most Admired,” Waterstone Human Capital,</w:t>
      </w:r>
      <w:r w:rsidRPr="00A111D2">
        <w:rPr>
          <w:i/>
        </w:rPr>
        <w:t xml:space="preserve"> </w:t>
      </w:r>
      <w:r w:rsidRPr="00A111D2">
        <w:t>accessed December 21, 2017, https://waterstonehc.com/cma/awards/winners/.</w:t>
      </w:r>
    </w:p>
  </w:endnote>
  <w:endnote w:id="37">
    <w:p w14:paraId="7AC1971E" w14:textId="19252CE4" w:rsidR="00A111D2" w:rsidRPr="00A111D2" w:rsidRDefault="00A111D2" w:rsidP="007E2FD2">
      <w:pPr>
        <w:pStyle w:val="Footnote"/>
        <w:rPr>
          <w:lang w:val="en-CA"/>
        </w:rPr>
      </w:pPr>
      <w:r w:rsidRPr="00A111D2">
        <w:rPr>
          <w:rStyle w:val="EndnoteReference"/>
        </w:rPr>
        <w:endnoteRef/>
      </w:r>
      <w:r w:rsidRPr="00A111D2">
        <w:t xml:space="preserve"> Barbara Shecter, “Meridian Credit Union Seeking License for National Online Bank to Take on Big Five,” </w:t>
      </w:r>
      <w:r w:rsidRPr="00A111D2">
        <w:rPr>
          <w:i/>
        </w:rPr>
        <w:t>Financial Post,</w:t>
      </w:r>
      <w:r w:rsidRPr="00A111D2">
        <w:t xml:space="preserve"> August 17, 2016, accessed July 29, 2017, http://business.financialpost.com/news/fp-street/meridian-credit-union-seeking-license-for-national-online-bank-to-take-on-big-five.</w:t>
      </w:r>
    </w:p>
  </w:endnote>
  <w:endnote w:id="38">
    <w:p w14:paraId="6FCF61E4" w14:textId="3AFEC37B" w:rsidR="00A111D2" w:rsidRPr="00A111D2" w:rsidRDefault="00A111D2" w:rsidP="007E2FD2">
      <w:pPr>
        <w:pStyle w:val="Footnote"/>
        <w:rPr>
          <w:lang w:val="en-CA"/>
        </w:rPr>
      </w:pPr>
      <w:r w:rsidRPr="00A111D2">
        <w:rPr>
          <w:rStyle w:val="EndnoteReference"/>
        </w:rPr>
        <w:endnoteRef/>
      </w:r>
      <w:r w:rsidRPr="00A111D2">
        <w:t xml:space="preserve"> Ibid.</w:t>
      </w:r>
    </w:p>
  </w:endnote>
  <w:endnote w:id="39">
    <w:p w14:paraId="01EB5BBF" w14:textId="51760C24" w:rsidR="00A111D2" w:rsidRPr="00A111D2" w:rsidRDefault="00A111D2" w:rsidP="00A20C15">
      <w:pPr>
        <w:pStyle w:val="Footnote"/>
        <w:rPr>
          <w:lang w:val="en-CA"/>
        </w:rPr>
      </w:pPr>
      <w:r w:rsidRPr="00A111D2">
        <w:rPr>
          <w:rStyle w:val="EndnoteReference"/>
        </w:rPr>
        <w:endnoteRef/>
      </w:r>
      <w:r w:rsidR="006B439A">
        <w:t> </w:t>
      </w:r>
      <w:r w:rsidRPr="00865FDB">
        <w:rPr>
          <w:i/>
        </w:rPr>
        <w:t>Meridian Credit Union Limited Offering Statement,</w:t>
      </w:r>
      <w:r w:rsidRPr="00A111D2">
        <w:t xml:space="preserve"> December 29, 2016, 7, accessed October 25, 2017, https://www.meridiancu.ca/Meridian/media/images/Class-A-Shares-Series-17-Offering-Statement.pdf.</w:t>
      </w:r>
    </w:p>
  </w:endnote>
  <w:endnote w:id="40">
    <w:p w14:paraId="4FFA6990" w14:textId="0F1AB0E5" w:rsidR="00A111D2" w:rsidRPr="00A111D2" w:rsidRDefault="00A111D2" w:rsidP="00604292">
      <w:pPr>
        <w:pStyle w:val="Footnote"/>
      </w:pPr>
      <w:r w:rsidRPr="00A111D2">
        <w:rPr>
          <w:rStyle w:val="EndnoteReference"/>
        </w:rPr>
        <w:endnoteRef/>
      </w:r>
      <w:r w:rsidRPr="00A111D2">
        <w:t xml:space="preserve"> “Gross Domestic Product (GDP) Forecast,” The Conference Board of Canada,</w:t>
      </w:r>
      <w:r w:rsidRPr="00A111D2">
        <w:rPr>
          <w:i/>
        </w:rPr>
        <w:t xml:space="preserve"> </w:t>
      </w:r>
      <w:r w:rsidRPr="00A111D2">
        <w:t>accessed December 10, 2017, www.conferenceboard.ca/(X(1)S(pq0tkwnt1z2y5pnuqeukuya2))/e-data/data/gdp.aspx?AspxAutoDetectCookieSupport=1.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E0D3" w14:textId="77777777" w:rsidR="005C26F2" w:rsidRDefault="005C26F2" w:rsidP="00D75295">
      <w:r>
        <w:separator/>
      </w:r>
    </w:p>
  </w:footnote>
  <w:footnote w:type="continuationSeparator" w:id="0">
    <w:p w14:paraId="51F3782D" w14:textId="77777777" w:rsidR="005C26F2" w:rsidRDefault="005C26F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78AD" w14:textId="6078E33E" w:rsidR="00A111D2" w:rsidRPr="00C92CC4" w:rsidRDefault="00A111D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A703E">
      <w:rPr>
        <w:rFonts w:ascii="Arial" w:hAnsi="Arial"/>
        <w:b/>
        <w:noProof/>
      </w:rPr>
      <w:t>11</w:t>
    </w:r>
    <w:r>
      <w:rPr>
        <w:rFonts w:ascii="Arial" w:hAnsi="Arial"/>
        <w:b/>
      </w:rPr>
      <w:fldChar w:fldCharType="end"/>
    </w:r>
    <w:r w:rsidR="00894674">
      <w:rPr>
        <w:rFonts w:ascii="Arial" w:hAnsi="Arial"/>
        <w:b/>
      </w:rPr>
      <w:tab/>
    </w:r>
    <w:r w:rsidR="00EE4C7C" w:rsidRPr="00EE4C7C">
      <w:rPr>
        <w:rFonts w:ascii="Arial" w:hAnsi="Arial"/>
        <w:b/>
      </w:rPr>
      <w:t>9B18M100</w:t>
    </w:r>
  </w:p>
  <w:p w14:paraId="5895692D" w14:textId="77777777" w:rsidR="00A111D2" w:rsidRDefault="00A111D2" w:rsidP="00D13667">
    <w:pPr>
      <w:pStyle w:val="Header"/>
      <w:tabs>
        <w:tab w:val="clear" w:pos="4680"/>
      </w:tabs>
      <w:rPr>
        <w:sz w:val="18"/>
        <w:szCs w:val="18"/>
      </w:rPr>
    </w:pPr>
  </w:p>
  <w:p w14:paraId="76F0C580" w14:textId="77777777" w:rsidR="00A111D2" w:rsidRPr="00C92CC4" w:rsidRDefault="00A111D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A0A9A"/>
    <w:multiLevelType w:val="hybridMultilevel"/>
    <w:tmpl w:val="EF38F400"/>
    <w:lvl w:ilvl="0" w:tplc="51BAA10E">
      <w:start w:val="1"/>
      <w:numFmt w:val="decimal"/>
      <w:lvlText w:val="%1."/>
      <w:lvlJc w:val="left"/>
      <w:pPr>
        <w:ind w:left="880" w:hanging="44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8872A5"/>
    <w:multiLevelType w:val="hybridMultilevel"/>
    <w:tmpl w:val="5CA6D9EA"/>
    <w:lvl w:ilvl="0" w:tplc="51BAA10E">
      <w:start w:val="1"/>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86A6857"/>
    <w:multiLevelType w:val="hybridMultilevel"/>
    <w:tmpl w:val="4782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729231">
    <w:abstractNumId w:val="22"/>
  </w:num>
  <w:num w:numId="2" w16cid:durableId="24597427">
    <w:abstractNumId w:val="34"/>
  </w:num>
  <w:num w:numId="3" w16cid:durableId="1315915231">
    <w:abstractNumId w:val="32"/>
  </w:num>
  <w:num w:numId="4" w16cid:durableId="1372074054">
    <w:abstractNumId w:val="15"/>
  </w:num>
  <w:num w:numId="5" w16cid:durableId="1283609956">
    <w:abstractNumId w:val="26"/>
  </w:num>
  <w:num w:numId="6" w16cid:durableId="1962570777">
    <w:abstractNumId w:val="30"/>
  </w:num>
  <w:num w:numId="7" w16cid:durableId="1295864119">
    <w:abstractNumId w:val="23"/>
  </w:num>
  <w:num w:numId="8" w16cid:durableId="1709454503">
    <w:abstractNumId w:val="31"/>
  </w:num>
  <w:num w:numId="9" w16cid:durableId="966663409">
    <w:abstractNumId w:val="11"/>
  </w:num>
  <w:num w:numId="10" w16cid:durableId="1506936544">
    <w:abstractNumId w:val="19"/>
  </w:num>
  <w:num w:numId="11" w16cid:durableId="1920867275">
    <w:abstractNumId w:val="12"/>
  </w:num>
  <w:num w:numId="12" w16cid:durableId="1971131256">
    <w:abstractNumId w:val="38"/>
  </w:num>
  <w:num w:numId="13" w16cid:durableId="1673952831">
    <w:abstractNumId w:val="16"/>
  </w:num>
  <w:num w:numId="14" w16cid:durableId="1041203127">
    <w:abstractNumId w:val="29"/>
  </w:num>
  <w:num w:numId="15" w16cid:durableId="2131850190">
    <w:abstractNumId w:val="39"/>
  </w:num>
  <w:num w:numId="16" w16cid:durableId="544828107">
    <w:abstractNumId w:val="18"/>
  </w:num>
  <w:num w:numId="17" w16cid:durableId="1470900376">
    <w:abstractNumId w:val="25"/>
  </w:num>
  <w:num w:numId="18" w16cid:durableId="1850296409">
    <w:abstractNumId w:val="17"/>
  </w:num>
  <w:num w:numId="19" w16cid:durableId="1919829317">
    <w:abstractNumId w:val="21"/>
  </w:num>
  <w:num w:numId="20" w16cid:durableId="1776167494">
    <w:abstractNumId w:val="35"/>
  </w:num>
  <w:num w:numId="21" w16cid:durableId="638732115">
    <w:abstractNumId w:val="27"/>
  </w:num>
  <w:num w:numId="22" w16cid:durableId="1391348126">
    <w:abstractNumId w:val="28"/>
  </w:num>
  <w:num w:numId="23" w16cid:durableId="1902400877">
    <w:abstractNumId w:val="10"/>
  </w:num>
  <w:num w:numId="24" w16cid:durableId="1357347106">
    <w:abstractNumId w:val="13"/>
  </w:num>
  <w:num w:numId="25" w16cid:durableId="1987853417">
    <w:abstractNumId w:val="40"/>
  </w:num>
  <w:num w:numId="26" w16cid:durableId="1374768640">
    <w:abstractNumId w:val="41"/>
  </w:num>
  <w:num w:numId="27" w16cid:durableId="907108413">
    <w:abstractNumId w:val="20"/>
  </w:num>
  <w:num w:numId="28" w16cid:durableId="1587808939">
    <w:abstractNumId w:val="9"/>
  </w:num>
  <w:num w:numId="29" w16cid:durableId="928806735">
    <w:abstractNumId w:val="7"/>
  </w:num>
  <w:num w:numId="30" w16cid:durableId="707336033">
    <w:abstractNumId w:val="6"/>
  </w:num>
  <w:num w:numId="31" w16cid:durableId="266499867">
    <w:abstractNumId w:val="5"/>
  </w:num>
  <w:num w:numId="32" w16cid:durableId="757336069">
    <w:abstractNumId w:val="4"/>
  </w:num>
  <w:num w:numId="33" w16cid:durableId="1082801573">
    <w:abstractNumId w:val="8"/>
  </w:num>
  <w:num w:numId="34" w16cid:durableId="1647394808">
    <w:abstractNumId w:val="3"/>
  </w:num>
  <w:num w:numId="35" w16cid:durableId="1595165066">
    <w:abstractNumId w:val="2"/>
  </w:num>
  <w:num w:numId="36" w16cid:durableId="1980911766">
    <w:abstractNumId w:val="1"/>
  </w:num>
  <w:num w:numId="37" w16cid:durableId="247470090">
    <w:abstractNumId w:val="0"/>
  </w:num>
  <w:num w:numId="38" w16cid:durableId="1954702583">
    <w:abstractNumId w:val="33"/>
  </w:num>
  <w:num w:numId="39" w16cid:durableId="192422305">
    <w:abstractNumId w:val="24"/>
  </w:num>
  <w:num w:numId="40" w16cid:durableId="1866862049">
    <w:abstractNumId w:val="14"/>
  </w:num>
  <w:num w:numId="41" w16cid:durableId="1994140416">
    <w:abstractNumId w:val="36"/>
  </w:num>
  <w:num w:numId="42" w16cid:durableId="890965063">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45CB"/>
    <w:rsid w:val="00016759"/>
    <w:rsid w:val="000216CE"/>
    <w:rsid w:val="00024ED4"/>
    <w:rsid w:val="00025DC7"/>
    <w:rsid w:val="00035F09"/>
    <w:rsid w:val="00036B83"/>
    <w:rsid w:val="00044ECC"/>
    <w:rsid w:val="000531D3"/>
    <w:rsid w:val="0005366F"/>
    <w:rsid w:val="0005646B"/>
    <w:rsid w:val="0006149D"/>
    <w:rsid w:val="00075DDD"/>
    <w:rsid w:val="0008102D"/>
    <w:rsid w:val="00094C0E"/>
    <w:rsid w:val="000A1006"/>
    <w:rsid w:val="000B1B8C"/>
    <w:rsid w:val="000B40B1"/>
    <w:rsid w:val="000D3813"/>
    <w:rsid w:val="000D7091"/>
    <w:rsid w:val="000E7117"/>
    <w:rsid w:val="000F0C22"/>
    <w:rsid w:val="000F6B09"/>
    <w:rsid w:val="000F6FDC"/>
    <w:rsid w:val="00103111"/>
    <w:rsid w:val="00104567"/>
    <w:rsid w:val="00104916"/>
    <w:rsid w:val="00104AA7"/>
    <w:rsid w:val="00123E67"/>
    <w:rsid w:val="00124995"/>
    <w:rsid w:val="0012732D"/>
    <w:rsid w:val="00143933"/>
    <w:rsid w:val="00143F25"/>
    <w:rsid w:val="00152682"/>
    <w:rsid w:val="00154FC9"/>
    <w:rsid w:val="0017279A"/>
    <w:rsid w:val="001847CC"/>
    <w:rsid w:val="001909E7"/>
    <w:rsid w:val="0019241A"/>
    <w:rsid w:val="001A22D1"/>
    <w:rsid w:val="001A752D"/>
    <w:rsid w:val="001A757E"/>
    <w:rsid w:val="001B4058"/>
    <w:rsid w:val="001B5032"/>
    <w:rsid w:val="001C7777"/>
    <w:rsid w:val="001E364F"/>
    <w:rsid w:val="001E7802"/>
    <w:rsid w:val="001F4222"/>
    <w:rsid w:val="00203AA1"/>
    <w:rsid w:val="00210718"/>
    <w:rsid w:val="00213E98"/>
    <w:rsid w:val="00216E64"/>
    <w:rsid w:val="0023081A"/>
    <w:rsid w:val="00244F89"/>
    <w:rsid w:val="00245124"/>
    <w:rsid w:val="00254103"/>
    <w:rsid w:val="00263E98"/>
    <w:rsid w:val="002B5577"/>
    <w:rsid w:val="002C36E4"/>
    <w:rsid w:val="002E4F4F"/>
    <w:rsid w:val="002F460C"/>
    <w:rsid w:val="002F48D6"/>
    <w:rsid w:val="00313748"/>
    <w:rsid w:val="00317391"/>
    <w:rsid w:val="00326216"/>
    <w:rsid w:val="00336580"/>
    <w:rsid w:val="00342471"/>
    <w:rsid w:val="00354899"/>
    <w:rsid w:val="00355FD6"/>
    <w:rsid w:val="00360F4C"/>
    <w:rsid w:val="00364A5C"/>
    <w:rsid w:val="00373FB1"/>
    <w:rsid w:val="0038038D"/>
    <w:rsid w:val="0038334E"/>
    <w:rsid w:val="00384C2C"/>
    <w:rsid w:val="00396C76"/>
    <w:rsid w:val="003B178A"/>
    <w:rsid w:val="003B30D8"/>
    <w:rsid w:val="003B7EF2"/>
    <w:rsid w:val="003C3FA4"/>
    <w:rsid w:val="003C46C8"/>
    <w:rsid w:val="003D0BA1"/>
    <w:rsid w:val="003F2B0C"/>
    <w:rsid w:val="00401321"/>
    <w:rsid w:val="00401C58"/>
    <w:rsid w:val="004105B2"/>
    <w:rsid w:val="00412900"/>
    <w:rsid w:val="00413B6E"/>
    <w:rsid w:val="004221E4"/>
    <w:rsid w:val="004231CE"/>
    <w:rsid w:val="004273F8"/>
    <w:rsid w:val="004355A3"/>
    <w:rsid w:val="00446546"/>
    <w:rsid w:val="00452769"/>
    <w:rsid w:val="00452862"/>
    <w:rsid w:val="00465348"/>
    <w:rsid w:val="004B1CCB"/>
    <w:rsid w:val="004B5777"/>
    <w:rsid w:val="004B632F"/>
    <w:rsid w:val="004C0E9D"/>
    <w:rsid w:val="004D3FB1"/>
    <w:rsid w:val="004D6F21"/>
    <w:rsid w:val="004D73A5"/>
    <w:rsid w:val="004E652C"/>
    <w:rsid w:val="004E7C55"/>
    <w:rsid w:val="004F0C97"/>
    <w:rsid w:val="004F732D"/>
    <w:rsid w:val="00502D09"/>
    <w:rsid w:val="005160F1"/>
    <w:rsid w:val="00524F2F"/>
    <w:rsid w:val="00527E5C"/>
    <w:rsid w:val="00532CF5"/>
    <w:rsid w:val="005528CB"/>
    <w:rsid w:val="005650D7"/>
    <w:rsid w:val="00566771"/>
    <w:rsid w:val="00581E2E"/>
    <w:rsid w:val="00584F15"/>
    <w:rsid w:val="0059514B"/>
    <w:rsid w:val="005A1B0F"/>
    <w:rsid w:val="005B782B"/>
    <w:rsid w:val="005C26F2"/>
    <w:rsid w:val="005D5720"/>
    <w:rsid w:val="005F45C3"/>
    <w:rsid w:val="00604292"/>
    <w:rsid w:val="006163F7"/>
    <w:rsid w:val="00627C63"/>
    <w:rsid w:val="0063350B"/>
    <w:rsid w:val="00635572"/>
    <w:rsid w:val="00652606"/>
    <w:rsid w:val="00672C4C"/>
    <w:rsid w:val="006946EE"/>
    <w:rsid w:val="006A58A9"/>
    <w:rsid w:val="006A606D"/>
    <w:rsid w:val="006B439A"/>
    <w:rsid w:val="006C0371"/>
    <w:rsid w:val="006C08B6"/>
    <w:rsid w:val="006C0B1A"/>
    <w:rsid w:val="006C24BF"/>
    <w:rsid w:val="006C6065"/>
    <w:rsid w:val="006C7F9F"/>
    <w:rsid w:val="006E16AB"/>
    <w:rsid w:val="006E2F6D"/>
    <w:rsid w:val="006E58F6"/>
    <w:rsid w:val="006E77E1"/>
    <w:rsid w:val="006F131D"/>
    <w:rsid w:val="006F29A0"/>
    <w:rsid w:val="00711642"/>
    <w:rsid w:val="00712116"/>
    <w:rsid w:val="00723E79"/>
    <w:rsid w:val="00725FF3"/>
    <w:rsid w:val="00735266"/>
    <w:rsid w:val="007507C6"/>
    <w:rsid w:val="00751E0B"/>
    <w:rsid w:val="00752BCD"/>
    <w:rsid w:val="007536A7"/>
    <w:rsid w:val="00762386"/>
    <w:rsid w:val="00766DA1"/>
    <w:rsid w:val="00776DCB"/>
    <w:rsid w:val="00780276"/>
    <w:rsid w:val="00780D94"/>
    <w:rsid w:val="007866A6"/>
    <w:rsid w:val="007A130D"/>
    <w:rsid w:val="007B18E3"/>
    <w:rsid w:val="007C1FFB"/>
    <w:rsid w:val="007D1A2D"/>
    <w:rsid w:val="007D4102"/>
    <w:rsid w:val="007E2FD2"/>
    <w:rsid w:val="007F43B7"/>
    <w:rsid w:val="00802CA1"/>
    <w:rsid w:val="00821FFC"/>
    <w:rsid w:val="008271CA"/>
    <w:rsid w:val="00842304"/>
    <w:rsid w:val="008467D5"/>
    <w:rsid w:val="00864F86"/>
    <w:rsid w:val="00865FDB"/>
    <w:rsid w:val="00894674"/>
    <w:rsid w:val="008A4DC4"/>
    <w:rsid w:val="008B0C3D"/>
    <w:rsid w:val="008B438C"/>
    <w:rsid w:val="008D06CA"/>
    <w:rsid w:val="008D3A46"/>
    <w:rsid w:val="008E71E5"/>
    <w:rsid w:val="009067A4"/>
    <w:rsid w:val="0091200E"/>
    <w:rsid w:val="00930885"/>
    <w:rsid w:val="00933D68"/>
    <w:rsid w:val="009340DB"/>
    <w:rsid w:val="0094039C"/>
    <w:rsid w:val="00942A05"/>
    <w:rsid w:val="0094618C"/>
    <w:rsid w:val="0095684B"/>
    <w:rsid w:val="00962AE0"/>
    <w:rsid w:val="00972498"/>
    <w:rsid w:val="0097481F"/>
    <w:rsid w:val="00974CC6"/>
    <w:rsid w:val="00976AD4"/>
    <w:rsid w:val="00986ED4"/>
    <w:rsid w:val="00986F3F"/>
    <w:rsid w:val="00995547"/>
    <w:rsid w:val="009A312F"/>
    <w:rsid w:val="009A5348"/>
    <w:rsid w:val="009A703E"/>
    <w:rsid w:val="009B0AB7"/>
    <w:rsid w:val="009C6B5E"/>
    <w:rsid w:val="009C76D5"/>
    <w:rsid w:val="009D3279"/>
    <w:rsid w:val="009D6C7F"/>
    <w:rsid w:val="009E244B"/>
    <w:rsid w:val="009E3C97"/>
    <w:rsid w:val="009F7AA4"/>
    <w:rsid w:val="00A07609"/>
    <w:rsid w:val="00A10AD7"/>
    <w:rsid w:val="00A111D2"/>
    <w:rsid w:val="00A13BB5"/>
    <w:rsid w:val="00A206C7"/>
    <w:rsid w:val="00A20C15"/>
    <w:rsid w:val="00A559DB"/>
    <w:rsid w:val="00A569EA"/>
    <w:rsid w:val="00A77078"/>
    <w:rsid w:val="00AB0BA7"/>
    <w:rsid w:val="00AB24B3"/>
    <w:rsid w:val="00AD3235"/>
    <w:rsid w:val="00AF35FC"/>
    <w:rsid w:val="00AF5556"/>
    <w:rsid w:val="00B02A45"/>
    <w:rsid w:val="00B03639"/>
    <w:rsid w:val="00B0652A"/>
    <w:rsid w:val="00B12C1D"/>
    <w:rsid w:val="00B13D0F"/>
    <w:rsid w:val="00B22447"/>
    <w:rsid w:val="00B40937"/>
    <w:rsid w:val="00B423EF"/>
    <w:rsid w:val="00B43643"/>
    <w:rsid w:val="00B453DE"/>
    <w:rsid w:val="00B6139A"/>
    <w:rsid w:val="00B72597"/>
    <w:rsid w:val="00B901F9"/>
    <w:rsid w:val="00BD6EFB"/>
    <w:rsid w:val="00C1387C"/>
    <w:rsid w:val="00C1584D"/>
    <w:rsid w:val="00C15BE2"/>
    <w:rsid w:val="00C25C0D"/>
    <w:rsid w:val="00C3447F"/>
    <w:rsid w:val="00C54622"/>
    <w:rsid w:val="00C67102"/>
    <w:rsid w:val="00C7417D"/>
    <w:rsid w:val="00C764B7"/>
    <w:rsid w:val="00C81491"/>
    <w:rsid w:val="00C81676"/>
    <w:rsid w:val="00C85C5D"/>
    <w:rsid w:val="00C92CC4"/>
    <w:rsid w:val="00CA0AFB"/>
    <w:rsid w:val="00CA2CE1"/>
    <w:rsid w:val="00CA3976"/>
    <w:rsid w:val="00CA50E3"/>
    <w:rsid w:val="00CA757B"/>
    <w:rsid w:val="00CB20FD"/>
    <w:rsid w:val="00CB507E"/>
    <w:rsid w:val="00CC1787"/>
    <w:rsid w:val="00CC182C"/>
    <w:rsid w:val="00CC4F32"/>
    <w:rsid w:val="00CD0824"/>
    <w:rsid w:val="00CD2908"/>
    <w:rsid w:val="00D03A82"/>
    <w:rsid w:val="00D10FC0"/>
    <w:rsid w:val="00D13667"/>
    <w:rsid w:val="00D15344"/>
    <w:rsid w:val="00D23F57"/>
    <w:rsid w:val="00D31BEC"/>
    <w:rsid w:val="00D56222"/>
    <w:rsid w:val="00D57512"/>
    <w:rsid w:val="00D611DF"/>
    <w:rsid w:val="00D61B2A"/>
    <w:rsid w:val="00D63150"/>
    <w:rsid w:val="00D636BA"/>
    <w:rsid w:val="00D64A32"/>
    <w:rsid w:val="00D64EFC"/>
    <w:rsid w:val="00D75295"/>
    <w:rsid w:val="00D762A2"/>
    <w:rsid w:val="00D76CE9"/>
    <w:rsid w:val="00D9041F"/>
    <w:rsid w:val="00D97F12"/>
    <w:rsid w:val="00DA6095"/>
    <w:rsid w:val="00DB103D"/>
    <w:rsid w:val="00DB42E7"/>
    <w:rsid w:val="00DC08EB"/>
    <w:rsid w:val="00DD435E"/>
    <w:rsid w:val="00DE01A6"/>
    <w:rsid w:val="00DE7A98"/>
    <w:rsid w:val="00DF32C2"/>
    <w:rsid w:val="00E14C50"/>
    <w:rsid w:val="00E220D8"/>
    <w:rsid w:val="00E23C21"/>
    <w:rsid w:val="00E2644F"/>
    <w:rsid w:val="00E35250"/>
    <w:rsid w:val="00E471A7"/>
    <w:rsid w:val="00E51E8E"/>
    <w:rsid w:val="00E635CF"/>
    <w:rsid w:val="00E655B8"/>
    <w:rsid w:val="00EB7003"/>
    <w:rsid w:val="00EC6E0A"/>
    <w:rsid w:val="00ED4E18"/>
    <w:rsid w:val="00EE1F37"/>
    <w:rsid w:val="00EE4C7C"/>
    <w:rsid w:val="00F0159C"/>
    <w:rsid w:val="00F105B7"/>
    <w:rsid w:val="00F13220"/>
    <w:rsid w:val="00F16927"/>
    <w:rsid w:val="00F17A21"/>
    <w:rsid w:val="00F37B27"/>
    <w:rsid w:val="00F46556"/>
    <w:rsid w:val="00F50E91"/>
    <w:rsid w:val="00F51F2D"/>
    <w:rsid w:val="00F576F7"/>
    <w:rsid w:val="00F57D29"/>
    <w:rsid w:val="00F620D6"/>
    <w:rsid w:val="00F77C33"/>
    <w:rsid w:val="00F83048"/>
    <w:rsid w:val="00F850C8"/>
    <w:rsid w:val="00F919BC"/>
    <w:rsid w:val="00F931E3"/>
    <w:rsid w:val="00F96201"/>
    <w:rsid w:val="00FB7D1F"/>
    <w:rsid w:val="00FC4B9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DED4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B613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bc.com/content/dam/about_cibc/investor_relations/pdfs/annual_reports/2016/ar-16-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o.com/ar20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d.com/annual-report/ar201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DiWv0" TargetMode="External"/><Relationship Id="rId14" Type="http://schemas.openxmlformats.org/officeDocument/2006/relationships/hyperlink" Target="http://annualreports.rbc.com/ar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989956-7BE0-4B65-B66B-CA4A10EBBBF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0A09840-83A1-4D01-B98C-1FBA389AB38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BC7DE-C2D7-4BE9-9122-C9C6A3B2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5245</Words>
  <Characters>29901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Product Coordinator</cp:lastModifiedBy>
  <cp:revision>3</cp:revision>
  <cp:lastPrinted>2018-07-06T11:48:00Z</cp:lastPrinted>
  <dcterms:created xsi:type="dcterms:W3CDTF">2023-11-02T16:55:00Z</dcterms:created>
  <dcterms:modified xsi:type="dcterms:W3CDTF">2023-11-02T17:00:00Z</dcterms:modified>
</cp:coreProperties>
</file>