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26985" w14:textId="5BA3B778" w:rsidR="00041585" w:rsidRDefault="00D00188" w:rsidP="00041585">
      <w:pPr>
        <w:pBdr>
          <w:bottom w:val="single" w:sz="18" w:space="1" w:color="auto"/>
        </w:pBdr>
        <w:tabs>
          <w:tab w:val="left" w:pos="-1440"/>
          <w:tab w:val="left" w:pos="-720"/>
          <w:tab w:val="left" w:pos="1"/>
        </w:tabs>
        <w:jc w:val="both"/>
        <w:rPr>
          <w:rFonts w:ascii="Arial" w:hAnsi="Arial"/>
          <w:b/>
          <w:sz w:val="24"/>
        </w:rPr>
      </w:pPr>
      <w:r>
        <w:rPr>
          <w:rFonts w:ascii="Arial" w:hAnsi="Arial"/>
          <w:b/>
          <w:noProof/>
          <w:sz w:val="24"/>
        </w:rPr>
        <w:drawing>
          <wp:inline distT="0" distB="0" distL="0" distR="0" wp14:anchorId="02F2DF53" wp14:editId="26DF3291">
            <wp:extent cx="261620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p w14:paraId="3756E1B1" w14:textId="77777777" w:rsidR="00812654" w:rsidRPr="00843FF2" w:rsidRDefault="00812654" w:rsidP="00086B26">
      <w:pPr>
        <w:pBdr>
          <w:bottom w:val="single" w:sz="18" w:space="1" w:color="auto"/>
        </w:pBdr>
        <w:tabs>
          <w:tab w:val="left" w:pos="-1440"/>
          <w:tab w:val="left" w:pos="-720"/>
          <w:tab w:val="left" w:pos="1"/>
        </w:tabs>
        <w:jc w:val="both"/>
        <w:rPr>
          <w:rFonts w:ascii="Arial" w:hAnsi="Arial"/>
          <w:b/>
          <w:sz w:val="2"/>
          <w:szCs w:val="2"/>
          <w:lang w:val="en-GB"/>
        </w:rPr>
      </w:pPr>
    </w:p>
    <w:p w14:paraId="1B1D1CFE" w14:textId="1C8F82C3" w:rsidR="00086B26" w:rsidRPr="005C3AD2" w:rsidRDefault="00486FDB" w:rsidP="00086B26">
      <w:pPr>
        <w:pStyle w:val="ProductNumber"/>
        <w:rPr>
          <w:lang w:val="en-GB"/>
        </w:rPr>
      </w:pPr>
      <w:r>
        <w:rPr>
          <w:lang w:val="en-GB"/>
        </w:rPr>
        <w:t>9B18M104</w:t>
      </w:r>
    </w:p>
    <w:p w14:paraId="46EE0002" w14:textId="77777777" w:rsidR="00D75295" w:rsidRPr="005C3AD2" w:rsidRDefault="00D75295" w:rsidP="00D75295">
      <w:pPr>
        <w:jc w:val="right"/>
        <w:rPr>
          <w:rFonts w:ascii="Arial" w:hAnsi="Arial"/>
          <w:b/>
          <w:sz w:val="28"/>
          <w:szCs w:val="28"/>
          <w:lang w:val="en-GB"/>
        </w:rPr>
      </w:pPr>
    </w:p>
    <w:p w14:paraId="33832E5C" w14:textId="77777777" w:rsidR="00013360" w:rsidRPr="005C3AD2" w:rsidRDefault="00013360" w:rsidP="00D75295">
      <w:pPr>
        <w:jc w:val="right"/>
        <w:rPr>
          <w:rFonts w:ascii="Arial" w:hAnsi="Arial"/>
          <w:b/>
          <w:sz w:val="28"/>
          <w:szCs w:val="28"/>
          <w:lang w:val="en-GB"/>
        </w:rPr>
      </w:pPr>
    </w:p>
    <w:p w14:paraId="4A964CE6" w14:textId="77777777" w:rsidR="00013360" w:rsidRPr="005C3AD2" w:rsidRDefault="00812654" w:rsidP="00013360">
      <w:pPr>
        <w:pStyle w:val="CaseTitle"/>
        <w:spacing w:after="0" w:line="240" w:lineRule="auto"/>
        <w:rPr>
          <w:sz w:val="20"/>
          <w:szCs w:val="20"/>
          <w:lang w:val="en-GB"/>
        </w:rPr>
      </w:pPr>
      <w:r w:rsidRPr="005C3AD2">
        <w:rPr>
          <w:rFonts w:eastAsia="Times New Roman"/>
          <w:lang w:val="en-GB"/>
        </w:rPr>
        <w:t>SOCIAL FOCUS CONSULTING: EVALUATING ITS LONG-TERM FEASIBILITY</w:t>
      </w:r>
    </w:p>
    <w:p w14:paraId="0310E65B" w14:textId="77777777" w:rsidR="00CA3976" w:rsidRPr="005C3AD2" w:rsidRDefault="00CA3976" w:rsidP="00013360">
      <w:pPr>
        <w:pStyle w:val="CaseTitle"/>
        <w:spacing w:after="0" w:line="240" w:lineRule="auto"/>
        <w:rPr>
          <w:sz w:val="20"/>
          <w:szCs w:val="20"/>
          <w:lang w:val="en-GB"/>
        </w:rPr>
      </w:pPr>
    </w:p>
    <w:p w14:paraId="3A61D985" w14:textId="77777777" w:rsidR="00013360" w:rsidRPr="005C3AD2" w:rsidRDefault="00013360" w:rsidP="00013360">
      <w:pPr>
        <w:pStyle w:val="CaseTitle"/>
        <w:spacing w:after="0" w:line="240" w:lineRule="auto"/>
        <w:rPr>
          <w:sz w:val="20"/>
          <w:szCs w:val="20"/>
          <w:lang w:val="en-GB"/>
        </w:rPr>
      </w:pPr>
    </w:p>
    <w:p w14:paraId="56E2A074" w14:textId="77777777" w:rsidR="00086B26" w:rsidRPr="005C3AD2" w:rsidRDefault="00812654" w:rsidP="00086B26">
      <w:pPr>
        <w:pStyle w:val="StyleCopyrightStatementAfter0ptBottomSinglesolidline1"/>
        <w:rPr>
          <w:lang w:val="en-GB"/>
        </w:rPr>
      </w:pPr>
      <w:r w:rsidRPr="005C3AD2">
        <w:rPr>
          <w:lang w:val="en-GB"/>
        </w:rPr>
        <w:t>John Paul de Silva and Anthony Goerzen</w:t>
      </w:r>
      <w:r w:rsidR="00086B26" w:rsidRPr="005C3AD2">
        <w:rPr>
          <w:lang w:val="en-GB"/>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F326A84" w14:textId="77777777" w:rsidR="00086B26" w:rsidRPr="005C3AD2" w:rsidRDefault="00086B26" w:rsidP="00086B26">
      <w:pPr>
        <w:pStyle w:val="StyleCopyrightStatementAfter0ptBottomSinglesolidline1"/>
        <w:rPr>
          <w:lang w:val="en-GB"/>
        </w:rPr>
      </w:pPr>
    </w:p>
    <w:p w14:paraId="5C2D24C4" w14:textId="77777777" w:rsidR="00041585" w:rsidRPr="00C02410" w:rsidRDefault="00041585" w:rsidP="0004158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4AE852BD" w14:textId="77777777" w:rsidR="00041585" w:rsidRPr="00C02410" w:rsidRDefault="00041585" w:rsidP="0004158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DBAE6D7" w14:textId="64A34B9E" w:rsidR="00751E0B" w:rsidRPr="005C3AD2" w:rsidRDefault="00041585" w:rsidP="00041585">
      <w:pPr>
        <w:pStyle w:val="StyleStyleCopyrightStatementAfter0ptBottomSinglesolid"/>
        <w:rPr>
          <w:lang w:val="en-GB"/>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sidR="00330A69">
        <w:rPr>
          <w:rFonts w:cs="Arial"/>
          <w:iCs w:val="0"/>
          <w:color w:val="auto"/>
          <w:szCs w:val="16"/>
        </w:rPr>
        <w:t>2020-12-04</w:t>
      </w:r>
    </w:p>
    <w:p w14:paraId="16369934" w14:textId="77777777" w:rsidR="00751E0B" w:rsidRPr="005C3AD2" w:rsidRDefault="00751E0B" w:rsidP="00751E0B">
      <w:pPr>
        <w:pStyle w:val="StyleCopyrightStatementAfter0ptBottomSinglesolidline1"/>
        <w:rPr>
          <w:rFonts w:ascii="Times New Roman" w:hAnsi="Times New Roman"/>
          <w:sz w:val="20"/>
          <w:lang w:val="en-GB"/>
        </w:rPr>
      </w:pPr>
    </w:p>
    <w:p w14:paraId="47A0243A" w14:textId="77777777" w:rsidR="004B632F" w:rsidRPr="005C3AD2" w:rsidRDefault="004B632F" w:rsidP="004B632F">
      <w:pPr>
        <w:pStyle w:val="StyleCopyrightStatementAfter0ptBottomSinglesolidline1"/>
        <w:rPr>
          <w:rFonts w:ascii="Times New Roman" w:hAnsi="Times New Roman"/>
          <w:sz w:val="20"/>
          <w:lang w:val="en-GB"/>
        </w:rPr>
      </w:pPr>
    </w:p>
    <w:p w14:paraId="659A91B8" w14:textId="77777777" w:rsidR="00665F2D" w:rsidRPr="00542A32" w:rsidRDefault="00812654" w:rsidP="00542A32">
      <w:pPr>
        <w:pStyle w:val="BodyTextMain"/>
        <w:rPr>
          <w:spacing w:val="-2"/>
        </w:rPr>
      </w:pPr>
      <w:r w:rsidRPr="00542A32">
        <w:rPr>
          <w:spacing w:val="-2"/>
        </w:rPr>
        <w:t xml:space="preserve">In September 2017, John Paul de Silva, </w:t>
      </w:r>
      <w:r w:rsidR="005C3AD2" w:rsidRPr="00542A32">
        <w:rPr>
          <w:spacing w:val="-2"/>
        </w:rPr>
        <w:t>the f</w:t>
      </w:r>
      <w:r w:rsidRPr="00542A32">
        <w:rPr>
          <w:spacing w:val="-2"/>
        </w:rPr>
        <w:t xml:space="preserve">ounder and </w:t>
      </w:r>
      <w:r w:rsidR="005C3AD2" w:rsidRPr="00542A32">
        <w:rPr>
          <w:spacing w:val="-2"/>
        </w:rPr>
        <w:t>m</w:t>
      </w:r>
      <w:r w:rsidRPr="00542A32">
        <w:rPr>
          <w:spacing w:val="-2"/>
        </w:rPr>
        <w:t xml:space="preserve">anaging </w:t>
      </w:r>
      <w:r w:rsidR="005C3AD2" w:rsidRPr="00542A32">
        <w:rPr>
          <w:spacing w:val="-2"/>
        </w:rPr>
        <w:t>d</w:t>
      </w:r>
      <w:r w:rsidRPr="00542A32">
        <w:rPr>
          <w:spacing w:val="-2"/>
        </w:rPr>
        <w:t xml:space="preserve">irector of Social Focus Consulting (SFC), was pondering how feasible his company would be in the long term. </w:t>
      </w:r>
      <w:r w:rsidR="00123865" w:rsidRPr="00542A32">
        <w:rPr>
          <w:spacing w:val="-2"/>
        </w:rPr>
        <w:t>Six years earlier, i</w:t>
      </w:r>
      <w:r w:rsidRPr="00542A32">
        <w:rPr>
          <w:spacing w:val="-2"/>
        </w:rPr>
        <w:t xml:space="preserve">n December 2011, de Silva </w:t>
      </w:r>
      <w:r w:rsidR="00123865" w:rsidRPr="00542A32">
        <w:rPr>
          <w:spacing w:val="-2"/>
        </w:rPr>
        <w:t xml:space="preserve">had </w:t>
      </w:r>
      <w:r w:rsidRPr="00542A32">
        <w:rPr>
          <w:spacing w:val="-2"/>
        </w:rPr>
        <w:t>founded SFC with the vision to help non-profit</w:t>
      </w:r>
      <w:r w:rsidR="005C3AD2" w:rsidRPr="00542A32">
        <w:rPr>
          <w:spacing w:val="-2"/>
        </w:rPr>
        <w:t xml:space="preserve"> organization</w:t>
      </w:r>
      <w:r w:rsidRPr="00542A32">
        <w:rPr>
          <w:spacing w:val="-2"/>
        </w:rPr>
        <w:t xml:space="preserve">s </w:t>
      </w:r>
      <w:r w:rsidR="0065468F" w:rsidRPr="00542A32">
        <w:rPr>
          <w:spacing w:val="-2"/>
        </w:rPr>
        <w:t xml:space="preserve">(NPO) </w:t>
      </w:r>
      <w:r w:rsidRPr="00542A32">
        <w:rPr>
          <w:spacing w:val="-2"/>
        </w:rPr>
        <w:t xml:space="preserve">and students. </w:t>
      </w:r>
      <w:r w:rsidR="005C3AD2" w:rsidRPr="00542A32">
        <w:rPr>
          <w:spacing w:val="-2"/>
        </w:rPr>
        <w:t>H</w:t>
      </w:r>
      <w:r w:rsidRPr="00542A32">
        <w:rPr>
          <w:spacing w:val="-2"/>
        </w:rPr>
        <w:t>is g</w:t>
      </w:r>
      <w:r w:rsidR="005C3AD2" w:rsidRPr="00542A32">
        <w:rPr>
          <w:spacing w:val="-2"/>
        </w:rPr>
        <w:t>oal originated</w:t>
      </w:r>
      <w:r w:rsidRPr="00542A32">
        <w:rPr>
          <w:spacing w:val="-2"/>
        </w:rPr>
        <w:t xml:space="preserve"> from his </w:t>
      </w:r>
      <w:r w:rsidR="005C3AD2" w:rsidRPr="00542A32">
        <w:rPr>
          <w:spacing w:val="-2"/>
        </w:rPr>
        <w:t xml:space="preserve">early </w:t>
      </w:r>
      <w:r w:rsidRPr="00542A32">
        <w:rPr>
          <w:spacing w:val="-2"/>
        </w:rPr>
        <w:t>life experience</w:t>
      </w:r>
      <w:r w:rsidR="005C3AD2" w:rsidRPr="00542A32">
        <w:rPr>
          <w:spacing w:val="-2"/>
        </w:rPr>
        <w:t>, having</w:t>
      </w:r>
      <w:r w:rsidRPr="00542A32">
        <w:rPr>
          <w:spacing w:val="-2"/>
        </w:rPr>
        <w:t xml:space="preserve"> grow</w:t>
      </w:r>
      <w:r w:rsidR="005C3AD2" w:rsidRPr="00542A32">
        <w:rPr>
          <w:spacing w:val="-2"/>
        </w:rPr>
        <w:t>n</w:t>
      </w:r>
      <w:r w:rsidRPr="00542A32">
        <w:rPr>
          <w:spacing w:val="-2"/>
        </w:rPr>
        <w:t xml:space="preserve"> up in a neighbo</w:t>
      </w:r>
      <w:r w:rsidR="005C3AD2" w:rsidRPr="00542A32">
        <w:rPr>
          <w:spacing w:val="-2"/>
        </w:rPr>
        <w:t>u</w:t>
      </w:r>
      <w:r w:rsidRPr="00542A32">
        <w:rPr>
          <w:spacing w:val="-2"/>
        </w:rPr>
        <w:t xml:space="preserve">rhood </w:t>
      </w:r>
      <w:r w:rsidR="005C3AD2" w:rsidRPr="00542A32">
        <w:rPr>
          <w:spacing w:val="-2"/>
        </w:rPr>
        <w:t>affected by</w:t>
      </w:r>
      <w:r w:rsidRPr="00542A32">
        <w:rPr>
          <w:spacing w:val="-2"/>
        </w:rPr>
        <w:t xml:space="preserve"> social issues such as gang</w:t>
      </w:r>
      <w:r w:rsidR="005C3AD2" w:rsidRPr="00542A32">
        <w:rPr>
          <w:spacing w:val="-2"/>
        </w:rPr>
        <w:t xml:space="preserve"> violence and</w:t>
      </w:r>
      <w:r w:rsidRPr="00542A32">
        <w:rPr>
          <w:spacing w:val="-2"/>
        </w:rPr>
        <w:t xml:space="preserve"> drug</w:t>
      </w:r>
      <w:r w:rsidR="005C3AD2" w:rsidRPr="00542A32">
        <w:rPr>
          <w:spacing w:val="-2"/>
        </w:rPr>
        <w:t>-related crime,</w:t>
      </w:r>
      <w:r w:rsidRPr="00542A32">
        <w:rPr>
          <w:spacing w:val="-2"/>
        </w:rPr>
        <w:t xml:space="preserve"> and </w:t>
      </w:r>
      <w:r w:rsidR="005C3AD2" w:rsidRPr="00542A32">
        <w:rPr>
          <w:spacing w:val="-2"/>
        </w:rPr>
        <w:t xml:space="preserve">from the </w:t>
      </w:r>
      <w:r w:rsidRPr="00542A32">
        <w:rPr>
          <w:spacing w:val="-2"/>
        </w:rPr>
        <w:t>frustrat</w:t>
      </w:r>
      <w:r w:rsidR="005C3AD2" w:rsidRPr="00542A32">
        <w:rPr>
          <w:spacing w:val="-2"/>
        </w:rPr>
        <w:t>ion related to a</w:t>
      </w:r>
      <w:r w:rsidR="00123865" w:rsidRPr="00542A32">
        <w:rPr>
          <w:spacing w:val="-2"/>
        </w:rPr>
        <w:t>tta</w:t>
      </w:r>
      <w:r w:rsidR="005C3AD2" w:rsidRPr="00542A32">
        <w:rPr>
          <w:spacing w:val="-2"/>
        </w:rPr>
        <w:t>ining</w:t>
      </w:r>
      <w:r w:rsidRPr="00542A32">
        <w:rPr>
          <w:spacing w:val="-2"/>
        </w:rPr>
        <w:t xml:space="preserve"> work experience </w:t>
      </w:r>
      <w:r w:rsidR="00B5182B" w:rsidRPr="00542A32">
        <w:rPr>
          <w:spacing w:val="-2"/>
        </w:rPr>
        <w:t>for</w:t>
      </w:r>
      <w:r w:rsidRPr="00542A32">
        <w:rPr>
          <w:spacing w:val="-2"/>
        </w:rPr>
        <w:t xml:space="preserve"> even </w:t>
      </w:r>
      <w:r w:rsidR="00B5182B" w:rsidRPr="00542A32">
        <w:rPr>
          <w:spacing w:val="-2"/>
        </w:rPr>
        <w:t xml:space="preserve">an </w:t>
      </w:r>
      <w:r w:rsidRPr="00542A32">
        <w:rPr>
          <w:spacing w:val="-2"/>
        </w:rPr>
        <w:t xml:space="preserve">entry-level position. </w:t>
      </w:r>
      <w:r w:rsidR="00B5182B" w:rsidRPr="00542A32">
        <w:rPr>
          <w:spacing w:val="-2"/>
        </w:rPr>
        <w:t>SFC</w:t>
      </w:r>
      <w:r w:rsidRPr="00542A32">
        <w:rPr>
          <w:spacing w:val="-2"/>
        </w:rPr>
        <w:t xml:space="preserve"> exclusively hir</w:t>
      </w:r>
      <w:r w:rsidR="00B5182B" w:rsidRPr="00542A32">
        <w:rPr>
          <w:spacing w:val="-2"/>
        </w:rPr>
        <w:t>ed</w:t>
      </w:r>
      <w:r w:rsidRPr="00542A32">
        <w:rPr>
          <w:spacing w:val="-2"/>
        </w:rPr>
        <w:t xml:space="preserve"> students</w:t>
      </w:r>
      <w:r w:rsidR="00B5182B" w:rsidRPr="00542A32">
        <w:rPr>
          <w:spacing w:val="-2"/>
        </w:rPr>
        <w:t xml:space="preserve"> to</w:t>
      </w:r>
      <w:r w:rsidRPr="00542A32">
        <w:rPr>
          <w:spacing w:val="-2"/>
        </w:rPr>
        <w:t xml:space="preserve"> help them g</w:t>
      </w:r>
      <w:r w:rsidR="00B5182B" w:rsidRPr="00542A32">
        <w:rPr>
          <w:spacing w:val="-2"/>
        </w:rPr>
        <w:t>ain</w:t>
      </w:r>
      <w:r w:rsidRPr="00542A32">
        <w:rPr>
          <w:spacing w:val="-2"/>
        </w:rPr>
        <w:t xml:space="preserve"> professional experience</w:t>
      </w:r>
      <w:r w:rsidR="00B5182B" w:rsidRPr="00542A32">
        <w:rPr>
          <w:spacing w:val="-2"/>
        </w:rPr>
        <w:t>,</w:t>
      </w:r>
      <w:r w:rsidRPr="00542A32">
        <w:rPr>
          <w:spacing w:val="-2"/>
        </w:rPr>
        <w:t xml:space="preserve"> while </w:t>
      </w:r>
      <w:r w:rsidR="00B5182B" w:rsidRPr="00542A32">
        <w:rPr>
          <w:spacing w:val="-2"/>
        </w:rPr>
        <w:t xml:space="preserve">also </w:t>
      </w:r>
      <w:r w:rsidRPr="00542A32">
        <w:rPr>
          <w:spacing w:val="-2"/>
        </w:rPr>
        <w:t xml:space="preserve">helping </w:t>
      </w:r>
      <w:r w:rsidR="0065468F" w:rsidRPr="00542A32">
        <w:rPr>
          <w:spacing w:val="-2"/>
        </w:rPr>
        <w:t xml:space="preserve">NPOs </w:t>
      </w:r>
      <w:r w:rsidRPr="00542A32">
        <w:rPr>
          <w:spacing w:val="-2"/>
        </w:rPr>
        <w:t xml:space="preserve">tap into the energy and ideas </w:t>
      </w:r>
      <w:r w:rsidR="00B5182B" w:rsidRPr="00542A32">
        <w:rPr>
          <w:spacing w:val="-2"/>
        </w:rPr>
        <w:t>that</w:t>
      </w:r>
      <w:r w:rsidRPr="00542A32">
        <w:rPr>
          <w:spacing w:val="-2"/>
        </w:rPr>
        <w:t xml:space="preserve"> Canada</w:t>
      </w:r>
      <w:r w:rsidR="00B5182B" w:rsidRPr="00542A32">
        <w:rPr>
          <w:spacing w:val="-2"/>
        </w:rPr>
        <w:t>’</w:t>
      </w:r>
      <w:r w:rsidRPr="00542A32">
        <w:rPr>
          <w:spacing w:val="-2"/>
        </w:rPr>
        <w:t>s youth</w:t>
      </w:r>
      <w:r w:rsidR="00B5182B" w:rsidRPr="00542A32">
        <w:rPr>
          <w:spacing w:val="-2"/>
        </w:rPr>
        <w:t xml:space="preserve"> could offer</w:t>
      </w:r>
      <w:r w:rsidRPr="00542A32">
        <w:rPr>
          <w:spacing w:val="-2"/>
        </w:rPr>
        <w:t xml:space="preserve">. </w:t>
      </w:r>
    </w:p>
    <w:p w14:paraId="75D53913" w14:textId="77777777" w:rsidR="00665F2D" w:rsidRPr="00542A32" w:rsidRDefault="00665F2D" w:rsidP="00542A32">
      <w:pPr>
        <w:pStyle w:val="BodyTextMain"/>
      </w:pPr>
    </w:p>
    <w:p w14:paraId="0FFB8A10" w14:textId="77777777" w:rsidR="00812654" w:rsidRPr="002C2D03" w:rsidRDefault="00B5182B" w:rsidP="00542A32">
      <w:pPr>
        <w:pStyle w:val="BodyTextMain"/>
        <w:rPr>
          <w:spacing w:val="-2"/>
        </w:rPr>
      </w:pPr>
      <w:r w:rsidRPr="002C2D03">
        <w:rPr>
          <w:spacing w:val="-2"/>
        </w:rPr>
        <w:t xml:space="preserve">On </w:t>
      </w:r>
      <w:r w:rsidR="00812654" w:rsidRPr="002C2D03">
        <w:rPr>
          <w:spacing w:val="-2"/>
        </w:rPr>
        <w:t>September</w:t>
      </w:r>
      <w:r w:rsidR="00123865" w:rsidRPr="002C2D03">
        <w:rPr>
          <w:spacing w:val="-2"/>
        </w:rPr>
        <w:t xml:space="preserve"> 1</w:t>
      </w:r>
      <w:r w:rsidR="00665F2D" w:rsidRPr="002C2D03">
        <w:rPr>
          <w:spacing w:val="-2"/>
        </w:rPr>
        <w:t>,</w:t>
      </w:r>
      <w:r w:rsidR="00812654" w:rsidRPr="002C2D03">
        <w:rPr>
          <w:spacing w:val="-2"/>
        </w:rPr>
        <w:t xml:space="preserve"> </w:t>
      </w:r>
      <w:r w:rsidR="00123865" w:rsidRPr="002C2D03">
        <w:rPr>
          <w:spacing w:val="-2"/>
        </w:rPr>
        <w:t xml:space="preserve">2017, </w:t>
      </w:r>
      <w:r w:rsidR="00812654" w:rsidRPr="002C2D03">
        <w:rPr>
          <w:spacing w:val="-2"/>
        </w:rPr>
        <w:t xml:space="preserve">de Silva was excitedly preparing his </w:t>
      </w:r>
      <w:r w:rsidR="00665F2D" w:rsidRPr="002C2D03">
        <w:rPr>
          <w:spacing w:val="-2"/>
        </w:rPr>
        <w:t>team</w:t>
      </w:r>
      <w:r w:rsidR="0065468F" w:rsidRPr="002C2D03">
        <w:rPr>
          <w:spacing w:val="-2"/>
        </w:rPr>
        <w:t xml:space="preserve"> based in</w:t>
      </w:r>
      <w:r w:rsidR="00665F2D" w:rsidRPr="002C2D03">
        <w:rPr>
          <w:spacing w:val="-2"/>
        </w:rPr>
        <w:t xml:space="preserve"> </w:t>
      </w:r>
      <w:r w:rsidR="00812654" w:rsidRPr="002C2D03">
        <w:rPr>
          <w:spacing w:val="-2"/>
        </w:rPr>
        <w:t>Kingston, Ontario</w:t>
      </w:r>
      <w:r w:rsidR="002B6AC8" w:rsidRPr="002C2D03">
        <w:rPr>
          <w:spacing w:val="-2"/>
          <w:lang w:val="en-CA"/>
        </w:rPr>
        <w:t>,</w:t>
      </w:r>
      <w:r w:rsidR="00812654" w:rsidRPr="002C2D03">
        <w:rPr>
          <w:spacing w:val="-2"/>
        </w:rPr>
        <w:t xml:space="preserve"> to work on projects for the sixth consecutive year. He was happy to reach this milestone</w:t>
      </w:r>
      <w:r w:rsidR="0065468F" w:rsidRPr="002C2D03">
        <w:rPr>
          <w:spacing w:val="-2"/>
        </w:rPr>
        <w:t>,</w:t>
      </w:r>
      <w:r w:rsidR="00812654" w:rsidRPr="002C2D03">
        <w:rPr>
          <w:spacing w:val="-2"/>
        </w:rPr>
        <w:t xml:space="preserve"> but wondered whether </w:t>
      </w:r>
      <w:r w:rsidR="00123865" w:rsidRPr="002C2D03">
        <w:rPr>
          <w:spacing w:val="-2"/>
        </w:rPr>
        <w:t>his</w:t>
      </w:r>
      <w:r w:rsidR="00812654" w:rsidRPr="002C2D03">
        <w:rPr>
          <w:spacing w:val="-2"/>
        </w:rPr>
        <w:t xml:space="preserve"> for-profit firm</w:t>
      </w:r>
      <w:r w:rsidR="00123865" w:rsidRPr="002C2D03">
        <w:rPr>
          <w:spacing w:val="-2"/>
        </w:rPr>
        <w:t>, which was</w:t>
      </w:r>
      <w:r w:rsidR="00812654" w:rsidRPr="002C2D03">
        <w:rPr>
          <w:spacing w:val="-2"/>
        </w:rPr>
        <w:t xml:space="preserve"> dedicated to providing consulting services to </w:t>
      </w:r>
      <w:r w:rsidR="0065468F" w:rsidRPr="002C2D03">
        <w:rPr>
          <w:spacing w:val="-2"/>
        </w:rPr>
        <w:t>NPO</w:t>
      </w:r>
      <w:r w:rsidR="001016F3" w:rsidRPr="002C2D03">
        <w:rPr>
          <w:spacing w:val="-2"/>
        </w:rPr>
        <w:t>s</w:t>
      </w:r>
      <w:r w:rsidR="00123865" w:rsidRPr="002C2D03">
        <w:rPr>
          <w:spacing w:val="-2"/>
        </w:rPr>
        <w:t>,</w:t>
      </w:r>
      <w:r w:rsidR="00812654" w:rsidRPr="002C2D03">
        <w:rPr>
          <w:spacing w:val="-2"/>
        </w:rPr>
        <w:t xml:space="preserve"> w</w:t>
      </w:r>
      <w:r w:rsidR="0065468F" w:rsidRPr="002C2D03">
        <w:rPr>
          <w:spacing w:val="-2"/>
        </w:rPr>
        <w:t>ould be</w:t>
      </w:r>
      <w:r w:rsidR="00812654" w:rsidRPr="002C2D03">
        <w:rPr>
          <w:spacing w:val="-2"/>
        </w:rPr>
        <w:t xml:space="preserve"> feasible </w:t>
      </w:r>
      <w:r w:rsidR="00123865" w:rsidRPr="002C2D03">
        <w:rPr>
          <w:spacing w:val="-2"/>
        </w:rPr>
        <w:t>over</w:t>
      </w:r>
      <w:r w:rsidR="00812654" w:rsidRPr="002C2D03">
        <w:rPr>
          <w:spacing w:val="-2"/>
        </w:rPr>
        <w:t xml:space="preserve"> the long</w:t>
      </w:r>
      <w:r w:rsidR="0065468F" w:rsidRPr="002C2D03">
        <w:rPr>
          <w:spacing w:val="-2"/>
        </w:rPr>
        <w:t xml:space="preserve"> </w:t>
      </w:r>
      <w:r w:rsidR="00812654" w:rsidRPr="002C2D03">
        <w:rPr>
          <w:spacing w:val="-2"/>
        </w:rPr>
        <w:t>term</w:t>
      </w:r>
      <w:r w:rsidR="0065468F" w:rsidRPr="002C2D03">
        <w:rPr>
          <w:spacing w:val="-2"/>
        </w:rPr>
        <w:t>,</w:t>
      </w:r>
      <w:r w:rsidR="00812654" w:rsidRPr="002C2D03">
        <w:rPr>
          <w:spacing w:val="-2"/>
        </w:rPr>
        <w:t xml:space="preserve"> given the current and potential market, the skills and resources required, the presence of competitors, </w:t>
      </w:r>
      <w:r w:rsidR="002B6AC8" w:rsidRPr="002C2D03">
        <w:rPr>
          <w:spacing w:val="-2"/>
          <w:lang w:val="en-CA"/>
        </w:rPr>
        <w:t xml:space="preserve">its </w:t>
      </w:r>
      <w:r w:rsidR="00812654" w:rsidRPr="002C2D03">
        <w:rPr>
          <w:spacing w:val="-2"/>
        </w:rPr>
        <w:t>past financial performance, and the recent success and failure of new project acquisitions</w:t>
      </w:r>
      <w:r w:rsidR="0065468F" w:rsidRPr="002C2D03">
        <w:rPr>
          <w:spacing w:val="-2"/>
        </w:rPr>
        <w:t>.</w:t>
      </w:r>
      <w:r w:rsidR="00812654" w:rsidRPr="002C2D03">
        <w:rPr>
          <w:spacing w:val="-2"/>
        </w:rPr>
        <w:t xml:space="preserve"> De Silva had to ensure </w:t>
      </w:r>
      <w:r w:rsidR="0065468F" w:rsidRPr="002C2D03">
        <w:rPr>
          <w:spacing w:val="-2"/>
        </w:rPr>
        <w:t xml:space="preserve">that </w:t>
      </w:r>
      <w:r w:rsidR="00812654" w:rsidRPr="002C2D03">
        <w:rPr>
          <w:spacing w:val="-2"/>
        </w:rPr>
        <w:t>the long-term business model w</w:t>
      </w:r>
      <w:r w:rsidR="0065468F" w:rsidRPr="002C2D03">
        <w:rPr>
          <w:spacing w:val="-2"/>
        </w:rPr>
        <w:t>ould be</w:t>
      </w:r>
      <w:r w:rsidR="00812654" w:rsidRPr="002C2D03">
        <w:rPr>
          <w:spacing w:val="-2"/>
        </w:rPr>
        <w:t xml:space="preserve"> feasible</w:t>
      </w:r>
      <w:r w:rsidR="0065468F" w:rsidRPr="002C2D03">
        <w:rPr>
          <w:spacing w:val="-2"/>
        </w:rPr>
        <w:t>;</w:t>
      </w:r>
      <w:r w:rsidR="00812654" w:rsidRPr="002C2D03">
        <w:rPr>
          <w:spacing w:val="-2"/>
        </w:rPr>
        <w:t xml:space="preserve"> moving forward</w:t>
      </w:r>
      <w:r w:rsidR="00E049A7" w:rsidRPr="002C2D03">
        <w:rPr>
          <w:spacing w:val="-2"/>
        </w:rPr>
        <w:t xml:space="preserve"> with a venture that was not feasible over the long term</w:t>
      </w:r>
      <w:r w:rsidR="00812654" w:rsidRPr="002C2D03">
        <w:rPr>
          <w:spacing w:val="-2"/>
        </w:rPr>
        <w:t xml:space="preserve"> could damage his professional reputation and waste</w:t>
      </w:r>
      <w:r w:rsidR="00E049A7" w:rsidRPr="002C2D03">
        <w:rPr>
          <w:spacing w:val="-2"/>
        </w:rPr>
        <w:t xml:space="preserve"> a great deal of</w:t>
      </w:r>
      <w:r w:rsidR="00812654" w:rsidRPr="002C2D03">
        <w:rPr>
          <w:spacing w:val="-2"/>
        </w:rPr>
        <w:t xml:space="preserve"> time and money.</w:t>
      </w:r>
    </w:p>
    <w:p w14:paraId="3FEC3A8A" w14:textId="77777777" w:rsidR="00812654" w:rsidRPr="00542A32" w:rsidRDefault="00812654" w:rsidP="00542A32">
      <w:pPr>
        <w:pStyle w:val="BodyTextMain"/>
      </w:pPr>
    </w:p>
    <w:p w14:paraId="648E98D9" w14:textId="77777777" w:rsidR="00812654" w:rsidRPr="00542A32" w:rsidRDefault="00812654" w:rsidP="00542A32">
      <w:pPr>
        <w:pStyle w:val="BodyTextMain"/>
      </w:pPr>
    </w:p>
    <w:p w14:paraId="4D8A9911" w14:textId="77777777" w:rsidR="00812654" w:rsidRPr="00843FF2" w:rsidRDefault="00812654" w:rsidP="00041585">
      <w:pPr>
        <w:pStyle w:val="Casehead1"/>
        <w:rPr>
          <w:sz w:val="20"/>
        </w:rPr>
      </w:pPr>
      <w:r w:rsidRPr="00843FF2">
        <w:rPr>
          <w:sz w:val="20"/>
        </w:rPr>
        <w:t>The Canadian Non-Profit Industry</w:t>
      </w:r>
    </w:p>
    <w:p w14:paraId="591F1204" w14:textId="77777777" w:rsidR="00812654" w:rsidRPr="005C3AD2" w:rsidRDefault="00812654" w:rsidP="00812654">
      <w:pPr>
        <w:pStyle w:val="BodyTextMain"/>
        <w:rPr>
          <w:lang w:val="en-GB"/>
        </w:rPr>
      </w:pPr>
    </w:p>
    <w:p w14:paraId="1803126D" w14:textId="3CBD47CC" w:rsidR="00D00188" w:rsidRPr="00FD561A" w:rsidRDefault="00812654" w:rsidP="00812654">
      <w:pPr>
        <w:pStyle w:val="BodyTextMain"/>
        <w:rPr>
          <w:spacing w:val="-4"/>
          <w:lang w:val="en-GB"/>
        </w:rPr>
      </w:pPr>
      <w:r w:rsidRPr="00FD561A">
        <w:rPr>
          <w:spacing w:val="-4"/>
          <w:lang w:val="en-GB"/>
        </w:rPr>
        <w:t>NPOs were corporations that exist</w:t>
      </w:r>
      <w:r w:rsidR="0065468F" w:rsidRPr="00FD561A">
        <w:rPr>
          <w:spacing w:val="-4"/>
          <w:lang w:val="en-GB"/>
        </w:rPr>
        <w:t>ed</w:t>
      </w:r>
      <w:r w:rsidRPr="00FD561A">
        <w:rPr>
          <w:spacing w:val="-4"/>
          <w:lang w:val="en-GB"/>
        </w:rPr>
        <w:t xml:space="preserve"> for purposes other than to generate profit. </w:t>
      </w:r>
      <w:r w:rsidR="00E049A7" w:rsidRPr="00FD561A">
        <w:rPr>
          <w:spacing w:val="-4"/>
          <w:lang w:val="en-GB"/>
        </w:rPr>
        <w:t>I</w:t>
      </w:r>
      <w:r w:rsidRPr="00FD561A">
        <w:rPr>
          <w:spacing w:val="-4"/>
          <w:lang w:val="en-GB"/>
        </w:rPr>
        <w:t>n terms of percentage of total work force</w:t>
      </w:r>
      <w:r w:rsidR="00E049A7" w:rsidRPr="00FD561A">
        <w:rPr>
          <w:spacing w:val="-4"/>
          <w:lang w:val="en-GB"/>
        </w:rPr>
        <w:t xml:space="preserve">, Canada had the second-largest </w:t>
      </w:r>
      <w:r w:rsidRPr="00FD561A">
        <w:rPr>
          <w:spacing w:val="-4"/>
          <w:lang w:val="en-GB"/>
        </w:rPr>
        <w:t>NPO sector in the world</w:t>
      </w:r>
      <w:bookmarkStart w:id="0" w:name="_Ref496985789"/>
      <w:r w:rsidR="001016F3" w:rsidRPr="00FD561A">
        <w:rPr>
          <w:spacing w:val="-4"/>
          <w:lang w:val="en-GB"/>
        </w:rPr>
        <w:t>,</w:t>
      </w:r>
      <w:bookmarkEnd w:id="0"/>
      <w:r w:rsidR="00D00188" w:rsidRPr="00FD561A">
        <w:rPr>
          <w:rStyle w:val="EndnoteReference"/>
          <w:color w:val="000000"/>
          <w:spacing w:val="-4"/>
          <w:lang w:val="en-GB"/>
        </w:rPr>
        <w:endnoteReference w:id="1"/>
      </w:r>
      <w:r w:rsidR="00D00188" w:rsidRPr="00FD561A">
        <w:rPr>
          <w:spacing w:val="-4"/>
          <w:lang w:val="en-GB"/>
        </w:rPr>
        <w:t xml:space="preserve"> with over 170,000 organizations</w:t>
      </w:r>
      <w:bookmarkStart w:id="1" w:name="_Ref496985509"/>
      <w:r w:rsidR="00D00188" w:rsidRPr="00FD561A">
        <w:rPr>
          <w:spacing w:val="-4"/>
          <w:lang w:val="en-GB"/>
        </w:rPr>
        <w:t>,</w:t>
      </w:r>
      <w:r w:rsidR="00D00188" w:rsidRPr="00FD561A">
        <w:rPr>
          <w:rStyle w:val="EndnoteReference"/>
          <w:color w:val="000000"/>
          <w:spacing w:val="-4"/>
          <w:lang w:val="en-GB"/>
        </w:rPr>
        <w:endnoteReference w:id="2"/>
      </w:r>
      <w:bookmarkEnd w:id="1"/>
      <w:r w:rsidR="00D00188" w:rsidRPr="00FD561A">
        <w:rPr>
          <w:spacing w:val="-4"/>
          <w:lang w:val="en-GB"/>
        </w:rPr>
        <w:t xml:space="preserve"> approximately half of which were registered charities.</w:t>
      </w:r>
      <w:bookmarkStart w:id="2" w:name="_Ref497238771"/>
      <w:r w:rsidR="00D00188" w:rsidRPr="00FD561A">
        <w:rPr>
          <w:rStyle w:val="EndnoteReference"/>
          <w:color w:val="000000"/>
          <w:spacing w:val="-4"/>
          <w:lang w:val="en-GB"/>
        </w:rPr>
        <w:endnoteReference w:id="3"/>
      </w:r>
      <w:bookmarkEnd w:id="2"/>
      <w:r w:rsidR="00D00188" w:rsidRPr="00FD561A">
        <w:rPr>
          <w:spacing w:val="-4"/>
          <w:lang w:val="en-GB"/>
        </w:rPr>
        <w:t xml:space="preserve"> All NPOs had various benefits in common, such as tax exemption status; however, only registered charities could issue donation receipts for income tax purposes.</w:t>
      </w:r>
      <w:bookmarkStart w:id="3" w:name="_Ref497238674"/>
      <w:r w:rsidR="00D00188" w:rsidRPr="00FD561A">
        <w:rPr>
          <w:rStyle w:val="EndnoteReference"/>
          <w:color w:val="000000"/>
          <w:spacing w:val="-4"/>
          <w:lang w:val="en-GB"/>
        </w:rPr>
        <w:endnoteReference w:id="4"/>
      </w:r>
      <w:bookmarkEnd w:id="3"/>
      <w:r w:rsidR="00D00188" w:rsidRPr="00FD561A">
        <w:rPr>
          <w:spacing w:val="-4"/>
          <w:lang w:val="en-GB"/>
        </w:rPr>
        <w:t xml:space="preserve"> </w:t>
      </w:r>
    </w:p>
    <w:p w14:paraId="48E69373" w14:textId="77777777" w:rsidR="00D00188" w:rsidRPr="00542A32" w:rsidRDefault="00D00188" w:rsidP="00812654">
      <w:pPr>
        <w:pStyle w:val="BodyTextMain"/>
        <w:rPr>
          <w:lang w:val="en-CA"/>
        </w:rPr>
      </w:pPr>
    </w:p>
    <w:p w14:paraId="50B370ED" w14:textId="5C53C6FF" w:rsidR="00D00188" w:rsidRDefault="00D00188" w:rsidP="00812654">
      <w:pPr>
        <w:pStyle w:val="BodyTextMain"/>
        <w:rPr>
          <w:rStyle w:val="CommentReference"/>
          <w:lang w:val="en-GB"/>
        </w:rPr>
      </w:pPr>
      <w:r w:rsidRPr="005C3AD2">
        <w:rPr>
          <w:lang w:val="en-GB"/>
        </w:rPr>
        <w:t>Charities generally fell into the</w:t>
      </w:r>
      <w:r>
        <w:rPr>
          <w:lang w:val="en-GB"/>
        </w:rPr>
        <w:t xml:space="preserve"> following</w:t>
      </w:r>
      <w:r w:rsidRPr="005C3AD2">
        <w:rPr>
          <w:lang w:val="en-GB"/>
        </w:rPr>
        <w:t xml:space="preserve"> categories: advancement of religion (e.g., church</w:t>
      </w:r>
      <w:r>
        <w:rPr>
          <w:lang w:val="en-GB"/>
        </w:rPr>
        <w:t>es</w:t>
      </w:r>
      <w:r w:rsidRPr="005C3AD2">
        <w:rPr>
          <w:lang w:val="en-GB"/>
        </w:rPr>
        <w:t>), relief of poverty (e.g., food bank</w:t>
      </w:r>
      <w:r>
        <w:rPr>
          <w:lang w:val="en-GB"/>
        </w:rPr>
        <w:t>s</w:t>
      </w:r>
      <w:r w:rsidRPr="005C3AD2">
        <w:rPr>
          <w:lang w:val="en-GB"/>
        </w:rPr>
        <w:t>), advancement of education (e.g., universit</w:t>
      </w:r>
      <w:r>
        <w:rPr>
          <w:lang w:val="en-GB"/>
        </w:rPr>
        <w:t>ies</w:t>
      </w:r>
      <w:r w:rsidRPr="005C3AD2">
        <w:rPr>
          <w:lang w:val="en-GB"/>
        </w:rPr>
        <w:t>), and other purposes that benefit</w:t>
      </w:r>
      <w:r>
        <w:rPr>
          <w:lang w:val="en-GB"/>
        </w:rPr>
        <w:t>ed</w:t>
      </w:r>
      <w:r w:rsidRPr="005C3AD2">
        <w:rPr>
          <w:lang w:val="en-GB"/>
        </w:rPr>
        <w:t xml:space="preserve"> the community (e.g., librar</w:t>
      </w:r>
      <w:r>
        <w:rPr>
          <w:lang w:val="en-GB"/>
        </w:rPr>
        <w:t>ies</w:t>
      </w:r>
      <w:r w:rsidRPr="005C3AD2">
        <w:rPr>
          <w:lang w:val="en-GB"/>
        </w:rPr>
        <w:t>).</w:t>
      </w:r>
      <w:r w:rsidRPr="005C3AD2">
        <w:rPr>
          <w:rStyle w:val="EndnoteReference"/>
          <w:lang w:val="en-GB"/>
        </w:rPr>
        <w:endnoteReference w:id="5"/>
      </w:r>
      <w:r w:rsidRPr="005C3AD2">
        <w:rPr>
          <w:lang w:val="en-GB"/>
        </w:rPr>
        <w:t xml:space="preserve"> </w:t>
      </w:r>
      <w:r>
        <w:rPr>
          <w:lang w:val="en-GB"/>
        </w:rPr>
        <w:t>Specific</w:t>
      </w:r>
      <w:r w:rsidRPr="005C3AD2">
        <w:rPr>
          <w:lang w:val="en-GB"/>
        </w:rPr>
        <w:t xml:space="preserve"> examples </w:t>
      </w:r>
      <w:r>
        <w:rPr>
          <w:lang w:val="en-GB"/>
        </w:rPr>
        <w:t xml:space="preserve">of NPOs </w:t>
      </w:r>
      <w:r w:rsidRPr="005C3AD2">
        <w:rPr>
          <w:lang w:val="en-GB"/>
        </w:rPr>
        <w:t xml:space="preserve">included social, recreational, </w:t>
      </w:r>
      <w:r>
        <w:rPr>
          <w:lang w:val="en-GB"/>
        </w:rPr>
        <w:t>and</w:t>
      </w:r>
      <w:r w:rsidRPr="005C3AD2">
        <w:rPr>
          <w:lang w:val="en-GB"/>
        </w:rPr>
        <w:t xml:space="preserve"> hobby groups (e.g., </w:t>
      </w:r>
      <w:r>
        <w:rPr>
          <w:lang w:val="en-GB"/>
        </w:rPr>
        <w:t xml:space="preserve">the </w:t>
      </w:r>
      <w:r w:rsidRPr="005C3AD2">
        <w:rPr>
          <w:lang w:val="en-GB"/>
        </w:rPr>
        <w:t xml:space="preserve">Canadian Automobile Association), amateur sports organizations (e.g., </w:t>
      </w:r>
      <w:r>
        <w:rPr>
          <w:lang w:val="en-GB"/>
        </w:rPr>
        <w:t xml:space="preserve">the </w:t>
      </w:r>
      <w:r w:rsidRPr="005C3AD2">
        <w:rPr>
          <w:lang w:val="en-GB"/>
        </w:rPr>
        <w:t xml:space="preserve">Pan American Games), and festival organizations (e.g., </w:t>
      </w:r>
      <w:r>
        <w:rPr>
          <w:lang w:val="en-GB"/>
        </w:rPr>
        <w:t xml:space="preserve">the </w:t>
      </w:r>
      <w:r w:rsidRPr="005C3AD2">
        <w:rPr>
          <w:lang w:val="en-GB"/>
        </w:rPr>
        <w:t>Toronto Caribbean Carnival).</w:t>
      </w:r>
      <w:r w:rsidRPr="005C3AD2">
        <w:rPr>
          <w:rStyle w:val="EndnoteReference"/>
          <w:lang w:val="en-GB"/>
        </w:rPr>
        <w:endnoteReference w:id="6"/>
      </w:r>
    </w:p>
    <w:p w14:paraId="520B1600" w14:textId="77777777" w:rsidR="002C2D03" w:rsidRDefault="002C2D03" w:rsidP="00812654">
      <w:pPr>
        <w:pStyle w:val="BodyTextMain"/>
        <w:rPr>
          <w:lang w:val="en-GB"/>
        </w:rPr>
      </w:pPr>
    </w:p>
    <w:p w14:paraId="12BB83FD" w14:textId="150600A7" w:rsidR="00D00188" w:rsidRPr="005C3AD2" w:rsidRDefault="00D00188" w:rsidP="00812654">
      <w:pPr>
        <w:pStyle w:val="BodyTextMain"/>
        <w:rPr>
          <w:lang w:val="en-GB"/>
        </w:rPr>
      </w:pPr>
      <w:r w:rsidRPr="005C3AD2">
        <w:rPr>
          <w:lang w:val="en-GB"/>
        </w:rPr>
        <w:lastRenderedPageBreak/>
        <w:t xml:space="preserve">The total annual operating budget for the Canadian charitable sector was around </w:t>
      </w:r>
      <w:r>
        <w:rPr>
          <w:lang w:val="en-GB"/>
        </w:rPr>
        <w:t>CA</w:t>
      </w:r>
      <w:r w:rsidRPr="005C3AD2">
        <w:rPr>
          <w:lang w:val="en-GB"/>
        </w:rPr>
        <w:t>$228 billion,</w:t>
      </w:r>
      <w:r>
        <w:rPr>
          <w:rStyle w:val="EndnoteReference"/>
          <w:lang w:val="en-GB"/>
        </w:rPr>
        <w:endnoteReference w:id="7"/>
      </w:r>
      <w:r w:rsidRPr="005C3AD2">
        <w:rPr>
          <w:lang w:val="en-GB"/>
        </w:rPr>
        <w:t xml:space="preserve"> with a little more than half of that amount for wages and benefits.</w:t>
      </w:r>
      <w:bookmarkStart w:id="4" w:name="_Ref510599033"/>
      <w:r w:rsidRPr="005C3AD2">
        <w:rPr>
          <w:rStyle w:val="EndnoteReference"/>
          <w:lang w:val="en-GB"/>
        </w:rPr>
        <w:endnoteReference w:id="8"/>
      </w:r>
      <w:bookmarkEnd w:id="4"/>
      <w:r w:rsidRPr="005C3AD2">
        <w:rPr>
          <w:rStyle w:val="EndnoteReference"/>
          <w:color w:val="000000"/>
          <w:lang w:val="en-GB"/>
        </w:rPr>
        <w:t xml:space="preserve"> </w:t>
      </w:r>
      <w:r w:rsidRPr="005C3AD2">
        <w:rPr>
          <w:lang w:val="en-GB"/>
        </w:rPr>
        <w:t>A charity</w:t>
      </w:r>
      <w:r>
        <w:rPr>
          <w:lang w:val="en-GB"/>
        </w:rPr>
        <w:t>’</w:t>
      </w:r>
      <w:r w:rsidRPr="005C3AD2">
        <w:rPr>
          <w:lang w:val="en-GB"/>
        </w:rPr>
        <w:t xml:space="preserve">s operating costs were typically broken down into program costs (i.e., services provided to beneficiaries), administrative costs (e.g., salaries other than for fundraisers, office supplies, </w:t>
      </w:r>
      <w:r>
        <w:rPr>
          <w:lang w:val="en-GB"/>
        </w:rPr>
        <w:t>I</w:t>
      </w:r>
      <w:r w:rsidRPr="005C3AD2">
        <w:rPr>
          <w:lang w:val="en-GB"/>
        </w:rPr>
        <w:t xml:space="preserve">nternet access, website hosting, </w:t>
      </w:r>
      <w:r>
        <w:rPr>
          <w:lang w:val="en-GB"/>
        </w:rPr>
        <w:t>and others</w:t>
      </w:r>
      <w:r w:rsidRPr="005C3AD2">
        <w:rPr>
          <w:lang w:val="en-GB"/>
        </w:rPr>
        <w:t>)</w:t>
      </w:r>
      <w:r>
        <w:rPr>
          <w:lang w:val="en-GB"/>
        </w:rPr>
        <w:t>,</w:t>
      </w:r>
      <w:r w:rsidRPr="005C3AD2">
        <w:rPr>
          <w:lang w:val="en-GB"/>
        </w:rPr>
        <w:t xml:space="preserve"> and fundraising costs (i.e., costs directly attributed to raising funds</w:t>
      </w:r>
      <w:r>
        <w:rPr>
          <w:lang w:val="en-GB"/>
        </w:rPr>
        <w:t>, such as</w:t>
      </w:r>
      <w:r w:rsidRPr="005C3AD2">
        <w:rPr>
          <w:lang w:val="en-GB"/>
        </w:rPr>
        <w:t xml:space="preserve"> marketing, printing, mailing, </w:t>
      </w:r>
      <w:r>
        <w:rPr>
          <w:lang w:val="en-GB"/>
        </w:rPr>
        <w:t xml:space="preserve">and </w:t>
      </w:r>
      <w:r w:rsidRPr="005C3AD2">
        <w:rPr>
          <w:lang w:val="en-GB"/>
        </w:rPr>
        <w:t xml:space="preserve">salaries </w:t>
      </w:r>
      <w:r>
        <w:rPr>
          <w:lang w:val="en-GB"/>
        </w:rPr>
        <w:t>for</w:t>
      </w:r>
      <w:r w:rsidRPr="005C3AD2">
        <w:rPr>
          <w:lang w:val="en-GB"/>
        </w:rPr>
        <w:t xml:space="preserve"> fundraisers). Given the extremely crowded sector, fundraising costs had almost doubled over 10 years from 18 cents to 35 cents spent to raise one dollar.</w:t>
      </w:r>
      <w:r w:rsidRPr="005C3AD2">
        <w:rPr>
          <w:rStyle w:val="EndnoteReference"/>
          <w:color w:val="000000"/>
          <w:lang w:val="en-GB"/>
        </w:rPr>
        <w:endnoteReference w:id="9"/>
      </w:r>
      <w:r w:rsidRPr="005C3AD2">
        <w:rPr>
          <w:lang w:val="en-GB"/>
        </w:rPr>
        <w:t xml:space="preserve"> </w:t>
      </w:r>
      <w:r>
        <w:rPr>
          <w:lang w:val="en-GB"/>
        </w:rPr>
        <w:t>T</w:t>
      </w:r>
      <w:r w:rsidRPr="005C3AD2">
        <w:rPr>
          <w:lang w:val="en-GB"/>
        </w:rPr>
        <w:t xml:space="preserve">hird parties such as </w:t>
      </w:r>
      <w:r w:rsidRPr="00725AF1">
        <w:rPr>
          <w:i/>
          <w:lang w:val="en-GB"/>
        </w:rPr>
        <w:t>Money Sense</w:t>
      </w:r>
      <w:r w:rsidRPr="005C3AD2">
        <w:rPr>
          <w:lang w:val="en-GB"/>
        </w:rPr>
        <w:t xml:space="preserve"> magazine graded and ranked </w:t>
      </w:r>
      <w:r>
        <w:rPr>
          <w:lang w:val="en-GB"/>
        </w:rPr>
        <w:t>charities</w:t>
      </w:r>
      <w:r w:rsidRPr="005C3AD2">
        <w:rPr>
          <w:lang w:val="en-GB"/>
        </w:rPr>
        <w:t xml:space="preserve"> based on how much </w:t>
      </w:r>
      <w:r>
        <w:rPr>
          <w:lang w:val="en-GB"/>
        </w:rPr>
        <w:t xml:space="preserve">of the raised </w:t>
      </w:r>
      <w:r w:rsidRPr="005C3AD2">
        <w:rPr>
          <w:lang w:val="en-GB"/>
        </w:rPr>
        <w:t xml:space="preserve">donations </w:t>
      </w:r>
      <w:r>
        <w:rPr>
          <w:lang w:val="en-GB"/>
        </w:rPr>
        <w:t>went</w:t>
      </w:r>
      <w:r w:rsidRPr="005C3AD2">
        <w:rPr>
          <w:lang w:val="en-GB"/>
        </w:rPr>
        <w:t xml:space="preserve"> to</w:t>
      </w:r>
      <w:r>
        <w:rPr>
          <w:lang w:val="en-GB"/>
        </w:rPr>
        <w:t>ward</w:t>
      </w:r>
      <w:r w:rsidRPr="005C3AD2">
        <w:rPr>
          <w:lang w:val="en-GB"/>
        </w:rPr>
        <w:t xml:space="preserve"> programs</w:t>
      </w:r>
      <w:r>
        <w:rPr>
          <w:lang w:val="en-GB"/>
        </w:rPr>
        <w:t>, rather than</w:t>
      </w:r>
      <w:r w:rsidRPr="005C3AD2">
        <w:rPr>
          <w:lang w:val="en-GB"/>
        </w:rPr>
        <w:t xml:space="preserve"> administrative and fundraising costs</w:t>
      </w:r>
      <w:r>
        <w:rPr>
          <w:lang w:val="en-GB"/>
        </w:rPr>
        <w:t>, adding</w:t>
      </w:r>
      <w:r w:rsidRPr="005C3AD2">
        <w:rPr>
          <w:lang w:val="en-GB"/>
        </w:rPr>
        <w:t xml:space="preserve"> pressure</w:t>
      </w:r>
      <w:r>
        <w:rPr>
          <w:lang w:val="en-GB"/>
        </w:rPr>
        <w:t xml:space="preserve"> on charities t</w:t>
      </w:r>
      <w:r w:rsidRPr="005C3AD2">
        <w:rPr>
          <w:lang w:val="en-GB"/>
        </w:rPr>
        <w:t>o fundraise more efficiently.</w:t>
      </w:r>
      <w:bookmarkStart w:id="5" w:name="_Ref496986082"/>
      <w:r w:rsidRPr="005C3AD2">
        <w:rPr>
          <w:rStyle w:val="EndnoteReference"/>
          <w:color w:val="000000"/>
          <w:lang w:val="en-GB"/>
        </w:rPr>
        <w:endnoteReference w:id="10"/>
      </w:r>
      <w:bookmarkEnd w:id="5"/>
      <w:r w:rsidRPr="005C3AD2">
        <w:rPr>
          <w:lang w:val="en-GB"/>
        </w:rPr>
        <w:t xml:space="preserve"> </w:t>
      </w:r>
      <w:r>
        <w:rPr>
          <w:lang w:val="en-GB"/>
        </w:rPr>
        <w:t>C</w:t>
      </w:r>
      <w:r w:rsidRPr="005C3AD2">
        <w:rPr>
          <w:lang w:val="en-GB"/>
        </w:rPr>
        <w:t xml:space="preserve">harities could </w:t>
      </w:r>
      <w:r>
        <w:rPr>
          <w:lang w:val="en-GB"/>
        </w:rPr>
        <w:t xml:space="preserve">also </w:t>
      </w:r>
      <w:r w:rsidRPr="005C3AD2">
        <w:rPr>
          <w:lang w:val="en-GB"/>
        </w:rPr>
        <w:t>be scrutinized by the Canada Revenue Agency for inefficient</w:t>
      </w:r>
      <w:r>
        <w:rPr>
          <w:lang w:val="en-GB"/>
        </w:rPr>
        <w:t xml:space="preserve"> fundraising and risked losing</w:t>
      </w:r>
      <w:r w:rsidRPr="005C3AD2">
        <w:rPr>
          <w:lang w:val="en-GB"/>
        </w:rPr>
        <w:t xml:space="preserve"> </w:t>
      </w:r>
      <w:r>
        <w:rPr>
          <w:lang w:val="en-GB"/>
        </w:rPr>
        <w:t xml:space="preserve">their </w:t>
      </w:r>
      <w:r w:rsidRPr="005C3AD2">
        <w:rPr>
          <w:lang w:val="en-GB"/>
        </w:rPr>
        <w:t>charitable status.</w:t>
      </w:r>
      <w:r w:rsidRPr="005C3AD2">
        <w:rPr>
          <w:rStyle w:val="EndnoteReference"/>
          <w:color w:val="000000"/>
          <w:lang w:val="en-GB"/>
        </w:rPr>
        <w:endnoteReference w:id="11"/>
      </w:r>
      <w:r w:rsidRPr="005C3AD2">
        <w:rPr>
          <w:lang w:val="en-GB"/>
        </w:rPr>
        <w:t xml:space="preserve"> </w:t>
      </w:r>
      <w:r>
        <w:rPr>
          <w:lang w:val="en-GB"/>
        </w:rPr>
        <w:t xml:space="preserve">Although </w:t>
      </w:r>
      <w:r w:rsidRPr="005C3AD2">
        <w:rPr>
          <w:lang w:val="en-GB"/>
        </w:rPr>
        <w:t xml:space="preserve">the </w:t>
      </w:r>
      <w:r>
        <w:rPr>
          <w:lang w:val="en-GB"/>
        </w:rPr>
        <w:t xml:space="preserve">non-profit </w:t>
      </w:r>
      <w:r w:rsidRPr="005C3AD2">
        <w:rPr>
          <w:lang w:val="en-GB"/>
        </w:rPr>
        <w:t>sector</w:t>
      </w:r>
      <w:r>
        <w:rPr>
          <w:lang w:val="en-GB"/>
        </w:rPr>
        <w:t xml:space="preserve"> employed 2</w:t>
      </w:r>
      <w:r w:rsidRPr="005C3AD2">
        <w:rPr>
          <w:lang w:val="en-GB"/>
        </w:rPr>
        <w:t xml:space="preserve"> million people</w:t>
      </w:r>
      <w:r>
        <w:rPr>
          <w:lang w:val="en-GB"/>
        </w:rPr>
        <w:t>, approximately</w:t>
      </w:r>
      <w:r w:rsidRPr="005C3AD2">
        <w:rPr>
          <w:lang w:val="en-GB"/>
        </w:rPr>
        <w:t xml:space="preserve"> half of Canadian charities were run entirely by volunteers.</w:t>
      </w:r>
      <w:r w:rsidRPr="005C3AD2">
        <w:rPr>
          <w:rStyle w:val="EndnoteReference"/>
          <w:lang w:val="en-GB"/>
        </w:rPr>
        <w:endnoteReference w:id="12"/>
      </w:r>
      <w:r w:rsidRPr="005C3AD2">
        <w:rPr>
          <w:lang w:val="en-GB"/>
        </w:rPr>
        <w:t xml:space="preserve"> </w:t>
      </w:r>
      <w:r>
        <w:rPr>
          <w:lang w:val="en-GB"/>
        </w:rPr>
        <w:t xml:space="preserve">The total time contributed by </w:t>
      </w:r>
      <w:r w:rsidRPr="005C3AD2">
        <w:rPr>
          <w:lang w:val="en-GB"/>
        </w:rPr>
        <w:t xml:space="preserve">Canadian volunteers </w:t>
      </w:r>
      <w:r>
        <w:rPr>
          <w:lang w:val="en-GB"/>
        </w:rPr>
        <w:t>was</w:t>
      </w:r>
      <w:r w:rsidRPr="005C3AD2">
        <w:rPr>
          <w:lang w:val="en-GB"/>
        </w:rPr>
        <w:t xml:space="preserve"> equivalent to half a million full-time jobs.</w:t>
      </w:r>
      <w:r w:rsidRPr="005C3AD2">
        <w:rPr>
          <w:rStyle w:val="EndnoteReference"/>
          <w:lang w:val="en-GB"/>
        </w:rPr>
        <w:endnoteReference w:id="13"/>
      </w:r>
      <w:r w:rsidRPr="005C3AD2">
        <w:rPr>
          <w:lang w:val="en-GB"/>
        </w:rPr>
        <w:t xml:space="preserve"> </w:t>
      </w:r>
    </w:p>
    <w:p w14:paraId="3EC33B0E" w14:textId="77777777" w:rsidR="00D00188" w:rsidRPr="005C3AD2" w:rsidRDefault="00D00188" w:rsidP="00812654">
      <w:pPr>
        <w:pStyle w:val="BodyTextMain"/>
        <w:rPr>
          <w:lang w:val="en-GB"/>
        </w:rPr>
      </w:pPr>
    </w:p>
    <w:p w14:paraId="62BD6020" w14:textId="01696B7F" w:rsidR="00D00188" w:rsidRPr="00843FF2" w:rsidRDefault="00D00188" w:rsidP="00812654">
      <w:pPr>
        <w:pStyle w:val="BodyTextMain"/>
        <w:rPr>
          <w:lang w:val="en-GB"/>
        </w:rPr>
      </w:pPr>
      <w:r w:rsidRPr="00843FF2">
        <w:rPr>
          <w:lang w:val="en-GB"/>
        </w:rPr>
        <w:t>The Canadian charitable sector drew an estimated $246 billion in annual revenues, with about two-thirds coming from all levels of government.</w:t>
      </w:r>
      <w:r w:rsidRPr="00843FF2">
        <w:rPr>
          <w:rStyle w:val="EndnoteReference"/>
          <w:lang w:val="en-GB"/>
        </w:rPr>
        <w:endnoteReference w:id="14"/>
      </w:r>
      <w:r w:rsidRPr="00843FF2">
        <w:rPr>
          <w:lang w:val="en-GB"/>
        </w:rPr>
        <w:t xml:space="preserve"> Almost all government funding (90 per cent) came from provincial bodies.</w:t>
      </w:r>
      <w:r w:rsidRPr="00843FF2">
        <w:rPr>
          <w:rStyle w:val="EndnoteReference"/>
          <w:lang w:val="en-GB"/>
        </w:rPr>
        <w:endnoteReference w:id="15"/>
      </w:r>
      <w:r w:rsidRPr="00843FF2">
        <w:rPr>
          <w:vertAlign w:val="superscript"/>
          <w:lang w:val="en-GB"/>
        </w:rPr>
        <w:t xml:space="preserve"> </w:t>
      </w:r>
      <w:r w:rsidRPr="00843FF2">
        <w:rPr>
          <w:lang w:val="en-GB"/>
        </w:rPr>
        <w:t xml:space="preserve">When considering only so-called </w:t>
      </w:r>
      <w:r w:rsidRPr="00843FF2">
        <w:rPr>
          <w:i/>
          <w:lang w:val="en-GB"/>
        </w:rPr>
        <w:t>core</w:t>
      </w:r>
      <w:r w:rsidRPr="00843FF2">
        <w:rPr>
          <w:lang w:val="en-GB"/>
        </w:rPr>
        <w:t xml:space="preserve"> NPOs (i.e., excluding hospitals, universities, and colleges), government funding accounted for one-fifth of total revenues, whereas almost half of all revenue was generated from sales of goods and services.</w:t>
      </w:r>
      <w:r w:rsidRPr="00843FF2">
        <w:rPr>
          <w:rStyle w:val="EndnoteReference"/>
          <w:lang w:val="en-GB"/>
        </w:rPr>
        <w:endnoteReference w:id="16"/>
      </w:r>
      <w:r w:rsidRPr="00843FF2">
        <w:rPr>
          <w:lang w:val="en-GB"/>
        </w:rPr>
        <w:t xml:space="preserve"> Other sources for </w:t>
      </w:r>
      <w:r w:rsidRPr="00843FF2">
        <w:rPr>
          <w:i/>
          <w:lang w:val="en-GB"/>
        </w:rPr>
        <w:t>core</w:t>
      </w:r>
      <w:r w:rsidRPr="00843FF2">
        <w:rPr>
          <w:lang w:val="en-GB"/>
        </w:rPr>
        <w:t xml:space="preserve"> NPOs included membership fees (16 per cent), donations from households (12 per cent), and investment income (5 per cent).</w:t>
      </w:r>
      <w:bookmarkStart w:id="6" w:name="_Ref510599111"/>
      <w:r w:rsidRPr="00843FF2">
        <w:rPr>
          <w:rStyle w:val="EndnoteReference"/>
          <w:color w:val="000000"/>
          <w:lang w:val="en-GB"/>
        </w:rPr>
        <w:endnoteReference w:id="17"/>
      </w:r>
      <w:bookmarkEnd w:id="6"/>
      <w:r w:rsidRPr="00843FF2">
        <w:rPr>
          <w:lang w:val="en-GB"/>
        </w:rPr>
        <w:t xml:space="preserve"> Some NPOs also generated revenues through social enterprises, which were separate for-profit entities. The social sector was large, but it was also very fragmented, with 80 per cent of charities generating less than $500,000 annually and only 0.5 per cent generating more than $1 million annually.</w:t>
      </w:r>
      <w:r w:rsidRPr="00843FF2">
        <w:rPr>
          <w:rStyle w:val="EndnoteReference"/>
          <w:lang w:val="en-GB"/>
        </w:rPr>
        <w:endnoteReference w:id="18"/>
      </w:r>
      <w:r w:rsidRPr="00843FF2">
        <w:rPr>
          <w:lang w:val="en-GB"/>
        </w:rPr>
        <w:t xml:space="preserve"> The top 1 per cent commanded 60 per cent of total revenues.</w:t>
      </w:r>
      <w:r w:rsidRPr="00843FF2">
        <w:rPr>
          <w:rStyle w:val="EndnoteReference"/>
          <w:lang w:val="en-GB"/>
        </w:rPr>
        <w:endnoteReference w:id="19"/>
      </w:r>
      <w:r w:rsidRPr="00843FF2">
        <w:rPr>
          <w:lang w:val="en-GB"/>
        </w:rPr>
        <w:t xml:space="preserve"> </w:t>
      </w:r>
    </w:p>
    <w:p w14:paraId="161D95E0" w14:textId="77777777" w:rsidR="00D00188" w:rsidRPr="005C3AD2" w:rsidRDefault="00D00188" w:rsidP="00812654">
      <w:pPr>
        <w:pStyle w:val="BodyTextMain"/>
        <w:rPr>
          <w:lang w:val="en-GB"/>
        </w:rPr>
      </w:pPr>
    </w:p>
    <w:p w14:paraId="080B7B95" w14:textId="77777777" w:rsidR="00D00188" w:rsidRPr="005C3AD2" w:rsidRDefault="00D00188" w:rsidP="00812654">
      <w:pPr>
        <w:pStyle w:val="BodyTextMain"/>
        <w:rPr>
          <w:lang w:val="en-GB"/>
        </w:rPr>
      </w:pPr>
      <w:r w:rsidRPr="005C3AD2">
        <w:rPr>
          <w:lang w:val="en-GB"/>
        </w:rPr>
        <w:t xml:space="preserve">Donations came from three main sources: individuals (e.g., annual giving, monthly giving, </w:t>
      </w:r>
      <w:r>
        <w:rPr>
          <w:lang w:val="en-GB"/>
        </w:rPr>
        <w:t xml:space="preserve">and </w:t>
      </w:r>
      <w:r w:rsidRPr="005C3AD2">
        <w:rPr>
          <w:lang w:val="en-GB"/>
        </w:rPr>
        <w:t>will</w:t>
      </w:r>
      <w:r>
        <w:rPr>
          <w:lang w:val="en-GB"/>
        </w:rPr>
        <w:t>s</w:t>
      </w:r>
      <w:r w:rsidRPr="005C3AD2">
        <w:rPr>
          <w:lang w:val="en-GB"/>
        </w:rPr>
        <w:t>), corporations (e.g., employee</w:t>
      </w:r>
      <w:r>
        <w:rPr>
          <w:lang w:val="en-GB"/>
        </w:rPr>
        <w:t>s</w:t>
      </w:r>
      <w:r w:rsidRPr="005C3AD2">
        <w:rPr>
          <w:lang w:val="en-GB"/>
        </w:rPr>
        <w:t xml:space="preserve"> giving </w:t>
      </w:r>
      <w:r>
        <w:rPr>
          <w:lang w:val="en-GB"/>
        </w:rPr>
        <w:t xml:space="preserve">to </w:t>
      </w:r>
      <w:r w:rsidRPr="005C3AD2">
        <w:rPr>
          <w:lang w:val="en-GB"/>
        </w:rPr>
        <w:t xml:space="preserve">match </w:t>
      </w:r>
      <w:r>
        <w:rPr>
          <w:lang w:val="en-GB"/>
        </w:rPr>
        <w:t xml:space="preserve">corporate </w:t>
      </w:r>
      <w:r w:rsidRPr="005C3AD2">
        <w:rPr>
          <w:lang w:val="en-GB"/>
        </w:rPr>
        <w:t>programs, sponsorships, check</w:t>
      </w:r>
      <w:r>
        <w:rPr>
          <w:lang w:val="en-GB"/>
        </w:rPr>
        <w:t>-</w:t>
      </w:r>
      <w:r w:rsidRPr="005C3AD2">
        <w:rPr>
          <w:lang w:val="en-GB"/>
        </w:rPr>
        <w:t>out charit</w:t>
      </w:r>
      <w:r>
        <w:rPr>
          <w:lang w:val="en-GB"/>
        </w:rPr>
        <w:t>ies</w:t>
      </w:r>
      <w:r w:rsidRPr="005C3AD2">
        <w:rPr>
          <w:lang w:val="en-GB"/>
        </w:rPr>
        <w:t xml:space="preserve">, </w:t>
      </w:r>
      <w:r>
        <w:rPr>
          <w:lang w:val="en-GB"/>
        </w:rPr>
        <w:t xml:space="preserve">and </w:t>
      </w:r>
      <w:r w:rsidRPr="005C3AD2">
        <w:rPr>
          <w:lang w:val="en-GB"/>
        </w:rPr>
        <w:t>cause marketing), and foundations (</w:t>
      </w:r>
      <w:r>
        <w:rPr>
          <w:lang w:val="en-GB"/>
        </w:rPr>
        <w:t xml:space="preserve">e.g., </w:t>
      </w:r>
      <w:r w:rsidRPr="005C3AD2">
        <w:rPr>
          <w:lang w:val="en-GB"/>
        </w:rPr>
        <w:t xml:space="preserve">public and private charities whose purpose was to fund other charitable purposes). </w:t>
      </w:r>
      <w:r w:rsidRPr="00724008">
        <w:rPr>
          <w:lang w:val="en-US"/>
        </w:rPr>
        <w:t>While donations could be monetary, some were in-kind donations such as office supplies and canned food.</w:t>
      </w:r>
    </w:p>
    <w:p w14:paraId="3B90C85D" w14:textId="77777777" w:rsidR="00D00188" w:rsidRPr="005C3AD2" w:rsidRDefault="00D00188" w:rsidP="00812654">
      <w:pPr>
        <w:pStyle w:val="BodyTextMain"/>
        <w:rPr>
          <w:lang w:val="en-GB"/>
        </w:rPr>
      </w:pPr>
    </w:p>
    <w:p w14:paraId="3C636B55" w14:textId="77777777" w:rsidR="00D00188" w:rsidRPr="005C3AD2" w:rsidRDefault="00D00188" w:rsidP="00812654">
      <w:pPr>
        <w:pStyle w:val="BodyTextMain"/>
        <w:rPr>
          <w:lang w:val="en-GB"/>
        </w:rPr>
      </w:pPr>
    </w:p>
    <w:p w14:paraId="4D1963A9" w14:textId="77777777" w:rsidR="00D00188" w:rsidRPr="00843FF2" w:rsidRDefault="00D00188" w:rsidP="00812654">
      <w:pPr>
        <w:pStyle w:val="Casehead1"/>
        <w:rPr>
          <w:sz w:val="20"/>
          <w:lang w:val="en-GB"/>
        </w:rPr>
      </w:pPr>
      <w:r w:rsidRPr="00843FF2">
        <w:rPr>
          <w:sz w:val="20"/>
          <w:lang w:val="en-GB"/>
        </w:rPr>
        <w:t>A View of the Market for Non-Profit Consulting</w:t>
      </w:r>
    </w:p>
    <w:p w14:paraId="621124AE" w14:textId="77777777" w:rsidR="00D00188" w:rsidRPr="005C3AD2" w:rsidRDefault="00D00188" w:rsidP="00812654">
      <w:pPr>
        <w:pStyle w:val="BodyTextMain"/>
        <w:rPr>
          <w:lang w:val="en-GB"/>
        </w:rPr>
      </w:pPr>
    </w:p>
    <w:p w14:paraId="46B922B1" w14:textId="13947F1C" w:rsidR="00D00188" w:rsidRPr="005C3AD2" w:rsidRDefault="00D00188" w:rsidP="00812654">
      <w:pPr>
        <w:pStyle w:val="BodyTextMain"/>
        <w:rPr>
          <w:highlight w:val="yellow"/>
          <w:lang w:val="en-GB"/>
        </w:rPr>
      </w:pPr>
      <w:r w:rsidRPr="005C3AD2">
        <w:rPr>
          <w:lang w:val="en-GB"/>
        </w:rPr>
        <w:t>In Canada, the management consulting services market was estimated to be</w:t>
      </w:r>
      <w:r>
        <w:rPr>
          <w:lang w:val="en-GB"/>
        </w:rPr>
        <w:t xml:space="preserve"> worth</w:t>
      </w:r>
      <w:r w:rsidRPr="005C3AD2">
        <w:rPr>
          <w:lang w:val="en-GB"/>
        </w:rPr>
        <w:t xml:space="preserve"> $12 billion</w:t>
      </w:r>
      <w:r>
        <w:rPr>
          <w:lang w:val="en-GB"/>
        </w:rPr>
        <w:t>,</w:t>
      </w:r>
      <w:r w:rsidRPr="005C3AD2">
        <w:rPr>
          <w:lang w:val="en-GB"/>
        </w:rPr>
        <w:t xml:space="preserve"> with almost 10 per</w:t>
      </w:r>
      <w:r>
        <w:rPr>
          <w:lang w:val="en-GB"/>
        </w:rPr>
        <w:t xml:space="preserve"> </w:t>
      </w:r>
      <w:r w:rsidRPr="005C3AD2">
        <w:rPr>
          <w:lang w:val="en-GB"/>
        </w:rPr>
        <w:t xml:space="preserve">cent of </w:t>
      </w:r>
      <w:r>
        <w:rPr>
          <w:lang w:val="en-GB"/>
        </w:rPr>
        <w:t>consulting services going to</w:t>
      </w:r>
      <w:r w:rsidRPr="005C3AD2">
        <w:rPr>
          <w:lang w:val="en-GB"/>
        </w:rPr>
        <w:t xml:space="preserve"> NPO clients.</w:t>
      </w:r>
      <w:r w:rsidRPr="005C3AD2">
        <w:rPr>
          <w:rStyle w:val="EndnoteReference"/>
          <w:color w:val="000000"/>
          <w:lang w:val="en-GB"/>
        </w:rPr>
        <w:endnoteReference w:id="20"/>
      </w:r>
      <w:r w:rsidRPr="005C3AD2">
        <w:rPr>
          <w:lang w:val="en-GB"/>
        </w:rPr>
        <w:t xml:space="preserve"> De Silva wanted to better understand the consulting market</w:t>
      </w:r>
      <w:r>
        <w:rPr>
          <w:lang w:val="en-GB"/>
        </w:rPr>
        <w:t xml:space="preserve"> for NPO clients</w:t>
      </w:r>
      <w:r w:rsidRPr="005C3AD2">
        <w:rPr>
          <w:lang w:val="en-GB"/>
        </w:rPr>
        <w:t xml:space="preserve">, so </w:t>
      </w:r>
      <w:r>
        <w:rPr>
          <w:lang w:val="en-GB"/>
        </w:rPr>
        <w:t>his team conducted a</w:t>
      </w:r>
      <w:r w:rsidRPr="005C3AD2">
        <w:rPr>
          <w:lang w:val="en-GB"/>
        </w:rPr>
        <w:t xml:space="preserve"> survey</w:t>
      </w:r>
      <w:r>
        <w:rPr>
          <w:lang w:val="en-GB"/>
        </w:rPr>
        <w:t xml:space="preserve"> of</w:t>
      </w:r>
      <w:r w:rsidRPr="005C3AD2">
        <w:rPr>
          <w:lang w:val="en-GB"/>
        </w:rPr>
        <w:t xml:space="preserve"> Ontario NPOs</w:t>
      </w:r>
      <w:r>
        <w:rPr>
          <w:lang w:val="en-GB"/>
        </w:rPr>
        <w:t>,</w:t>
      </w:r>
      <w:r w:rsidRPr="005C3AD2">
        <w:rPr>
          <w:lang w:val="en-GB"/>
        </w:rPr>
        <w:t xml:space="preserve"> </w:t>
      </w:r>
      <w:r>
        <w:rPr>
          <w:lang w:val="en-GB"/>
        </w:rPr>
        <w:t>in which he asked</w:t>
      </w:r>
      <w:r w:rsidRPr="005C3AD2">
        <w:rPr>
          <w:lang w:val="en-GB"/>
        </w:rPr>
        <w:t xml:space="preserve"> what services they </w:t>
      </w:r>
      <w:r>
        <w:rPr>
          <w:lang w:val="en-GB"/>
        </w:rPr>
        <w:t>thought they w</w:t>
      </w:r>
      <w:r w:rsidRPr="005C3AD2">
        <w:rPr>
          <w:lang w:val="en-GB"/>
        </w:rPr>
        <w:t>ould most benefit from (</w:t>
      </w:r>
      <w:r w:rsidRPr="005C3AD2">
        <w:rPr>
          <w:bCs/>
          <w:lang w:val="en-GB"/>
        </w:rPr>
        <w:t>see Exhibit 1)</w:t>
      </w:r>
      <w:r w:rsidRPr="005C3AD2">
        <w:rPr>
          <w:lang w:val="en-GB"/>
        </w:rPr>
        <w:t>. A</w:t>
      </w:r>
      <w:r>
        <w:rPr>
          <w:lang w:val="en-GB"/>
        </w:rPr>
        <w:t>fter de Silva and his team compiled the survey results, they discovered that more than</w:t>
      </w:r>
      <w:r w:rsidRPr="005C3AD2">
        <w:rPr>
          <w:lang w:val="en-GB"/>
        </w:rPr>
        <w:t xml:space="preserve"> one quarter of respondents </w:t>
      </w:r>
      <w:r>
        <w:rPr>
          <w:lang w:val="en-GB"/>
        </w:rPr>
        <w:t xml:space="preserve">found </w:t>
      </w:r>
      <w:r w:rsidRPr="005C3AD2">
        <w:rPr>
          <w:lang w:val="en-GB"/>
        </w:rPr>
        <w:t xml:space="preserve">fundraising </w:t>
      </w:r>
      <w:r>
        <w:rPr>
          <w:lang w:val="en-GB"/>
        </w:rPr>
        <w:t>and</w:t>
      </w:r>
      <w:r w:rsidRPr="005C3AD2">
        <w:rPr>
          <w:lang w:val="en-GB"/>
        </w:rPr>
        <w:t xml:space="preserve"> fund development</w:t>
      </w:r>
      <w:r>
        <w:rPr>
          <w:lang w:val="en-GB"/>
        </w:rPr>
        <w:t xml:space="preserve"> most beneficial, with marketing and communications cited by approximately 25 per cent of respondents and p</w:t>
      </w:r>
      <w:r w:rsidRPr="005C3AD2">
        <w:rPr>
          <w:lang w:val="en-GB"/>
        </w:rPr>
        <w:t>artnerships</w:t>
      </w:r>
      <w:r>
        <w:rPr>
          <w:lang w:val="en-GB"/>
        </w:rPr>
        <w:t xml:space="preserve"> selected by</w:t>
      </w:r>
      <w:r w:rsidRPr="005C3AD2">
        <w:rPr>
          <w:lang w:val="en-GB"/>
        </w:rPr>
        <w:t xml:space="preserve"> 15 per</w:t>
      </w:r>
      <w:r>
        <w:rPr>
          <w:lang w:val="en-GB"/>
        </w:rPr>
        <w:t xml:space="preserve"> </w:t>
      </w:r>
      <w:r w:rsidRPr="005C3AD2">
        <w:rPr>
          <w:lang w:val="en-GB"/>
        </w:rPr>
        <w:t>cent</w:t>
      </w:r>
      <w:r>
        <w:rPr>
          <w:lang w:val="en-GB"/>
        </w:rPr>
        <w:t xml:space="preserve"> as most beneficial</w:t>
      </w:r>
      <w:r w:rsidRPr="005C3AD2">
        <w:rPr>
          <w:lang w:val="en-GB"/>
        </w:rPr>
        <w:t xml:space="preserve">. </w:t>
      </w:r>
      <w:r w:rsidRPr="005C3AD2">
        <w:rPr>
          <w:bCs/>
          <w:lang w:val="en-GB"/>
        </w:rPr>
        <w:t xml:space="preserve">The </w:t>
      </w:r>
      <w:r>
        <w:rPr>
          <w:bCs/>
          <w:lang w:val="en-GB"/>
        </w:rPr>
        <w:t>survey</w:t>
      </w:r>
      <w:r w:rsidRPr="005C3AD2">
        <w:rPr>
          <w:bCs/>
          <w:lang w:val="en-GB"/>
        </w:rPr>
        <w:t xml:space="preserve"> also asked NPOs </w:t>
      </w:r>
      <w:r>
        <w:rPr>
          <w:bCs/>
          <w:lang w:val="en-GB"/>
        </w:rPr>
        <w:t xml:space="preserve">about </w:t>
      </w:r>
      <w:r w:rsidRPr="005C3AD2">
        <w:rPr>
          <w:bCs/>
          <w:lang w:val="en-GB"/>
        </w:rPr>
        <w:t>their satisfaction levels with consulting firms</w:t>
      </w:r>
      <w:r>
        <w:rPr>
          <w:bCs/>
          <w:lang w:val="en-GB"/>
        </w:rPr>
        <w:t>,</w:t>
      </w:r>
      <w:r w:rsidRPr="005C3AD2">
        <w:rPr>
          <w:bCs/>
          <w:lang w:val="en-GB"/>
        </w:rPr>
        <w:t xml:space="preserve"> if applicable. About 80 per</w:t>
      </w:r>
      <w:r w:rsidR="002C2D03">
        <w:rPr>
          <w:bCs/>
          <w:lang w:val="en-GB"/>
        </w:rPr>
        <w:t xml:space="preserve"> </w:t>
      </w:r>
      <w:r w:rsidRPr="005C3AD2">
        <w:rPr>
          <w:bCs/>
          <w:lang w:val="en-GB"/>
        </w:rPr>
        <w:t>cent of respondents were very satisfied or satisfied</w:t>
      </w:r>
      <w:r>
        <w:rPr>
          <w:bCs/>
          <w:lang w:val="en-GB"/>
        </w:rPr>
        <w:t xml:space="preserve"> with consulting services, and only 20 per cent remained</w:t>
      </w:r>
      <w:r w:rsidRPr="005C3AD2">
        <w:rPr>
          <w:bCs/>
          <w:lang w:val="en-GB"/>
        </w:rPr>
        <w:t xml:space="preserve"> neutral.</w:t>
      </w:r>
    </w:p>
    <w:p w14:paraId="4774C754" w14:textId="77777777" w:rsidR="00D00188" w:rsidRPr="005C3AD2" w:rsidRDefault="00D00188" w:rsidP="00812654">
      <w:pPr>
        <w:pStyle w:val="BodyTextMain"/>
        <w:rPr>
          <w:lang w:val="en-GB"/>
        </w:rPr>
      </w:pPr>
    </w:p>
    <w:p w14:paraId="660FB1FD" w14:textId="77777777" w:rsidR="00D00188" w:rsidRPr="00041585" w:rsidRDefault="00D00188" w:rsidP="00812654">
      <w:pPr>
        <w:pStyle w:val="BodyTextMain"/>
        <w:rPr>
          <w:spacing w:val="-2"/>
          <w:lang w:val="en-GB"/>
        </w:rPr>
      </w:pPr>
      <w:r w:rsidRPr="00041585">
        <w:rPr>
          <w:spacing w:val="-2"/>
          <w:lang w:val="en-GB"/>
        </w:rPr>
        <w:t>Although de Silva knew that global consulting firms such as McKinsey &amp; Company</w:t>
      </w:r>
      <w:r w:rsidRPr="00041585">
        <w:rPr>
          <w:rStyle w:val="EndnoteReference"/>
          <w:color w:val="000000"/>
          <w:spacing w:val="-2"/>
          <w:lang w:val="en-GB"/>
        </w:rPr>
        <w:endnoteReference w:id="21"/>
      </w:r>
      <w:r w:rsidRPr="00041585">
        <w:rPr>
          <w:spacing w:val="-2"/>
          <w:lang w:val="en-GB"/>
        </w:rPr>
        <w:t xml:space="preserve"> had social sector practices, he chose direct competitors that specialized in NPOs to define SFC’s target market. It was more strategic and defensible to build and grow a brand that was specialized, rather than one that was generalized. SFC had more than 10 direct competitors in the Greater Toronto Area alone (see Exhibit 2). Most firms offered a broad range of services, including marketing and communications, strategic planning, and fundraising; </w:t>
      </w:r>
      <w:r w:rsidRPr="00041585">
        <w:rPr>
          <w:spacing w:val="-2"/>
          <w:lang w:val="en-GB"/>
        </w:rPr>
        <w:lastRenderedPageBreak/>
        <w:t>others specialized in areas such as corporate citizenship or human resources. NPO clients varied in type (e.g., social services, education, health, arts, and religion) and size (i.e., from local to national).</w:t>
      </w:r>
    </w:p>
    <w:p w14:paraId="032C13E6" w14:textId="77777777" w:rsidR="00D00188" w:rsidRPr="005C3AD2" w:rsidRDefault="00D00188" w:rsidP="00812654">
      <w:pPr>
        <w:pStyle w:val="BodyTextMain"/>
        <w:rPr>
          <w:lang w:val="en-GB"/>
        </w:rPr>
      </w:pPr>
    </w:p>
    <w:p w14:paraId="4D0421FD" w14:textId="4E655FE1" w:rsidR="00D00188" w:rsidRPr="005C3AD2" w:rsidRDefault="00D00188" w:rsidP="00812654">
      <w:pPr>
        <w:pStyle w:val="BodyTextMain"/>
        <w:rPr>
          <w:lang w:val="en-GB"/>
        </w:rPr>
      </w:pPr>
      <w:r w:rsidRPr="005C3AD2">
        <w:rPr>
          <w:lang w:val="en-GB"/>
        </w:rPr>
        <w:t xml:space="preserve">De Silva examined three firms in particular: </w:t>
      </w:r>
      <w:r>
        <w:rPr>
          <w:lang w:val="en-GB"/>
        </w:rPr>
        <w:t xml:space="preserve">The </w:t>
      </w:r>
      <w:r w:rsidRPr="005C3AD2">
        <w:rPr>
          <w:lang w:val="en-GB"/>
        </w:rPr>
        <w:t>Goldie Company (</w:t>
      </w:r>
      <w:r>
        <w:rPr>
          <w:lang w:val="en-GB"/>
        </w:rPr>
        <w:t xml:space="preserve">Goldie) was </w:t>
      </w:r>
      <w:r w:rsidRPr="005C3AD2">
        <w:rPr>
          <w:lang w:val="en-GB"/>
        </w:rPr>
        <w:t>the longest</w:t>
      </w:r>
      <w:r>
        <w:rPr>
          <w:lang w:val="en-GB"/>
        </w:rPr>
        <w:t>-</w:t>
      </w:r>
      <w:r w:rsidRPr="005C3AD2">
        <w:rPr>
          <w:lang w:val="en-GB"/>
        </w:rPr>
        <w:t>running</w:t>
      </w:r>
      <w:bookmarkStart w:id="7" w:name="_Ref497116874"/>
      <w:r>
        <w:rPr>
          <w:lang w:val="en-GB"/>
        </w:rPr>
        <w:t xml:space="preserve"> consulting firm for NPOs.</w:t>
      </w:r>
      <w:r w:rsidRPr="005C3AD2">
        <w:rPr>
          <w:rStyle w:val="EndnoteReference"/>
          <w:color w:val="000000"/>
          <w:lang w:val="en-GB"/>
        </w:rPr>
        <w:endnoteReference w:id="22"/>
      </w:r>
      <w:bookmarkEnd w:id="7"/>
      <w:r w:rsidRPr="005C3AD2">
        <w:rPr>
          <w:lang w:val="en-GB"/>
        </w:rPr>
        <w:t xml:space="preserve"> </w:t>
      </w:r>
      <w:r>
        <w:rPr>
          <w:lang w:val="en-GB"/>
        </w:rPr>
        <w:t xml:space="preserve">KCI </w:t>
      </w:r>
      <w:r w:rsidRPr="005C3AD2">
        <w:rPr>
          <w:lang w:val="en-GB"/>
        </w:rPr>
        <w:t xml:space="preserve">Ketchum </w:t>
      </w:r>
      <w:r>
        <w:rPr>
          <w:lang w:val="en-GB"/>
        </w:rPr>
        <w:t xml:space="preserve">Canada Inc. </w:t>
      </w:r>
      <w:r w:rsidRPr="005C3AD2">
        <w:rPr>
          <w:lang w:val="en-GB"/>
        </w:rPr>
        <w:t>(</w:t>
      </w:r>
      <w:r>
        <w:rPr>
          <w:lang w:val="en-GB"/>
        </w:rPr>
        <w:t xml:space="preserve">KCI) was </w:t>
      </w:r>
      <w:r w:rsidRPr="005C3AD2">
        <w:rPr>
          <w:lang w:val="en-GB"/>
        </w:rPr>
        <w:t>the largest</w:t>
      </w:r>
      <w:bookmarkStart w:id="8" w:name="_Ref495391172"/>
      <w:r>
        <w:rPr>
          <w:lang w:val="en-GB"/>
        </w:rPr>
        <w:t xml:space="preserve"> one.</w:t>
      </w:r>
      <w:r w:rsidRPr="005C3AD2">
        <w:rPr>
          <w:rStyle w:val="EndnoteReference"/>
          <w:color w:val="000000"/>
          <w:lang w:val="en-GB"/>
        </w:rPr>
        <w:endnoteReference w:id="23"/>
      </w:r>
      <w:bookmarkEnd w:id="8"/>
      <w:r w:rsidRPr="005C3AD2">
        <w:rPr>
          <w:lang w:val="en-GB"/>
        </w:rPr>
        <w:t xml:space="preserve"> Endeavour </w:t>
      </w:r>
      <w:r>
        <w:rPr>
          <w:lang w:val="en-GB"/>
        </w:rPr>
        <w:t xml:space="preserve">Volunteer Consulting for Non-Profits </w:t>
      </w:r>
      <w:r w:rsidRPr="005C3AD2">
        <w:rPr>
          <w:lang w:val="en-GB"/>
        </w:rPr>
        <w:t>(Endeavour</w:t>
      </w:r>
      <w:r>
        <w:rPr>
          <w:lang w:val="en-GB"/>
        </w:rPr>
        <w:t xml:space="preserve">) worked only on a </w:t>
      </w:r>
      <w:r w:rsidRPr="005C3AD2">
        <w:rPr>
          <w:lang w:val="en-GB"/>
        </w:rPr>
        <w:t>pro bono</w:t>
      </w:r>
      <w:bookmarkStart w:id="9" w:name="_Ref495391206"/>
      <w:r>
        <w:rPr>
          <w:lang w:val="en-GB"/>
        </w:rPr>
        <w:t xml:space="preserve"> basis.</w:t>
      </w:r>
      <w:r w:rsidRPr="005C3AD2">
        <w:rPr>
          <w:rStyle w:val="EndnoteReference"/>
          <w:color w:val="000000"/>
          <w:lang w:val="en-GB"/>
        </w:rPr>
        <w:endnoteReference w:id="24"/>
      </w:r>
      <w:bookmarkEnd w:id="9"/>
      <w:r w:rsidRPr="005C3AD2">
        <w:rPr>
          <w:lang w:val="en-GB"/>
        </w:rPr>
        <w:t xml:space="preserve"> </w:t>
      </w:r>
      <w:r>
        <w:rPr>
          <w:lang w:val="en-GB"/>
        </w:rPr>
        <w:t>Although</w:t>
      </w:r>
      <w:r w:rsidRPr="005C3AD2">
        <w:rPr>
          <w:lang w:val="en-GB"/>
        </w:rPr>
        <w:t xml:space="preserve"> Goldie was the oldest firm</w:t>
      </w:r>
      <w:r>
        <w:rPr>
          <w:lang w:val="en-GB"/>
        </w:rPr>
        <w:t>,</w:t>
      </w:r>
      <w:r w:rsidRPr="005C3AD2">
        <w:rPr>
          <w:lang w:val="en-GB"/>
        </w:rPr>
        <w:t xml:space="preserve"> with over 50 years of service, KCI was also </w:t>
      </w:r>
      <w:r>
        <w:rPr>
          <w:lang w:val="en-GB"/>
        </w:rPr>
        <w:t xml:space="preserve">a </w:t>
      </w:r>
      <w:r w:rsidRPr="005C3AD2">
        <w:rPr>
          <w:lang w:val="en-GB"/>
        </w:rPr>
        <w:t xml:space="preserve">seasoned </w:t>
      </w:r>
      <w:r>
        <w:rPr>
          <w:lang w:val="en-GB"/>
        </w:rPr>
        <w:t xml:space="preserve">firm, </w:t>
      </w:r>
      <w:r w:rsidRPr="005C3AD2">
        <w:rPr>
          <w:lang w:val="en-GB"/>
        </w:rPr>
        <w:t xml:space="preserve">with over </w:t>
      </w:r>
      <w:r w:rsidR="00BD4587">
        <w:rPr>
          <w:lang w:val="en-GB"/>
        </w:rPr>
        <w:t>25</w:t>
      </w:r>
      <w:r w:rsidRPr="005C3AD2">
        <w:rPr>
          <w:lang w:val="en-GB"/>
        </w:rPr>
        <w:t xml:space="preserve"> years of service. Endeavour</w:t>
      </w:r>
      <w:r>
        <w:rPr>
          <w:lang w:val="en-GB"/>
        </w:rPr>
        <w:t>, which had only 10 years of service, was</w:t>
      </w:r>
      <w:r w:rsidRPr="005C3AD2">
        <w:rPr>
          <w:lang w:val="en-GB"/>
        </w:rPr>
        <w:t xml:space="preserve"> highly localized to the Toronto area.</w:t>
      </w:r>
      <w:r w:rsidRPr="005C3AD2">
        <w:rPr>
          <w:rStyle w:val="EndnoteReference"/>
          <w:lang w:val="en-GB"/>
        </w:rPr>
        <w:endnoteReference w:id="25"/>
      </w:r>
      <w:r w:rsidRPr="005C3AD2">
        <w:rPr>
          <w:lang w:val="en-GB"/>
        </w:rPr>
        <w:t xml:space="preserve"> In contrast, Goldie had four offices across Canada</w:t>
      </w:r>
      <w:r w:rsidRPr="005C3AD2">
        <w:rPr>
          <w:rStyle w:val="EndnoteReference"/>
          <w:lang w:val="en-GB"/>
        </w:rPr>
        <w:endnoteReference w:id="26"/>
      </w:r>
      <w:r w:rsidRPr="005C3AD2">
        <w:rPr>
          <w:lang w:val="en-GB"/>
        </w:rPr>
        <w:t xml:space="preserve"> </w:t>
      </w:r>
      <w:r>
        <w:rPr>
          <w:lang w:val="en-GB"/>
        </w:rPr>
        <w:t>and</w:t>
      </w:r>
      <w:r w:rsidRPr="005C3AD2">
        <w:rPr>
          <w:lang w:val="en-GB"/>
        </w:rPr>
        <w:t xml:space="preserve"> KCI had seven offices </w:t>
      </w:r>
      <w:r>
        <w:rPr>
          <w:lang w:val="en-GB"/>
        </w:rPr>
        <w:t xml:space="preserve">in various locations, </w:t>
      </w:r>
      <w:r w:rsidRPr="005C3AD2">
        <w:rPr>
          <w:lang w:val="en-GB"/>
        </w:rPr>
        <w:t>from Vancouver to Halifax.</w:t>
      </w:r>
      <w:r w:rsidRPr="005C3AD2">
        <w:rPr>
          <w:rStyle w:val="EndnoteReference"/>
          <w:lang w:val="en-GB"/>
        </w:rPr>
        <w:endnoteReference w:id="27"/>
      </w:r>
      <w:r w:rsidRPr="005C3AD2">
        <w:rPr>
          <w:lang w:val="en-GB"/>
        </w:rPr>
        <w:t xml:space="preserve"> The senior leadership teams at KCI</w:t>
      </w:r>
      <w:r w:rsidRPr="005C3AD2">
        <w:rPr>
          <w:rStyle w:val="EndnoteReference"/>
          <w:color w:val="000000"/>
          <w:lang w:val="en-GB"/>
        </w:rPr>
        <w:endnoteReference w:id="28"/>
      </w:r>
      <w:r w:rsidRPr="005C3AD2">
        <w:rPr>
          <w:lang w:val="en-GB"/>
        </w:rPr>
        <w:t xml:space="preserve"> and Goldie</w:t>
      </w:r>
      <w:r w:rsidRPr="005C3AD2">
        <w:rPr>
          <w:rStyle w:val="EndnoteReference"/>
          <w:color w:val="000000"/>
          <w:lang w:val="en-GB"/>
        </w:rPr>
        <w:endnoteReference w:id="29"/>
      </w:r>
      <w:r w:rsidRPr="005C3AD2">
        <w:rPr>
          <w:lang w:val="en-GB"/>
        </w:rPr>
        <w:t xml:space="preserve"> were very similar</w:t>
      </w:r>
      <w:r>
        <w:rPr>
          <w:lang w:val="en-GB"/>
        </w:rPr>
        <w:t>,</w:t>
      </w:r>
      <w:r w:rsidRPr="005C3AD2">
        <w:rPr>
          <w:lang w:val="en-GB"/>
        </w:rPr>
        <w:t xml:space="preserve"> consisting of staff with decades of NPO experience and professional accreditations such as the Certified Fund Raising Executive</w:t>
      </w:r>
      <w:r>
        <w:rPr>
          <w:lang w:val="en-GB"/>
        </w:rPr>
        <w:t xml:space="preserve"> (CFRE</w:t>
      </w:r>
      <w:r w:rsidRPr="005C3AD2">
        <w:rPr>
          <w:lang w:val="en-GB"/>
        </w:rPr>
        <w:t>).</w:t>
      </w:r>
      <w:r w:rsidRPr="005C3AD2">
        <w:rPr>
          <w:rStyle w:val="EndnoteReference"/>
          <w:color w:val="000000"/>
          <w:lang w:val="en-GB"/>
        </w:rPr>
        <w:endnoteReference w:id="30"/>
      </w:r>
      <w:r w:rsidRPr="005C3AD2">
        <w:rPr>
          <w:lang w:val="en-GB"/>
        </w:rPr>
        <w:t xml:space="preserve"> Endeavour was entirely volunteer-run and had a younger and less sector-experienced team.</w:t>
      </w:r>
      <w:r w:rsidRPr="005C3AD2">
        <w:rPr>
          <w:rStyle w:val="EndnoteReference"/>
          <w:color w:val="000000"/>
          <w:lang w:val="en-GB"/>
        </w:rPr>
        <w:endnoteReference w:id="31"/>
      </w:r>
      <w:r w:rsidRPr="005C3AD2">
        <w:rPr>
          <w:lang w:val="en-GB"/>
        </w:rPr>
        <w:t xml:space="preserve"> </w:t>
      </w:r>
    </w:p>
    <w:p w14:paraId="3298D309" w14:textId="77777777" w:rsidR="00D00188" w:rsidRPr="005C3AD2" w:rsidRDefault="00D00188" w:rsidP="00812654">
      <w:pPr>
        <w:pStyle w:val="BodyTextMain"/>
        <w:rPr>
          <w:lang w:val="en-GB"/>
        </w:rPr>
      </w:pPr>
    </w:p>
    <w:p w14:paraId="2BE4CEDF" w14:textId="5F4BC3B3" w:rsidR="00D00188" w:rsidRPr="00FD561A" w:rsidRDefault="00D00188" w:rsidP="00812654">
      <w:pPr>
        <w:pStyle w:val="BodyTextMain"/>
        <w:rPr>
          <w:spacing w:val="-4"/>
          <w:lang w:val="en-GB"/>
        </w:rPr>
      </w:pPr>
      <w:r w:rsidRPr="00FD561A">
        <w:rPr>
          <w:spacing w:val="-4"/>
          <w:lang w:val="en-GB"/>
        </w:rPr>
        <w:t>Goldie’s main point of differentiation was its decades of fundraising experience. For example, the company had once helped a small hospital foundation raise $10 million within two years</w:t>
      </w:r>
      <w:bookmarkStart w:id="10" w:name="_Ref497116737"/>
      <w:r w:rsidRPr="00FD561A">
        <w:rPr>
          <w:spacing w:val="-4"/>
          <w:lang w:val="en-GB"/>
        </w:rPr>
        <w:t>.</w:t>
      </w:r>
      <w:r w:rsidRPr="00FD561A">
        <w:rPr>
          <w:rStyle w:val="EndnoteReference"/>
          <w:color w:val="000000"/>
          <w:spacing w:val="-4"/>
          <w:lang w:val="en-GB"/>
        </w:rPr>
        <w:endnoteReference w:id="32"/>
      </w:r>
      <w:bookmarkEnd w:id="10"/>
      <w:r w:rsidRPr="00FD561A">
        <w:rPr>
          <w:spacing w:val="-4"/>
          <w:lang w:val="en-GB"/>
        </w:rPr>
        <w:t xml:space="preserve"> KCI positioned itself as a “thought leader” in the sector</w:t>
      </w:r>
      <w:r w:rsidRPr="00FD561A">
        <w:rPr>
          <w:rStyle w:val="EndnoteReference"/>
          <w:spacing w:val="-4"/>
          <w:lang w:val="en-GB"/>
        </w:rPr>
        <w:endnoteReference w:id="33"/>
      </w:r>
      <w:r w:rsidRPr="00FD561A">
        <w:rPr>
          <w:spacing w:val="-4"/>
          <w:lang w:val="en-GB"/>
        </w:rPr>
        <w:t xml:space="preserve"> and boasted the largest NPO data bank in the country,</w:t>
      </w:r>
      <w:r w:rsidRPr="00FD561A">
        <w:rPr>
          <w:rStyle w:val="EndnoteReference"/>
          <w:spacing w:val="-4"/>
          <w:lang w:val="en-GB"/>
        </w:rPr>
        <w:endnoteReference w:id="34"/>
      </w:r>
      <w:r w:rsidRPr="00FD561A">
        <w:rPr>
          <w:spacing w:val="-4"/>
          <w:lang w:val="en-GB"/>
        </w:rPr>
        <w:t xml:space="preserve"> with billions of dollars raised by its clients.</w:t>
      </w:r>
      <w:bookmarkStart w:id="11" w:name="_Ref497118002"/>
      <w:r w:rsidRPr="00FD561A">
        <w:rPr>
          <w:rStyle w:val="EndnoteReference"/>
          <w:color w:val="000000"/>
          <w:spacing w:val="-4"/>
          <w:lang w:val="en-GB"/>
        </w:rPr>
        <w:endnoteReference w:id="35"/>
      </w:r>
      <w:bookmarkEnd w:id="11"/>
      <w:r w:rsidRPr="00FD561A">
        <w:rPr>
          <w:spacing w:val="-4"/>
          <w:lang w:val="en-GB"/>
        </w:rPr>
        <w:t xml:space="preserve"> Endeavour set itself apart from professional firms with its free, volunteer-run services.</w:t>
      </w:r>
    </w:p>
    <w:p w14:paraId="03E1093F" w14:textId="77777777" w:rsidR="00D00188" w:rsidRPr="005C3AD2" w:rsidRDefault="00D00188" w:rsidP="00812654">
      <w:pPr>
        <w:pStyle w:val="BodyTextMain"/>
        <w:rPr>
          <w:lang w:val="en-GB"/>
        </w:rPr>
      </w:pPr>
    </w:p>
    <w:p w14:paraId="6B2C6D42" w14:textId="77777777" w:rsidR="00D00188" w:rsidRPr="005C3AD2" w:rsidRDefault="00D00188" w:rsidP="00812654">
      <w:pPr>
        <w:pStyle w:val="BodyTextMain"/>
        <w:rPr>
          <w:lang w:val="en-GB"/>
        </w:rPr>
      </w:pPr>
    </w:p>
    <w:p w14:paraId="22685FBC" w14:textId="77777777" w:rsidR="00D00188" w:rsidRPr="00843FF2" w:rsidRDefault="00D00188" w:rsidP="00812654">
      <w:pPr>
        <w:pStyle w:val="Casehead1"/>
        <w:rPr>
          <w:sz w:val="20"/>
          <w:lang w:val="en-GB"/>
        </w:rPr>
      </w:pPr>
      <w:r w:rsidRPr="00843FF2">
        <w:rPr>
          <w:sz w:val="20"/>
          <w:lang w:val="en-GB"/>
        </w:rPr>
        <w:t>SFC’s Business Model</w:t>
      </w:r>
    </w:p>
    <w:p w14:paraId="192D725C" w14:textId="77777777" w:rsidR="00D00188" w:rsidRPr="005C3AD2" w:rsidRDefault="00D00188" w:rsidP="00812654">
      <w:pPr>
        <w:pStyle w:val="BodyTextMain"/>
        <w:rPr>
          <w:lang w:val="en-GB"/>
        </w:rPr>
      </w:pPr>
    </w:p>
    <w:p w14:paraId="7F88FCB3" w14:textId="2F12B676" w:rsidR="00D00188" w:rsidRPr="005C3AD2" w:rsidRDefault="00D00188" w:rsidP="00812654">
      <w:pPr>
        <w:pStyle w:val="BodyTextMain"/>
        <w:rPr>
          <w:lang w:val="en-GB"/>
        </w:rPr>
      </w:pPr>
      <w:r>
        <w:rPr>
          <w:lang w:val="en-GB"/>
        </w:rPr>
        <w:t xml:space="preserve">Based on </w:t>
      </w:r>
      <w:r w:rsidRPr="005C3AD2">
        <w:rPr>
          <w:lang w:val="en-GB"/>
        </w:rPr>
        <w:t>SFC’s business model</w:t>
      </w:r>
      <w:r>
        <w:rPr>
          <w:lang w:val="en-GB"/>
        </w:rPr>
        <w:t>, the company</w:t>
      </w:r>
      <w:r w:rsidRPr="005C3AD2">
        <w:rPr>
          <w:lang w:val="en-GB"/>
        </w:rPr>
        <w:t xml:space="preserve"> charge</w:t>
      </w:r>
      <w:r>
        <w:rPr>
          <w:lang w:val="en-GB"/>
        </w:rPr>
        <w:t>d its</w:t>
      </w:r>
      <w:r w:rsidRPr="005C3AD2">
        <w:rPr>
          <w:lang w:val="en-GB"/>
        </w:rPr>
        <w:t xml:space="preserve"> NPO</w:t>
      </w:r>
      <w:r>
        <w:rPr>
          <w:lang w:val="en-GB"/>
        </w:rPr>
        <w:t xml:space="preserve"> client</w:t>
      </w:r>
      <w:r w:rsidRPr="005C3AD2">
        <w:rPr>
          <w:lang w:val="en-GB"/>
        </w:rPr>
        <w:t xml:space="preserve">s </w:t>
      </w:r>
      <w:r>
        <w:rPr>
          <w:lang w:val="en-GB"/>
        </w:rPr>
        <w:t xml:space="preserve">a fee </w:t>
      </w:r>
      <w:r w:rsidRPr="005C3AD2">
        <w:rPr>
          <w:lang w:val="en-GB"/>
        </w:rPr>
        <w:t>for developing innovative marketing strategies that help</w:t>
      </w:r>
      <w:r>
        <w:rPr>
          <w:lang w:val="en-GB"/>
        </w:rPr>
        <w:t>ed</w:t>
      </w:r>
      <w:r w:rsidRPr="005C3AD2">
        <w:rPr>
          <w:lang w:val="en-GB"/>
        </w:rPr>
        <w:t xml:space="preserve"> them raise more funds and awareness. SFC developed these strategies by first collecting information </w:t>
      </w:r>
      <w:r>
        <w:rPr>
          <w:lang w:val="en-GB"/>
        </w:rPr>
        <w:t>about the client and its external environment through</w:t>
      </w:r>
      <w:r w:rsidRPr="005C3AD2">
        <w:rPr>
          <w:lang w:val="en-GB"/>
        </w:rPr>
        <w:t xml:space="preserve"> interviews, surveys, </w:t>
      </w:r>
      <w:r>
        <w:rPr>
          <w:lang w:val="en-GB"/>
        </w:rPr>
        <w:t xml:space="preserve">and </w:t>
      </w:r>
      <w:r w:rsidRPr="005C3AD2">
        <w:rPr>
          <w:lang w:val="en-GB"/>
        </w:rPr>
        <w:t>secondary research</w:t>
      </w:r>
      <w:r>
        <w:rPr>
          <w:lang w:val="en-GB"/>
        </w:rPr>
        <w:t>. To do so, SFC</w:t>
      </w:r>
      <w:r w:rsidRPr="005C3AD2">
        <w:rPr>
          <w:lang w:val="en-GB"/>
        </w:rPr>
        <w:t xml:space="preserve"> us</w:t>
      </w:r>
      <w:r>
        <w:rPr>
          <w:lang w:val="en-GB"/>
        </w:rPr>
        <w:t>ed a five-</w:t>
      </w:r>
      <w:r w:rsidRPr="005C3AD2">
        <w:rPr>
          <w:lang w:val="en-GB"/>
        </w:rPr>
        <w:t>C</w:t>
      </w:r>
      <w:r>
        <w:rPr>
          <w:lang w:val="en-GB"/>
        </w:rPr>
        <w:t>’</w:t>
      </w:r>
      <w:r w:rsidRPr="005C3AD2">
        <w:rPr>
          <w:lang w:val="en-GB"/>
        </w:rPr>
        <w:t>s research approach</w:t>
      </w:r>
      <w:r>
        <w:rPr>
          <w:lang w:val="en-GB"/>
        </w:rPr>
        <w:t>:</w:t>
      </w:r>
      <w:r w:rsidRPr="005C3AD2">
        <w:rPr>
          <w:lang w:val="en-GB"/>
        </w:rPr>
        <w:t xml:space="preserve"> </w:t>
      </w:r>
      <w:r>
        <w:rPr>
          <w:lang w:val="en-GB"/>
        </w:rPr>
        <w:t>c</w:t>
      </w:r>
      <w:r w:rsidRPr="005C3AD2">
        <w:rPr>
          <w:lang w:val="en-GB"/>
        </w:rPr>
        <w:t xml:space="preserve">ompany, </w:t>
      </w:r>
      <w:r>
        <w:rPr>
          <w:lang w:val="en-GB"/>
        </w:rPr>
        <w:t>c</w:t>
      </w:r>
      <w:r w:rsidRPr="005C3AD2">
        <w:rPr>
          <w:lang w:val="en-GB"/>
        </w:rPr>
        <w:t xml:space="preserve">ustomer, </w:t>
      </w:r>
      <w:r>
        <w:rPr>
          <w:lang w:val="en-GB"/>
        </w:rPr>
        <w:t>c</w:t>
      </w:r>
      <w:r w:rsidRPr="005C3AD2">
        <w:rPr>
          <w:lang w:val="en-GB"/>
        </w:rPr>
        <w:t xml:space="preserve">ollaborator, </w:t>
      </w:r>
      <w:r>
        <w:rPr>
          <w:lang w:val="en-GB"/>
        </w:rPr>
        <w:t>c</w:t>
      </w:r>
      <w:r w:rsidRPr="005C3AD2">
        <w:rPr>
          <w:lang w:val="en-GB"/>
        </w:rPr>
        <w:t xml:space="preserve">ompetitor, </w:t>
      </w:r>
      <w:r>
        <w:rPr>
          <w:lang w:val="en-GB"/>
        </w:rPr>
        <w:t>and c</w:t>
      </w:r>
      <w:r w:rsidRPr="005C3AD2">
        <w:rPr>
          <w:lang w:val="en-GB"/>
        </w:rPr>
        <w:t>ontext (</w:t>
      </w:r>
      <w:r>
        <w:rPr>
          <w:lang w:val="en-GB"/>
        </w:rPr>
        <w:t>s</w:t>
      </w:r>
      <w:r w:rsidRPr="005C3AD2">
        <w:rPr>
          <w:lang w:val="en-GB"/>
        </w:rPr>
        <w:t xml:space="preserve">ee Exhibit 3). SFC then analyzed the information using quantitative and qualitative business frameworks </w:t>
      </w:r>
      <w:r>
        <w:rPr>
          <w:lang w:val="en-GB"/>
        </w:rPr>
        <w:t xml:space="preserve">such as the strengths, weaknesses, opportunities, and threats </w:t>
      </w:r>
      <w:r w:rsidRPr="005C3AD2">
        <w:rPr>
          <w:lang w:val="en-GB"/>
        </w:rPr>
        <w:t xml:space="preserve">(SWOT) </w:t>
      </w:r>
      <w:r>
        <w:rPr>
          <w:lang w:val="en-GB"/>
        </w:rPr>
        <w:t xml:space="preserve">analysis </w:t>
      </w:r>
      <w:r w:rsidRPr="005C3AD2">
        <w:rPr>
          <w:lang w:val="en-GB"/>
        </w:rPr>
        <w:t xml:space="preserve">and used insights to identify and prioritize the main problems faced by the NPO. Strategies to address these problems were accompanied by implementation plans and measures of success. Brainstorming and using business best practices were some </w:t>
      </w:r>
      <w:r>
        <w:rPr>
          <w:lang w:val="en-GB"/>
        </w:rPr>
        <w:t xml:space="preserve">of the </w:t>
      </w:r>
      <w:r w:rsidRPr="005C3AD2">
        <w:rPr>
          <w:lang w:val="en-GB"/>
        </w:rPr>
        <w:t xml:space="preserve">ways </w:t>
      </w:r>
      <w:r>
        <w:rPr>
          <w:lang w:val="en-GB"/>
        </w:rPr>
        <w:t xml:space="preserve">that </w:t>
      </w:r>
      <w:r w:rsidRPr="005C3AD2">
        <w:rPr>
          <w:lang w:val="en-GB"/>
        </w:rPr>
        <w:t>SFC develop</w:t>
      </w:r>
      <w:r>
        <w:rPr>
          <w:lang w:val="en-GB"/>
        </w:rPr>
        <w:t>ed</w:t>
      </w:r>
      <w:r w:rsidRPr="005C3AD2">
        <w:rPr>
          <w:lang w:val="en-GB"/>
        </w:rPr>
        <w:t xml:space="preserve"> and vet</w:t>
      </w:r>
      <w:r>
        <w:rPr>
          <w:lang w:val="en-GB"/>
        </w:rPr>
        <w:t>ted</w:t>
      </w:r>
      <w:r w:rsidRPr="005C3AD2">
        <w:rPr>
          <w:lang w:val="en-GB"/>
        </w:rPr>
        <w:t xml:space="preserve"> strategies. </w:t>
      </w:r>
      <w:r>
        <w:rPr>
          <w:lang w:val="en-GB"/>
        </w:rPr>
        <w:t>In addition to</w:t>
      </w:r>
      <w:r w:rsidRPr="005C3AD2">
        <w:rPr>
          <w:lang w:val="en-GB"/>
        </w:rPr>
        <w:t xml:space="preserve"> long-term projects that ran between five and eight months on average, SFC also offered a workshop that lasted two to three hours over a few weeks. The affordable workshop </w:t>
      </w:r>
      <w:r>
        <w:rPr>
          <w:lang w:val="en-GB"/>
        </w:rPr>
        <w:t xml:space="preserve">was </w:t>
      </w:r>
      <w:r w:rsidRPr="005C3AD2">
        <w:rPr>
          <w:lang w:val="en-GB"/>
        </w:rPr>
        <w:t xml:space="preserve">offered for </w:t>
      </w:r>
      <w:r>
        <w:rPr>
          <w:lang w:val="en-GB"/>
        </w:rPr>
        <w:t xml:space="preserve">a fee of </w:t>
      </w:r>
      <w:r w:rsidRPr="005C3AD2">
        <w:rPr>
          <w:lang w:val="en-GB"/>
        </w:rPr>
        <w:t>$300</w:t>
      </w:r>
      <w:r>
        <w:rPr>
          <w:lang w:val="en-GB"/>
        </w:rPr>
        <w:t xml:space="preserve"> to $</w:t>
      </w:r>
      <w:r w:rsidRPr="005C3AD2">
        <w:rPr>
          <w:lang w:val="en-GB"/>
        </w:rPr>
        <w:t>400</w:t>
      </w:r>
      <w:r>
        <w:rPr>
          <w:lang w:val="en-GB"/>
        </w:rPr>
        <w:t xml:space="preserve"> and</w:t>
      </w:r>
      <w:r w:rsidRPr="005C3AD2">
        <w:rPr>
          <w:lang w:val="en-GB"/>
        </w:rPr>
        <w:t xml:space="preserve"> was essentially a scaled down version of a long-term project </w:t>
      </w:r>
      <w:r>
        <w:rPr>
          <w:lang w:val="en-GB"/>
        </w:rPr>
        <w:t xml:space="preserve">that was priced at </w:t>
      </w:r>
      <w:r w:rsidRPr="005C3AD2">
        <w:rPr>
          <w:lang w:val="en-GB"/>
        </w:rPr>
        <w:t>$2,500</w:t>
      </w:r>
      <w:r>
        <w:rPr>
          <w:lang w:val="en-GB"/>
        </w:rPr>
        <w:t xml:space="preserve"> to more than </w:t>
      </w:r>
      <w:r w:rsidRPr="005C3AD2">
        <w:rPr>
          <w:lang w:val="en-GB"/>
        </w:rPr>
        <w:t>$10,000.</w:t>
      </w:r>
    </w:p>
    <w:p w14:paraId="45535198" w14:textId="77777777" w:rsidR="00D00188" w:rsidRPr="005C3AD2" w:rsidRDefault="00D00188" w:rsidP="00812654">
      <w:pPr>
        <w:pStyle w:val="BodyTextMain"/>
        <w:rPr>
          <w:lang w:val="en-GB"/>
        </w:rPr>
      </w:pPr>
    </w:p>
    <w:p w14:paraId="286E03B8" w14:textId="4340F74C" w:rsidR="00D00188" w:rsidRPr="005C3AD2" w:rsidRDefault="00D00188" w:rsidP="00812654">
      <w:pPr>
        <w:pStyle w:val="BodyTextMain"/>
        <w:rPr>
          <w:lang w:val="en-GB"/>
        </w:rPr>
      </w:pPr>
      <w:r w:rsidRPr="005C3AD2">
        <w:rPr>
          <w:lang w:val="en-GB"/>
        </w:rPr>
        <w:t xml:space="preserve">SFC’s business model differed from competitors who had many years of NPO experience and credentials such as the CFRE. These firms typically provided expertise </w:t>
      </w:r>
      <w:r>
        <w:rPr>
          <w:lang w:val="en-GB"/>
        </w:rPr>
        <w:t>on</w:t>
      </w:r>
      <w:r w:rsidRPr="005C3AD2">
        <w:rPr>
          <w:lang w:val="en-GB"/>
        </w:rPr>
        <w:t xml:space="preserve"> traditional fundraising methods such as grant proposals and monthly giving programs. They often lacked experience, however, in youth-oriented trends, social media, and engagement, </w:t>
      </w:r>
      <w:r>
        <w:rPr>
          <w:lang w:val="en-GB"/>
        </w:rPr>
        <w:t xml:space="preserve">which were </w:t>
      </w:r>
      <w:r w:rsidRPr="005C3AD2">
        <w:rPr>
          <w:lang w:val="en-GB"/>
        </w:rPr>
        <w:t>key trends for the NPO market.</w:t>
      </w:r>
      <w:r w:rsidRPr="005C3AD2">
        <w:rPr>
          <w:rStyle w:val="EndnoteReference"/>
          <w:color w:val="000000"/>
          <w:lang w:val="en-GB"/>
        </w:rPr>
        <w:endnoteReference w:id="36"/>
      </w:r>
      <w:r w:rsidRPr="005C3AD2">
        <w:rPr>
          <w:lang w:val="en-GB"/>
        </w:rPr>
        <w:t xml:space="preserve"> Although some pro bono firms such as Endeavour provided a wide range of services, they could</w:t>
      </w:r>
      <w:r>
        <w:rPr>
          <w:lang w:val="en-GB"/>
        </w:rPr>
        <w:t xml:space="preserve"> not</w:t>
      </w:r>
      <w:r w:rsidRPr="005C3AD2">
        <w:rPr>
          <w:lang w:val="en-GB"/>
        </w:rPr>
        <w:t xml:space="preserve"> match the dedication and expertise in strategic marketing provided by professional firms such as SF</w:t>
      </w:r>
      <w:r>
        <w:rPr>
          <w:lang w:val="en-GB"/>
        </w:rPr>
        <w:t>C</w:t>
      </w:r>
      <w:r w:rsidRPr="005C3AD2">
        <w:rPr>
          <w:lang w:val="en-GB"/>
        </w:rPr>
        <w:t>.</w:t>
      </w:r>
    </w:p>
    <w:p w14:paraId="1F9178F8" w14:textId="77777777" w:rsidR="00D00188" w:rsidRPr="005C3AD2" w:rsidRDefault="00D00188" w:rsidP="00812654">
      <w:pPr>
        <w:pStyle w:val="BodyTextMain"/>
        <w:rPr>
          <w:lang w:val="en-GB"/>
        </w:rPr>
      </w:pPr>
    </w:p>
    <w:p w14:paraId="2ADA94BE" w14:textId="48BA5B43" w:rsidR="00D00188" w:rsidRPr="005C3AD2" w:rsidRDefault="00D00188" w:rsidP="00812654">
      <w:pPr>
        <w:pStyle w:val="BodyTextMain"/>
        <w:rPr>
          <w:lang w:val="en-GB"/>
        </w:rPr>
      </w:pPr>
      <w:r w:rsidRPr="005C3AD2">
        <w:rPr>
          <w:lang w:val="en-GB"/>
        </w:rPr>
        <w:t>SFC had the skills and knowledge to uniquely help NPOs raise more funds and awareness by drawing on the complementary skill</w:t>
      </w:r>
      <w:r>
        <w:rPr>
          <w:lang w:val="en-GB"/>
        </w:rPr>
        <w:t xml:space="preserve"> </w:t>
      </w:r>
      <w:r w:rsidRPr="005C3AD2">
        <w:rPr>
          <w:lang w:val="en-GB"/>
        </w:rPr>
        <w:t xml:space="preserve">sets of its team members, </w:t>
      </w:r>
      <w:r>
        <w:rPr>
          <w:lang w:val="en-GB"/>
        </w:rPr>
        <w:t xml:space="preserve">who were </w:t>
      </w:r>
      <w:r w:rsidRPr="005C3AD2">
        <w:rPr>
          <w:lang w:val="en-GB"/>
        </w:rPr>
        <w:t xml:space="preserve">undergraduate </w:t>
      </w:r>
      <w:r>
        <w:rPr>
          <w:lang w:val="en-GB"/>
        </w:rPr>
        <w:t>c</w:t>
      </w:r>
      <w:r w:rsidRPr="005C3AD2">
        <w:rPr>
          <w:lang w:val="en-GB"/>
        </w:rPr>
        <w:t xml:space="preserve">ommerce and graduate </w:t>
      </w:r>
      <w:r w:rsidR="002C2D03">
        <w:rPr>
          <w:lang w:val="en-GB"/>
        </w:rPr>
        <w:t xml:space="preserve">Master of Business Administration </w:t>
      </w:r>
      <w:r w:rsidRPr="005C3AD2">
        <w:rPr>
          <w:lang w:val="en-GB"/>
        </w:rPr>
        <w:t>students. The undergraduate</w:t>
      </w:r>
      <w:r>
        <w:rPr>
          <w:lang w:val="en-GB"/>
        </w:rPr>
        <w:t xml:space="preserve"> </w:t>
      </w:r>
      <w:r w:rsidRPr="005C3AD2">
        <w:rPr>
          <w:lang w:val="en-GB"/>
        </w:rPr>
        <w:t>s</w:t>
      </w:r>
      <w:r>
        <w:rPr>
          <w:lang w:val="en-GB"/>
        </w:rPr>
        <w:t>tudents’</w:t>
      </w:r>
      <w:r w:rsidRPr="005C3AD2">
        <w:rPr>
          <w:lang w:val="en-GB"/>
        </w:rPr>
        <w:t xml:space="preserve"> strength was in youth-oriented trends and engagement, and facility with social media. These strengths helped NPOs connect better with youth who used online channels to spread awareness. Awareness c</w:t>
      </w:r>
      <w:r>
        <w:rPr>
          <w:lang w:val="en-GB"/>
        </w:rPr>
        <w:t>ould</w:t>
      </w:r>
      <w:r w:rsidRPr="005C3AD2">
        <w:rPr>
          <w:lang w:val="en-GB"/>
        </w:rPr>
        <w:t xml:space="preserve"> lead to support, relationships, and donations. Undergraduates were also knowledgeable about fundraising and sponsorship through their student clubs</w:t>
      </w:r>
      <w:r>
        <w:rPr>
          <w:lang w:val="en-GB"/>
        </w:rPr>
        <w:t>,</w:t>
      </w:r>
      <w:r w:rsidRPr="005C3AD2">
        <w:rPr>
          <w:lang w:val="en-GB"/>
        </w:rPr>
        <w:t xml:space="preserve"> which sought corporate support to fund their events. For example, the Queen’s Marketing </w:t>
      </w:r>
      <w:r w:rsidRPr="005C3AD2">
        <w:rPr>
          <w:lang w:val="en-GB"/>
        </w:rPr>
        <w:lastRenderedPageBreak/>
        <w:t>Association Conference was Canada</w:t>
      </w:r>
      <w:r>
        <w:rPr>
          <w:lang w:val="en-GB"/>
        </w:rPr>
        <w:t>’</w:t>
      </w:r>
      <w:r w:rsidRPr="005C3AD2">
        <w:rPr>
          <w:lang w:val="en-GB"/>
        </w:rPr>
        <w:t>s largest such conference</w:t>
      </w:r>
      <w:r>
        <w:rPr>
          <w:lang w:val="en-GB"/>
        </w:rPr>
        <w:t>,</w:t>
      </w:r>
      <w:r w:rsidRPr="005C3AD2">
        <w:rPr>
          <w:lang w:val="en-GB"/>
        </w:rPr>
        <w:t xml:space="preserve"> attracting over 150 students from across Canada and sponsorship from corporations such as Unilever, Nestl</w:t>
      </w:r>
      <w:r w:rsidRPr="005E162B">
        <w:rPr>
          <w:lang w:val="en-GB"/>
        </w:rPr>
        <w:t>é</w:t>
      </w:r>
      <w:r w:rsidR="002C2D03">
        <w:rPr>
          <w:lang w:val="en-GB"/>
        </w:rPr>
        <w:t xml:space="preserve"> S. A.</w:t>
      </w:r>
      <w:r w:rsidRPr="005C3AD2">
        <w:rPr>
          <w:lang w:val="en-GB"/>
        </w:rPr>
        <w:t xml:space="preserve">, and </w:t>
      </w:r>
      <w:r w:rsidR="002C2D03" w:rsidRPr="002C2D03">
        <w:rPr>
          <w:lang w:val="en-GB"/>
        </w:rPr>
        <w:t>International Business Machines Corporation</w:t>
      </w:r>
      <w:r w:rsidRPr="005C3AD2">
        <w:rPr>
          <w:lang w:val="en-GB"/>
        </w:rPr>
        <w:t>.</w:t>
      </w:r>
      <w:r w:rsidRPr="005C3AD2">
        <w:rPr>
          <w:rStyle w:val="EndnoteReference"/>
          <w:color w:val="000000"/>
          <w:lang w:val="en-GB"/>
        </w:rPr>
        <w:endnoteReference w:id="37"/>
      </w:r>
      <w:r w:rsidRPr="005C3AD2">
        <w:rPr>
          <w:lang w:val="en-GB"/>
        </w:rPr>
        <w:t xml:space="preserve"> </w:t>
      </w:r>
      <w:r>
        <w:rPr>
          <w:lang w:val="en-GB"/>
        </w:rPr>
        <w:t>However,</w:t>
      </w:r>
      <w:r w:rsidRPr="005C3AD2">
        <w:rPr>
          <w:lang w:val="en-GB"/>
        </w:rPr>
        <w:t xml:space="preserve"> undergraduates lacked years of professional consulting experience and </w:t>
      </w:r>
      <w:r>
        <w:rPr>
          <w:lang w:val="en-GB"/>
        </w:rPr>
        <w:t>were</w:t>
      </w:r>
      <w:r w:rsidRPr="005C3AD2">
        <w:rPr>
          <w:lang w:val="en-GB"/>
        </w:rPr>
        <w:t xml:space="preserve"> not as dedicated to their roles or </w:t>
      </w:r>
      <w:r>
        <w:rPr>
          <w:lang w:val="en-GB"/>
        </w:rPr>
        <w:t xml:space="preserve">to the </w:t>
      </w:r>
      <w:r w:rsidRPr="005C3AD2">
        <w:rPr>
          <w:lang w:val="en-GB"/>
        </w:rPr>
        <w:t>company</w:t>
      </w:r>
      <w:r>
        <w:rPr>
          <w:lang w:val="en-GB"/>
        </w:rPr>
        <w:t xml:space="preserve"> as more senior team members were</w:t>
      </w:r>
      <w:r w:rsidRPr="005C3AD2">
        <w:rPr>
          <w:lang w:val="en-GB"/>
        </w:rPr>
        <w:t xml:space="preserve">, given the </w:t>
      </w:r>
      <w:r>
        <w:rPr>
          <w:lang w:val="en-GB"/>
        </w:rPr>
        <w:t xml:space="preserve">students’ </w:t>
      </w:r>
      <w:r w:rsidRPr="005C3AD2">
        <w:rPr>
          <w:lang w:val="en-GB"/>
        </w:rPr>
        <w:t>temporary involvement.</w:t>
      </w:r>
    </w:p>
    <w:p w14:paraId="1E88FDEA" w14:textId="77777777" w:rsidR="00D00188" w:rsidRPr="005C3AD2" w:rsidRDefault="00D00188" w:rsidP="00812654">
      <w:pPr>
        <w:pStyle w:val="BodyTextMain"/>
        <w:rPr>
          <w:lang w:val="en-GB"/>
        </w:rPr>
      </w:pPr>
    </w:p>
    <w:p w14:paraId="0881B907" w14:textId="1DD75B1F" w:rsidR="00D00188" w:rsidRPr="005C3AD2" w:rsidRDefault="00D00188" w:rsidP="00812654">
      <w:pPr>
        <w:pStyle w:val="BodyTextMain"/>
        <w:rPr>
          <w:lang w:val="en-GB"/>
        </w:rPr>
      </w:pPr>
      <w:r w:rsidRPr="005C3AD2">
        <w:rPr>
          <w:lang w:val="en-GB"/>
        </w:rPr>
        <w:t xml:space="preserve">The lack of professional experience among undergraduate students was addressed by partnering them with </w:t>
      </w:r>
      <w:r>
        <w:rPr>
          <w:lang w:val="en-GB"/>
        </w:rPr>
        <w:t xml:space="preserve">the </w:t>
      </w:r>
      <w:r w:rsidRPr="005C3AD2">
        <w:rPr>
          <w:lang w:val="en-GB"/>
        </w:rPr>
        <w:t xml:space="preserve">MBA students, who </w:t>
      </w:r>
      <w:r>
        <w:rPr>
          <w:lang w:val="en-GB"/>
        </w:rPr>
        <w:t>usu</w:t>
      </w:r>
      <w:r w:rsidRPr="005C3AD2">
        <w:rPr>
          <w:lang w:val="en-GB"/>
        </w:rPr>
        <w:t>ally had some professional experience</w:t>
      </w:r>
      <w:r>
        <w:rPr>
          <w:lang w:val="en-GB"/>
        </w:rPr>
        <w:t>,</w:t>
      </w:r>
      <w:r w:rsidRPr="005C3AD2">
        <w:rPr>
          <w:lang w:val="en-GB"/>
        </w:rPr>
        <w:t xml:space="preserve"> </w:t>
      </w:r>
      <w:r>
        <w:rPr>
          <w:lang w:val="en-GB"/>
        </w:rPr>
        <w:t>for</w:t>
      </w:r>
      <w:r w:rsidRPr="005C3AD2">
        <w:rPr>
          <w:lang w:val="en-GB"/>
        </w:rPr>
        <w:t xml:space="preserve"> mentor</w:t>
      </w:r>
      <w:r>
        <w:rPr>
          <w:lang w:val="en-GB"/>
        </w:rPr>
        <w:t>ing of</w:t>
      </w:r>
      <w:r w:rsidRPr="005C3AD2">
        <w:rPr>
          <w:lang w:val="en-GB"/>
        </w:rPr>
        <w:t xml:space="preserve"> their younger colleagues. </w:t>
      </w:r>
      <w:r>
        <w:rPr>
          <w:lang w:val="en-GB"/>
        </w:rPr>
        <w:t>The</w:t>
      </w:r>
      <w:r w:rsidRPr="005C3AD2">
        <w:rPr>
          <w:lang w:val="en-GB"/>
        </w:rPr>
        <w:t xml:space="preserve"> MBA students </w:t>
      </w:r>
      <w:r>
        <w:rPr>
          <w:lang w:val="en-GB"/>
        </w:rPr>
        <w:t xml:space="preserve">also </w:t>
      </w:r>
      <w:r w:rsidRPr="005C3AD2">
        <w:rPr>
          <w:lang w:val="en-GB"/>
        </w:rPr>
        <w:t>drew on their business experience to help NPOs with discovery sessions (e.</w:t>
      </w:r>
      <w:r>
        <w:rPr>
          <w:lang w:val="en-GB"/>
        </w:rPr>
        <w:t>g.</w:t>
      </w:r>
      <w:r w:rsidRPr="005C3AD2">
        <w:rPr>
          <w:lang w:val="en-GB"/>
        </w:rPr>
        <w:t>, asking the right questions to understand the NPO’s current situation), market analysis (e.g., understanding donors and NPO competition), problem identification (e.</w:t>
      </w:r>
      <w:r>
        <w:rPr>
          <w:lang w:val="en-GB"/>
        </w:rPr>
        <w:t>g.</w:t>
      </w:r>
      <w:r w:rsidRPr="005C3AD2">
        <w:rPr>
          <w:lang w:val="en-GB"/>
        </w:rPr>
        <w:t>, understanding why a NPO was</w:t>
      </w:r>
      <w:r>
        <w:rPr>
          <w:lang w:val="en-GB"/>
        </w:rPr>
        <w:t xml:space="preserve"> not</w:t>
      </w:r>
      <w:r w:rsidRPr="005C3AD2">
        <w:rPr>
          <w:lang w:val="en-GB"/>
        </w:rPr>
        <w:t xml:space="preserve"> achieving organizational goals), and measuring success (e.</w:t>
      </w:r>
      <w:r>
        <w:rPr>
          <w:lang w:val="en-GB"/>
        </w:rPr>
        <w:t>g.</w:t>
      </w:r>
      <w:r w:rsidRPr="005C3AD2">
        <w:rPr>
          <w:lang w:val="en-GB"/>
        </w:rPr>
        <w:t>, establishing short</w:t>
      </w:r>
      <w:r>
        <w:rPr>
          <w:lang w:val="en-GB"/>
        </w:rPr>
        <w:t>-</w:t>
      </w:r>
      <w:r w:rsidRPr="005C3AD2">
        <w:rPr>
          <w:lang w:val="en-GB"/>
        </w:rPr>
        <w:t xml:space="preserve"> and long</w:t>
      </w:r>
      <w:r>
        <w:rPr>
          <w:lang w:val="en-GB"/>
        </w:rPr>
        <w:t>-</w:t>
      </w:r>
      <w:r w:rsidRPr="005C3AD2">
        <w:rPr>
          <w:lang w:val="en-GB"/>
        </w:rPr>
        <w:t>term key performance indicators to determine how well strategies were working).</w:t>
      </w:r>
    </w:p>
    <w:p w14:paraId="73A3EBCD" w14:textId="77777777" w:rsidR="00D00188" w:rsidRPr="005C3AD2" w:rsidRDefault="00D00188" w:rsidP="00812654">
      <w:pPr>
        <w:pStyle w:val="BodyTextMain"/>
        <w:rPr>
          <w:lang w:val="en-GB"/>
        </w:rPr>
      </w:pPr>
    </w:p>
    <w:p w14:paraId="1D1474C4" w14:textId="682FBD5F" w:rsidR="000016C1" w:rsidRDefault="00D00188" w:rsidP="00812654">
      <w:pPr>
        <w:pStyle w:val="BodyTextMain"/>
        <w:rPr>
          <w:spacing w:val="-4"/>
          <w:lang w:val="en-GB"/>
        </w:rPr>
      </w:pPr>
      <w:r w:rsidRPr="00D00188">
        <w:rPr>
          <w:spacing w:val="-4"/>
          <w:lang w:val="en-GB"/>
        </w:rPr>
        <w:t xml:space="preserve">With this business model, SFC’s team of more than 100 members had worked on over 60 projects with more than 60 clients from London to Ottawa, including organizations as small as Youth Diversion in Kingston and as large as the Ottawa Senators Foundation. </w:t>
      </w:r>
      <w:r w:rsidR="00330A69">
        <w:rPr>
          <w:spacing w:val="-4"/>
          <w:lang w:val="en-GB"/>
        </w:rPr>
        <w:t>SFC built its client list mostly by acquiring new customers, with John Paul dedicating more than half of his weekly hours to this activity. Due to the Canadian anti-spam Legislation</w:t>
      </w:r>
      <w:r w:rsidR="00330A69">
        <w:rPr>
          <w:rStyle w:val="EndnoteReference"/>
          <w:spacing w:val="-4"/>
          <w:lang w:val="en-GB"/>
        </w:rPr>
        <w:endnoteReference w:id="38"/>
      </w:r>
      <w:r w:rsidR="00330A69">
        <w:rPr>
          <w:spacing w:val="-4"/>
          <w:lang w:val="en-GB"/>
        </w:rPr>
        <w:t>, e-mail marketing became more challenging and slowed business development substantially. Some help came from existing customers who referred SFC, leading to 10 per cent of new projects. About the same number of projects were new projects from previous customers. The number of projects from referrals or repeat clients would have been higher had it not been for the high turnover rate among executive directors at NPOs including SFC's clients. Director turnover occurred at about one third of all SFC’s clients annually. Executive directors at NPOs were key decision makers in securing projects for SFC. With their turnover, John Paul spent extra time tracking them to their new organizations or building relationships with the new directors. This extended the sales cycle significantly.</w:t>
      </w:r>
    </w:p>
    <w:p w14:paraId="042B4865" w14:textId="77777777" w:rsidR="000016C1" w:rsidRDefault="000016C1" w:rsidP="00812654">
      <w:pPr>
        <w:pStyle w:val="BodyTextMain"/>
        <w:rPr>
          <w:spacing w:val="-4"/>
          <w:lang w:val="en-GB"/>
        </w:rPr>
      </w:pPr>
    </w:p>
    <w:p w14:paraId="729A0264" w14:textId="665C7617" w:rsidR="00D00188" w:rsidRPr="00D00188" w:rsidRDefault="00D00188" w:rsidP="00812654">
      <w:pPr>
        <w:pStyle w:val="BodyTextMain"/>
        <w:rPr>
          <w:spacing w:val="-4"/>
          <w:lang w:val="en-GB"/>
        </w:rPr>
      </w:pPr>
      <w:r w:rsidRPr="00D00188">
        <w:rPr>
          <w:spacing w:val="-4"/>
          <w:lang w:val="en-GB"/>
        </w:rPr>
        <w:t xml:space="preserve">SFC was chosen as one of Canada’s 10 Most Remarkable Small Businesses by </w:t>
      </w:r>
      <w:r w:rsidRPr="00D00188">
        <w:rPr>
          <w:i/>
          <w:spacing w:val="-4"/>
          <w:lang w:val="en-GB"/>
        </w:rPr>
        <w:t>The Globe and Mail</w:t>
      </w:r>
      <w:r w:rsidRPr="00D00188">
        <w:rPr>
          <w:spacing w:val="-4"/>
          <w:lang w:val="en-GB"/>
        </w:rPr>
        <w:t>, among over 120 organizations that were nominated.</w:t>
      </w:r>
      <w:r w:rsidRPr="00D00188">
        <w:rPr>
          <w:rStyle w:val="EndnoteReference"/>
          <w:color w:val="000000"/>
          <w:spacing w:val="-4"/>
          <w:lang w:val="en-GB"/>
        </w:rPr>
        <w:endnoteReference w:id="39"/>
      </w:r>
    </w:p>
    <w:p w14:paraId="195ABE53" w14:textId="77777777" w:rsidR="00D00188" w:rsidRPr="005C3AD2" w:rsidRDefault="00D00188" w:rsidP="00812654">
      <w:pPr>
        <w:pStyle w:val="BodyTextMain"/>
        <w:rPr>
          <w:lang w:val="en-GB"/>
        </w:rPr>
      </w:pPr>
    </w:p>
    <w:p w14:paraId="494443B4" w14:textId="77777777" w:rsidR="00D00188" w:rsidRPr="005C3AD2" w:rsidRDefault="00D00188" w:rsidP="00812654">
      <w:pPr>
        <w:pStyle w:val="BodyTextMain"/>
        <w:rPr>
          <w:lang w:val="en-GB"/>
        </w:rPr>
      </w:pPr>
    </w:p>
    <w:p w14:paraId="5AE62A27" w14:textId="77777777" w:rsidR="00D00188" w:rsidRPr="00843FF2" w:rsidRDefault="00D00188" w:rsidP="00812654">
      <w:pPr>
        <w:pStyle w:val="Casehead1"/>
        <w:rPr>
          <w:sz w:val="20"/>
          <w:lang w:val="en-GB"/>
        </w:rPr>
      </w:pPr>
      <w:r w:rsidRPr="00843FF2">
        <w:rPr>
          <w:sz w:val="20"/>
          <w:lang w:val="en-GB"/>
        </w:rPr>
        <w:t>SFC’s Financial PERFORMANCE</w:t>
      </w:r>
    </w:p>
    <w:p w14:paraId="4AEC0B3C" w14:textId="77777777" w:rsidR="00D00188" w:rsidRPr="005C3AD2" w:rsidRDefault="00D00188" w:rsidP="00812654">
      <w:pPr>
        <w:pStyle w:val="BodyTextMain"/>
        <w:rPr>
          <w:lang w:val="en-GB"/>
        </w:rPr>
      </w:pPr>
    </w:p>
    <w:p w14:paraId="5C77DA4E" w14:textId="77777777" w:rsidR="00D00188" w:rsidRPr="005C3AD2" w:rsidRDefault="00D00188" w:rsidP="00812654">
      <w:pPr>
        <w:pStyle w:val="BodyTextMain"/>
        <w:rPr>
          <w:lang w:val="en-GB"/>
        </w:rPr>
      </w:pPr>
      <w:r w:rsidRPr="005C3AD2">
        <w:rPr>
          <w:lang w:val="en-GB"/>
        </w:rPr>
        <w:t>Beginning in 2014, SFC</w:t>
      </w:r>
      <w:r>
        <w:rPr>
          <w:lang w:val="en-GB"/>
        </w:rPr>
        <w:t xml:space="preserve"> saw</w:t>
      </w:r>
      <w:r w:rsidRPr="005C3AD2">
        <w:rPr>
          <w:lang w:val="en-GB"/>
        </w:rPr>
        <w:t xml:space="preserve"> </w:t>
      </w:r>
      <w:r>
        <w:rPr>
          <w:lang w:val="en-GB"/>
        </w:rPr>
        <w:t xml:space="preserve">increasing </w:t>
      </w:r>
      <w:r w:rsidRPr="005C3AD2">
        <w:rPr>
          <w:lang w:val="en-GB"/>
        </w:rPr>
        <w:t>revenues</w:t>
      </w:r>
      <w:r>
        <w:rPr>
          <w:lang w:val="en-GB"/>
        </w:rPr>
        <w:t>,</w:t>
      </w:r>
      <w:r w:rsidRPr="005C3AD2">
        <w:rPr>
          <w:lang w:val="en-GB"/>
        </w:rPr>
        <w:t xml:space="preserve"> leading to a profitable year in 2015</w:t>
      </w:r>
      <w:r>
        <w:rPr>
          <w:lang w:val="en-GB"/>
        </w:rPr>
        <w:t>. H</w:t>
      </w:r>
      <w:r w:rsidRPr="005C3AD2">
        <w:rPr>
          <w:lang w:val="en-GB"/>
        </w:rPr>
        <w:t xml:space="preserve">owever, </w:t>
      </w:r>
      <w:r>
        <w:rPr>
          <w:lang w:val="en-GB"/>
        </w:rPr>
        <w:t>the next year reverted to a</w:t>
      </w:r>
      <w:r w:rsidRPr="005C3AD2">
        <w:rPr>
          <w:lang w:val="en-GB"/>
        </w:rPr>
        <w:t xml:space="preserve"> negative cash flow. After launching a promotional workshop service in late 2013, de Silva </w:t>
      </w:r>
      <w:r>
        <w:rPr>
          <w:lang w:val="en-GB"/>
        </w:rPr>
        <w:t>expected higher</w:t>
      </w:r>
      <w:r w:rsidRPr="005C3AD2">
        <w:rPr>
          <w:lang w:val="en-GB"/>
        </w:rPr>
        <w:t xml:space="preserve"> revenues from long-term projects</w:t>
      </w:r>
      <w:r>
        <w:rPr>
          <w:lang w:val="en-GB"/>
        </w:rPr>
        <w:t>,</w:t>
      </w:r>
      <w:r w:rsidRPr="005C3AD2">
        <w:rPr>
          <w:lang w:val="en-GB"/>
        </w:rPr>
        <w:t xml:space="preserve"> which </w:t>
      </w:r>
      <w:r>
        <w:rPr>
          <w:lang w:val="en-GB"/>
        </w:rPr>
        <w:t>materialized in</w:t>
      </w:r>
      <w:r w:rsidRPr="005C3AD2">
        <w:rPr>
          <w:lang w:val="en-GB"/>
        </w:rPr>
        <w:t xml:space="preserve"> 2015</w:t>
      </w:r>
      <w:r>
        <w:rPr>
          <w:lang w:val="en-GB"/>
        </w:rPr>
        <w:t>.</w:t>
      </w:r>
      <w:r w:rsidRPr="005C3AD2">
        <w:rPr>
          <w:lang w:val="en-GB"/>
        </w:rPr>
        <w:t xml:space="preserve"> </w:t>
      </w:r>
      <w:r>
        <w:rPr>
          <w:lang w:val="en-GB"/>
        </w:rPr>
        <w:t xml:space="preserve">That year, long-term projects accounted for </w:t>
      </w:r>
      <w:r w:rsidRPr="005C3AD2">
        <w:rPr>
          <w:lang w:val="en-GB"/>
        </w:rPr>
        <w:t>84</w:t>
      </w:r>
      <w:r>
        <w:rPr>
          <w:lang w:val="en-GB"/>
        </w:rPr>
        <w:t xml:space="preserve"> per cent</w:t>
      </w:r>
      <w:r w:rsidRPr="005C3AD2">
        <w:rPr>
          <w:lang w:val="en-GB"/>
        </w:rPr>
        <w:t xml:space="preserve"> of total revenues</w:t>
      </w:r>
      <w:r>
        <w:rPr>
          <w:lang w:val="en-GB"/>
        </w:rPr>
        <w:t>,</w:t>
      </w:r>
      <w:r w:rsidRPr="005C3AD2">
        <w:rPr>
          <w:lang w:val="en-GB"/>
        </w:rPr>
        <w:t xml:space="preserve"> v</w:t>
      </w:r>
      <w:r>
        <w:rPr>
          <w:lang w:val="en-GB"/>
        </w:rPr>
        <w:t>ersu</w:t>
      </w:r>
      <w:r w:rsidRPr="005C3AD2">
        <w:rPr>
          <w:lang w:val="en-GB"/>
        </w:rPr>
        <w:t>s 76</w:t>
      </w:r>
      <w:r>
        <w:rPr>
          <w:lang w:val="en-GB"/>
        </w:rPr>
        <w:t xml:space="preserve"> per cent</w:t>
      </w:r>
      <w:r w:rsidRPr="005C3AD2">
        <w:rPr>
          <w:lang w:val="en-GB"/>
        </w:rPr>
        <w:t xml:space="preserve"> in 2014. In 2016, however, the workshop service represented 100</w:t>
      </w:r>
      <w:r>
        <w:rPr>
          <w:lang w:val="en-GB"/>
        </w:rPr>
        <w:t xml:space="preserve"> per cent</w:t>
      </w:r>
      <w:r w:rsidRPr="005C3AD2">
        <w:rPr>
          <w:lang w:val="en-GB"/>
        </w:rPr>
        <w:t xml:space="preserve"> of total annual revenues.</w:t>
      </w:r>
    </w:p>
    <w:p w14:paraId="7CFED68C" w14:textId="77777777" w:rsidR="00D00188" w:rsidRPr="005C3AD2" w:rsidRDefault="00D00188" w:rsidP="00812654">
      <w:pPr>
        <w:pStyle w:val="BodyTextMain"/>
        <w:rPr>
          <w:lang w:val="en-GB"/>
        </w:rPr>
      </w:pPr>
    </w:p>
    <w:p w14:paraId="5779AE7F" w14:textId="31DB1771" w:rsidR="00D00188" w:rsidRPr="005C3AD2" w:rsidRDefault="00D00188" w:rsidP="00812654">
      <w:pPr>
        <w:pStyle w:val="BodyTextMain"/>
        <w:rPr>
          <w:lang w:val="en-GB"/>
        </w:rPr>
      </w:pPr>
      <w:r w:rsidRPr="005C3AD2">
        <w:rPr>
          <w:lang w:val="en-GB"/>
        </w:rPr>
        <w:t xml:space="preserve">SFC’s main expenses </w:t>
      </w:r>
      <w:r>
        <w:rPr>
          <w:lang w:val="en-GB"/>
        </w:rPr>
        <w:t>consisted of</w:t>
      </w:r>
      <w:r w:rsidRPr="005C3AD2">
        <w:rPr>
          <w:lang w:val="en-GB"/>
        </w:rPr>
        <w:t xml:space="preserve"> travel </w:t>
      </w:r>
      <w:r>
        <w:rPr>
          <w:lang w:val="en-GB"/>
        </w:rPr>
        <w:t>costs such as</w:t>
      </w:r>
      <w:r w:rsidRPr="005C3AD2">
        <w:rPr>
          <w:lang w:val="en-GB"/>
        </w:rPr>
        <w:t xml:space="preserve"> gas, parking, hotels, </w:t>
      </w:r>
      <w:r>
        <w:rPr>
          <w:lang w:val="en-GB"/>
        </w:rPr>
        <w:t xml:space="preserve">and </w:t>
      </w:r>
      <w:r w:rsidRPr="005C3AD2">
        <w:rPr>
          <w:lang w:val="en-GB"/>
        </w:rPr>
        <w:t>meals</w:t>
      </w:r>
      <w:r>
        <w:rPr>
          <w:lang w:val="en-GB"/>
        </w:rPr>
        <w:t>;</w:t>
      </w:r>
      <w:r w:rsidRPr="005C3AD2">
        <w:rPr>
          <w:lang w:val="en-GB"/>
        </w:rPr>
        <w:t xml:space="preserve"> payment</w:t>
      </w:r>
      <w:r>
        <w:rPr>
          <w:lang w:val="en-GB"/>
        </w:rPr>
        <w:t>s</w:t>
      </w:r>
      <w:r w:rsidRPr="005C3AD2">
        <w:rPr>
          <w:lang w:val="en-GB"/>
        </w:rPr>
        <w:t xml:space="preserve"> to consultants and </w:t>
      </w:r>
      <w:r>
        <w:rPr>
          <w:lang w:val="en-GB"/>
        </w:rPr>
        <w:t xml:space="preserve">to </w:t>
      </w:r>
      <w:r w:rsidRPr="005C3AD2">
        <w:rPr>
          <w:lang w:val="en-GB"/>
        </w:rPr>
        <w:t xml:space="preserve">the </w:t>
      </w:r>
      <w:r>
        <w:rPr>
          <w:lang w:val="en-GB"/>
        </w:rPr>
        <w:t>m</w:t>
      </w:r>
      <w:r w:rsidRPr="005C3AD2">
        <w:rPr>
          <w:lang w:val="en-GB"/>
        </w:rPr>
        <w:t xml:space="preserve">anaging </w:t>
      </w:r>
      <w:r>
        <w:rPr>
          <w:lang w:val="en-GB"/>
        </w:rPr>
        <w:t>d</w:t>
      </w:r>
      <w:r w:rsidRPr="005C3AD2">
        <w:rPr>
          <w:lang w:val="en-GB"/>
        </w:rPr>
        <w:t>irector</w:t>
      </w:r>
      <w:r>
        <w:rPr>
          <w:lang w:val="en-GB"/>
        </w:rPr>
        <w:t>;</w:t>
      </w:r>
      <w:r w:rsidRPr="005C3AD2">
        <w:rPr>
          <w:lang w:val="en-GB"/>
        </w:rPr>
        <w:t xml:space="preserve"> administrative </w:t>
      </w:r>
      <w:r>
        <w:rPr>
          <w:lang w:val="en-GB"/>
        </w:rPr>
        <w:t>costs such as</w:t>
      </w:r>
      <w:r w:rsidRPr="005C3AD2">
        <w:rPr>
          <w:lang w:val="en-GB"/>
        </w:rPr>
        <w:t xml:space="preserve"> office </w:t>
      </w:r>
      <w:r>
        <w:rPr>
          <w:lang w:val="en-GB"/>
        </w:rPr>
        <w:t>supplies,</w:t>
      </w:r>
      <w:r w:rsidRPr="005C3AD2">
        <w:rPr>
          <w:lang w:val="en-GB"/>
        </w:rPr>
        <w:t xml:space="preserve"> meeting </w:t>
      </w:r>
      <w:r>
        <w:rPr>
          <w:lang w:val="en-GB"/>
        </w:rPr>
        <w:t>expenses</w:t>
      </w:r>
      <w:r w:rsidRPr="005C3AD2">
        <w:rPr>
          <w:lang w:val="en-GB"/>
        </w:rPr>
        <w:t>, computer</w:t>
      </w:r>
      <w:r>
        <w:rPr>
          <w:lang w:val="en-GB"/>
        </w:rPr>
        <w:t>s</w:t>
      </w:r>
      <w:r w:rsidRPr="005C3AD2">
        <w:rPr>
          <w:lang w:val="en-GB"/>
        </w:rPr>
        <w:t>, cell</w:t>
      </w:r>
      <w:r>
        <w:rPr>
          <w:lang w:val="en-GB"/>
        </w:rPr>
        <w:t xml:space="preserve"> </w:t>
      </w:r>
      <w:r w:rsidRPr="005C3AD2">
        <w:rPr>
          <w:lang w:val="en-GB"/>
        </w:rPr>
        <w:t>phone</w:t>
      </w:r>
      <w:r>
        <w:rPr>
          <w:lang w:val="en-GB"/>
        </w:rPr>
        <w:t>s</w:t>
      </w:r>
      <w:r w:rsidRPr="005C3AD2">
        <w:rPr>
          <w:lang w:val="en-GB"/>
        </w:rPr>
        <w:t xml:space="preserve">, </w:t>
      </w:r>
      <w:r>
        <w:rPr>
          <w:lang w:val="en-GB"/>
        </w:rPr>
        <w:t xml:space="preserve">and </w:t>
      </w:r>
      <w:r w:rsidRPr="005C3AD2">
        <w:rPr>
          <w:lang w:val="en-GB"/>
        </w:rPr>
        <w:t>printing</w:t>
      </w:r>
      <w:r>
        <w:rPr>
          <w:lang w:val="en-GB"/>
        </w:rPr>
        <w:t>;</w:t>
      </w:r>
      <w:r w:rsidRPr="005C3AD2">
        <w:rPr>
          <w:lang w:val="en-GB"/>
        </w:rPr>
        <w:t xml:space="preserve"> and </w:t>
      </w:r>
      <w:r>
        <w:rPr>
          <w:lang w:val="en-GB"/>
        </w:rPr>
        <w:t xml:space="preserve">other </w:t>
      </w:r>
      <w:r w:rsidRPr="005C3AD2">
        <w:rPr>
          <w:lang w:val="en-GB"/>
        </w:rPr>
        <w:t>misc</w:t>
      </w:r>
      <w:r>
        <w:rPr>
          <w:lang w:val="en-GB"/>
        </w:rPr>
        <w:t>ellaneous expenses such as</w:t>
      </w:r>
      <w:r w:rsidRPr="005C3AD2">
        <w:rPr>
          <w:lang w:val="en-GB"/>
        </w:rPr>
        <w:t xml:space="preserve"> promotional</w:t>
      </w:r>
      <w:r>
        <w:rPr>
          <w:lang w:val="en-GB"/>
        </w:rPr>
        <w:t xml:space="preserve"> costs and</w:t>
      </w:r>
      <w:r w:rsidRPr="005C3AD2">
        <w:rPr>
          <w:lang w:val="en-GB"/>
        </w:rPr>
        <w:t xml:space="preserve"> banking</w:t>
      </w:r>
      <w:r>
        <w:rPr>
          <w:lang w:val="en-GB"/>
        </w:rPr>
        <w:t xml:space="preserve"> fees</w:t>
      </w:r>
      <w:r w:rsidRPr="005C3AD2">
        <w:rPr>
          <w:lang w:val="en-GB"/>
        </w:rPr>
        <w:t>. S</w:t>
      </w:r>
      <w:r>
        <w:rPr>
          <w:lang w:val="en-GB"/>
        </w:rPr>
        <w:t>FC’s</w:t>
      </w:r>
      <w:r w:rsidRPr="005C3AD2">
        <w:rPr>
          <w:lang w:val="en-GB"/>
        </w:rPr>
        <w:t xml:space="preserve"> income statements from the </w:t>
      </w:r>
      <w:r>
        <w:rPr>
          <w:lang w:val="en-GB"/>
        </w:rPr>
        <w:t>previous</w:t>
      </w:r>
      <w:r w:rsidRPr="005C3AD2">
        <w:rPr>
          <w:lang w:val="en-GB"/>
        </w:rPr>
        <w:t xml:space="preserve"> three years</w:t>
      </w:r>
      <w:r>
        <w:rPr>
          <w:lang w:val="en-GB"/>
        </w:rPr>
        <w:t xml:space="preserve"> showed</w:t>
      </w:r>
      <w:r w:rsidRPr="005C3AD2">
        <w:rPr>
          <w:lang w:val="en-GB"/>
        </w:rPr>
        <w:t xml:space="preserve"> travel expenses increas</w:t>
      </w:r>
      <w:r>
        <w:rPr>
          <w:lang w:val="en-GB"/>
        </w:rPr>
        <w:t>ing</w:t>
      </w:r>
      <w:r w:rsidRPr="005C3AD2">
        <w:rPr>
          <w:lang w:val="en-GB"/>
        </w:rPr>
        <w:t xml:space="preserve"> substantially from 2014 to 2016 </w:t>
      </w:r>
      <w:r>
        <w:rPr>
          <w:lang w:val="en-GB"/>
        </w:rPr>
        <w:t>a</w:t>
      </w:r>
      <w:r w:rsidRPr="005C3AD2">
        <w:rPr>
          <w:lang w:val="en-GB"/>
        </w:rPr>
        <w:t>s a percentage of total expenses,</w:t>
      </w:r>
      <w:r>
        <w:rPr>
          <w:lang w:val="en-GB"/>
        </w:rPr>
        <w:t xml:space="preserve"> which was based on</w:t>
      </w:r>
      <w:r w:rsidRPr="005C3AD2">
        <w:rPr>
          <w:lang w:val="en-GB"/>
        </w:rPr>
        <w:t xml:space="preserve"> de Silva</w:t>
      </w:r>
      <w:r>
        <w:rPr>
          <w:lang w:val="en-GB"/>
        </w:rPr>
        <w:t>’s</w:t>
      </w:r>
      <w:r w:rsidRPr="005C3AD2">
        <w:rPr>
          <w:lang w:val="en-GB"/>
        </w:rPr>
        <w:t xml:space="preserve"> increased business development efforts and me</w:t>
      </w:r>
      <w:r>
        <w:rPr>
          <w:lang w:val="en-GB"/>
        </w:rPr>
        <w:t>e</w:t>
      </w:r>
      <w:r w:rsidRPr="005C3AD2">
        <w:rPr>
          <w:lang w:val="en-GB"/>
        </w:rPr>
        <w:t>t</w:t>
      </w:r>
      <w:r>
        <w:rPr>
          <w:lang w:val="en-GB"/>
        </w:rPr>
        <w:t>ings</w:t>
      </w:r>
      <w:r w:rsidRPr="005C3AD2">
        <w:rPr>
          <w:lang w:val="en-GB"/>
        </w:rPr>
        <w:t xml:space="preserve"> with clients. Similarly, administrative expenses increased. </w:t>
      </w:r>
      <w:r>
        <w:rPr>
          <w:lang w:val="en-GB"/>
        </w:rPr>
        <w:t>However, p</w:t>
      </w:r>
      <w:r w:rsidRPr="005C3AD2">
        <w:rPr>
          <w:lang w:val="en-GB"/>
        </w:rPr>
        <w:t>ayment</w:t>
      </w:r>
      <w:r>
        <w:rPr>
          <w:lang w:val="en-GB"/>
        </w:rPr>
        <w:t>s</w:t>
      </w:r>
      <w:r w:rsidRPr="005C3AD2">
        <w:rPr>
          <w:lang w:val="en-GB"/>
        </w:rPr>
        <w:t xml:space="preserve"> to consultants decreased substantially in 2016</w:t>
      </w:r>
      <w:r>
        <w:rPr>
          <w:lang w:val="en-GB"/>
        </w:rPr>
        <w:t>,</w:t>
      </w:r>
      <w:r w:rsidRPr="005C3AD2">
        <w:rPr>
          <w:lang w:val="en-GB"/>
        </w:rPr>
        <w:t xml:space="preserve"> as de Silva took on more consulting responsibilities</w:t>
      </w:r>
      <w:r>
        <w:rPr>
          <w:lang w:val="en-GB"/>
        </w:rPr>
        <w:t xml:space="preserve"> with the smaller projects (see Exhibit 4)</w:t>
      </w:r>
      <w:r w:rsidRPr="005C3AD2">
        <w:rPr>
          <w:lang w:val="en-GB"/>
        </w:rPr>
        <w:t xml:space="preserve">. </w:t>
      </w:r>
    </w:p>
    <w:p w14:paraId="72281EDE" w14:textId="77777777" w:rsidR="00D00188" w:rsidRPr="005C3AD2" w:rsidRDefault="00D00188" w:rsidP="00812654">
      <w:pPr>
        <w:pStyle w:val="BodyTextMain"/>
        <w:rPr>
          <w:lang w:val="en-GB"/>
        </w:rPr>
      </w:pPr>
    </w:p>
    <w:p w14:paraId="08351799" w14:textId="77777777" w:rsidR="00D00188" w:rsidRPr="005C3AD2" w:rsidRDefault="00D00188" w:rsidP="00812654">
      <w:pPr>
        <w:pStyle w:val="BodyTextMain"/>
        <w:rPr>
          <w:lang w:val="en-GB"/>
        </w:rPr>
      </w:pPr>
    </w:p>
    <w:p w14:paraId="77D70040" w14:textId="77777777" w:rsidR="00D00188" w:rsidRPr="00843FF2" w:rsidRDefault="00D00188" w:rsidP="00330A69">
      <w:pPr>
        <w:pStyle w:val="Casehead1"/>
        <w:keepNext/>
        <w:rPr>
          <w:sz w:val="20"/>
          <w:lang w:val="en-GB"/>
        </w:rPr>
      </w:pPr>
      <w:r w:rsidRPr="00843FF2">
        <w:rPr>
          <w:sz w:val="20"/>
          <w:lang w:val="en-GB"/>
        </w:rPr>
        <w:lastRenderedPageBreak/>
        <w:t>SFC’s Success in Client Acquisition</w:t>
      </w:r>
    </w:p>
    <w:p w14:paraId="0E3195E2" w14:textId="77777777" w:rsidR="00D00188" w:rsidRPr="005C3AD2" w:rsidRDefault="00D00188" w:rsidP="00330A69">
      <w:pPr>
        <w:pStyle w:val="BodyTextMain"/>
        <w:keepNext/>
        <w:rPr>
          <w:lang w:val="en-GB"/>
        </w:rPr>
      </w:pPr>
    </w:p>
    <w:p w14:paraId="1F4FB1AE" w14:textId="77777777" w:rsidR="00D00188" w:rsidRPr="005C3AD2" w:rsidRDefault="00D00188" w:rsidP="00330A69">
      <w:pPr>
        <w:pStyle w:val="BodyTextMain"/>
        <w:keepNext/>
        <w:rPr>
          <w:lang w:val="en-GB"/>
        </w:rPr>
      </w:pPr>
      <w:r w:rsidRPr="005C3AD2">
        <w:rPr>
          <w:lang w:val="en-GB"/>
        </w:rPr>
        <w:t>In June 2015, de Silva emailed Kingston area NPOs pitching SFC’s low</w:t>
      </w:r>
      <w:r>
        <w:rPr>
          <w:lang w:val="en-GB"/>
        </w:rPr>
        <w:t>-</w:t>
      </w:r>
      <w:r w:rsidRPr="005C3AD2">
        <w:rPr>
          <w:lang w:val="en-GB"/>
        </w:rPr>
        <w:t>cost high</w:t>
      </w:r>
      <w:r>
        <w:rPr>
          <w:lang w:val="en-GB"/>
        </w:rPr>
        <w:t>-</w:t>
      </w:r>
      <w:r w:rsidRPr="005C3AD2">
        <w:rPr>
          <w:lang w:val="en-GB"/>
        </w:rPr>
        <w:t>value marketing workshop</w:t>
      </w:r>
      <w:r>
        <w:rPr>
          <w:lang w:val="en-GB"/>
        </w:rPr>
        <w:t>s</w:t>
      </w:r>
      <w:r w:rsidRPr="005C3AD2">
        <w:rPr>
          <w:lang w:val="en-GB"/>
        </w:rPr>
        <w:t xml:space="preserve"> on branding, corporate sponsorship, </w:t>
      </w:r>
      <w:r>
        <w:rPr>
          <w:lang w:val="en-GB"/>
        </w:rPr>
        <w:t>and</w:t>
      </w:r>
      <w:r w:rsidRPr="005C3AD2">
        <w:rPr>
          <w:lang w:val="en-GB"/>
        </w:rPr>
        <w:t xml:space="preserve"> social media. Each email had the same basic content but was personalized to each NPO. To </w:t>
      </w:r>
      <w:r>
        <w:rPr>
          <w:lang w:val="en-GB"/>
        </w:rPr>
        <w:t>help make</w:t>
      </w:r>
      <w:r w:rsidRPr="005C3AD2">
        <w:rPr>
          <w:lang w:val="en-GB"/>
        </w:rPr>
        <w:t xml:space="preserve"> future workshops more effective, he included an online survey for the NPO executives</w:t>
      </w:r>
      <w:r>
        <w:rPr>
          <w:lang w:val="en-GB"/>
        </w:rPr>
        <w:t xml:space="preserve"> with q</w:t>
      </w:r>
      <w:r w:rsidRPr="005C3AD2">
        <w:rPr>
          <w:lang w:val="en-GB"/>
        </w:rPr>
        <w:t>uestions</w:t>
      </w:r>
      <w:r>
        <w:rPr>
          <w:lang w:val="en-GB"/>
        </w:rPr>
        <w:t xml:space="preserve"> such as:</w:t>
      </w:r>
      <w:r w:rsidRPr="005C3AD2">
        <w:rPr>
          <w:lang w:val="en-GB"/>
        </w:rPr>
        <w:t xml:space="preserve"> What topics would you most like to see covered? What is the ideal length of time for a workshop? He also included a link to a</w:t>
      </w:r>
      <w:r>
        <w:rPr>
          <w:lang w:val="en-GB"/>
        </w:rPr>
        <w:t>n</w:t>
      </w:r>
      <w:r w:rsidRPr="005C3AD2">
        <w:rPr>
          <w:lang w:val="en-GB"/>
        </w:rPr>
        <w:t xml:space="preserve"> article </w:t>
      </w:r>
      <w:r>
        <w:rPr>
          <w:lang w:val="en-GB"/>
        </w:rPr>
        <w:t>about</w:t>
      </w:r>
      <w:r w:rsidRPr="005C3AD2">
        <w:rPr>
          <w:lang w:val="en-GB"/>
        </w:rPr>
        <w:t xml:space="preserve"> SFC </w:t>
      </w:r>
      <w:r>
        <w:rPr>
          <w:lang w:val="en-GB"/>
        </w:rPr>
        <w:t xml:space="preserve">that depicted the organization </w:t>
      </w:r>
      <w:r w:rsidRPr="005C3AD2">
        <w:rPr>
          <w:lang w:val="en-GB"/>
        </w:rPr>
        <w:t>as a source of value</w:t>
      </w:r>
      <w:r>
        <w:rPr>
          <w:lang w:val="en-GB"/>
        </w:rPr>
        <w:t>, rather than just a costly</w:t>
      </w:r>
      <w:r w:rsidRPr="005C3AD2">
        <w:rPr>
          <w:lang w:val="en-GB"/>
        </w:rPr>
        <w:t xml:space="preserve"> service.</w:t>
      </w:r>
      <w:r>
        <w:rPr>
          <w:lang w:val="en-GB"/>
        </w:rPr>
        <w:t xml:space="preserve"> </w:t>
      </w:r>
      <w:r w:rsidRPr="005C3AD2">
        <w:rPr>
          <w:lang w:val="en-GB"/>
        </w:rPr>
        <w:t xml:space="preserve">Juanita Colbert, the </w:t>
      </w:r>
      <w:r>
        <w:rPr>
          <w:lang w:val="en-GB"/>
        </w:rPr>
        <w:t>e</w:t>
      </w:r>
      <w:r w:rsidRPr="005C3AD2">
        <w:rPr>
          <w:lang w:val="en-GB"/>
        </w:rPr>
        <w:t xml:space="preserve">xecutive </w:t>
      </w:r>
      <w:r>
        <w:rPr>
          <w:lang w:val="en-GB"/>
        </w:rPr>
        <w:t>d</w:t>
      </w:r>
      <w:r w:rsidRPr="005C3AD2">
        <w:rPr>
          <w:lang w:val="en-GB"/>
        </w:rPr>
        <w:t xml:space="preserve">irector of a rural Kingston essential skills organization called Pittsburgh Township Literacy &amp; Skills (PTLS), </w:t>
      </w:r>
      <w:r>
        <w:rPr>
          <w:lang w:val="en-GB"/>
        </w:rPr>
        <w:t>made the effort to contact SFC to confirm that</w:t>
      </w:r>
      <w:r w:rsidRPr="005C3AD2">
        <w:rPr>
          <w:lang w:val="en-GB"/>
        </w:rPr>
        <w:t xml:space="preserve"> she had completed the survey</w:t>
      </w:r>
      <w:r>
        <w:rPr>
          <w:lang w:val="en-GB"/>
        </w:rPr>
        <w:t xml:space="preserve"> and</w:t>
      </w:r>
      <w:r w:rsidRPr="005C3AD2">
        <w:rPr>
          <w:lang w:val="en-GB"/>
        </w:rPr>
        <w:t xml:space="preserve"> offered to forward </w:t>
      </w:r>
      <w:r>
        <w:rPr>
          <w:lang w:val="en-GB"/>
        </w:rPr>
        <w:t>i</w:t>
      </w:r>
      <w:r w:rsidRPr="005C3AD2">
        <w:rPr>
          <w:lang w:val="en-GB"/>
        </w:rPr>
        <w:t>t to other NPO executives</w:t>
      </w:r>
      <w:r>
        <w:rPr>
          <w:lang w:val="en-GB"/>
        </w:rPr>
        <w:t>, which d</w:t>
      </w:r>
      <w:r w:rsidRPr="005C3AD2">
        <w:rPr>
          <w:lang w:val="en-GB"/>
        </w:rPr>
        <w:t xml:space="preserve">e Silva </w:t>
      </w:r>
      <w:r>
        <w:rPr>
          <w:lang w:val="en-GB"/>
        </w:rPr>
        <w:t>greatly</w:t>
      </w:r>
      <w:r w:rsidRPr="005C3AD2">
        <w:rPr>
          <w:lang w:val="en-GB"/>
        </w:rPr>
        <w:t xml:space="preserve"> appreciat</w:t>
      </w:r>
      <w:r>
        <w:rPr>
          <w:lang w:val="en-GB"/>
        </w:rPr>
        <w:t>ed</w:t>
      </w:r>
      <w:r w:rsidRPr="005C3AD2">
        <w:rPr>
          <w:lang w:val="en-GB"/>
        </w:rPr>
        <w:t>.</w:t>
      </w:r>
    </w:p>
    <w:p w14:paraId="2EE1DCCF" w14:textId="77777777" w:rsidR="00FD561A" w:rsidRDefault="00FD561A" w:rsidP="00812654">
      <w:pPr>
        <w:pStyle w:val="BodyTextMain"/>
        <w:rPr>
          <w:lang w:val="en-GB"/>
        </w:rPr>
      </w:pPr>
    </w:p>
    <w:p w14:paraId="375E1064" w14:textId="18DAAC34" w:rsidR="00D00188" w:rsidRPr="002C2D03" w:rsidRDefault="00D00188" w:rsidP="00812654">
      <w:pPr>
        <w:pStyle w:val="BodyTextMain"/>
        <w:rPr>
          <w:spacing w:val="-4"/>
          <w:lang w:val="en-GB"/>
        </w:rPr>
      </w:pPr>
      <w:r w:rsidRPr="002C2D03">
        <w:rPr>
          <w:spacing w:val="-4"/>
          <w:lang w:val="en-GB"/>
        </w:rPr>
        <w:t>Two months after initial contact, de Silva’s average time between contact points, he learned that PTLS was seeking funding from existing donors to pay for consultants to develop a marketing strategy and plan. This was SFC’s specialty, so he eagerly expressed interest in bidding for the project and scheduled a call. The next day, de Silva spoke with Colbert for about 30 minutes to get a better understanding of her organization and its needs. As he did with all discovery types of calls, de Silva prepared for his discussion by reviewing the NPO’s website and social media feeds. He also prepared one of his five-C’s framework documents (see Exhibit 3), which included a set of questions for a structured approach to the call. His curiosity often helped him pursue various different paths of questioning, depending on the prospective client’s answers to de Silva’s questions.</w:t>
      </w:r>
    </w:p>
    <w:p w14:paraId="2EA7960F" w14:textId="77777777" w:rsidR="00D00188" w:rsidRPr="005C3AD2" w:rsidRDefault="00D00188" w:rsidP="00812654">
      <w:pPr>
        <w:pStyle w:val="BodyTextMain"/>
        <w:rPr>
          <w:lang w:val="en-GB"/>
        </w:rPr>
      </w:pPr>
    </w:p>
    <w:p w14:paraId="6E348D18" w14:textId="77777777" w:rsidR="00D00188" w:rsidRPr="008948E1" w:rsidRDefault="00D00188" w:rsidP="00812654">
      <w:pPr>
        <w:pStyle w:val="BodyTextMain"/>
        <w:rPr>
          <w:lang w:val="en-GB"/>
        </w:rPr>
      </w:pPr>
      <w:r w:rsidRPr="008948E1">
        <w:rPr>
          <w:lang w:val="en-GB"/>
        </w:rPr>
        <w:t xml:space="preserve">De Silva learned that PTLS was having difficulty getting clients and meeting government quotas. If this issue continued, the NPO could lose its Ontario government funding and could be forced to shut down. He asked what they were doing to get new clients. Colbert explained that they mainly relied on referrals from other agencies, including the Ontario government initiative Job Skills, which offered free job search support. For example, when a Job Skills client expressed an interest in a position but lacked basic skills required for that job, the applicant was referred to PTLS or other similar agencies. PTLS also used promotional posters, flyer inserts in local newspapers, online advertising, Facebook, and its website for marketing purposes. Other topics covered in de Silva’s call included whether enough potential clients were available, the reasons why a client would choose PTLS over a competitor, the organization’s marketing budget, and other relevant matters. </w:t>
      </w:r>
    </w:p>
    <w:p w14:paraId="7115D524" w14:textId="77777777" w:rsidR="00D00188" w:rsidRPr="005C3AD2" w:rsidRDefault="00D00188" w:rsidP="00812654">
      <w:pPr>
        <w:pStyle w:val="BodyTextMain"/>
        <w:rPr>
          <w:lang w:val="en-GB"/>
        </w:rPr>
      </w:pPr>
    </w:p>
    <w:p w14:paraId="6D9EB6FE" w14:textId="77777777" w:rsidR="00D00188" w:rsidRPr="005C3AD2" w:rsidRDefault="00D00188" w:rsidP="00812654">
      <w:pPr>
        <w:pStyle w:val="BodyTextMain"/>
        <w:rPr>
          <w:lang w:val="en-GB"/>
        </w:rPr>
      </w:pPr>
      <w:r w:rsidRPr="005C3AD2">
        <w:rPr>
          <w:lang w:val="en-GB"/>
        </w:rPr>
        <w:t>De Silva also used the meeting to explain how SFC c</w:t>
      </w:r>
      <w:r>
        <w:rPr>
          <w:lang w:val="en-GB"/>
        </w:rPr>
        <w:t>ould</w:t>
      </w:r>
      <w:r w:rsidRPr="005C3AD2">
        <w:rPr>
          <w:lang w:val="en-GB"/>
        </w:rPr>
        <w:t xml:space="preserve"> best meet the needs of PTLS. He talked about SFC</w:t>
      </w:r>
      <w:r>
        <w:rPr>
          <w:lang w:val="en-GB"/>
        </w:rPr>
        <w:t>’</w:t>
      </w:r>
      <w:r w:rsidRPr="005C3AD2">
        <w:rPr>
          <w:lang w:val="en-GB"/>
        </w:rPr>
        <w:t xml:space="preserve">s </w:t>
      </w:r>
      <w:r>
        <w:rPr>
          <w:lang w:val="en-GB"/>
        </w:rPr>
        <w:t xml:space="preserve">consulting process being based on </w:t>
      </w:r>
      <w:r w:rsidRPr="005C3AD2">
        <w:rPr>
          <w:lang w:val="en-GB"/>
        </w:rPr>
        <w:t>research and analytics, how it differe</w:t>
      </w:r>
      <w:r>
        <w:rPr>
          <w:lang w:val="en-GB"/>
        </w:rPr>
        <w:t>d</w:t>
      </w:r>
      <w:r w:rsidRPr="005C3AD2">
        <w:rPr>
          <w:lang w:val="en-GB"/>
        </w:rPr>
        <w:t xml:space="preserve"> from other firms </w:t>
      </w:r>
      <w:r>
        <w:rPr>
          <w:lang w:val="en-GB"/>
        </w:rPr>
        <w:t>by having a</w:t>
      </w:r>
      <w:r w:rsidRPr="005C3AD2">
        <w:rPr>
          <w:lang w:val="en-GB"/>
        </w:rPr>
        <w:t xml:space="preserve"> team of undergraduate </w:t>
      </w:r>
      <w:r>
        <w:rPr>
          <w:lang w:val="en-GB"/>
        </w:rPr>
        <w:t>commerce</w:t>
      </w:r>
      <w:r w:rsidRPr="005C3AD2">
        <w:rPr>
          <w:lang w:val="en-GB"/>
        </w:rPr>
        <w:t xml:space="preserve"> and </w:t>
      </w:r>
      <w:r>
        <w:rPr>
          <w:lang w:val="en-GB"/>
        </w:rPr>
        <w:t xml:space="preserve">graduate </w:t>
      </w:r>
      <w:r w:rsidRPr="005C3AD2">
        <w:rPr>
          <w:lang w:val="en-GB"/>
        </w:rPr>
        <w:t xml:space="preserve">MBA students, and </w:t>
      </w:r>
      <w:r>
        <w:rPr>
          <w:lang w:val="en-GB"/>
        </w:rPr>
        <w:t>how</w:t>
      </w:r>
      <w:r w:rsidRPr="005C3AD2">
        <w:rPr>
          <w:lang w:val="en-GB"/>
        </w:rPr>
        <w:t xml:space="preserve"> SFC</w:t>
      </w:r>
      <w:r>
        <w:rPr>
          <w:lang w:val="en-GB"/>
        </w:rPr>
        <w:t>’s founding stemmed from de Silva’s</w:t>
      </w:r>
      <w:r w:rsidRPr="005C3AD2">
        <w:rPr>
          <w:lang w:val="en-GB"/>
        </w:rPr>
        <w:t xml:space="preserve"> gr</w:t>
      </w:r>
      <w:r>
        <w:rPr>
          <w:lang w:val="en-GB"/>
        </w:rPr>
        <w:t>o</w:t>
      </w:r>
      <w:r w:rsidRPr="005C3AD2">
        <w:rPr>
          <w:lang w:val="en-GB"/>
        </w:rPr>
        <w:t>w</w:t>
      </w:r>
      <w:r>
        <w:rPr>
          <w:lang w:val="en-GB"/>
        </w:rPr>
        <w:t>ing</w:t>
      </w:r>
      <w:r w:rsidRPr="005C3AD2">
        <w:rPr>
          <w:lang w:val="en-GB"/>
        </w:rPr>
        <w:t xml:space="preserve"> up in a socially disadvantaged neighbo</w:t>
      </w:r>
      <w:r>
        <w:rPr>
          <w:lang w:val="en-GB"/>
        </w:rPr>
        <w:t>u</w:t>
      </w:r>
      <w:r w:rsidRPr="005C3AD2">
        <w:rPr>
          <w:lang w:val="en-GB"/>
        </w:rPr>
        <w:t>rhood. H</w:t>
      </w:r>
      <w:r>
        <w:rPr>
          <w:lang w:val="en-GB"/>
        </w:rPr>
        <w:t>e explained how h</w:t>
      </w:r>
      <w:r w:rsidRPr="005C3AD2">
        <w:rPr>
          <w:lang w:val="en-GB"/>
        </w:rPr>
        <w:t>is background helped him relate to the important work PTLS was doing.</w:t>
      </w:r>
    </w:p>
    <w:p w14:paraId="7CDF2448" w14:textId="77777777" w:rsidR="00D00188" w:rsidRPr="005C3AD2" w:rsidRDefault="00D00188" w:rsidP="00812654">
      <w:pPr>
        <w:pStyle w:val="BodyTextMain"/>
        <w:rPr>
          <w:lang w:val="en-GB"/>
        </w:rPr>
      </w:pPr>
    </w:p>
    <w:p w14:paraId="177FE1A9" w14:textId="69CF785F" w:rsidR="00D00188" w:rsidRPr="005C3AD2" w:rsidRDefault="00D00188" w:rsidP="00812654">
      <w:pPr>
        <w:pStyle w:val="BodyTextMain"/>
        <w:rPr>
          <w:lang w:val="en-GB"/>
        </w:rPr>
      </w:pPr>
      <w:r w:rsidRPr="005C3AD2">
        <w:rPr>
          <w:lang w:val="en-GB"/>
        </w:rPr>
        <w:t xml:space="preserve">After the meeting, he emailed Colbert thanking her for her time and mentioned that a project proposal would be sent </w:t>
      </w:r>
      <w:r>
        <w:rPr>
          <w:lang w:val="en-GB"/>
        </w:rPr>
        <w:t xml:space="preserve">to PTLS </w:t>
      </w:r>
      <w:r w:rsidRPr="005C3AD2">
        <w:rPr>
          <w:lang w:val="en-GB"/>
        </w:rPr>
        <w:t xml:space="preserve">the next day. He reviewed </w:t>
      </w:r>
      <w:r>
        <w:rPr>
          <w:lang w:val="en-GB"/>
        </w:rPr>
        <w:t>his</w:t>
      </w:r>
      <w:r w:rsidRPr="005C3AD2">
        <w:rPr>
          <w:lang w:val="en-GB"/>
        </w:rPr>
        <w:t xml:space="preserve"> meeting notes and felt </w:t>
      </w:r>
      <w:r>
        <w:rPr>
          <w:lang w:val="en-GB"/>
        </w:rPr>
        <w:t xml:space="preserve">that </w:t>
      </w:r>
      <w:r w:rsidRPr="005C3AD2">
        <w:rPr>
          <w:lang w:val="en-GB"/>
        </w:rPr>
        <w:t xml:space="preserve">the </w:t>
      </w:r>
      <w:r>
        <w:rPr>
          <w:lang w:val="en-GB"/>
        </w:rPr>
        <w:t xml:space="preserve">organization’s </w:t>
      </w:r>
      <w:r w:rsidRPr="005C3AD2">
        <w:rPr>
          <w:lang w:val="en-GB"/>
        </w:rPr>
        <w:t xml:space="preserve">best approach </w:t>
      </w:r>
      <w:r>
        <w:rPr>
          <w:lang w:val="en-GB"/>
        </w:rPr>
        <w:t>would be</w:t>
      </w:r>
      <w:r w:rsidRPr="005C3AD2">
        <w:rPr>
          <w:lang w:val="en-GB"/>
        </w:rPr>
        <w:t xml:space="preserve"> interview</w:t>
      </w:r>
      <w:r>
        <w:rPr>
          <w:lang w:val="en-GB"/>
        </w:rPr>
        <w:t>ing</w:t>
      </w:r>
      <w:r w:rsidRPr="005C3AD2">
        <w:rPr>
          <w:lang w:val="en-GB"/>
        </w:rPr>
        <w:t xml:space="preserve"> current clients to understand what </w:t>
      </w:r>
      <w:r>
        <w:rPr>
          <w:lang w:val="en-GB"/>
        </w:rPr>
        <w:t xml:space="preserve">had </w:t>
      </w:r>
      <w:r w:rsidRPr="005C3AD2">
        <w:rPr>
          <w:lang w:val="en-GB"/>
        </w:rPr>
        <w:t>brought them to PTLS, how they like PTLS so far, and whether they</w:t>
      </w:r>
      <w:r>
        <w:rPr>
          <w:lang w:val="en-GB"/>
        </w:rPr>
        <w:t xml:space="preserve"> would</w:t>
      </w:r>
      <w:r w:rsidRPr="005C3AD2">
        <w:rPr>
          <w:lang w:val="en-GB"/>
        </w:rPr>
        <w:t xml:space="preserve"> recommend </w:t>
      </w:r>
      <w:r>
        <w:rPr>
          <w:lang w:val="en-GB"/>
        </w:rPr>
        <w:t xml:space="preserve">the </w:t>
      </w:r>
      <w:r w:rsidRPr="005C3AD2">
        <w:rPr>
          <w:lang w:val="en-GB"/>
        </w:rPr>
        <w:t xml:space="preserve">NPO to others. He wanted to </w:t>
      </w:r>
      <w:r>
        <w:rPr>
          <w:lang w:val="en-GB"/>
        </w:rPr>
        <w:t xml:space="preserve">get a more well-rounded </w:t>
      </w:r>
      <w:r w:rsidRPr="005C3AD2">
        <w:rPr>
          <w:lang w:val="en-GB"/>
        </w:rPr>
        <w:t>understand</w:t>
      </w:r>
      <w:r>
        <w:rPr>
          <w:lang w:val="en-GB"/>
        </w:rPr>
        <w:t>ing</w:t>
      </w:r>
      <w:r w:rsidRPr="005C3AD2">
        <w:rPr>
          <w:lang w:val="en-GB"/>
        </w:rPr>
        <w:t xml:space="preserve"> by also interviewing employees, volunteers, and partners, as well as conducting secondary research on the NPO’s surrounding area including infrastructure and demographics.</w:t>
      </w:r>
    </w:p>
    <w:p w14:paraId="2000BB7B" w14:textId="77777777" w:rsidR="00D00188" w:rsidRPr="005C3AD2" w:rsidRDefault="00D00188" w:rsidP="00812654">
      <w:pPr>
        <w:pStyle w:val="BodyTextMain"/>
        <w:rPr>
          <w:lang w:val="en-GB"/>
        </w:rPr>
      </w:pPr>
    </w:p>
    <w:p w14:paraId="5725222B" w14:textId="4F88ED60" w:rsidR="00D00188" w:rsidRDefault="00D00188" w:rsidP="0038426F">
      <w:pPr>
        <w:pStyle w:val="BodyTextMain"/>
        <w:rPr>
          <w:lang w:val="en-GB"/>
        </w:rPr>
      </w:pPr>
      <w:r w:rsidRPr="005C3AD2">
        <w:rPr>
          <w:lang w:val="en-GB"/>
        </w:rPr>
        <w:t>De Silva included in the proposal an estimated project time frame and breakdown</w:t>
      </w:r>
      <w:r>
        <w:rPr>
          <w:lang w:val="en-GB"/>
        </w:rPr>
        <w:t xml:space="preserve"> of</w:t>
      </w:r>
      <w:r w:rsidRPr="005C3AD2">
        <w:rPr>
          <w:lang w:val="en-GB"/>
        </w:rPr>
        <w:t xml:space="preserve"> 100 total people hours</w:t>
      </w:r>
      <w:r>
        <w:rPr>
          <w:lang w:val="en-GB"/>
        </w:rPr>
        <w:t>,</w:t>
      </w:r>
      <w:r w:rsidRPr="005C3AD2">
        <w:rPr>
          <w:lang w:val="en-GB"/>
        </w:rPr>
        <w:t xml:space="preserve"> which include</w:t>
      </w:r>
      <w:r>
        <w:rPr>
          <w:lang w:val="en-GB"/>
        </w:rPr>
        <w:t>d</w:t>
      </w:r>
      <w:r w:rsidRPr="005C3AD2">
        <w:rPr>
          <w:lang w:val="en-GB"/>
        </w:rPr>
        <w:t xml:space="preserve"> 45 hours for research, 20 hours for analysis, and 35 hours for strategy and implementation formulation. PTLS’s budget for the project was $500</w:t>
      </w:r>
      <w:r>
        <w:rPr>
          <w:lang w:val="en-GB"/>
        </w:rPr>
        <w:t>,</w:t>
      </w:r>
      <w:r w:rsidRPr="005C3AD2">
        <w:rPr>
          <w:lang w:val="en-GB"/>
        </w:rPr>
        <w:t xml:space="preserve"> including sales tax. Although this was far below market rates, he </w:t>
      </w:r>
      <w:r>
        <w:rPr>
          <w:lang w:val="en-GB"/>
        </w:rPr>
        <w:t>sa</w:t>
      </w:r>
      <w:r w:rsidRPr="005C3AD2">
        <w:rPr>
          <w:lang w:val="en-GB"/>
        </w:rPr>
        <w:t>w</w:t>
      </w:r>
      <w:r>
        <w:rPr>
          <w:lang w:val="en-GB"/>
        </w:rPr>
        <w:t xml:space="preserve"> this</w:t>
      </w:r>
      <w:r w:rsidRPr="005C3AD2">
        <w:rPr>
          <w:lang w:val="en-GB"/>
        </w:rPr>
        <w:t xml:space="preserve"> project </w:t>
      </w:r>
      <w:r>
        <w:rPr>
          <w:lang w:val="en-GB"/>
        </w:rPr>
        <w:t xml:space="preserve">as useful </w:t>
      </w:r>
      <w:r w:rsidRPr="005C3AD2">
        <w:rPr>
          <w:lang w:val="en-GB"/>
        </w:rPr>
        <w:t>experience for SFC.</w:t>
      </w:r>
      <w:r>
        <w:rPr>
          <w:lang w:val="en-GB"/>
        </w:rPr>
        <w:t xml:space="preserve"> </w:t>
      </w:r>
      <w:r w:rsidRPr="008948E1">
        <w:rPr>
          <w:lang w:val="en-GB"/>
        </w:rPr>
        <w:t xml:space="preserve">The proposal was forwarded to a private </w:t>
      </w:r>
      <w:r w:rsidRPr="008948E1">
        <w:rPr>
          <w:lang w:val="en-GB"/>
        </w:rPr>
        <w:lastRenderedPageBreak/>
        <w:t>funder for approval, but after three weeks had passed without a decision</w:t>
      </w:r>
      <w:r>
        <w:rPr>
          <w:lang w:val="en-GB"/>
        </w:rPr>
        <w:t>,</w:t>
      </w:r>
      <w:r w:rsidRPr="008948E1">
        <w:rPr>
          <w:lang w:val="en-GB"/>
        </w:rPr>
        <w:t xml:space="preserve"> de Silva contacted Colbert for an update and forwarded her a relevant article about essential skills trends in Ontario. A short time later, SFC’s proposal was approved and d</w:t>
      </w:r>
      <w:r w:rsidRPr="005C3AD2">
        <w:rPr>
          <w:lang w:val="en-GB"/>
        </w:rPr>
        <w:t xml:space="preserve">e Silva called </w:t>
      </w:r>
      <w:r>
        <w:rPr>
          <w:lang w:val="en-GB"/>
        </w:rPr>
        <w:t>PTLS</w:t>
      </w:r>
      <w:r w:rsidRPr="005C3AD2">
        <w:rPr>
          <w:lang w:val="en-GB"/>
        </w:rPr>
        <w:t xml:space="preserve"> to discuss next steps. </w:t>
      </w:r>
    </w:p>
    <w:p w14:paraId="469CA636" w14:textId="77777777" w:rsidR="00D00188" w:rsidRDefault="00D00188" w:rsidP="0038426F">
      <w:pPr>
        <w:pStyle w:val="BodyTextMain"/>
        <w:rPr>
          <w:lang w:val="en-GB"/>
        </w:rPr>
      </w:pPr>
    </w:p>
    <w:p w14:paraId="02A13040" w14:textId="7289A8A3" w:rsidR="00D00188" w:rsidRDefault="00D00188" w:rsidP="0038426F">
      <w:pPr>
        <w:pStyle w:val="BodyTextMain"/>
        <w:rPr>
          <w:lang w:val="en-GB"/>
        </w:rPr>
      </w:pPr>
      <w:r w:rsidRPr="005C3AD2">
        <w:rPr>
          <w:lang w:val="en-GB"/>
        </w:rPr>
        <w:t xml:space="preserve">Colbert first </w:t>
      </w:r>
      <w:r>
        <w:rPr>
          <w:lang w:val="en-GB"/>
        </w:rPr>
        <w:t>explained to de Silva</w:t>
      </w:r>
      <w:r w:rsidRPr="005C3AD2">
        <w:rPr>
          <w:lang w:val="en-GB"/>
        </w:rPr>
        <w:t xml:space="preserve"> why SFC </w:t>
      </w:r>
      <w:r>
        <w:rPr>
          <w:lang w:val="en-GB"/>
        </w:rPr>
        <w:t>was chosen among all</w:t>
      </w:r>
      <w:r w:rsidRPr="005C3AD2">
        <w:rPr>
          <w:lang w:val="en-GB"/>
        </w:rPr>
        <w:t xml:space="preserve"> bid</w:t>
      </w:r>
      <w:r>
        <w:rPr>
          <w:lang w:val="en-GB"/>
        </w:rPr>
        <w:t>ders</w:t>
      </w:r>
      <w:r w:rsidRPr="005C3AD2">
        <w:rPr>
          <w:lang w:val="en-GB"/>
        </w:rPr>
        <w:t xml:space="preserve"> on the project. </w:t>
      </w:r>
      <w:r>
        <w:rPr>
          <w:lang w:val="en-GB"/>
        </w:rPr>
        <w:t>S</w:t>
      </w:r>
      <w:r w:rsidRPr="005C3AD2">
        <w:rPr>
          <w:lang w:val="en-GB"/>
        </w:rPr>
        <w:t xml:space="preserve">he liked </w:t>
      </w:r>
      <w:r>
        <w:rPr>
          <w:lang w:val="en-GB"/>
        </w:rPr>
        <w:t>his</w:t>
      </w:r>
      <w:r w:rsidRPr="005C3AD2">
        <w:rPr>
          <w:lang w:val="en-GB"/>
        </w:rPr>
        <w:t xml:space="preserve"> personal story of growing up in a socially disadvantaged neighbo</w:t>
      </w:r>
      <w:r>
        <w:rPr>
          <w:lang w:val="en-GB"/>
        </w:rPr>
        <w:t>u</w:t>
      </w:r>
      <w:r w:rsidRPr="005C3AD2">
        <w:rPr>
          <w:lang w:val="en-GB"/>
        </w:rPr>
        <w:t>rhood</w:t>
      </w:r>
      <w:r>
        <w:rPr>
          <w:lang w:val="en-GB"/>
        </w:rPr>
        <w:t xml:space="preserve"> and</w:t>
      </w:r>
      <w:r w:rsidRPr="005C3AD2">
        <w:rPr>
          <w:lang w:val="en-GB"/>
        </w:rPr>
        <w:t xml:space="preserve"> felt that his personal connection to social causes would make him relate better to PTLS and its clients</w:t>
      </w:r>
      <w:r>
        <w:rPr>
          <w:lang w:val="en-GB"/>
        </w:rPr>
        <w:t>,</w:t>
      </w:r>
      <w:r w:rsidRPr="005C3AD2">
        <w:rPr>
          <w:lang w:val="en-GB"/>
        </w:rPr>
        <w:t xml:space="preserve"> who c</w:t>
      </w:r>
      <w:r>
        <w:rPr>
          <w:lang w:val="en-GB"/>
        </w:rPr>
        <w:t>ame</w:t>
      </w:r>
      <w:r w:rsidRPr="005C3AD2">
        <w:rPr>
          <w:lang w:val="en-GB"/>
        </w:rPr>
        <w:t xml:space="preserve"> </w:t>
      </w:r>
      <w:r>
        <w:rPr>
          <w:lang w:val="en-GB"/>
        </w:rPr>
        <w:t xml:space="preserve">mainly </w:t>
      </w:r>
      <w:r w:rsidRPr="005C3AD2">
        <w:rPr>
          <w:lang w:val="en-GB"/>
        </w:rPr>
        <w:t>from backgrounds</w:t>
      </w:r>
      <w:r>
        <w:rPr>
          <w:lang w:val="en-GB"/>
        </w:rPr>
        <w:t xml:space="preserve"> similar to his</w:t>
      </w:r>
      <w:r w:rsidRPr="005C3AD2">
        <w:rPr>
          <w:lang w:val="en-GB"/>
        </w:rPr>
        <w:t xml:space="preserve">. She </w:t>
      </w:r>
      <w:r>
        <w:rPr>
          <w:lang w:val="en-GB"/>
        </w:rPr>
        <w:t>also thought his company’s name</w:t>
      </w:r>
      <w:r w:rsidRPr="005C3AD2">
        <w:rPr>
          <w:lang w:val="en-GB"/>
        </w:rPr>
        <w:t xml:space="preserve"> conveyed a specialty of working with social causes. </w:t>
      </w:r>
      <w:r>
        <w:rPr>
          <w:lang w:val="en-GB"/>
        </w:rPr>
        <w:t>Colbert was impressed by de Silva’s</w:t>
      </w:r>
      <w:r w:rsidRPr="005C3AD2">
        <w:rPr>
          <w:lang w:val="en-GB"/>
        </w:rPr>
        <w:t xml:space="preserve"> questions </w:t>
      </w:r>
      <w:r>
        <w:rPr>
          <w:lang w:val="en-GB"/>
        </w:rPr>
        <w:t xml:space="preserve">and his efforts to </w:t>
      </w:r>
      <w:r w:rsidRPr="005C3AD2">
        <w:rPr>
          <w:lang w:val="en-GB"/>
        </w:rPr>
        <w:t xml:space="preserve">listen and understand PTLS’s needs and current situation. </w:t>
      </w:r>
      <w:r>
        <w:rPr>
          <w:lang w:val="en-GB"/>
        </w:rPr>
        <w:t>Sh</w:t>
      </w:r>
      <w:r w:rsidRPr="005C3AD2">
        <w:rPr>
          <w:lang w:val="en-GB"/>
        </w:rPr>
        <w:t>e was</w:t>
      </w:r>
      <w:r>
        <w:rPr>
          <w:lang w:val="en-GB"/>
        </w:rPr>
        <w:t xml:space="preserve"> glad he avoided</w:t>
      </w:r>
      <w:r w:rsidRPr="005C3AD2">
        <w:rPr>
          <w:lang w:val="en-GB"/>
        </w:rPr>
        <w:t xml:space="preserve"> suggest</w:t>
      </w:r>
      <w:r>
        <w:rPr>
          <w:lang w:val="en-GB"/>
        </w:rPr>
        <w:t>ing</w:t>
      </w:r>
      <w:r w:rsidRPr="005C3AD2">
        <w:rPr>
          <w:lang w:val="en-GB"/>
        </w:rPr>
        <w:t xml:space="preserve"> a</w:t>
      </w:r>
      <w:r>
        <w:rPr>
          <w:lang w:val="en-GB"/>
        </w:rPr>
        <w:t xml:space="preserve"> social media</w:t>
      </w:r>
      <w:r w:rsidRPr="005C3AD2">
        <w:rPr>
          <w:lang w:val="en-GB"/>
        </w:rPr>
        <w:t xml:space="preserve"> solution </w:t>
      </w:r>
      <w:r>
        <w:rPr>
          <w:lang w:val="en-GB"/>
        </w:rPr>
        <w:t>for</w:t>
      </w:r>
      <w:r w:rsidRPr="005C3AD2">
        <w:rPr>
          <w:lang w:val="en-GB"/>
        </w:rPr>
        <w:t xml:space="preserve"> PTLS </w:t>
      </w:r>
      <w:r>
        <w:rPr>
          <w:lang w:val="en-GB"/>
        </w:rPr>
        <w:t>before</w:t>
      </w:r>
      <w:r w:rsidRPr="005C3AD2">
        <w:rPr>
          <w:lang w:val="en-GB"/>
        </w:rPr>
        <w:t xml:space="preserve"> </w:t>
      </w:r>
      <w:r>
        <w:rPr>
          <w:lang w:val="en-GB"/>
        </w:rPr>
        <w:t xml:space="preserve">he </w:t>
      </w:r>
      <w:r w:rsidRPr="005C3AD2">
        <w:rPr>
          <w:lang w:val="en-GB"/>
        </w:rPr>
        <w:t>fully underst</w:t>
      </w:r>
      <w:r>
        <w:rPr>
          <w:lang w:val="en-GB"/>
        </w:rPr>
        <w:t>ood</w:t>
      </w:r>
      <w:r w:rsidRPr="005C3AD2">
        <w:rPr>
          <w:lang w:val="en-GB"/>
        </w:rPr>
        <w:t xml:space="preserve"> the </w:t>
      </w:r>
      <w:r>
        <w:rPr>
          <w:lang w:val="en-GB"/>
        </w:rPr>
        <w:t>organiz</w:t>
      </w:r>
      <w:r w:rsidRPr="005C3AD2">
        <w:rPr>
          <w:lang w:val="en-GB"/>
        </w:rPr>
        <w:t>ation.</w:t>
      </w:r>
    </w:p>
    <w:p w14:paraId="26175F8A" w14:textId="77777777" w:rsidR="00330A69" w:rsidRDefault="00330A69" w:rsidP="0038426F">
      <w:pPr>
        <w:pStyle w:val="BodyTextMain"/>
        <w:rPr>
          <w:lang w:val="en-GB"/>
        </w:rPr>
      </w:pPr>
    </w:p>
    <w:p w14:paraId="21BDC8F0" w14:textId="2948AF35" w:rsidR="00D00188" w:rsidRPr="005C3AD2" w:rsidRDefault="00D00188" w:rsidP="00812654">
      <w:pPr>
        <w:pStyle w:val="BodyTextMain"/>
        <w:rPr>
          <w:lang w:val="en-GB"/>
        </w:rPr>
      </w:pPr>
      <w:r w:rsidRPr="005C3AD2">
        <w:rPr>
          <w:lang w:val="en-GB"/>
        </w:rPr>
        <w:t>Colbert a</w:t>
      </w:r>
      <w:r>
        <w:rPr>
          <w:lang w:val="en-GB"/>
        </w:rPr>
        <w:t>lso informed de Silva that</w:t>
      </w:r>
      <w:r w:rsidRPr="005C3AD2">
        <w:rPr>
          <w:lang w:val="en-GB"/>
        </w:rPr>
        <w:t xml:space="preserve"> the project</w:t>
      </w:r>
      <w:r>
        <w:rPr>
          <w:lang w:val="en-GB"/>
        </w:rPr>
        <w:t>’s</w:t>
      </w:r>
      <w:r w:rsidRPr="005C3AD2">
        <w:rPr>
          <w:lang w:val="en-GB"/>
        </w:rPr>
        <w:t xml:space="preserve"> budget had </w:t>
      </w:r>
      <w:r>
        <w:rPr>
          <w:lang w:val="en-GB"/>
        </w:rPr>
        <w:t xml:space="preserve">been </w:t>
      </w:r>
      <w:r w:rsidRPr="005C3AD2">
        <w:rPr>
          <w:lang w:val="en-GB"/>
        </w:rPr>
        <w:t xml:space="preserve">increased </w:t>
      </w:r>
      <w:r>
        <w:rPr>
          <w:lang w:val="en-GB"/>
        </w:rPr>
        <w:t xml:space="preserve">five-fold </w:t>
      </w:r>
      <w:r w:rsidRPr="005C3AD2">
        <w:rPr>
          <w:lang w:val="en-GB"/>
        </w:rPr>
        <w:t>to $2,500</w:t>
      </w:r>
      <w:r>
        <w:rPr>
          <w:lang w:val="en-GB"/>
        </w:rPr>
        <w:t>, which d</w:t>
      </w:r>
      <w:r w:rsidRPr="005C3AD2">
        <w:rPr>
          <w:lang w:val="en-GB"/>
        </w:rPr>
        <w:t xml:space="preserve">e Silva </w:t>
      </w:r>
      <w:r>
        <w:rPr>
          <w:lang w:val="en-GB"/>
        </w:rPr>
        <w:t xml:space="preserve">would use for three </w:t>
      </w:r>
      <w:r w:rsidRPr="005C3AD2">
        <w:rPr>
          <w:lang w:val="en-GB"/>
        </w:rPr>
        <w:t>$300 honorarium</w:t>
      </w:r>
      <w:r>
        <w:rPr>
          <w:lang w:val="en-GB"/>
        </w:rPr>
        <w:t xml:space="preserve">s, one each for </w:t>
      </w:r>
      <w:r w:rsidRPr="005C3AD2">
        <w:rPr>
          <w:lang w:val="en-GB"/>
        </w:rPr>
        <w:t>three students</w:t>
      </w:r>
      <w:r>
        <w:rPr>
          <w:lang w:val="en-GB"/>
        </w:rPr>
        <w:t>,</w:t>
      </w:r>
      <w:r w:rsidRPr="005C3AD2">
        <w:rPr>
          <w:lang w:val="en-GB"/>
        </w:rPr>
        <w:t xml:space="preserve"> who would each work about 10 to 15 hours </w:t>
      </w:r>
      <w:r>
        <w:rPr>
          <w:lang w:val="en-GB"/>
        </w:rPr>
        <w:t>on the project. The rest would be</w:t>
      </w:r>
      <w:r w:rsidRPr="005C3AD2">
        <w:rPr>
          <w:lang w:val="en-GB"/>
        </w:rPr>
        <w:t xml:space="preserve"> invest</w:t>
      </w:r>
      <w:r>
        <w:rPr>
          <w:lang w:val="en-GB"/>
        </w:rPr>
        <w:t>ed</w:t>
      </w:r>
      <w:r w:rsidRPr="005C3AD2">
        <w:rPr>
          <w:lang w:val="en-GB"/>
        </w:rPr>
        <w:t xml:space="preserve"> into SFC.</w:t>
      </w:r>
      <w:r>
        <w:rPr>
          <w:lang w:val="en-GB"/>
        </w:rPr>
        <w:t xml:space="preserve"> Less than a year af</w:t>
      </w:r>
      <w:r w:rsidRPr="005C3AD2">
        <w:rPr>
          <w:lang w:val="en-GB"/>
        </w:rPr>
        <w:t xml:space="preserve">ter the project was completed, Colbert </w:t>
      </w:r>
      <w:r>
        <w:rPr>
          <w:lang w:val="en-GB"/>
        </w:rPr>
        <w:t xml:space="preserve">was </w:t>
      </w:r>
      <w:r w:rsidRPr="005C3AD2">
        <w:rPr>
          <w:lang w:val="en-GB"/>
        </w:rPr>
        <w:t>excited</w:t>
      </w:r>
      <w:r>
        <w:rPr>
          <w:lang w:val="en-GB"/>
        </w:rPr>
        <w:t xml:space="preserve"> to report</w:t>
      </w:r>
      <w:r w:rsidRPr="005C3AD2">
        <w:rPr>
          <w:lang w:val="en-GB"/>
        </w:rPr>
        <w:t xml:space="preserve"> that SFC</w:t>
      </w:r>
      <w:r>
        <w:rPr>
          <w:lang w:val="en-GB"/>
        </w:rPr>
        <w:t>’s strategy</w:t>
      </w:r>
      <w:r w:rsidRPr="005C3AD2">
        <w:rPr>
          <w:lang w:val="en-GB"/>
        </w:rPr>
        <w:t xml:space="preserve"> had already led to a 7</w:t>
      </w:r>
      <w:r w:rsidR="00BD4587">
        <w:rPr>
          <w:lang w:val="en-GB"/>
        </w:rPr>
        <w:t>6</w:t>
      </w:r>
      <w:r>
        <w:rPr>
          <w:lang w:val="en-GB"/>
        </w:rPr>
        <w:t>-</w:t>
      </w:r>
      <w:r w:rsidRPr="005C3AD2">
        <w:rPr>
          <w:lang w:val="en-GB"/>
        </w:rPr>
        <w:t>per</w:t>
      </w:r>
      <w:r>
        <w:rPr>
          <w:lang w:val="en-GB"/>
        </w:rPr>
        <w:t>-</w:t>
      </w:r>
      <w:r w:rsidRPr="005C3AD2">
        <w:rPr>
          <w:lang w:val="en-GB"/>
        </w:rPr>
        <w:t>cent increase in program registrants</w:t>
      </w:r>
      <w:r>
        <w:rPr>
          <w:lang w:val="en-GB"/>
        </w:rPr>
        <w:t>, which made de Siva</w:t>
      </w:r>
      <w:r w:rsidRPr="005C3AD2">
        <w:rPr>
          <w:lang w:val="en-GB"/>
        </w:rPr>
        <w:t xml:space="preserve"> proud</w:t>
      </w:r>
      <w:r>
        <w:rPr>
          <w:lang w:val="en-GB"/>
        </w:rPr>
        <w:t xml:space="preserve"> of his team’s work</w:t>
      </w:r>
      <w:r w:rsidRPr="005C3AD2">
        <w:rPr>
          <w:lang w:val="en-GB"/>
        </w:rPr>
        <w:t>.</w:t>
      </w:r>
    </w:p>
    <w:p w14:paraId="08D25ECE" w14:textId="77777777" w:rsidR="00D00188" w:rsidRPr="005C3AD2" w:rsidRDefault="00D00188" w:rsidP="00812654">
      <w:pPr>
        <w:pStyle w:val="BodyTextMain"/>
        <w:rPr>
          <w:lang w:val="en-GB"/>
        </w:rPr>
      </w:pPr>
    </w:p>
    <w:p w14:paraId="098BC07C" w14:textId="77777777" w:rsidR="00D00188" w:rsidRPr="005C3AD2" w:rsidRDefault="00D00188" w:rsidP="00812654">
      <w:pPr>
        <w:pStyle w:val="BodyTextMain"/>
        <w:rPr>
          <w:lang w:val="en-GB"/>
        </w:rPr>
      </w:pPr>
    </w:p>
    <w:p w14:paraId="5163F8A3" w14:textId="77777777" w:rsidR="00D00188" w:rsidRPr="00843FF2" w:rsidRDefault="00D00188" w:rsidP="00812654">
      <w:pPr>
        <w:pStyle w:val="Casehead1"/>
        <w:rPr>
          <w:sz w:val="20"/>
          <w:lang w:val="en-GB"/>
        </w:rPr>
      </w:pPr>
      <w:r w:rsidRPr="00843FF2">
        <w:rPr>
          <w:sz w:val="20"/>
          <w:lang w:val="en-GB"/>
        </w:rPr>
        <w:t>SFC’s Failure in Client Acquisition</w:t>
      </w:r>
    </w:p>
    <w:p w14:paraId="034669C6" w14:textId="77777777" w:rsidR="00D00188" w:rsidRPr="005C3AD2" w:rsidRDefault="00D00188" w:rsidP="00812654">
      <w:pPr>
        <w:pStyle w:val="BodyTextMain"/>
        <w:rPr>
          <w:lang w:val="en-GB"/>
        </w:rPr>
      </w:pPr>
    </w:p>
    <w:p w14:paraId="3F547B44" w14:textId="45699E15" w:rsidR="00812654" w:rsidRPr="005C3AD2" w:rsidRDefault="00D00188" w:rsidP="00812654">
      <w:pPr>
        <w:pStyle w:val="BodyTextMain"/>
        <w:rPr>
          <w:lang w:val="en-GB"/>
        </w:rPr>
      </w:pPr>
      <w:r w:rsidRPr="005C3AD2">
        <w:rPr>
          <w:lang w:val="en-GB"/>
        </w:rPr>
        <w:t>Despite previous</w:t>
      </w:r>
      <w:r>
        <w:rPr>
          <w:lang w:val="en-GB"/>
        </w:rPr>
        <w:t xml:space="preserve"> success gaining new</w:t>
      </w:r>
      <w:r w:rsidRPr="005C3AD2">
        <w:rPr>
          <w:lang w:val="en-GB"/>
        </w:rPr>
        <w:t xml:space="preserve"> clients and projects, de Silva and SFC </w:t>
      </w:r>
      <w:r>
        <w:rPr>
          <w:lang w:val="en-GB"/>
        </w:rPr>
        <w:t xml:space="preserve">began </w:t>
      </w:r>
      <w:r w:rsidRPr="005C3AD2">
        <w:rPr>
          <w:lang w:val="en-GB"/>
        </w:rPr>
        <w:t>struggl</w:t>
      </w:r>
      <w:r>
        <w:rPr>
          <w:lang w:val="en-GB"/>
        </w:rPr>
        <w:t>ing</w:t>
      </w:r>
      <w:r w:rsidRPr="005C3AD2">
        <w:rPr>
          <w:lang w:val="en-GB"/>
        </w:rPr>
        <w:t xml:space="preserve"> to </w:t>
      </w:r>
      <w:r>
        <w:rPr>
          <w:lang w:val="en-GB"/>
        </w:rPr>
        <w:t>secure</w:t>
      </w:r>
      <w:r w:rsidRPr="005C3AD2">
        <w:rPr>
          <w:lang w:val="en-GB"/>
        </w:rPr>
        <w:t xml:space="preserve"> clients and projects. On March 23, 2016, for example, de Silva received an email with a </w:t>
      </w:r>
      <w:r>
        <w:rPr>
          <w:lang w:val="en-GB"/>
        </w:rPr>
        <w:t>r</w:t>
      </w:r>
      <w:r w:rsidRPr="005C3AD2">
        <w:rPr>
          <w:lang w:val="en-GB"/>
        </w:rPr>
        <w:t xml:space="preserve">equest for </w:t>
      </w:r>
      <w:r>
        <w:rPr>
          <w:lang w:val="en-GB"/>
        </w:rPr>
        <w:t>p</w:t>
      </w:r>
      <w:r w:rsidRPr="005C3AD2">
        <w:rPr>
          <w:lang w:val="en-GB"/>
        </w:rPr>
        <w:t>roposal (RFP) from Virginia St. Bernard, a manager at Gananoque Public Health (GPH). GPH was seeking a social marketing consultant to help the organization better reach and engage young adults</w:t>
      </w:r>
      <w:r>
        <w:rPr>
          <w:lang w:val="en-GB"/>
        </w:rPr>
        <w:t>,</w:t>
      </w:r>
      <w:r w:rsidRPr="005C3AD2">
        <w:rPr>
          <w:lang w:val="en-GB"/>
        </w:rPr>
        <w:t xml:space="preserve"> age 18 to 29</w:t>
      </w:r>
      <w:r>
        <w:rPr>
          <w:lang w:val="en-GB"/>
        </w:rPr>
        <w:t>,</w:t>
      </w:r>
      <w:r w:rsidRPr="005C3AD2">
        <w:rPr>
          <w:lang w:val="en-GB"/>
        </w:rPr>
        <w:t xml:space="preserve"> who live</w:t>
      </w:r>
      <w:r>
        <w:rPr>
          <w:lang w:val="en-GB"/>
        </w:rPr>
        <w:t>d</w:t>
      </w:r>
      <w:r w:rsidRPr="005C3AD2">
        <w:rPr>
          <w:lang w:val="en-GB"/>
        </w:rPr>
        <w:t xml:space="preserve"> in apartments, condos, and other multi-unit dwellings (MUDs). She found SFC</w:t>
      </w:r>
      <w:r>
        <w:rPr>
          <w:lang w:val="en-GB"/>
        </w:rPr>
        <w:t>’s</w:t>
      </w:r>
      <w:r w:rsidRPr="005C3AD2">
        <w:rPr>
          <w:lang w:val="en-GB"/>
        </w:rPr>
        <w:t xml:space="preserve"> service provider listing </w:t>
      </w:r>
      <w:r>
        <w:rPr>
          <w:lang w:val="en-GB"/>
        </w:rPr>
        <w:t>on the online job posting website</w:t>
      </w:r>
      <w:r w:rsidRPr="005C3AD2">
        <w:rPr>
          <w:lang w:val="en-GB"/>
        </w:rPr>
        <w:t xml:space="preserve"> CharityVillage, </w:t>
      </w:r>
      <w:r>
        <w:rPr>
          <w:lang w:val="en-GB"/>
        </w:rPr>
        <w:t xml:space="preserve">which referred to itself as </w:t>
      </w:r>
      <w:r w:rsidRPr="005C3AD2">
        <w:rPr>
          <w:lang w:val="en-GB"/>
        </w:rPr>
        <w:t>“Canada</w:t>
      </w:r>
      <w:r>
        <w:rPr>
          <w:lang w:val="en-GB"/>
        </w:rPr>
        <w:t>’</w:t>
      </w:r>
      <w:r w:rsidRPr="005C3AD2">
        <w:rPr>
          <w:lang w:val="en-GB"/>
        </w:rPr>
        <w:t xml:space="preserve">s favourite site for </w:t>
      </w:r>
      <w:r>
        <w:rPr>
          <w:lang w:val="en-GB"/>
        </w:rPr>
        <w:t>n</w:t>
      </w:r>
      <w:r w:rsidRPr="005C3AD2">
        <w:rPr>
          <w:lang w:val="en-GB"/>
        </w:rPr>
        <w:t>on</w:t>
      </w:r>
      <w:r>
        <w:rPr>
          <w:lang w:val="en-GB"/>
        </w:rPr>
        <w:t>-</w:t>
      </w:r>
      <w:r w:rsidRPr="005C3AD2">
        <w:rPr>
          <w:lang w:val="en-GB"/>
        </w:rPr>
        <w:t>profit professionals.”</w:t>
      </w:r>
      <w:r w:rsidRPr="005C3AD2">
        <w:rPr>
          <w:rStyle w:val="EndnoteReference"/>
          <w:lang w:val="en-GB"/>
        </w:rPr>
        <w:endnoteReference w:id="40"/>
      </w:r>
      <w:r>
        <w:rPr>
          <w:lang w:val="en-GB"/>
        </w:rPr>
        <w:t xml:space="preserve"> </w:t>
      </w:r>
      <w:r w:rsidR="00812654" w:rsidRPr="005C3AD2">
        <w:rPr>
          <w:lang w:val="en-GB"/>
        </w:rPr>
        <w:t xml:space="preserve">The goal of the project was to turn young adults into advocates for smoke-free housing </w:t>
      </w:r>
      <w:r w:rsidR="00701A88">
        <w:rPr>
          <w:lang w:val="en-GB"/>
        </w:rPr>
        <w:t>after</w:t>
      </w:r>
      <w:r w:rsidR="00812654" w:rsidRPr="005C3AD2">
        <w:rPr>
          <w:lang w:val="en-GB"/>
        </w:rPr>
        <w:t xml:space="preserve"> 38 per</w:t>
      </w:r>
      <w:r w:rsidR="00701A88">
        <w:rPr>
          <w:lang w:val="en-GB"/>
        </w:rPr>
        <w:t xml:space="preserve"> </w:t>
      </w:r>
      <w:r w:rsidR="00812654" w:rsidRPr="005C3AD2">
        <w:rPr>
          <w:lang w:val="en-GB"/>
        </w:rPr>
        <w:t>cent</w:t>
      </w:r>
      <w:r w:rsidR="00701A88">
        <w:rPr>
          <w:lang w:val="en-GB"/>
        </w:rPr>
        <w:t xml:space="preserve"> </w:t>
      </w:r>
      <w:r w:rsidR="002C2D03">
        <w:rPr>
          <w:lang w:val="en-GB"/>
        </w:rPr>
        <w:t>(</w:t>
      </w:r>
      <w:r w:rsidR="00701A88">
        <w:rPr>
          <w:lang w:val="en-GB"/>
        </w:rPr>
        <w:t>roughly 1</w:t>
      </w:r>
      <w:r w:rsidR="00812654" w:rsidRPr="005C3AD2">
        <w:rPr>
          <w:lang w:val="en-GB"/>
        </w:rPr>
        <w:t xml:space="preserve"> million</w:t>
      </w:r>
      <w:r w:rsidR="002C2D03">
        <w:rPr>
          <w:lang w:val="en-GB"/>
        </w:rPr>
        <w:t>)</w:t>
      </w:r>
      <w:r w:rsidR="00812654" w:rsidRPr="005C3AD2">
        <w:rPr>
          <w:lang w:val="en-GB"/>
        </w:rPr>
        <w:t xml:space="preserve"> </w:t>
      </w:r>
      <w:r w:rsidR="00DF16BA">
        <w:rPr>
          <w:lang w:val="en-GB"/>
        </w:rPr>
        <w:t xml:space="preserve">of </w:t>
      </w:r>
      <w:r w:rsidR="00812654" w:rsidRPr="005C3AD2">
        <w:rPr>
          <w:lang w:val="en-GB"/>
        </w:rPr>
        <w:t xml:space="preserve">Ontarians living in MUDs </w:t>
      </w:r>
      <w:r w:rsidR="00701A88">
        <w:rPr>
          <w:lang w:val="en-GB"/>
        </w:rPr>
        <w:t>were</w:t>
      </w:r>
      <w:r w:rsidR="00812654" w:rsidRPr="005C3AD2">
        <w:rPr>
          <w:lang w:val="en-GB"/>
        </w:rPr>
        <w:t xml:space="preserve"> exposed to second</w:t>
      </w:r>
      <w:r w:rsidR="00701A88">
        <w:rPr>
          <w:lang w:val="en-GB"/>
        </w:rPr>
        <w:t>-</w:t>
      </w:r>
      <w:r w:rsidR="00812654" w:rsidRPr="005C3AD2">
        <w:rPr>
          <w:lang w:val="en-GB"/>
        </w:rPr>
        <w:t>hand smoke from neighbo</w:t>
      </w:r>
      <w:r w:rsidR="00701A88">
        <w:rPr>
          <w:lang w:val="en-GB"/>
        </w:rPr>
        <w:t>u</w:t>
      </w:r>
      <w:r w:rsidR="00812654" w:rsidRPr="005C3AD2">
        <w:rPr>
          <w:lang w:val="en-GB"/>
        </w:rPr>
        <w:t>ring unit</w:t>
      </w:r>
      <w:r w:rsidR="00701A88">
        <w:rPr>
          <w:lang w:val="en-GB"/>
        </w:rPr>
        <w:t>s</w:t>
      </w:r>
      <w:r w:rsidR="00812654" w:rsidRPr="005C3AD2">
        <w:rPr>
          <w:lang w:val="en-GB"/>
        </w:rPr>
        <w:t>. In contrast, 80 per</w:t>
      </w:r>
      <w:r w:rsidR="002C2D03">
        <w:rPr>
          <w:lang w:val="en-GB"/>
        </w:rPr>
        <w:t xml:space="preserve"> </w:t>
      </w:r>
      <w:r w:rsidR="00812654" w:rsidRPr="005C3AD2">
        <w:rPr>
          <w:lang w:val="en-GB"/>
        </w:rPr>
        <w:t>cent of MUD residents had indicated a preference to live in smoke-free housing</w:t>
      </w:r>
      <w:r w:rsidR="00701A88">
        <w:rPr>
          <w:lang w:val="en-GB"/>
        </w:rPr>
        <w:t>,</w:t>
      </w:r>
      <w:r w:rsidR="00812654" w:rsidRPr="005C3AD2">
        <w:rPr>
          <w:lang w:val="en-GB"/>
        </w:rPr>
        <w:t xml:space="preserve"> which was in very short supply. GPH </w:t>
      </w:r>
      <w:r w:rsidR="00DF16BA">
        <w:rPr>
          <w:lang w:val="en-GB"/>
        </w:rPr>
        <w:t>attributed</w:t>
      </w:r>
      <w:r w:rsidR="00812654" w:rsidRPr="005C3AD2">
        <w:rPr>
          <w:lang w:val="en-GB"/>
        </w:rPr>
        <w:t xml:space="preserve"> the short supply </w:t>
      </w:r>
      <w:r w:rsidR="00DF16BA">
        <w:rPr>
          <w:lang w:val="en-GB"/>
        </w:rPr>
        <w:t>of smoke-free housing</w:t>
      </w:r>
      <w:r w:rsidR="00812654" w:rsidRPr="005C3AD2">
        <w:rPr>
          <w:lang w:val="en-GB"/>
        </w:rPr>
        <w:t xml:space="preserve"> to landlords and property managers </w:t>
      </w:r>
      <w:r w:rsidR="00DF16BA">
        <w:rPr>
          <w:lang w:val="en-GB"/>
        </w:rPr>
        <w:t>who either believed that it was illegal to institute a</w:t>
      </w:r>
      <w:r w:rsidR="00812654" w:rsidRPr="005C3AD2">
        <w:rPr>
          <w:lang w:val="en-GB"/>
        </w:rPr>
        <w:t xml:space="preserve"> smoke-free polic</w:t>
      </w:r>
      <w:r w:rsidR="00DF16BA">
        <w:rPr>
          <w:lang w:val="en-GB"/>
        </w:rPr>
        <w:t>y</w:t>
      </w:r>
      <w:r w:rsidR="00812654" w:rsidRPr="005C3AD2">
        <w:rPr>
          <w:lang w:val="en-GB"/>
        </w:rPr>
        <w:t xml:space="preserve"> or were concerned about </w:t>
      </w:r>
      <w:r w:rsidR="00DF16BA">
        <w:rPr>
          <w:lang w:val="en-GB"/>
        </w:rPr>
        <w:t xml:space="preserve">the </w:t>
      </w:r>
      <w:r w:rsidR="00812654" w:rsidRPr="005C3AD2">
        <w:rPr>
          <w:lang w:val="en-GB"/>
        </w:rPr>
        <w:t xml:space="preserve">vacancies </w:t>
      </w:r>
      <w:r w:rsidR="00BE361A">
        <w:rPr>
          <w:lang w:val="en-GB"/>
        </w:rPr>
        <w:t xml:space="preserve">that </w:t>
      </w:r>
      <w:r w:rsidR="00812654" w:rsidRPr="005C3AD2">
        <w:rPr>
          <w:lang w:val="en-GB"/>
        </w:rPr>
        <w:t xml:space="preserve">a smoke-free policy </w:t>
      </w:r>
      <w:r w:rsidR="00DF16BA">
        <w:rPr>
          <w:lang w:val="en-GB"/>
        </w:rPr>
        <w:t>would create</w:t>
      </w:r>
      <w:r w:rsidR="00812654" w:rsidRPr="005C3AD2">
        <w:rPr>
          <w:lang w:val="en-GB"/>
        </w:rPr>
        <w:t xml:space="preserve">. GPH </w:t>
      </w:r>
      <w:r w:rsidR="00DF16BA">
        <w:rPr>
          <w:lang w:val="en-GB"/>
        </w:rPr>
        <w:t>felt that</w:t>
      </w:r>
      <w:r w:rsidR="00812654" w:rsidRPr="005C3AD2">
        <w:rPr>
          <w:lang w:val="en-GB"/>
        </w:rPr>
        <w:t xml:space="preserve"> tenants </w:t>
      </w:r>
      <w:r w:rsidR="002A3D20">
        <w:rPr>
          <w:lang w:val="en-GB"/>
        </w:rPr>
        <w:t>were unaware that they could</w:t>
      </w:r>
      <w:r w:rsidR="00DF16BA">
        <w:rPr>
          <w:lang w:val="en-GB"/>
        </w:rPr>
        <w:t xml:space="preserve"> express </w:t>
      </w:r>
      <w:r w:rsidR="002A3D20">
        <w:rPr>
          <w:lang w:val="en-GB"/>
        </w:rPr>
        <w:t>a</w:t>
      </w:r>
      <w:r w:rsidR="00812654" w:rsidRPr="005C3AD2">
        <w:rPr>
          <w:lang w:val="en-GB"/>
        </w:rPr>
        <w:t xml:space="preserve"> preference for smoke-free housing or</w:t>
      </w:r>
      <w:r w:rsidR="002A3D20">
        <w:rPr>
          <w:lang w:val="en-GB"/>
        </w:rPr>
        <w:t xml:space="preserve"> that they </w:t>
      </w:r>
      <w:r w:rsidR="00812654" w:rsidRPr="005C3AD2">
        <w:rPr>
          <w:lang w:val="en-GB"/>
        </w:rPr>
        <w:t>d</w:t>
      </w:r>
      <w:r w:rsidR="00DF16BA">
        <w:rPr>
          <w:lang w:val="en-GB"/>
        </w:rPr>
        <w:t>id</w:t>
      </w:r>
      <w:r w:rsidR="002A3D20">
        <w:rPr>
          <w:lang w:val="en-GB"/>
        </w:rPr>
        <w:t xml:space="preserve"> </w:t>
      </w:r>
      <w:r w:rsidR="00812654" w:rsidRPr="005C3AD2">
        <w:rPr>
          <w:lang w:val="en-GB"/>
        </w:rPr>
        <w:t>n</w:t>
      </w:r>
      <w:r w:rsidR="002A3D20">
        <w:rPr>
          <w:lang w:val="en-GB"/>
        </w:rPr>
        <w:t>o</w:t>
      </w:r>
      <w:r w:rsidR="00812654" w:rsidRPr="005C3AD2">
        <w:rPr>
          <w:lang w:val="en-GB"/>
        </w:rPr>
        <w:t xml:space="preserve">t want to wait </w:t>
      </w:r>
      <w:r w:rsidR="00DF16BA">
        <w:rPr>
          <w:lang w:val="en-GB"/>
        </w:rPr>
        <w:t>until smoke-free</w:t>
      </w:r>
      <w:r w:rsidR="00812654" w:rsidRPr="005C3AD2">
        <w:rPr>
          <w:lang w:val="en-GB"/>
        </w:rPr>
        <w:t xml:space="preserve"> housing </w:t>
      </w:r>
      <w:r w:rsidR="00DF16BA">
        <w:rPr>
          <w:lang w:val="en-GB"/>
        </w:rPr>
        <w:t>became</w:t>
      </w:r>
      <w:r w:rsidR="00812654" w:rsidRPr="005C3AD2">
        <w:rPr>
          <w:lang w:val="en-GB"/>
        </w:rPr>
        <w:t xml:space="preserve"> available.</w:t>
      </w:r>
    </w:p>
    <w:p w14:paraId="2709AB3C" w14:textId="77777777" w:rsidR="00812654" w:rsidRPr="005C3AD2" w:rsidRDefault="00812654" w:rsidP="00812654">
      <w:pPr>
        <w:pStyle w:val="BodyTextMain"/>
        <w:rPr>
          <w:lang w:val="en-GB"/>
        </w:rPr>
      </w:pPr>
    </w:p>
    <w:p w14:paraId="38FAEADF" w14:textId="77777777" w:rsidR="00812654" w:rsidRPr="005C3AD2" w:rsidRDefault="00812654" w:rsidP="00812654">
      <w:pPr>
        <w:pStyle w:val="BodyTextMain"/>
        <w:rPr>
          <w:spacing w:val="-2"/>
          <w:lang w:val="en-GB"/>
        </w:rPr>
      </w:pPr>
      <w:r w:rsidRPr="005C3AD2">
        <w:rPr>
          <w:spacing w:val="-2"/>
          <w:lang w:val="en-GB"/>
        </w:rPr>
        <w:t>To achieve the project</w:t>
      </w:r>
      <w:r w:rsidR="00DF16BA">
        <w:rPr>
          <w:spacing w:val="-2"/>
          <w:lang w:val="en-GB"/>
        </w:rPr>
        <w:t>’s</w:t>
      </w:r>
      <w:r w:rsidRPr="005C3AD2">
        <w:rPr>
          <w:spacing w:val="-2"/>
          <w:lang w:val="en-GB"/>
        </w:rPr>
        <w:t xml:space="preserve"> goal, GPH was seeking a consultant who would use a </w:t>
      </w:r>
      <w:r w:rsidR="00DF16BA">
        <w:rPr>
          <w:spacing w:val="-2"/>
          <w:lang w:val="en-GB"/>
        </w:rPr>
        <w:t>“</w:t>
      </w:r>
      <w:r w:rsidRPr="005C3AD2">
        <w:rPr>
          <w:spacing w:val="-2"/>
          <w:lang w:val="en-GB"/>
        </w:rPr>
        <w:t>cascading influence model</w:t>
      </w:r>
      <w:r w:rsidR="00DF16BA">
        <w:rPr>
          <w:spacing w:val="-2"/>
          <w:lang w:val="en-GB"/>
        </w:rPr>
        <w:t>”</w:t>
      </w:r>
      <w:r w:rsidRPr="005C3AD2">
        <w:rPr>
          <w:spacing w:val="-2"/>
          <w:lang w:val="en-GB"/>
        </w:rPr>
        <w:t xml:space="preserve"> to develop a social marketing strategy in collaboration with a working group</w:t>
      </w:r>
      <w:r w:rsidR="00BE361A">
        <w:rPr>
          <w:spacing w:val="-2"/>
          <w:lang w:val="en-GB"/>
        </w:rPr>
        <w:t xml:space="preserve"> that</w:t>
      </w:r>
      <w:r w:rsidRPr="005C3AD2">
        <w:rPr>
          <w:spacing w:val="-2"/>
          <w:lang w:val="en-GB"/>
        </w:rPr>
        <w:t xml:space="preserve"> includ</w:t>
      </w:r>
      <w:r w:rsidR="00BE361A">
        <w:rPr>
          <w:spacing w:val="-2"/>
          <w:lang w:val="en-GB"/>
        </w:rPr>
        <w:t>ed</w:t>
      </w:r>
      <w:r w:rsidRPr="005C3AD2">
        <w:rPr>
          <w:spacing w:val="-2"/>
          <w:lang w:val="en-GB"/>
        </w:rPr>
        <w:t xml:space="preserve"> GPH staff and a focus group of young adults called planners. The model</w:t>
      </w:r>
      <w:r w:rsidR="00DF16BA">
        <w:rPr>
          <w:spacing w:val="-2"/>
          <w:lang w:val="en-GB"/>
        </w:rPr>
        <w:t>’s</w:t>
      </w:r>
      <w:r w:rsidRPr="005C3AD2">
        <w:rPr>
          <w:spacing w:val="-2"/>
          <w:lang w:val="en-GB"/>
        </w:rPr>
        <w:t xml:space="preserve"> six to </w:t>
      </w:r>
      <w:r w:rsidR="00DF16BA">
        <w:rPr>
          <w:spacing w:val="-2"/>
          <w:lang w:val="en-GB"/>
        </w:rPr>
        <w:t>10</w:t>
      </w:r>
      <w:r w:rsidRPr="005C3AD2">
        <w:rPr>
          <w:spacing w:val="-2"/>
          <w:lang w:val="en-GB"/>
        </w:rPr>
        <w:t xml:space="preserve"> planners</w:t>
      </w:r>
      <w:r w:rsidR="00DF16BA">
        <w:rPr>
          <w:spacing w:val="-2"/>
          <w:lang w:val="en-GB"/>
        </w:rPr>
        <w:t xml:space="preserve"> </w:t>
      </w:r>
      <w:r w:rsidR="002A3D20">
        <w:rPr>
          <w:spacing w:val="-2"/>
          <w:lang w:val="en-GB"/>
        </w:rPr>
        <w:t>would apply</w:t>
      </w:r>
      <w:r w:rsidR="00DF16BA">
        <w:rPr>
          <w:spacing w:val="-2"/>
          <w:lang w:val="en-GB"/>
        </w:rPr>
        <w:t xml:space="preserve"> a</w:t>
      </w:r>
      <w:r w:rsidRPr="005C3AD2">
        <w:rPr>
          <w:spacing w:val="-2"/>
          <w:lang w:val="en-GB"/>
        </w:rPr>
        <w:t xml:space="preserve"> social marketing strategy to </w:t>
      </w:r>
      <w:r w:rsidR="00BE361A">
        <w:rPr>
          <w:spacing w:val="-2"/>
          <w:lang w:val="en-GB"/>
        </w:rPr>
        <w:t>have</w:t>
      </w:r>
      <w:r w:rsidRPr="005C3AD2">
        <w:rPr>
          <w:spacing w:val="-2"/>
          <w:lang w:val="en-GB"/>
        </w:rPr>
        <w:t xml:space="preserve"> 10</w:t>
      </w:r>
      <w:r w:rsidR="00DF16BA">
        <w:rPr>
          <w:spacing w:val="-2"/>
          <w:lang w:val="en-GB"/>
        </w:rPr>
        <w:t xml:space="preserve"> to </w:t>
      </w:r>
      <w:r w:rsidRPr="005C3AD2">
        <w:rPr>
          <w:spacing w:val="-2"/>
          <w:lang w:val="en-GB"/>
        </w:rPr>
        <w:t xml:space="preserve">200 young adult advocates </w:t>
      </w:r>
      <w:r w:rsidR="00DF16BA">
        <w:rPr>
          <w:spacing w:val="-2"/>
          <w:lang w:val="en-GB"/>
        </w:rPr>
        <w:t>engage and</w:t>
      </w:r>
      <w:r w:rsidRPr="005C3AD2">
        <w:rPr>
          <w:spacing w:val="-2"/>
          <w:lang w:val="en-GB"/>
        </w:rPr>
        <w:t xml:space="preserve"> raise awareness among Ontario</w:t>
      </w:r>
      <w:r w:rsidR="00BE361A">
        <w:rPr>
          <w:spacing w:val="-2"/>
          <w:lang w:val="en-GB"/>
        </w:rPr>
        <w:t>’s</w:t>
      </w:r>
      <w:r w:rsidRPr="005C3AD2">
        <w:rPr>
          <w:spacing w:val="-2"/>
          <w:lang w:val="en-GB"/>
        </w:rPr>
        <w:t xml:space="preserve"> young adult</w:t>
      </w:r>
      <w:r w:rsidR="00DF16BA">
        <w:rPr>
          <w:spacing w:val="-2"/>
          <w:lang w:val="en-GB"/>
        </w:rPr>
        <w:t>s</w:t>
      </w:r>
      <w:r w:rsidRPr="005C3AD2">
        <w:rPr>
          <w:spacing w:val="-2"/>
          <w:lang w:val="en-GB"/>
        </w:rPr>
        <w:t xml:space="preserve">. GPH suggested </w:t>
      </w:r>
      <w:r w:rsidR="00DF16BA">
        <w:rPr>
          <w:spacing w:val="-2"/>
          <w:lang w:val="en-GB"/>
        </w:rPr>
        <w:t xml:space="preserve">that </w:t>
      </w:r>
      <w:r w:rsidRPr="005C3AD2">
        <w:rPr>
          <w:spacing w:val="-2"/>
          <w:lang w:val="en-GB"/>
        </w:rPr>
        <w:t>additional channels could be used as part of the strategy</w:t>
      </w:r>
      <w:r w:rsidR="00DF16BA">
        <w:rPr>
          <w:spacing w:val="-2"/>
          <w:lang w:val="en-GB"/>
        </w:rPr>
        <w:t>,</w:t>
      </w:r>
      <w:r w:rsidRPr="005C3AD2">
        <w:rPr>
          <w:spacing w:val="-2"/>
          <w:lang w:val="en-GB"/>
        </w:rPr>
        <w:t xml:space="preserve"> includ</w:t>
      </w:r>
      <w:r w:rsidR="00DF16BA">
        <w:rPr>
          <w:spacing w:val="-2"/>
          <w:lang w:val="en-GB"/>
        </w:rPr>
        <w:t>ing</w:t>
      </w:r>
      <w:r w:rsidRPr="005C3AD2">
        <w:rPr>
          <w:spacing w:val="-2"/>
          <w:lang w:val="en-GB"/>
        </w:rPr>
        <w:t xml:space="preserve"> online housing search platforms such as Kijiji and large housing providers such as Homestead.</w:t>
      </w:r>
    </w:p>
    <w:p w14:paraId="0D115132" w14:textId="77777777" w:rsidR="00812654" w:rsidRPr="005C3AD2" w:rsidRDefault="00812654" w:rsidP="00812654">
      <w:pPr>
        <w:pStyle w:val="BodyTextMain"/>
        <w:rPr>
          <w:lang w:val="en-GB"/>
        </w:rPr>
      </w:pPr>
    </w:p>
    <w:p w14:paraId="6C649905" w14:textId="77777777" w:rsidR="00812654" w:rsidRPr="005C3AD2" w:rsidRDefault="00080720" w:rsidP="00812654">
      <w:pPr>
        <w:pStyle w:val="BodyTextMain"/>
        <w:rPr>
          <w:lang w:val="en-GB"/>
        </w:rPr>
      </w:pPr>
      <w:r>
        <w:rPr>
          <w:lang w:val="en-GB"/>
        </w:rPr>
        <w:t>T</w:t>
      </w:r>
      <w:r w:rsidR="00812654" w:rsidRPr="005C3AD2">
        <w:rPr>
          <w:lang w:val="en-GB"/>
        </w:rPr>
        <w:t>he project included</w:t>
      </w:r>
      <w:r>
        <w:rPr>
          <w:lang w:val="en-GB"/>
        </w:rPr>
        <w:t xml:space="preserve"> four major deliverables</w:t>
      </w:r>
      <w:r w:rsidR="00812654" w:rsidRPr="005C3AD2">
        <w:rPr>
          <w:lang w:val="en-GB"/>
        </w:rPr>
        <w:t xml:space="preserve">: </w:t>
      </w:r>
      <w:r>
        <w:rPr>
          <w:lang w:val="en-GB"/>
        </w:rPr>
        <w:t>1</w:t>
      </w:r>
      <w:r w:rsidR="00812654" w:rsidRPr="005C3AD2">
        <w:rPr>
          <w:lang w:val="en-GB"/>
        </w:rPr>
        <w:t>) a social marketing planning framework to lead the working group throughout the project</w:t>
      </w:r>
      <w:r>
        <w:rPr>
          <w:lang w:val="en-GB"/>
        </w:rPr>
        <w:t>;</w:t>
      </w:r>
      <w:r w:rsidR="00812654" w:rsidRPr="005C3AD2">
        <w:rPr>
          <w:lang w:val="en-GB"/>
        </w:rPr>
        <w:t xml:space="preserve"> </w:t>
      </w:r>
      <w:r>
        <w:rPr>
          <w:lang w:val="en-GB"/>
        </w:rPr>
        <w:t>2</w:t>
      </w:r>
      <w:r w:rsidR="00812654" w:rsidRPr="005C3AD2">
        <w:rPr>
          <w:lang w:val="en-GB"/>
        </w:rPr>
        <w:t>) facilitating the working group and project through in-person meetings, conference calls, shared online spaces, and emails</w:t>
      </w:r>
      <w:r>
        <w:rPr>
          <w:lang w:val="en-GB"/>
        </w:rPr>
        <w:t>;</w:t>
      </w:r>
      <w:r w:rsidR="00812654" w:rsidRPr="005C3AD2">
        <w:rPr>
          <w:lang w:val="en-GB"/>
        </w:rPr>
        <w:t xml:space="preserve"> </w:t>
      </w:r>
      <w:r w:rsidR="00BD0231">
        <w:rPr>
          <w:lang w:val="en-GB"/>
        </w:rPr>
        <w:t>3</w:t>
      </w:r>
      <w:r w:rsidR="00812654" w:rsidRPr="005C3AD2">
        <w:rPr>
          <w:lang w:val="en-GB"/>
        </w:rPr>
        <w:t>) a social marketing strategy that included messaging, channels, and potential partnerships</w:t>
      </w:r>
      <w:r>
        <w:rPr>
          <w:lang w:val="en-GB"/>
        </w:rPr>
        <w:t>; and</w:t>
      </w:r>
      <w:r w:rsidR="00812654" w:rsidRPr="005C3AD2">
        <w:rPr>
          <w:lang w:val="en-GB"/>
        </w:rPr>
        <w:t xml:space="preserve"> </w:t>
      </w:r>
      <w:r w:rsidR="00BD0231">
        <w:rPr>
          <w:lang w:val="en-GB"/>
        </w:rPr>
        <w:t>4</w:t>
      </w:r>
      <w:r w:rsidR="00812654" w:rsidRPr="005C3AD2">
        <w:rPr>
          <w:lang w:val="en-GB"/>
        </w:rPr>
        <w:t>) a written report documenting the process, findings, and recommendations for next steps.</w:t>
      </w:r>
    </w:p>
    <w:p w14:paraId="6A4F34F2" w14:textId="77777777" w:rsidR="00812654" w:rsidRPr="005C3AD2" w:rsidRDefault="00812654" w:rsidP="00812654">
      <w:pPr>
        <w:pStyle w:val="BodyTextMain"/>
        <w:rPr>
          <w:lang w:val="en-GB"/>
        </w:rPr>
      </w:pPr>
    </w:p>
    <w:p w14:paraId="7BAF29E9" w14:textId="440EF7D7" w:rsidR="00812654" w:rsidRPr="005C3AD2" w:rsidRDefault="00812654" w:rsidP="00812654">
      <w:pPr>
        <w:pStyle w:val="BodyTextMain"/>
        <w:rPr>
          <w:lang w:val="en-GB"/>
        </w:rPr>
      </w:pPr>
      <w:r w:rsidRPr="005C3AD2">
        <w:rPr>
          <w:lang w:val="en-GB"/>
        </w:rPr>
        <w:lastRenderedPageBreak/>
        <w:t>GPH</w:t>
      </w:r>
      <w:r w:rsidR="00BD0231">
        <w:rPr>
          <w:lang w:val="en-GB"/>
        </w:rPr>
        <w:t xml:space="preserve"> defined the</w:t>
      </w:r>
      <w:r w:rsidRPr="005C3AD2">
        <w:rPr>
          <w:lang w:val="en-GB"/>
        </w:rPr>
        <w:t xml:space="preserve"> ideal consultant</w:t>
      </w:r>
      <w:r w:rsidR="00BD0231">
        <w:rPr>
          <w:lang w:val="en-GB"/>
        </w:rPr>
        <w:t>’s</w:t>
      </w:r>
      <w:r w:rsidRPr="005C3AD2">
        <w:rPr>
          <w:lang w:val="en-GB"/>
        </w:rPr>
        <w:t xml:space="preserve"> background </w:t>
      </w:r>
      <w:r w:rsidR="00BD0231">
        <w:rPr>
          <w:lang w:val="en-GB"/>
        </w:rPr>
        <w:t>as follows</w:t>
      </w:r>
      <w:r w:rsidRPr="005C3AD2">
        <w:rPr>
          <w:lang w:val="en-GB"/>
        </w:rPr>
        <w:t xml:space="preserve">: </w:t>
      </w:r>
      <w:r w:rsidR="00BD0231">
        <w:rPr>
          <w:lang w:val="en-GB"/>
        </w:rPr>
        <w:t>1</w:t>
      </w:r>
      <w:r w:rsidRPr="005C3AD2">
        <w:rPr>
          <w:lang w:val="en-GB"/>
        </w:rPr>
        <w:t>) proven knowledge of social marketing principles and practices, ideally in public health</w:t>
      </w:r>
      <w:r w:rsidR="00BD0231">
        <w:rPr>
          <w:lang w:val="en-GB"/>
        </w:rPr>
        <w:t>;</w:t>
      </w:r>
      <w:r w:rsidRPr="005C3AD2">
        <w:rPr>
          <w:lang w:val="en-GB"/>
        </w:rPr>
        <w:t xml:space="preserve"> </w:t>
      </w:r>
      <w:r w:rsidR="00BD0231">
        <w:rPr>
          <w:lang w:val="en-GB"/>
        </w:rPr>
        <w:t>2</w:t>
      </w:r>
      <w:r w:rsidRPr="005C3AD2">
        <w:rPr>
          <w:lang w:val="en-GB"/>
        </w:rPr>
        <w:t>) extensive experience in multi-stakeholder group facilitation</w:t>
      </w:r>
      <w:r w:rsidR="00BD0231">
        <w:rPr>
          <w:lang w:val="en-GB"/>
        </w:rPr>
        <w:t>;</w:t>
      </w:r>
      <w:r w:rsidRPr="005C3AD2">
        <w:rPr>
          <w:lang w:val="en-GB"/>
        </w:rPr>
        <w:t xml:space="preserve"> </w:t>
      </w:r>
      <w:r w:rsidR="00BD0231">
        <w:rPr>
          <w:lang w:val="en-GB"/>
        </w:rPr>
        <w:t>3</w:t>
      </w:r>
      <w:r w:rsidRPr="005C3AD2">
        <w:rPr>
          <w:lang w:val="en-GB"/>
        </w:rPr>
        <w:t>) proven knowledge of young adults as a target market</w:t>
      </w:r>
      <w:r w:rsidR="00BD0231">
        <w:rPr>
          <w:lang w:val="en-GB"/>
        </w:rPr>
        <w:t>; and</w:t>
      </w:r>
      <w:r w:rsidRPr="005C3AD2">
        <w:rPr>
          <w:lang w:val="en-GB"/>
        </w:rPr>
        <w:t xml:space="preserve"> </w:t>
      </w:r>
      <w:r w:rsidR="00BD0231">
        <w:rPr>
          <w:lang w:val="en-GB"/>
        </w:rPr>
        <w:t>4</w:t>
      </w:r>
      <w:r w:rsidRPr="005C3AD2">
        <w:rPr>
          <w:lang w:val="en-GB"/>
        </w:rPr>
        <w:t>) ability to complete projects on time, on budget, and within specifications. To complete the RFP, the prospective consultant needed to include</w:t>
      </w:r>
      <w:r w:rsidR="00BD0231">
        <w:rPr>
          <w:lang w:val="en-GB"/>
        </w:rPr>
        <w:t xml:space="preserve"> four key items</w:t>
      </w:r>
      <w:r w:rsidRPr="005C3AD2">
        <w:rPr>
          <w:lang w:val="en-GB"/>
        </w:rPr>
        <w:t xml:space="preserve">: </w:t>
      </w:r>
      <w:r w:rsidR="00BD0231">
        <w:rPr>
          <w:lang w:val="en-GB"/>
        </w:rPr>
        <w:t>1</w:t>
      </w:r>
      <w:r w:rsidRPr="005C3AD2">
        <w:rPr>
          <w:lang w:val="en-GB"/>
        </w:rPr>
        <w:t xml:space="preserve">) a resume </w:t>
      </w:r>
      <w:r w:rsidR="00791478">
        <w:rPr>
          <w:lang w:val="en-GB"/>
        </w:rPr>
        <w:t xml:space="preserve">that </w:t>
      </w:r>
      <w:r w:rsidRPr="005C3AD2">
        <w:rPr>
          <w:lang w:val="en-GB"/>
        </w:rPr>
        <w:t>demonstrat</w:t>
      </w:r>
      <w:r w:rsidR="00791478">
        <w:rPr>
          <w:lang w:val="en-GB"/>
        </w:rPr>
        <w:t>ed</w:t>
      </w:r>
      <w:r w:rsidRPr="005C3AD2">
        <w:rPr>
          <w:lang w:val="en-GB"/>
        </w:rPr>
        <w:t xml:space="preserve"> meeting or exceeding the background requirements noted above</w:t>
      </w:r>
      <w:r w:rsidR="00BD0231">
        <w:rPr>
          <w:lang w:val="en-GB"/>
        </w:rPr>
        <w:t>;</w:t>
      </w:r>
      <w:r w:rsidRPr="005C3AD2">
        <w:rPr>
          <w:lang w:val="en-GB"/>
        </w:rPr>
        <w:t xml:space="preserve"> </w:t>
      </w:r>
      <w:r w:rsidR="00BD0231">
        <w:rPr>
          <w:lang w:val="en-GB"/>
        </w:rPr>
        <w:t>2</w:t>
      </w:r>
      <w:r w:rsidRPr="005C3AD2">
        <w:rPr>
          <w:lang w:val="en-GB"/>
        </w:rPr>
        <w:t>) a detailed plan and description of how the deliverables w</w:t>
      </w:r>
      <w:r w:rsidR="00BD0231">
        <w:rPr>
          <w:lang w:val="en-GB"/>
        </w:rPr>
        <w:t>ould</w:t>
      </w:r>
      <w:r w:rsidRPr="005C3AD2">
        <w:rPr>
          <w:lang w:val="en-GB"/>
        </w:rPr>
        <w:t xml:space="preserve"> be achieved</w:t>
      </w:r>
      <w:r w:rsidR="00BD0231">
        <w:rPr>
          <w:lang w:val="en-GB"/>
        </w:rPr>
        <w:t>;</w:t>
      </w:r>
      <w:r w:rsidRPr="005C3AD2">
        <w:rPr>
          <w:lang w:val="en-GB"/>
        </w:rPr>
        <w:t xml:space="preserve"> </w:t>
      </w:r>
      <w:r w:rsidR="00BD0231">
        <w:rPr>
          <w:lang w:val="en-GB"/>
        </w:rPr>
        <w:t>3</w:t>
      </w:r>
      <w:r w:rsidRPr="005C3AD2">
        <w:rPr>
          <w:lang w:val="en-GB"/>
        </w:rPr>
        <w:t xml:space="preserve">) </w:t>
      </w:r>
      <w:r w:rsidR="00BE361A">
        <w:rPr>
          <w:lang w:val="en-GB"/>
        </w:rPr>
        <w:t xml:space="preserve">the </w:t>
      </w:r>
      <w:r w:rsidRPr="005C3AD2">
        <w:rPr>
          <w:lang w:val="en-GB"/>
        </w:rPr>
        <w:t>total cost and breakdown for the contract</w:t>
      </w:r>
      <w:r w:rsidR="00BD0231">
        <w:rPr>
          <w:lang w:val="en-GB"/>
        </w:rPr>
        <w:t>;</w:t>
      </w:r>
      <w:r w:rsidRPr="005C3AD2">
        <w:rPr>
          <w:lang w:val="en-GB"/>
        </w:rPr>
        <w:t xml:space="preserve"> </w:t>
      </w:r>
      <w:r w:rsidR="00BD0231">
        <w:rPr>
          <w:lang w:val="en-GB"/>
        </w:rPr>
        <w:t>and 4</w:t>
      </w:r>
      <w:r w:rsidRPr="005C3AD2">
        <w:rPr>
          <w:lang w:val="en-GB"/>
        </w:rPr>
        <w:t>) two references, preferably from the public health field.</w:t>
      </w:r>
    </w:p>
    <w:p w14:paraId="4464A5CB" w14:textId="77777777" w:rsidR="00843FF2" w:rsidRDefault="00843FF2" w:rsidP="001D674C">
      <w:pPr>
        <w:pStyle w:val="BodyTextMain"/>
        <w:rPr>
          <w:lang w:val="en-GB"/>
        </w:rPr>
      </w:pPr>
    </w:p>
    <w:p w14:paraId="09E7D578" w14:textId="77777777" w:rsidR="00812654" w:rsidRPr="005C3AD2" w:rsidRDefault="00BD0231" w:rsidP="001D674C">
      <w:pPr>
        <w:pStyle w:val="BodyTextMain"/>
        <w:rPr>
          <w:lang w:val="en-GB"/>
        </w:rPr>
      </w:pPr>
      <w:r>
        <w:rPr>
          <w:lang w:val="en-GB"/>
        </w:rPr>
        <w:t>After reviewing the RFP, d</w:t>
      </w:r>
      <w:r w:rsidR="00812654" w:rsidRPr="005C3AD2">
        <w:rPr>
          <w:lang w:val="en-GB"/>
        </w:rPr>
        <w:t xml:space="preserve">e Silva </w:t>
      </w:r>
      <w:r>
        <w:rPr>
          <w:lang w:val="en-GB"/>
        </w:rPr>
        <w:t>submitted</w:t>
      </w:r>
      <w:r w:rsidR="00812654" w:rsidRPr="005C3AD2">
        <w:rPr>
          <w:lang w:val="en-GB"/>
        </w:rPr>
        <w:t xml:space="preserve"> questions to St. Bernard on</w:t>
      </w:r>
      <w:r>
        <w:rPr>
          <w:lang w:val="en-GB"/>
        </w:rPr>
        <w:t xml:space="preserve"> three different dates. On</w:t>
      </w:r>
      <w:r w:rsidR="00812654" w:rsidRPr="005C3AD2">
        <w:rPr>
          <w:lang w:val="en-GB"/>
        </w:rPr>
        <w:t xml:space="preserve"> March 24</w:t>
      </w:r>
      <w:r>
        <w:rPr>
          <w:lang w:val="en-GB"/>
        </w:rPr>
        <w:t>, h</w:t>
      </w:r>
      <w:r w:rsidR="00812654" w:rsidRPr="005C3AD2">
        <w:rPr>
          <w:lang w:val="en-GB"/>
        </w:rPr>
        <w:t xml:space="preserve">e asked how it was determined </w:t>
      </w:r>
      <w:r>
        <w:rPr>
          <w:lang w:val="en-GB"/>
        </w:rPr>
        <w:t xml:space="preserve">that </w:t>
      </w:r>
      <w:r w:rsidR="00812654" w:rsidRPr="005C3AD2">
        <w:rPr>
          <w:lang w:val="en-GB"/>
        </w:rPr>
        <w:t xml:space="preserve">the </w:t>
      </w:r>
      <w:r>
        <w:rPr>
          <w:lang w:val="en-GB"/>
        </w:rPr>
        <w:t>“</w:t>
      </w:r>
      <w:r w:rsidR="00812654" w:rsidRPr="005C3AD2">
        <w:rPr>
          <w:lang w:val="en-GB"/>
        </w:rPr>
        <w:t>cascading influence model</w:t>
      </w:r>
      <w:r>
        <w:rPr>
          <w:lang w:val="en-GB"/>
        </w:rPr>
        <w:t>”</w:t>
      </w:r>
      <w:r w:rsidR="00812654" w:rsidRPr="005C3AD2">
        <w:rPr>
          <w:lang w:val="en-GB"/>
        </w:rPr>
        <w:t xml:space="preserve"> was the right approach and whether GPH was open to other approaches. She replied that the model </w:t>
      </w:r>
      <w:r>
        <w:rPr>
          <w:lang w:val="en-GB"/>
        </w:rPr>
        <w:t>had been</w:t>
      </w:r>
      <w:r w:rsidR="00812654" w:rsidRPr="005C3AD2">
        <w:rPr>
          <w:lang w:val="en-GB"/>
        </w:rPr>
        <w:t xml:space="preserve"> used by GPH and other public health organizations for years. </w:t>
      </w:r>
      <w:r>
        <w:rPr>
          <w:lang w:val="en-GB"/>
        </w:rPr>
        <w:t>Although GPH was</w:t>
      </w:r>
      <w:r w:rsidR="00812654" w:rsidRPr="005C3AD2">
        <w:rPr>
          <w:lang w:val="en-GB"/>
        </w:rPr>
        <w:t xml:space="preserve"> open to new ideas</w:t>
      </w:r>
      <w:r>
        <w:rPr>
          <w:lang w:val="en-GB"/>
        </w:rPr>
        <w:t>, it</w:t>
      </w:r>
      <w:r w:rsidR="00812654" w:rsidRPr="005C3AD2">
        <w:rPr>
          <w:lang w:val="en-GB"/>
        </w:rPr>
        <w:t xml:space="preserve"> felt </w:t>
      </w:r>
      <w:r>
        <w:rPr>
          <w:lang w:val="en-GB"/>
        </w:rPr>
        <w:t xml:space="preserve">that </w:t>
      </w:r>
      <w:r w:rsidR="00812654" w:rsidRPr="005C3AD2">
        <w:rPr>
          <w:lang w:val="en-GB"/>
        </w:rPr>
        <w:t xml:space="preserve">the model was best </w:t>
      </w:r>
      <w:r w:rsidR="00812654" w:rsidRPr="001D674C">
        <w:rPr>
          <w:lang w:val="en-GB"/>
        </w:rPr>
        <w:t>for this situation.</w:t>
      </w:r>
      <w:r w:rsidRPr="001D674C">
        <w:rPr>
          <w:lang w:val="en-GB"/>
        </w:rPr>
        <w:t xml:space="preserve"> </w:t>
      </w:r>
      <w:r w:rsidR="00812654" w:rsidRPr="001D674C">
        <w:rPr>
          <w:lang w:val="en-GB"/>
        </w:rPr>
        <w:t xml:space="preserve">On April 6, de Silva </w:t>
      </w:r>
      <w:r w:rsidRPr="001D674C">
        <w:rPr>
          <w:lang w:val="en-GB"/>
        </w:rPr>
        <w:t>asked</w:t>
      </w:r>
      <w:r w:rsidR="00812654" w:rsidRPr="005C3AD2">
        <w:rPr>
          <w:lang w:val="en-GB"/>
        </w:rPr>
        <w:t xml:space="preserve"> whether GPH would recruit the planners, whether space would be provided for the in-person meetings, and whether those meetings would only </w:t>
      </w:r>
      <w:r>
        <w:rPr>
          <w:lang w:val="en-GB"/>
        </w:rPr>
        <w:t>take place</w:t>
      </w:r>
      <w:r w:rsidR="00812654" w:rsidRPr="005C3AD2">
        <w:rPr>
          <w:lang w:val="en-GB"/>
        </w:rPr>
        <w:t xml:space="preserve"> in Gananoque. St. Bernard replied the next day to confirm that GPH w</w:t>
      </w:r>
      <w:r>
        <w:rPr>
          <w:lang w:val="en-GB"/>
        </w:rPr>
        <w:t>ould</w:t>
      </w:r>
      <w:r w:rsidR="00812654" w:rsidRPr="005C3AD2">
        <w:rPr>
          <w:lang w:val="en-GB"/>
        </w:rPr>
        <w:t xml:space="preserve"> recruit the planners</w:t>
      </w:r>
      <w:r>
        <w:rPr>
          <w:lang w:val="en-GB"/>
        </w:rPr>
        <w:t xml:space="preserve"> and that</w:t>
      </w:r>
      <w:r w:rsidR="00812654" w:rsidRPr="005C3AD2">
        <w:rPr>
          <w:lang w:val="en-GB"/>
        </w:rPr>
        <w:t xml:space="preserve"> 10 people </w:t>
      </w:r>
      <w:r>
        <w:rPr>
          <w:lang w:val="en-GB"/>
        </w:rPr>
        <w:t xml:space="preserve">were </w:t>
      </w:r>
      <w:r w:rsidR="00812654" w:rsidRPr="005C3AD2">
        <w:rPr>
          <w:lang w:val="en-GB"/>
        </w:rPr>
        <w:t>already interested. Meeting space would be provided in Gananoque</w:t>
      </w:r>
      <w:r>
        <w:rPr>
          <w:lang w:val="en-GB"/>
        </w:rPr>
        <w:t>,</w:t>
      </w:r>
      <w:r w:rsidR="00812654" w:rsidRPr="005C3AD2">
        <w:rPr>
          <w:lang w:val="en-GB"/>
        </w:rPr>
        <w:t xml:space="preserve"> but </w:t>
      </w:r>
      <w:r>
        <w:rPr>
          <w:lang w:val="en-GB"/>
        </w:rPr>
        <w:t xml:space="preserve">the meetings </w:t>
      </w:r>
      <w:r w:rsidR="00812654" w:rsidRPr="005C3AD2">
        <w:rPr>
          <w:lang w:val="en-GB"/>
        </w:rPr>
        <w:t xml:space="preserve">could </w:t>
      </w:r>
      <w:r>
        <w:rPr>
          <w:lang w:val="en-GB"/>
        </w:rPr>
        <w:t xml:space="preserve">also </w:t>
      </w:r>
      <w:r w:rsidR="00812654" w:rsidRPr="005C3AD2">
        <w:rPr>
          <w:lang w:val="en-GB"/>
        </w:rPr>
        <w:t>be located in Belleville</w:t>
      </w:r>
      <w:r>
        <w:rPr>
          <w:lang w:val="en-GB"/>
        </w:rPr>
        <w:t>,</w:t>
      </w:r>
      <w:r w:rsidR="00812654" w:rsidRPr="005C3AD2">
        <w:rPr>
          <w:lang w:val="en-GB"/>
        </w:rPr>
        <w:t xml:space="preserve"> if ne</w:t>
      </w:r>
      <w:r>
        <w:rPr>
          <w:lang w:val="en-GB"/>
        </w:rPr>
        <w:t>c</w:t>
      </w:r>
      <w:r w:rsidR="00812654" w:rsidRPr="005C3AD2">
        <w:rPr>
          <w:lang w:val="en-GB"/>
        </w:rPr>
        <w:t>e</w:t>
      </w:r>
      <w:r>
        <w:rPr>
          <w:lang w:val="en-GB"/>
        </w:rPr>
        <w:t>ssary</w:t>
      </w:r>
      <w:r w:rsidR="00812654" w:rsidRPr="005C3AD2">
        <w:rPr>
          <w:lang w:val="en-GB"/>
        </w:rPr>
        <w:t xml:space="preserve">. On April 9, </w:t>
      </w:r>
      <w:r>
        <w:rPr>
          <w:lang w:val="en-GB"/>
        </w:rPr>
        <w:t>d</w:t>
      </w:r>
      <w:r w:rsidR="00812654" w:rsidRPr="005C3AD2">
        <w:rPr>
          <w:lang w:val="en-GB"/>
        </w:rPr>
        <w:t xml:space="preserve">e </w:t>
      </w:r>
      <w:r>
        <w:rPr>
          <w:lang w:val="en-GB"/>
        </w:rPr>
        <w:t xml:space="preserve">Silva </w:t>
      </w:r>
      <w:r w:rsidR="00812654" w:rsidRPr="005C3AD2">
        <w:rPr>
          <w:lang w:val="en-GB"/>
        </w:rPr>
        <w:t xml:space="preserve">asked how </w:t>
      </w:r>
      <w:r w:rsidR="0027089C">
        <w:rPr>
          <w:lang w:val="en-GB"/>
        </w:rPr>
        <w:t>the</w:t>
      </w:r>
      <w:r w:rsidR="00812654" w:rsidRPr="005C3AD2">
        <w:rPr>
          <w:lang w:val="en-GB"/>
        </w:rPr>
        <w:t xml:space="preserve"> RFP requirement </w:t>
      </w:r>
      <w:r w:rsidR="0027089C">
        <w:rPr>
          <w:lang w:val="en-GB"/>
        </w:rPr>
        <w:t>for “</w:t>
      </w:r>
      <w:r w:rsidR="00812654" w:rsidRPr="005C3AD2">
        <w:rPr>
          <w:lang w:val="en-GB"/>
        </w:rPr>
        <w:t>a detailed plan and description of how the deliverables will be achieved</w:t>
      </w:r>
      <w:r w:rsidR="00C9313A">
        <w:rPr>
          <w:lang w:val="en-GB"/>
        </w:rPr>
        <w:t>”</w:t>
      </w:r>
      <w:r w:rsidR="00812654" w:rsidRPr="005C3AD2">
        <w:rPr>
          <w:lang w:val="en-GB"/>
        </w:rPr>
        <w:t xml:space="preserve"> differed from </w:t>
      </w:r>
      <w:r w:rsidR="0027089C">
        <w:rPr>
          <w:lang w:val="en-GB"/>
        </w:rPr>
        <w:t>the required</w:t>
      </w:r>
      <w:r w:rsidR="00812654" w:rsidRPr="005C3AD2">
        <w:rPr>
          <w:lang w:val="en-GB"/>
        </w:rPr>
        <w:t xml:space="preserve"> deliverable</w:t>
      </w:r>
      <w:r w:rsidR="0027089C">
        <w:rPr>
          <w:lang w:val="en-GB"/>
        </w:rPr>
        <w:t xml:space="preserve"> of “</w:t>
      </w:r>
      <w:r w:rsidR="00812654" w:rsidRPr="005C3AD2">
        <w:rPr>
          <w:lang w:val="en-GB"/>
        </w:rPr>
        <w:t>a social marketing planning framework to lead the working group throughout the project.</w:t>
      </w:r>
      <w:r w:rsidR="0027089C">
        <w:rPr>
          <w:lang w:val="en-GB"/>
        </w:rPr>
        <w:t>”</w:t>
      </w:r>
      <w:r w:rsidR="00812654" w:rsidRPr="005C3AD2">
        <w:rPr>
          <w:lang w:val="en-GB"/>
        </w:rPr>
        <w:t xml:space="preserve"> On April 10, </w:t>
      </w:r>
      <w:r w:rsidR="0027089C">
        <w:rPr>
          <w:lang w:val="en-GB"/>
        </w:rPr>
        <w:t>St. Bernard</w:t>
      </w:r>
      <w:r w:rsidR="00812654" w:rsidRPr="005C3AD2">
        <w:rPr>
          <w:lang w:val="en-GB"/>
        </w:rPr>
        <w:t xml:space="preserve"> replied </w:t>
      </w:r>
      <w:r w:rsidR="0027089C">
        <w:rPr>
          <w:lang w:val="en-GB"/>
        </w:rPr>
        <w:t>as follows:</w:t>
      </w:r>
      <w:r w:rsidR="001D674C">
        <w:rPr>
          <w:lang w:val="en-GB"/>
        </w:rPr>
        <w:t xml:space="preserve"> “</w:t>
      </w:r>
      <w:r w:rsidR="0027089C" w:rsidRPr="00725AF1">
        <w:rPr>
          <w:lang w:val="en-GB"/>
        </w:rPr>
        <w:t>T</w:t>
      </w:r>
      <w:r w:rsidR="00812654" w:rsidRPr="005C3AD2">
        <w:rPr>
          <w:lang w:val="en-GB"/>
        </w:rPr>
        <w:t xml:space="preserve">he plan to achieve the deliverables </w:t>
      </w:r>
      <w:r w:rsidR="0027089C">
        <w:rPr>
          <w:lang w:val="en-GB"/>
        </w:rPr>
        <w:t>i</w:t>
      </w:r>
      <w:r w:rsidR="00812654" w:rsidRPr="005C3AD2">
        <w:rPr>
          <w:lang w:val="en-GB"/>
        </w:rPr>
        <w:t>s the plan on how to achieve the social marketing plan. We are looking for an explanation of how you plan to achieve all the pieces of the project. One of the pieces is the social marketing planning framework.</w:t>
      </w:r>
      <w:r w:rsidR="001D674C">
        <w:rPr>
          <w:lang w:val="en-GB"/>
        </w:rPr>
        <w:t>”</w:t>
      </w:r>
    </w:p>
    <w:p w14:paraId="1DF51FF5" w14:textId="77777777" w:rsidR="00812654" w:rsidRPr="005C3AD2" w:rsidRDefault="00812654" w:rsidP="00812654">
      <w:pPr>
        <w:pStyle w:val="BodyTextMain"/>
        <w:rPr>
          <w:lang w:val="en-GB"/>
        </w:rPr>
      </w:pPr>
    </w:p>
    <w:p w14:paraId="5FD7B8CB" w14:textId="0D46C169" w:rsidR="00812654" w:rsidRPr="005C3AD2" w:rsidRDefault="00812654" w:rsidP="00812654">
      <w:pPr>
        <w:pStyle w:val="BodyTextMain"/>
        <w:rPr>
          <w:lang w:val="en-GB"/>
        </w:rPr>
      </w:pPr>
      <w:r w:rsidRPr="00725AF1">
        <w:rPr>
          <w:lang w:val="en-GB"/>
        </w:rPr>
        <w:t xml:space="preserve">On </w:t>
      </w:r>
      <w:r w:rsidR="0027089C" w:rsidRPr="00725AF1">
        <w:rPr>
          <w:lang w:val="en-GB"/>
        </w:rPr>
        <w:t xml:space="preserve">April 13, </w:t>
      </w:r>
      <w:r w:rsidRPr="00725AF1">
        <w:rPr>
          <w:lang w:val="en-GB"/>
        </w:rPr>
        <w:t>the RFP</w:t>
      </w:r>
      <w:r w:rsidR="0027089C" w:rsidRPr="00725AF1">
        <w:rPr>
          <w:lang w:val="en-GB"/>
        </w:rPr>
        <w:t>’s</w:t>
      </w:r>
      <w:r w:rsidRPr="00725AF1">
        <w:rPr>
          <w:lang w:val="en-GB"/>
        </w:rPr>
        <w:t xml:space="preserve"> deadline, de Silva submitted SFC</w:t>
      </w:r>
      <w:r w:rsidR="0027089C" w:rsidRPr="00725AF1">
        <w:rPr>
          <w:lang w:val="en-GB"/>
        </w:rPr>
        <w:t>’</w:t>
      </w:r>
      <w:r w:rsidRPr="00725AF1">
        <w:rPr>
          <w:lang w:val="en-GB"/>
        </w:rPr>
        <w:t>s proposal highlight</w:t>
      </w:r>
      <w:r w:rsidR="007113CB" w:rsidRPr="00725AF1">
        <w:rPr>
          <w:lang w:val="en-GB"/>
        </w:rPr>
        <w:t>ing</w:t>
      </w:r>
      <w:r w:rsidRPr="00725AF1">
        <w:rPr>
          <w:lang w:val="en-GB"/>
        </w:rPr>
        <w:t xml:space="preserve"> key SFC accomplishments that directly addressed </w:t>
      </w:r>
      <w:r w:rsidR="0027089C" w:rsidRPr="00725AF1">
        <w:rPr>
          <w:lang w:val="en-GB"/>
        </w:rPr>
        <w:t>G</w:t>
      </w:r>
      <w:r w:rsidRPr="00725AF1">
        <w:rPr>
          <w:lang w:val="en-GB"/>
        </w:rPr>
        <w:t>PH</w:t>
      </w:r>
      <w:r w:rsidR="00C9313A" w:rsidRPr="00725AF1">
        <w:rPr>
          <w:lang w:val="en-GB"/>
        </w:rPr>
        <w:t>’</w:t>
      </w:r>
      <w:r w:rsidRPr="00725AF1">
        <w:rPr>
          <w:lang w:val="en-GB"/>
        </w:rPr>
        <w:t>s needs (see Exhibit</w:t>
      </w:r>
      <w:r w:rsidRPr="005C3AD2">
        <w:rPr>
          <w:lang w:val="en-GB"/>
        </w:rPr>
        <w:t xml:space="preserve"> 5). He </w:t>
      </w:r>
      <w:r w:rsidR="0027089C">
        <w:rPr>
          <w:lang w:val="en-GB"/>
        </w:rPr>
        <w:t>offered</w:t>
      </w:r>
      <w:r w:rsidRPr="005C3AD2">
        <w:rPr>
          <w:lang w:val="en-GB"/>
        </w:rPr>
        <w:t xml:space="preserve"> to discuss the proposal and address any questions. The project cost breakdown was $19,000 for consulting fees, $1,000 for travel costs (including gas and hotel</w:t>
      </w:r>
      <w:r w:rsidR="0027089C">
        <w:rPr>
          <w:lang w:val="en-GB"/>
        </w:rPr>
        <w:t xml:space="preserve"> expenses</w:t>
      </w:r>
      <w:r w:rsidRPr="005C3AD2">
        <w:rPr>
          <w:lang w:val="en-GB"/>
        </w:rPr>
        <w:t xml:space="preserve">), and $2,600 for sales tax. </w:t>
      </w:r>
      <w:r w:rsidR="0027089C">
        <w:rPr>
          <w:lang w:val="en-GB"/>
        </w:rPr>
        <w:t>Of the total fee, 10</w:t>
      </w:r>
      <w:r w:rsidRPr="005C3AD2">
        <w:rPr>
          <w:lang w:val="en-GB"/>
        </w:rPr>
        <w:t xml:space="preserve"> per</w:t>
      </w:r>
      <w:r w:rsidR="0027089C">
        <w:rPr>
          <w:lang w:val="en-GB"/>
        </w:rPr>
        <w:t xml:space="preserve"> </w:t>
      </w:r>
      <w:r w:rsidRPr="005C3AD2">
        <w:rPr>
          <w:lang w:val="en-GB"/>
        </w:rPr>
        <w:t xml:space="preserve">cent was due on acceptance of the proposal </w:t>
      </w:r>
      <w:r w:rsidR="0027089C">
        <w:rPr>
          <w:lang w:val="en-GB"/>
        </w:rPr>
        <w:t>and</w:t>
      </w:r>
      <w:r w:rsidRPr="005C3AD2">
        <w:rPr>
          <w:lang w:val="en-GB"/>
        </w:rPr>
        <w:t xml:space="preserve"> another </w:t>
      </w:r>
      <w:r w:rsidR="0027089C">
        <w:rPr>
          <w:lang w:val="en-GB"/>
        </w:rPr>
        <w:t>10</w:t>
      </w:r>
      <w:r w:rsidRPr="005C3AD2">
        <w:rPr>
          <w:lang w:val="en-GB"/>
        </w:rPr>
        <w:t xml:space="preserve"> per</w:t>
      </w:r>
      <w:r w:rsidR="0027089C">
        <w:rPr>
          <w:lang w:val="en-GB"/>
        </w:rPr>
        <w:t xml:space="preserve"> </w:t>
      </w:r>
      <w:r w:rsidRPr="005C3AD2">
        <w:rPr>
          <w:lang w:val="en-GB"/>
        </w:rPr>
        <w:t xml:space="preserve">cent </w:t>
      </w:r>
      <w:r w:rsidR="0027089C">
        <w:rPr>
          <w:lang w:val="en-GB"/>
        </w:rPr>
        <w:t xml:space="preserve">was </w:t>
      </w:r>
      <w:r w:rsidRPr="005C3AD2">
        <w:rPr>
          <w:lang w:val="en-GB"/>
        </w:rPr>
        <w:t xml:space="preserve">due upon completion of the social marketing planning framework. </w:t>
      </w:r>
      <w:r w:rsidR="0027089C">
        <w:rPr>
          <w:lang w:val="en-GB"/>
        </w:rPr>
        <w:t>The remaining 80</w:t>
      </w:r>
      <w:r w:rsidRPr="005C3AD2">
        <w:rPr>
          <w:lang w:val="en-GB"/>
        </w:rPr>
        <w:t xml:space="preserve"> per</w:t>
      </w:r>
      <w:r w:rsidR="0027089C">
        <w:rPr>
          <w:lang w:val="en-GB"/>
        </w:rPr>
        <w:t xml:space="preserve"> </w:t>
      </w:r>
      <w:r w:rsidRPr="005C3AD2">
        <w:rPr>
          <w:lang w:val="en-GB"/>
        </w:rPr>
        <w:t>cent was due upon submission of the final deliverables</w:t>
      </w:r>
      <w:r w:rsidR="0027089C">
        <w:rPr>
          <w:lang w:val="en-GB"/>
        </w:rPr>
        <w:t>,</w:t>
      </w:r>
      <w:r w:rsidRPr="005C3AD2">
        <w:rPr>
          <w:lang w:val="en-GB"/>
        </w:rPr>
        <w:t xml:space="preserve"> which </w:t>
      </w:r>
      <w:r w:rsidRPr="008948E1">
        <w:rPr>
          <w:lang w:val="en-GB"/>
        </w:rPr>
        <w:t>was targeted for</w:t>
      </w:r>
      <w:r w:rsidRPr="005C3AD2">
        <w:rPr>
          <w:lang w:val="en-GB"/>
        </w:rPr>
        <w:t xml:space="preserve"> mid-September. </w:t>
      </w:r>
      <w:r w:rsidR="0027089C">
        <w:rPr>
          <w:lang w:val="en-GB"/>
        </w:rPr>
        <w:t>The project leaders would be</w:t>
      </w:r>
      <w:r w:rsidR="0027089C" w:rsidRPr="005C3AD2">
        <w:rPr>
          <w:lang w:val="en-GB"/>
        </w:rPr>
        <w:t xml:space="preserve"> </w:t>
      </w:r>
      <w:r w:rsidRPr="005C3AD2">
        <w:rPr>
          <w:lang w:val="en-GB"/>
        </w:rPr>
        <w:t>de Silva</w:t>
      </w:r>
      <w:r w:rsidR="0027089C">
        <w:rPr>
          <w:lang w:val="en-GB"/>
        </w:rPr>
        <w:t xml:space="preserve"> and</w:t>
      </w:r>
      <w:r w:rsidRPr="005C3AD2">
        <w:rPr>
          <w:lang w:val="en-GB"/>
        </w:rPr>
        <w:t xml:space="preserve"> a</w:t>
      </w:r>
      <w:r w:rsidR="0027089C">
        <w:rPr>
          <w:lang w:val="en-GB"/>
        </w:rPr>
        <w:t>n</w:t>
      </w:r>
      <w:r w:rsidRPr="005C3AD2">
        <w:rPr>
          <w:lang w:val="en-GB"/>
        </w:rPr>
        <w:t xml:space="preserve"> MBA student </w:t>
      </w:r>
      <w:r w:rsidR="0027089C">
        <w:rPr>
          <w:lang w:val="en-GB"/>
        </w:rPr>
        <w:t xml:space="preserve">from Queen’s University </w:t>
      </w:r>
      <w:r w:rsidR="00F066FA">
        <w:rPr>
          <w:lang w:val="en-GB"/>
        </w:rPr>
        <w:t>who had</w:t>
      </w:r>
      <w:r w:rsidRPr="005C3AD2">
        <w:rPr>
          <w:lang w:val="en-GB"/>
        </w:rPr>
        <w:t xml:space="preserve"> </w:t>
      </w:r>
      <w:r w:rsidR="0027089C">
        <w:rPr>
          <w:lang w:val="en-GB"/>
        </w:rPr>
        <w:t>over eight</w:t>
      </w:r>
      <w:r w:rsidRPr="005C3AD2">
        <w:rPr>
          <w:lang w:val="en-GB"/>
        </w:rPr>
        <w:t xml:space="preserve"> years of provincial health</w:t>
      </w:r>
      <w:r w:rsidR="0027089C">
        <w:rPr>
          <w:lang w:val="en-GB"/>
        </w:rPr>
        <w:t xml:space="preserve"> </w:t>
      </w:r>
      <w:r w:rsidRPr="005C3AD2">
        <w:rPr>
          <w:lang w:val="en-GB"/>
        </w:rPr>
        <w:t xml:space="preserve">care management experience. </w:t>
      </w:r>
      <w:r w:rsidR="0027089C">
        <w:rPr>
          <w:lang w:val="en-GB"/>
        </w:rPr>
        <w:t>The plan for her salary and</w:t>
      </w:r>
      <w:r w:rsidRPr="005C3AD2">
        <w:rPr>
          <w:lang w:val="en-GB"/>
        </w:rPr>
        <w:t xml:space="preserve"> working hours was</w:t>
      </w:r>
      <w:r w:rsidR="0027089C">
        <w:rPr>
          <w:lang w:val="en-GB"/>
        </w:rPr>
        <w:t xml:space="preserve"> </w:t>
      </w:r>
      <w:r w:rsidRPr="005C3AD2">
        <w:rPr>
          <w:lang w:val="en-GB"/>
        </w:rPr>
        <w:t>n</w:t>
      </w:r>
      <w:r w:rsidR="0027089C">
        <w:rPr>
          <w:lang w:val="en-GB"/>
        </w:rPr>
        <w:t>o</w:t>
      </w:r>
      <w:r w:rsidRPr="005C3AD2">
        <w:rPr>
          <w:lang w:val="en-GB"/>
        </w:rPr>
        <w:t>t finalized b</w:t>
      </w:r>
      <w:r w:rsidR="0027089C">
        <w:rPr>
          <w:lang w:val="en-GB"/>
        </w:rPr>
        <w:t>y the RFP</w:t>
      </w:r>
      <w:r w:rsidRPr="005C3AD2">
        <w:rPr>
          <w:lang w:val="en-GB"/>
        </w:rPr>
        <w:t xml:space="preserve"> submitt</w:t>
      </w:r>
      <w:r w:rsidR="0027089C">
        <w:rPr>
          <w:lang w:val="en-GB"/>
        </w:rPr>
        <w:t>al date</w:t>
      </w:r>
      <w:r w:rsidRPr="005C3AD2">
        <w:rPr>
          <w:lang w:val="en-GB"/>
        </w:rPr>
        <w:t>.</w:t>
      </w:r>
    </w:p>
    <w:p w14:paraId="71D925D3" w14:textId="77777777" w:rsidR="00812654" w:rsidRPr="005C3AD2" w:rsidRDefault="00812654" w:rsidP="00812654">
      <w:pPr>
        <w:pStyle w:val="BodyTextMain"/>
        <w:rPr>
          <w:lang w:val="en-GB"/>
        </w:rPr>
      </w:pPr>
    </w:p>
    <w:p w14:paraId="328D06F0" w14:textId="6E768580" w:rsidR="00812654" w:rsidRPr="005C3AD2" w:rsidRDefault="0027089C" w:rsidP="00812654">
      <w:pPr>
        <w:pStyle w:val="BodyTextMain"/>
        <w:rPr>
          <w:lang w:val="en-GB"/>
        </w:rPr>
      </w:pPr>
      <w:r>
        <w:rPr>
          <w:lang w:val="en-GB"/>
        </w:rPr>
        <w:t>T</w:t>
      </w:r>
      <w:r w:rsidR="00812654" w:rsidRPr="005C3AD2">
        <w:rPr>
          <w:lang w:val="en-GB"/>
        </w:rPr>
        <w:t>he contract w</w:t>
      </w:r>
      <w:r>
        <w:rPr>
          <w:lang w:val="en-GB"/>
        </w:rPr>
        <w:t>as expected t</w:t>
      </w:r>
      <w:r w:rsidR="00812654" w:rsidRPr="005C3AD2">
        <w:rPr>
          <w:lang w:val="en-GB"/>
        </w:rPr>
        <w:t>o be awarded on April 22</w:t>
      </w:r>
      <w:r>
        <w:rPr>
          <w:lang w:val="en-GB"/>
        </w:rPr>
        <w:t>, but de Silva</w:t>
      </w:r>
      <w:r w:rsidR="00812654" w:rsidRPr="005C3AD2">
        <w:rPr>
          <w:lang w:val="en-GB"/>
        </w:rPr>
        <w:t xml:space="preserve"> had</w:t>
      </w:r>
      <w:r>
        <w:rPr>
          <w:lang w:val="en-GB"/>
        </w:rPr>
        <w:t xml:space="preserve"> </w:t>
      </w:r>
      <w:r w:rsidR="00812654" w:rsidRPr="005C3AD2">
        <w:rPr>
          <w:lang w:val="en-GB"/>
        </w:rPr>
        <w:t>n</w:t>
      </w:r>
      <w:r>
        <w:rPr>
          <w:lang w:val="en-GB"/>
        </w:rPr>
        <w:t>o</w:t>
      </w:r>
      <w:r w:rsidR="00812654" w:rsidRPr="005C3AD2">
        <w:rPr>
          <w:lang w:val="en-GB"/>
        </w:rPr>
        <w:t xml:space="preserve">t </w:t>
      </w:r>
      <w:r w:rsidR="00F066FA">
        <w:rPr>
          <w:lang w:val="en-GB"/>
        </w:rPr>
        <w:t>received</w:t>
      </w:r>
      <w:r w:rsidR="00812654" w:rsidRPr="005C3AD2">
        <w:rPr>
          <w:lang w:val="en-GB"/>
        </w:rPr>
        <w:t xml:space="preserve"> </w:t>
      </w:r>
      <w:r>
        <w:rPr>
          <w:lang w:val="en-GB"/>
        </w:rPr>
        <w:t>a response to his RFP</w:t>
      </w:r>
      <w:r w:rsidR="00812654" w:rsidRPr="005C3AD2">
        <w:rPr>
          <w:lang w:val="en-GB"/>
        </w:rPr>
        <w:t xml:space="preserve"> by </w:t>
      </w:r>
      <w:r>
        <w:rPr>
          <w:lang w:val="en-GB"/>
        </w:rPr>
        <w:t>April</w:t>
      </w:r>
      <w:r w:rsidR="00812654" w:rsidRPr="005C3AD2">
        <w:rPr>
          <w:lang w:val="en-GB"/>
        </w:rPr>
        <w:t xml:space="preserve"> 23, </w:t>
      </w:r>
      <w:r>
        <w:rPr>
          <w:lang w:val="en-GB"/>
        </w:rPr>
        <w:t xml:space="preserve">so </w:t>
      </w:r>
      <w:r w:rsidR="00812654" w:rsidRPr="005C3AD2">
        <w:rPr>
          <w:lang w:val="en-GB"/>
        </w:rPr>
        <w:t xml:space="preserve">he assumed </w:t>
      </w:r>
      <w:r>
        <w:rPr>
          <w:lang w:val="en-GB"/>
        </w:rPr>
        <w:t xml:space="preserve">that </w:t>
      </w:r>
      <w:r w:rsidR="00812654" w:rsidRPr="005C3AD2">
        <w:rPr>
          <w:lang w:val="en-GB"/>
        </w:rPr>
        <w:t xml:space="preserve">SFC </w:t>
      </w:r>
      <w:r>
        <w:rPr>
          <w:lang w:val="en-GB"/>
        </w:rPr>
        <w:t>was not selected</w:t>
      </w:r>
      <w:r w:rsidR="004C30BB">
        <w:rPr>
          <w:lang w:val="en-GB"/>
        </w:rPr>
        <w:t xml:space="preserve"> for</w:t>
      </w:r>
      <w:r w:rsidR="00812654" w:rsidRPr="005C3AD2">
        <w:rPr>
          <w:lang w:val="en-GB"/>
        </w:rPr>
        <w:t xml:space="preserve"> the contract</w:t>
      </w:r>
      <w:r w:rsidR="00C9313A">
        <w:rPr>
          <w:lang w:val="en-GB"/>
        </w:rPr>
        <w:t xml:space="preserve"> and</w:t>
      </w:r>
      <w:r w:rsidR="00812654" w:rsidRPr="005C3AD2">
        <w:rPr>
          <w:lang w:val="en-GB"/>
        </w:rPr>
        <w:t xml:space="preserve"> asked </w:t>
      </w:r>
      <w:r w:rsidR="004C30BB">
        <w:rPr>
          <w:lang w:val="en-GB"/>
        </w:rPr>
        <w:t xml:space="preserve">St. Bernard for </w:t>
      </w:r>
      <w:r w:rsidR="00812654" w:rsidRPr="005C3AD2">
        <w:rPr>
          <w:lang w:val="en-GB"/>
        </w:rPr>
        <w:t xml:space="preserve">feedback </w:t>
      </w:r>
      <w:r w:rsidR="004C30BB">
        <w:rPr>
          <w:lang w:val="en-GB"/>
        </w:rPr>
        <w:t>on the</w:t>
      </w:r>
      <w:r w:rsidR="00812654" w:rsidRPr="005C3AD2">
        <w:rPr>
          <w:lang w:val="en-GB"/>
        </w:rPr>
        <w:t xml:space="preserve"> RFP</w:t>
      </w:r>
      <w:r w:rsidR="004C30BB">
        <w:rPr>
          <w:lang w:val="en-GB"/>
        </w:rPr>
        <w:t xml:space="preserve"> for future reference</w:t>
      </w:r>
      <w:r w:rsidR="00812654" w:rsidRPr="005C3AD2">
        <w:rPr>
          <w:lang w:val="en-GB"/>
        </w:rPr>
        <w:t xml:space="preserve">. Four days later, </w:t>
      </w:r>
      <w:r w:rsidR="004C30BB">
        <w:rPr>
          <w:lang w:val="en-GB"/>
        </w:rPr>
        <w:t>St. Bernard</w:t>
      </w:r>
      <w:r w:rsidR="00812654" w:rsidRPr="005C3AD2">
        <w:rPr>
          <w:lang w:val="en-GB"/>
        </w:rPr>
        <w:t xml:space="preserve"> confirmed that another agency </w:t>
      </w:r>
      <w:r w:rsidR="00C9313A">
        <w:rPr>
          <w:lang w:val="en-GB"/>
        </w:rPr>
        <w:t>was a better</w:t>
      </w:r>
      <w:r w:rsidR="00812654" w:rsidRPr="005C3AD2">
        <w:rPr>
          <w:lang w:val="en-GB"/>
        </w:rPr>
        <w:t xml:space="preserve"> fit with </w:t>
      </w:r>
      <w:r w:rsidR="004C30BB">
        <w:rPr>
          <w:lang w:val="en-GB"/>
        </w:rPr>
        <w:t>G</w:t>
      </w:r>
      <w:r w:rsidR="00812654" w:rsidRPr="005C3AD2">
        <w:rPr>
          <w:lang w:val="en-GB"/>
        </w:rPr>
        <w:t>PH</w:t>
      </w:r>
      <w:r w:rsidR="004C30BB">
        <w:rPr>
          <w:lang w:val="en-GB"/>
        </w:rPr>
        <w:t>’</w:t>
      </w:r>
      <w:r w:rsidR="00812654" w:rsidRPr="005C3AD2">
        <w:rPr>
          <w:lang w:val="en-GB"/>
        </w:rPr>
        <w:t>s objectives</w:t>
      </w:r>
      <w:r w:rsidR="00774512">
        <w:rPr>
          <w:lang w:val="en-GB"/>
        </w:rPr>
        <w:t xml:space="preserve"> and</w:t>
      </w:r>
      <w:r w:rsidR="004C30BB">
        <w:rPr>
          <w:lang w:val="en-GB"/>
        </w:rPr>
        <w:t xml:space="preserve"> </w:t>
      </w:r>
      <w:r w:rsidR="004C30BB" w:rsidRPr="005C3AD2">
        <w:rPr>
          <w:lang w:val="en-GB"/>
        </w:rPr>
        <w:t xml:space="preserve">had been </w:t>
      </w:r>
      <w:r w:rsidR="004C30BB">
        <w:rPr>
          <w:lang w:val="en-GB"/>
        </w:rPr>
        <w:t>awarded the contract</w:t>
      </w:r>
      <w:r w:rsidR="00812654" w:rsidRPr="005C3AD2">
        <w:rPr>
          <w:lang w:val="en-GB"/>
        </w:rPr>
        <w:t xml:space="preserve">. </w:t>
      </w:r>
      <w:r w:rsidR="004C30BB" w:rsidRPr="008948E1">
        <w:rPr>
          <w:lang w:val="en-GB"/>
        </w:rPr>
        <w:t>Although feedback was not</w:t>
      </w:r>
      <w:r w:rsidR="00812654" w:rsidRPr="008948E1">
        <w:rPr>
          <w:lang w:val="en-GB"/>
        </w:rPr>
        <w:t xml:space="preserve"> normally</w:t>
      </w:r>
      <w:r w:rsidR="00812654" w:rsidRPr="005C3AD2">
        <w:rPr>
          <w:lang w:val="en-GB"/>
        </w:rPr>
        <w:t xml:space="preserve"> provide</w:t>
      </w:r>
      <w:r w:rsidR="004C30BB">
        <w:rPr>
          <w:lang w:val="en-GB"/>
        </w:rPr>
        <w:t>d, St. Bernard</w:t>
      </w:r>
      <w:r w:rsidR="00812654" w:rsidRPr="005C3AD2">
        <w:rPr>
          <w:lang w:val="en-GB"/>
        </w:rPr>
        <w:t xml:space="preserve"> sensed </w:t>
      </w:r>
      <w:r w:rsidR="004C30BB">
        <w:rPr>
          <w:lang w:val="en-GB"/>
        </w:rPr>
        <w:t xml:space="preserve">that </w:t>
      </w:r>
      <w:r w:rsidR="00812654" w:rsidRPr="005C3AD2">
        <w:rPr>
          <w:lang w:val="en-GB"/>
        </w:rPr>
        <w:t>SFC could use some feedback</w:t>
      </w:r>
      <w:r w:rsidR="004C30BB">
        <w:rPr>
          <w:lang w:val="en-GB"/>
        </w:rPr>
        <w:t xml:space="preserve"> as a provider in its early stages</w:t>
      </w:r>
      <w:r w:rsidR="00812654" w:rsidRPr="005C3AD2">
        <w:rPr>
          <w:lang w:val="en-GB"/>
        </w:rPr>
        <w:t xml:space="preserve">. </w:t>
      </w:r>
    </w:p>
    <w:p w14:paraId="6750059E" w14:textId="77777777" w:rsidR="00812654" w:rsidRPr="005C3AD2" w:rsidRDefault="00812654" w:rsidP="00812654">
      <w:pPr>
        <w:pStyle w:val="BodyTextMain"/>
        <w:rPr>
          <w:lang w:val="en-GB"/>
        </w:rPr>
      </w:pPr>
    </w:p>
    <w:p w14:paraId="03F475D7" w14:textId="53EC6DB8" w:rsidR="00812654" w:rsidRPr="00041585" w:rsidRDefault="00812654" w:rsidP="00812654">
      <w:pPr>
        <w:pStyle w:val="BodyTextMain"/>
        <w:rPr>
          <w:spacing w:val="-2"/>
          <w:lang w:val="en-GB"/>
        </w:rPr>
      </w:pPr>
      <w:r w:rsidRPr="00041585">
        <w:rPr>
          <w:spacing w:val="-2"/>
          <w:lang w:val="en-GB"/>
        </w:rPr>
        <w:t xml:space="preserve">She stated </w:t>
      </w:r>
      <w:r w:rsidR="00C9313A" w:rsidRPr="00041585">
        <w:rPr>
          <w:spacing w:val="-2"/>
          <w:lang w:val="en-GB"/>
        </w:rPr>
        <w:t xml:space="preserve">that </w:t>
      </w:r>
      <w:r w:rsidRPr="00041585">
        <w:rPr>
          <w:spacing w:val="-2"/>
          <w:lang w:val="en-GB"/>
        </w:rPr>
        <w:t>many of the other proposals were significantly longer</w:t>
      </w:r>
      <w:r w:rsidR="00C9313A" w:rsidRPr="00041585">
        <w:rPr>
          <w:spacing w:val="-2"/>
          <w:lang w:val="en-GB"/>
        </w:rPr>
        <w:t>,</w:t>
      </w:r>
      <w:r w:rsidRPr="00041585">
        <w:rPr>
          <w:spacing w:val="-2"/>
          <w:lang w:val="en-GB"/>
        </w:rPr>
        <w:t xml:space="preserve"> with more detail about their relevant experience. They suggested plans for the new public health program using descriptive examples of similar previous work. Further, most of the applicants did</w:t>
      </w:r>
      <w:r w:rsidR="00F066FA">
        <w:rPr>
          <w:spacing w:val="-2"/>
          <w:lang w:val="en-GB"/>
        </w:rPr>
        <w:t xml:space="preserve"> not</w:t>
      </w:r>
      <w:r w:rsidRPr="00041585">
        <w:rPr>
          <w:spacing w:val="-2"/>
          <w:lang w:val="en-GB"/>
        </w:rPr>
        <w:t xml:space="preserve"> contact St. Bernard prior to the deadline but still seemed to understand </w:t>
      </w:r>
      <w:r w:rsidR="004C30BB" w:rsidRPr="00041585">
        <w:rPr>
          <w:spacing w:val="-2"/>
          <w:lang w:val="en-GB"/>
        </w:rPr>
        <w:t>G</w:t>
      </w:r>
      <w:r w:rsidRPr="00041585">
        <w:rPr>
          <w:spacing w:val="-2"/>
          <w:lang w:val="en-GB"/>
        </w:rPr>
        <w:t xml:space="preserve">PH’s needs. </w:t>
      </w:r>
      <w:r w:rsidR="00C9313A" w:rsidRPr="00041585">
        <w:rPr>
          <w:spacing w:val="-2"/>
          <w:lang w:val="en-GB"/>
        </w:rPr>
        <w:t>Other than SFC’s questions, s</w:t>
      </w:r>
      <w:r w:rsidRPr="00041585">
        <w:rPr>
          <w:spacing w:val="-2"/>
          <w:lang w:val="en-GB"/>
        </w:rPr>
        <w:t>he only received a question about budgets. She said there was nothing wrong with asking questions, but some of the questions de Silva sent made her believe he was</w:t>
      </w:r>
      <w:r w:rsidR="00C9313A" w:rsidRPr="00041585">
        <w:rPr>
          <w:spacing w:val="-2"/>
          <w:lang w:val="en-GB"/>
        </w:rPr>
        <w:t xml:space="preserve"> un</w:t>
      </w:r>
      <w:r w:rsidRPr="00041585">
        <w:rPr>
          <w:spacing w:val="-2"/>
          <w:lang w:val="en-GB"/>
        </w:rPr>
        <w:t xml:space="preserve">clear </w:t>
      </w:r>
      <w:r w:rsidR="00C9313A" w:rsidRPr="00041585">
        <w:rPr>
          <w:spacing w:val="-2"/>
          <w:lang w:val="en-GB"/>
        </w:rPr>
        <w:t>about</w:t>
      </w:r>
      <w:r w:rsidRPr="00041585">
        <w:rPr>
          <w:spacing w:val="-2"/>
          <w:lang w:val="en-GB"/>
        </w:rPr>
        <w:t xml:space="preserve"> what </w:t>
      </w:r>
      <w:r w:rsidR="004C30BB" w:rsidRPr="00041585">
        <w:rPr>
          <w:spacing w:val="-2"/>
          <w:lang w:val="en-GB"/>
        </w:rPr>
        <w:t>G</w:t>
      </w:r>
      <w:r w:rsidRPr="00041585">
        <w:rPr>
          <w:spacing w:val="-2"/>
          <w:lang w:val="en-GB"/>
        </w:rPr>
        <w:t xml:space="preserve">PH needed. She also felt </w:t>
      </w:r>
      <w:r w:rsidR="004C30BB" w:rsidRPr="00041585">
        <w:rPr>
          <w:spacing w:val="-2"/>
          <w:lang w:val="en-GB"/>
        </w:rPr>
        <w:t xml:space="preserve">that </w:t>
      </w:r>
      <w:r w:rsidRPr="00041585">
        <w:rPr>
          <w:spacing w:val="-2"/>
          <w:lang w:val="en-GB"/>
        </w:rPr>
        <w:t xml:space="preserve">his tone was </w:t>
      </w:r>
      <w:r w:rsidR="004C30BB" w:rsidRPr="00041585">
        <w:rPr>
          <w:spacing w:val="-2"/>
          <w:lang w:val="en-GB"/>
        </w:rPr>
        <w:t>“</w:t>
      </w:r>
      <w:r w:rsidRPr="00041585">
        <w:rPr>
          <w:spacing w:val="-2"/>
          <w:lang w:val="en-GB"/>
        </w:rPr>
        <w:t>curt</w:t>
      </w:r>
      <w:r w:rsidR="004C30BB" w:rsidRPr="00041585">
        <w:rPr>
          <w:spacing w:val="-2"/>
          <w:lang w:val="en-GB"/>
        </w:rPr>
        <w:t>”</w:t>
      </w:r>
      <w:r w:rsidRPr="00041585">
        <w:rPr>
          <w:spacing w:val="-2"/>
          <w:lang w:val="en-GB"/>
        </w:rPr>
        <w:t xml:space="preserve"> or </w:t>
      </w:r>
      <w:r w:rsidR="004C30BB" w:rsidRPr="00041585">
        <w:rPr>
          <w:spacing w:val="-2"/>
          <w:lang w:val="en-GB"/>
        </w:rPr>
        <w:t>“</w:t>
      </w:r>
      <w:r w:rsidRPr="00041585">
        <w:rPr>
          <w:spacing w:val="-2"/>
          <w:lang w:val="en-GB"/>
        </w:rPr>
        <w:t>aggressive</w:t>
      </w:r>
      <w:r w:rsidR="004C30BB" w:rsidRPr="00041585">
        <w:rPr>
          <w:spacing w:val="-2"/>
          <w:lang w:val="en-GB"/>
        </w:rPr>
        <w:t>”</w:t>
      </w:r>
      <w:r w:rsidRPr="00041585">
        <w:rPr>
          <w:spacing w:val="-2"/>
          <w:lang w:val="en-GB"/>
        </w:rPr>
        <w:t xml:space="preserve"> when he asked how one of the deliverables was different from one of the RFP requirements. </w:t>
      </w:r>
      <w:r w:rsidR="004C30BB" w:rsidRPr="00041585">
        <w:rPr>
          <w:spacing w:val="-2"/>
          <w:lang w:val="en-GB"/>
        </w:rPr>
        <w:t>St. Bernard also</w:t>
      </w:r>
      <w:r w:rsidRPr="00041585">
        <w:rPr>
          <w:spacing w:val="-2"/>
          <w:lang w:val="en-GB"/>
        </w:rPr>
        <w:t xml:space="preserve"> seem</w:t>
      </w:r>
      <w:r w:rsidR="004C30BB" w:rsidRPr="00041585">
        <w:rPr>
          <w:spacing w:val="-2"/>
          <w:lang w:val="en-GB"/>
        </w:rPr>
        <w:t>ed</w:t>
      </w:r>
      <w:r w:rsidRPr="00041585">
        <w:rPr>
          <w:spacing w:val="-2"/>
          <w:lang w:val="en-GB"/>
        </w:rPr>
        <w:t xml:space="preserve"> to </w:t>
      </w:r>
      <w:r w:rsidR="004C30BB" w:rsidRPr="00041585">
        <w:rPr>
          <w:spacing w:val="-2"/>
          <w:lang w:val="en-GB"/>
        </w:rPr>
        <w:t>disapprove of de Silva</w:t>
      </w:r>
      <w:r w:rsidRPr="00041585">
        <w:rPr>
          <w:spacing w:val="-2"/>
          <w:lang w:val="en-GB"/>
        </w:rPr>
        <w:t xml:space="preserve"> question</w:t>
      </w:r>
      <w:r w:rsidR="004C30BB" w:rsidRPr="00041585">
        <w:rPr>
          <w:spacing w:val="-2"/>
          <w:lang w:val="en-GB"/>
        </w:rPr>
        <w:t>ing</w:t>
      </w:r>
      <w:r w:rsidRPr="00041585">
        <w:rPr>
          <w:spacing w:val="-2"/>
          <w:lang w:val="en-GB"/>
        </w:rPr>
        <w:t xml:space="preserve"> the </w:t>
      </w:r>
      <w:r w:rsidR="004C30BB" w:rsidRPr="00041585">
        <w:rPr>
          <w:spacing w:val="-2"/>
          <w:lang w:val="en-GB"/>
        </w:rPr>
        <w:t>“</w:t>
      </w:r>
      <w:r w:rsidRPr="00041585">
        <w:rPr>
          <w:spacing w:val="-2"/>
          <w:lang w:val="en-GB"/>
        </w:rPr>
        <w:t>cascading influence model</w:t>
      </w:r>
      <w:r w:rsidR="004C30BB" w:rsidRPr="00041585">
        <w:rPr>
          <w:spacing w:val="-2"/>
          <w:lang w:val="en-GB"/>
        </w:rPr>
        <w:t xml:space="preserve">” </w:t>
      </w:r>
      <w:r w:rsidRPr="00041585">
        <w:rPr>
          <w:spacing w:val="-2"/>
          <w:lang w:val="en-GB"/>
        </w:rPr>
        <w:t>approach</w:t>
      </w:r>
      <w:r w:rsidR="004C30BB" w:rsidRPr="00041585">
        <w:rPr>
          <w:spacing w:val="-2"/>
          <w:lang w:val="en-GB"/>
        </w:rPr>
        <w:t>,</w:t>
      </w:r>
      <w:r w:rsidRPr="00041585">
        <w:rPr>
          <w:spacing w:val="-2"/>
          <w:lang w:val="en-GB"/>
        </w:rPr>
        <w:t xml:space="preserve"> given </w:t>
      </w:r>
      <w:r w:rsidR="004C30BB" w:rsidRPr="00041585">
        <w:rPr>
          <w:spacing w:val="-2"/>
          <w:lang w:val="en-GB"/>
        </w:rPr>
        <w:t>G</w:t>
      </w:r>
      <w:r w:rsidRPr="00041585">
        <w:rPr>
          <w:spacing w:val="-2"/>
          <w:lang w:val="en-GB"/>
        </w:rPr>
        <w:t>PH’s many years of experience in public health communication and behavio</w:t>
      </w:r>
      <w:r w:rsidR="004C30BB" w:rsidRPr="00041585">
        <w:rPr>
          <w:spacing w:val="-2"/>
          <w:lang w:val="en-GB"/>
        </w:rPr>
        <w:t>u</w:t>
      </w:r>
      <w:r w:rsidRPr="00041585">
        <w:rPr>
          <w:spacing w:val="-2"/>
          <w:lang w:val="en-GB"/>
        </w:rPr>
        <w:t>r change theory.</w:t>
      </w:r>
    </w:p>
    <w:p w14:paraId="54595ABF" w14:textId="77777777" w:rsidR="00812654" w:rsidRPr="005C3AD2" w:rsidRDefault="00812654" w:rsidP="00812654">
      <w:pPr>
        <w:pStyle w:val="BodyTextMain"/>
        <w:rPr>
          <w:lang w:val="en-GB"/>
        </w:rPr>
      </w:pPr>
    </w:p>
    <w:p w14:paraId="7BE95CE2" w14:textId="77777777" w:rsidR="00812654" w:rsidRPr="00843FF2" w:rsidRDefault="00812654" w:rsidP="00812654">
      <w:pPr>
        <w:pStyle w:val="Casehead1"/>
        <w:rPr>
          <w:sz w:val="20"/>
          <w:lang w:val="en-GB"/>
        </w:rPr>
      </w:pPr>
      <w:r w:rsidRPr="00843FF2">
        <w:rPr>
          <w:sz w:val="20"/>
          <w:lang w:val="en-GB"/>
        </w:rPr>
        <w:lastRenderedPageBreak/>
        <w:t>Next steps for SFC</w:t>
      </w:r>
    </w:p>
    <w:p w14:paraId="429D3241" w14:textId="77777777" w:rsidR="00812654" w:rsidRPr="005C3AD2" w:rsidRDefault="00812654" w:rsidP="00812654">
      <w:pPr>
        <w:pStyle w:val="BodyTextMain"/>
        <w:rPr>
          <w:lang w:val="en-GB"/>
        </w:rPr>
      </w:pPr>
    </w:p>
    <w:p w14:paraId="239DC49A" w14:textId="69B90161" w:rsidR="00812654" w:rsidRPr="005C3AD2" w:rsidRDefault="00812654" w:rsidP="00812654">
      <w:pPr>
        <w:pStyle w:val="BodyTextMain"/>
        <w:rPr>
          <w:lang w:val="en-GB"/>
        </w:rPr>
      </w:pPr>
      <w:r w:rsidRPr="005C3AD2">
        <w:rPr>
          <w:lang w:val="en-GB"/>
        </w:rPr>
        <w:t xml:space="preserve">After </w:t>
      </w:r>
      <w:r w:rsidR="00C9313A">
        <w:rPr>
          <w:lang w:val="en-GB"/>
        </w:rPr>
        <w:t xml:space="preserve">six </w:t>
      </w:r>
      <w:r w:rsidRPr="005C3AD2">
        <w:rPr>
          <w:lang w:val="en-GB"/>
        </w:rPr>
        <w:t>years of effort</w:t>
      </w:r>
      <w:r w:rsidR="00C9313A">
        <w:rPr>
          <w:lang w:val="en-GB"/>
        </w:rPr>
        <w:t>s to build and develop his venture</w:t>
      </w:r>
      <w:r w:rsidRPr="005C3AD2">
        <w:rPr>
          <w:lang w:val="en-GB"/>
        </w:rPr>
        <w:t xml:space="preserve">, de Silva was </w:t>
      </w:r>
      <w:r w:rsidR="00C9313A">
        <w:rPr>
          <w:lang w:val="en-GB"/>
        </w:rPr>
        <w:t xml:space="preserve">suddenly </w:t>
      </w:r>
      <w:r w:rsidRPr="005C3AD2">
        <w:rPr>
          <w:lang w:val="en-GB"/>
        </w:rPr>
        <w:t xml:space="preserve">uncertain </w:t>
      </w:r>
      <w:r w:rsidR="00C9313A">
        <w:rPr>
          <w:lang w:val="en-GB"/>
        </w:rPr>
        <w:t>about</w:t>
      </w:r>
      <w:r w:rsidRPr="005C3AD2">
        <w:rPr>
          <w:lang w:val="en-GB"/>
        </w:rPr>
        <w:t xml:space="preserve"> SFC’s future. Was the long-term business model feasible? Given the current and potential market, did SFC have the skills and resources required to compete? De Silva was under pressure to determine whether SFC had a future.</w:t>
      </w:r>
    </w:p>
    <w:p w14:paraId="768C0B61" w14:textId="77777777" w:rsidR="00C9313A" w:rsidRPr="00843FF2" w:rsidRDefault="00812654" w:rsidP="002A3D20">
      <w:pPr>
        <w:pStyle w:val="ExhibitHeading"/>
        <w:rPr>
          <w:sz w:val="20"/>
        </w:rPr>
      </w:pPr>
      <w:r w:rsidRPr="005C3AD2">
        <w:rPr>
          <w:lang w:val="en-GB"/>
        </w:rPr>
        <w:br w:type="page"/>
      </w:r>
      <w:bookmarkStart w:id="13" w:name="_Ref493851396"/>
      <w:r w:rsidRPr="00843FF2">
        <w:rPr>
          <w:sz w:val="20"/>
        </w:rPr>
        <w:lastRenderedPageBreak/>
        <w:t>Exhibit 1: S</w:t>
      </w:r>
      <w:r w:rsidR="00C9313A" w:rsidRPr="00843FF2">
        <w:rPr>
          <w:sz w:val="20"/>
        </w:rPr>
        <w:t xml:space="preserve">ocial </w:t>
      </w:r>
      <w:r w:rsidRPr="00843FF2">
        <w:rPr>
          <w:sz w:val="20"/>
        </w:rPr>
        <w:t>F</w:t>
      </w:r>
      <w:r w:rsidR="00C9313A" w:rsidRPr="00843FF2">
        <w:rPr>
          <w:sz w:val="20"/>
        </w:rPr>
        <w:t xml:space="preserve">ocus </w:t>
      </w:r>
      <w:r w:rsidRPr="00843FF2">
        <w:rPr>
          <w:sz w:val="20"/>
        </w:rPr>
        <w:t>C</w:t>
      </w:r>
      <w:r w:rsidR="00C9313A" w:rsidRPr="00843FF2">
        <w:rPr>
          <w:sz w:val="20"/>
        </w:rPr>
        <w:t>onsulting</w:t>
      </w:r>
      <w:r w:rsidRPr="00843FF2">
        <w:rPr>
          <w:sz w:val="20"/>
        </w:rPr>
        <w:t xml:space="preserve"> survey results</w:t>
      </w:r>
      <w:bookmarkEnd w:id="13"/>
    </w:p>
    <w:p w14:paraId="759D745B" w14:textId="77777777" w:rsidR="00C9313A" w:rsidRDefault="00C9313A" w:rsidP="00812654">
      <w:pPr>
        <w:pStyle w:val="ExhibitHeading"/>
        <w:rPr>
          <w:lang w:val="en-GB"/>
        </w:rPr>
      </w:pPr>
    </w:p>
    <w:p w14:paraId="3485CB75" w14:textId="77777777" w:rsidR="00C9313A" w:rsidRPr="00843FF2" w:rsidRDefault="001A09F8" w:rsidP="002A3D20">
      <w:pPr>
        <w:pStyle w:val="Casehead2"/>
        <w:rPr>
          <w:sz w:val="20"/>
        </w:rPr>
      </w:pPr>
      <w:r w:rsidRPr="00843FF2">
        <w:rPr>
          <w:sz w:val="20"/>
        </w:rPr>
        <w:t xml:space="preserve">Which </w:t>
      </w:r>
      <w:r w:rsidR="00C9313A" w:rsidRPr="00843FF2">
        <w:rPr>
          <w:sz w:val="20"/>
        </w:rPr>
        <w:t xml:space="preserve">consulting services </w:t>
      </w:r>
      <w:r w:rsidRPr="00843FF2">
        <w:rPr>
          <w:sz w:val="20"/>
        </w:rPr>
        <w:t xml:space="preserve">are </w:t>
      </w:r>
      <w:r w:rsidR="00C9313A" w:rsidRPr="00843FF2">
        <w:rPr>
          <w:sz w:val="20"/>
        </w:rPr>
        <w:t>most beneficial to Ontario</w:t>
      </w:r>
      <w:r w:rsidRPr="00843FF2">
        <w:rPr>
          <w:sz w:val="20"/>
        </w:rPr>
        <w:t>’s non-profit organizations?</w:t>
      </w:r>
    </w:p>
    <w:p w14:paraId="0BDB1FD9" w14:textId="77777777" w:rsidR="00812654" w:rsidRPr="005C3AD2" w:rsidRDefault="00812654" w:rsidP="00812654">
      <w:pPr>
        <w:pStyle w:val="ExhibitHeading"/>
        <w:rPr>
          <w:lang w:val="en-GB"/>
        </w:rPr>
      </w:pPr>
    </w:p>
    <w:p w14:paraId="70618139" w14:textId="435AF395" w:rsidR="00812654" w:rsidRPr="005C3AD2" w:rsidRDefault="00D00188" w:rsidP="00812654">
      <w:pPr>
        <w:pStyle w:val="ExhibitHeading"/>
        <w:rPr>
          <w:lang w:val="en-GB"/>
        </w:rPr>
      </w:pPr>
      <w:r w:rsidRPr="00E4741D">
        <w:rPr>
          <w:noProof/>
          <w:lang w:val="en-US" w:eastAsia="en-US"/>
        </w:rPr>
        <w:drawing>
          <wp:inline distT="0" distB="0" distL="0" distR="0" wp14:anchorId="3A6E2F8C" wp14:editId="79F3F868">
            <wp:extent cx="5947410" cy="3649649"/>
            <wp:effectExtent l="0" t="0" r="15240" b="8255"/>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8D9EED" w14:textId="77777777" w:rsidR="00486FDB" w:rsidRDefault="00486FDB" w:rsidP="001D674C">
      <w:pPr>
        <w:pStyle w:val="Footnote"/>
        <w:rPr>
          <w:lang w:val="en-GB"/>
        </w:rPr>
      </w:pPr>
    </w:p>
    <w:p w14:paraId="67A76D27" w14:textId="77777777" w:rsidR="00786CB2" w:rsidRPr="005C3AD2" w:rsidRDefault="00812654" w:rsidP="001D674C">
      <w:pPr>
        <w:pStyle w:val="Footnote"/>
        <w:rPr>
          <w:lang w:val="en-GB"/>
        </w:rPr>
      </w:pPr>
      <w:r w:rsidRPr="005C3AD2">
        <w:rPr>
          <w:lang w:val="en-GB"/>
        </w:rPr>
        <w:t xml:space="preserve">Source: Created by </w:t>
      </w:r>
      <w:r w:rsidR="004C30BB">
        <w:rPr>
          <w:lang w:val="en-GB"/>
        </w:rPr>
        <w:t xml:space="preserve">the </w:t>
      </w:r>
      <w:r w:rsidRPr="005C3AD2">
        <w:rPr>
          <w:lang w:val="en-GB"/>
        </w:rPr>
        <w:t>author</w:t>
      </w:r>
      <w:r w:rsidR="001A09F8">
        <w:rPr>
          <w:lang w:val="en-GB"/>
        </w:rPr>
        <w:t>s</w:t>
      </w:r>
      <w:r w:rsidRPr="005C3AD2">
        <w:rPr>
          <w:lang w:val="en-GB"/>
        </w:rPr>
        <w:t xml:space="preserve"> using data from the </w:t>
      </w:r>
      <w:r w:rsidR="004C30BB">
        <w:rPr>
          <w:lang w:val="en-GB"/>
        </w:rPr>
        <w:t>company’s survey</w:t>
      </w:r>
      <w:r w:rsidRPr="005C3AD2">
        <w:rPr>
          <w:lang w:val="en-GB"/>
        </w:rPr>
        <w:t>.</w:t>
      </w:r>
    </w:p>
    <w:p w14:paraId="1D135E57" w14:textId="77777777" w:rsidR="00786CB2" w:rsidRPr="00843FF2" w:rsidRDefault="00786CB2" w:rsidP="007113CB">
      <w:pPr>
        <w:pStyle w:val="ExhibitHeading"/>
        <w:rPr>
          <w:sz w:val="20"/>
          <w:lang w:val="en-GB"/>
        </w:rPr>
      </w:pPr>
      <w:bookmarkStart w:id="14" w:name="_Ref493852324"/>
      <w:r w:rsidRPr="005C3AD2">
        <w:rPr>
          <w:lang w:val="en-GB"/>
        </w:rPr>
        <w:br w:type="page"/>
      </w:r>
      <w:r w:rsidRPr="00843FF2">
        <w:rPr>
          <w:sz w:val="20"/>
          <w:lang w:val="en-GB"/>
        </w:rPr>
        <w:lastRenderedPageBreak/>
        <w:t>Exhibit 2: Competitor consulting firms in the Greater Toronto Area</w:t>
      </w:r>
      <w:bookmarkEnd w:id="14"/>
    </w:p>
    <w:p w14:paraId="0B16FC09" w14:textId="77777777" w:rsidR="00786CB2" w:rsidRPr="005C3AD2" w:rsidRDefault="00786CB2" w:rsidP="00786CB2">
      <w:pPr>
        <w:pStyle w:val="ExhibitHeading"/>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103"/>
        <w:gridCol w:w="2697"/>
      </w:tblGrid>
      <w:tr w:rsidR="00786CB2" w:rsidRPr="005C3AD2" w14:paraId="67B94BB7" w14:textId="77777777" w:rsidTr="00B65AC2">
        <w:trPr>
          <w:trHeight w:val="60"/>
        </w:trPr>
        <w:tc>
          <w:tcPr>
            <w:tcW w:w="1560" w:type="dxa"/>
            <w:shd w:val="clear" w:color="auto" w:fill="auto"/>
            <w:vAlign w:val="center"/>
          </w:tcPr>
          <w:p w14:paraId="0BCFA33D" w14:textId="77777777" w:rsidR="00786CB2" w:rsidRPr="00D61B7C" w:rsidRDefault="00786CB2" w:rsidP="00E4741D">
            <w:pPr>
              <w:pStyle w:val="ExhibitText"/>
              <w:jc w:val="center"/>
              <w:rPr>
                <w:rFonts w:cs="Arial"/>
                <w:b/>
                <w:sz w:val="18"/>
                <w:szCs w:val="18"/>
                <w:lang w:val="en-GB" w:eastAsia="en-US"/>
              </w:rPr>
            </w:pPr>
            <w:r w:rsidRPr="00D61B7C">
              <w:rPr>
                <w:rFonts w:cs="Arial"/>
                <w:b/>
                <w:sz w:val="18"/>
                <w:szCs w:val="18"/>
                <w:lang w:val="en-GB" w:eastAsia="en-US"/>
              </w:rPr>
              <w:t>Competitor Firm</w:t>
            </w:r>
          </w:p>
        </w:tc>
        <w:tc>
          <w:tcPr>
            <w:tcW w:w="5103" w:type="dxa"/>
            <w:shd w:val="clear" w:color="auto" w:fill="auto"/>
            <w:vAlign w:val="center"/>
          </w:tcPr>
          <w:p w14:paraId="37B616F4" w14:textId="77777777" w:rsidR="00786CB2" w:rsidRPr="00D61B7C" w:rsidRDefault="00786CB2" w:rsidP="00E4741D">
            <w:pPr>
              <w:pStyle w:val="ExhibitText"/>
              <w:jc w:val="center"/>
              <w:rPr>
                <w:rFonts w:cs="Arial"/>
                <w:b/>
                <w:sz w:val="18"/>
                <w:szCs w:val="18"/>
                <w:lang w:val="en-GB" w:eastAsia="en-US"/>
              </w:rPr>
            </w:pPr>
            <w:r w:rsidRPr="00D61B7C">
              <w:rPr>
                <w:rFonts w:cs="Arial"/>
                <w:b/>
                <w:sz w:val="18"/>
                <w:szCs w:val="18"/>
                <w:lang w:val="en-GB" w:eastAsia="en-US"/>
              </w:rPr>
              <w:t>Services Offered</w:t>
            </w:r>
          </w:p>
        </w:tc>
        <w:tc>
          <w:tcPr>
            <w:tcW w:w="2697" w:type="dxa"/>
            <w:shd w:val="clear" w:color="auto" w:fill="auto"/>
            <w:vAlign w:val="center"/>
          </w:tcPr>
          <w:p w14:paraId="5F9B6688" w14:textId="77777777" w:rsidR="00786CB2" w:rsidRPr="00D61B7C" w:rsidRDefault="00786CB2" w:rsidP="00E4741D">
            <w:pPr>
              <w:pStyle w:val="ExhibitText"/>
              <w:jc w:val="center"/>
              <w:rPr>
                <w:rFonts w:cs="Arial"/>
                <w:b/>
                <w:sz w:val="18"/>
                <w:szCs w:val="18"/>
                <w:lang w:val="en-GB" w:eastAsia="en-US"/>
              </w:rPr>
            </w:pPr>
            <w:r w:rsidRPr="00D61B7C">
              <w:rPr>
                <w:rFonts w:cs="Arial"/>
                <w:b/>
                <w:sz w:val="18"/>
                <w:szCs w:val="18"/>
                <w:lang w:val="en-GB" w:eastAsia="en-US"/>
              </w:rPr>
              <w:t>Client Type</w:t>
            </w:r>
          </w:p>
        </w:tc>
      </w:tr>
      <w:tr w:rsidR="00786CB2" w:rsidRPr="005C3AD2" w14:paraId="652D374E" w14:textId="77777777" w:rsidTr="00B65AC2">
        <w:trPr>
          <w:trHeight w:val="458"/>
        </w:trPr>
        <w:tc>
          <w:tcPr>
            <w:tcW w:w="1560" w:type="dxa"/>
            <w:shd w:val="clear" w:color="auto" w:fill="auto"/>
            <w:vAlign w:val="center"/>
          </w:tcPr>
          <w:p w14:paraId="4A9AA34A"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Endeavour</w:t>
            </w:r>
          </w:p>
        </w:tc>
        <w:tc>
          <w:tcPr>
            <w:tcW w:w="5103" w:type="dxa"/>
            <w:shd w:val="clear" w:color="auto" w:fill="auto"/>
            <w:vAlign w:val="center"/>
          </w:tcPr>
          <w:p w14:paraId="297738BB"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Corporate strategy (strategic planning), marketing strategy (segmentation, branding), operations strategy (process redesign), organizational strategy (change management)</w:t>
            </w:r>
          </w:p>
        </w:tc>
        <w:tc>
          <w:tcPr>
            <w:tcW w:w="2697" w:type="dxa"/>
            <w:shd w:val="clear" w:color="auto" w:fill="auto"/>
            <w:vAlign w:val="center"/>
          </w:tcPr>
          <w:p w14:paraId="5DC83885"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 xml:space="preserve">Organization with social mission, budget under </w:t>
            </w:r>
            <w:r w:rsidR="001A09F8" w:rsidRPr="00D61B7C">
              <w:rPr>
                <w:rFonts w:cs="Arial"/>
                <w:sz w:val="18"/>
                <w:szCs w:val="18"/>
                <w:lang w:val="en-GB" w:eastAsia="en-US"/>
              </w:rPr>
              <w:t>CA</w:t>
            </w:r>
            <w:r w:rsidRPr="00D61B7C">
              <w:rPr>
                <w:rFonts w:cs="Arial"/>
                <w:sz w:val="18"/>
                <w:szCs w:val="18"/>
                <w:lang w:val="en-GB" w:eastAsia="en-US"/>
              </w:rPr>
              <w:t xml:space="preserve">$2 million, in operation for </w:t>
            </w:r>
            <w:r w:rsidR="001A09F8" w:rsidRPr="00D61B7C">
              <w:rPr>
                <w:rFonts w:cs="Arial"/>
                <w:sz w:val="18"/>
                <w:szCs w:val="18"/>
                <w:lang w:val="en-GB" w:eastAsia="en-US"/>
              </w:rPr>
              <w:t>over two</w:t>
            </w:r>
            <w:r w:rsidRPr="00D61B7C">
              <w:rPr>
                <w:rFonts w:cs="Arial"/>
                <w:sz w:val="18"/>
                <w:szCs w:val="18"/>
                <w:lang w:val="en-GB" w:eastAsia="en-US"/>
              </w:rPr>
              <w:t xml:space="preserve"> years, with preference </w:t>
            </w:r>
            <w:r w:rsidR="00BB3EF0">
              <w:rPr>
                <w:rFonts w:cs="Arial"/>
                <w:sz w:val="18"/>
                <w:szCs w:val="18"/>
                <w:lang w:val="en-GB" w:eastAsia="en-US"/>
              </w:rPr>
              <w:t xml:space="preserve">to those in </w:t>
            </w:r>
            <w:r w:rsidRPr="00D61B7C">
              <w:rPr>
                <w:rFonts w:cs="Arial"/>
                <w:sz w:val="18"/>
                <w:szCs w:val="18"/>
                <w:lang w:val="en-GB" w:eastAsia="en-US"/>
              </w:rPr>
              <w:t>Greater Toronto Area</w:t>
            </w:r>
          </w:p>
        </w:tc>
      </w:tr>
      <w:tr w:rsidR="00786CB2" w:rsidRPr="005C3AD2" w14:paraId="3B3F9C73" w14:textId="77777777" w:rsidTr="00B65AC2">
        <w:tc>
          <w:tcPr>
            <w:tcW w:w="1560" w:type="dxa"/>
            <w:shd w:val="clear" w:color="auto" w:fill="auto"/>
            <w:vAlign w:val="center"/>
          </w:tcPr>
          <w:p w14:paraId="12AFA83F"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Fundamentals</w:t>
            </w:r>
          </w:p>
        </w:tc>
        <w:tc>
          <w:tcPr>
            <w:tcW w:w="5103" w:type="dxa"/>
            <w:shd w:val="clear" w:color="auto" w:fill="auto"/>
            <w:vAlign w:val="center"/>
          </w:tcPr>
          <w:p w14:paraId="77D6247E"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Grant proposals, prospect research, online funding applications, individual giving, direct response, strategic planning, program analysis, leadership</w:t>
            </w:r>
          </w:p>
        </w:tc>
        <w:tc>
          <w:tcPr>
            <w:tcW w:w="2697" w:type="dxa"/>
            <w:shd w:val="clear" w:color="auto" w:fill="auto"/>
            <w:vAlign w:val="center"/>
          </w:tcPr>
          <w:p w14:paraId="6D42EB09"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Health, social service, international development</w:t>
            </w:r>
          </w:p>
        </w:tc>
      </w:tr>
      <w:tr w:rsidR="00786CB2" w:rsidRPr="005C3AD2" w14:paraId="1A8444AF" w14:textId="77777777" w:rsidTr="00B65AC2">
        <w:tc>
          <w:tcPr>
            <w:tcW w:w="1560" w:type="dxa"/>
            <w:shd w:val="clear" w:color="auto" w:fill="auto"/>
            <w:vAlign w:val="center"/>
          </w:tcPr>
          <w:p w14:paraId="1261BC13"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Peacock Philanthropic</w:t>
            </w:r>
          </w:p>
        </w:tc>
        <w:tc>
          <w:tcPr>
            <w:tcW w:w="5103" w:type="dxa"/>
            <w:shd w:val="clear" w:color="auto" w:fill="auto"/>
            <w:vAlign w:val="center"/>
          </w:tcPr>
          <w:p w14:paraId="4A78E5A4"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Strategic planning (development assessments, fundraising plans, innovation)</w:t>
            </w:r>
            <w:r w:rsidR="001A09F8" w:rsidRPr="00D61B7C">
              <w:rPr>
                <w:rFonts w:cs="Arial"/>
                <w:sz w:val="18"/>
                <w:szCs w:val="18"/>
                <w:lang w:val="en-GB" w:eastAsia="en-US"/>
              </w:rPr>
              <w:t>,</w:t>
            </w:r>
            <w:r w:rsidRPr="00D61B7C">
              <w:rPr>
                <w:rFonts w:cs="Arial"/>
                <w:sz w:val="18"/>
                <w:szCs w:val="18"/>
                <w:lang w:val="en-GB" w:eastAsia="en-US"/>
              </w:rPr>
              <w:t xml:space="preserve"> major gifts (case for support, cultivation </w:t>
            </w:r>
            <w:r w:rsidR="001A09F8" w:rsidRPr="00D61B7C">
              <w:rPr>
                <w:rFonts w:cs="Arial"/>
                <w:sz w:val="18"/>
                <w:szCs w:val="18"/>
                <w:lang w:val="en-GB" w:eastAsia="en-US"/>
              </w:rPr>
              <w:t>and</w:t>
            </w:r>
            <w:r w:rsidRPr="00D61B7C">
              <w:rPr>
                <w:rFonts w:cs="Arial"/>
                <w:sz w:val="18"/>
                <w:szCs w:val="18"/>
                <w:lang w:val="en-GB" w:eastAsia="en-US"/>
              </w:rPr>
              <w:t xml:space="preserve"> solicitation, proposal development, coaching)</w:t>
            </w:r>
            <w:r w:rsidR="001A09F8" w:rsidRPr="00D61B7C">
              <w:rPr>
                <w:rFonts w:cs="Arial"/>
                <w:sz w:val="18"/>
                <w:szCs w:val="18"/>
                <w:lang w:val="en-GB" w:eastAsia="en-US"/>
              </w:rPr>
              <w:t>,</w:t>
            </w:r>
            <w:r w:rsidRPr="00D61B7C">
              <w:rPr>
                <w:rFonts w:cs="Arial"/>
                <w:sz w:val="18"/>
                <w:szCs w:val="18"/>
                <w:lang w:val="en-GB" w:eastAsia="en-US"/>
              </w:rPr>
              <w:t xml:space="preserve"> interim management (placement, development, new perspective)</w:t>
            </w:r>
          </w:p>
        </w:tc>
        <w:tc>
          <w:tcPr>
            <w:tcW w:w="2697" w:type="dxa"/>
            <w:shd w:val="clear" w:color="auto" w:fill="auto"/>
            <w:vAlign w:val="center"/>
          </w:tcPr>
          <w:p w14:paraId="1B0E9C06"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Mostly health, education, social services</w:t>
            </w:r>
          </w:p>
        </w:tc>
      </w:tr>
      <w:tr w:rsidR="00786CB2" w:rsidRPr="005C3AD2" w14:paraId="712CD521" w14:textId="77777777" w:rsidTr="00B65AC2">
        <w:tc>
          <w:tcPr>
            <w:tcW w:w="1560" w:type="dxa"/>
            <w:shd w:val="clear" w:color="auto" w:fill="auto"/>
            <w:vAlign w:val="center"/>
          </w:tcPr>
          <w:p w14:paraId="5F4BB162"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Offord Group</w:t>
            </w:r>
          </w:p>
        </w:tc>
        <w:tc>
          <w:tcPr>
            <w:tcW w:w="5103" w:type="dxa"/>
            <w:shd w:val="clear" w:color="auto" w:fill="auto"/>
            <w:vAlign w:val="center"/>
          </w:tcPr>
          <w:p w14:paraId="75E0E533"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Counsel, board retreat, staff training, organizational capacity assessment, leadership readiness assessment, fundraising/campaign readiness assessment, strategic marketing and communications, philanthropic consulting</w:t>
            </w:r>
          </w:p>
        </w:tc>
        <w:tc>
          <w:tcPr>
            <w:tcW w:w="2697" w:type="dxa"/>
            <w:shd w:val="clear" w:color="auto" w:fill="auto"/>
            <w:vAlign w:val="center"/>
          </w:tcPr>
          <w:p w14:paraId="4FC5C53F"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 xml:space="preserve">Mostly education and health, </w:t>
            </w:r>
            <w:r w:rsidR="001A09F8" w:rsidRPr="00D61B7C">
              <w:rPr>
                <w:rFonts w:cs="Arial"/>
                <w:sz w:val="18"/>
                <w:szCs w:val="18"/>
                <w:lang w:val="en-GB" w:eastAsia="en-US"/>
              </w:rPr>
              <w:t xml:space="preserve">with </w:t>
            </w:r>
            <w:r w:rsidRPr="00D61B7C">
              <w:rPr>
                <w:rFonts w:cs="Arial"/>
                <w:sz w:val="18"/>
                <w:szCs w:val="18"/>
                <w:lang w:val="en-GB" w:eastAsia="en-US"/>
              </w:rPr>
              <w:t>some arts and culture</w:t>
            </w:r>
          </w:p>
        </w:tc>
      </w:tr>
      <w:tr w:rsidR="00786CB2" w:rsidRPr="005C3AD2" w14:paraId="6BDE5302" w14:textId="77777777" w:rsidTr="00B65AC2">
        <w:tc>
          <w:tcPr>
            <w:tcW w:w="1560" w:type="dxa"/>
            <w:shd w:val="clear" w:color="auto" w:fill="auto"/>
            <w:vAlign w:val="center"/>
          </w:tcPr>
          <w:p w14:paraId="5FF94B9F"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Mendicant Group</w:t>
            </w:r>
          </w:p>
        </w:tc>
        <w:tc>
          <w:tcPr>
            <w:tcW w:w="5103" w:type="dxa"/>
            <w:shd w:val="clear" w:color="auto" w:fill="auto"/>
            <w:vAlign w:val="center"/>
          </w:tcPr>
          <w:p w14:paraId="79D6FDAE"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Societal needs assessment and market research, strategic planning and facilitation, program plans and organizational design, operational effectiveness and monitoring, evaluation</w:t>
            </w:r>
          </w:p>
        </w:tc>
        <w:tc>
          <w:tcPr>
            <w:tcW w:w="2697" w:type="dxa"/>
            <w:shd w:val="clear" w:color="auto" w:fill="auto"/>
            <w:vAlign w:val="center"/>
          </w:tcPr>
          <w:p w14:paraId="47CF0421"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Mostly social services and health</w:t>
            </w:r>
          </w:p>
        </w:tc>
      </w:tr>
      <w:tr w:rsidR="00786CB2" w:rsidRPr="005C3AD2" w14:paraId="5E58E905" w14:textId="77777777" w:rsidTr="00B65AC2">
        <w:tc>
          <w:tcPr>
            <w:tcW w:w="1560" w:type="dxa"/>
            <w:shd w:val="clear" w:color="auto" w:fill="auto"/>
            <w:vAlign w:val="center"/>
          </w:tcPr>
          <w:p w14:paraId="4B235894" w14:textId="77777777" w:rsidR="00786CB2" w:rsidRPr="00D61B7C" w:rsidRDefault="002A3D20" w:rsidP="00E4741D">
            <w:pPr>
              <w:pStyle w:val="ExhibitText"/>
              <w:jc w:val="left"/>
              <w:rPr>
                <w:rFonts w:cs="Arial"/>
                <w:sz w:val="18"/>
                <w:szCs w:val="18"/>
                <w:lang w:val="en-GB" w:eastAsia="en-US"/>
              </w:rPr>
            </w:pPr>
            <w:r>
              <w:rPr>
                <w:rFonts w:cs="Arial"/>
                <w:sz w:val="18"/>
                <w:szCs w:val="18"/>
                <w:lang w:val="en-GB" w:eastAsia="en-US"/>
              </w:rPr>
              <w:t xml:space="preserve">KCI </w:t>
            </w:r>
            <w:r w:rsidR="00786CB2" w:rsidRPr="00D61B7C">
              <w:rPr>
                <w:rFonts w:cs="Arial"/>
                <w:sz w:val="18"/>
                <w:szCs w:val="18"/>
                <w:lang w:val="en-GB" w:eastAsia="en-US"/>
              </w:rPr>
              <w:t>Ketchum Canada</w:t>
            </w:r>
            <w:r w:rsidR="001A09F8" w:rsidRPr="00D61B7C">
              <w:rPr>
                <w:rFonts w:cs="Arial"/>
                <w:sz w:val="18"/>
                <w:szCs w:val="18"/>
                <w:lang w:val="en-GB" w:eastAsia="en-US"/>
              </w:rPr>
              <w:t xml:space="preserve"> Inc.</w:t>
            </w:r>
          </w:p>
        </w:tc>
        <w:tc>
          <w:tcPr>
            <w:tcW w:w="5103" w:type="dxa"/>
            <w:shd w:val="clear" w:color="auto" w:fill="auto"/>
            <w:vAlign w:val="center"/>
          </w:tcPr>
          <w:p w14:paraId="260A127D"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 xml:space="preserve">Fundraising strategy </w:t>
            </w:r>
            <w:r w:rsidR="001A09F8" w:rsidRPr="00D61B7C">
              <w:rPr>
                <w:rFonts w:cs="Arial"/>
                <w:sz w:val="18"/>
                <w:szCs w:val="18"/>
                <w:lang w:val="en-GB" w:eastAsia="en-US"/>
              </w:rPr>
              <w:t>and</w:t>
            </w:r>
            <w:r w:rsidRPr="00D61B7C">
              <w:rPr>
                <w:rFonts w:cs="Arial"/>
                <w:sz w:val="18"/>
                <w:szCs w:val="18"/>
                <w:lang w:val="en-GB" w:eastAsia="en-US"/>
              </w:rPr>
              <w:t xml:space="preserve"> planning, campaign management, strategic planning, executive search, training </w:t>
            </w:r>
            <w:r w:rsidR="001A09F8" w:rsidRPr="00D61B7C">
              <w:rPr>
                <w:rFonts w:cs="Arial"/>
                <w:sz w:val="18"/>
                <w:szCs w:val="18"/>
                <w:lang w:val="en-GB" w:eastAsia="en-US"/>
              </w:rPr>
              <w:t>and</w:t>
            </w:r>
            <w:r w:rsidRPr="00D61B7C">
              <w:rPr>
                <w:rFonts w:cs="Arial"/>
                <w:sz w:val="18"/>
                <w:szCs w:val="18"/>
                <w:lang w:val="en-GB" w:eastAsia="en-US"/>
              </w:rPr>
              <w:t xml:space="preserve"> talent management, communications, prospect research, analytics</w:t>
            </w:r>
          </w:p>
        </w:tc>
        <w:tc>
          <w:tcPr>
            <w:tcW w:w="2697" w:type="dxa"/>
            <w:shd w:val="clear" w:color="auto" w:fill="auto"/>
            <w:vAlign w:val="center"/>
          </w:tcPr>
          <w:p w14:paraId="6B740E63"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 xml:space="preserve">Education, health care, community service, art </w:t>
            </w:r>
            <w:r w:rsidR="001A09F8" w:rsidRPr="00D61B7C">
              <w:rPr>
                <w:rFonts w:cs="Arial"/>
                <w:sz w:val="18"/>
                <w:szCs w:val="18"/>
                <w:lang w:val="en-GB" w:eastAsia="en-US"/>
              </w:rPr>
              <w:t>and</w:t>
            </w:r>
            <w:r w:rsidRPr="00D61B7C">
              <w:rPr>
                <w:rFonts w:cs="Arial"/>
                <w:sz w:val="18"/>
                <w:szCs w:val="18"/>
                <w:lang w:val="en-GB" w:eastAsia="en-US"/>
              </w:rPr>
              <w:t xml:space="preserve"> culture, religion, international</w:t>
            </w:r>
          </w:p>
        </w:tc>
      </w:tr>
      <w:tr w:rsidR="00786CB2" w:rsidRPr="005C3AD2" w14:paraId="7DBB6581" w14:textId="77777777" w:rsidTr="00B65AC2">
        <w:tc>
          <w:tcPr>
            <w:tcW w:w="1560" w:type="dxa"/>
            <w:shd w:val="clear" w:color="auto" w:fill="auto"/>
            <w:vAlign w:val="center"/>
          </w:tcPr>
          <w:p w14:paraId="13F044CD"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Harvey McKinnon Associates</w:t>
            </w:r>
          </w:p>
        </w:tc>
        <w:tc>
          <w:tcPr>
            <w:tcW w:w="5103" w:type="dxa"/>
            <w:shd w:val="clear" w:color="auto" w:fill="auto"/>
            <w:vAlign w:val="center"/>
          </w:tcPr>
          <w:p w14:paraId="038C3A1A"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Integrated fundraising, direct mail, monthly giving, digital fundraising, legacy giving, data intelligence, program audits, fundraising training</w:t>
            </w:r>
          </w:p>
        </w:tc>
        <w:tc>
          <w:tcPr>
            <w:tcW w:w="2697" w:type="dxa"/>
            <w:shd w:val="clear" w:color="auto" w:fill="auto"/>
            <w:vAlign w:val="center"/>
          </w:tcPr>
          <w:p w14:paraId="359DB1D1"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Mostly health, some international development, social services, environmental</w:t>
            </w:r>
          </w:p>
        </w:tc>
      </w:tr>
      <w:tr w:rsidR="00786CB2" w:rsidRPr="005C3AD2" w14:paraId="5546F6C5" w14:textId="77777777" w:rsidTr="00B65AC2">
        <w:tc>
          <w:tcPr>
            <w:tcW w:w="1560" w:type="dxa"/>
            <w:shd w:val="clear" w:color="auto" w:fill="auto"/>
            <w:vAlign w:val="center"/>
          </w:tcPr>
          <w:p w14:paraId="19320A1D"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The Goldie Company</w:t>
            </w:r>
          </w:p>
        </w:tc>
        <w:tc>
          <w:tcPr>
            <w:tcW w:w="5103" w:type="dxa"/>
            <w:shd w:val="clear" w:color="auto" w:fill="auto"/>
            <w:vAlign w:val="center"/>
          </w:tcPr>
          <w:p w14:paraId="2FBAC4F1"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Fundraising, sponsorship, human potential, community engagement, strategic planning</w:t>
            </w:r>
          </w:p>
        </w:tc>
        <w:tc>
          <w:tcPr>
            <w:tcW w:w="2697" w:type="dxa"/>
            <w:shd w:val="clear" w:color="auto" w:fill="auto"/>
            <w:vAlign w:val="center"/>
          </w:tcPr>
          <w:p w14:paraId="2B221331"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Mostly health, community services, children and youth services</w:t>
            </w:r>
          </w:p>
        </w:tc>
      </w:tr>
      <w:tr w:rsidR="00786CB2" w:rsidRPr="005C3AD2" w14:paraId="6CCD25CD" w14:textId="77777777" w:rsidTr="00B65AC2">
        <w:tc>
          <w:tcPr>
            <w:tcW w:w="1560" w:type="dxa"/>
            <w:shd w:val="clear" w:color="auto" w:fill="auto"/>
            <w:vAlign w:val="center"/>
          </w:tcPr>
          <w:p w14:paraId="1E75D7B5"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Blakely Journey</w:t>
            </w:r>
          </w:p>
        </w:tc>
        <w:tc>
          <w:tcPr>
            <w:tcW w:w="5103" w:type="dxa"/>
            <w:shd w:val="clear" w:color="auto" w:fill="auto"/>
            <w:vAlign w:val="center"/>
          </w:tcPr>
          <w:p w14:paraId="29E10310"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Strategy, insights, creative, channels (direct mail, advertising, television)</w:t>
            </w:r>
          </w:p>
        </w:tc>
        <w:tc>
          <w:tcPr>
            <w:tcW w:w="2697" w:type="dxa"/>
            <w:shd w:val="clear" w:color="auto" w:fill="auto"/>
            <w:vAlign w:val="center"/>
          </w:tcPr>
          <w:p w14:paraId="383F3B27"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Mostly health</w:t>
            </w:r>
          </w:p>
        </w:tc>
      </w:tr>
      <w:tr w:rsidR="00786CB2" w:rsidRPr="005C3AD2" w14:paraId="5216BAE0" w14:textId="77777777" w:rsidTr="00B65AC2">
        <w:tc>
          <w:tcPr>
            <w:tcW w:w="1560" w:type="dxa"/>
            <w:shd w:val="clear" w:color="auto" w:fill="auto"/>
            <w:vAlign w:val="center"/>
          </w:tcPr>
          <w:p w14:paraId="15301320"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Manifest Communications</w:t>
            </w:r>
          </w:p>
        </w:tc>
        <w:tc>
          <w:tcPr>
            <w:tcW w:w="5103" w:type="dxa"/>
            <w:shd w:val="clear" w:color="auto" w:fill="auto"/>
            <w:vAlign w:val="center"/>
          </w:tcPr>
          <w:p w14:paraId="705A6A98"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Full-service social marketing and cause marketing agency</w:t>
            </w:r>
          </w:p>
        </w:tc>
        <w:tc>
          <w:tcPr>
            <w:tcW w:w="2697" w:type="dxa"/>
            <w:shd w:val="clear" w:color="auto" w:fill="auto"/>
            <w:vAlign w:val="center"/>
          </w:tcPr>
          <w:p w14:paraId="57B83D5B" w14:textId="77777777" w:rsidR="00786CB2" w:rsidRPr="00D61B7C" w:rsidRDefault="00786CB2" w:rsidP="00E4741D">
            <w:pPr>
              <w:pStyle w:val="ExhibitText"/>
              <w:jc w:val="left"/>
              <w:rPr>
                <w:rFonts w:cs="Arial"/>
                <w:sz w:val="18"/>
                <w:szCs w:val="18"/>
                <w:lang w:val="en-GB" w:eastAsia="en-US"/>
              </w:rPr>
            </w:pPr>
            <w:r w:rsidRPr="00D61B7C">
              <w:rPr>
                <w:rFonts w:cs="Arial"/>
                <w:sz w:val="18"/>
                <w:szCs w:val="18"/>
                <w:lang w:val="en-GB" w:eastAsia="en-US"/>
              </w:rPr>
              <w:t>N</w:t>
            </w:r>
            <w:r w:rsidR="001A09F8" w:rsidRPr="00D61B7C">
              <w:rPr>
                <w:rFonts w:cs="Arial"/>
                <w:sz w:val="18"/>
                <w:szCs w:val="18"/>
                <w:lang w:val="en-GB" w:eastAsia="en-US"/>
              </w:rPr>
              <w:t>on-profit</w:t>
            </w:r>
            <w:r w:rsidRPr="00D61B7C">
              <w:rPr>
                <w:rFonts w:cs="Arial"/>
                <w:sz w:val="18"/>
                <w:szCs w:val="18"/>
                <w:lang w:val="en-GB" w:eastAsia="en-US"/>
              </w:rPr>
              <w:t xml:space="preserve"> (mostly social services and health), for-profit, and government</w:t>
            </w:r>
          </w:p>
        </w:tc>
      </w:tr>
      <w:tr w:rsidR="00786CB2" w:rsidRPr="005C3AD2" w14:paraId="413CD8CA" w14:textId="77777777" w:rsidTr="00B65AC2">
        <w:tc>
          <w:tcPr>
            <w:tcW w:w="1560" w:type="dxa"/>
            <w:shd w:val="clear" w:color="auto" w:fill="auto"/>
            <w:vAlign w:val="center"/>
          </w:tcPr>
          <w:p w14:paraId="4D0C1604" w14:textId="77777777" w:rsidR="00786CB2" w:rsidRPr="00D61B7C" w:rsidRDefault="001A09F8" w:rsidP="00E4741D">
            <w:pPr>
              <w:pStyle w:val="ExhibitText"/>
              <w:jc w:val="left"/>
              <w:rPr>
                <w:rFonts w:cs="Arial"/>
                <w:sz w:val="18"/>
                <w:szCs w:val="18"/>
                <w:lang w:val="en-GB" w:eastAsia="en-US"/>
              </w:rPr>
            </w:pPr>
            <w:r w:rsidRPr="00D61B7C">
              <w:rPr>
                <w:rFonts w:cs="Arial"/>
                <w:sz w:val="18"/>
                <w:szCs w:val="18"/>
                <w:lang w:val="en-GB" w:eastAsia="en-US"/>
              </w:rPr>
              <w:t>c</w:t>
            </w:r>
            <w:r w:rsidR="00786CB2" w:rsidRPr="00D61B7C">
              <w:rPr>
                <w:rFonts w:cs="Arial"/>
                <w:sz w:val="18"/>
                <w:szCs w:val="18"/>
                <w:lang w:val="en-GB" w:eastAsia="en-US"/>
              </w:rPr>
              <w:t>rawfordconnect</w:t>
            </w:r>
          </w:p>
        </w:tc>
        <w:tc>
          <w:tcPr>
            <w:tcW w:w="5103" w:type="dxa"/>
            <w:shd w:val="clear" w:color="auto" w:fill="auto"/>
            <w:vAlign w:val="center"/>
          </w:tcPr>
          <w:p w14:paraId="63B56DD8" w14:textId="77777777" w:rsidR="00786CB2" w:rsidRPr="00D61B7C" w:rsidRDefault="00786CB2" w:rsidP="001D674C">
            <w:pPr>
              <w:pStyle w:val="ExhibitText"/>
              <w:jc w:val="left"/>
              <w:rPr>
                <w:rFonts w:cs="Arial"/>
                <w:sz w:val="18"/>
                <w:szCs w:val="18"/>
                <w:lang w:val="en-GB" w:eastAsia="en-US"/>
              </w:rPr>
            </w:pPr>
            <w:r w:rsidRPr="00D61B7C">
              <w:rPr>
                <w:rFonts w:cs="Arial"/>
                <w:sz w:val="18"/>
                <w:szCs w:val="18"/>
                <w:lang w:val="en-GB" w:eastAsia="en-US"/>
              </w:rPr>
              <w:t>Executive search and talent management</w:t>
            </w:r>
          </w:p>
        </w:tc>
        <w:tc>
          <w:tcPr>
            <w:tcW w:w="2697" w:type="dxa"/>
            <w:shd w:val="clear" w:color="auto" w:fill="auto"/>
            <w:vAlign w:val="center"/>
          </w:tcPr>
          <w:p w14:paraId="4243E1DE" w14:textId="77777777" w:rsidR="00786CB2" w:rsidRPr="00D61B7C" w:rsidRDefault="00786CB2" w:rsidP="001D674C">
            <w:pPr>
              <w:pStyle w:val="ExhibitText"/>
              <w:jc w:val="left"/>
              <w:rPr>
                <w:rFonts w:cs="Arial"/>
                <w:sz w:val="18"/>
                <w:szCs w:val="18"/>
                <w:lang w:val="en-GB" w:eastAsia="en-US"/>
              </w:rPr>
            </w:pPr>
            <w:r w:rsidRPr="00D61B7C">
              <w:rPr>
                <w:rFonts w:cs="Arial"/>
                <w:sz w:val="18"/>
                <w:szCs w:val="18"/>
                <w:lang w:val="en-GB" w:eastAsia="en-US"/>
              </w:rPr>
              <w:t xml:space="preserve">Health, arts </w:t>
            </w:r>
            <w:r w:rsidR="00096A5B" w:rsidRPr="00D61B7C">
              <w:rPr>
                <w:rFonts w:cs="Arial"/>
                <w:sz w:val="18"/>
                <w:szCs w:val="18"/>
                <w:lang w:val="en-GB" w:eastAsia="en-US"/>
              </w:rPr>
              <w:t>and</w:t>
            </w:r>
            <w:r w:rsidRPr="00D61B7C">
              <w:rPr>
                <w:rFonts w:cs="Arial"/>
                <w:sz w:val="18"/>
                <w:szCs w:val="18"/>
                <w:lang w:val="en-GB" w:eastAsia="en-US"/>
              </w:rPr>
              <w:t xml:space="preserve"> culture, education, social services, environmental</w:t>
            </w:r>
          </w:p>
        </w:tc>
      </w:tr>
    </w:tbl>
    <w:p w14:paraId="5655A0BD" w14:textId="77777777" w:rsidR="00786CB2" w:rsidRPr="005C3AD2" w:rsidRDefault="00786CB2" w:rsidP="00786CB2">
      <w:pPr>
        <w:pStyle w:val="ExhibitHeading"/>
        <w:rPr>
          <w:sz w:val="16"/>
          <w:lang w:val="en-GB"/>
        </w:rPr>
      </w:pPr>
    </w:p>
    <w:p w14:paraId="2E0446F5" w14:textId="275860BD" w:rsidR="00AD1531" w:rsidRPr="005C3AD2" w:rsidRDefault="004C30BB" w:rsidP="00725AF1">
      <w:pPr>
        <w:pStyle w:val="Footnote"/>
        <w:rPr>
          <w:lang w:val="en-GB"/>
        </w:rPr>
      </w:pPr>
      <w:r w:rsidRPr="005C3AD2">
        <w:rPr>
          <w:lang w:val="en-GB"/>
        </w:rPr>
        <w:t xml:space="preserve">Source: </w:t>
      </w:r>
      <w:r w:rsidR="00786CB2" w:rsidRPr="005C3AD2">
        <w:rPr>
          <w:lang w:val="en-GB"/>
        </w:rPr>
        <w:t>Endeavour</w:t>
      </w:r>
      <w:r w:rsidR="00096A5B" w:rsidRPr="00096A5B">
        <w:rPr>
          <w:lang w:val="en-GB"/>
        </w:rPr>
        <w:t xml:space="preserve"> Volunteer Consulting for Non-Profits</w:t>
      </w:r>
      <w:r w:rsidR="00096A5B">
        <w:rPr>
          <w:lang w:val="en-GB"/>
        </w:rPr>
        <w:t>,</w:t>
      </w:r>
      <w:r w:rsidR="00096A5B" w:rsidRPr="00096A5B">
        <w:rPr>
          <w:lang w:val="en-GB"/>
        </w:rPr>
        <w:t xml:space="preserve"> </w:t>
      </w:r>
      <w:r w:rsidR="00096A5B" w:rsidRPr="001D674C">
        <w:rPr>
          <w:i/>
          <w:lang w:val="en-GB"/>
        </w:rPr>
        <w:t xml:space="preserve">Endeavour Volunteer Consulting for Non-Profits </w:t>
      </w:r>
      <w:r w:rsidR="00786CB2" w:rsidRPr="001D674C">
        <w:rPr>
          <w:i/>
          <w:lang w:val="en-GB"/>
        </w:rPr>
        <w:t>SAMPLE Project Application and Instructions</w:t>
      </w:r>
      <w:r w:rsidR="00786CB2" w:rsidRPr="005C3AD2">
        <w:rPr>
          <w:lang w:val="en-GB"/>
        </w:rPr>
        <w:t xml:space="preserve">, November 2015, </w:t>
      </w:r>
      <w:r w:rsidR="00096A5B">
        <w:rPr>
          <w:lang w:val="en-GB"/>
        </w:rPr>
        <w:t xml:space="preserve">accessed April 8, 2018, </w:t>
      </w:r>
      <w:r w:rsidR="001A09F8">
        <w:rPr>
          <w:lang w:val="en-GB"/>
        </w:rPr>
        <w:t>http</w:t>
      </w:r>
      <w:r w:rsidR="00096A5B">
        <w:rPr>
          <w:lang w:val="en-GB"/>
        </w:rPr>
        <w:t>s</w:t>
      </w:r>
      <w:r w:rsidR="001A09F8">
        <w:rPr>
          <w:lang w:val="en-GB"/>
        </w:rPr>
        <w:t>://</w:t>
      </w:r>
      <w:r w:rsidR="00786CB2" w:rsidRPr="005C3AD2">
        <w:rPr>
          <w:lang w:val="en-GB"/>
        </w:rPr>
        <w:t>endeavourvolunteer.ca/wp-content/uploads/2017/10/Sample-Client-Application-Form-2015.pdf</w:t>
      </w:r>
      <w:r>
        <w:rPr>
          <w:lang w:val="en-GB"/>
        </w:rPr>
        <w:t>;</w:t>
      </w:r>
      <w:r w:rsidR="001A09F8">
        <w:rPr>
          <w:lang w:val="en-GB"/>
        </w:rPr>
        <w:t xml:space="preserve"> </w:t>
      </w:r>
      <w:r w:rsidR="00096A5B">
        <w:rPr>
          <w:lang w:val="en-GB"/>
        </w:rPr>
        <w:t>“</w:t>
      </w:r>
      <w:r w:rsidR="00786CB2" w:rsidRPr="005C3AD2">
        <w:rPr>
          <w:lang w:val="en-GB"/>
        </w:rPr>
        <w:t xml:space="preserve">Our Services,” </w:t>
      </w:r>
      <w:r w:rsidR="00096A5B" w:rsidRPr="005C3AD2">
        <w:rPr>
          <w:lang w:val="en-GB"/>
        </w:rPr>
        <w:t xml:space="preserve">Fundamentals, </w:t>
      </w:r>
      <w:r w:rsidR="00786CB2" w:rsidRPr="005C3AD2">
        <w:rPr>
          <w:lang w:val="en-GB"/>
        </w:rPr>
        <w:t xml:space="preserve">accessed October 16, 2017, </w:t>
      </w:r>
      <w:r w:rsidR="00096A5B">
        <w:rPr>
          <w:lang w:val="en-GB"/>
        </w:rPr>
        <w:t>https://</w:t>
      </w:r>
      <w:r w:rsidR="00843AE1">
        <w:rPr>
          <w:lang w:val="en-GB"/>
        </w:rPr>
        <w:t>www.</w:t>
      </w:r>
      <w:r w:rsidR="00786CB2" w:rsidRPr="005C3AD2">
        <w:rPr>
          <w:lang w:val="en-GB"/>
        </w:rPr>
        <w:t>fundament</w:t>
      </w:r>
      <w:r w:rsidR="007E55FD" w:rsidRPr="005C3AD2">
        <w:rPr>
          <w:lang w:val="en-GB"/>
        </w:rPr>
        <w:t xml:space="preserve">als.solutions/our-services.html; </w:t>
      </w:r>
      <w:r w:rsidR="00096A5B">
        <w:rPr>
          <w:lang w:val="en-GB"/>
        </w:rPr>
        <w:t>“</w:t>
      </w:r>
      <w:r w:rsidR="007E55FD" w:rsidRPr="005C3AD2">
        <w:rPr>
          <w:lang w:val="en-GB"/>
        </w:rPr>
        <w:t>C</w:t>
      </w:r>
      <w:r w:rsidR="00B65AC2">
        <w:rPr>
          <w:lang w:val="en-GB"/>
        </w:rPr>
        <w:t>lients</w:t>
      </w:r>
      <w:r w:rsidR="007E55FD" w:rsidRPr="005C3AD2">
        <w:rPr>
          <w:lang w:val="en-GB"/>
        </w:rPr>
        <w:t xml:space="preserve">,” </w:t>
      </w:r>
      <w:r w:rsidR="00096A5B" w:rsidRPr="005C3AD2">
        <w:rPr>
          <w:lang w:val="en-GB"/>
        </w:rPr>
        <w:t xml:space="preserve">Fundamentals, </w:t>
      </w:r>
      <w:r w:rsidR="007E55FD" w:rsidRPr="005C3AD2">
        <w:rPr>
          <w:lang w:val="en-GB"/>
        </w:rPr>
        <w:t xml:space="preserve">accessed October 16, 2017, </w:t>
      </w:r>
      <w:r w:rsidR="00096A5B">
        <w:rPr>
          <w:lang w:val="en-GB"/>
        </w:rPr>
        <w:t>https://</w:t>
      </w:r>
      <w:r w:rsidR="00843AE1">
        <w:rPr>
          <w:lang w:val="en-GB"/>
        </w:rPr>
        <w:t>www.</w:t>
      </w:r>
      <w:r w:rsidR="007E55FD" w:rsidRPr="005C3AD2">
        <w:rPr>
          <w:lang w:val="en-GB"/>
        </w:rPr>
        <w:t>fundamentals.solutions/clients.html</w:t>
      </w:r>
      <w:r w:rsidR="00A74517">
        <w:rPr>
          <w:lang w:val="en-GB"/>
        </w:rPr>
        <w:t xml:space="preserve">; </w:t>
      </w:r>
      <w:r w:rsidR="00096A5B">
        <w:rPr>
          <w:lang w:val="en-GB"/>
        </w:rPr>
        <w:t>“</w:t>
      </w:r>
      <w:r w:rsidR="00786CB2" w:rsidRPr="005C3AD2">
        <w:rPr>
          <w:lang w:val="en-GB"/>
        </w:rPr>
        <w:t xml:space="preserve">Services,” </w:t>
      </w:r>
      <w:r w:rsidR="00096A5B" w:rsidRPr="005C3AD2">
        <w:rPr>
          <w:lang w:val="en-GB"/>
        </w:rPr>
        <w:t xml:space="preserve">Peacock, </w:t>
      </w:r>
      <w:r w:rsidR="00786CB2" w:rsidRPr="005C3AD2">
        <w:rPr>
          <w:lang w:val="en-GB"/>
        </w:rPr>
        <w:t>accessed October 16</w:t>
      </w:r>
      <w:r w:rsidR="007E55FD" w:rsidRPr="005C3AD2">
        <w:rPr>
          <w:lang w:val="en-GB"/>
        </w:rPr>
        <w:t xml:space="preserve">, 2017, </w:t>
      </w:r>
      <w:r w:rsidR="001A09F8">
        <w:rPr>
          <w:lang w:val="en-GB"/>
        </w:rPr>
        <w:t>http://</w:t>
      </w:r>
      <w:r w:rsidR="007E55FD" w:rsidRPr="005C3AD2">
        <w:rPr>
          <w:lang w:val="en-GB"/>
        </w:rPr>
        <w:t xml:space="preserve">peacockinc.ca/services/; </w:t>
      </w:r>
      <w:r w:rsidR="00096A5B">
        <w:rPr>
          <w:lang w:val="en-GB"/>
        </w:rPr>
        <w:t>“</w:t>
      </w:r>
      <w:r w:rsidR="007E55FD" w:rsidRPr="005C3AD2">
        <w:rPr>
          <w:lang w:val="en-GB"/>
        </w:rPr>
        <w:t>Clients &amp; Testimonials,</w:t>
      </w:r>
      <w:r w:rsidR="00096A5B">
        <w:rPr>
          <w:lang w:val="en-GB"/>
        </w:rPr>
        <w:t>”</w:t>
      </w:r>
      <w:r w:rsidR="007E55FD" w:rsidRPr="005C3AD2">
        <w:rPr>
          <w:lang w:val="en-GB"/>
        </w:rPr>
        <w:t xml:space="preserve"> </w:t>
      </w:r>
      <w:r w:rsidR="00096A5B" w:rsidRPr="005C3AD2">
        <w:rPr>
          <w:lang w:val="en-GB"/>
        </w:rPr>
        <w:t xml:space="preserve">Peacock, </w:t>
      </w:r>
      <w:r w:rsidR="007E55FD" w:rsidRPr="005C3AD2">
        <w:rPr>
          <w:lang w:val="en-GB"/>
        </w:rPr>
        <w:t xml:space="preserve">accessed October 16, 2017, </w:t>
      </w:r>
      <w:r w:rsidR="00096A5B">
        <w:rPr>
          <w:lang w:val="en-GB"/>
        </w:rPr>
        <w:t>http://</w:t>
      </w:r>
      <w:r w:rsidR="007E55FD" w:rsidRPr="005C3AD2">
        <w:rPr>
          <w:lang w:val="en-GB"/>
        </w:rPr>
        <w:t>peacockinc.ca/clients-testimonials/</w:t>
      </w:r>
      <w:r w:rsidR="00B65AC2">
        <w:rPr>
          <w:lang w:val="en-GB"/>
        </w:rPr>
        <w:t>;</w:t>
      </w:r>
      <w:r w:rsidR="00096A5B">
        <w:rPr>
          <w:lang w:val="en-GB"/>
        </w:rPr>
        <w:t xml:space="preserve"> “</w:t>
      </w:r>
      <w:r w:rsidR="00786CB2" w:rsidRPr="005C3AD2">
        <w:rPr>
          <w:lang w:val="en-GB"/>
        </w:rPr>
        <w:t>Services,</w:t>
      </w:r>
      <w:r w:rsidR="00096A5B">
        <w:rPr>
          <w:lang w:val="en-GB"/>
        </w:rPr>
        <w:t xml:space="preserve">” </w:t>
      </w:r>
      <w:r w:rsidR="00096A5B" w:rsidRPr="005C3AD2">
        <w:rPr>
          <w:lang w:val="en-GB"/>
        </w:rPr>
        <w:t>The Offord Group,</w:t>
      </w:r>
      <w:r w:rsidR="00786CB2" w:rsidRPr="005C3AD2">
        <w:rPr>
          <w:lang w:val="en-GB"/>
        </w:rPr>
        <w:t xml:space="preserve"> accessed October 16, 2017, </w:t>
      </w:r>
      <w:r w:rsidR="00843AE1">
        <w:rPr>
          <w:lang w:val="en-GB"/>
        </w:rPr>
        <w:t>www.</w:t>
      </w:r>
      <w:r w:rsidR="007E55FD" w:rsidRPr="005C3AD2">
        <w:rPr>
          <w:lang w:val="en-GB"/>
        </w:rPr>
        <w:t xml:space="preserve">theoffordgroup.com/services/; </w:t>
      </w:r>
      <w:r w:rsidR="00096A5B">
        <w:rPr>
          <w:lang w:val="en-GB"/>
        </w:rPr>
        <w:t>“</w:t>
      </w:r>
      <w:r w:rsidR="007E55FD" w:rsidRPr="005C3AD2">
        <w:rPr>
          <w:lang w:val="en-GB"/>
        </w:rPr>
        <w:t>Clients,</w:t>
      </w:r>
      <w:r w:rsidR="00096A5B">
        <w:rPr>
          <w:lang w:val="en-GB"/>
        </w:rPr>
        <w:t>”</w:t>
      </w:r>
      <w:r w:rsidR="007E55FD" w:rsidRPr="005C3AD2">
        <w:rPr>
          <w:lang w:val="en-GB"/>
        </w:rPr>
        <w:t xml:space="preserve"> </w:t>
      </w:r>
      <w:r w:rsidR="00096A5B" w:rsidRPr="005C3AD2">
        <w:rPr>
          <w:lang w:val="en-GB"/>
        </w:rPr>
        <w:t xml:space="preserve">The Offord Group, </w:t>
      </w:r>
      <w:r w:rsidR="007E55FD" w:rsidRPr="005C3AD2">
        <w:rPr>
          <w:lang w:val="en-GB"/>
        </w:rPr>
        <w:t xml:space="preserve">accessed October 16, 2017, </w:t>
      </w:r>
      <w:r w:rsidR="00BD4587" w:rsidRPr="00BD4587">
        <w:rPr>
          <w:lang w:val="en-GB"/>
        </w:rPr>
        <w:t>www.theoffordgroup.com/clients/</w:t>
      </w:r>
      <w:r w:rsidR="00A74517">
        <w:rPr>
          <w:lang w:val="en-GB"/>
        </w:rPr>
        <w:t>;</w:t>
      </w:r>
      <w:r w:rsidR="00BD4587">
        <w:rPr>
          <w:lang w:val="en-GB"/>
        </w:rPr>
        <w:t xml:space="preserve"> “</w:t>
      </w:r>
      <w:r w:rsidR="00BD4587">
        <w:t>Mendicant Group,</w:t>
      </w:r>
      <w:r w:rsidR="00BD4587">
        <w:rPr>
          <w:lang w:val="en-US"/>
        </w:rPr>
        <w:t>”</w:t>
      </w:r>
      <w:r w:rsidR="00BD4587">
        <w:t xml:space="preserve"> Mendicant Group, accessed October 16, 2017, </w:t>
      </w:r>
      <w:r w:rsidR="00BD4587" w:rsidRPr="00BD4587">
        <w:t>mendicant.ca</w:t>
      </w:r>
      <w:r w:rsidR="00BD4587">
        <w:rPr>
          <w:lang w:val="en-US"/>
        </w:rPr>
        <w:t xml:space="preserve">; </w:t>
      </w:r>
      <w:r w:rsidR="00786CB2" w:rsidRPr="005C3AD2">
        <w:rPr>
          <w:lang w:val="en-GB"/>
        </w:rPr>
        <w:t xml:space="preserve">Mendicant Group, </w:t>
      </w:r>
      <w:r w:rsidR="00096A5B">
        <w:rPr>
          <w:lang w:val="en-GB"/>
        </w:rPr>
        <w:t>“</w:t>
      </w:r>
      <w:r w:rsidR="007E55FD" w:rsidRPr="005C3AD2">
        <w:rPr>
          <w:lang w:val="en-GB"/>
        </w:rPr>
        <w:t>Our Work: Client List,</w:t>
      </w:r>
      <w:r w:rsidR="00096A5B">
        <w:rPr>
          <w:lang w:val="en-GB"/>
        </w:rPr>
        <w:t>” Mendicant Group,</w:t>
      </w:r>
      <w:r w:rsidR="007E55FD" w:rsidRPr="005C3AD2">
        <w:rPr>
          <w:lang w:val="en-GB"/>
        </w:rPr>
        <w:t xml:space="preserve"> accessed October 16, 2017, </w:t>
      </w:r>
      <w:r w:rsidR="00096A5B">
        <w:rPr>
          <w:lang w:val="en-GB"/>
        </w:rPr>
        <w:t>https://</w:t>
      </w:r>
      <w:r w:rsidR="007E55FD" w:rsidRPr="005C3AD2">
        <w:rPr>
          <w:lang w:val="en-GB"/>
        </w:rPr>
        <w:t>mendicant.ca/clients.html</w:t>
      </w:r>
      <w:r w:rsidR="00A74517">
        <w:rPr>
          <w:lang w:val="en-GB"/>
        </w:rPr>
        <w:t>;</w:t>
      </w:r>
      <w:r w:rsidR="006A572D" w:rsidRPr="005C3AD2">
        <w:rPr>
          <w:vertAlign w:val="superscript"/>
          <w:lang w:val="en-GB"/>
        </w:rPr>
        <w:t xml:space="preserve"> </w:t>
      </w:r>
      <w:r w:rsidR="00096A5B">
        <w:rPr>
          <w:lang w:val="en-GB"/>
        </w:rPr>
        <w:t>“</w:t>
      </w:r>
      <w:r w:rsidR="006A572D" w:rsidRPr="005C3AD2">
        <w:rPr>
          <w:lang w:val="en-GB"/>
        </w:rPr>
        <w:t xml:space="preserve">KCI Ketchum Canada,” LinkedIn, accessed October 10, 2017, </w:t>
      </w:r>
      <w:r w:rsidR="00843AE1">
        <w:rPr>
          <w:lang w:val="en-GB"/>
        </w:rPr>
        <w:t>www.</w:t>
      </w:r>
      <w:r w:rsidR="006A572D" w:rsidRPr="005C3AD2">
        <w:rPr>
          <w:lang w:val="en-GB"/>
        </w:rPr>
        <w:t>ca.linkedin.com/company/kci-ketchum-canada</w:t>
      </w:r>
      <w:r w:rsidR="007E55FD" w:rsidRPr="005C3AD2">
        <w:rPr>
          <w:lang w:val="en-GB"/>
        </w:rPr>
        <w:t xml:space="preserve">; </w:t>
      </w:r>
      <w:r w:rsidR="00096A5B">
        <w:rPr>
          <w:lang w:val="en-GB"/>
        </w:rPr>
        <w:t>“</w:t>
      </w:r>
      <w:r w:rsidR="007E55FD" w:rsidRPr="005C3AD2">
        <w:rPr>
          <w:lang w:val="en-GB"/>
        </w:rPr>
        <w:t>Clients,”</w:t>
      </w:r>
      <w:r w:rsidR="00096A5B" w:rsidRPr="005C3AD2">
        <w:rPr>
          <w:lang w:val="en-GB"/>
        </w:rPr>
        <w:t xml:space="preserve"> Ketchum Canada</w:t>
      </w:r>
      <w:r w:rsidR="00096A5B">
        <w:rPr>
          <w:lang w:val="en-GB"/>
        </w:rPr>
        <w:t xml:space="preserve"> Inc.</w:t>
      </w:r>
      <w:r w:rsidR="00096A5B" w:rsidRPr="005C3AD2">
        <w:rPr>
          <w:lang w:val="en-GB"/>
        </w:rPr>
        <w:t>,</w:t>
      </w:r>
      <w:r w:rsidR="007E55FD" w:rsidRPr="005C3AD2">
        <w:rPr>
          <w:lang w:val="en-GB"/>
        </w:rPr>
        <w:t xml:space="preserve"> accessed October 17, 2017, </w:t>
      </w:r>
      <w:r w:rsidR="001A09F8">
        <w:rPr>
          <w:lang w:val="en-GB"/>
        </w:rPr>
        <w:t>http://</w:t>
      </w:r>
      <w:r w:rsidR="007E55FD" w:rsidRPr="005C3AD2">
        <w:rPr>
          <w:lang w:val="en-GB"/>
        </w:rPr>
        <w:t>kciphilanthropy.com/lang/en/#panel-5-b</w:t>
      </w:r>
      <w:r w:rsidR="00B65AC2">
        <w:rPr>
          <w:lang w:val="en-GB"/>
        </w:rPr>
        <w:t xml:space="preserve">; </w:t>
      </w:r>
      <w:r w:rsidR="00096A5B">
        <w:rPr>
          <w:lang w:val="en-GB"/>
        </w:rPr>
        <w:t>“</w:t>
      </w:r>
      <w:r w:rsidR="00786CB2" w:rsidRPr="005C3AD2">
        <w:rPr>
          <w:lang w:val="en-GB"/>
        </w:rPr>
        <w:t>Services,</w:t>
      </w:r>
      <w:r w:rsidR="00096A5B">
        <w:rPr>
          <w:lang w:val="en-GB"/>
        </w:rPr>
        <w:t>”</w:t>
      </w:r>
      <w:r w:rsidR="00786CB2" w:rsidRPr="005C3AD2">
        <w:rPr>
          <w:lang w:val="en-GB"/>
        </w:rPr>
        <w:t xml:space="preserve"> </w:t>
      </w:r>
      <w:r w:rsidR="00096A5B" w:rsidRPr="005C3AD2">
        <w:rPr>
          <w:lang w:val="en-GB"/>
        </w:rPr>
        <w:t xml:space="preserve">Harvey McKinnon Associates, </w:t>
      </w:r>
      <w:r w:rsidR="00786CB2" w:rsidRPr="005C3AD2">
        <w:rPr>
          <w:lang w:val="en-GB"/>
        </w:rPr>
        <w:t>accessed October 17, 201</w:t>
      </w:r>
      <w:r w:rsidR="007E55FD" w:rsidRPr="005C3AD2">
        <w:rPr>
          <w:lang w:val="en-GB"/>
        </w:rPr>
        <w:t xml:space="preserve">7, </w:t>
      </w:r>
      <w:r w:rsidR="00843AE1">
        <w:rPr>
          <w:lang w:val="en-GB"/>
        </w:rPr>
        <w:t>www.</w:t>
      </w:r>
      <w:r w:rsidR="007E55FD" w:rsidRPr="005C3AD2">
        <w:rPr>
          <w:lang w:val="en-GB"/>
        </w:rPr>
        <w:t xml:space="preserve">harveymckinnon.com/services/; </w:t>
      </w:r>
      <w:r w:rsidR="00096A5B">
        <w:rPr>
          <w:lang w:val="en-GB"/>
        </w:rPr>
        <w:t>“</w:t>
      </w:r>
      <w:r w:rsidR="00096A5B" w:rsidRPr="005C3AD2">
        <w:rPr>
          <w:lang w:val="en-GB"/>
        </w:rPr>
        <w:t>Our Clients,</w:t>
      </w:r>
      <w:r w:rsidR="00096A5B">
        <w:rPr>
          <w:lang w:val="en-GB"/>
        </w:rPr>
        <w:t>”</w:t>
      </w:r>
      <w:r w:rsidR="00096A5B" w:rsidRPr="005C3AD2">
        <w:rPr>
          <w:lang w:val="en-GB"/>
        </w:rPr>
        <w:t xml:space="preserve"> </w:t>
      </w:r>
      <w:r w:rsidR="007E55FD" w:rsidRPr="005C3AD2">
        <w:rPr>
          <w:lang w:val="en-GB"/>
        </w:rPr>
        <w:t xml:space="preserve">Harvey McKinnon Associates, accessed October 17, 2017, </w:t>
      </w:r>
      <w:r w:rsidR="00843AE1">
        <w:rPr>
          <w:lang w:val="en-GB"/>
        </w:rPr>
        <w:t>www</w:t>
      </w:r>
      <w:r w:rsidR="007E55FD" w:rsidRPr="005C3AD2">
        <w:rPr>
          <w:lang w:val="en-GB"/>
        </w:rPr>
        <w:t>harveymckinnon.com/about-us/our-clients/</w:t>
      </w:r>
      <w:r w:rsidR="00B65AC2">
        <w:rPr>
          <w:lang w:val="en-GB"/>
        </w:rPr>
        <w:t xml:space="preserve">; </w:t>
      </w:r>
      <w:r w:rsidR="00096A5B">
        <w:rPr>
          <w:lang w:val="en-GB"/>
        </w:rPr>
        <w:t>“</w:t>
      </w:r>
      <w:r w:rsidR="00096A5B" w:rsidRPr="005C3AD2">
        <w:rPr>
          <w:lang w:val="en-GB"/>
        </w:rPr>
        <w:t>Our Services,</w:t>
      </w:r>
      <w:r w:rsidR="00096A5B">
        <w:rPr>
          <w:lang w:val="en-GB"/>
        </w:rPr>
        <w:t>”</w:t>
      </w:r>
      <w:r w:rsidR="00096A5B" w:rsidRPr="005C3AD2">
        <w:rPr>
          <w:lang w:val="en-GB"/>
        </w:rPr>
        <w:t xml:space="preserve"> </w:t>
      </w:r>
      <w:r w:rsidR="00AD1531" w:rsidRPr="005C3AD2">
        <w:rPr>
          <w:lang w:val="en-GB"/>
        </w:rPr>
        <w:t xml:space="preserve">The Goldie Company, accessed October 18, 2017, </w:t>
      </w:r>
      <w:r w:rsidR="00096A5B">
        <w:rPr>
          <w:lang w:val="en-GB"/>
        </w:rPr>
        <w:t>http://</w:t>
      </w:r>
      <w:r w:rsidR="00AD1531" w:rsidRPr="005C3AD2">
        <w:rPr>
          <w:lang w:val="en-GB"/>
        </w:rPr>
        <w:t>thegoldiecompany.com/our-services/</w:t>
      </w:r>
      <w:r w:rsidR="007E55FD" w:rsidRPr="005C3AD2">
        <w:rPr>
          <w:lang w:val="en-GB"/>
        </w:rPr>
        <w:t xml:space="preserve">; </w:t>
      </w:r>
      <w:r w:rsidR="00656377">
        <w:rPr>
          <w:lang w:val="en-GB"/>
        </w:rPr>
        <w:t>“</w:t>
      </w:r>
      <w:r w:rsidR="00656377" w:rsidRPr="005C3AD2">
        <w:rPr>
          <w:lang w:val="en-GB"/>
        </w:rPr>
        <w:t>Case Studies,</w:t>
      </w:r>
      <w:r w:rsidR="00656377">
        <w:rPr>
          <w:lang w:val="en-GB"/>
        </w:rPr>
        <w:t>”</w:t>
      </w:r>
      <w:r w:rsidR="00656377" w:rsidRPr="005C3AD2">
        <w:rPr>
          <w:lang w:val="en-GB"/>
        </w:rPr>
        <w:t xml:space="preserve"> </w:t>
      </w:r>
      <w:r w:rsidR="007E55FD" w:rsidRPr="005C3AD2">
        <w:rPr>
          <w:lang w:val="en-GB"/>
        </w:rPr>
        <w:t xml:space="preserve">The Goldie Company, accessed October 10, 2017, </w:t>
      </w:r>
      <w:r w:rsidR="00656377">
        <w:rPr>
          <w:lang w:val="en-GB"/>
        </w:rPr>
        <w:t>http://</w:t>
      </w:r>
      <w:r w:rsidR="007E55FD" w:rsidRPr="005C3AD2">
        <w:rPr>
          <w:lang w:val="en-GB"/>
        </w:rPr>
        <w:t>thegoldiecompany.com/case-studies/</w:t>
      </w:r>
      <w:r w:rsidR="00B65AC2">
        <w:rPr>
          <w:lang w:val="en-GB"/>
        </w:rPr>
        <w:t xml:space="preserve">; </w:t>
      </w:r>
      <w:r w:rsidR="00656377">
        <w:rPr>
          <w:lang w:val="en-GB"/>
        </w:rPr>
        <w:t>“</w:t>
      </w:r>
      <w:r w:rsidR="00AD1531" w:rsidRPr="005C3AD2">
        <w:rPr>
          <w:lang w:val="en-GB"/>
        </w:rPr>
        <w:t>Welcome to an Agency with Benefits,”</w:t>
      </w:r>
      <w:r w:rsidR="00656377">
        <w:rPr>
          <w:lang w:val="en-GB"/>
        </w:rPr>
        <w:t xml:space="preserve"> </w:t>
      </w:r>
      <w:r w:rsidR="00656377" w:rsidRPr="005C3AD2">
        <w:rPr>
          <w:lang w:val="en-GB"/>
        </w:rPr>
        <w:t>Blakely Journey,</w:t>
      </w:r>
      <w:r w:rsidR="00AD1531" w:rsidRPr="005C3AD2">
        <w:rPr>
          <w:lang w:val="en-GB"/>
        </w:rPr>
        <w:t xml:space="preserve"> accessed October 30, 2017, </w:t>
      </w:r>
      <w:r w:rsidR="00656377">
        <w:rPr>
          <w:lang w:val="en-GB"/>
        </w:rPr>
        <w:t>http://</w:t>
      </w:r>
      <w:r w:rsidR="00AD1531" w:rsidRPr="005C3AD2">
        <w:rPr>
          <w:lang w:val="en-GB"/>
        </w:rPr>
        <w:t>blakelyjourney.com/#talk-to-us</w:t>
      </w:r>
      <w:r w:rsidR="007E55FD" w:rsidRPr="005C3AD2">
        <w:rPr>
          <w:lang w:val="en-GB"/>
        </w:rPr>
        <w:t xml:space="preserve">; </w:t>
      </w:r>
      <w:r w:rsidR="00656377">
        <w:rPr>
          <w:lang w:val="en-GB"/>
        </w:rPr>
        <w:t>“</w:t>
      </w:r>
      <w:r w:rsidR="00656377" w:rsidRPr="005C3AD2">
        <w:rPr>
          <w:lang w:val="en-GB"/>
        </w:rPr>
        <w:t>Our Work,</w:t>
      </w:r>
      <w:r w:rsidR="00656377">
        <w:rPr>
          <w:lang w:val="en-GB"/>
        </w:rPr>
        <w:t>”</w:t>
      </w:r>
      <w:r w:rsidR="00656377" w:rsidRPr="005C3AD2">
        <w:rPr>
          <w:lang w:val="en-GB"/>
        </w:rPr>
        <w:t xml:space="preserve"> </w:t>
      </w:r>
      <w:r w:rsidR="00AD1531" w:rsidRPr="005C3AD2">
        <w:rPr>
          <w:lang w:val="en-GB"/>
        </w:rPr>
        <w:t xml:space="preserve">Manifest Communications, accessed October 17, 2017, </w:t>
      </w:r>
      <w:r w:rsidR="001A09F8">
        <w:rPr>
          <w:lang w:val="en-GB"/>
        </w:rPr>
        <w:t>http://</w:t>
      </w:r>
      <w:r w:rsidR="00AD1531" w:rsidRPr="005C3AD2">
        <w:rPr>
          <w:lang w:val="en-GB"/>
        </w:rPr>
        <w:t>manifestcom.com/change/our-work/</w:t>
      </w:r>
      <w:r w:rsidR="007E55FD" w:rsidRPr="005C3AD2">
        <w:rPr>
          <w:lang w:val="en-GB"/>
        </w:rPr>
        <w:t xml:space="preserve">; </w:t>
      </w:r>
      <w:r w:rsidR="00AD1531" w:rsidRPr="005C3AD2">
        <w:rPr>
          <w:lang w:val="en-GB"/>
        </w:rPr>
        <w:t xml:space="preserve">crawfordconnect </w:t>
      </w:r>
      <w:r w:rsidR="00AD1531" w:rsidRPr="005C3AD2">
        <w:rPr>
          <w:i/>
          <w:lang w:val="en-GB"/>
        </w:rPr>
        <w:t>Introducing crawfordconnect</w:t>
      </w:r>
      <w:r w:rsidR="00AD1531" w:rsidRPr="005C3AD2">
        <w:rPr>
          <w:lang w:val="en-GB"/>
        </w:rPr>
        <w:t>, June 2017,</w:t>
      </w:r>
      <w:r w:rsidR="00656377">
        <w:rPr>
          <w:lang w:val="en-GB"/>
        </w:rPr>
        <w:t xml:space="preserve"> accessed April 8, 2018, </w:t>
      </w:r>
      <w:r w:rsidR="00AD1531" w:rsidRPr="005C3AD2">
        <w:rPr>
          <w:lang w:val="en-GB"/>
        </w:rPr>
        <w:t>crawfordconnect.com/wp-content/uploads/2017/10/cc-Brochure-June-2017.pptx.</w:t>
      </w:r>
    </w:p>
    <w:p w14:paraId="7522E5BD" w14:textId="77777777" w:rsidR="00AD1531" w:rsidRPr="005C3AD2" w:rsidRDefault="00AD1531" w:rsidP="00786CB2">
      <w:pPr>
        <w:pStyle w:val="Footnote"/>
        <w:rPr>
          <w:lang w:val="en-GB"/>
        </w:rPr>
      </w:pPr>
    </w:p>
    <w:p w14:paraId="56D48177" w14:textId="77777777" w:rsidR="00AD1531" w:rsidRPr="00843FF2" w:rsidRDefault="00AD1531" w:rsidP="00AD1531">
      <w:pPr>
        <w:pStyle w:val="ExhibitHeading"/>
        <w:rPr>
          <w:sz w:val="20"/>
          <w:lang w:val="en-GB"/>
        </w:rPr>
      </w:pPr>
      <w:r w:rsidRPr="00843FF2">
        <w:rPr>
          <w:sz w:val="20"/>
          <w:lang w:val="en-GB"/>
        </w:rPr>
        <w:lastRenderedPageBreak/>
        <w:t>Exhibit 3: S</w:t>
      </w:r>
      <w:r w:rsidR="001822D8" w:rsidRPr="00843FF2">
        <w:rPr>
          <w:sz w:val="20"/>
          <w:lang w:val="en-GB"/>
        </w:rPr>
        <w:t xml:space="preserve">ocial </w:t>
      </w:r>
      <w:r w:rsidRPr="00843FF2">
        <w:rPr>
          <w:sz w:val="20"/>
          <w:lang w:val="en-GB"/>
        </w:rPr>
        <w:t>F</w:t>
      </w:r>
      <w:r w:rsidR="001822D8" w:rsidRPr="00843FF2">
        <w:rPr>
          <w:sz w:val="20"/>
          <w:lang w:val="en-GB"/>
        </w:rPr>
        <w:t xml:space="preserve">ocus </w:t>
      </w:r>
      <w:r w:rsidRPr="00843FF2">
        <w:rPr>
          <w:sz w:val="20"/>
          <w:lang w:val="en-GB"/>
        </w:rPr>
        <w:t>C</w:t>
      </w:r>
      <w:r w:rsidR="001822D8" w:rsidRPr="00843FF2">
        <w:rPr>
          <w:sz w:val="20"/>
          <w:lang w:val="en-GB"/>
        </w:rPr>
        <w:t>onsulting</w:t>
      </w:r>
      <w:r w:rsidRPr="00843FF2">
        <w:rPr>
          <w:sz w:val="20"/>
          <w:lang w:val="en-GB"/>
        </w:rPr>
        <w:t xml:space="preserve"> </w:t>
      </w:r>
      <w:r w:rsidR="001822D8" w:rsidRPr="00843FF2">
        <w:rPr>
          <w:sz w:val="20"/>
          <w:lang w:val="en-GB"/>
        </w:rPr>
        <w:t>Five-</w:t>
      </w:r>
      <w:r w:rsidRPr="00843FF2">
        <w:rPr>
          <w:sz w:val="20"/>
          <w:lang w:val="en-GB"/>
        </w:rPr>
        <w:t>C</w:t>
      </w:r>
      <w:r w:rsidR="00DF0CEC" w:rsidRPr="00843FF2">
        <w:rPr>
          <w:sz w:val="20"/>
          <w:lang w:val="en-GB"/>
        </w:rPr>
        <w:t>’</w:t>
      </w:r>
      <w:r w:rsidRPr="00843FF2">
        <w:rPr>
          <w:sz w:val="20"/>
          <w:lang w:val="en-GB"/>
        </w:rPr>
        <w:t xml:space="preserve">s framework </w:t>
      </w:r>
      <w:r w:rsidR="001822D8" w:rsidRPr="00843FF2">
        <w:rPr>
          <w:sz w:val="20"/>
          <w:lang w:val="en-GB"/>
        </w:rPr>
        <w:t>(Selection)</w:t>
      </w:r>
    </w:p>
    <w:p w14:paraId="31778B2C" w14:textId="77777777" w:rsidR="00AD1531" w:rsidRPr="005C3AD2" w:rsidRDefault="00AD1531" w:rsidP="00AD1531">
      <w:pPr>
        <w:pStyle w:val="BodyTextMain"/>
        <w:rPr>
          <w:lang w:val="en-GB"/>
        </w:rPr>
      </w:pPr>
    </w:p>
    <w:p w14:paraId="5222E1C3" w14:textId="77777777" w:rsidR="00AD1531" w:rsidRPr="00843FF2" w:rsidRDefault="00AD1531" w:rsidP="00041585">
      <w:pPr>
        <w:pStyle w:val="Casehead2"/>
        <w:rPr>
          <w:sz w:val="20"/>
        </w:rPr>
      </w:pPr>
      <w:r w:rsidRPr="00843FF2">
        <w:rPr>
          <w:sz w:val="20"/>
        </w:rPr>
        <w:t xml:space="preserve">Company </w:t>
      </w:r>
      <w:r w:rsidR="00656174" w:rsidRPr="00843FF2">
        <w:rPr>
          <w:sz w:val="20"/>
        </w:rPr>
        <w:t>P</w:t>
      </w:r>
      <w:r w:rsidRPr="00843FF2">
        <w:rPr>
          <w:sz w:val="20"/>
        </w:rPr>
        <w:t>erspective</w:t>
      </w:r>
    </w:p>
    <w:p w14:paraId="1F3BDA52" w14:textId="77777777" w:rsidR="00AD1531" w:rsidRPr="005C3AD2" w:rsidRDefault="00AD1531" w:rsidP="00AD1531">
      <w:pPr>
        <w:pStyle w:val="ExhibitText"/>
        <w:rPr>
          <w:lang w:val="en-GB"/>
        </w:rPr>
      </w:pPr>
    </w:p>
    <w:p w14:paraId="56334584" w14:textId="77777777" w:rsidR="00AD1531" w:rsidRPr="00041585" w:rsidRDefault="00AD1531" w:rsidP="007354CE">
      <w:pPr>
        <w:pStyle w:val="ExhibitText"/>
        <w:numPr>
          <w:ilvl w:val="0"/>
          <w:numId w:val="1"/>
        </w:numPr>
        <w:rPr>
          <w:sz w:val="20"/>
          <w:lang w:val="en-GB"/>
        </w:rPr>
      </w:pPr>
      <w:r w:rsidRPr="00041585">
        <w:rPr>
          <w:sz w:val="20"/>
          <w:lang w:val="en-GB"/>
        </w:rPr>
        <w:t>Challenges?</w:t>
      </w:r>
    </w:p>
    <w:p w14:paraId="07FECEF8" w14:textId="77777777" w:rsidR="001822D8" w:rsidRPr="00041585" w:rsidRDefault="00AD1531" w:rsidP="001822D8">
      <w:pPr>
        <w:pStyle w:val="ExhibitText"/>
        <w:numPr>
          <w:ilvl w:val="0"/>
          <w:numId w:val="1"/>
        </w:numPr>
        <w:rPr>
          <w:sz w:val="20"/>
          <w:lang w:val="en-GB"/>
        </w:rPr>
      </w:pPr>
      <w:r w:rsidRPr="00041585">
        <w:rPr>
          <w:sz w:val="20"/>
          <w:lang w:val="en-GB"/>
        </w:rPr>
        <w:t>Goals</w:t>
      </w:r>
    </w:p>
    <w:p w14:paraId="5556B6CA" w14:textId="77777777" w:rsidR="00AD1531" w:rsidRPr="00041585" w:rsidRDefault="00AD1531" w:rsidP="007354CE">
      <w:pPr>
        <w:pStyle w:val="ExhibitText"/>
        <w:numPr>
          <w:ilvl w:val="0"/>
          <w:numId w:val="2"/>
        </w:numPr>
        <w:rPr>
          <w:sz w:val="20"/>
          <w:lang w:val="en-GB"/>
        </w:rPr>
      </w:pPr>
      <w:r w:rsidRPr="00041585">
        <w:rPr>
          <w:sz w:val="20"/>
          <w:lang w:val="en-GB"/>
        </w:rPr>
        <w:t>Mission, Vision, Values?</w:t>
      </w:r>
    </w:p>
    <w:p w14:paraId="7AAF5426" w14:textId="77777777" w:rsidR="00AD1531" w:rsidRPr="00041585" w:rsidRDefault="00AD1531" w:rsidP="007354CE">
      <w:pPr>
        <w:pStyle w:val="ExhibitText"/>
        <w:numPr>
          <w:ilvl w:val="0"/>
          <w:numId w:val="1"/>
        </w:numPr>
        <w:rPr>
          <w:sz w:val="20"/>
          <w:lang w:val="en-GB"/>
        </w:rPr>
      </w:pPr>
      <w:r w:rsidRPr="00041585">
        <w:rPr>
          <w:sz w:val="20"/>
          <w:lang w:val="en-GB"/>
        </w:rPr>
        <w:t>Programs and Services?</w:t>
      </w:r>
    </w:p>
    <w:p w14:paraId="333C1DCE" w14:textId="77777777" w:rsidR="00AD1531" w:rsidRPr="00041585" w:rsidRDefault="00AD1531" w:rsidP="007354CE">
      <w:pPr>
        <w:pStyle w:val="ExhibitText"/>
        <w:numPr>
          <w:ilvl w:val="0"/>
          <w:numId w:val="1"/>
        </w:numPr>
        <w:rPr>
          <w:sz w:val="20"/>
          <w:lang w:val="en-GB"/>
        </w:rPr>
      </w:pPr>
      <w:r w:rsidRPr="00041585">
        <w:rPr>
          <w:sz w:val="20"/>
          <w:lang w:val="en-GB"/>
        </w:rPr>
        <w:t>Level of impact? (i.e.</w:t>
      </w:r>
      <w:r w:rsidR="001822D8" w:rsidRPr="00041585">
        <w:rPr>
          <w:sz w:val="20"/>
          <w:lang w:val="en-GB"/>
        </w:rPr>
        <w:t>,</w:t>
      </w:r>
      <w:r w:rsidRPr="00041585">
        <w:rPr>
          <w:sz w:val="20"/>
          <w:lang w:val="en-GB"/>
        </w:rPr>
        <w:t xml:space="preserve"> number of people served annually)</w:t>
      </w:r>
    </w:p>
    <w:p w14:paraId="2450462C" w14:textId="77777777" w:rsidR="00AD1531" w:rsidRPr="00041585" w:rsidRDefault="00AD1531" w:rsidP="007354CE">
      <w:pPr>
        <w:pStyle w:val="ExhibitText"/>
        <w:numPr>
          <w:ilvl w:val="0"/>
          <w:numId w:val="1"/>
        </w:numPr>
        <w:rPr>
          <w:sz w:val="20"/>
          <w:lang w:val="en-GB"/>
        </w:rPr>
      </w:pPr>
      <w:r w:rsidRPr="00041585">
        <w:rPr>
          <w:sz w:val="20"/>
          <w:lang w:val="en-GB"/>
        </w:rPr>
        <w:t>One site or multiple locations?</w:t>
      </w:r>
    </w:p>
    <w:p w14:paraId="36A0D3C3" w14:textId="77777777" w:rsidR="00AD1531" w:rsidRPr="00041585" w:rsidRDefault="00AD1531" w:rsidP="007354CE">
      <w:pPr>
        <w:pStyle w:val="ExhibitText"/>
        <w:numPr>
          <w:ilvl w:val="0"/>
          <w:numId w:val="1"/>
        </w:numPr>
        <w:rPr>
          <w:sz w:val="20"/>
          <w:lang w:val="en-GB"/>
        </w:rPr>
      </w:pPr>
      <w:r w:rsidRPr="00041585">
        <w:rPr>
          <w:sz w:val="20"/>
          <w:lang w:val="en-GB"/>
        </w:rPr>
        <w:t>Resources</w:t>
      </w:r>
    </w:p>
    <w:p w14:paraId="52E8A825" w14:textId="77777777" w:rsidR="00AD1531" w:rsidRPr="00041585" w:rsidRDefault="001822D8" w:rsidP="007354CE">
      <w:pPr>
        <w:pStyle w:val="ExhibitText"/>
        <w:numPr>
          <w:ilvl w:val="0"/>
          <w:numId w:val="3"/>
        </w:numPr>
        <w:rPr>
          <w:sz w:val="20"/>
          <w:lang w:val="en-GB"/>
        </w:rPr>
      </w:pPr>
      <w:r w:rsidRPr="00041585">
        <w:rPr>
          <w:sz w:val="20"/>
          <w:lang w:val="en-GB"/>
        </w:rPr>
        <w:t>S</w:t>
      </w:r>
      <w:r w:rsidR="00AD1531" w:rsidRPr="00041585">
        <w:rPr>
          <w:sz w:val="20"/>
          <w:lang w:val="en-GB"/>
        </w:rPr>
        <w:t>taff (FT and PT) and organizational structure?</w:t>
      </w:r>
    </w:p>
    <w:p w14:paraId="42877825" w14:textId="77777777" w:rsidR="00AD1531" w:rsidRPr="00041585" w:rsidRDefault="001822D8" w:rsidP="007354CE">
      <w:pPr>
        <w:pStyle w:val="ExhibitText"/>
        <w:numPr>
          <w:ilvl w:val="0"/>
          <w:numId w:val="3"/>
        </w:numPr>
        <w:rPr>
          <w:sz w:val="20"/>
          <w:lang w:val="en-GB"/>
        </w:rPr>
      </w:pPr>
      <w:r w:rsidRPr="00041585">
        <w:rPr>
          <w:sz w:val="20"/>
          <w:lang w:val="en-GB"/>
        </w:rPr>
        <w:t>V</w:t>
      </w:r>
      <w:r w:rsidR="00AD1531" w:rsidRPr="00041585">
        <w:rPr>
          <w:sz w:val="20"/>
          <w:lang w:val="en-GB"/>
        </w:rPr>
        <w:t>olunteers?</w:t>
      </w:r>
    </w:p>
    <w:p w14:paraId="62190213" w14:textId="77777777" w:rsidR="00AD1531" w:rsidRPr="00041585" w:rsidRDefault="001822D8" w:rsidP="007354CE">
      <w:pPr>
        <w:pStyle w:val="ExhibitText"/>
        <w:numPr>
          <w:ilvl w:val="0"/>
          <w:numId w:val="3"/>
        </w:numPr>
        <w:rPr>
          <w:sz w:val="20"/>
          <w:lang w:val="en-GB"/>
        </w:rPr>
      </w:pPr>
      <w:r w:rsidRPr="00041585">
        <w:rPr>
          <w:sz w:val="20"/>
          <w:lang w:val="en-GB"/>
        </w:rPr>
        <w:t>F</w:t>
      </w:r>
      <w:r w:rsidR="00AD1531" w:rsidRPr="00041585">
        <w:rPr>
          <w:sz w:val="20"/>
          <w:lang w:val="en-GB"/>
        </w:rPr>
        <w:t>unding? (</w:t>
      </w:r>
      <w:r w:rsidRPr="00041585">
        <w:rPr>
          <w:sz w:val="20"/>
          <w:lang w:val="en-GB"/>
        </w:rPr>
        <w:t>W</w:t>
      </w:r>
      <w:r w:rsidR="00AD1531" w:rsidRPr="00041585">
        <w:rPr>
          <w:sz w:val="20"/>
          <w:lang w:val="en-GB"/>
        </w:rPr>
        <w:t>hat is their financial health?)</w:t>
      </w:r>
    </w:p>
    <w:p w14:paraId="74717C8C" w14:textId="77777777" w:rsidR="00AD1531" w:rsidRPr="00041585" w:rsidRDefault="00AD1531" w:rsidP="007354CE">
      <w:pPr>
        <w:pStyle w:val="ExhibitText"/>
        <w:numPr>
          <w:ilvl w:val="0"/>
          <w:numId w:val="1"/>
        </w:numPr>
        <w:rPr>
          <w:sz w:val="20"/>
          <w:lang w:val="en-GB"/>
        </w:rPr>
      </w:pPr>
      <w:r w:rsidRPr="00041585">
        <w:rPr>
          <w:sz w:val="20"/>
          <w:lang w:val="en-GB"/>
        </w:rPr>
        <w:t xml:space="preserve">Marketing </w:t>
      </w:r>
      <w:r w:rsidR="00656174" w:rsidRPr="00041585">
        <w:rPr>
          <w:sz w:val="20"/>
          <w:lang w:val="en-GB"/>
        </w:rPr>
        <w:t>E</w:t>
      </w:r>
      <w:r w:rsidRPr="00041585">
        <w:rPr>
          <w:sz w:val="20"/>
          <w:lang w:val="en-GB"/>
        </w:rPr>
        <w:t>fforts</w:t>
      </w:r>
    </w:p>
    <w:p w14:paraId="40C40B68" w14:textId="7F02E4C4" w:rsidR="00AD1531" w:rsidRPr="00041585" w:rsidRDefault="00656174" w:rsidP="007354CE">
      <w:pPr>
        <w:pStyle w:val="ExhibitText"/>
        <w:numPr>
          <w:ilvl w:val="0"/>
          <w:numId w:val="4"/>
        </w:numPr>
        <w:rPr>
          <w:sz w:val="20"/>
          <w:lang w:val="en-GB"/>
        </w:rPr>
      </w:pPr>
      <w:r w:rsidRPr="00041585">
        <w:rPr>
          <w:sz w:val="20"/>
          <w:lang w:val="en-GB"/>
        </w:rPr>
        <w:t>W</w:t>
      </w:r>
      <w:r w:rsidR="00AD1531" w:rsidRPr="00041585">
        <w:rPr>
          <w:sz w:val="20"/>
          <w:lang w:val="en-GB"/>
        </w:rPr>
        <w:t>ebsite (</w:t>
      </w:r>
      <w:r w:rsidRPr="00041585">
        <w:rPr>
          <w:sz w:val="20"/>
          <w:lang w:val="en-GB"/>
        </w:rPr>
        <w:t>D</w:t>
      </w:r>
      <w:r w:rsidR="00AD1531" w:rsidRPr="00041585">
        <w:rPr>
          <w:sz w:val="20"/>
          <w:lang w:val="en-GB"/>
        </w:rPr>
        <w:t xml:space="preserve">oes it look professional? </w:t>
      </w:r>
      <w:r w:rsidRPr="00041585">
        <w:rPr>
          <w:sz w:val="20"/>
          <w:lang w:val="en-GB"/>
        </w:rPr>
        <w:t>H</w:t>
      </w:r>
      <w:r w:rsidR="00AD1531" w:rsidRPr="00041585">
        <w:rPr>
          <w:sz w:val="20"/>
          <w:lang w:val="en-GB"/>
        </w:rPr>
        <w:t xml:space="preserve">as it been updated recently? </w:t>
      </w:r>
      <w:r w:rsidRPr="00041585">
        <w:rPr>
          <w:sz w:val="20"/>
          <w:lang w:val="en-GB"/>
        </w:rPr>
        <w:t>W</w:t>
      </w:r>
      <w:r w:rsidR="00AD1531" w:rsidRPr="00041585">
        <w:rPr>
          <w:sz w:val="20"/>
          <w:lang w:val="en-GB"/>
        </w:rPr>
        <w:t xml:space="preserve">hat kind of content? </w:t>
      </w:r>
      <w:r w:rsidRPr="00041585">
        <w:rPr>
          <w:sz w:val="20"/>
          <w:lang w:val="en-GB"/>
        </w:rPr>
        <w:t>D</w:t>
      </w:r>
      <w:r w:rsidR="00AD1531" w:rsidRPr="00041585">
        <w:rPr>
          <w:sz w:val="20"/>
          <w:lang w:val="en-GB"/>
        </w:rPr>
        <w:t>oes the info</w:t>
      </w:r>
      <w:r w:rsidR="00F066FA">
        <w:rPr>
          <w:sz w:val="20"/>
          <w:lang w:val="en-GB"/>
        </w:rPr>
        <w:t>rmation</w:t>
      </w:r>
      <w:r w:rsidR="00AD1531" w:rsidRPr="00041585">
        <w:rPr>
          <w:sz w:val="20"/>
          <w:lang w:val="en-GB"/>
        </w:rPr>
        <w:t xml:space="preserve"> seem complete? </w:t>
      </w:r>
      <w:r w:rsidRPr="00041585">
        <w:rPr>
          <w:sz w:val="20"/>
          <w:lang w:val="en-GB"/>
        </w:rPr>
        <w:t>I</w:t>
      </w:r>
      <w:r w:rsidR="00AD1531" w:rsidRPr="00041585">
        <w:rPr>
          <w:sz w:val="20"/>
          <w:lang w:val="en-GB"/>
        </w:rPr>
        <w:t>s it easy to navigate?)</w:t>
      </w:r>
    </w:p>
    <w:p w14:paraId="3BF67B0F" w14:textId="125FFE91" w:rsidR="00AD1531" w:rsidRPr="00041585" w:rsidRDefault="00656174" w:rsidP="007354CE">
      <w:pPr>
        <w:pStyle w:val="ExhibitText"/>
        <w:numPr>
          <w:ilvl w:val="0"/>
          <w:numId w:val="4"/>
        </w:numPr>
        <w:rPr>
          <w:sz w:val="20"/>
          <w:lang w:val="en-GB"/>
        </w:rPr>
      </w:pPr>
      <w:r w:rsidRPr="00041585">
        <w:rPr>
          <w:sz w:val="20"/>
          <w:lang w:val="en-GB"/>
        </w:rPr>
        <w:t>S</w:t>
      </w:r>
      <w:r w:rsidR="00AD1531" w:rsidRPr="00041585">
        <w:rPr>
          <w:sz w:val="20"/>
          <w:lang w:val="en-GB"/>
        </w:rPr>
        <w:t>ocial media (</w:t>
      </w:r>
      <w:r w:rsidRPr="00041585">
        <w:rPr>
          <w:sz w:val="20"/>
          <w:lang w:val="en-GB"/>
        </w:rPr>
        <w:t>W</w:t>
      </w:r>
      <w:r w:rsidR="00AD1531" w:rsidRPr="00041585">
        <w:rPr>
          <w:sz w:val="20"/>
          <w:lang w:val="en-GB"/>
        </w:rPr>
        <w:t xml:space="preserve">hat platforms? For each platform, how many followers? </w:t>
      </w:r>
      <w:r w:rsidRPr="00041585">
        <w:rPr>
          <w:sz w:val="20"/>
          <w:lang w:val="en-GB"/>
        </w:rPr>
        <w:t>H</w:t>
      </w:r>
      <w:r w:rsidR="00AD1531" w:rsidRPr="00041585">
        <w:rPr>
          <w:sz w:val="20"/>
          <w:lang w:val="en-GB"/>
        </w:rPr>
        <w:t xml:space="preserve">ow recent are the posts? </w:t>
      </w:r>
      <w:r w:rsidRPr="00041585">
        <w:rPr>
          <w:sz w:val="20"/>
          <w:lang w:val="en-GB"/>
        </w:rPr>
        <w:t>H</w:t>
      </w:r>
      <w:r w:rsidR="00AD1531" w:rsidRPr="00041585">
        <w:rPr>
          <w:sz w:val="20"/>
          <w:lang w:val="en-GB"/>
        </w:rPr>
        <w:t xml:space="preserve">ow often are the posts? </w:t>
      </w:r>
      <w:r w:rsidRPr="00041585">
        <w:rPr>
          <w:sz w:val="20"/>
          <w:lang w:val="en-GB"/>
        </w:rPr>
        <w:t>W</w:t>
      </w:r>
      <w:r w:rsidR="00AD1531" w:rsidRPr="00041585">
        <w:rPr>
          <w:sz w:val="20"/>
          <w:lang w:val="en-GB"/>
        </w:rPr>
        <w:t xml:space="preserve">hat kind of content? </w:t>
      </w:r>
      <w:r w:rsidRPr="00041585">
        <w:rPr>
          <w:sz w:val="20"/>
          <w:lang w:val="en-GB"/>
        </w:rPr>
        <w:t>W</w:t>
      </w:r>
      <w:r w:rsidR="00AD1531" w:rsidRPr="00041585">
        <w:rPr>
          <w:sz w:val="20"/>
          <w:lang w:val="en-GB"/>
        </w:rPr>
        <w:t>hat</w:t>
      </w:r>
      <w:r w:rsidR="00F066FA">
        <w:rPr>
          <w:sz w:val="20"/>
          <w:lang w:val="en-GB"/>
        </w:rPr>
        <w:t xml:space="preserve"> i</w:t>
      </w:r>
      <w:r w:rsidR="00AD1531" w:rsidRPr="00041585">
        <w:rPr>
          <w:sz w:val="20"/>
          <w:lang w:val="en-GB"/>
        </w:rPr>
        <w:t>s the engagement like?)</w:t>
      </w:r>
    </w:p>
    <w:p w14:paraId="79DBC5F6" w14:textId="77777777" w:rsidR="00AD1531" w:rsidRPr="00041585" w:rsidRDefault="00656174" w:rsidP="007354CE">
      <w:pPr>
        <w:pStyle w:val="ExhibitText"/>
        <w:numPr>
          <w:ilvl w:val="0"/>
          <w:numId w:val="4"/>
        </w:numPr>
        <w:rPr>
          <w:sz w:val="20"/>
          <w:lang w:val="en-GB"/>
        </w:rPr>
      </w:pPr>
      <w:r w:rsidRPr="00041585">
        <w:rPr>
          <w:sz w:val="20"/>
          <w:lang w:val="en-GB"/>
        </w:rPr>
        <w:t>E</w:t>
      </w:r>
      <w:r w:rsidR="00AD1531" w:rsidRPr="00041585">
        <w:rPr>
          <w:sz w:val="20"/>
          <w:lang w:val="en-GB"/>
        </w:rPr>
        <w:t>vents (</w:t>
      </w:r>
      <w:r w:rsidRPr="00041585">
        <w:rPr>
          <w:sz w:val="20"/>
          <w:lang w:val="en-GB"/>
        </w:rPr>
        <w:t>H</w:t>
      </w:r>
      <w:r w:rsidR="00AD1531" w:rsidRPr="00041585">
        <w:rPr>
          <w:sz w:val="20"/>
          <w:lang w:val="en-GB"/>
        </w:rPr>
        <w:t xml:space="preserve">ow many? </w:t>
      </w:r>
      <w:r w:rsidRPr="00041585">
        <w:rPr>
          <w:sz w:val="20"/>
          <w:lang w:val="en-GB"/>
        </w:rPr>
        <w:t>W</w:t>
      </w:r>
      <w:r w:rsidR="00AD1531" w:rsidRPr="00041585">
        <w:rPr>
          <w:sz w:val="20"/>
          <w:lang w:val="en-GB"/>
        </w:rPr>
        <w:t xml:space="preserve">hat kind of events? </w:t>
      </w:r>
      <w:r w:rsidRPr="00041585">
        <w:rPr>
          <w:sz w:val="20"/>
          <w:lang w:val="en-GB"/>
        </w:rPr>
        <w:t>H</w:t>
      </w:r>
      <w:r w:rsidR="00AD1531" w:rsidRPr="00041585">
        <w:rPr>
          <w:sz w:val="20"/>
          <w:lang w:val="en-GB"/>
        </w:rPr>
        <w:t>ow much is raised from each event?)</w:t>
      </w:r>
    </w:p>
    <w:p w14:paraId="7F46748F" w14:textId="77777777" w:rsidR="00AD1531" w:rsidRPr="005C3AD2" w:rsidRDefault="00AD1531" w:rsidP="00AD1531">
      <w:pPr>
        <w:pStyle w:val="BodyTextMain"/>
        <w:rPr>
          <w:rFonts w:ascii="Arial" w:hAnsi="Arial" w:cs="Arial"/>
          <w:sz w:val="17"/>
          <w:szCs w:val="17"/>
          <w:lang w:val="en-GB"/>
        </w:rPr>
      </w:pPr>
    </w:p>
    <w:p w14:paraId="4CF29E70" w14:textId="7FE27772" w:rsidR="001822D8" w:rsidRDefault="001822D8" w:rsidP="00AD1531">
      <w:pPr>
        <w:pStyle w:val="Footnote"/>
        <w:rPr>
          <w:lang w:val="en-GB"/>
        </w:rPr>
      </w:pPr>
      <w:r>
        <w:rPr>
          <w:lang w:val="en-GB"/>
        </w:rPr>
        <w:t>Note: FT = full time; PT = part time</w:t>
      </w:r>
      <w:r w:rsidR="002C2D03">
        <w:rPr>
          <w:lang w:val="en-GB"/>
        </w:rPr>
        <w:t>.</w:t>
      </w:r>
    </w:p>
    <w:p w14:paraId="12B51EB5" w14:textId="77777777" w:rsidR="00AD1531" w:rsidRPr="005C3AD2" w:rsidRDefault="00AD1531" w:rsidP="00AD1531">
      <w:pPr>
        <w:pStyle w:val="Footnote"/>
        <w:rPr>
          <w:lang w:val="en-GB"/>
        </w:rPr>
      </w:pPr>
      <w:r w:rsidRPr="005C3AD2">
        <w:rPr>
          <w:lang w:val="en-GB"/>
        </w:rPr>
        <w:t xml:space="preserve">Source: Created by </w:t>
      </w:r>
      <w:r w:rsidR="00656174">
        <w:rPr>
          <w:lang w:val="en-GB"/>
        </w:rPr>
        <w:t xml:space="preserve">the </w:t>
      </w:r>
      <w:r w:rsidRPr="005C3AD2">
        <w:rPr>
          <w:lang w:val="en-GB"/>
        </w:rPr>
        <w:t>author</w:t>
      </w:r>
      <w:r w:rsidR="00656174">
        <w:rPr>
          <w:lang w:val="en-GB"/>
        </w:rPr>
        <w:t>s</w:t>
      </w:r>
      <w:r w:rsidRPr="005C3AD2">
        <w:rPr>
          <w:lang w:val="en-GB"/>
        </w:rPr>
        <w:t xml:space="preserve"> using data from </w:t>
      </w:r>
      <w:r w:rsidR="00656174">
        <w:rPr>
          <w:lang w:val="en-GB"/>
        </w:rPr>
        <w:t>company</w:t>
      </w:r>
      <w:r w:rsidRPr="005C3AD2">
        <w:rPr>
          <w:lang w:val="en-GB"/>
        </w:rPr>
        <w:t xml:space="preserve"> document</w:t>
      </w:r>
      <w:r w:rsidR="00656174">
        <w:rPr>
          <w:lang w:val="en-GB"/>
        </w:rPr>
        <w:t>s</w:t>
      </w:r>
      <w:r w:rsidRPr="005C3AD2">
        <w:rPr>
          <w:lang w:val="en-GB"/>
        </w:rPr>
        <w:t>.</w:t>
      </w:r>
    </w:p>
    <w:p w14:paraId="4967CE6F" w14:textId="77777777" w:rsidR="00AD1531" w:rsidRPr="005C3AD2" w:rsidRDefault="00AD1531" w:rsidP="00AD1531">
      <w:pPr>
        <w:pStyle w:val="BodyTextMain"/>
        <w:rPr>
          <w:lang w:val="en-GB"/>
        </w:rPr>
      </w:pPr>
    </w:p>
    <w:p w14:paraId="2E675982" w14:textId="77777777" w:rsidR="00AD1531" w:rsidRPr="005C3AD2" w:rsidRDefault="00AD1531" w:rsidP="00AD1531">
      <w:pPr>
        <w:pStyle w:val="BodyTextMain"/>
        <w:rPr>
          <w:lang w:val="en-GB"/>
        </w:rPr>
      </w:pPr>
    </w:p>
    <w:p w14:paraId="4DE19A41" w14:textId="77777777" w:rsidR="00AD1531" w:rsidRPr="00843FF2" w:rsidRDefault="00AD1531" w:rsidP="00AD1531">
      <w:pPr>
        <w:pStyle w:val="ExhibitHeading"/>
        <w:rPr>
          <w:sz w:val="20"/>
          <w:lang w:val="en-GB"/>
        </w:rPr>
      </w:pPr>
      <w:r w:rsidRPr="00843FF2">
        <w:rPr>
          <w:sz w:val="20"/>
          <w:lang w:val="en-GB"/>
        </w:rPr>
        <w:t>Exhibit 4: S</w:t>
      </w:r>
      <w:r w:rsidR="001822D8" w:rsidRPr="00843FF2">
        <w:rPr>
          <w:sz w:val="20"/>
          <w:lang w:val="en-GB"/>
        </w:rPr>
        <w:t>ocial Focus Consulting</w:t>
      </w:r>
      <w:r w:rsidRPr="00843FF2">
        <w:rPr>
          <w:sz w:val="20"/>
          <w:lang w:val="en-GB"/>
        </w:rPr>
        <w:t xml:space="preserve"> income statements</w:t>
      </w:r>
      <w:r w:rsidR="00656174" w:rsidRPr="00843FF2">
        <w:rPr>
          <w:sz w:val="20"/>
          <w:lang w:val="en-GB"/>
        </w:rPr>
        <w:t xml:space="preserve"> (in CA$)</w:t>
      </w:r>
    </w:p>
    <w:p w14:paraId="62E79B22" w14:textId="77777777" w:rsidR="00AD1531" w:rsidRPr="005C3AD2" w:rsidRDefault="00AD1531" w:rsidP="00AD1531">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1939"/>
        <w:gridCol w:w="1939"/>
        <w:gridCol w:w="1721"/>
      </w:tblGrid>
      <w:tr w:rsidR="00AD1531" w:rsidRPr="00041585" w14:paraId="15C51365" w14:textId="77777777" w:rsidTr="00656174">
        <w:trPr>
          <w:trHeight w:val="245"/>
          <w:jc w:val="center"/>
        </w:trPr>
        <w:tc>
          <w:tcPr>
            <w:tcW w:w="3152" w:type="dxa"/>
            <w:shd w:val="clear" w:color="auto" w:fill="auto"/>
          </w:tcPr>
          <w:p w14:paraId="6A375A4A" w14:textId="77777777" w:rsidR="00AD1531" w:rsidRPr="00041585" w:rsidRDefault="00AD1531" w:rsidP="00843FF2">
            <w:pPr>
              <w:pStyle w:val="ExhibitText"/>
              <w:jc w:val="center"/>
              <w:rPr>
                <w:rFonts w:cs="Arial"/>
                <w:b/>
                <w:sz w:val="20"/>
                <w:lang w:val="en-GB" w:eastAsia="en-US"/>
              </w:rPr>
            </w:pPr>
            <w:r w:rsidRPr="00041585">
              <w:rPr>
                <w:rFonts w:cs="Arial"/>
                <w:b/>
                <w:sz w:val="20"/>
                <w:lang w:val="en-GB" w:eastAsia="en-US"/>
              </w:rPr>
              <w:t>REVENUES</w:t>
            </w:r>
          </w:p>
        </w:tc>
        <w:tc>
          <w:tcPr>
            <w:tcW w:w="1939" w:type="dxa"/>
            <w:shd w:val="clear" w:color="auto" w:fill="auto"/>
          </w:tcPr>
          <w:p w14:paraId="688FBB25" w14:textId="77777777" w:rsidR="00AD1531" w:rsidRPr="00041585" w:rsidRDefault="00AD1531" w:rsidP="00E4741D">
            <w:pPr>
              <w:pStyle w:val="ExhibitText"/>
              <w:jc w:val="center"/>
              <w:rPr>
                <w:rFonts w:cs="Arial"/>
                <w:b/>
                <w:sz w:val="20"/>
                <w:lang w:val="en-GB" w:eastAsia="en-US"/>
              </w:rPr>
            </w:pPr>
            <w:r w:rsidRPr="00041585">
              <w:rPr>
                <w:rFonts w:cs="Arial"/>
                <w:b/>
                <w:sz w:val="20"/>
                <w:lang w:val="en-GB" w:eastAsia="en-US"/>
              </w:rPr>
              <w:t>2014</w:t>
            </w:r>
          </w:p>
        </w:tc>
        <w:tc>
          <w:tcPr>
            <w:tcW w:w="1939" w:type="dxa"/>
            <w:shd w:val="clear" w:color="auto" w:fill="auto"/>
          </w:tcPr>
          <w:p w14:paraId="6D0B7AB7" w14:textId="77777777" w:rsidR="00AD1531" w:rsidRPr="00041585" w:rsidRDefault="00AD1531" w:rsidP="00E4741D">
            <w:pPr>
              <w:pStyle w:val="ExhibitText"/>
              <w:jc w:val="center"/>
              <w:rPr>
                <w:rFonts w:cs="Arial"/>
                <w:b/>
                <w:sz w:val="20"/>
                <w:lang w:val="en-GB" w:eastAsia="en-US"/>
              </w:rPr>
            </w:pPr>
            <w:r w:rsidRPr="00041585">
              <w:rPr>
                <w:rFonts w:cs="Arial"/>
                <w:b/>
                <w:sz w:val="20"/>
                <w:lang w:val="en-GB" w:eastAsia="en-US"/>
              </w:rPr>
              <w:t>2015</w:t>
            </w:r>
          </w:p>
        </w:tc>
        <w:tc>
          <w:tcPr>
            <w:tcW w:w="1721" w:type="dxa"/>
            <w:shd w:val="clear" w:color="auto" w:fill="auto"/>
          </w:tcPr>
          <w:p w14:paraId="6C6FBD7B" w14:textId="77777777" w:rsidR="00AD1531" w:rsidRPr="00041585" w:rsidRDefault="00AD1531" w:rsidP="00E4741D">
            <w:pPr>
              <w:pStyle w:val="ExhibitText"/>
              <w:jc w:val="center"/>
              <w:rPr>
                <w:rFonts w:cs="Arial"/>
                <w:b/>
                <w:sz w:val="20"/>
                <w:lang w:val="en-GB" w:eastAsia="en-US"/>
              </w:rPr>
            </w:pPr>
            <w:r w:rsidRPr="00041585">
              <w:rPr>
                <w:rFonts w:cs="Arial"/>
                <w:b/>
                <w:sz w:val="20"/>
                <w:lang w:val="en-GB" w:eastAsia="en-US"/>
              </w:rPr>
              <w:t>2016</w:t>
            </w:r>
          </w:p>
        </w:tc>
      </w:tr>
      <w:tr w:rsidR="00AD1531" w:rsidRPr="00041585" w14:paraId="3050EF24" w14:textId="77777777" w:rsidTr="00656174">
        <w:trPr>
          <w:trHeight w:val="256"/>
          <w:jc w:val="center"/>
        </w:trPr>
        <w:tc>
          <w:tcPr>
            <w:tcW w:w="3152" w:type="dxa"/>
            <w:shd w:val="clear" w:color="auto" w:fill="auto"/>
          </w:tcPr>
          <w:p w14:paraId="4485B8F9" w14:textId="77777777" w:rsidR="00AD1531" w:rsidRPr="00041585" w:rsidRDefault="00656174" w:rsidP="00AD1531">
            <w:pPr>
              <w:pStyle w:val="ExhibitText"/>
              <w:rPr>
                <w:rFonts w:cs="Arial"/>
                <w:sz w:val="20"/>
                <w:lang w:val="en-GB" w:eastAsia="en-US"/>
              </w:rPr>
            </w:pPr>
            <w:r w:rsidRPr="00041585">
              <w:rPr>
                <w:rFonts w:cs="Arial"/>
                <w:sz w:val="20"/>
                <w:lang w:val="en-GB" w:eastAsia="en-US"/>
              </w:rPr>
              <w:t>L</w:t>
            </w:r>
            <w:r w:rsidR="00AD1531" w:rsidRPr="00041585">
              <w:rPr>
                <w:rFonts w:cs="Arial"/>
                <w:sz w:val="20"/>
                <w:lang w:val="en-GB" w:eastAsia="en-US"/>
              </w:rPr>
              <w:t>ong-term projects</w:t>
            </w:r>
          </w:p>
        </w:tc>
        <w:tc>
          <w:tcPr>
            <w:tcW w:w="1939" w:type="dxa"/>
            <w:shd w:val="clear" w:color="auto" w:fill="auto"/>
          </w:tcPr>
          <w:p w14:paraId="5915F389"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$11,242</w:t>
            </w:r>
          </w:p>
        </w:tc>
        <w:tc>
          <w:tcPr>
            <w:tcW w:w="1939" w:type="dxa"/>
            <w:shd w:val="clear" w:color="auto" w:fill="auto"/>
          </w:tcPr>
          <w:p w14:paraId="3A2CA8C2"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$49,520</w:t>
            </w:r>
          </w:p>
        </w:tc>
        <w:tc>
          <w:tcPr>
            <w:tcW w:w="1721" w:type="dxa"/>
            <w:shd w:val="clear" w:color="auto" w:fill="auto"/>
          </w:tcPr>
          <w:p w14:paraId="5E52FA15"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$0</w:t>
            </w:r>
          </w:p>
        </w:tc>
      </w:tr>
      <w:tr w:rsidR="00AD1531" w:rsidRPr="00041585" w14:paraId="47C1800C" w14:textId="77777777" w:rsidTr="00656174">
        <w:trPr>
          <w:trHeight w:val="245"/>
          <w:jc w:val="center"/>
        </w:trPr>
        <w:tc>
          <w:tcPr>
            <w:tcW w:w="3152" w:type="dxa"/>
            <w:shd w:val="clear" w:color="auto" w:fill="auto"/>
          </w:tcPr>
          <w:p w14:paraId="2BF3070E" w14:textId="77777777" w:rsidR="00AD1531" w:rsidRPr="00041585" w:rsidRDefault="00656174" w:rsidP="00AD1531">
            <w:pPr>
              <w:pStyle w:val="ExhibitText"/>
              <w:rPr>
                <w:rFonts w:cs="Arial"/>
                <w:sz w:val="20"/>
                <w:lang w:val="en-GB" w:eastAsia="en-US"/>
              </w:rPr>
            </w:pPr>
            <w:r w:rsidRPr="00041585">
              <w:rPr>
                <w:rFonts w:cs="Arial"/>
                <w:sz w:val="20"/>
                <w:lang w:val="en-GB" w:eastAsia="en-US"/>
              </w:rPr>
              <w:t>W</w:t>
            </w:r>
            <w:r w:rsidR="00AD1531" w:rsidRPr="00041585">
              <w:rPr>
                <w:rFonts w:cs="Arial"/>
                <w:sz w:val="20"/>
                <w:lang w:val="en-GB" w:eastAsia="en-US"/>
              </w:rPr>
              <w:t>orkshop service</w:t>
            </w:r>
          </w:p>
        </w:tc>
        <w:tc>
          <w:tcPr>
            <w:tcW w:w="1939" w:type="dxa"/>
            <w:shd w:val="clear" w:color="auto" w:fill="auto"/>
          </w:tcPr>
          <w:p w14:paraId="256268CC"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3,550</w:t>
            </w:r>
          </w:p>
        </w:tc>
        <w:tc>
          <w:tcPr>
            <w:tcW w:w="1939" w:type="dxa"/>
            <w:shd w:val="clear" w:color="auto" w:fill="auto"/>
          </w:tcPr>
          <w:p w14:paraId="4B5B233D"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9,432</w:t>
            </w:r>
          </w:p>
        </w:tc>
        <w:tc>
          <w:tcPr>
            <w:tcW w:w="1721" w:type="dxa"/>
            <w:shd w:val="clear" w:color="auto" w:fill="auto"/>
          </w:tcPr>
          <w:p w14:paraId="0263BFCB"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7,399</w:t>
            </w:r>
          </w:p>
        </w:tc>
      </w:tr>
      <w:tr w:rsidR="00AD1531" w:rsidRPr="00041585" w14:paraId="23CFF9BD" w14:textId="77777777" w:rsidTr="00656174">
        <w:trPr>
          <w:trHeight w:val="245"/>
          <w:jc w:val="center"/>
        </w:trPr>
        <w:tc>
          <w:tcPr>
            <w:tcW w:w="3152" w:type="dxa"/>
            <w:shd w:val="clear" w:color="auto" w:fill="auto"/>
          </w:tcPr>
          <w:p w14:paraId="655A3A21" w14:textId="77777777" w:rsidR="00AD1531" w:rsidRPr="00041585" w:rsidRDefault="00AD1531" w:rsidP="00AD1531">
            <w:pPr>
              <w:pStyle w:val="ExhibitText"/>
              <w:rPr>
                <w:rFonts w:cs="Arial"/>
                <w:b/>
                <w:sz w:val="20"/>
                <w:lang w:val="en-GB" w:eastAsia="en-US"/>
              </w:rPr>
            </w:pPr>
            <w:r w:rsidRPr="00041585">
              <w:rPr>
                <w:rFonts w:cs="Arial"/>
                <w:b/>
                <w:sz w:val="20"/>
                <w:lang w:val="en-GB" w:eastAsia="en-US"/>
              </w:rPr>
              <w:t>TOTAL</w:t>
            </w:r>
          </w:p>
        </w:tc>
        <w:tc>
          <w:tcPr>
            <w:tcW w:w="1939" w:type="dxa"/>
            <w:shd w:val="clear" w:color="auto" w:fill="auto"/>
          </w:tcPr>
          <w:p w14:paraId="5174F8CD"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14,792</w:t>
            </w:r>
          </w:p>
        </w:tc>
        <w:tc>
          <w:tcPr>
            <w:tcW w:w="1939" w:type="dxa"/>
            <w:shd w:val="clear" w:color="auto" w:fill="auto"/>
          </w:tcPr>
          <w:p w14:paraId="0F79B122"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58,952</w:t>
            </w:r>
          </w:p>
        </w:tc>
        <w:tc>
          <w:tcPr>
            <w:tcW w:w="1721" w:type="dxa"/>
            <w:shd w:val="clear" w:color="auto" w:fill="auto"/>
          </w:tcPr>
          <w:p w14:paraId="4A8D24F7"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7,399</w:t>
            </w:r>
          </w:p>
        </w:tc>
      </w:tr>
      <w:tr w:rsidR="00AD1531" w:rsidRPr="00041585" w14:paraId="2D9921C1" w14:textId="77777777" w:rsidTr="00656174">
        <w:trPr>
          <w:trHeight w:val="256"/>
          <w:jc w:val="center"/>
        </w:trPr>
        <w:tc>
          <w:tcPr>
            <w:tcW w:w="3152" w:type="dxa"/>
            <w:shd w:val="clear" w:color="auto" w:fill="auto"/>
          </w:tcPr>
          <w:p w14:paraId="7CAC919C" w14:textId="77777777" w:rsidR="00AD1531" w:rsidRPr="00041585" w:rsidRDefault="00AD1531" w:rsidP="00AD1531">
            <w:pPr>
              <w:pStyle w:val="ExhibitText"/>
              <w:rPr>
                <w:rFonts w:cs="Arial"/>
                <w:b/>
                <w:sz w:val="20"/>
                <w:lang w:val="en-GB" w:eastAsia="en-US"/>
              </w:rPr>
            </w:pPr>
            <w:r w:rsidRPr="00041585">
              <w:rPr>
                <w:rFonts w:cs="Arial"/>
                <w:b/>
                <w:sz w:val="20"/>
                <w:lang w:val="en-GB" w:eastAsia="en-US"/>
              </w:rPr>
              <w:t>EXPENSES</w:t>
            </w:r>
          </w:p>
        </w:tc>
        <w:tc>
          <w:tcPr>
            <w:tcW w:w="1939" w:type="dxa"/>
            <w:shd w:val="clear" w:color="auto" w:fill="auto"/>
          </w:tcPr>
          <w:p w14:paraId="035B1898" w14:textId="77777777" w:rsidR="00AD1531" w:rsidRPr="00041585" w:rsidRDefault="00AD1531" w:rsidP="00E4741D">
            <w:pPr>
              <w:pStyle w:val="ExhibitText"/>
              <w:jc w:val="right"/>
              <w:rPr>
                <w:rFonts w:cs="Arial"/>
                <w:b/>
                <w:sz w:val="20"/>
                <w:lang w:val="en-GB" w:eastAsia="en-US"/>
              </w:rPr>
            </w:pPr>
          </w:p>
        </w:tc>
        <w:tc>
          <w:tcPr>
            <w:tcW w:w="1939" w:type="dxa"/>
            <w:shd w:val="clear" w:color="auto" w:fill="auto"/>
          </w:tcPr>
          <w:p w14:paraId="58CB29B4" w14:textId="77777777" w:rsidR="00AD1531" w:rsidRPr="00041585" w:rsidRDefault="00AD1531" w:rsidP="00E4741D">
            <w:pPr>
              <w:pStyle w:val="ExhibitText"/>
              <w:jc w:val="right"/>
              <w:rPr>
                <w:rFonts w:cs="Arial"/>
                <w:b/>
                <w:sz w:val="20"/>
                <w:lang w:val="en-GB" w:eastAsia="en-US"/>
              </w:rPr>
            </w:pPr>
          </w:p>
        </w:tc>
        <w:tc>
          <w:tcPr>
            <w:tcW w:w="1721" w:type="dxa"/>
            <w:shd w:val="clear" w:color="auto" w:fill="auto"/>
          </w:tcPr>
          <w:p w14:paraId="050BB7DC" w14:textId="77777777" w:rsidR="00AD1531" w:rsidRPr="00041585" w:rsidRDefault="00AD1531" w:rsidP="00E4741D">
            <w:pPr>
              <w:pStyle w:val="ExhibitText"/>
              <w:jc w:val="right"/>
              <w:rPr>
                <w:rFonts w:cs="Arial"/>
                <w:b/>
                <w:sz w:val="20"/>
                <w:lang w:val="en-GB" w:eastAsia="en-US"/>
              </w:rPr>
            </w:pPr>
          </w:p>
        </w:tc>
      </w:tr>
      <w:tr w:rsidR="00AD1531" w:rsidRPr="00041585" w14:paraId="02E7353E" w14:textId="77777777" w:rsidTr="00656174">
        <w:trPr>
          <w:trHeight w:val="245"/>
          <w:jc w:val="center"/>
        </w:trPr>
        <w:tc>
          <w:tcPr>
            <w:tcW w:w="3152" w:type="dxa"/>
            <w:shd w:val="clear" w:color="auto" w:fill="auto"/>
          </w:tcPr>
          <w:p w14:paraId="66B0B0BE" w14:textId="77777777" w:rsidR="00AD1531" w:rsidRPr="00041585" w:rsidRDefault="00656174" w:rsidP="00AD1531">
            <w:pPr>
              <w:pStyle w:val="ExhibitText"/>
              <w:rPr>
                <w:rFonts w:cs="Arial"/>
                <w:sz w:val="20"/>
                <w:lang w:val="en-GB" w:eastAsia="en-US"/>
              </w:rPr>
            </w:pPr>
            <w:r w:rsidRPr="00041585">
              <w:rPr>
                <w:rFonts w:cs="Arial"/>
                <w:sz w:val="20"/>
                <w:lang w:val="en-GB" w:eastAsia="en-US"/>
              </w:rPr>
              <w:t>C</w:t>
            </w:r>
            <w:r w:rsidR="00AD1531" w:rsidRPr="00041585">
              <w:rPr>
                <w:rFonts w:cs="Arial"/>
                <w:sz w:val="20"/>
                <w:lang w:val="en-GB" w:eastAsia="en-US"/>
              </w:rPr>
              <w:t>onsultants</w:t>
            </w:r>
          </w:p>
        </w:tc>
        <w:tc>
          <w:tcPr>
            <w:tcW w:w="1939" w:type="dxa"/>
            <w:shd w:val="clear" w:color="auto" w:fill="auto"/>
          </w:tcPr>
          <w:p w14:paraId="23795BBE"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8,499</w:t>
            </w:r>
          </w:p>
        </w:tc>
        <w:tc>
          <w:tcPr>
            <w:tcW w:w="1939" w:type="dxa"/>
            <w:shd w:val="clear" w:color="auto" w:fill="auto"/>
          </w:tcPr>
          <w:p w14:paraId="01C13F06"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19,957</w:t>
            </w:r>
          </w:p>
        </w:tc>
        <w:tc>
          <w:tcPr>
            <w:tcW w:w="1721" w:type="dxa"/>
            <w:shd w:val="clear" w:color="auto" w:fill="auto"/>
          </w:tcPr>
          <w:p w14:paraId="6D9B8917"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648</w:t>
            </w:r>
          </w:p>
        </w:tc>
      </w:tr>
      <w:tr w:rsidR="00AD1531" w:rsidRPr="00041585" w14:paraId="4E41D244" w14:textId="77777777" w:rsidTr="00656174">
        <w:trPr>
          <w:trHeight w:val="245"/>
          <w:jc w:val="center"/>
        </w:trPr>
        <w:tc>
          <w:tcPr>
            <w:tcW w:w="3152" w:type="dxa"/>
            <w:shd w:val="clear" w:color="auto" w:fill="auto"/>
          </w:tcPr>
          <w:p w14:paraId="7AF235B4" w14:textId="77777777" w:rsidR="00AD1531" w:rsidRPr="00041585" w:rsidRDefault="00656174" w:rsidP="00AD1531">
            <w:pPr>
              <w:pStyle w:val="ExhibitText"/>
              <w:rPr>
                <w:rFonts w:cs="Arial"/>
                <w:sz w:val="20"/>
                <w:lang w:val="en-GB" w:eastAsia="en-US"/>
              </w:rPr>
            </w:pPr>
            <w:r w:rsidRPr="00041585">
              <w:rPr>
                <w:rFonts w:cs="Arial"/>
                <w:sz w:val="20"/>
                <w:lang w:val="en-GB" w:eastAsia="en-US"/>
              </w:rPr>
              <w:t>A</w:t>
            </w:r>
            <w:r w:rsidR="00AD1531" w:rsidRPr="00041585">
              <w:rPr>
                <w:rFonts w:cs="Arial"/>
                <w:sz w:val="20"/>
                <w:lang w:val="en-GB" w:eastAsia="en-US"/>
              </w:rPr>
              <w:t>dministration</w:t>
            </w:r>
          </w:p>
        </w:tc>
        <w:tc>
          <w:tcPr>
            <w:tcW w:w="1939" w:type="dxa"/>
            <w:shd w:val="clear" w:color="auto" w:fill="auto"/>
          </w:tcPr>
          <w:p w14:paraId="390344B6"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3,616</w:t>
            </w:r>
          </w:p>
        </w:tc>
        <w:tc>
          <w:tcPr>
            <w:tcW w:w="1939" w:type="dxa"/>
            <w:shd w:val="clear" w:color="auto" w:fill="auto"/>
          </w:tcPr>
          <w:p w14:paraId="4D6FD082"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8,316</w:t>
            </w:r>
          </w:p>
        </w:tc>
        <w:tc>
          <w:tcPr>
            <w:tcW w:w="1721" w:type="dxa"/>
            <w:shd w:val="clear" w:color="auto" w:fill="auto"/>
          </w:tcPr>
          <w:p w14:paraId="559EF5A0"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2,374</w:t>
            </w:r>
          </w:p>
        </w:tc>
      </w:tr>
      <w:tr w:rsidR="00AD1531" w:rsidRPr="00041585" w14:paraId="7134191D" w14:textId="77777777" w:rsidTr="00656174">
        <w:trPr>
          <w:trHeight w:val="256"/>
          <w:jc w:val="center"/>
        </w:trPr>
        <w:tc>
          <w:tcPr>
            <w:tcW w:w="3152" w:type="dxa"/>
            <w:shd w:val="clear" w:color="auto" w:fill="auto"/>
          </w:tcPr>
          <w:p w14:paraId="4E2C5E0F" w14:textId="77777777" w:rsidR="00AD1531" w:rsidRPr="00041585" w:rsidRDefault="00656174" w:rsidP="00AD1531">
            <w:pPr>
              <w:pStyle w:val="ExhibitText"/>
              <w:rPr>
                <w:rFonts w:cs="Arial"/>
                <w:sz w:val="20"/>
                <w:lang w:val="en-GB" w:eastAsia="en-US"/>
              </w:rPr>
            </w:pPr>
            <w:r w:rsidRPr="00041585">
              <w:rPr>
                <w:rFonts w:cs="Arial"/>
                <w:sz w:val="20"/>
                <w:lang w:val="en-GB" w:eastAsia="en-US"/>
              </w:rPr>
              <w:t>M</w:t>
            </w:r>
            <w:r w:rsidR="00AD1531" w:rsidRPr="00041585">
              <w:rPr>
                <w:rFonts w:cs="Arial"/>
                <w:sz w:val="20"/>
                <w:lang w:val="en-GB" w:eastAsia="en-US"/>
              </w:rPr>
              <w:t>isc</w:t>
            </w:r>
            <w:r w:rsidRPr="00041585">
              <w:rPr>
                <w:rFonts w:cs="Arial"/>
                <w:sz w:val="20"/>
                <w:lang w:val="en-GB" w:eastAsia="en-US"/>
              </w:rPr>
              <w:t>ellaneous</w:t>
            </w:r>
          </w:p>
        </w:tc>
        <w:tc>
          <w:tcPr>
            <w:tcW w:w="1939" w:type="dxa"/>
            <w:shd w:val="clear" w:color="auto" w:fill="auto"/>
          </w:tcPr>
          <w:p w14:paraId="172139BF"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723</w:t>
            </w:r>
          </w:p>
        </w:tc>
        <w:tc>
          <w:tcPr>
            <w:tcW w:w="1939" w:type="dxa"/>
            <w:shd w:val="clear" w:color="auto" w:fill="auto"/>
          </w:tcPr>
          <w:p w14:paraId="70B1151F"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4,435</w:t>
            </w:r>
          </w:p>
        </w:tc>
        <w:tc>
          <w:tcPr>
            <w:tcW w:w="1721" w:type="dxa"/>
            <w:shd w:val="clear" w:color="auto" w:fill="auto"/>
          </w:tcPr>
          <w:p w14:paraId="54844411"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1,079</w:t>
            </w:r>
          </w:p>
        </w:tc>
      </w:tr>
      <w:tr w:rsidR="00AD1531" w:rsidRPr="00041585" w14:paraId="307EED98" w14:textId="77777777" w:rsidTr="00656174">
        <w:trPr>
          <w:trHeight w:val="245"/>
          <w:jc w:val="center"/>
        </w:trPr>
        <w:tc>
          <w:tcPr>
            <w:tcW w:w="3152" w:type="dxa"/>
            <w:shd w:val="clear" w:color="auto" w:fill="auto"/>
          </w:tcPr>
          <w:p w14:paraId="76B45EAD" w14:textId="77777777" w:rsidR="00AD1531" w:rsidRPr="00041585" w:rsidRDefault="00656174" w:rsidP="00AD1531">
            <w:pPr>
              <w:pStyle w:val="ExhibitText"/>
              <w:rPr>
                <w:rFonts w:cs="Arial"/>
                <w:sz w:val="20"/>
                <w:lang w:val="en-GB" w:eastAsia="en-US"/>
              </w:rPr>
            </w:pPr>
            <w:r w:rsidRPr="00041585">
              <w:rPr>
                <w:rFonts w:cs="Arial"/>
                <w:sz w:val="20"/>
                <w:lang w:val="en-GB" w:eastAsia="en-US"/>
              </w:rPr>
              <w:t>T</w:t>
            </w:r>
            <w:r w:rsidR="00AD1531" w:rsidRPr="00041585">
              <w:rPr>
                <w:rFonts w:cs="Arial"/>
                <w:sz w:val="20"/>
                <w:lang w:val="en-GB" w:eastAsia="en-US"/>
              </w:rPr>
              <w:t>ravel</w:t>
            </w:r>
          </w:p>
        </w:tc>
        <w:tc>
          <w:tcPr>
            <w:tcW w:w="1939" w:type="dxa"/>
            <w:shd w:val="clear" w:color="auto" w:fill="auto"/>
          </w:tcPr>
          <w:p w14:paraId="00A0F77B"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5,244</w:t>
            </w:r>
          </w:p>
        </w:tc>
        <w:tc>
          <w:tcPr>
            <w:tcW w:w="1939" w:type="dxa"/>
            <w:shd w:val="clear" w:color="auto" w:fill="auto"/>
          </w:tcPr>
          <w:p w14:paraId="3A42DB10"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22,729</w:t>
            </w:r>
          </w:p>
        </w:tc>
        <w:tc>
          <w:tcPr>
            <w:tcW w:w="1721" w:type="dxa"/>
            <w:shd w:val="clear" w:color="auto" w:fill="auto"/>
          </w:tcPr>
          <w:p w14:paraId="31DAC331" w14:textId="77777777" w:rsidR="00AD1531" w:rsidRPr="00041585" w:rsidRDefault="00AD1531" w:rsidP="00E4741D">
            <w:pPr>
              <w:pStyle w:val="ExhibitText"/>
              <w:jc w:val="right"/>
              <w:rPr>
                <w:rFonts w:cs="Arial"/>
                <w:sz w:val="20"/>
                <w:lang w:val="en-GB" w:eastAsia="en-US"/>
              </w:rPr>
            </w:pPr>
            <w:r w:rsidRPr="00041585">
              <w:rPr>
                <w:rFonts w:cs="Arial"/>
                <w:sz w:val="20"/>
                <w:lang w:val="en-GB" w:eastAsia="en-US"/>
              </w:rPr>
              <w:t>6,691</w:t>
            </w:r>
          </w:p>
        </w:tc>
      </w:tr>
      <w:tr w:rsidR="00AD1531" w:rsidRPr="00041585" w14:paraId="78930B9B" w14:textId="77777777" w:rsidTr="00656174">
        <w:trPr>
          <w:trHeight w:val="245"/>
          <w:jc w:val="center"/>
        </w:trPr>
        <w:tc>
          <w:tcPr>
            <w:tcW w:w="3152" w:type="dxa"/>
            <w:shd w:val="clear" w:color="auto" w:fill="auto"/>
          </w:tcPr>
          <w:p w14:paraId="106D9BF1" w14:textId="77777777" w:rsidR="00AD1531" w:rsidRPr="00041585" w:rsidRDefault="00AD1531" w:rsidP="00AD1531">
            <w:pPr>
              <w:pStyle w:val="ExhibitText"/>
              <w:rPr>
                <w:rFonts w:cs="Arial"/>
                <w:b/>
                <w:sz w:val="20"/>
                <w:lang w:val="en-GB" w:eastAsia="en-US"/>
              </w:rPr>
            </w:pPr>
            <w:r w:rsidRPr="00041585">
              <w:rPr>
                <w:rFonts w:cs="Arial"/>
                <w:b/>
                <w:sz w:val="20"/>
                <w:lang w:val="en-GB" w:eastAsia="en-US"/>
              </w:rPr>
              <w:t>TOTAL</w:t>
            </w:r>
          </w:p>
        </w:tc>
        <w:tc>
          <w:tcPr>
            <w:tcW w:w="1939" w:type="dxa"/>
            <w:shd w:val="clear" w:color="auto" w:fill="auto"/>
          </w:tcPr>
          <w:p w14:paraId="5804171C"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18,082</w:t>
            </w:r>
          </w:p>
        </w:tc>
        <w:tc>
          <w:tcPr>
            <w:tcW w:w="1939" w:type="dxa"/>
            <w:shd w:val="clear" w:color="auto" w:fill="auto"/>
          </w:tcPr>
          <w:p w14:paraId="2FF76D9B"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55,437</w:t>
            </w:r>
          </w:p>
        </w:tc>
        <w:tc>
          <w:tcPr>
            <w:tcW w:w="1721" w:type="dxa"/>
            <w:shd w:val="clear" w:color="auto" w:fill="auto"/>
          </w:tcPr>
          <w:p w14:paraId="4234A462"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10,793</w:t>
            </w:r>
          </w:p>
        </w:tc>
      </w:tr>
      <w:tr w:rsidR="00AD1531" w:rsidRPr="00041585" w14:paraId="6BE8FEE2" w14:textId="77777777" w:rsidTr="00656174">
        <w:trPr>
          <w:trHeight w:val="256"/>
          <w:jc w:val="center"/>
        </w:trPr>
        <w:tc>
          <w:tcPr>
            <w:tcW w:w="3152" w:type="dxa"/>
            <w:shd w:val="clear" w:color="auto" w:fill="auto"/>
          </w:tcPr>
          <w:p w14:paraId="3C312881" w14:textId="77777777" w:rsidR="00AD1531" w:rsidRPr="00041585" w:rsidRDefault="00AD1531" w:rsidP="00AD1531">
            <w:pPr>
              <w:pStyle w:val="ExhibitText"/>
              <w:rPr>
                <w:rFonts w:cs="Arial"/>
                <w:b/>
                <w:sz w:val="20"/>
                <w:lang w:val="en-GB" w:eastAsia="en-US"/>
              </w:rPr>
            </w:pPr>
            <w:r w:rsidRPr="00041585">
              <w:rPr>
                <w:rFonts w:cs="Arial"/>
                <w:b/>
                <w:sz w:val="20"/>
                <w:lang w:val="en-GB" w:eastAsia="en-US"/>
              </w:rPr>
              <w:t>NET INCOME</w:t>
            </w:r>
          </w:p>
        </w:tc>
        <w:tc>
          <w:tcPr>
            <w:tcW w:w="1939" w:type="dxa"/>
            <w:shd w:val="clear" w:color="auto" w:fill="auto"/>
          </w:tcPr>
          <w:p w14:paraId="44EBA59E" w14:textId="77777777" w:rsidR="00AD1531" w:rsidRPr="00041585" w:rsidRDefault="00656174" w:rsidP="00E4741D">
            <w:pPr>
              <w:pStyle w:val="ExhibitText"/>
              <w:jc w:val="right"/>
              <w:rPr>
                <w:rFonts w:cs="Arial"/>
                <w:b/>
                <w:sz w:val="20"/>
                <w:lang w:val="en-GB" w:eastAsia="en-US"/>
              </w:rPr>
            </w:pPr>
            <w:r w:rsidRPr="00041585">
              <w:rPr>
                <w:rFonts w:cs="Arial"/>
                <w:b/>
                <w:sz w:val="20"/>
                <w:lang w:val="en-GB" w:eastAsia="en-US"/>
              </w:rPr>
              <w:t>–</w:t>
            </w:r>
            <w:r w:rsidR="00AD1531" w:rsidRPr="00041585">
              <w:rPr>
                <w:rFonts w:cs="Arial"/>
                <w:b/>
                <w:sz w:val="20"/>
                <w:lang w:val="en-GB" w:eastAsia="en-US"/>
              </w:rPr>
              <w:t>$3,291</w:t>
            </w:r>
          </w:p>
        </w:tc>
        <w:tc>
          <w:tcPr>
            <w:tcW w:w="1939" w:type="dxa"/>
            <w:shd w:val="clear" w:color="auto" w:fill="auto"/>
          </w:tcPr>
          <w:p w14:paraId="1F3D868D" w14:textId="77777777" w:rsidR="00AD1531" w:rsidRPr="00041585" w:rsidRDefault="00AD1531" w:rsidP="00E4741D">
            <w:pPr>
              <w:pStyle w:val="ExhibitText"/>
              <w:jc w:val="right"/>
              <w:rPr>
                <w:rFonts w:cs="Arial"/>
                <w:b/>
                <w:sz w:val="20"/>
                <w:lang w:val="en-GB" w:eastAsia="en-US"/>
              </w:rPr>
            </w:pPr>
            <w:r w:rsidRPr="00041585">
              <w:rPr>
                <w:rFonts w:cs="Arial"/>
                <w:b/>
                <w:sz w:val="20"/>
                <w:lang w:val="en-GB" w:eastAsia="en-US"/>
              </w:rPr>
              <w:t>$3,515</w:t>
            </w:r>
          </w:p>
        </w:tc>
        <w:tc>
          <w:tcPr>
            <w:tcW w:w="1721" w:type="dxa"/>
            <w:shd w:val="clear" w:color="auto" w:fill="auto"/>
          </w:tcPr>
          <w:p w14:paraId="165F9522" w14:textId="77777777" w:rsidR="00AD1531" w:rsidRPr="00041585" w:rsidRDefault="00656174" w:rsidP="00E4741D">
            <w:pPr>
              <w:pStyle w:val="ExhibitText"/>
              <w:jc w:val="right"/>
              <w:rPr>
                <w:rFonts w:cs="Arial"/>
                <w:b/>
                <w:sz w:val="20"/>
                <w:lang w:val="en-GB" w:eastAsia="en-US"/>
              </w:rPr>
            </w:pPr>
            <w:r w:rsidRPr="00041585">
              <w:rPr>
                <w:rFonts w:cs="Arial"/>
                <w:b/>
                <w:sz w:val="20"/>
                <w:lang w:val="en-GB" w:eastAsia="en-US"/>
              </w:rPr>
              <w:t>–</w:t>
            </w:r>
            <w:r w:rsidR="00AD1531" w:rsidRPr="00041585">
              <w:rPr>
                <w:rFonts w:cs="Arial"/>
                <w:b/>
                <w:sz w:val="20"/>
                <w:lang w:val="en-GB" w:eastAsia="en-US"/>
              </w:rPr>
              <w:t>$3,394</w:t>
            </w:r>
          </w:p>
        </w:tc>
      </w:tr>
    </w:tbl>
    <w:p w14:paraId="64871385" w14:textId="77777777" w:rsidR="00AD1531" w:rsidRPr="005C3AD2" w:rsidRDefault="00AD1531" w:rsidP="00AD1531">
      <w:pPr>
        <w:pStyle w:val="BodyTextMain"/>
        <w:rPr>
          <w:lang w:val="en-GB"/>
        </w:rPr>
      </w:pPr>
    </w:p>
    <w:p w14:paraId="2D04B30E" w14:textId="77777777" w:rsidR="00AD1531" w:rsidRPr="005C3AD2" w:rsidRDefault="007354CE" w:rsidP="007354CE">
      <w:pPr>
        <w:pStyle w:val="Footnote"/>
        <w:rPr>
          <w:lang w:val="en-GB"/>
        </w:rPr>
      </w:pPr>
      <w:r w:rsidRPr="005C3AD2">
        <w:rPr>
          <w:lang w:val="en-GB"/>
        </w:rPr>
        <w:t xml:space="preserve">Source: Created by </w:t>
      </w:r>
      <w:r w:rsidR="00656174">
        <w:rPr>
          <w:lang w:val="en-GB"/>
        </w:rPr>
        <w:t xml:space="preserve">the </w:t>
      </w:r>
      <w:r w:rsidRPr="005C3AD2">
        <w:rPr>
          <w:lang w:val="en-GB"/>
        </w:rPr>
        <w:t>author</w:t>
      </w:r>
      <w:r w:rsidR="00656174">
        <w:rPr>
          <w:lang w:val="en-GB"/>
        </w:rPr>
        <w:t>s</w:t>
      </w:r>
      <w:r w:rsidRPr="005C3AD2">
        <w:rPr>
          <w:lang w:val="en-GB"/>
        </w:rPr>
        <w:t xml:space="preserve"> using data from </w:t>
      </w:r>
      <w:r w:rsidR="00656174">
        <w:rPr>
          <w:lang w:val="en-GB"/>
        </w:rPr>
        <w:t>company</w:t>
      </w:r>
      <w:r w:rsidRPr="005C3AD2">
        <w:rPr>
          <w:lang w:val="en-GB"/>
        </w:rPr>
        <w:t xml:space="preserve"> document</w:t>
      </w:r>
      <w:r w:rsidR="00656174">
        <w:rPr>
          <w:lang w:val="en-GB"/>
        </w:rPr>
        <w:t>s</w:t>
      </w:r>
      <w:r w:rsidRPr="005C3AD2">
        <w:rPr>
          <w:lang w:val="en-GB"/>
        </w:rPr>
        <w:t>.</w:t>
      </w:r>
    </w:p>
    <w:p w14:paraId="2855DC7B" w14:textId="77777777" w:rsidR="00AD1531" w:rsidRPr="005C3AD2" w:rsidRDefault="00AD1531" w:rsidP="00AD1531">
      <w:pPr>
        <w:pStyle w:val="BodyTextMain"/>
        <w:rPr>
          <w:lang w:val="en-GB"/>
        </w:rPr>
      </w:pPr>
    </w:p>
    <w:p w14:paraId="00F81D99" w14:textId="77777777" w:rsidR="00AD1531" w:rsidRPr="005C3AD2" w:rsidRDefault="00AD1531" w:rsidP="00AD1531">
      <w:pPr>
        <w:pStyle w:val="BodyTextMain"/>
        <w:rPr>
          <w:lang w:val="en-GB"/>
        </w:rPr>
      </w:pPr>
    </w:p>
    <w:p w14:paraId="499431ED" w14:textId="77777777" w:rsidR="00AD1531" w:rsidRPr="005C3AD2" w:rsidRDefault="00AD1531" w:rsidP="00AD1531">
      <w:pPr>
        <w:pStyle w:val="BodyTextMain"/>
        <w:rPr>
          <w:lang w:val="en-GB"/>
        </w:rPr>
      </w:pPr>
    </w:p>
    <w:p w14:paraId="554C258B" w14:textId="77777777" w:rsidR="00AD1531" w:rsidRPr="005C3AD2" w:rsidRDefault="00AD1531" w:rsidP="00AD1531">
      <w:pPr>
        <w:pStyle w:val="BodyTextMain"/>
        <w:rPr>
          <w:lang w:val="en-GB"/>
        </w:rPr>
      </w:pPr>
    </w:p>
    <w:p w14:paraId="65491FA2" w14:textId="77777777" w:rsidR="00AD1531" w:rsidRPr="005C3AD2" w:rsidRDefault="00AD1531" w:rsidP="00AD1531">
      <w:pPr>
        <w:pStyle w:val="BodyTextMain"/>
        <w:rPr>
          <w:lang w:val="en-GB"/>
        </w:rPr>
      </w:pPr>
    </w:p>
    <w:p w14:paraId="414F7766" w14:textId="77777777" w:rsidR="00AD1531" w:rsidRPr="005C3AD2" w:rsidRDefault="00AD1531" w:rsidP="00AD1531">
      <w:pPr>
        <w:pStyle w:val="BodyTextMain"/>
        <w:rPr>
          <w:lang w:val="en-GB"/>
        </w:rPr>
      </w:pPr>
    </w:p>
    <w:p w14:paraId="20A44CF6" w14:textId="77777777" w:rsidR="00AD1531" w:rsidRPr="005C3AD2" w:rsidRDefault="00AD1531" w:rsidP="00AD1531">
      <w:pPr>
        <w:pStyle w:val="BodyTextMain"/>
        <w:rPr>
          <w:lang w:val="en-GB"/>
        </w:rPr>
      </w:pPr>
    </w:p>
    <w:p w14:paraId="5A294917" w14:textId="77777777" w:rsidR="00AD1531" w:rsidRPr="005C3AD2" w:rsidRDefault="00AD1531" w:rsidP="00AD1531">
      <w:pPr>
        <w:pStyle w:val="BodyTextMain"/>
        <w:rPr>
          <w:lang w:val="en-GB"/>
        </w:rPr>
      </w:pPr>
    </w:p>
    <w:p w14:paraId="7CE5DB62" w14:textId="77777777" w:rsidR="00AD1531" w:rsidRPr="005C3AD2" w:rsidRDefault="00AD1531" w:rsidP="00AD1531">
      <w:pPr>
        <w:pStyle w:val="BodyTextMain"/>
        <w:rPr>
          <w:lang w:val="en-GB"/>
        </w:rPr>
      </w:pPr>
    </w:p>
    <w:p w14:paraId="191E2B40" w14:textId="77777777" w:rsidR="00AD1531" w:rsidRPr="00843FF2" w:rsidRDefault="00656174" w:rsidP="00656174">
      <w:pPr>
        <w:pStyle w:val="ExhibitHeading"/>
        <w:rPr>
          <w:sz w:val="20"/>
          <w:lang w:val="en-GB"/>
        </w:rPr>
      </w:pPr>
      <w:r>
        <w:rPr>
          <w:lang w:val="en-GB"/>
        </w:rPr>
        <w:br w:type="page"/>
      </w:r>
      <w:r w:rsidR="00AD1531" w:rsidRPr="00843FF2">
        <w:rPr>
          <w:sz w:val="20"/>
          <w:lang w:val="en-GB"/>
        </w:rPr>
        <w:lastRenderedPageBreak/>
        <w:t xml:space="preserve">Exhibit 5: </w:t>
      </w:r>
      <w:r w:rsidRPr="00843FF2">
        <w:rPr>
          <w:sz w:val="20"/>
          <w:lang w:val="en-GB"/>
        </w:rPr>
        <w:t xml:space="preserve">Social Focus Consulting </w:t>
      </w:r>
      <w:r w:rsidR="00AD1531" w:rsidRPr="00843FF2">
        <w:rPr>
          <w:sz w:val="20"/>
          <w:lang w:val="en-GB"/>
        </w:rPr>
        <w:t>key accomplishments</w:t>
      </w:r>
      <w:r w:rsidR="001D674C" w:rsidRPr="00843FF2">
        <w:rPr>
          <w:sz w:val="20"/>
          <w:lang w:val="en-GB"/>
        </w:rPr>
        <w:t xml:space="preserve"> </w:t>
      </w:r>
    </w:p>
    <w:p w14:paraId="356DF86A" w14:textId="77777777" w:rsidR="001D674C" w:rsidRDefault="001D674C" w:rsidP="001D674C">
      <w:pPr>
        <w:pStyle w:val="ExhibitHeading"/>
        <w:rPr>
          <w:lang w:val="en-GB"/>
        </w:rPr>
      </w:pPr>
    </w:p>
    <w:p w14:paraId="56DFBCE5" w14:textId="77777777" w:rsidR="00656174" w:rsidRPr="00843FF2" w:rsidRDefault="00656174" w:rsidP="00041585">
      <w:pPr>
        <w:pStyle w:val="Casehead2"/>
        <w:rPr>
          <w:sz w:val="20"/>
        </w:rPr>
      </w:pPr>
      <w:r w:rsidRPr="00843FF2">
        <w:rPr>
          <w:sz w:val="20"/>
        </w:rPr>
        <w:t>Selected Information Included in Social Focus Consulting’s response to the Request for Proposal from Gananoque Public Health</w:t>
      </w:r>
    </w:p>
    <w:p w14:paraId="605E747B" w14:textId="77777777" w:rsidR="00AD1531" w:rsidRPr="005C3AD2" w:rsidRDefault="00AD1531" w:rsidP="00AD1531">
      <w:pPr>
        <w:pStyle w:val="ExhibitHeading"/>
        <w:rPr>
          <w:lang w:val="en-GB"/>
        </w:rPr>
      </w:pPr>
    </w:p>
    <w:p w14:paraId="22A783FA" w14:textId="6043140C" w:rsidR="007354CE" w:rsidRPr="00041585" w:rsidRDefault="00656174" w:rsidP="007354CE">
      <w:pPr>
        <w:pStyle w:val="ExhibitText"/>
        <w:numPr>
          <w:ilvl w:val="0"/>
          <w:numId w:val="5"/>
        </w:numPr>
        <w:ind w:left="360"/>
        <w:rPr>
          <w:sz w:val="20"/>
          <w:lang w:val="en-GB"/>
        </w:rPr>
      </w:pPr>
      <w:r w:rsidRPr="00041585">
        <w:rPr>
          <w:sz w:val="20"/>
          <w:lang w:val="en-GB"/>
        </w:rPr>
        <w:t xml:space="preserve">Re: </w:t>
      </w:r>
      <w:r w:rsidR="007354CE" w:rsidRPr="00041585">
        <w:rPr>
          <w:sz w:val="20"/>
          <w:lang w:val="en-GB"/>
        </w:rPr>
        <w:t xml:space="preserve">Proven knowledge of </w:t>
      </w:r>
      <w:r w:rsidR="007469AF">
        <w:rPr>
          <w:sz w:val="20"/>
          <w:lang w:val="en-GB"/>
        </w:rPr>
        <w:t>s</w:t>
      </w:r>
      <w:r w:rsidR="007354CE" w:rsidRPr="00041585">
        <w:rPr>
          <w:sz w:val="20"/>
          <w:lang w:val="en-GB"/>
        </w:rPr>
        <w:t xml:space="preserve">ocial </w:t>
      </w:r>
      <w:r w:rsidR="007469AF">
        <w:rPr>
          <w:sz w:val="20"/>
          <w:lang w:val="en-GB"/>
        </w:rPr>
        <w:t>m</w:t>
      </w:r>
      <w:r w:rsidR="007354CE" w:rsidRPr="00041585">
        <w:rPr>
          <w:sz w:val="20"/>
          <w:lang w:val="en-GB"/>
        </w:rPr>
        <w:t>arketing principles and practices, ideally in public health</w:t>
      </w:r>
    </w:p>
    <w:p w14:paraId="0F7ED9E0" w14:textId="234E2EA2" w:rsidR="007354CE" w:rsidRPr="00041585" w:rsidRDefault="007354CE" w:rsidP="007354CE">
      <w:pPr>
        <w:pStyle w:val="ExhibitText"/>
        <w:numPr>
          <w:ilvl w:val="0"/>
          <w:numId w:val="6"/>
        </w:numPr>
        <w:rPr>
          <w:sz w:val="20"/>
          <w:lang w:val="en-GB"/>
        </w:rPr>
      </w:pPr>
      <w:r w:rsidRPr="00041585">
        <w:rPr>
          <w:sz w:val="20"/>
          <w:lang w:val="en-GB"/>
        </w:rPr>
        <w:t>25</w:t>
      </w:r>
      <w:r w:rsidR="007469AF">
        <w:rPr>
          <w:sz w:val="20"/>
          <w:lang w:val="en-GB"/>
        </w:rPr>
        <w:t>-</w:t>
      </w:r>
      <w:r w:rsidRPr="00041585">
        <w:rPr>
          <w:sz w:val="20"/>
          <w:lang w:val="en-GB"/>
        </w:rPr>
        <w:t>per</w:t>
      </w:r>
      <w:r w:rsidR="007469AF">
        <w:rPr>
          <w:sz w:val="20"/>
          <w:lang w:val="en-GB"/>
        </w:rPr>
        <w:t>-</w:t>
      </w:r>
      <w:r w:rsidRPr="00041585">
        <w:rPr>
          <w:sz w:val="20"/>
          <w:lang w:val="en-GB"/>
        </w:rPr>
        <w:t>cent increase in participants for a</w:t>
      </w:r>
      <w:r w:rsidR="007469AF">
        <w:rPr>
          <w:sz w:val="20"/>
          <w:lang w:val="en-GB"/>
        </w:rPr>
        <w:t>n</w:t>
      </w:r>
      <w:r w:rsidRPr="00041585">
        <w:rPr>
          <w:sz w:val="20"/>
          <w:lang w:val="en-GB"/>
        </w:rPr>
        <w:t xml:space="preserve"> NPO</w:t>
      </w:r>
      <w:r w:rsidR="00656174" w:rsidRPr="00041585">
        <w:rPr>
          <w:sz w:val="20"/>
          <w:lang w:val="en-GB"/>
        </w:rPr>
        <w:t>’</w:t>
      </w:r>
      <w:r w:rsidRPr="00041585">
        <w:rPr>
          <w:sz w:val="20"/>
          <w:lang w:val="en-GB"/>
        </w:rPr>
        <w:t>s annual fundraising event via social marketing</w:t>
      </w:r>
    </w:p>
    <w:p w14:paraId="107927DE" w14:textId="3735D59A" w:rsidR="007354CE" w:rsidRPr="00041585" w:rsidRDefault="007354CE" w:rsidP="007354CE">
      <w:pPr>
        <w:pStyle w:val="ExhibitText"/>
        <w:numPr>
          <w:ilvl w:val="0"/>
          <w:numId w:val="6"/>
        </w:numPr>
        <w:rPr>
          <w:sz w:val="20"/>
          <w:lang w:val="en-GB"/>
        </w:rPr>
      </w:pPr>
      <w:r w:rsidRPr="00041585">
        <w:rPr>
          <w:sz w:val="20"/>
          <w:lang w:val="en-GB"/>
        </w:rPr>
        <w:t>40</w:t>
      </w:r>
      <w:r w:rsidR="007469AF">
        <w:rPr>
          <w:sz w:val="20"/>
          <w:lang w:val="en-GB"/>
        </w:rPr>
        <w:t>-</w:t>
      </w:r>
      <w:r w:rsidRPr="00041585">
        <w:rPr>
          <w:sz w:val="20"/>
          <w:lang w:val="en-GB"/>
        </w:rPr>
        <w:t>per</w:t>
      </w:r>
      <w:r w:rsidR="007469AF">
        <w:rPr>
          <w:sz w:val="20"/>
          <w:lang w:val="en-GB"/>
        </w:rPr>
        <w:t>-</w:t>
      </w:r>
      <w:r w:rsidRPr="00041585">
        <w:rPr>
          <w:sz w:val="20"/>
          <w:lang w:val="en-GB"/>
        </w:rPr>
        <w:t>cent more revenues for a</w:t>
      </w:r>
      <w:r w:rsidR="007469AF">
        <w:rPr>
          <w:sz w:val="20"/>
          <w:lang w:val="en-GB"/>
        </w:rPr>
        <w:t>n</w:t>
      </w:r>
      <w:r w:rsidRPr="00041585">
        <w:rPr>
          <w:sz w:val="20"/>
          <w:lang w:val="en-GB"/>
        </w:rPr>
        <w:t xml:space="preserve"> NPO</w:t>
      </w:r>
      <w:r w:rsidR="00656174" w:rsidRPr="00041585">
        <w:rPr>
          <w:sz w:val="20"/>
          <w:lang w:val="en-GB"/>
        </w:rPr>
        <w:t>’</w:t>
      </w:r>
      <w:r w:rsidRPr="00041585">
        <w:rPr>
          <w:sz w:val="20"/>
          <w:lang w:val="en-GB"/>
        </w:rPr>
        <w:t>s annual fundraising event via social marketing</w:t>
      </w:r>
    </w:p>
    <w:p w14:paraId="12FB19B0" w14:textId="4DFF914C" w:rsidR="007354CE" w:rsidRPr="00041585" w:rsidRDefault="007354CE" w:rsidP="007354CE">
      <w:pPr>
        <w:pStyle w:val="ExhibitText"/>
        <w:numPr>
          <w:ilvl w:val="0"/>
          <w:numId w:val="6"/>
        </w:numPr>
        <w:rPr>
          <w:sz w:val="20"/>
          <w:lang w:val="en-GB"/>
        </w:rPr>
      </w:pPr>
      <w:r w:rsidRPr="00041585">
        <w:rPr>
          <w:sz w:val="20"/>
          <w:lang w:val="en-GB"/>
        </w:rPr>
        <w:t>400</w:t>
      </w:r>
      <w:r w:rsidR="007469AF">
        <w:rPr>
          <w:sz w:val="20"/>
          <w:lang w:val="en-GB"/>
        </w:rPr>
        <w:t>-</w:t>
      </w:r>
      <w:r w:rsidRPr="00041585">
        <w:rPr>
          <w:sz w:val="20"/>
          <w:lang w:val="en-GB"/>
        </w:rPr>
        <w:t>per</w:t>
      </w:r>
      <w:r w:rsidR="007469AF">
        <w:rPr>
          <w:sz w:val="20"/>
          <w:lang w:val="en-GB"/>
        </w:rPr>
        <w:t>-</w:t>
      </w:r>
      <w:r w:rsidRPr="00041585">
        <w:rPr>
          <w:sz w:val="20"/>
          <w:lang w:val="en-GB"/>
        </w:rPr>
        <w:t>cent increase in revenues for a health-related NPO</w:t>
      </w:r>
      <w:r w:rsidR="00656174" w:rsidRPr="00041585">
        <w:rPr>
          <w:sz w:val="20"/>
          <w:lang w:val="en-GB"/>
        </w:rPr>
        <w:t>’</w:t>
      </w:r>
      <w:r w:rsidRPr="00041585">
        <w:rPr>
          <w:sz w:val="20"/>
          <w:lang w:val="en-GB"/>
        </w:rPr>
        <w:t>s social enterprise</w:t>
      </w:r>
    </w:p>
    <w:p w14:paraId="46152498" w14:textId="77777777" w:rsidR="007354CE" w:rsidRPr="00041585" w:rsidRDefault="007354CE" w:rsidP="007354CE">
      <w:pPr>
        <w:pStyle w:val="ExhibitText"/>
        <w:rPr>
          <w:sz w:val="20"/>
          <w:lang w:val="en-GB"/>
        </w:rPr>
      </w:pPr>
    </w:p>
    <w:p w14:paraId="3429A2C7" w14:textId="77777777" w:rsidR="007354CE" w:rsidRPr="00041585" w:rsidRDefault="00656174" w:rsidP="007354CE">
      <w:pPr>
        <w:pStyle w:val="ExhibitText"/>
        <w:numPr>
          <w:ilvl w:val="0"/>
          <w:numId w:val="5"/>
        </w:numPr>
        <w:ind w:left="360"/>
        <w:rPr>
          <w:sz w:val="20"/>
          <w:lang w:val="en-GB"/>
        </w:rPr>
      </w:pPr>
      <w:r w:rsidRPr="00041585">
        <w:rPr>
          <w:sz w:val="20"/>
          <w:lang w:val="en-GB"/>
        </w:rPr>
        <w:t xml:space="preserve">Re: </w:t>
      </w:r>
      <w:r w:rsidR="007354CE" w:rsidRPr="00041585">
        <w:rPr>
          <w:sz w:val="20"/>
          <w:lang w:val="en-GB"/>
        </w:rPr>
        <w:t>Extensive experience in multi-stakeholder group facilitation</w:t>
      </w:r>
    </w:p>
    <w:p w14:paraId="3C5671AD" w14:textId="77777777" w:rsidR="007354CE" w:rsidRPr="00041585" w:rsidRDefault="007354CE" w:rsidP="007354CE">
      <w:pPr>
        <w:pStyle w:val="ExhibitText"/>
        <w:numPr>
          <w:ilvl w:val="0"/>
          <w:numId w:val="7"/>
        </w:numPr>
        <w:rPr>
          <w:sz w:val="20"/>
          <w:lang w:val="en-GB"/>
        </w:rPr>
      </w:pPr>
      <w:r w:rsidRPr="00041585">
        <w:rPr>
          <w:sz w:val="20"/>
          <w:lang w:val="en-GB"/>
        </w:rPr>
        <w:t xml:space="preserve">Collaborated with multiple stakeholders (students, professors, </w:t>
      </w:r>
      <w:r w:rsidR="00656174" w:rsidRPr="00041585">
        <w:rPr>
          <w:sz w:val="20"/>
          <w:lang w:val="en-GB"/>
        </w:rPr>
        <w:t xml:space="preserve">and </w:t>
      </w:r>
      <w:r w:rsidRPr="00041585">
        <w:rPr>
          <w:sz w:val="20"/>
          <w:lang w:val="en-GB"/>
        </w:rPr>
        <w:t xml:space="preserve">administration) to develop and plan a facilitated learning teams program for </w:t>
      </w:r>
      <w:r w:rsidR="00656174" w:rsidRPr="00041585">
        <w:rPr>
          <w:sz w:val="20"/>
          <w:lang w:val="en-GB"/>
        </w:rPr>
        <w:t>u</w:t>
      </w:r>
      <w:r w:rsidRPr="00041585">
        <w:rPr>
          <w:sz w:val="20"/>
          <w:lang w:val="en-GB"/>
        </w:rPr>
        <w:t>niversity students</w:t>
      </w:r>
    </w:p>
    <w:p w14:paraId="5B53DB54" w14:textId="77777777" w:rsidR="007354CE" w:rsidRPr="00041585" w:rsidRDefault="007354CE" w:rsidP="007354CE">
      <w:pPr>
        <w:pStyle w:val="ExhibitText"/>
        <w:numPr>
          <w:ilvl w:val="0"/>
          <w:numId w:val="7"/>
        </w:numPr>
        <w:rPr>
          <w:sz w:val="20"/>
          <w:lang w:val="en-GB"/>
        </w:rPr>
      </w:pPr>
      <w:r w:rsidRPr="00041585">
        <w:rPr>
          <w:sz w:val="20"/>
          <w:lang w:val="en-GB"/>
        </w:rPr>
        <w:t>Trained 150+ students to facilitate 16,000+ hours of group time for 700+ students</w:t>
      </w:r>
    </w:p>
    <w:p w14:paraId="3B120B6B" w14:textId="77777777" w:rsidR="007354CE" w:rsidRPr="00041585" w:rsidRDefault="007354CE" w:rsidP="007354CE">
      <w:pPr>
        <w:pStyle w:val="ExhibitText"/>
        <w:rPr>
          <w:sz w:val="20"/>
          <w:lang w:val="en-GB"/>
        </w:rPr>
      </w:pPr>
    </w:p>
    <w:p w14:paraId="3E4CE2E9" w14:textId="77777777" w:rsidR="007354CE" w:rsidRPr="00041585" w:rsidRDefault="00656174" w:rsidP="007354CE">
      <w:pPr>
        <w:pStyle w:val="ExhibitText"/>
        <w:numPr>
          <w:ilvl w:val="0"/>
          <w:numId w:val="5"/>
        </w:numPr>
        <w:ind w:left="360"/>
        <w:rPr>
          <w:sz w:val="20"/>
          <w:lang w:val="en-GB"/>
        </w:rPr>
      </w:pPr>
      <w:r w:rsidRPr="00041585">
        <w:rPr>
          <w:sz w:val="20"/>
          <w:lang w:val="en-GB"/>
        </w:rPr>
        <w:t xml:space="preserve">Re: </w:t>
      </w:r>
      <w:r w:rsidR="007354CE" w:rsidRPr="00041585">
        <w:rPr>
          <w:sz w:val="20"/>
          <w:lang w:val="en-GB"/>
        </w:rPr>
        <w:t>Proven knowledge of young adults as a target market</w:t>
      </w:r>
    </w:p>
    <w:p w14:paraId="26A9D2B9" w14:textId="77777777" w:rsidR="007354CE" w:rsidRPr="00041585" w:rsidRDefault="007354CE" w:rsidP="007354CE">
      <w:pPr>
        <w:pStyle w:val="ExhibitText"/>
        <w:numPr>
          <w:ilvl w:val="0"/>
          <w:numId w:val="8"/>
        </w:numPr>
        <w:rPr>
          <w:sz w:val="20"/>
          <w:lang w:val="en-GB"/>
        </w:rPr>
      </w:pPr>
      <w:r w:rsidRPr="00041585">
        <w:rPr>
          <w:sz w:val="20"/>
          <w:lang w:val="en-GB"/>
        </w:rPr>
        <w:t>Social Focus Consulting consists exclusively of young adults</w:t>
      </w:r>
      <w:r w:rsidR="00055E25" w:rsidRPr="00041585">
        <w:rPr>
          <w:sz w:val="20"/>
          <w:lang w:val="en-GB"/>
        </w:rPr>
        <w:t>,</w:t>
      </w:r>
      <w:r w:rsidRPr="00041585">
        <w:rPr>
          <w:sz w:val="20"/>
          <w:lang w:val="en-GB"/>
        </w:rPr>
        <w:t xml:space="preserve"> so we can bring organizations our unique perspectives on social marketing. For this unique approach, we were recognized by </w:t>
      </w:r>
      <w:r w:rsidRPr="00041585">
        <w:rPr>
          <w:i/>
          <w:sz w:val="20"/>
          <w:lang w:val="en-GB"/>
        </w:rPr>
        <w:t xml:space="preserve">The Globe </w:t>
      </w:r>
      <w:r w:rsidR="00055E25" w:rsidRPr="00041585">
        <w:rPr>
          <w:i/>
          <w:sz w:val="20"/>
          <w:lang w:val="en-GB"/>
        </w:rPr>
        <w:t>and</w:t>
      </w:r>
      <w:r w:rsidRPr="00041585">
        <w:rPr>
          <w:i/>
          <w:sz w:val="20"/>
          <w:lang w:val="en-GB"/>
        </w:rPr>
        <w:t xml:space="preserve"> Mail</w:t>
      </w:r>
      <w:r w:rsidRPr="00041585">
        <w:rPr>
          <w:sz w:val="20"/>
          <w:lang w:val="en-GB"/>
        </w:rPr>
        <w:t xml:space="preserve"> as one of Canada</w:t>
      </w:r>
      <w:r w:rsidR="00055E25" w:rsidRPr="00041585">
        <w:rPr>
          <w:sz w:val="20"/>
          <w:lang w:val="en-GB"/>
        </w:rPr>
        <w:t>’</w:t>
      </w:r>
      <w:r w:rsidRPr="00041585">
        <w:rPr>
          <w:sz w:val="20"/>
          <w:lang w:val="en-GB"/>
        </w:rPr>
        <w:t>s 10 most remarkable small businesses</w:t>
      </w:r>
    </w:p>
    <w:p w14:paraId="5C05C106" w14:textId="77777777" w:rsidR="007354CE" w:rsidRPr="00041585" w:rsidRDefault="007354CE" w:rsidP="007354CE">
      <w:pPr>
        <w:pStyle w:val="ExhibitText"/>
        <w:rPr>
          <w:sz w:val="20"/>
          <w:lang w:val="en-GB"/>
        </w:rPr>
      </w:pPr>
    </w:p>
    <w:p w14:paraId="63CAD766" w14:textId="77777777" w:rsidR="007354CE" w:rsidRPr="00041585" w:rsidRDefault="007354CE" w:rsidP="007354CE">
      <w:pPr>
        <w:pStyle w:val="ExhibitText"/>
        <w:numPr>
          <w:ilvl w:val="0"/>
          <w:numId w:val="5"/>
        </w:numPr>
        <w:ind w:left="360"/>
        <w:rPr>
          <w:sz w:val="20"/>
          <w:lang w:val="en-GB"/>
        </w:rPr>
      </w:pPr>
      <w:r w:rsidRPr="00041585">
        <w:rPr>
          <w:sz w:val="20"/>
          <w:lang w:val="en-GB"/>
        </w:rPr>
        <w:t>Ability to complete projects on time, on budget, and within specifications</w:t>
      </w:r>
    </w:p>
    <w:p w14:paraId="77B6442F" w14:textId="6075E2A7" w:rsidR="007354CE" w:rsidRPr="00041585" w:rsidRDefault="007354CE" w:rsidP="007354CE">
      <w:pPr>
        <w:pStyle w:val="ExhibitText"/>
        <w:numPr>
          <w:ilvl w:val="0"/>
          <w:numId w:val="9"/>
        </w:numPr>
        <w:rPr>
          <w:sz w:val="20"/>
          <w:lang w:val="en-GB"/>
        </w:rPr>
      </w:pPr>
      <w:r w:rsidRPr="00041585">
        <w:rPr>
          <w:sz w:val="20"/>
          <w:lang w:val="en-GB"/>
        </w:rPr>
        <w:t>100 per</w:t>
      </w:r>
      <w:r w:rsidR="00055E25" w:rsidRPr="00041585">
        <w:rPr>
          <w:sz w:val="20"/>
          <w:lang w:val="en-GB"/>
        </w:rPr>
        <w:t xml:space="preserve"> </w:t>
      </w:r>
      <w:r w:rsidRPr="00041585">
        <w:rPr>
          <w:sz w:val="20"/>
          <w:lang w:val="en-GB"/>
        </w:rPr>
        <w:t>cent of clients say we</w:t>
      </w:r>
      <w:r w:rsidR="007469AF">
        <w:rPr>
          <w:sz w:val="20"/>
          <w:lang w:val="en-GB"/>
        </w:rPr>
        <w:t xml:space="preserve"> are</w:t>
      </w:r>
      <w:r w:rsidRPr="00041585">
        <w:rPr>
          <w:sz w:val="20"/>
          <w:lang w:val="en-GB"/>
        </w:rPr>
        <w:t xml:space="preserve"> </w:t>
      </w:r>
      <w:r w:rsidR="00055E25" w:rsidRPr="00041585">
        <w:rPr>
          <w:sz w:val="20"/>
          <w:lang w:val="en-GB"/>
        </w:rPr>
        <w:t>“</w:t>
      </w:r>
      <w:r w:rsidRPr="00041585">
        <w:rPr>
          <w:sz w:val="20"/>
          <w:lang w:val="en-GB"/>
        </w:rPr>
        <w:t>better</w:t>
      </w:r>
      <w:r w:rsidR="00055E25" w:rsidRPr="00041585">
        <w:rPr>
          <w:sz w:val="20"/>
          <w:lang w:val="en-GB"/>
        </w:rPr>
        <w:t>”</w:t>
      </w:r>
      <w:r w:rsidRPr="00041585">
        <w:rPr>
          <w:sz w:val="20"/>
          <w:lang w:val="en-GB"/>
        </w:rPr>
        <w:t xml:space="preserve"> or </w:t>
      </w:r>
      <w:r w:rsidR="00055E25" w:rsidRPr="00041585">
        <w:rPr>
          <w:sz w:val="20"/>
          <w:lang w:val="en-GB"/>
        </w:rPr>
        <w:t>“</w:t>
      </w:r>
      <w:r w:rsidRPr="00041585">
        <w:rPr>
          <w:sz w:val="20"/>
          <w:lang w:val="en-GB"/>
        </w:rPr>
        <w:t>much better</w:t>
      </w:r>
      <w:r w:rsidR="00055E25" w:rsidRPr="00041585">
        <w:rPr>
          <w:sz w:val="20"/>
          <w:lang w:val="en-GB"/>
        </w:rPr>
        <w:t>”</w:t>
      </w:r>
      <w:r w:rsidRPr="00041585">
        <w:rPr>
          <w:sz w:val="20"/>
          <w:lang w:val="en-GB"/>
        </w:rPr>
        <w:t xml:space="preserve"> than other firms</w:t>
      </w:r>
    </w:p>
    <w:p w14:paraId="2662C100" w14:textId="77777777" w:rsidR="007354CE" w:rsidRPr="00041585" w:rsidRDefault="007354CE" w:rsidP="007354CE">
      <w:pPr>
        <w:pStyle w:val="ExhibitText"/>
        <w:numPr>
          <w:ilvl w:val="0"/>
          <w:numId w:val="9"/>
        </w:numPr>
        <w:rPr>
          <w:sz w:val="20"/>
          <w:lang w:val="en-GB"/>
        </w:rPr>
      </w:pPr>
      <w:r w:rsidRPr="00041585">
        <w:rPr>
          <w:sz w:val="20"/>
          <w:lang w:val="en-GB"/>
        </w:rPr>
        <w:t>4.6 out of 5</w:t>
      </w:r>
      <w:r w:rsidR="00055E25" w:rsidRPr="00041585">
        <w:rPr>
          <w:sz w:val="20"/>
          <w:lang w:val="en-GB"/>
        </w:rPr>
        <w:t>.0</w:t>
      </w:r>
      <w:r w:rsidRPr="00041585">
        <w:rPr>
          <w:sz w:val="20"/>
          <w:lang w:val="en-GB"/>
        </w:rPr>
        <w:t xml:space="preserve"> average client satisfaction rating</w:t>
      </w:r>
    </w:p>
    <w:p w14:paraId="3592F5A4" w14:textId="77777777" w:rsidR="007354CE" w:rsidRPr="00041585" w:rsidRDefault="007354CE" w:rsidP="007354CE">
      <w:pPr>
        <w:pStyle w:val="ExhibitText"/>
        <w:rPr>
          <w:sz w:val="20"/>
          <w:lang w:val="en-GB"/>
        </w:rPr>
      </w:pPr>
    </w:p>
    <w:p w14:paraId="61E669D8" w14:textId="2E0D5F3B" w:rsidR="00055E25" w:rsidRDefault="00055E25" w:rsidP="007354CE">
      <w:pPr>
        <w:pStyle w:val="Footnote"/>
        <w:rPr>
          <w:lang w:val="en-GB"/>
        </w:rPr>
      </w:pPr>
      <w:r>
        <w:rPr>
          <w:lang w:val="en-GB"/>
        </w:rPr>
        <w:t>Note: NPO = non-profit organization</w:t>
      </w:r>
      <w:r w:rsidR="002C2D03">
        <w:rPr>
          <w:lang w:val="en-GB"/>
        </w:rPr>
        <w:t>.</w:t>
      </w:r>
    </w:p>
    <w:p w14:paraId="5F77786E" w14:textId="208C1DEE" w:rsidR="00065127" w:rsidRDefault="007354CE" w:rsidP="007354CE">
      <w:pPr>
        <w:pStyle w:val="Footnote"/>
        <w:rPr>
          <w:lang w:val="en-GB"/>
        </w:rPr>
      </w:pPr>
      <w:r w:rsidRPr="005C3AD2">
        <w:rPr>
          <w:lang w:val="en-GB"/>
        </w:rPr>
        <w:t xml:space="preserve">Source: Created by </w:t>
      </w:r>
      <w:r w:rsidR="007469AF">
        <w:rPr>
          <w:lang w:val="en-GB"/>
        </w:rPr>
        <w:t xml:space="preserve">the </w:t>
      </w:r>
      <w:r w:rsidRPr="005C3AD2">
        <w:rPr>
          <w:lang w:val="en-GB"/>
        </w:rPr>
        <w:t>author</w:t>
      </w:r>
      <w:r w:rsidR="007469AF">
        <w:rPr>
          <w:lang w:val="en-GB"/>
        </w:rPr>
        <w:t>s</w:t>
      </w:r>
      <w:r w:rsidRPr="005C3AD2">
        <w:rPr>
          <w:lang w:val="en-GB"/>
        </w:rPr>
        <w:t xml:space="preserve"> using data from the original document.</w:t>
      </w:r>
    </w:p>
    <w:p w14:paraId="0554028F" w14:textId="77777777" w:rsidR="00AD1531" w:rsidRPr="005C3AD2" w:rsidRDefault="00065127" w:rsidP="001D674C">
      <w:pPr>
        <w:pStyle w:val="ExhibitHeading"/>
        <w:jc w:val="left"/>
        <w:rPr>
          <w:lang w:val="en-GB"/>
        </w:rPr>
      </w:pPr>
      <w:r>
        <w:rPr>
          <w:lang w:val="en-GB"/>
        </w:rPr>
        <w:br w:type="page"/>
      </w:r>
      <w:r>
        <w:rPr>
          <w:lang w:val="en-GB"/>
        </w:rPr>
        <w:lastRenderedPageBreak/>
        <w:t>Endnotes</w:t>
      </w:r>
    </w:p>
    <w:sectPr w:rsidR="00AD1531" w:rsidRPr="005C3AD2"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01249" w14:textId="77777777" w:rsidR="006A1C52" w:rsidRDefault="006A1C52" w:rsidP="00D75295">
      <w:r>
        <w:separator/>
      </w:r>
    </w:p>
  </w:endnote>
  <w:endnote w:type="continuationSeparator" w:id="0">
    <w:p w14:paraId="5F1685BF" w14:textId="77777777" w:rsidR="006A1C52" w:rsidRDefault="006A1C52" w:rsidP="00D75295">
      <w:r>
        <w:continuationSeparator/>
      </w:r>
    </w:p>
  </w:endnote>
  <w:endnote w:id="1">
    <w:p w14:paraId="058F0C11" w14:textId="7EB28389" w:rsidR="00D00188" w:rsidRPr="000B1690" w:rsidRDefault="00D00188" w:rsidP="00812654">
      <w:pPr>
        <w:pStyle w:val="Footnote"/>
      </w:pPr>
      <w:r w:rsidRPr="000B1690">
        <w:rPr>
          <w:rStyle w:val="EndnoteReference"/>
        </w:rPr>
        <w:endnoteRef/>
      </w:r>
      <w:r w:rsidRPr="000B1690">
        <w:t xml:space="preserve"> Michael H. Hall, Cathy W. Barr, M. Easwaramoorthy, S. Wojciech Sokolowski, and Lester M. Salamon, </w:t>
      </w:r>
      <w:r w:rsidRPr="000B1690">
        <w:rPr>
          <w:i/>
        </w:rPr>
        <w:t>The Canadian Nonprofit and Voluntary Sector in Comparative Perspective</w:t>
      </w:r>
      <w:r w:rsidRPr="000B1690">
        <w:t xml:space="preserve"> (Toronto</w:t>
      </w:r>
      <w:r>
        <w:rPr>
          <w:lang w:val="en-CA"/>
        </w:rPr>
        <w:t>,</w:t>
      </w:r>
      <w:r w:rsidRPr="000B1690">
        <w:t xml:space="preserve"> ON</w:t>
      </w:r>
      <w:r>
        <w:rPr>
          <w:lang w:val="en-CA"/>
        </w:rPr>
        <w:t>:</w:t>
      </w:r>
      <w:r w:rsidRPr="000B1690">
        <w:t xml:space="preserve"> Imagine Canada, 2005</w:t>
      </w:r>
      <w:r>
        <w:rPr>
          <w:lang w:val="en-US"/>
        </w:rPr>
        <w:t>)</w:t>
      </w:r>
      <w:r w:rsidRPr="000B1690">
        <w:t>.</w:t>
      </w:r>
    </w:p>
  </w:endnote>
  <w:endnote w:id="2">
    <w:p w14:paraId="5BCEAA7C" w14:textId="216D12C3" w:rsidR="00D00188" w:rsidRPr="000B1690" w:rsidRDefault="00D00188" w:rsidP="00812654">
      <w:pPr>
        <w:pStyle w:val="Footnote"/>
      </w:pPr>
      <w:r w:rsidRPr="000B1690">
        <w:rPr>
          <w:rStyle w:val="EndnoteReference"/>
        </w:rPr>
        <w:endnoteRef/>
      </w:r>
      <w:r w:rsidRPr="000B1690">
        <w:t xml:space="preserve"> “Key Facts about Canada’s Charities,” Imagine Canada, accessed October 7, 2017,</w:t>
      </w:r>
    </w:p>
    <w:p w14:paraId="226F4DBC" w14:textId="77777777" w:rsidR="00D00188" w:rsidRPr="000B1690" w:rsidRDefault="00D00188" w:rsidP="00812654">
      <w:pPr>
        <w:pStyle w:val="Footnote"/>
      </w:pPr>
      <w:r w:rsidRPr="000B1690">
        <w:t>www.imaginecanada.ca/resources-and-tools/research-and-facts/key-facts-about-canada%E2%80%99s-charities.</w:t>
      </w:r>
    </w:p>
  </w:endnote>
  <w:endnote w:id="3">
    <w:p w14:paraId="367BC603" w14:textId="76292B6C" w:rsidR="00D00188" w:rsidRPr="000B1690" w:rsidRDefault="00D00188" w:rsidP="00812654">
      <w:pPr>
        <w:pStyle w:val="Footnote"/>
      </w:pPr>
      <w:r w:rsidRPr="000B1690">
        <w:rPr>
          <w:rStyle w:val="EndnoteReference"/>
        </w:rPr>
        <w:endnoteRef/>
      </w:r>
      <w:r w:rsidRPr="000B1690">
        <w:t xml:space="preserve"> Mark Blumberg, “Blumbergs’ Snapshot of the Canadian Charity Sector 2014,” Canadian Charity Law,</w:t>
      </w:r>
      <w:r>
        <w:rPr>
          <w:lang w:val="en-US"/>
        </w:rPr>
        <w:t xml:space="preserve"> </w:t>
      </w:r>
      <w:r w:rsidRPr="000B1690">
        <w:t xml:space="preserve">April 14, 2016, accessed April 8, 2018, </w:t>
      </w:r>
      <w:r w:rsidRPr="00843FF2">
        <w:t>www.canadiancharitylaw.ca/blog/</w:t>
      </w:r>
      <w:r w:rsidRPr="000B1690">
        <w:t>blumbergs_snapshot_of_the_canadian_charity_sector_2014.</w:t>
      </w:r>
    </w:p>
  </w:endnote>
  <w:endnote w:id="4">
    <w:p w14:paraId="45682619" w14:textId="1C13C745" w:rsidR="00D00188" w:rsidRPr="000B1690" w:rsidRDefault="00D00188" w:rsidP="00812654">
      <w:pPr>
        <w:pStyle w:val="Footnote"/>
      </w:pPr>
      <w:r w:rsidRPr="000B1690">
        <w:rPr>
          <w:rStyle w:val="EndnoteReference"/>
        </w:rPr>
        <w:endnoteRef/>
      </w:r>
      <w:r w:rsidRPr="000B1690">
        <w:t xml:space="preserve"> </w:t>
      </w:r>
      <w:r>
        <w:t>“</w:t>
      </w:r>
      <w:r w:rsidRPr="000B1690">
        <w:t>What Is the Difference between a Registered Charity and a Non-Profit Organization?</w:t>
      </w:r>
      <w:r>
        <w:rPr>
          <w:lang w:val="en-CA"/>
        </w:rPr>
        <w:t>,</w:t>
      </w:r>
      <w:r>
        <w:t xml:space="preserve">” </w:t>
      </w:r>
      <w:r w:rsidRPr="000B1690">
        <w:t>Government of Canada, June 23, 2016, accessed April 8, 2018, www.canada.ca/en/revenue-agency/services/charities-giving/giving-charity-information-donors/about-registered-charities/what-difference-between-a-registered-charity-a-non-profit-organization.html.</w:t>
      </w:r>
    </w:p>
  </w:endnote>
  <w:endnote w:id="5">
    <w:p w14:paraId="478A7216" w14:textId="77777777" w:rsidR="00D00188" w:rsidRPr="000B1690" w:rsidRDefault="00D00188">
      <w:pPr>
        <w:pStyle w:val="EndnoteText"/>
        <w:rPr>
          <w:rFonts w:ascii="Arial" w:hAnsi="Arial" w:cs="Arial"/>
          <w:sz w:val="17"/>
          <w:szCs w:val="17"/>
        </w:rPr>
      </w:pPr>
      <w:r w:rsidRPr="000B1690">
        <w:rPr>
          <w:rStyle w:val="EndnoteReference"/>
          <w:rFonts w:ascii="Arial" w:hAnsi="Arial" w:cs="Arial"/>
          <w:sz w:val="17"/>
          <w:szCs w:val="17"/>
        </w:rPr>
        <w:endnoteRef/>
      </w:r>
      <w:r w:rsidRPr="000B1690">
        <w:rPr>
          <w:rFonts w:ascii="Arial" w:hAnsi="Arial" w:cs="Arial"/>
          <w:sz w:val="17"/>
          <w:szCs w:val="17"/>
        </w:rPr>
        <w:t xml:space="preserve"> </w:t>
      </w:r>
      <w:r>
        <w:rPr>
          <w:rFonts w:ascii="Arial" w:hAnsi="Arial" w:cs="Arial"/>
          <w:sz w:val="17"/>
          <w:szCs w:val="17"/>
        </w:rPr>
        <w:t xml:space="preserve">Ibid. </w:t>
      </w:r>
    </w:p>
  </w:endnote>
  <w:endnote w:id="6">
    <w:p w14:paraId="25478A23" w14:textId="77777777" w:rsidR="00D00188" w:rsidRPr="000B1690" w:rsidRDefault="00D00188" w:rsidP="003D3808">
      <w:pPr>
        <w:pStyle w:val="Footnote"/>
      </w:pPr>
      <w:r w:rsidRPr="000B1690">
        <w:rPr>
          <w:rStyle w:val="EndnoteReference"/>
        </w:rPr>
        <w:endnoteRef/>
      </w:r>
      <w:r>
        <w:t xml:space="preserve"> Ibid. </w:t>
      </w:r>
    </w:p>
  </w:endnote>
  <w:endnote w:id="7">
    <w:p w14:paraId="448B39E1" w14:textId="70757D35" w:rsidR="00D00188" w:rsidRPr="000B1690" w:rsidRDefault="00D00188">
      <w:pPr>
        <w:pStyle w:val="EndnoteText"/>
        <w:rPr>
          <w:rFonts w:ascii="Arial" w:hAnsi="Arial" w:cs="Arial"/>
          <w:sz w:val="17"/>
          <w:szCs w:val="17"/>
          <w:lang w:val="en-CA"/>
        </w:rPr>
      </w:pPr>
      <w:r w:rsidRPr="000B1690">
        <w:rPr>
          <w:rStyle w:val="EndnoteReference"/>
          <w:rFonts w:ascii="Arial" w:hAnsi="Arial" w:cs="Arial"/>
          <w:sz w:val="17"/>
          <w:szCs w:val="17"/>
        </w:rPr>
        <w:endnoteRef/>
      </w:r>
      <w:r w:rsidRPr="000B1690">
        <w:rPr>
          <w:rFonts w:ascii="Arial" w:hAnsi="Arial" w:cs="Arial"/>
          <w:sz w:val="17"/>
          <w:szCs w:val="17"/>
        </w:rPr>
        <w:t xml:space="preserve"> </w:t>
      </w:r>
      <w:r w:rsidRPr="000B1690">
        <w:rPr>
          <w:rFonts w:ascii="Arial" w:hAnsi="Arial" w:cs="Arial"/>
          <w:sz w:val="17"/>
          <w:szCs w:val="17"/>
          <w:lang w:val="en-CA"/>
        </w:rPr>
        <w:t>All currency amounts are in C</w:t>
      </w:r>
      <w:r>
        <w:rPr>
          <w:rFonts w:ascii="Arial" w:hAnsi="Arial" w:cs="Arial"/>
          <w:sz w:val="17"/>
          <w:szCs w:val="17"/>
          <w:lang w:val="en-CA"/>
        </w:rPr>
        <w:t>anadian dollars</w:t>
      </w:r>
      <w:r w:rsidRPr="000B1690">
        <w:rPr>
          <w:rFonts w:ascii="Arial" w:hAnsi="Arial" w:cs="Arial"/>
          <w:sz w:val="17"/>
          <w:szCs w:val="17"/>
          <w:lang w:val="en-CA"/>
        </w:rPr>
        <w:t xml:space="preserve"> unless otherwise specified.</w:t>
      </w:r>
    </w:p>
  </w:endnote>
  <w:endnote w:id="8">
    <w:p w14:paraId="2C384C6C" w14:textId="77777777" w:rsidR="00D00188" w:rsidRPr="000B1690" w:rsidRDefault="00D00188" w:rsidP="005F03F4">
      <w:pPr>
        <w:pStyle w:val="Footnote"/>
      </w:pPr>
      <w:r w:rsidRPr="000B1690">
        <w:rPr>
          <w:rStyle w:val="EndnoteReference"/>
        </w:rPr>
        <w:endnoteRef/>
      </w:r>
      <w:r w:rsidRPr="000B1690">
        <w:t xml:space="preserve"> Mark Blumberg, </w:t>
      </w:r>
      <w:r>
        <w:t xml:space="preserve">op. cit. </w:t>
      </w:r>
    </w:p>
  </w:endnote>
  <w:endnote w:id="9">
    <w:p w14:paraId="06D8A35B" w14:textId="77777777" w:rsidR="00D00188" w:rsidRPr="000B1690" w:rsidRDefault="00D00188" w:rsidP="00812654">
      <w:pPr>
        <w:pStyle w:val="Footnote"/>
      </w:pPr>
      <w:r w:rsidRPr="000B1690">
        <w:rPr>
          <w:rStyle w:val="EndnoteReference"/>
        </w:rPr>
        <w:endnoteRef/>
      </w:r>
      <w:r w:rsidRPr="000B1690">
        <w:t xml:space="preserve"> Raveena Aulakh</w:t>
      </w:r>
      <w:r>
        <w:t xml:space="preserve"> and</w:t>
      </w:r>
      <w:r w:rsidRPr="000B1690">
        <w:t xml:space="preserve"> Amy Dempsey, </w:t>
      </w:r>
      <w:r>
        <w:t>“</w:t>
      </w:r>
      <w:r w:rsidRPr="000B1690">
        <w:t xml:space="preserve">Audit of </w:t>
      </w:r>
      <w:r>
        <w:t>C</w:t>
      </w:r>
      <w:r w:rsidRPr="000B1690">
        <w:t xml:space="preserve">harities </w:t>
      </w:r>
      <w:r>
        <w:t>E</w:t>
      </w:r>
      <w:r w:rsidRPr="000B1690">
        <w:t xml:space="preserve">ncounters </w:t>
      </w:r>
      <w:r>
        <w:t>R</w:t>
      </w:r>
      <w:r w:rsidRPr="000B1690">
        <w:t>esistance,</w:t>
      </w:r>
      <w:r>
        <w:t>”</w:t>
      </w:r>
      <w:r w:rsidRPr="000B1690">
        <w:t xml:space="preserve"> </w:t>
      </w:r>
      <w:r w:rsidRPr="005F03F4">
        <w:rPr>
          <w:i/>
        </w:rPr>
        <w:t>Toronto Star</w:t>
      </w:r>
      <w:r w:rsidRPr="000B1690">
        <w:t>, November 15, 2011, accessed April 8, 2018, www.thestar.com/news/gta/2011/11/15/audit_of_charities_encounters_resistance.html.</w:t>
      </w:r>
    </w:p>
  </w:endnote>
  <w:endnote w:id="10">
    <w:p w14:paraId="3FFF7E8D" w14:textId="77777777" w:rsidR="00D00188" w:rsidRPr="000B1690" w:rsidRDefault="00D00188" w:rsidP="00812654">
      <w:pPr>
        <w:pStyle w:val="Footnote"/>
      </w:pPr>
      <w:r w:rsidRPr="000B1690">
        <w:rPr>
          <w:rStyle w:val="EndnoteReference"/>
        </w:rPr>
        <w:endnoteRef/>
      </w:r>
      <w:r w:rsidRPr="000B1690">
        <w:t xml:space="preserve"> Mark Brown, </w:t>
      </w:r>
      <w:r>
        <w:t>“</w:t>
      </w:r>
      <w:r w:rsidRPr="000B1690">
        <w:t>2017 Charity 100: Grades,</w:t>
      </w:r>
      <w:r>
        <w:t>”</w:t>
      </w:r>
      <w:r w:rsidRPr="000B1690">
        <w:t xml:space="preserve"> </w:t>
      </w:r>
      <w:r w:rsidRPr="005F03F4">
        <w:rPr>
          <w:i/>
        </w:rPr>
        <w:t>Money Sense</w:t>
      </w:r>
      <w:r w:rsidRPr="000B1690">
        <w:t>, November 16, 2016, accessed April 8, 2018, www.moneysense.ca/save/financial-planning/canadas-top-rated-charities-2017/.</w:t>
      </w:r>
    </w:p>
  </w:endnote>
  <w:endnote w:id="11">
    <w:p w14:paraId="47A6AC4E" w14:textId="66514733" w:rsidR="00D00188" w:rsidRPr="000B1690" w:rsidRDefault="00D00188" w:rsidP="00812654">
      <w:pPr>
        <w:pStyle w:val="Footnote"/>
      </w:pPr>
      <w:r w:rsidRPr="000B1690">
        <w:rPr>
          <w:rStyle w:val="EndnoteReference"/>
        </w:rPr>
        <w:endnoteRef/>
      </w:r>
      <w:r w:rsidRPr="000B1690">
        <w:t xml:space="preserve"> </w:t>
      </w:r>
      <w:r>
        <w:t>“</w:t>
      </w:r>
      <w:r w:rsidRPr="000B1690">
        <w:t xml:space="preserve">Types of </w:t>
      </w:r>
      <w:r>
        <w:t>R</w:t>
      </w:r>
      <w:r w:rsidRPr="000B1690">
        <w:t>evocation," Government of Canada,</w:t>
      </w:r>
      <w:r>
        <w:t xml:space="preserve"> </w:t>
      </w:r>
      <w:r w:rsidRPr="000B1690">
        <w:t>April 27, 2017, accessed April 8, 2018, www.canada.ca/en/revenue-agency/services/charities-giving/charities/revoking-registered-status/types-revocation.html#audit.</w:t>
      </w:r>
    </w:p>
  </w:endnote>
  <w:endnote w:id="12">
    <w:p w14:paraId="602D184E" w14:textId="77777777" w:rsidR="00D00188" w:rsidRPr="000B1690" w:rsidRDefault="00D00188" w:rsidP="005F03F4">
      <w:pPr>
        <w:pStyle w:val="Footnote"/>
      </w:pPr>
      <w:r w:rsidRPr="000B1690">
        <w:rPr>
          <w:rStyle w:val="EndnoteReference"/>
        </w:rPr>
        <w:endnoteRef/>
      </w:r>
      <w:r w:rsidRPr="000B1690">
        <w:t xml:space="preserve"> </w:t>
      </w:r>
      <w:r>
        <w:t>“</w:t>
      </w:r>
      <w:r w:rsidRPr="000B1690">
        <w:t xml:space="preserve">Key Facts about Canada’s Charities,” </w:t>
      </w:r>
      <w:r>
        <w:t xml:space="preserve">op. cit. </w:t>
      </w:r>
    </w:p>
  </w:endnote>
  <w:endnote w:id="13">
    <w:p w14:paraId="3D0A5EB9" w14:textId="77777777" w:rsidR="00D00188" w:rsidRPr="000B1690" w:rsidRDefault="00D00188">
      <w:pPr>
        <w:pStyle w:val="EndnoteText"/>
        <w:rPr>
          <w:rFonts w:ascii="Arial" w:hAnsi="Arial" w:cs="Arial"/>
          <w:sz w:val="17"/>
          <w:szCs w:val="17"/>
        </w:rPr>
      </w:pPr>
      <w:r w:rsidRPr="000B1690">
        <w:rPr>
          <w:rStyle w:val="EndnoteReference"/>
          <w:rFonts w:ascii="Arial" w:hAnsi="Arial" w:cs="Arial"/>
          <w:sz w:val="17"/>
          <w:szCs w:val="17"/>
        </w:rPr>
        <w:endnoteRef/>
      </w:r>
      <w:r w:rsidRPr="000B1690">
        <w:rPr>
          <w:rFonts w:ascii="Arial" w:hAnsi="Arial" w:cs="Arial"/>
          <w:sz w:val="17"/>
          <w:szCs w:val="17"/>
        </w:rPr>
        <w:t xml:space="preserve"> Michael H. Hall, Cathy W. Barr, M. Easwaramoorthy, S. Wojciech Sokolowski, </w:t>
      </w:r>
      <w:r>
        <w:rPr>
          <w:rFonts w:ascii="Arial" w:hAnsi="Arial" w:cs="Arial"/>
          <w:sz w:val="17"/>
          <w:szCs w:val="17"/>
        </w:rPr>
        <w:t xml:space="preserve">and </w:t>
      </w:r>
      <w:r w:rsidRPr="000B1690">
        <w:rPr>
          <w:rFonts w:ascii="Arial" w:hAnsi="Arial" w:cs="Arial"/>
          <w:sz w:val="17"/>
          <w:szCs w:val="17"/>
        </w:rPr>
        <w:t xml:space="preserve">Lester M. Salamon, </w:t>
      </w:r>
      <w:r>
        <w:rPr>
          <w:rFonts w:ascii="Arial" w:hAnsi="Arial" w:cs="Arial"/>
          <w:sz w:val="17"/>
          <w:szCs w:val="17"/>
        </w:rPr>
        <w:t xml:space="preserve">op cit. </w:t>
      </w:r>
    </w:p>
  </w:endnote>
  <w:endnote w:id="14">
    <w:p w14:paraId="51E0B8BF" w14:textId="57254D90" w:rsidR="00D00188" w:rsidRPr="000B1690" w:rsidRDefault="00D00188" w:rsidP="005F03F4">
      <w:pPr>
        <w:pStyle w:val="Footnote"/>
      </w:pPr>
      <w:r w:rsidRPr="000B1690">
        <w:rPr>
          <w:rStyle w:val="EndnoteReference"/>
        </w:rPr>
        <w:endnoteRef/>
      </w:r>
      <w:r w:rsidRPr="000B1690">
        <w:t xml:space="preserve"> Blumberg, </w:t>
      </w:r>
      <w:r>
        <w:t xml:space="preserve">op. cit. </w:t>
      </w:r>
    </w:p>
  </w:endnote>
  <w:endnote w:id="15">
    <w:p w14:paraId="351C538D" w14:textId="77777777" w:rsidR="00D00188" w:rsidRPr="000B1690" w:rsidRDefault="00D00188" w:rsidP="003D3808">
      <w:pPr>
        <w:pStyle w:val="Footnote"/>
      </w:pPr>
      <w:r w:rsidRPr="000B1690">
        <w:rPr>
          <w:rStyle w:val="EndnoteReference"/>
        </w:rPr>
        <w:endnoteRef/>
      </w:r>
      <w:r w:rsidRPr="000B1690">
        <w:t xml:space="preserve"> </w:t>
      </w:r>
      <w:r>
        <w:t xml:space="preserve">Ibid. </w:t>
      </w:r>
    </w:p>
  </w:endnote>
  <w:endnote w:id="16">
    <w:p w14:paraId="1ABE0BBC" w14:textId="04BD0E2F" w:rsidR="00D00188" w:rsidRPr="000B1690" w:rsidRDefault="00D00188" w:rsidP="00613381">
      <w:pPr>
        <w:pStyle w:val="Footnote"/>
      </w:pPr>
      <w:r w:rsidRPr="000B1690">
        <w:rPr>
          <w:rStyle w:val="EndnoteReference"/>
        </w:rPr>
        <w:endnoteRef/>
      </w:r>
      <w:r w:rsidRPr="000B1690">
        <w:t xml:space="preserve"> Cynthia Haggar-Guenette, Malika Hamdad, Denise Laronde-Jones, Tasmin Pan, and Mingyu Yu, </w:t>
      </w:r>
      <w:r>
        <w:t>“</w:t>
      </w:r>
      <w:r w:rsidRPr="000B1690">
        <w:t>Satellite Account of Non-profit Institutions and Volunteering 2007,</w:t>
      </w:r>
      <w:r>
        <w:rPr>
          <w:lang w:val="en-CA"/>
        </w:rPr>
        <w:t>”</w:t>
      </w:r>
      <w:r w:rsidRPr="000B1690">
        <w:t xml:space="preserve"> 18–19, Statistics Canada, December 2009, accessed April 8, 2018, www.statcan.gc.ca/pub/13-015-x/13-015-x2009000-eng.pdf.</w:t>
      </w:r>
    </w:p>
  </w:endnote>
  <w:endnote w:id="17">
    <w:p w14:paraId="07D4F807" w14:textId="77777777" w:rsidR="00D00188" w:rsidRPr="000B1690" w:rsidRDefault="00D00188" w:rsidP="0060116B">
      <w:pPr>
        <w:pStyle w:val="Footnote"/>
      </w:pPr>
      <w:r w:rsidRPr="000B1690">
        <w:rPr>
          <w:rStyle w:val="EndnoteReference"/>
        </w:rPr>
        <w:endnoteRef/>
      </w:r>
      <w:r w:rsidRPr="000B1690">
        <w:t xml:space="preserve"> </w:t>
      </w:r>
      <w:r>
        <w:t>Ibid.</w:t>
      </w:r>
      <w:r w:rsidRPr="000B1690">
        <w:t xml:space="preserve"> </w:t>
      </w:r>
    </w:p>
  </w:endnote>
  <w:endnote w:id="18">
    <w:p w14:paraId="103BD806" w14:textId="77777777" w:rsidR="00D00188" w:rsidRPr="000B1690" w:rsidRDefault="00D00188" w:rsidP="0060116B">
      <w:pPr>
        <w:pStyle w:val="Footnote"/>
      </w:pPr>
      <w:r w:rsidRPr="000B1690">
        <w:rPr>
          <w:rStyle w:val="EndnoteReference"/>
        </w:rPr>
        <w:endnoteRef/>
      </w:r>
      <w:r w:rsidRPr="000B1690">
        <w:t xml:space="preserve"> Mark Brown, </w:t>
      </w:r>
      <w:r>
        <w:t xml:space="preserve">op. cit. </w:t>
      </w:r>
    </w:p>
  </w:endnote>
  <w:endnote w:id="19">
    <w:p w14:paraId="62DB097D" w14:textId="77777777" w:rsidR="00D00188" w:rsidRPr="000B1690" w:rsidRDefault="00D00188" w:rsidP="001B18C9">
      <w:pPr>
        <w:pStyle w:val="Footnote"/>
      </w:pPr>
      <w:r w:rsidRPr="000B1690">
        <w:rPr>
          <w:rStyle w:val="EndnoteReference"/>
        </w:rPr>
        <w:endnoteRef/>
      </w:r>
      <w:r w:rsidRPr="000B1690">
        <w:t xml:space="preserve"> “Key Facts about Canada’s Charities,”</w:t>
      </w:r>
      <w:r>
        <w:t xml:space="preserve"> op. cit. </w:t>
      </w:r>
    </w:p>
  </w:endnote>
  <w:endnote w:id="20">
    <w:p w14:paraId="0807D9CE" w14:textId="4D1D6594" w:rsidR="00D00188" w:rsidRPr="00843FF2" w:rsidRDefault="00D00188" w:rsidP="00812654">
      <w:pPr>
        <w:pStyle w:val="Footnote"/>
        <w:rPr>
          <w:spacing w:val="-4"/>
        </w:rPr>
      </w:pPr>
      <w:r w:rsidRPr="00843FF2">
        <w:rPr>
          <w:rStyle w:val="EndnoteReference"/>
          <w:spacing w:val="-4"/>
        </w:rPr>
        <w:endnoteRef/>
      </w:r>
      <w:r w:rsidRPr="00843FF2">
        <w:rPr>
          <w:spacing w:val="-4"/>
        </w:rPr>
        <w:t xml:space="preserve"> “Management Consulting in Canada—2016 Industry Report,” Canadian Association of Management Consultants, November 2016, accessed April 8, 2018, www.cmc-canada.ca/professionaldevelopment/publications/professionaldevelopment-publications-2016-industry-study.</w:t>
      </w:r>
    </w:p>
  </w:endnote>
  <w:endnote w:id="21">
    <w:p w14:paraId="303B5BB3" w14:textId="77777777" w:rsidR="00D00188" w:rsidRPr="000B1690" w:rsidRDefault="00D00188" w:rsidP="00812654">
      <w:pPr>
        <w:pStyle w:val="Footnote"/>
      </w:pPr>
      <w:r w:rsidRPr="000B1690">
        <w:rPr>
          <w:rStyle w:val="EndnoteReference"/>
        </w:rPr>
        <w:endnoteRef/>
      </w:r>
      <w:r w:rsidRPr="000B1690">
        <w:t xml:space="preserve"> “Social Sector: Addressing Society's Most Urgent Challenges,” McKinsey &amp; Company, accessed October 10, 2017, www.mckinsey.com/industries/social-sector/how-we-help-clients.</w:t>
      </w:r>
    </w:p>
  </w:endnote>
  <w:endnote w:id="22">
    <w:p w14:paraId="7039ADC7" w14:textId="77777777" w:rsidR="00D00188" w:rsidRPr="000B1690" w:rsidRDefault="00D00188" w:rsidP="00812654">
      <w:pPr>
        <w:pStyle w:val="Footnote"/>
      </w:pPr>
      <w:r w:rsidRPr="000B1690">
        <w:rPr>
          <w:rStyle w:val="EndnoteReference"/>
        </w:rPr>
        <w:endnoteRef/>
      </w:r>
      <w:r w:rsidRPr="000B1690">
        <w:t xml:space="preserve"> “Contact,” The Goldie Company, accessed October 10, 2017, http://thegoldiecompany.com/contact/.</w:t>
      </w:r>
    </w:p>
  </w:endnote>
  <w:endnote w:id="23">
    <w:p w14:paraId="6FCC9DA2" w14:textId="77777777" w:rsidR="00D00188" w:rsidRPr="000B1690" w:rsidRDefault="00D00188" w:rsidP="00812654">
      <w:pPr>
        <w:pStyle w:val="Footnote"/>
      </w:pPr>
      <w:r w:rsidRPr="000B1690">
        <w:rPr>
          <w:rStyle w:val="EndnoteReference"/>
        </w:rPr>
        <w:endnoteRef/>
      </w:r>
      <w:r w:rsidRPr="000B1690">
        <w:t xml:space="preserve"> “About KCI,” Ketchum Canada Inc., accessed October 10, 2017, kciphilanthropy.com/lang/en/#panel-5.</w:t>
      </w:r>
    </w:p>
  </w:endnote>
  <w:endnote w:id="24">
    <w:p w14:paraId="17C830E3" w14:textId="77777777" w:rsidR="00D00188" w:rsidRPr="000B1690" w:rsidRDefault="00D00188" w:rsidP="00812654">
      <w:pPr>
        <w:pStyle w:val="Footnote"/>
      </w:pPr>
      <w:r w:rsidRPr="000B1690">
        <w:rPr>
          <w:rStyle w:val="EndnoteReference"/>
        </w:rPr>
        <w:endnoteRef/>
      </w:r>
      <w:r w:rsidRPr="000B1690">
        <w:t xml:space="preserve"> “About Us,” Endeavour, accessed October 30, 2017, endeavourvolunteer.ca/about/.</w:t>
      </w:r>
    </w:p>
  </w:endnote>
  <w:endnote w:id="25">
    <w:p w14:paraId="760830A1" w14:textId="77777777" w:rsidR="00D00188" w:rsidRPr="000B1690" w:rsidRDefault="00D00188" w:rsidP="0010617C">
      <w:pPr>
        <w:pStyle w:val="Footnote"/>
      </w:pPr>
      <w:r w:rsidRPr="000B1690">
        <w:rPr>
          <w:rStyle w:val="EndnoteReference"/>
        </w:rPr>
        <w:endnoteRef/>
      </w:r>
      <w:r w:rsidRPr="000B1690">
        <w:t xml:space="preserve"> Ibid. </w:t>
      </w:r>
    </w:p>
  </w:endnote>
  <w:endnote w:id="26">
    <w:p w14:paraId="333E8B39" w14:textId="77777777" w:rsidR="00D00188" w:rsidRPr="000B1690" w:rsidRDefault="00D00188">
      <w:pPr>
        <w:pStyle w:val="EndnoteText"/>
        <w:rPr>
          <w:rFonts w:ascii="Arial" w:hAnsi="Arial" w:cs="Arial"/>
          <w:sz w:val="17"/>
          <w:szCs w:val="17"/>
        </w:rPr>
      </w:pPr>
      <w:r w:rsidRPr="000B1690">
        <w:rPr>
          <w:rStyle w:val="EndnoteReference"/>
          <w:rFonts w:ascii="Arial" w:hAnsi="Arial" w:cs="Arial"/>
          <w:sz w:val="17"/>
          <w:szCs w:val="17"/>
        </w:rPr>
        <w:endnoteRef/>
      </w:r>
      <w:r w:rsidRPr="000B1690">
        <w:rPr>
          <w:rFonts w:ascii="Arial" w:hAnsi="Arial" w:cs="Arial"/>
          <w:sz w:val="17"/>
          <w:szCs w:val="17"/>
        </w:rPr>
        <w:t xml:space="preserve"> “Contact,” op. cit. </w:t>
      </w:r>
    </w:p>
  </w:endnote>
  <w:endnote w:id="27">
    <w:p w14:paraId="016FD191" w14:textId="77777777" w:rsidR="00D00188" w:rsidRPr="000B1690" w:rsidRDefault="00D00188">
      <w:pPr>
        <w:pStyle w:val="EndnoteText"/>
        <w:rPr>
          <w:rFonts w:ascii="Arial" w:hAnsi="Arial" w:cs="Arial"/>
          <w:sz w:val="17"/>
          <w:szCs w:val="17"/>
        </w:rPr>
      </w:pPr>
      <w:r w:rsidRPr="000B1690">
        <w:rPr>
          <w:rStyle w:val="EndnoteReference"/>
          <w:rFonts w:ascii="Arial" w:hAnsi="Arial" w:cs="Arial"/>
          <w:sz w:val="17"/>
          <w:szCs w:val="17"/>
        </w:rPr>
        <w:endnoteRef/>
      </w:r>
      <w:r w:rsidRPr="000B1690">
        <w:rPr>
          <w:rFonts w:ascii="Arial" w:hAnsi="Arial" w:cs="Arial"/>
          <w:sz w:val="17"/>
          <w:szCs w:val="17"/>
        </w:rPr>
        <w:t xml:space="preserve"> “About KCI,” op. cit. </w:t>
      </w:r>
    </w:p>
  </w:endnote>
  <w:endnote w:id="28">
    <w:p w14:paraId="39C76292" w14:textId="77777777" w:rsidR="00D00188" w:rsidRPr="000B1690" w:rsidRDefault="00D00188" w:rsidP="00812654">
      <w:pPr>
        <w:pStyle w:val="Footnote"/>
        <w:rPr>
          <w:spacing w:val="-4"/>
        </w:rPr>
      </w:pPr>
      <w:r w:rsidRPr="000B1690">
        <w:rPr>
          <w:rStyle w:val="EndnoteReference"/>
        </w:rPr>
        <w:endnoteRef/>
      </w:r>
      <w:r w:rsidRPr="000B1690">
        <w:t xml:space="preserve"> “</w:t>
      </w:r>
      <w:r w:rsidRPr="000B1690">
        <w:rPr>
          <w:spacing w:val="-4"/>
        </w:rPr>
        <w:t>KCI’s Senior Leadership Team,” Ketchum Canada Inc., accessed October 10, 2017, kciphilanthropy.com/lang/en/#panel-5-a.</w:t>
      </w:r>
    </w:p>
  </w:endnote>
  <w:endnote w:id="29">
    <w:p w14:paraId="311D4C0A" w14:textId="77777777" w:rsidR="00D00188" w:rsidRPr="000B1690" w:rsidRDefault="00D00188" w:rsidP="00812654">
      <w:pPr>
        <w:pStyle w:val="Footnote"/>
      </w:pPr>
      <w:r w:rsidRPr="000B1690">
        <w:rPr>
          <w:rStyle w:val="EndnoteReference"/>
        </w:rPr>
        <w:endnoteRef/>
      </w:r>
      <w:r w:rsidRPr="000B1690">
        <w:t xml:space="preserve"> “Our People,” The Goldie Company, accessed October 10, 2017, thegoldiecompany.com/our-people/.</w:t>
      </w:r>
    </w:p>
  </w:endnote>
  <w:endnote w:id="30">
    <w:p w14:paraId="4BFAE822" w14:textId="77777777" w:rsidR="00D00188" w:rsidRPr="000B1690" w:rsidRDefault="00D00188" w:rsidP="00812654">
      <w:pPr>
        <w:pStyle w:val="Footnote"/>
      </w:pPr>
      <w:r w:rsidRPr="000B1690">
        <w:rPr>
          <w:rStyle w:val="EndnoteReference"/>
        </w:rPr>
        <w:endnoteRef/>
      </w:r>
      <w:r w:rsidRPr="000B1690">
        <w:t xml:space="preserve"> “Mission/Vision/Values,” Certified Fund Raising Executive, accessed October 10, 2017, www.cfre.org.</w:t>
      </w:r>
    </w:p>
  </w:endnote>
  <w:endnote w:id="31">
    <w:p w14:paraId="73A84BA5" w14:textId="77777777" w:rsidR="00D00188" w:rsidRPr="000B1690" w:rsidRDefault="00D00188" w:rsidP="00812654">
      <w:pPr>
        <w:pStyle w:val="Footnote"/>
      </w:pPr>
      <w:r w:rsidRPr="000B1690">
        <w:rPr>
          <w:rStyle w:val="EndnoteReference"/>
        </w:rPr>
        <w:endnoteRef/>
      </w:r>
      <w:r w:rsidRPr="000B1690">
        <w:t xml:space="preserve"> “Executive Team,” Endeavour Volunteer Consulting for Non-Profits, accessed October 30, 2017, endeavourvolunteer.ca/about/executive-team/.</w:t>
      </w:r>
    </w:p>
  </w:endnote>
  <w:endnote w:id="32">
    <w:p w14:paraId="1A6AFD58" w14:textId="77777777" w:rsidR="00D00188" w:rsidRPr="000B1690" w:rsidRDefault="00D00188" w:rsidP="00812654">
      <w:pPr>
        <w:pStyle w:val="Footnote"/>
      </w:pPr>
      <w:r w:rsidRPr="000B1690">
        <w:rPr>
          <w:rStyle w:val="EndnoteReference"/>
        </w:rPr>
        <w:endnoteRef/>
      </w:r>
      <w:r w:rsidRPr="000B1690">
        <w:t xml:space="preserve"> “Case Studies,” The Goldie Company, accessed October 10, 2017, thegoldiecompany.com/case-studies/.</w:t>
      </w:r>
    </w:p>
  </w:endnote>
  <w:endnote w:id="33">
    <w:p w14:paraId="1585CAF3" w14:textId="77777777" w:rsidR="00D00188" w:rsidRPr="000B1690" w:rsidRDefault="00D00188">
      <w:pPr>
        <w:pStyle w:val="EndnoteText"/>
        <w:rPr>
          <w:rFonts w:ascii="Arial" w:hAnsi="Arial" w:cs="Arial"/>
          <w:sz w:val="17"/>
          <w:szCs w:val="17"/>
        </w:rPr>
      </w:pPr>
      <w:r w:rsidRPr="000B1690">
        <w:rPr>
          <w:rStyle w:val="EndnoteReference"/>
          <w:rFonts w:ascii="Arial" w:hAnsi="Arial" w:cs="Arial"/>
          <w:sz w:val="17"/>
          <w:szCs w:val="17"/>
        </w:rPr>
        <w:endnoteRef/>
      </w:r>
      <w:r w:rsidRPr="000B1690">
        <w:rPr>
          <w:rFonts w:ascii="Arial" w:hAnsi="Arial" w:cs="Arial"/>
          <w:sz w:val="17"/>
          <w:szCs w:val="17"/>
        </w:rPr>
        <w:t xml:space="preserve"> “KCI Ketchum Canada,” LinkedIn, accessed October 10, 2017, www.ca.linkedin.com/company/kci-ketchum-canada.</w:t>
      </w:r>
    </w:p>
  </w:endnote>
  <w:endnote w:id="34">
    <w:p w14:paraId="48C785AC" w14:textId="77777777" w:rsidR="00D00188" w:rsidRPr="000B1690" w:rsidRDefault="00D00188">
      <w:pPr>
        <w:pStyle w:val="EndnoteText"/>
        <w:rPr>
          <w:rFonts w:ascii="Arial" w:hAnsi="Arial" w:cs="Arial"/>
          <w:sz w:val="17"/>
          <w:szCs w:val="17"/>
        </w:rPr>
      </w:pPr>
      <w:r w:rsidRPr="000B1690">
        <w:rPr>
          <w:rStyle w:val="EndnoteReference"/>
          <w:rFonts w:ascii="Arial" w:hAnsi="Arial" w:cs="Arial"/>
          <w:sz w:val="17"/>
          <w:szCs w:val="17"/>
        </w:rPr>
        <w:endnoteRef/>
      </w:r>
      <w:r w:rsidRPr="000B1690">
        <w:rPr>
          <w:rFonts w:ascii="Arial" w:hAnsi="Arial" w:cs="Arial"/>
          <w:sz w:val="17"/>
          <w:szCs w:val="17"/>
        </w:rPr>
        <w:t xml:space="preserve"> “About KCI,” op. cit. </w:t>
      </w:r>
    </w:p>
  </w:endnote>
  <w:endnote w:id="35">
    <w:p w14:paraId="295FF692" w14:textId="77777777" w:rsidR="00D00188" w:rsidRPr="000B1690" w:rsidRDefault="00D00188" w:rsidP="00812654">
      <w:pPr>
        <w:pStyle w:val="Footnote"/>
      </w:pPr>
      <w:r w:rsidRPr="000B1690">
        <w:rPr>
          <w:rStyle w:val="EndnoteReference"/>
        </w:rPr>
        <w:endnoteRef/>
      </w:r>
      <w:r w:rsidRPr="000B1690">
        <w:t xml:space="preserve"> “KCI Ketchum Canada,” op. cit. </w:t>
      </w:r>
    </w:p>
  </w:endnote>
  <w:endnote w:id="36">
    <w:p w14:paraId="618305C5" w14:textId="77777777" w:rsidR="00D00188" w:rsidRPr="000B1690" w:rsidRDefault="00D00188" w:rsidP="00812654">
      <w:pPr>
        <w:pStyle w:val="Footnote"/>
      </w:pPr>
      <w:r w:rsidRPr="000B1690">
        <w:rPr>
          <w:rStyle w:val="EndnoteReference"/>
        </w:rPr>
        <w:endnoteRef/>
      </w:r>
      <w:r w:rsidRPr="000B1690">
        <w:t xml:space="preserve"> Steven N. Pyser, “Millennials and the Reshaping of Charity and Online Giving,” </w:t>
      </w:r>
      <w:r w:rsidRPr="001D674C">
        <w:rPr>
          <w:i/>
        </w:rPr>
        <w:t>Nonprofit Quarterly</w:t>
      </w:r>
      <w:r w:rsidRPr="000B1690">
        <w:t>, October 13, 2014, https://nonprofitquarterly.org/2014/10/20/millennials-and-the-reshaping-of-charity-and-online-giving/.</w:t>
      </w:r>
    </w:p>
  </w:endnote>
  <w:endnote w:id="37">
    <w:p w14:paraId="7A814263" w14:textId="77777777" w:rsidR="00D00188" w:rsidRPr="000B1690" w:rsidRDefault="00D00188" w:rsidP="00812654">
      <w:pPr>
        <w:pStyle w:val="Footnote"/>
      </w:pPr>
      <w:r w:rsidRPr="000B1690">
        <w:rPr>
          <w:rStyle w:val="EndnoteReference"/>
        </w:rPr>
        <w:endnoteRef/>
      </w:r>
      <w:r w:rsidRPr="000B1690">
        <w:t xml:space="preserve"> “The Queen's Marketing Association (QMA),” LinkedIn, accessed October 25, 2017, https://ca.linkedin.com/company/the-queen%27s-marketing-association-qma-/?originalSubdomain=ca.</w:t>
      </w:r>
    </w:p>
  </w:endnote>
  <w:endnote w:id="38">
    <w:p w14:paraId="0A80D83B" w14:textId="77777777" w:rsidR="00330A69" w:rsidRDefault="00330A69" w:rsidP="00330A69">
      <w:pPr>
        <w:pStyle w:val="Footnote"/>
        <w:rPr>
          <w:lang w:val="en-CA"/>
        </w:rPr>
      </w:pPr>
      <w:r>
        <w:rPr>
          <w:rStyle w:val="EndnoteReference"/>
        </w:rPr>
        <w:endnoteRef/>
      </w:r>
      <w:r>
        <w:t xml:space="preserve"> </w:t>
      </w:r>
      <w:r>
        <w:t>"From Canada’s Anti-Spam Legislation (CASL) Guidance on Implied Consent," Government of Canada, January 24, 2019, accessed August 27, 2020, crtc.gc.ca/</w:t>
      </w:r>
      <w:proofErr w:type="spellStart"/>
      <w:r>
        <w:t>eng</w:t>
      </w:r>
      <w:proofErr w:type="spellEnd"/>
      <w:r>
        <w:t>/com500/guide.htm.</w:t>
      </w:r>
    </w:p>
  </w:endnote>
  <w:endnote w:id="39">
    <w:p w14:paraId="4BDCB86A" w14:textId="77777777" w:rsidR="00D00188" w:rsidRPr="000B1690" w:rsidRDefault="00D00188" w:rsidP="00812654">
      <w:pPr>
        <w:pStyle w:val="Footnote"/>
      </w:pPr>
      <w:r w:rsidRPr="000B1690">
        <w:rPr>
          <w:rStyle w:val="EndnoteReference"/>
        </w:rPr>
        <w:endnoteRef/>
      </w:r>
      <w:r w:rsidRPr="000B1690">
        <w:t xml:space="preserve"> </w:t>
      </w:r>
      <w:r w:rsidRPr="000B1690">
        <w:t xml:space="preserve">“Canada's 10 Most Remarkable Small Businesses," </w:t>
      </w:r>
      <w:r w:rsidRPr="000B1690">
        <w:rPr>
          <w:i/>
        </w:rPr>
        <w:t>The Globe and Mail,</w:t>
      </w:r>
      <w:r w:rsidRPr="000B1690">
        <w:t xml:space="preserve"> September 12, 2014, https://beta.theglobeandmail.com/report-on-business/small-business/sb-managing/remarkable/article20557482/?ref=http://www.theglobeandmail.com&amp;.</w:t>
      </w:r>
    </w:p>
  </w:endnote>
  <w:endnote w:id="40">
    <w:p w14:paraId="6D9B9C70" w14:textId="7BCEB78D" w:rsidR="00D00188" w:rsidRPr="000B1690" w:rsidRDefault="00D00188" w:rsidP="00812654">
      <w:pPr>
        <w:pStyle w:val="Footnote"/>
      </w:pPr>
      <w:r w:rsidRPr="000B1690">
        <w:rPr>
          <w:rStyle w:val="EndnoteReference"/>
        </w:rPr>
        <w:endnoteRef/>
      </w:r>
      <w:r w:rsidRPr="000B1690">
        <w:t xml:space="preserve"> “Welcome to CharityVillag</w:t>
      </w:r>
      <w:bookmarkStart w:id="12" w:name="_GoBack"/>
      <w:bookmarkEnd w:id="12"/>
      <w:r w:rsidRPr="000B1690">
        <w:t>e,” CharityVillage, accessed October 30, 2017, https://charityvillage.com.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DDA1" w14:textId="77777777" w:rsidR="006A1C52" w:rsidRDefault="006A1C52" w:rsidP="00D75295">
      <w:r>
        <w:separator/>
      </w:r>
    </w:p>
  </w:footnote>
  <w:footnote w:type="continuationSeparator" w:id="0">
    <w:p w14:paraId="2787CFBE" w14:textId="77777777" w:rsidR="006A1C52" w:rsidRDefault="006A1C5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BA19" w14:textId="450294DD" w:rsidR="00774512" w:rsidRPr="00C92CC4" w:rsidRDefault="0077451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C2D03">
      <w:rPr>
        <w:rFonts w:ascii="Arial" w:hAnsi="Arial"/>
        <w:b/>
        <w:noProof/>
      </w:rPr>
      <w:t>12</w:t>
    </w:r>
    <w:r>
      <w:rPr>
        <w:rFonts w:ascii="Arial" w:hAnsi="Arial"/>
        <w:b/>
      </w:rPr>
      <w:fldChar w:fldCharType="end"/>
    </w:r>
    <w:r>
      <w:rPr>
        <w:rFonts w:ascii="Arial" w:hAnsi="Arial"/>
        <w:b/>
      </w:rPr>
      <w:tab/>
    </w:r>
    <w:r w:rsidR="00486FDB">
      <w:rPr>
        <w:rFonts w:ascii="Arial" w:hAnsi="Arial"/>
        <w:b/>
      </w:rPr>
      <w:t>9B18M104</w:t>
    </w:r>
  </w:p>
  <w:p w14:paraId="73012560" w14:textId="77777777" w:rsidR="00774512" w:rsidRDefault="00774512" w:rsidP="00D13667">
    <w:pPr>
      <w:pStyle w:val="Header"/>
      <w:tabs>
        <w:tab w:val="clear" w:pos="4680"/>
      </w:tabs>
      <w:rPr>
        <w:sz w:val="18"/>
        <w:szCs w:val="18"/>
      </w:rPr>
    </w:pPr>
  </w:p>
  <w:p w14:paraId="0E03BAFB" w14:textId="77777777" w:rsidR="00774512" w:rsidRPr="00C92CC4" w:rsidRDefault="0077451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16E"/>
    <w:multiLevelType w:val="hybridMultilevel"/>
    <w:tmpl w:val="FEC091D4"/>
    <w:lvl w:ilvl="0" w:tplc="04090001">
      <w:start w:val="1"/>
      <w:numFmt w:val="bullet"/>
      <w:lvlText w:val=""/>
      <w:lvlJc w:val="left"/>
      <w:pPr>
        <w:ind w:left="360" w:hanging="360"/>
      </w:pPr>
      <w:rPr>
        <w:rFonts w:ascii="Symbol" w:hAnsi="Symbol" w:hint="default"/>
      </w:rPr>
    </w:lvl>
    <w:lvl w:ilvl="1" w:tplc="225A4A52">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E800D1"/>
    <w:multiLevelType w:val="hybridMultilevel"/>
    <w:tmpl w:val="15D2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5702B"/>
    <w:multiLevelType w:val="hybridMultilevel"/>
    <w:tmpl w:val="D11A4E0C"/>
    <w:lvl w:ilvl="0" w:tplc="225A4A52">
      <w:start w:val="1"/>
      <w:numFmt w:val="bullet"/>
      <w:lvlText w:val="̶"/>
      <w:lvlJc w:val="left"/>
      <w:pPr>
        <w:ind w:left="720" w:hanging="360"/>
      </w:pPr>
      <w:rPr>
        <w:rFonts w:ascii="Times New Roman" w:hAnsi="Times New Roman" w:cs="Times New Roman" w:hint="default"/>
      </w:rPr>
    </w:lvl>
    <w:lvl w:ilvl="1" w:tplc="225A4A52">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43BBE"/>
    <w:multiLevelType w:val="hybridMultilevel"/>
    <w:tmpl w:val="2FD0A5E2"/>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E714E"/>
    <w:multiLevelType w:val="hybridMultilevel"/>
    <w:tmpl w:val="F516F57C"/>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E6C59"/>
    <w:multiLevelType w:val="hybridMultilevel"/>
    <w:tmpl w:val="D2349E3E"/>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5732E"/>
    <w:multiLevelType w:val="hybridMultilevel"/>
    <w:tmpl w:val="F73AF1F4"/>
    <w:lvl w:ilvl="0" w:tplc="225A4A52">
      <w:start w:val="1"/>
      <w:numFmt w:val="bullet"/>
      <w:lvlText w:val="̶"/>
      <w:lvlJc w:val="left"/>
      <w:pPr>
        <w:ind w:left="720" w:hanging="360"/>
      </w:pPr>
      <w:rPr>
        <w:rFonts w:ascii="Times New Roman" w:hAnsi="Times New Roman" w:cs="Times New Roman" w:hint="default"/>
      </w:rPr>
    </w:lvl>
    <w:lvl w:ilvl="1" w:tplc="225A4A52">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95882"/>
    <w:multiLevelType w:val="hybridMultilevel"/>
    <w:tmpl w:val="5C48C212"/>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A32369"/>
    <w:multiLevelType w:val="hybridMultilevel"/>
    <w:tmpl w:val="65DC3CB0"/>
    <w:lvl w:ilvl="0" w:tplc="225A4A52">
      <w:start w:val="1"/>
      <w:numFmt w:val="bullet"/>
      <w:lvlText w:val="̶"/>
      <w:lvlJc w:val="left"/>
      <w:pPr>
        <w:ind w:left="720" w:hanging="360"/>
      </w:pPr>
      <w:rPr>
        <w:rFonts w:ascii="Times New Roman" w:hAnsi="Times New Roman" w:cs="Times New Roman" w:hint="default"/>
      </w:rPr>
    </w:lvl>
    <w:lvl w:ilvl="1" w:tplc="225A4A52">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1"/>
  </w:num>
  <w:num w:numId="6">
    <w:abstractNumId w:val="4"/>
  </w:num>
  <w:num w:numId="7">
    <w:abstractNumId w:val="7"/>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6C1"/>
    <w:rsid w:val="00013360"/>
    <w:rsid w:val="0001550A"/>
    <w:rsid w:val="00016759"/>
    <w:rsid w:val="000216CE"/>
    <w:rsid w:val="00024ED4"/>
    <w:rsid w:val="00025DC7"/>
    <w:rsid w:val="00030778"/>
    <w:rsid w:val="00031E88"/>
    <w:rsid w:val="00035F09"/>
    <w:rsid w:val="00041585"/>
    <w:rsid w:val="00044475"/>
    <w:rsid w:val="00044ECC"/>
    <w:rsid w:val="000531D3"/>
    <w:rsid w:val="00053D54"/>
    <w:rsid w:val="00055E25"/>
    <w:rsid w:val="0005646B"/>
    <w:rsid w:val="00065127"/>
    <w:rsid w:val="00080720"/>
    <w:rsid w:val="0008102D"/>
    <w:rsid w:val="00086B26"/>
    <w:rsid w:val="00087537"/>
    <w:rsid w:val="00094C0E"/>
    <w:rsid w:val="00096A5B"/>
    <w:rsid w:val="000B1690"/>
    <w:rsid w:val="000B5887"/>
    <w:rsid w:val="000C721C"/>
    <w:rsid w:val="000D7091"/>
    <w:rsid w:val="000F0C22"/>
    <w:rsid w:val="000F18CF"/>
    <w:rsid w:val="000F6B09"/>
    <w:rsid w:val="000F6FDC"/>
    <w:rsid w:val="001016F3"/>
    <w:rsid w:val="00104567"/>
    <w:rsid w:val="00104916"/>
    <w:rsid w:val="00104AA7"/>
    <w:rsid w:val="0010617C"/>
    <w:rsid w:val="001074D2"/>
    <w:rsid w:val="00115662"/>
    <w:rsid w:val="00115697"/>
    <w:rsid w:val="001210A1"/>
    <w:rsid w:val="00123865"/>
    <w:rsid w:val="0012732D"/>
    <w:rsid w:val="00143F25"/>
    <w:rsid w:val="00152682"/>
    <w:rsid w:val="00153FB4"/>
    <w:rsid w:val="00154FC9"/>
    <w:rsid w:val="001822D8"/>
    <w:rsid w:val="0019241A"/>
    <w:rsid w:val="00192A18"/>
    <w:rsid w:val="001A09F8"/>
    <w:rsid w:val="001A1574"/>
    <w:rsid w:val="001A22D1"/>
    <w:rsid w:val="001A752D"/>
    <w:rsid w:val="001A757E"/>
    <w:rsid w:val="001B18C9"/>
    <w:rsid w:val="001B5032"/>
    <w:rsid w:val="001B5542"/>
    <w:rsid w:val="001C5AB6"/>
    <w:rsid w:val="001C7777"/>
    <w:rsid w:val="001D674C"/>
    <w:rsid w:val="001E364F"/>
    <w:rsid w:val="001F0B9D"/>
    <w:rsid w:val="001F16AF"/>
    <w:rsid w:val="001F2980"/>
    <w:rsid w:val="001F4222"/>
    <w:rsid w:val="001F549C"/>
    <w:rsid w:val="00203AA1"/>
    <w:rsid w:val="00213E98"/>
    <w:rsid w:val="0023081A"/>
    <w:rsid w:val="00232D47"/>
    <w:rsid w:val="00245C4D"/>
    <w:rsid w:val="00265FA8"/>
    <w:rsid w:val="0027089C"/>
    <w:rsid w:val="002817F9"/>
    <w:rsid w:val="00294528"/>
    <w:rsid w:val="002A3D20"/>
    <w:rsid w:val="002A528C"/>
    <w:rsid w:val="002B6AC8"/>
    <w:rsid w:val="002C2D03"/>
    <w:rsid w:val="002C48B5"/>
    <w:rsid w:val="002E3333"/>
    <w:rsid w:val="002F460C"/>
    <w:rsid w:val="002F48D6"/>
    <w:rsid w:val="00310073"/>
    <w:rsid w:val="0031018E"/>
    <w:rsid w:val="00317391"/>
    <w:rsid w:val="00326216"/>
    <w:rsid w:val="0032759B"/>
    <w:rsid w:val="00330A69"/>
    <w:rsid w:val="00330A88"/>
    <w:rsid w:val="00336483"/>
    <w:rsid w:val="00336580"/>
    <w:rsid w:val="00345EEA"/>
    <w:rsid w:val="00354899"/>
    <w:rsid w:val="00355FD6"/>
    <w:rsid w:val="00364A5C"/>
    <w:rsid w:val="00373FB1"/>
    <w:rsid w:val="003820ED"/>
    <w:rsid w:val="0038426F"/>
    <w:rsid w:val="00396C76"/>
    <w:rsid w:val="003A532C"/>
    <w:rsid w:val="003B30D8"/>
    <w:rsid w:val="003B7EF2"/>
    <w:rsid w:val="003C3FA4"/>
    <w:rsid w:val="003D0020"/>
    <w:rsid w:val="003D0BA1"/>
    <w:rsid w:val="003D0FDA"/>
    <w:rsid w:val="003D3808"/>
    <w:rsid w:val="003D7D24"/>
    <w:rsid w:val="003F2B0C"/>
    <w:rsid w:val="004016F8"/>
    <w:rsid w:val="004105B2"/>
    <w:rsid w:val="00412900"/>
    <w:rsid w:val="004221E4"/>
    <w:rsid w:val="004273F8"/>
    <w:rsid w:val="004355A3"/>
    <w:rsid w:val="00437053"/>
    <w:rsid w:val="00446546"/>
    <w:rsid w:val="00452769"/>
    <w:rsid w:val="004612FE"/>
    <w:rsid w:val="00465348"/>
    <w:rsid w:val="00465A96"/>
    <w:rsid w:val="00486FDB"/>
    <w:rsid w:val="004979A5"/>
    <w:rsid w:val="004A0650"/>
    <w:rsid w:val="004A1BBE"/>
    <w:rsid w:val="004A5608"/>
    <w:rsid w:val="004B1CCB"/>
    <w:rsid w:val="004B2E49"/>
    <w:rsid w:val="004B4613"/>
    <w:rsid w:val="004B4CE7"/>
    <w:rsid w:val="004B632F"/>
    <w:rsid w:val="004B7872"/>
    <w:rsid w:val="004C30BB"/>
    <w:rsid w:val="004D3FB1"/>
    <w:rsid w:val="004D6F21"/>
    <w:rsid w:val="004D73A5"/>
    <w:rsid w:val="004F59EA"/>
    <w:rsid w:val="00504CB9"/>
    <w:rsid w:val="005160F1"/>
    <w:rsid w:val="005220F6"/>
    <w:rsid w:val="00524F2F"/>
    <w:rsid w:val="0052552C"/>
    <w:rsid w:val="00527E5C"/>
    <w:rsid w:val="00530877"/>
    <w:rsid w:val="00532CF5"/>
    <w:rsid w:val="00533492"/>
    <w:rsid w:val="0053375F"/>
    <w:rsid w:val="00542132"/>
    <w:rsid w:val="00542A32"/>
    <w:rsid w:val="005518D1"/>
    <w:rsid w:val="005528CB"/>
    <w:rsid w:val="005617A8"/>
    <w:rsid w:val="00566771"/>
    <w:rsid w:val="00581E2E"/>
    <w:rsid w:val="00584F15"/>
    <w:rsid w:val="0059024A"/>
    <w:rsid w:val="0059514B"/>
    <w:rsid w:val="005A1B0F"/>
    <w:rsid w:val="005B4C3A"/>
    <w:rsid w:val="005C2739"/>
    <w:rsid w:val="005C3A60"/>
    <w:rsid w:val="005C3AD2"/>
    <w:rsid w:val="005C6459"/>
    <w:rsid w:val="005E162B"/>
    <w:rsid w:val="005F00A4"/>
    <w:rsid w:val="005F03F4"/>
    <w:rsid w:val="0060116B"/>
    <w:rsid w:val="00606F90"/>
    <w:rsid w:val="00611156"/>
    <w:rsid w:val="00613381"/>
    <w:rsid w:val="006163F7"/>
    <w:rsid w:val="00627C63"/>
    <w:rsid w:val="0063350B"/>
    <w:rsid w:val="00652606"/>
    <w:rsid w:val="006541DF"/>
    <w:rsid w:val="0065468F"/>
    <w:rsid w:val="00656174"/>
    <w:rsid w:val="00656377"/>
    <w:rsid w:val="00665F2D"/>
    <w:rsid w:val="0068761C"/>
    <w:rsid w:val="006946EE"/>
    <w:rsid w:val="006949AE"/>
    <w:rsid w:val="006A1C52"/>
    <w:rsid w:val="006A572D"/>
    <w:rsid w:val="006A58A9"/>
    <w:rsid w:val="006A606D"/>
    <w:rsid w:val="006B51D0"/>
    <w:rsid w:val="006C0371"/>
    <w:rsid w:val="006C08B6"/>
    <w:rsid w:val="006C0B1A"/>
    <w:rsid w:val="006C2607"/>
    <w:rsid w:val="006C3B49"/>
    <w:rsid w:val="006C6065"/>
    <w:rsid w:val="006C7F9F"/>
    <w:rsid w:val="006D416C"/>
    <w:rsid w:val="006E2F6D"/>
    <w:rsid w:val="006E58F6"/>
    <w:rsid w:val="006E77E1"/>
    <w:rsid w:val="006F131D"/>
    <w:rsid w:val="006F527D"/>
    <w:rsid w:val="00701A88"/>
    <w:rsid w:val="00703DEB"/>
    <w:rsid w:val="00707FDD"/>
    <w:rsid w:val="007113CB"/>
    <w:rsid w:val="00711642"/>
    <w:rsid w:val="00724008"/>
    <w:rsid w:val="00725AF1"/>
    <w:rsid w:val="00730D6F"/>
    <w:rsid w:val="00734CFF"/>
    <w:rsid w:val="007354CE"/>
    <w:rsid w:val="00736E87"/>
    <w:rsid w:val="007469AF"/>
    <w:rsid w:val="007507C6"/>
    <w:rsid w:val="00751E0B"/>
    <w:rsid w:val="00752BCD"/>
    <w:rsid w:val="007567D2"/>
    <w:rsid w:val="00766DA1"/>
    <w:rsid w:val="00774512"/>
    <w:rsid w:val="00780D94"/>
    <w:rsid w:val="007866A6"/>
    <w:rsid w:val="00786CB2"/>
    <w:rsid w:val="007876A3"/>
    <w:rsid w:val="00791478"/>
    <w:rsid w:val="007A130D"/>
    <w:rsid w:val="007C76DF"/>
    <w:rsid w:val="007D1A2D"/>
    <w:rsid w:val="007D4102"/>
    <w:rsid w:val="007D4832"/>
    <w:rsid w:val="007D6CE4"/>
    <w:rsid w:val="007E2DD2"/>
    <w:rsid w:val="007E54A7"/>
    <w:rsid w:val="007E55FD"/>
    <w:rsid w:val="007F43B7"/>
    <w:rsid w:val="00812654"/>
    <w:rsid w:val="00821FFC"/>
    <w:rsid w:val="008271CA"/>
    <w:rsid w:val="00841BCF"/>
    <w:rsid w:val="00843AE1"/>
    <w:rsid w:val="00843FF2"/>
    <w:rsid w:val="008467D5"/>
    <w:rsid w:val="008612AE"/>
    <w:rsid w:val="0088532C"/>
    <w:rsid w:val="008948E1"/>
    <w:rsid w:val="008A4DC4"/>
    <w:rsid w:val="008B438C"/>
    <w:rsid w:val="008B504E"/>
    <w:rsid w:val="008B71CA"/>
    <w:rsid w:val="008D06CA"/>
    <w:rsid w:val="008D3A46"/>
    <w:rsid w:val="008D4719"/>
    <w:rsid w:val="0090083B"/>
    <w:rsid w:val="00903062"/>
    <w:rsid w:val="009067A4"/>
    <w:rsid w:val="00920799"/>
    <w:rsid w:val="00930885"/>
    <w:rsid w:val="00931E67"/>
    <w:rsid w:val="00933D68"/>
    <w:rsid w:val="00933D81"/>
    <w:rsid w:val="009340DB"/>
    <w:rsid w:val="009401C1"/>
    <w:rsid w:val="0094618C"/>
    <w:rsid w:val="0095684B"/>
    <w:rsid w:val="0096727A"/>
    <w:rsid w:val="009712BD"/>
    <w:rsid w:val="00972498"/>
    <w:rsid w:val="009744AE"/>
    <w:rsid w:val="0097481F"/>
    <w:rsid w:val="00974CC6"/>
    <w:rsid w:val="00976AD4"/>
    <w:rsid w:val="00995547"/>
    <w:rsid w:val="009A260A"/>
    <w:rsid w:val="009A312F"/>
    <w:rsid w:val="009A3DD0"/>
    <w:rsid w:val="009A4473"/>
    <w:rsid w:val="009A5348"/>
    <w:rsid w:val="009B0AB7"/>
    <w:rsid w:val="009C76D5"/>
    <w:rsid w:val="009F7AA4"/>
    <w:rsid w:val="00A03C50"/>
    <w:rsid w:val="00A10AD7"/>
    <w:rsid w:val="00A160D0"/>
    <w:rsid w:val="00A27D5A"/>
    <w:rsid w:val="00A33DC7"/>
    <w:rsid w:val="00A47A07"/>
    <w:rsid w:val="00A52A69"/>
    <w:rsid w:val="00A559DB"/>
    <w:rsid w:val="00A569EA"/>
    <w:rsid w:val="00A61E10"/>
    <w:rsid w:val="00A74517"/>
    <w:rsid w:val="00A76096"/>
    <w:rsid w:val="00AD047B"/>
    <w:rsid w:val="00AD1531"/>
    <w:rsid w:val="00AE1757"/>
    <w:rsid w:val="00AE2B6A"/>
    <w:rsid w:val="00AF35FC"/>
    <w:rsid w:val="00AF4DAE"/>
    <w:rsid w:val="00AF5556"/>
    <w:rsid w:val="00AF5CD0"/>
    <w:rsid w:val="00B03639"/>
    <w:rsid w:val="00B0652A"/>
    <w:rsid w:val="00B23491"/>
    <w:rsid w:val="00B40937"/>
    <w:rsid w:val="00B423EF"/>
    <w:rsid w:val="00B453DE"/>
    <w:rsid w:val="00B5182B"/>
    <w:rsid w:val="00B65AC2"/>
    <w:rsid w:val="00B72597"/>
    <w:rsid w:val="00B901F9"/>
    <w:rsid w:val="00B929DC"/>
    <w:rsid w:val="00B94F75"/>
    <w:rsid w:val="00B974D8"/>
    <w:rsid w:val="00BA7F82"/>
    <w:rsid w:val="00BB3EF0"/>
    <w:rsid w:val="00BB7ABE"/>
    <w:rsid w:val="00BC4D98"/>
    <w:rsid w:val="00BD0231"/>
    <w:rsid w:val="00BD4587"/>
    <w:rsid w:val="00BD6EFB"/>
    <w:rsid w:val="00BE361A"/>
    <w:rsid w:val="00BF2855"/>
    <w:rsid w:val="00BF5EAB"/>
    <w:rsid w:val="00C02282"/>
    <w:rsid w:val="00C07C9A"/>
    <w:rsid w:val="00C11E7D"/>
    <w:rsid w:val="00C1584D"/>
    <w:rsid w:val="00C15BE2"/>
    <w:rsid w:val="00C2404C"/>
    <w:rsid w:val="00C3447F"/>
    <w:rsid w:val="00C37B60"/>
    <w:rsid w:val="00C67102"/>
    <w:rsid w:val="00C81491"/>
    <w:rsid w:val="00C81676"/>
    <w:rsid w:val="00C85C5D"/>
    <w:rsid w:val="00C92CC4"/>
    <w:rsid w:val="00C9313A"/>
    <w:rsid w:val="00CA0AFB"/>
    <w:rsid w:val="00CA2CE1"/>
    <w:rsid w:val="00CA3976"/>
    <w:rsid w:val="00CA50E3"/>
    <w:rsid w:val="00CA757B"/>
    <w:rsid w:val="00CB666D"/>
    <w:rsid w:val="00CC0364"/>
    <w:rsid w:val="00CC138C"/>
    <w:rsid w:val="00CC1787"/>
    <w:rsid w:val="00CC182C"/>
    <w:rsid w:val="00CD0824"/>
    <w:rsid w:val="00CD2908"/>
    <w:rsid w:val="00CD6B2B"/>
    <w:rsid w:val="00CF1813"/>
    <w:rsid w:val="00D00188"/>
    <w:rsid w:val="00D03A82"/>
    <w:rsid w:val="00D13667"/>
    <w:rsid w:val="00D15344"/>
    <w:rsid w:val="00D23F57"/>
    <w:rsid w:val="00D31B3D"/>
    <w:rsid w:val="00D31BEC"/>
    <w:rsid w:val="00D4177F"/>
    <w:rsid w:val="00D61B7C"/>
    <w:rsid w:val="00D63150"/>
    <w:rsid w:val="00D636BA"/>
    <w:rsid w:val="00D64A32"/>
    <w:rsid w:val="00D64EFC"/>
    <w:rsid w:val="00D66DF9"/>
    <w:rsid w:val="00D674DE"/>
    <w:rsid w:val="00D75295"/>
    <w:rsid w:val="00D76CE9"/>
    <w:rsid w:val="00D911B5"/>
    <w:rsid w:val="00D97F12"/>
    <w:rsid w:val="00DA5DDE"/>
    <w:rsid w:val="00DA6095"/>
    <w:rsid w:val="00DB42E7"/>
    <w:rsid w:val="00DC09D8"/>
    <w:rsid w:val="00DD50AE"/>
    <w:rsid w:val="00DD55B7"/>
    <w:rsid w:val="00DE01A6"/>
    <w:rsid w:val="00DE0248"/>
    <w:rsid w:val="00DE7A98"/>
    <w:rsid w:val="00DF0CEC"/>
    <w:rsid w:val="00DF16BA"/>
    <w:rsid w:val="00DF32C2"/>
    <w:rsid w:val="00E0015D"/>
    <w:rsid w:val="00E049A7"/>
    <w:rsid w:val="00E26F18"/>
    <w:rsid w:val="00E30C25"/>
    <w:rsid w:val="00E471A7"/>
    <w:rsid w:val="00E4741D"/>
    <w:rsid w:val="00E635CF"/>
    <w:rsid w:val="00E71AF9"/>
    <w:rsid w:val="00E9185F"/>
    <w:rsid w:val="00E960E1"/>
    <w:rsid w:val="00EC6E0A"/>
    <w:rsid w:val="00ED4772"/>
    <w:rsid w:val="00ED4E18"/>
    <w:rsid w:val="00EE1F37"/>
    <w:rsid w:val="00EF2A25"/>
    <w:rsid w:val="00F0159C"/>
    <w:rsid w:val="00F066FA"/>
    <w:rsid w:val="00F06761"/>
    <w:rsid w:val="00F105B7"/>
    <w:rsid w:val="00F13220"/>
    <w:rsid w:val="00F17A21"/>
    <w:rsid w:val="00F320C5"/>
    <w:rsid w:val="00F37B27"/>
    <w:rsid w:val="00F40A13"/>
    <w:rsid w:val="00F46556"/>
    <w:rsid w:val="00F50E91"/>
    <w:rsid w:val="00F56F86"/>
    <w:rsid w:val="00F57D29"/>
    <w:rsid w:val="00F60786"/>
    <w:rsid w:val="00F82C4D"/>
    <w:rsid w:val="00F86D94"/>
    <w:rsid w:val="00F91BC7"/>
    <w:rsid w:val="00F96201"/>
    <w:rsid w:val="00FD096C"/>
    <w:rsid w:val="00FD0B18"/>
    <w:rsid w:val="00FD1EE7"/>
    <w:rsid w:val="00FD2FAD"/>
    <w:rsid w:val="00FD561A"/>
    <w:rsid w:val="00FE2AB9"/>
    <w:rsid w:val="00FE714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BAF3EFA"/>
  <w15:chartTrackingRefBased/>
  <w15:docId w15:val="{42F9FCF3-AE1F-47E0-8A17-3364EB60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rPr>
      <w:rFonts w:ascii="Times New Roman" w:eastAsia="Times New Roman" w:hAnsi="Times New Roman"/>
      <w:lang w:val="en-US" w:eastAsia="en-US"/>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Cambria" w:hAnsi="Cambria"/>
      <w:b/>
      <w:bCs/>
      <w:i/>
      <w:iCs/>
      <w:color w:val="4F81BD"/>
      <w:lang w:val="x-none" w:eastAsia="x-none"/>
    </w:rPr>
  </w:style>
  <w:style w:type="paragraph" w:styleId="Heading5">
    <w:name w:val="heading 5"/>
    <w:basedOn w:val="Normal"/>
    <w:next w:val="Normal"/>
    <w:link w:val="Heading5Char"/>
    <w:unhideWhenUsed/>
    <w:qFormat/>
    <w:rsid w:val="001C7777"/>
    <w:pPr>
      <w:keepNext/>
      <w:keepLines/>
      <w:spacing w:before="200"/>
      <w:outlineLvl w:val="4"/>
    </w:pPr>
    <w:rPr>
      <w:rFonts w:ascii="Cambria" w:hAnsi="Cambria"/>
      <w:color w:val="243F60"/>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eastAsia="x-none"/>
    </w:rPr>
  </w:style>
  <w:style w:type="paragraph" w:styleId="Heading9">
    <w:name w:val="heading 9"/>
    <w:basedOn w:val="Normal"/>
    <w:next w:val="Normal"/>
    <w:link w:val="Heading9Char"/>
    <w:qFormat/>
    <w:rsid w:val="00711642"/>
    <w:pPr>
      <w:spacing w:before="40" w:after="40"/>
      <w:outlineLvl w:val="8"/>
    </w:pPr>
    <w:rPr>
      <w:b/>
      <w:sz w:val="18"/>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link w:val="Heading8"/>
    <w:rsid w:val="00711642"/>
    <w:rPr>
      <w:rFonts w:ascii="Times New Roman" w:eastAsia="Times New Roman" w:hAnsi="Times New Roman" w:cs="Times New Roman"/>
      <w:b/>
      <w:sz w:val="18"/>
      <w:szCs w:val="20"/>
      <w:lang w:val="en-AU"/>
    </w:rPr>
  </w:style>
  <w:style w:type="character" w:customStyle="1" w:styleId="Heading9Char">
    <w:name w:val="Heading 9 Char"/>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eastAsia="Calibri" w:hAnsi="Tahoma"/>
      <w:sz w:val="16"/>
      <w:szCs w:val="16"/>
      <w:lang w:val="x-none" w:eastAsia="x-none"/>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b/>
      <w:bCs/>
      <w:caps/>
      <w:color w:val="000000"/>
      <w:sz w:val="28"/>
      <w:szCs w:val="28"/>
      <w:lang w:val="x-none" w:eastAsia="x-none"/>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542A32"/>
    <w:pPr>
      <w:jc w:val="both"/>
    </w:pPr>
    <w:rPr>
      <w:sz w:val="22"/>
      <w:lang w:val="x-none" w:eastAsia="x-none"/>
    </w:rPr>
  </w:style>
  <w:style w:type="character" w:customStyle="1" w:styleId="BodyTextMainChar">
    <w:name w:val="Body Text Main Char"/>
    <w:link w:val="BodyTextMain"/>
    <w:rsid w:val="00542A32"/>
    <w:rPr>
      <w:rFonts w:ascii="Times New Roman" w:eastAsia="Times New Roman" w:hAnsi="Times New Roman"/>
      <w:sz w:val="22"/>
      <w:lang w:val="x-none" w:eastAsia="x-none"/>
    </w:rPr>
  </w:style>
  <w:style w:type="paragraph" w:customStyle="1" w:styleId="Casehead1">
    <w:name w:val="Casehead 1"/>
    <w:basedOn w:val="BodyTextMain"/>
    <w:link w:val="Casehead1Char"/>
    <w:qFormat/>
    <w:rsid w:val="00213E98"/>
    <w:rPr>
      <w:rFonts w:ascii="Arial" w:hAnsi="Arial"/>
      <w:b/>
      <w:caps/>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b w:val="0"/>
      <w:u w:val="single"/>
    </w:rPr>
  </w:style>
  <w:style w:type="character" w:customStyle="1" w:styleId="Casehead3Char">
    <w:name w:val="Casehead 3 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lang w:val="x-none" w:eastAsia="x-none"/>
    </w:rPr>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sz w:val="17"/>
      <w:szCs w:val="17"/>
    </w:rPr>
  </w:style>
  <w:style w:type="character" w:customStyle="1" w:styleId="FootnoteChar">
    <w:name w:val="Footnote 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b/>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b/>
      <w:caps/>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lang w:val="x-none" w:eastAsia="x-none"/>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lang w:val="x-none" w:eastAsia="x-none"/>
    </w:r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lang w:val="x-none" w:eastAsia="x-none"/>
    </w:r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rPr>
      <w:lang w:val="x-none" w:eastAsia="x-none"/>
    </w:rPr>
  </w:style>
  <w:style w:type="character" w:customStyle="1" w:styleId="BodyTextChar">
    <w:name w:val="Body Text Char"/>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lang w:val="x-none" w:eastAsia="x-none"/>
    </w:rPr>
  </w:style>
  <w:style w:type="character" w:customStyle="1" w:styleId="CommentTextChar">
    <w:name w:val="Comment Text Char"/>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rPr>
      <w:lang w:val="en-IN" w:eastAsia="en-US"/>
    </w:rPr>
  </w:style>
  <w:style w:type="character" w:customStyle="1" w:styleId="NoSpacingChar">
    <w:name w:val="No Spacing Char"/>
    <w:link w:val="NoSpacing"/>
    <w:uiPriority w:val="1"/>
    <w:rsid w:val="004273F8"/>
    <w:rPr>
      <w:lang w:val="en-IN" w:eastAsia="en-US" w:bidi="ar-SA"/>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rPr>
      <w:lang w:val="x-none" w:eastAsia="x-none"/>
    </w:rPr>
  </w:style>
  <w:style w:type="character" w:customStyle="1" w:styleId="BodyTextIndentChar">
    <w:name w:val="Body Text Indent Char"/>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lang w:val="x-none" w:eastAsia="x-none"/>
    </w:rPr>
  </w:style>
  <w:style w:type="character" w:customStyle="1" w:styleId="BodyTextIndent3Char">
    <w:name w:val="Body Text Indent 3 Char"/>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eastAsia="x-none"/>
    </w:rPr>
  </w:style>
  <w:style w:type="character" w:customStyle="1" w:styleId="TitleChar">
    <w:name w:val="Title Char"/>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rPr>
      <w:rFonts w:ascii="Times New Roman" w:eastAsia="Times New Roman" w:hAnsi="Times New Roman"/>
      <w:lang w:val="en-US" w:eastAsia="en-US"/>
    </w:rPr>
  </w:style>
  <w:style w:type="character" w:customStyle="1" w:styleId="Heading4Char">
    <w:name w:val="Heading 4 Char"/>
    <w:link w:val="Heading4"/>
    <w:rsid w:val="001C7777"/>
    <w:rPr>
      <w:rFonts w:ascii="Cambria" w:eastAsia="Times New Roman" w:hAnsi="Cambria" w:cs="Times New Roman"/>
      <w:b/>
      <w:bCs/>
      <w:i/>
      <w:iCs/>
      <w:color w:val="4F81BD"/>
      <w:sz w:val="20"/>
      <w:szCs w:val="20"/>
    </w:rPr>
  </w:style>
  <w:style w:type="character" w:customStyle="1" w:styleId="Heading5Char">
    <w:name w:val="Heading 5 Char"/>
    <w:link w:val="Heading5"/>
    <w:rsid w:val="001C7777"/>
    <w:rPr>
      <w:rFonts w:ascii="Cambria" w:eastAsia="Times New Roman" w:hAnsi="Cambria" w:cs="Times New Roman"/>
      <w:color w:val="243F60"/>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rPr>
      <w:color w:val="000000"/>
      <w:lang w:val="en-GB"/>
    </w:rPr>
    <w:tblPr>
      <w:tblStyleRowBandSize w:val="1"/>
      <w:tblStyleColBandSize w:val="1"/>
      <w:tblBorders>
        <w:top w:val="single" w:sz="8" w:space="0" w:color="000000"/>
        <w:bottom w:val="single" w:sz="8" w:space="0" w:color="000000"/>
      </w:tblBorders>
    </w:tblPr>
    <w:tblStylePr w:type="firstRow">
      <w:rPr>
        <w:rFonts w:ascii="Tahoma" w:eastAsia="Times New Roman" w:hAnsi="Tahom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Shading-Accent4">
    <w:name w:val="Light Shading Accent 4"/>
    <w:basedOn w:val="TableNormal"/>
    <w:uiPriority w:val="60"/>
    <w:rsid w:val="00812654"/>
    <w:rPr>
      <w:rFonts w:eastAsia="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2">
    <w:name w:val="Light Shading Accent 2"/>
    <w:basedOn w:val="TableNormal"/>
    <w:uiPriority w:val="60"/>
    <w:rsid w:val="00812654"/>
    <w:rPr>
      <w:rFonts w:eastAsia="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1">
    <w:name w:val="Normal1"/>
    <w:rsid w:val="00812654"/>
    <w:pPr>
      <w:spacing w:line="276" w:lineRule="auto"/>
    </w:pPr>
    <w:rPr>
      <w:rFonts w:ascii="Arial" w:eastAsia="Arial" w:hAnsi="Arial" w:cs="Arial"/>
      <w:color w:val="000000"/>
      <w:sz w:val="22"/>
      <w:szCs w:val="22"/>
      <w:lang w:val="en-US" w:eastAsia="en-US"/>
    </w:rPr>
  </w:style>
  <w:style w:type="table" w:styleId="LightShading">
    <w:name w:val="Light Shading"/>
    <w:basedOn w:val="TableNormal"/>
    <w:uiPriority w:val="60"/>
    <w:rsid w:val="00812654"/>
    <w:pPr>
      <w:jc w:val="both"/>
    </w:pPr>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 of respondents</c:v>
                </c:pt>
              </c:strCache>
            </c:strRef>
          </c:tx>
          <c:invertIfNegative val="0"/>
          <c:cat>
            <c:strRef>
              <c:f>Sheet1!$A$2:$A$11</c:f>
              <c:strCache>
                <c:ptCount val="10"/>
                <c:pt idx="0">
                  <c:v>Strategic Planning</c:v>
                </c:pt>
                <c:pt idx="1">
                  <c:v>Board Governance</c:v>
                </c:pt>
                <c:pt idx="2">
                  <c:v>Leadership/Interim Management</c:v>
                </c:pt>
                <c:pt idx="3">
                  <c:v>Volunteer Recruiting &amp; Performance</c:v>
                </c:pt>
                <c:pt idx="4">
                  <c:v>Facility and Operations Planning</c:v>
                </c:pt>
                <c:pt idx="5">
                  <c:v>Marketing &amp; Communications</c:v>
                </c:pt>
                <c:pt idx="6">
                  <c:v>Partnerships </c:v>
                </c:pt>
                <c:pt idx="7">
                  <c:v>Fundraising &amp; Fund Development</c:v>
                </c:pt>
                <c:pt idx="8">
                  <c:v>Event Management &amp; Planning</c:v>
                </c:pt>
                <c:pt idx="9">
                  <c:v>Other</c:v>
                </c:pt>
              </c:strCache>
            </c:strRef>
          </c:cat>
          <c:val>
            <c:numRef>
              <c:f>Sheet1!$B$2:$B$11</c:f>
              <c:numCache>
                <c:formatCode>General</c:formatCode>
                <c:ptCount val="10"/>
                <c:pt idx="0">
                  <c:v>7</c:v>
                </c:pt>
                <c:pt idx="1">
                  <c:v>4</c:v>
                </c:pt>
                <c:pt idx="2">
                  <c:v>4</c:v>
                </c:pt>
                <c:pt idx="3">
                  <c:v>8</c:v>
                </c:pt>
                <c:pt idx="4">
                  <c:v>4</c:v>
                </c:pt>
                <c:pt idx="5">
                  <c:v>23</c:v>
                </c:pt>
                <c:pt idx="6">
                  <c:v>15</c:v>
                </c:pt>
                <c:pt idx="7">
                  <c:v>27</c:v>
                </c:pt>
                <c:pt idx="8">
                  <c:v>4</c:v>
                </c:pt>
                <c:pt idx="9">
                  <c:v>4</c:v>
                </c:pt>
              </c:numCache>
            </c:numRef>
          </c:val>
          <c:extLst>
            <c:ext xmlns:c16="http://schemas.microsoft.com/office/drawing/2014/chart" uri="{C3380CC4-5D6E-409C-BE32-E72D297353CC}">
              <c16:uniqueId val="{00000000-2ABE-4299-B864-A63BCFB4E0EC}"/>
            </c:ext>
          </c:extLst>
        </c:ser>
        <c:dLbls>
          <c:showLegendKey val="0"/>
          <c:showVal val="0"/>
          <c:showCatName val="0"/>
          <c:showSerName val="0"/>
          <c:showPercent val="0"/>
          <c:showBubbleSize val="0"/>
        </c:dLbls>
        <c:gapWidth val="150"/>
        <c:axId val="67332768"/>
        <c:axId val="67333160"/>
      </c:barChart>
      <c:catAx>
        <c:axId val="67332768"/>
        <c:scaling>
          <c:orientation val="minMax"/>
        </c:scaling>
        <c:delete val="0"/>
        <c:axPos val="l"/>
        <c:numFmt formatCode="General" sourceLinked="0"/>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67333160"/>
        <c:crosses val="autoZero"/>
        <c:auto val="1"/>
        <c:lblAlgn val="ctr"/>
        <c:lblOffset val="100"/>
        <c:noMultiLvlLbl val="0"/>
      </c:catAx>
      <c:valAx>
        <c:axId val="67333160"/>
        <c:scaling>
          <c:orientation val="minMax"/>
        </c:scaling>
        <c:delete val="0"/>
        <c:axPos val="b"/>
        <c:majorGridlines/>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67332768"/>
        <c:crosses val="autoZero"/>
        <c:crossBetween val="between"/>
      </c:valAx>
    </c:plotArea>
    <c:legend>
      <c:legendPos val="r"/>
      <c:overlay val="0"/>
      <c:txPr>
        <a:bodyPr/>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15785-8231-4C66-A63A-C1561965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5419</Words>
  <Characters>30893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36240</CharactersWithSpaces>
  <SharedDoc>false</SharedDoc>
  <HLinks>
    <vt:vector size="12" baseType="variant">
      <vt:variant>
        <vt:i4>4849690</vt:i4>
      </vt:variant>
      <vt:variant>
        <vt:i4>3</vt:i4>
      </vt:variant>
      <vt:variant>
        <vt:i4>0</vt:i4>
      </vt:variant>
      <vt:variant>
        <vt:i4>5</vt:i4>
      </vt:variant>
      <vt:variant>
        <vt:lpwstr>http://www.iveycases.com/</vt:lpwstr>
      </vt:variant>
      <vt:variant>
        <vt:lpwstr/>
      </vt:variant>
      <vt:variant>
        <vt:i4>4325474</vt:i4>
      </vt:variant>
      <vt:variant>
        <vt:i4>0</vt:i4>
      </vt:variant>
      <vt:variant>
        <vt:i4>0</vt:i4>
      </vt:variant>
      <vt:variant>
        <vt:i4>5</vt:i4>
      </vt:variant>
      <vt:variant>
        <vt:lpwstr>mailto:cases@ivey.ca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2015-03-04T21:34:00Z</cp:lastPrinted>
  <dcterms:created xsi:type="dcterms:W3CDTF">2020-12-04T20:09:00Z</dcterms:created>
  <dcterms:modified xsi:type="dcterms:W3CDTF">2020-12-04T20:09:00Z</dcterms:modified>
</cp:coreProperties>
</file>