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0428A" w14:textId="4E8074A7" w:rsidR="006B3BC4" w:rsidRPr="00627385" w:rsidRDefault="006A6686" w:rsidP="008467D5">
      <w:pPr>
        <w:pBdr>
          <w:bottom w:val="single" w:sz="18" w:space="1" w:color="auto"/>
        </w:pBdr>
        <w:tabs>
          <w:tab w:val="left" w:pos="-1440"/>
          <w:tab w:val="left" w:pos="-720"/>
          <w:tab w:val="left" w:pos="1"/>
        </w:tabs>
        <w:jc w:val="both"/>
        <w:rPr>
          <w:rFonts w:ascii="Arial" w:hAnsi="Arial"/>
          <w:b/>
          <w:noProof/>
          <w:sz w:val="24"/>
          <w:lang w:val="en-GB"/>
        </w:rPr>
      </w:pPr>
      <w:r w:rsidRPr="00627385">
        <w:rPr>
          <w:rFonts w:ascii="Arial" w:hAnsi="Arial"/>
          <w:b/>
          <w:noProof/>
          <w:sz w:val="24"/>
        </w:rPr>
        <w:drawing>
          <wp:inline distT="0" distB="0" distL="0" distR="0" wp14:anchorId="352F02F6" wp14:editId="67915BED">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CD558E8" w14:textId="6F42F678" w:rsidR="00D75295" w:rsidRPr="00627385" w:rsidRDefault="00627385" w:rsidP="00F105B7">
      <w:pPr>
        <w:pStyle w:val="ProductNumber"/>
        <w:rPr>
          <w:lang w:val="en-GB"/>
        </w:rPr>
      </w:pPr>
      <w:r w:rsidRPr="00627385">
        <w:rPr>
          <w:lang w:val="en-GB"/>
        </w:rPr>
        <w:t>9B18M105</w:t>
      </w:r>
    </w:p>
    <w:p w14:paraId="1FC0C600" w14:textId="77777777" w:rsidR="00D75295" w:rsidRPr="00627385" w:rsidRDefault="00D75295" w:rsidP="00D75295">
      <w:pPr>
        <w:jc w:val="right"/>
        <w:rPr>
          <w:rFonts w:ascii="Arial" w:hAnsi="Arial"/>
          <w:b/>
          <w:sz w:val="28"/>
          <w:szCs w:val="28"/>
          <w:lang w:val="en-GB"/>
        </w:rPr>
      </w:pPr>
    </w:p>
    <w:p w14:paraId="4178C272" w14:textId="77777777" w:rsidR="00013360" w:rsidRPr="00627385" w:rsidRDefault="00013360" w:rsidP="00D75295">
      <w:pPr>
        <w:jc w:val="right"/>
        <w:rPr>
          <w:rFonts w:ascii="Arial" w:hAnsi="Arial"/>
          <w:b/>
          <w:sz w:val="28"/>
          <w:szCs w:val="28"/>
          <w:lang w:val="en-GB"/>
        </w:rPr>
      </w:pPr>
    </w:p>
    <w:p w14:paraId="50C85E17" w14:textId="4F14D68D" w:rsidR="00013360" w:rsidRPr="00C81218" w:rsidRDefault="00C81218" w:rsidP="00C81218">
      <w:pPr>
        <w:pStyle w:val="CaseTitle"/>
        <w:spacing w:after="0"/>
      </w:pPr>
      <w:r w:rsidRPr="00C81218">
        <w:t>comfort remote site services ltd.</w:t>
      </w:r>
    </w:p>
    <w:p w14:paraId="31CE678E" w14:textId="77777777" w:rsidR="00CA3976" w:rsidRPr="00627385" w:rsidRDefault="00CA3976" w:rsidP="00013360">
      <w:pPr>
        <w:pStyle w:val="CaseTitle"/>
        <w:spacing w:after="0" w:line="240" w:lineRule="auto"/>
        <w:rPr>
          <w:sz w:val="20"/>
          <w:szCs w:val="20"/>
          <w:lang w:val="en-GB"/>
        </w:rPr>
      </w:pPr>
    </w:p>
    <w:p w14:paraId="56678C33" w14:textId="77777777" w:rsidR="00013360" w:rsidRPr="00627385" w:rsidRDefault="00013360" w:rsidP="00013360">
      <w:pPr>
        <w:pStyle w:val="CaseTitle"/>
        <w:spacing w:after="0" w:line="240" w:lineRule="auto"/>
        <w:rPr>
          <w:sz w:val="20"/>
          <w:szCs w:val="20"/>
          <w:lang w:val="en-GB"/>
        </w:rPr>
      </w:pPr>
    </w:p>
    <w:p w14:paraId="5D7A63A8" w14:textId="6350783C" w:rsidR="00627C63" w:rsidRPr="00627385" w:rsidRDefault="00F26B7B" w:rsidP="00627C63">
      <w:pPr>
        <w:pStyle w:val="StyleCopyrightStatementAfter0ptBottomSinglesolidline1"/>
        <w:rPr>
          <w:lang w:val="en-GB"/>
        </w:rPr>
      </w:pPr>
      <w:r w:rsidRPr="00627385">
        <w:rPr>
          <w:lang w:val="en-GB"/>
        </w:rPr>
        <w:t xml:space="preserve">Jimmy Wang wrote this case under the supervision of </w:t>
      </w:r>
      <w:hyperlink r:id="rId9" w:history="1">
        <w:r w:rsidR="006B3BC4" w:rsidRPr="00627385">
          <w:rPr>
            <w:rStyle w:val="Hyperlink"/>
            <w:color w:val="auto"/>
            <w:u w:val="none"/>
            <w:lang w:val="en-GB"/>
          </w:rPr>
          <w:t xml:space="preserve">Elizabeth </w:t>
        </w:r>
        <w:r w:rsidRPr="00627385">
          <w:rPr>
            <w:rStyle w:val="Hyperlink"/>
            <w:color w:val="auto"/>
            <w:u w:val="none"/>
            <w:lang w:val="en-GB"/>
          </w:rPr>
          <w:t xml:space="preserve">M. A. </w:t>
        </w:r>
        <w:proofErr w:type="spellStart"/>
        <w:r w:rsidR="006B3BC4" w:rsidRPr="00627385">
          <w:rPr>
            <w:rStyle w:val="Hyperlink"/>
            <w:color w:val="auto"/>
            <w:u w:val="none"/>
            <w:lang w:val="en-GB"/>
          </w:rPr>
          <w:t>Grasby</w:t>
        </w:r>
        <w:proofErr w:type="spellEnd"/>
      </w:hyperlink>
      <w:r w:rsidRPr="00627385">
        <w:rPr>
          <w:rStyle w:val="Hyperlink"/>
          <w:color w:val="auto"/>
          <w:u w:val="none"/>
          <w:lang w:val="en-GB"/>
        </w:rPr>
        <w:t xml:space="preserve"> s</w:t>
      </w:r>
      <w:r w:rsidR="00152682" w:rsidRPr="00627385">
        <w:rPr>
          <w:lang w:val="en-GB"/>
        </w:rPr>
        <w:t>olely to provide material for class discussion. The</w:t>
      </w:r>
      <w:r w:rsidR="001C7777" w:rsidRPr="00627385">
        <w:rPr>
          <w:lang w:val="en-GB"/>
        </w:rPr>
        <w:t xml:space="preserve"> author</w:t>
      </w:r>
      <w:r w:rsidR="001A22D1" w:rsidRPr="00627385">
        <w:rPr>
          <w:lang w:val="en-GB"/>
        </w:rPr>
        <w:t>s</w:t>
      </w:r>
      <w:r w:rsidR="00152682" w:rsidRPr="00627385">
        <w:rPr>
          <w:lang w:val="en-GB"/>
        </w:rPr>
        <w:t xml:space="preserve"> do not intend to illustrate either effective or ineffective handling of a managerial situation. The author</w:t>
      </w:r>
      <w:r w:rsidR="001A22D1" w:rsidRPr="00627385">
        <w:rPr>
          <w:lang w:val="en-GB"/>
        </w:rPr>
        <w:t>s</w:t>
      </w:r>
      <w:r w:rsidR="00152682" w:rsidRPr="00627385">
        <w:rPr>
          <w:lang w:val="en-GB"/>
        </w:rPr>
        <w:t xml:space="preserve"> may have disguised certain names and other identifying information to protect confidentiality.</w:t>
      </w:r>
    </w:p>
    <w:p w14:paraId="76F64BA2" w14:textId="77777777" w:rsidR="00627385" w:rsidRPr="00627385" w:rsidRDefault="00627385" w:rsidP="008B73DF">
      <w:pPr>
        <w:pBdr>
          <w:top w:val="single" w:sz="8" w:space="4" w:color="auto"/>
        </w:pBdr>
        <w:tabs>
          <w:tab w:val="right" w:pos="9360"/>
        </w:tabs>
        <w:autoSpaceDE w:val="0"/>
        <w:autoSpaceDN w:val="0"/>
        <w:adjustRightInd w:val="0"/>
        <w:jc w:val="both"/>
        <w:textAlignment w:val="center"/>
        <w:rPr>
          <w:rFonts w:ascii="Arial" w:hAnsi="Arial" w:cs="Arial"/>
          <w:i/>
          <w:iCs/>
          <w:color w:val="000000"/>
          <w:sz w:val="16"/>
          <w:szCs w:val="16"/>
          <w:lang w:val="en-GB"/>
        </w:rPr>
      </w:pPr>
    </w:p>
    <w:p w14:paraId="114F212D" w14:textId="77777777" w:rsidR="006A6686" w:rsidRPr="00627385" w:rsidRDefault="006A6686" w:rsidP="008B73DF">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627385">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627385">
          <w:rPr>
            <w:rFonts w:ascii="Arial" w:hAnsi="Arial"/>
            <w:i/>
            <w:iCs/>
            <w:color w:val="000000"/>
            <w:sz w:val="16"/>
            <w:lang w:val="en-GB"/>
          </w:rPr>
          <w:t>cases@ivey.ca</w:t>
        </w:r>
      </w:hyperlink>
      <w:r w:rsidRPr="00627385">
        <w:rPr>
          <w:rFonts w:ascii="Arial" w:hAnsi="Arial"/>
          <w:i/>
          <w:iCs/>
          <w:color w:val="000000"/>
          <w:sz w:val="16"/>
          <w:lang w:val="en-GB"/>
        </w:rPr>
        <w:t xml:space="preserve">; </w:t>
      </w:r>
      <w:hyperlink r:id="rId11" w:history="1">
        <w:r w:rsidRPr="00627385">
          <w:rPr>
            <w:rFonts w:ascii="Arial" w:hAnsi="Arial"/>
            <w:i/>
            <w:iCs/>
            <w:color w:val="000000"/>
            <w:sz w:val="16"/>
            <w:lang w:val="en-GB"/>
          </w:rPr>
          <w:t>www.iveycases.com</w:t>
        </w:r>
      </w:hyperlink>
      <w:r w:rsidRPr="00627385">
        <w:rPr>
          <w:rFonts w:ascii="Arial" w:hAnsi="Arial"/>
          <w:i/>
          <w:iCs/>
          <w:color w:val="000000"/>
          <w:sz w:val="16"/>
          <w:lang w:val="en-GB"/>
        </w:rPr>
        <w:t>.</w:t>
      </w:r>
    </w:p>
    <w:p w14:paraId="3BDA311F" w14:textId="658A3C89" w:rsidR="006B3BC4" w:rsidRPr="00627385" w:rsidRDefault="006B3BC4" w:rsidP="00751E0B">
      <w:pPr>
        <w:pStyle w:val="StyleStyleCopyrightStatementAfter0ptBottomSinglesolid"/>
        <w:rPr>
          <w:rFonts w:cs="Arial"/>
          <w:szCs w:val="16"/>
          <w:lang w:val="en-GB"/>
        </w:rPr>
      </w:pPr>
    </w:p>
    <w:p w14:paraId="5F745B94" w14:textId="79136228" w:rsidR="00751E0B" w:rsidRPr="00627385" w:rsidRDefault="006A6686" w:rsidP="00751E0B">
      <w:pPr>
        <w:pStyle w:val="StyleStyleCopyrightStatementAfter0ptBottomSinglesolid"/>
        <w:rPr>
          <w:lang w:val="en-GB"/>
        </w:rPr>
      </w:pPr>
      <w:r w:rsidRPr="00627385">
        <w:rPr>
          <w:rFonts w:cs="Arial"/>
          <w:szCs w:val="16"/>
          <w:lang w:val="en-GB"/>
        </w:rPr>
        <w:t>Copyright © 2018, Ivey Business School Foundation</w:t>
      </w:r>
      <w:r w:rsidR="00A569EA" w:rsidRPr="00627385">
        <w:rPr>
          <w:rFonts w:cs="Arial"/>
          <w:szCs w:val="16"/>
          <w:lang w:val="en-GB"/>
        </w:rPr>
        <w:tab/>
      </w:r>
      <w:r w:rsidR="00751E0B" w:rsidRPr="00627385">
        <w:rPr>
          <w:lang w:val="en-GB"/>
        </w:rPr>
        <w:t xml:space="preserve">Version: </w:t>
      </w:r>
      <w:r w:rsidR="003D0BA1" w:rsidRPr="00627385">
        <w:rPr>
          <w:lang w:val="en-GB"/>
        </w:rPr>
        <w:t>20</w:t>
      </w:r>
      <w:r w:rsidR="006B3BC4" w:rsidRPr="00627385">
        <w:rPr>
          <w:lang w:val="en-GB"/>
        </w:rPr>
        <w:t>18</w:t>
      </w:r>
      <w:r w:rsidR="001C7777" w:rsidRPr="00627385">
        <w:rPr>
          <w:lang w:val="en-GB"/>
        </w:rPr>
        <w:t>-</w:t>
      </w:r>
      <w:r w:rsidR="00F26B7B" w:rsidRPr="00627385">
        <w:rPr>
          <w:lang w:val="en-GB"/>
        </w:rPr>
        <w:t>0</w:t>
      </w:r>
      <w:r w:rsidR="00A22AB1" w:rsidRPr="00627385">
        <w:rPr>
          <w:lang w:val="en-GB"/>
        </w:rPr>
        <w:t>7</w:t>
      </w:r>
      <w:r w:rsidR="00751E0B" w:rsidRPr="00627385">
        <w:rPr>
          <w:lang w:val="en-GB"/>
        </w:rPr>
        <w:t>-</w:t>
      </w:r>
      <w:r w:rsidR="002D5F21">
        <w:rPr>
          <w:lang w:val="en-GB"/>
        </w:rPr>
        <w:t>20</w:t>
      </w:r>
    </w:p>
    <w:p w14:paraId="0DEA387A" w14:textId="77777777" w:rsidR="00751E0B" w:rsidRPr="00627385" w:rsidRDefault="00751E0B" w:rsidP="00751E0B">
      <w:pPr>
        <w:pStyle w:val="StyleCopyrightStatementAfter0ptBottomSinglesolidline1"/>
        <w:rPr>
          <w:rFonts w:ascii="Times New Roman" w:hAnsi="Times New Roman"/>
          <w:sz w:val="20"/>
          <w:lang w:val="en-GB"/>
        </w:rPr>
      </w:pPr>
    </w:p>
    <w:p w14:paraId="6D854F86" w14:textId="77777777" w:rsidR="004B632F" w:rsidRPr="00627385" w:rsidRDefault="004B632F" w:rsidP="004B632F">
      <w:pPr>
        <w:pStyle w:val="StyleCopyrightStatementAfter0ptBottomSinglesolidline1"/>
        <w:rPr>
          <w:rFonts w:ascii="Times New Roman" w:hAnsi="Times New Roman"/>
          <w:sz w:val="20"/>
          <w:lang w:val="en-GB"/>
        </w:rPr>
      </w:pPr>
    </w:p>
    <w:p w14:paraId="2E48B227" w14:textId="3047ED51" w:rsidR="006B3BC4" w:rsidRPr="00627385" w:rsidRDefault="006B3BC4" w:rsidP="006B3BC4">
      <w:pPr>
        <w:jc w:val="both"/>
        <w:rPr>
          <w:spacing w:val="-2"/>
          <w:kern w:val="22"/>
          <w:sz w:val="22"/>
          <w:szCs w:val="22"/>
          <w:lang w:val="en-GB"/>
        </w:rPr>
      </w:pPr>
      <w:r w:rsidRPr="00627385">
        <w:rPr>
          <w:spacing w:val="-2"/>
          <w:kern w:val="22"/>
          <w:sz w:val="22"/>
          <w:szCs w:val="22"/>
          <w:lang w:val="en-GB"/>
        </w:rPr>
        <w:t>On April 29, 2016, Thomas Young, chief executive officer</w:t>
      </w:r>
      <w:r w:rsidR="00872FFC" w:rsidRPr="00627385">
        <w:rPr>
          <w:spacing w:val="-2"/>
          <w:kern w:val="22"/>
          <w:sz w:val="22"/>
          <w:szCs w:val="22"/>
          <w:lang w:val="en-GB"/>
        </w:rPr>
        <w:t xml:space="preserve"> (CEO)</w:t>
      </w:r>
      <w:r w:rsidRPr="00627385">
        <w:rPr>
          <w:spacing w:val="-2"/>
          <w:kern w:val="22"/>
          <w:sz w:val="22"/>
          <w:szCs w:val="22"/>
          <w:lang w:val="en-GB"/>
        </w:rPr>
        <w:t xml:space="preserve"> and chairman of Comfort Remote Site Services Ltd. (Comfort), received a request for proposal (RFP) for the Gregory Mine, an iron ore mine in Yukon, Canada. Comfort specialized in providing catering, housekeeping, and janitorial services to Canadian mines in the country’s remote regions. Given weak commodity prices and </w:t>
      </w:r>
      <w:r w:rsidR="00BA06C5" w:rsidRPr="00627385">
        <w:rPr>
          <w:spacing w:val="-2"/>
          <w:kern w:val="22"/>
          <w:sz w:val="22"/>
          <w:szCs w:val="22"/>
          <w:lang w:val="en-GB"/>
        </w:rPr>
        <w:t xml:space="preserve">the </w:t>
      </w:r>
      <w:r w:rsidRPr="00627385">
        <w:rPr>
          <w:spacing w:val="-2"/>
          <w:kern w:val="22"/>
          <w:sz w:val="22"/>
          <w:szCs w:val="22"/>
          <w:lang w:val="en-GB"/>
        </w:rPr>
        <w:t>pressure on the mining industry to cut costs, Young was wondering if this was the right time to bid on this request. With his retirement on the horizon, Young did not want the business to take unnecessary risks. A successful bid would have to reflect a profit for each of the business segments. Young sat down at his office desk</w:t>
      </w:r>
      <w:r w:rsidR="00FC017E" w:rsidRPr="00627385">
        <w:rPr>
          <w:spacing w:val="-2"/>
          <w:kern w:val="22"/>
          <w:sz w:val="22"/>
          <w:szCs w:val="22"/>
          <w:lang w:val="en-GB"/>
        </w:rPr>
        <w:t xml:space="preserve">, </w:t>
      </w:r>
      <w:r w:rsidRPr="00627385">
        <w:rPr>
          <w:spacing w:val="-2"/>
          <w:kern w:val="22"/>
          <w:sz w:val="22"/>
          <w:szCs w:val="22"/>
          <w:lang w:val="en-GB"/>
        </w:rPr>
        <w:t>opened a bottle of Perrier</w:t>
      </w:r>
      <w:r w:rsidR="00B21170" w:rsidRPr="00627385">
        <w:rPr>
          <w:spacing w:val="-2"/>
          <w:kern w:val="22"/>
          <w:sz w:val="22"/>
          <w:szCs w:val="22"/>
          <w:lang w:val="en-GB"/>
        </w:rPr>
        <w:t>,</w:t>
      </w:r>
      <w:r w:rsidR="00FC017E" w:rsidRPr="00627385">
        <w:rPr>
          <w:spacing w:val="-2"/>
          <w:kern w:val="22"/>
          <w:sz w:val="22"/>
          <w:szCs w:val="22"/>
          <w:lang w:val="en-GB"/>
        </w:rPr>
        <w:t xml:space="preserve"> and </w:t>
      </w:r>
      <w:r w:rsidR="00F26B7B" w:rsidRPr="00627385">
        <w:rPr>
          <w:spacing w:val="-2"/>
          <w:kern w:val="22"/>
          <w:sz w:val="22"/>
          <w:szCs w:val="22"/>
          <w:lang w:val="en-GB"/>
        </w:rPr>
        <w:t xml:space="preserve">set about working </w:t>
      </w:r>
      <w:r w:rsidRPr="00627385">
        <w:rPr>
          <w:spacing w:val="-2"/>
          <w:kern w:val="22"/>
          <w:sz w:val="22"/>
          <w:szCs w:val="22"/>
          <w:lang w:val="en-GB"/>
        </w:rPr>
        <w:t>through the numbers before deciding on whether to bid on the Gregory Mine RFP.</w:t>
      </w:r>
    </w:p>
    <w:p w14:paraId="35E7605B" w14:textId="77777777" w:rsidR="006B3BC4" w:rsidRPr="00627385" w:rsidRDefault="006B3BC4" w:rsidP="006B3BC4">
      <w:pPr>
        <w:jc w:val="both"/>
        <w:rPr>
          <w:spacing w:val="-1"/>
          <w:sz w:val="18"/>
          <w:szCs w:val="18"/>
          <w:lang w:val="en-GB"/>
        </w:rPr>
      </w:pPr>
    </w:p>
    <w:p w14:paraId="086842E7" w14:textId="77777777" w:rsidR="006B3BC4" w:rsidRPr="00627385" w:rsidRDefault="006B3BC4" w:rsidP="006B3BC4">
      <w:pPr>
        <w:jc w:val="both"/>
        <w:rPr>
          <w:spacing w:val="-1"/>
          <w:sz w:val="18"/>
          <w:szCs w:val="18"/>
          <w:lang w:val="en-GB"/>
        </w:rPr>
      </w:pPr>
    </w:p>
    <w:p w14:paraId="22DB421B" w14:textId="77777777" w:rsidR="006B3BC4" w:rsidRPr="00627385" w:rsidRDefault="006B3BC4" w:rsidP="006B3BC4">
      <w:pPr>
        <w:jc w:val="both"/>
        <w:rPr>
          <w:rFonts w:ascii="Arial" w:hAnsi="Arial"/>
          <w:b/>
          <w:caps/>
          <w:lang w:val="en-GB"/>
        </w:rPr>
      </w:pPr>
      <w:r w:rsidRPr="00627385">
        <w:rPr>
          <w:rFonts w:ascii="Arial" w:hAnsi="Arial"/>
          <w:b/>
          <w:caps/>
          <w:lang w:val="en-GB"/>
        </w:rPr>
        <w:t>THE MINING AND EXPLORATION INDUSTRY</w:t>
      </w:r>
    </w:p>
    <w:p w14:paraId="5083C366" w14:textId="77777777" w:rsidR="006B3BC4" w:rsidRPr="00627385" w:rsidRDefault="006B3BC4" w:rsidP="006B3BC4">
      <w:pPr>
        <w:jc w:val="both"/>
        <w:rPr>
          <w:spacing w:val="-1"/>
          <w:sz w:val="18"/>
          <w:szCs w:val="18"/>
          <w:lang w:val="en-GB"/>
        </w:rPr>
      </w:pPr>
    </w:p>
    <w:p w14:paraId="69EC05BB" w14:textId="18051299" w:rsidR="006B3BC4" w:rsidRPr="00627385" w:rsidRDefault="006B3BC4" w:rsidP="006B3BC4">
      <w:pPr>
        <w:jc w:val="both"/>
        <w:rPr>
          <w:spacing w:val="-6"/>
          <w:kern w:val="22"/>
          <w:sz w:val="22"/>
          <w:szCs w:val="22"/>
          <w:lang w:val="en-GB"/>
        </w:rPr>
      </w:pPr>
      <w:r w:rsidRPr="00627385">
        <w:rPr>
          <w:spacing w:val="-6"/>
          <w:kern w:val="22"/>
          <w:sz w:val="22"/>
          <w:szCs w:val="22"/>
          <w:lang w:val="en-GB"/>
        </w:rPr>
        <w:t xml:space="preserve">Mining and exploration contributed over </w:t>
      </w:r>
      <w:r w:rsidR="000C3C69" w:rsidRPr="00627385">
        <w:rPr>
          <w:spacing w:val="-6"/>
          <w:kern w:val="22"/>
          <w:sz w:val="22"/>
          <w:szCs w:val="22"/>
          <w:lang w:val="en-GB"/>
        </w:rPr>
        <w:t>CA</w:t>
      </w:r>
      <w:r w:rsidRPr="00627385">
        <w:rPr>
          <w:spacing w:val="-6"/>
          <w:kern w:val="22"/>
          <w:sz w:val="22"/>
          <w:szCs w:val="22"/>
          <w:lang w:val="en-GB"/>
        </w:rPr>
        <w:t>$153 billion,</w:t>
      </w:r>
      <w:r w:rsidR="000C3C69" w:rsidRPr="00627385">
        <w:rPr>
          <w:rStyle w:val="FootnoteReference"/>
          <w:spacing w:val="-6"/>
          <w:kern w:val="22"/>
          <w:sz w:val="22"/>
          <w:szCs w:val="22"/>
          <w:lang w:val="en-GB"/>
        </w:rPr>
        <w:footnoteReference w:id="1"/>
      </w:r>
      <w:r w:rsidRPr="00627385">
        <w:rPr>
          <w:spacing w:val="-6"/>
          <w:kern w:val="22"/>
          <w:sz w:val="22"/>
          <w:szCs w:val="22"/>
          <w:lang w:val="en-GB"/>
        </w:rPr>
        <w:t xml:space="preserve"> or 8.3 per cent of gross domestic product (GDP), to the Canadian economy in 2015.</w:t>
      </w:r>
      <w:r w:rsidRPr="00627385">
        <w:rPr>
          <w:spacing w:val="-6"/>
          <w:kern w:val="22"/>
          <w:sz w:val="22"/>
          <w:szCs w:val="22"/>
          <w:vertAlign w:val="superscript"/>
          <w:lang w:val="en-GB"/>
        </w:rPr>
        <w:footnoteReference w:id="2"/>
      </w:r>
      <w:r w:rsidRPr="00627385">
        <w:rPr>
          <w:spacing w:val="-6"/>
          <w:kern w:val="22"/>
          <w:sz w:val="22"/>
          <w:szCs w:val="22"/>
          <w:lang w:val="en-GB"/>
        </w:rPr>
        <w:t xml:space="preserve"> The mining industry was highly cyclical because companies typically increased exploration spending during periods of high commodity prices to replenish their depleting reserves. Mining operations included four main categories: iron ore (ferrous), precious metals (non</w:t>
      </w:r>
      <w:r w:rsidR="00D05CFD" w:rsidRPr="00627385">
        <w:rPr>
          <w:spacing w:val="-6"/>
          <w:kern w:val="22"/>
          <w:sz w:val="22"/>
          <w:szCs w:val="22"/>
          <w:lang w:val="en-GB"/>
        </w:rPr>
        <w:t>-</w:t>
      </w:r>
      <w:r w:rsidRPr="00627385">
        <w:rPr>
          <w:spacing w:val="-6"/>
          <w:kern w:val="22"/>
          <w:sz w:val="22"/>
          <w:szCs w:val="22"/>
          <w:lang w:val="en-GB"/>
        </w:rPr>
        <w:t>ferrous), minerals, and oil sands.</w:t>
      </w:r>
      <w:r w:rsidRPr="00627385">
        <w:rPr>
          <w:spacing w:val="-6"/>
          <w:kern w:val="22"/>
          <w:sz w:val="22"/>
          <w:szCs w:val="22"/>
          <w:vertAlign w:val="superscript"/>
          <w:lang w:val="en-GB"/>
        </w:rPr>
        <w:footnoteReference w:id="3"/>
      </w:r>
    </w:p>
    <w:p w14:paraId="1EA4C36F" w14:textId="77777777" w:rsidR="006B3BC4" w:rsidRPr="00627385" w:rsidRDefault="006B3BC4" w:rsidP="006B3BC4">
      <w:pPr>
        <w:jc w:val="both"/>
        <w:rPr>
          <w:spacing w:val="-1"/>
          <w:sz w:val="18"/>
          <w:szCs w:val="18"/>
          <w:lang w:val="en-GB"/>
        </w:rPr>
      </w:pPr>
    </w:p>
    <w:p w14:paraId="31EA2D67" w14:textId="77777777" w:rsidR="006B3BC4" w:rsidRPr="00627385" w:rsidRDefault="006B3BC4" w:rsidP="006B3BC4">
      <w:pPr>
        <w:jc w:val="both"/>
        <w:rPr>
          <w:spacing w:val="-1"/>
          <w:sz w:val="18"/>
          <w:szCs w:val="18"/>
          <w:lang w:val="en-GB"/>
        </w:rPr>
      </w:pPr>
    </w:p>
    <w:p w14:paraId="7FDC851B" w14:textId="77777777" w:rsidR="006B3BC4" w:rsidRPr="00627385" w:rsidRDefault="006B3BC4" w:rsidP="006B3BC4">
      <w:pPr>
        <w:jc w:val="both"/>
        <w:rPr>
          <w:rFonts w:ascii="Arial" w:hAnsi="Arial"/>
          <w:b/>
          <w:lang w:val="en-GB"/>
        </w:rPr>
      </w:pPr>
      <w:r w:rsidRPr="00627385">
        <w:rPr>
          <w:rFonts w:ascii="Arial" w:eastAsia="Calibri" w:hAnsi="Arial"/>
          <w:b/>
          <w:lang w:val="en-GB"/>
        </w:rPr>
        <w:t>Ferrous</w:t>
      </w:r>
      <w:r w:rsidRPr="00627385">
        <w:rPr>
          <w:rFonts w:ascii="Arial" w:hAnsi="Arial"/>
          <w:b/>
          <w:lang w:val="en-GB"/>
        </w:rPr>
        <w:t xml:space="preserve"> </w:t>
      </w:r>
      <w:r w:rsidRPr="00627385">
        <w:rPr>
          <w:rFonts w:ascii="Arial" w:eastAsia="Calibri" w:hAnsi="Arial"/>
          <w:b/>
          <w:lang w:val="en-GB"/>
        </w:rPr>
        <w:t>Mining</w:t>
      </w:r>
    </w:p>
    <w:p w14:paraId="49EB61F5" w14:textId="77777777" w:rsidR="006B3BC4" w:rsidRPr="00627385" w:rsidRDefault="006B3BC4" w:rsidP="006B3BC4">
      <w:pPr>
        <w:jc w:val="both"/>
        <w:rPr>
          <w:spacing w:val="-1"/>
          <w:sz w:val="18"/>
          <w:szCs w:val="18"/>
          <w:lang w:val="en-GB"/>
        </w:rPr>
      </w:pPr>
    </w:p>
    <w:p w14:paraId="6619C54D" w14:textId="2E9198E5" w:rsidR="006B3BC4" w:rsidRPr="00627385" w:rsidRDefault="006B3BC4" w:rsidP="006B3BC4">
      <w:pPr>
        <w:jc w:val="both"/>
        <w:rPr>
          <w:spacing w:val="-1"/>
          <w:sz w:val="22"/>
          <w:szCs w:val="22"/>
          <w:lang w:val="en-GB"/>
        </w:rPr>
      </w:pPr>
      <w:r w:rsidRPr="00627385">
        <w:rPr>
          <w:spacing w:val="-1"/>
          <w:sz w:val="22"/>
          <w:szCs w:val="22"/>
          <w:lang w:val="en-GB"/>
        </w:rPr>
        <w:t>Ferrous mining was the extraction of iron ore. Iron ore was a primary raw material for steel production; therefore, its price was heavily dependent on global demand for steel. Iron ore was also used by other industries such as cement production, lead refining, and paint manufacturing. Canadian iron ore, due to its high-quality deposits, was in high demand in the international market. Overall ferrous mining revenues were $3.4 billion in 2015, 90 per cent of which was exported.</w:t>
      </w:r>
      <w:r w:rsidRPr="00627385">
        <w:rPr>
          <w:spacing w:val="-1"/>
          <w:sz w:val="22"/>
          <w:szCs w:val="22"/>
          <w:vertAlign w:val="superscript"/>
          <w:lang w:val="en-GB"/>
        </w:rPr>
        <w:footnoteReference w:id="4"/>
      </w:r>
      <w:r w:rsidRPr="00627385">
        <w:rPr>
          <w:spacing w:val="-1"/>
          <w:sz w:val="22"/>
          <w:szCs w:val="22"/>
          <w:lang w:val="en-GB"/>
        </w:rPr>
        <w:t xml:space="preserve"> As with other commodities, iron ore was bought </w:t>
      </w:r>
      <w:r w:rsidRPr="00627385">
        <w:rPr>
          <w:spacing w:val="-1"/>
          <w:sz w:val="22"/>
          <w:szCs w:val="22"/>
          <w:lang w:val="en-GB"/>
        </w:rPr>
        <w:lastRenderedPageBreak/>
        <w:t>and sold in U.S. dollars. The Canadian dollar had fluctuated widely to the U.S. dollar over the past decade and had fallen over 20 per cent since January 2014.</w:t>
      </w:r>
      <w:r w:rsidRPr="00627385">
        <w:rPr>
          <w:spacing w:val="-1"/>
          <w:sz w:val="22"/>
          <w:szCs w:val="22"/>
          <w:vertAlign w:val="superscript"/>
          <w:lang w:val="en-GB"/>
        </w:rPr>
        <w:footnoteReference w:id="5"/>
      </w:r>
    </w:p>
    <w:p w14:paraId="05B2F7E3" w14:textId="77777777" w:rsidR="006B3BC4" w:rsidRPr="00627385" w:rsidRDefault="006B3BC4" w:rsidP="006B3BC4">
      <w:pPr>
        <w:jc w:val="both"/>
        <w:rPr>
          <w:spacing w:val="-1"/>
          <w:sz w:val="18"/>
          <w:szCs w:val="18"/>
          <w:lang w:val="en-GB"/>
        </w:rPr>
      </w:pPr>
    </w:p>
    <w:p w14:paraId="3DDC7BEF" w14:textId="22A350C0" w:rsidR="006B3BC4" w:rsidRPr="00627385" w:rsidRDefault="006B3BC4" w:rsidP="006B3BC4">
      <w:pPr>
        <w:jc w:val="both"/>
        <w:rPr>
          <w:spacing w:val="-2"/>
          <w:kern w:val="22"/>
          <w:sz w:val="22"/>
          <w:szCs w:val="22"/>
          <w:lang w:val="en-GB"/>
        </w:rPr>
      </w:pPr>
      <w:r w:rsidRPr="00627385">
        <w:rPr>
          <w:spacing w:val="-2"/>
          <w:kern w:val="22"/>
          <w:sz w:val="22"/>
          <w:szCs w:val="22"/>
          <w:lang w:val="en-GB"/>
        </w:rPr>
        <w:t>The demand for iron ore and the prices for iron had been volatile throughout the years due to an uncertain global economy. China’s rapid urbanization and demand for steel had been a factor in the demand for iron ore; in fact, China was responsible for 65 per cent of global iron ore imports in 2014.</w:t>
      </w:r>
      <w:r w:rsidRPr="00627385">
        <w:rPr>
          <w:spacing w:val="-2"/>
          <w:kern w:val="22"/>
          <w:sz w:val="22"/>
          <w:szCs w:val="22"/>
          <w:vertAlign w:val="superscript"/>
          <w:lang w:val="en-GB"/>
        </w:rPr>
        <w:footnoteReference w:id="6"/>
      </w:r>
      <w:r w:rsidRPr="00627385">
        <w:rPr>
          <w:spacing w:val="-2"/>
          <w:kern w:val="22"/>
          <w:sz w:val="22"/>
          <w:szCs w:val="22"/>
          <w:lang w:val="en-GB"/>
        </w:rPr>
        <w:t xml:space="preserve"> In 2016 and 2017, China’s GDP was projected to grow 6.3 per cent and </w:t>
      </w:r>
      <w:r w:rsidR="00ED179B" w:rsidRPr="00627385">
        <w:rPr>
          <w:spacing w:val="-2"/>
          <w:kern w:val="22"/>
          <w:sz w:val="22"/>
          <w:szCs w:val="22"/>
          <w:lang w:val="en-GB"/>
        </w:rPr>
        <w:t>6</w:t>
      </w:r>
      <w:r w:rsidRPr="00627385">
        <w:rPr>
          <w:spacing w:val="-2"/>
          <w:kern w:val="22"/>
          <w:sz w:val="22"/>
          <w:szCs w:val="22"/>
          <w:lang w:val="en-GB"/>
        </w:rPr>
        <w:t xml:space="preserve"> per cent, respectively, compared to an annualized growth rate of 7.7 per cent the previous four years.</w:t>
      </w:r>
      <w:r w:rsidRPr="00627385">
        <w:rPr>
          <w:spacing w:val="-2"/>
          <w:kern w:val="22"/>
          <w:sz w:val="22"/>
          <w:szCs w:val="22"/>
          <w:vertAlign w:val="superscript"/>
          <w:lang w:val="en-GB"/>
        </w:rPr>
        <w:footnoteReference w:id="7"/>
      </w:r>
      <w:r w:rsidRPr="00627385">
        <w:rPr>
          <w:spacing w:val="-2"/>
          <w:kern w:val="22"/>
          <w:sz w:val="22"/>
          <w:szCs w:val="22"/>
          <w:lang w:val="en-GB"/>
        </w:rPr>
        <w:t xml:space="preserve"> During these same four years, iron ore prices had fallen by 63 per cent. The Canadian iron ore industry had contracted 10.7 per cent annually between 2010 and 2015.</w:t>
      </w:r>
    </w:p>
    <w:p w14:paraId="4E8B49B4" w14:textId="77777777" w:rsidR="006B3BC4" w:rsidRPr="00627385" w:rsidRDefault="006B3BC4" w:rsidP="006B3BC4">
      <w:pPr>
        <w:jc w:val="both"/>
        <w:rPr>
          <w:spacing w:val="-1"/>
          <w:sz w:val="18"/>
          <w:szCs w:val="18"/>
          <w:lang w:val="en-GB"/>
        </w:rPr>
      </w:pPr>
    </w:p>
    <w:p w14:paraId="50975BFA" w14:textId="77777777" w:rsidR="006B3BC4" w:rsidRPr="00627385" w:rsidRDefault="006B3BC4" w:rsidP="006B3BC4">
      <w:pPr>
        <w:jc w:val="both"/>
        <w:rPr>
          <w:spacing w:val="-1"/>
          <w:sz w:val="18"/>
          <w:szCs w:val="18"/>
          <w:lang w:val="en-GB"/>
        </w:rPr>
      </w:pPr>
    </w:p>
    <w:p w14:paraId="59B05AA3" w14:textId="6BF108FD" w:rsidR="006B3BC4" w:rsidRPr="00627385" w:rsidRDefault="006B3BC4" w:rsidP="006B3BC4">
      <w:pPr>
        <w:jc w:val="both"/>
        <w:rPr>
          <w:rFonts w:ascii="Arial" w:hAnsi="Arial"/>
          <w:b/>
          <w:lang w:val="en-GB"/>
        </w:rPr>
      </w:pPr>
      <w:r w:rsidRPr="00627385">
        <w:rPr>
          <w:rFonts w:ascii="Arial" w:hAnsi="Arial"/>
          <w:b/>
          <w:lang w:val="en-GB"/>
        </w:rPr>
        <w:t>Non</w:t>
      </w:r>
      <w:r w:rsidR="000A5A49" w:rsidRPr="00627385">
        <w:rPr>
          <w:rFonts w:ascii="Arial" w:hAnsi="Arial"/>
          <w:b/>
          <w:lang w:val="en-GB"/>
        </w:rPr>
        <w:t>-</w:t>
      </w:r>
      <w:r w:rsidRPr="00627385">
        <w:rPr>
          <w:rFonts w:ascii="Arial" w:hAnsi="Arial"/>
          <w:b/>
          <w:lang w:val="en-GB"/>
        </w:rPr>
        <w:t>ferrous Mining</w:t>
      </w:r>
    </w:p>
    <w:p w14:paraId="5D9210BB" w14:textId="77777777" w:rsidR="006B3BC4" w:rsidRPr="00627385" w:rsidRDefault="006B3BC4" w:rsidP="006B3BC4">
      <w:pPr>
        <w:jc w:val="both"/>
        <w:rPr>
          <w:spacing w:val="-1"/>
          <w:sz w:val="18"/>
          <w:szCs w:val="18"/>
          <w:lang w:val="en-GB"/>
        </w:rPr>
      </w:pPr>
    </w:p>
    <w:p w14:paraId="4798B6E4" w14:textId="2441D29B" w:rsidR="006B3BC4" w:rsidRPr="00627385" w:rsidRDefault="000A5A49" w:rsidP="006B3BC4">
      <w:pPr>
        <w:jc w:val="both"/>
        <w:rPr>
          <w:spacing w:val="-1"/>
          <w:sz w:val="22"/>
          <w:szCs w:val="22"/>
          <w:lang w:val="en-GB"/>
        </w:rPr>
      </w:pPr>
      <w:r w:rsidRPr="00627385">
        <w:rPr>
          <w:spacing w:val="-1"/>
          <w:sz w:val="22"/>
          <w:szCs w:val="22"/>
          <w:lang w:val="en-GB"/>
        </w:rPr>
        <w:t>Non-ferrous</w:t>
      </w:r>
      <w:r w:rsidR="006B3BC4" w:rsidRPr="00627385">
        <w:rPr>
          <w:spacing w:val="-1"/>
          <w:sz w:val="22"/>
          <w:szCs w:val="22"/>
          <w:lang w:val="en-GB"/>
        </w:rPr>
        <w:t xml:space="preserve"> mining was the extraction of rare earth metals such as gold, silver, copper, and zinc. These materials were processed and used in jewel</w:t>
      </w:r>
      <w:r w:rsidR="00501C06" w:rsidRPr="00627385">
        <w:rPr>
          <w:spacing w:val="-1"/>
          <w:sz w:val="22"/>
          <w:szCs w:val="22"/>
          <w:lang w:val="en-GB"/>
        </w:rPr>
        <w:t>le</w:t>
      </w:r>
      <w:r w:rsidR="006B3BC4" w:rsidRPr="00627385">
        <w:rPr>
          <w:spacing w:val="-1"/>
          <w:sz w:val="22"/>
          <w:szCs w:val="22"/>
          <w:lang w:val="en-GB"/>
        </w:rPr>
        <w:t xml:space="preserve">ry, alloys, and other industrial applications. Precious metals prices were also dependent on global demand and economic growth. Due to the country’s rich precious metal deposits, Canada accounted for 18 per cent of global </w:t>
      </w:r>
      <w:r w:rsidRPr="00627385">
        <w:rPr>
          <w:spacing w:val="-1"/>
          <w:sz w:val="22"/>
          <w:szCs w:val="22"/>
          <w:lang w:val="en-GB"/>
        </w:rPr>
        <w:t>non-ferrous</w:t>
      </w:r>
      <w:r w:rsidR="006B3BC4" w:rsidRPr="00627385">
        <w:rPr>
          <w:spacing w:val="-1"/>
          <w:sz w:val="22"/>
          <w:szCs w:val="22"/>
          <w:lang w:val="en-GB"/>
        </w:rPr>
        <w:t xml:space="preserve"> exploration spending in 2012. This industry generated revenues of $15.9 billion in 2015.</w:t>
      </w:r>
      <w:r w:rsidR="006B3BC4" w:rsidRPr="00627385">
        <w:rPr>
          <w:spacing w:val="-1"/>
          <w:sz w:val="22"/>
          <w:szCs w:val="22"/>
          <w:vertAlign w:val="superscript"/>
          <w:lang w:val="en-GB"/>
        </w:rPr>
        <w:footnoteReference w:id="8"/>
      </w:r>
    </w:p>
    <w:p w14:paraId="48AD2451" w14:textId="77777777" w:rsidR="006B3BC4" w:rsidRPr="00627385" w:rsidRDefault="006B3BC4" w:rsidP="006B3BC4">
      <w:pPr>
        <w:jc w:val="both"/>
        <w:rPr>
          <w:spacing w:val="-1"/>
          <w:sz w:val="18"/>
          <w:szCs w:val="18"/>
          <w:lang w:val="en-GB"/>
        </w:rPr>
      </w:pPr>
    </w:p>
    <w:p w14:paraId="355708F3" w14:textId="697738AB" w:rsidR="006B3BC4" w:rsidRPr="00627385" w:rsidRDefault="006B3BC4" w:rsidP="006B3BC4">
      <w:pPr>
        <w:jc w:val="both"/>
        <w:rPr>
          <w:spacing w:val="-1"/>
          <w:sz w:val="22"/>
          <w:szCs w:val="22"/>
          <w:lang w:val="en-GB"/>
        </w:rPr>
      </w:pPr>
      <w:r w:rsidRPr="00627385">
        <w:rPr>
          <w:spacing w:val="-1"/>
          <w:sz w:val="22"/>
          <w:szCs w:val="22"/>
          <w:lang w:val="en-GB"/>
        </w:rPr>
        <w:t>Global economic uncertainty, a weak Chinese demand for precious metals, and a strong U.S. dollar had lowered precious metal prices; however, because precious metals like gold and silver were purchased as hedges during uncertainty, their prices had not decreased as much as iron ore prices.</w:t>
      </w:r>
      <w:r w:rsidRPr="00627385">
        <w:rPr>
          <w:spacing w:val="-1"/>
          <w:sz w:val="22"/>
          <w:szCs w:val="22"/>
          <w:vertAlign w:val="superscript"/>
          <w:lang w:val="en-GB"/>
        </w:rPr>
        <w:footnoteReference w:id="9"/>
      </w:r>
      <w:r w:rsidRPr="00627385">
        <w:rPr>
          <w:spacing w:val="-1"/>
          <w:sz w:val="22"/>
          <w:szCs w:val="22"/>
          <w:lang w:val="en-GB"/>
        </w:rPr>
        <w:t xml:space="preserve"> The </w:t>
      </w:r>
      <w:r w:rsidR="00501C06" w:rsidRPr="00627385">
        <w:rPr>
          <w:spacing w:val="-1"/>
          <w:sz w:val="22"/>
          <w:szCs w:val="22"/>
          <w:lang w:val="en-GB"/>
        </w:rPr>
        <w:t>Standard &amp; Poor’s (</w:t>
      </w:r>
      <w:r w:rsidRPr="00627385">
        <w:rPr>
          <w:spacing w:val="-1"/>
          <w:sz w:val="22"/>
          <w:szCs w:val="22"/>
          <w:lang w:val="en-GB"/>
        </w:rPr>
        <w:t>S&amp;P</w:t>
      </w:r>
      <w:r w:rsidR="00501C06" w:rsidRPr="00627385">
        <w:rPr>
          <w:spacing w:val="-1"/>
          <w:sz w:val="22"/>
          <w:szCs w:val="22"/>
          <w:lang w:val="en-GB"/>
        </w:rPr>
        <w:t>)</w:t>
      </w:r>
      <w:r w:rsidRPr="00627385">
        <w:rPr>
          <w:spacing w:val="-1"/>
          <w:sz w:val="22"/>
          <w:szCs w:val="22"/>
          <w:lang w:val="en-GB"/>
        </w:rPr>
        <w:t xml:space="preserve"> Precious Metals index, a benchmark that tracked the price </w:t>
      </w:r>
      <w:r w:rsidR="003206F2" w:rsidRPr="00627385">
        <w:rPr>
          <w:spacing w:val="-1"/>
          <w:sz w:val="22"/>
          <w:szCs w:val="22"/>
          <w:lang w:val="en-GB"/>
        </w:rPr>
        <w:t xml:space="preserve">of </w:t>
      </w:r>
      <w:r w:rsidRPr="00627385">
        <w:rPr>
          <w:spacing w:val="-1"/>
          <w:sz w:val="22"/>
          <w:szCs w:val="22"/>
          <w:lang w:val="en-GB"/>
        </w:rPr>
        <w:t>a basket of precious metals in U.S. dollars, fell by approximately 18 per cent between 2011 and 2016.</w:t>
      </w:r>
      <w:r w:rsidRPr="00627385">
        <w:rPr>
          <w:spacing w:val="-1"/>
          <w:sz w:val="22"/>
          <w:szCs w:val="22"/>
          <w:vertAlign w:val="superscript"/>
          <w:lang w:val="en-GB"/>
        </w:rPr>
        <w:footnoteReference w:id="10"/>
      </w:r>
    </w:p>
    <w:p w14:paraId="66FF1DBA" w14:textId="77777777" w:rsidR="006B3BC4" w:rsidRPr="00627385" w:rsidRDefault="006B3BC4" w:rsidP="006B3BC4">
      <w:pPr>
        <w:jc w:val="both"/>
        <w:rPr>
          <w:spacing w:val="-1"/>
          <w:sz w:val="18"/>
          <w:szCs w:val="18"/>
          <w:lang w:val="en-GB"/>
        </w:rPr>
      </w:pPr>
    </w:p>
    <w:p w14:paraId="64246566" w14:textId="77777777" w:rsidR="006B3BC4" w:rsidRPr="00627385" w:rsidRDefault="006B3BC4" w:rsidP="006B3BC4">
      <w:pPr>
        <w:jc w:val="both"/>
        <w:rPr>
          <w:spacing w:val="-1"/>
          <w:sz w:val="18"/>
          <w:szCs w:val="18"/>
          <w:lang w:val="en-GB"/>
        </w:rPr>
      </w:pPr>
    </w:p>
    <w:p w14:paraId="6352EB6B" w14:textId="77777777" w:rsidR="006B3BC4" w:rsidRPr="00627385" w:rsidRDefault="006B3BC4" w:rsidP="006B3BC4">
      <w:pPr>
        <w:jc w:val="both"/>
        <w:rPr>
          <w:rFonts w:ascii="Arial" w:hAnsi="Arial"/>
          <w:b/>
          <w:lang w:val="en-GB"/>
        </w:rPr>
      </w:pPr>
      <w:r w:rsidRPr="00627385">
        <w:rPr>
          <w:rFonts w:ascii="Arial" w:hAnsi="Arial"/>
          <w:b/>
          <w:lang w:val="en-GB"/>
        </w:rPr>
        <w:t>Minerals</w:t>
      </w:r>
    </w:p>
    <w:p w14:paraId="7F1E6140" w14:textId="77777777" w:rsidR="006B3BC4" w:rsidRPr="00627385" w:rsidRDefault="006B3BC4" w:rsidP="006B3BC4">
      <w:pPr>
        <w:jc w:val="both"/>
        <w:rPr>
          <w:spacing w:val="-1"/>
          <w:sz w:val="18"/>
          <w:szCs w:val="18"/>
          <w:lang w:val="en-GB"/>
        </w:rPr>
      </w:pPr>
    </w:p>
    <w:p w14:paraId="4B85DE58" w14:textId="77777777" w:rsidR="006B3BC4" w:rsidRPr="00627385" w:rsidRDefault="006B3BC4" w:rsidP="006B3BC4">
      <w:pPr>
        <w:jc w:val="both"/>
        <w:rPr>
          <w:spacing w:val="-1"/>
          <w:sz w:val="22"/>
          <w:szCs w:val="22"/>
          <w:lang w:val="en-GB"/>
        </w:rPr>
      </w:pPr>
      <w:r w:rsidRPr="00627385">
        <w:rPr>
          <w:spacing w:val="-1"/>
          <w:sz w:val="22"/>
          <w:szCs w:val="22"/>
          <w:lang w:val="en-GB"/>
        </w:rPr>
        <w:t>This industry involved the extraction of diamonds, potash, salt, peat, and gypsum. These natural resources had numerous industrial and commercial applications. Despite weakness in other commodity-related industries and the weaker Canadian dollar, increased fertilizer production and downstream manufacturing demand helped to offset weaker mineral prices. As a result, the mineral mining industry grew by 0.9 per cent in 2015. Revenues were $11.3 billion in the same year.</w:t>
      </w:r>
      <w:r w:rsidRPr="00627385">
        <w:rPr>
          <w:spacing w:val="-1"/>
          <w:sz w:val="22"/>
          <w:szCs w:val="22"/>
          <w:vertAlign w:val="superscript"/>
          <w:lang w:val="en-GB"/>
        </w:rPr>
        <w:footnoteReference w:id="11"/>
      </w:r>
    </w:p>
    <w:p w14:paraId="69AFA6D0" w14:textId="77777777" w:rsidR="006B3BC4" w:rsidRPr="00627385" w:rsidRDefault="006B3BC4" w:rsidP="006B3BC4">
      <w:pPr>
        <w:jc w:val="both"/>
        <w:rPr>
          <w:spacing w:val="-1"/>
          <w:sz w:val="18"/>
          <w:szCs w:val="18"/>
          <w:lang w:val="en-GB"/>
        </w:rPr>
      </w:pPr>
    </w:p>
    <w:p w14:paraId="129F7965" w14:textId="77777777" w:rsidR="006B3BC4" w:rsidRPr="00627385" w:rsidRDefault="006B3BC4" w:rsidP="006B3BC4">
      <w:pPr>
        <w:jc w:val="both"/>
        <w:rPr>
          <w:spacing w:val="-1"/>
          <w:sz w:val="18"/>
          <w:szCs w:val="18"/>
          <w:lang w:val="en-GB"/>
        </w:rPr>
      </w:pPr>
    </w:p>
    <w:p w14:paraId="0B00C686" w14:textId="77777777" w:rsidR="006B3BC4" w:rsidRPr="00627385" w:rsidRDefault="006B3BC4" w:rsidP="006B3BC4">
      <w:pPr>
        <w:jc w:val="both"/>
        <w:rPr>
          <w:rFonts w:ascii="Arial" w:hAnsi="Arial"/>
          <w:b/>
          <w:lang w:val="en-GB"/>
        </w:rPr>
      </w:pPr>
      <w:r w:rsidRPr="00627385">
        <w:rPr>
          <w:rFonts w:ascii="Arial" w:hAnsi="Arial"/>
          <w:b/>
          <w:lang w:val="en-GB"/>
        </w:rPr>
        <w:t>Oil Sands</w:t>
      </w:r>
    </w:p>
    <w:p w14:paraId="37CCCA50" w14:textId="77777777" w:rsidR="006B3BC4" w:rsidRPr="00627385" w:rsidRDefault="006B3BC4" w:rsidP="006B3BC4">
      <w:pPr>
        <w:jc w:val="both"/>
        <w:rPr>
          <w:spacing w:val="-1"/>
          <w:sz w:val="18"/>
          <w:szCs w:val="18"/>
          <w:lang w:val="en-GB"/>
        </w:rPr>
      </w:pPr>
    </w:p>
    <w:p w14:paraId="467A2B6A" w14:textId="0C394D24" w:rsidR="006B3BC4" w:rsidRPr="00627385" w:rsidRDefault="006B3BC4" w:rsidP="006B3BC4">
      <w:pPr>
        <w:jc w:val="both"/>
        <w:rPr>
          <w:spacing w:val="-1"/>
          <w:sz w:val="22"/>
          <w:szCs w:val="22"/>
          <w:lang w:val="en-GB"/>
        </w:rPr>
      </w:pPr>
      <w:r w:rsidRPr="00627385">
        <w:rPr>
          <w:spacing w:val="-1"/>
          <w:sz w:val="22"/>
          <w:szCs w:val="22"/>
          <w:lang w:val="en-GB"/>
        </w:rPr>
        <w:t>This category included oil and gas extraction. Canada had the third</w:t>
      </w:r>
      <w:r w:rsidR="00CC3830" w:rsidRPr="00627385">
        <w:rPr>
          <w:spacing w:val="-1"/>
          <w:sz w:val="22"/>
          <w:szCs w:val="22"/>
          <w:lang w:val="en-GB"/>
        </w:rPr>
        <w:t>-</w:t>
      </w:r>
      <w:r w:rsidRPr="00627385">
        <w:rPr>
          <w:spacing w:val="-1"/>
          <w:sz w:val="22"/>
          <w:szCs w:val="22"/>
          <w:lang w:val="en-GB"/>
        </w:rPr>
        <w:t>largest proven oil reserves in the world, after Saudi Arabia and Venezuela. One active region of oil production was Alberta</w:t>
      </w:r>
      <w:r w:rsidR="00CC3830" w:rsidRPr="00627385">
        <w:rPr>
          <w:spacing w:val="-1"/>
          <w:sz w:val="22"/>
          <w:szCs w:val="22"/>
          <w:lang w:val="en-GB"/>
        </w:rPr>
        <w:t>’s</w:t>
      </w:r>
      <w:r w:rsidRPr="00627385">
        <w:rPr>
          <w:spacing w:val="-1"/>
          <w:sz w:val="22"/>
          <w:szCs w:val="22"/>
          <w:lang w:val="en-GB"/>
        </w:rPr>
        <w:t xml:space="preserve"> oil sands. Crude oil prices peaked around US$106/barrel in June 2014 and fell to a low of approximately US$26/barrel in January 2016.</w:t>
      </w:r>
      <w:r w:rsidRPr="00627385">
        <w:rPr>
          <w:spacing w:val="-1"/>
          <w:sz w:val="22"/>
          <w:szCs w:val="22"/>
          <w:vertAlign w:val="superscript"/>
          <w:lang w:val="en-GB"/>
        </w:rPr>
        <w:footnoteReference w:id="12"/>
      </w:r>
      <w:r w:rsidRPr="00627385">
        <w:rPr>
          <w:spacing w:val="-1"/>
          <w:sz w:val="22"/>
          <w:szCs w:val="22"/>
          <w:lang w:val="en-GB"/>
        </w:rPr>
        <w:t xml:space="preserve"> Due to the relatively higher extraction costs of oil sands compared to conventional oil wells, a number </w:t>
      </w:r>
      <w:r w:rsidRPr="00627385">
        <w:rPr>
          <w:spacing w:val="-1"/>
          <w:sz w:val="22"/>
          <w:szCs w:val="22"/>
          <w:lang w:val="en-GB"/>
        </w:rPr>
        <w:lastRenderedPageBreak/>
        <w:t>of oil-sand</w:t>
      </w:r>
      <w:r w:rsidR="004746A5" w:rsidRPr="00627385">
        <w:rPr>
          <w:spacing w:val="-1"/>
          <w:sz w:val="22"/>
          <w:szCs w:val="22"/>
          <w:lang w:val="en-GB"/>
        </w:rPr>
        <w:t>s</w:t>
      </w:r>
      <w:r w:rsidRPr="00627385">
        <w:rPr>
          <w:spacing w:val="-1"/>
          <w:sz w:val="22"/>
          <w:szCs w:val="22"/>
          <w:lang w:val="en-GB"/>
        </w:rPr>
        <w:t xml:space="preserve"> projects operated at or close to a loss.</w:t>
      </w:r>
      <w:r w:rsidRPr="00627385">
        <w:rPr>
          <w:spacing w:val="-1"/>
          <w:sz w:val="22"/>
          <w:szCs w:val="22"/>
          <w:vertAlign w:val="superscript"/>
          <w:lang w:val="en-GB"/>
        </w:rPr>
        <w:footnoteReference w:id="13"/>
      </w:r>
      <w:r w:rsidRPr="00627385">
        <w:rPr>
          <w:spacing w:val="-1"/>
          <w:sz w:val="22"/>
          <w:szCs w:val="22"/>
          <w:lang w:val="en-GB"/>
        </w:rPr>
        <w:t xml:space="preserve"> Canadian crude oil revenues had fallen by 31.9 per cent in 2015. Revenues were $103.4 billion in this same year. It was projected that revenues would decline by an additional 2.9 per cent in 2016.</w:t>
      </w:r>
      <w:r w:rsidRPr="00627385">
        <w:rPr>
          <w:spacing w:val="-1"/>
          <w:sz w:val="22"/>
          <w:szCs w:val="22"/>
          <w:vertAlign w:val="superscript"/>
          <w:lang w:val="en-GB"/>
        </w:rPr>
        <w:footnoteReference w:id="14"/>
      </w:r>
    </w:p>
    <w:p w14:paraId="57E05EDE" w14:textId="77777777" w:rsidR="006B3BC4" w:rsidRPr="00627385" w:rsidRDefault="006B3BC4" w:rsidP="006B3BC4">
      <w:pPr>
        <w:jc w:val="both"/>
        <w:rPr>
          <w:spacing w:val="-1"/>
          <w:sz w:val="18"/>
          <w:szCs w:val="18"/>
          <w:lang w:val="en-GB"/>
        </w:rPr>
      </w:pPr>
    </w:p>
    <w:p w14:paraId="55A450ED" w14:textId="0397F95C" w:rsidR="006B3BC4" w:rsidRPr="00627385" w:rsidRDefault="006B3BC4" w:rsidP="006B3BC4">
      <w:pPr>
        <w:jc w:val="both"/>
        <w:rPr>
          <w:spacing w:val="-1"/>
          <w:sz w:val="22"/>
          <w:szCs w:val="22"/>
          <w:lang w:val="en-GB"/>
        </w:rPr>
      </w:pPr>
      <w:r w:rsidRPr="00627385">
        <w:rPr>
          <w:spacing w:val="-1"/>
          <w:sz w:val="22"/>
          <w:szCs w:val="22"/>
          <w:lang w:val="en-GB"/>
        </w:rPr>
        <w:t xml:space="preserve">In May 2016, a wildfire spread through Fort </w:t>
      </w:r>
      <w:proofErr w:type="spellStart"/>
      <w:r w:rsidRPr="00627385">
        <w:rPr>
          <w:spacing w:val="-1"/>
          <w:sz w:val="22"/>
          <w:szCs w:val="22"/>
          <w:lang w:val="en-GB"/>
        </w:rPr>
        <w:t>McMurrary</w:t>
      </w:r>
      <w:proofErr w:type="spellEnd"/>
      <w:r w:rsidRPr="00627385">
        <w:rPr>
          <w:spacing w:val="-1"/>
          <w:sz w:val="22"/>
          <w:szCs w:val="22"/>
          <w:lang w:val="en-GB"/>
        </w:rPr>
        <w:t>, Alberta, a key oil production town in the province. Th</w:t>
      </w:r>
      <w:r w:rsidR="003206F2" w:rsidRPr="00627385">
        <w:rPr>
          <w:spacing w:val="-1"/>
          <w:sz w:val="22"/>
          <w:szCs w:val="22"/>
          <w:lang w:val="en-GB"/>
        </w:rPr>
        <w:t>e</w:t>
      </w:r>
      <w:r w:rsidRPr="00627385">
        <w:rPr>
          <w:spacing w:val="-1"/>
          <w:sz w:val="22"/>
          <w:szCs w:val="22"/>
          <w:lang w:val="en-GB"/>
        </w:rPr>
        <w:t xml:space="preserve"> wildfire caused over $9 billion in damages and burned through over 400,000 hectares of forest. It also resulted in shutdowns of nearby oil sites and over $1 billion in lost oil production.</w:t>
      </w:r>
    </w:p>
    <w:p w14:paraId="1BC16B9E" w14:textId="77777777" w:rsidR="006B3BC4" w:rsidRPr="00627385" w:rsidRDefault="006B3BC4" w:rsidP="006B3BC4">
      <w:pPr>
        <w:jc w:val="both"/>
        <w:rPr>
          <w:spacing w:val="-1"/>
          <w:sz w:val="18"/>
          <w:szCs w:val="18"/>
          <w:lang w:val="en-GB"/>
        </w:rPr>
      </w:pPr>
    </w:p>
    <w:p w14:paraId="664A45DE" w14:textId="77777777" w:rsidR="006B3BC4" w:rsidRPr="00627385" w:rsidRDefault="006B3BC4" w:rsidP="006B3BC4">
      <w:pPr>
        <w:jc w:val="both"/>
        <w:rPr>
          <w:spacing w:val="-1"/>
          <w:sz w:val="18"/>
          <w:szCs w:val="18"/>
          <w:lang w:val="en-GB"/>
        </w:rPr>
      </w:pPr>
    </w:p>
    <w:p w14:paraId="4A673BB3" w14:textId="7845FA10" w:rsidR="006B3BC4" w:rsidRPr="00627385" w:rsidRDefault="006B3BC4" w:rsidP="006B3BC4">
      <w:pPr>
        <w:jc w:val="both"/>
        <w:rPr>
          <w:rFonts w:ascii="Arial" w:hAnsi="Arial"/>
          <w:b/>
          <w:caps/>
          <w:lang w:val="en-GB"/>
        </w:rPr>
      </w:pPr>
      <w:r w:rsidRPr="00627385">
        <w:rPr>
          <w:rFonts w:ascii="Arial" w:hAnsi="Arial"/>
          <w:b/>
          <w:caps/>
          <w:lang w:val="en-GB"/>
        </w:rPr>
        <w:t>THE REMOTE</w:t>
      </w:r>
      <w:r w:rsidR="0083707B" w:rsidRPr="00627385">
        <w:rPr>
          <w:rFonts w:ascii="Arial" w:hAnsi="Arial"/>
          <w:b/>
          <w:caps/>
          <w:lang w:val="en-GB"/>
        </w:rPr>
        <w:t>-</w:t>
      </w:r>
      <w:r w:rsidRPr="00627385">
        <w:rPr>
          <w:rFonts w:ascii="Arial" w:hAnsi="Arial"/>
          <w:b/>
          <w:caps/>
          <w:lang w:val="en-GB"/>
        </w:rPr>
        <w:t>SITE FOOD SERVICE INDUSTRY</w:t>
      </w:r>
    </w:p>
    <w:p w14:paraId="756A2B00" w14:textId="77777777" w:rsidR="006B3BC4" w:rsidRPr="00627385" w:rsidRDefault="006B3BC4" w:rsidP="006B3BC4">
      <w:pPr>
        <w:jc w:val="both"/>
        <w:rPr>
          <w:spacing w:val="-1"/>
          <w:sz w:val="18"/>
          <w:szCs w:val="18"/>
          <w:lang w:val="en-GB"/>
        </w:rPr>
      </w:pPr>
    </w:p>
    <w:p w14:paraId="05008B33" w14:textId="77777777" w:rsidR="006B3BC4" w:rsidRPr="00627385" w:rsidRDefault="006B3BC4" w:rsidP="006B3BC4">
      <w:pPr>
        <w:jc w:val="both"/>
        <w:rPr>
          <w:rFonts w:ascii="Arial" w:hAnsi="Arial"/>
          <w:b/>
          <w:lang w:val="en-GB"/>
        </w:rPr>
      </w:pPr>
      <w:r w:rsidRPr="00627385">
        <w:rPr>
          <w:rFonts w:ascii="Arial" w:hAnsi="Arial"/>
          <w:b/>
          <w:lang w:val="en-GB"/>
        </w:rPr>
        <w:t>Background</w:t>
      </w:r>
    </w:p>
    <w:p w14:paraId="00E8E219" w14:textId="77777777" w:rsidR="006B3BC4" w:rsidRPr="00627385" w:rsidRDefault="006B3BC4" w:rsidP="006B3BC4">
      <w:pPr>
        <w:jc w:val="both"/>
        <w:rPr>
          <w:spacing w:val="-1"/>
          <w:sz w:val="18"/>
          <w:szCs w:val="18"/>
          <w:lang w:val="en-GB"/>
        </w:rPr>
      </w:pPr>
    </w:p>
    <w:p w14:paraId="01367FE6" w14:textId="54EB5E9E" w:rsidR="006B3BC4" w:rsidRPr="00627385" w:rsidRDefault="006B3BC4" w:rsidP="006B3BC4">
      <w:pPr>
        <w:jc w:val="both"/>
        <w:rPr>
          <w:spacing w:val="-1"/>
          <w:sz w:val="22"/>
          <w:szCs w:val="22"/>
          <w:lang w:val="en-GB"/>
        </w:rPr>
      </w:pPr>
      <w:r w:rsidRPr="00627385">
        <w:rPr>
          <w:spacing w:val="-1"/>
          <w:sz w:val="22"/>
          <w:szCs w:val="22"/>
          <w:lang w:val="en-GB"/>
        </w:rPr>
        <w:t>The vast majority of mines were located in remote regions of Canada. With little infrastructure at these locations, mining companies relied on remote</w:t>
      </w:r>
      <w:r w:rsidR="003206F2" w:rsidRPr="00627385">
        <w:rPr>
          <w:spacing w:val="-1"/>
          <w:sz w:val="22"/>
          <w:szCs w:val="22"/>
          <w:lang w:val="en-GB"/>
        </w:rPr>
        <w:t>-</w:t>
      </w:r>
      <w:r w:rsidRPr="00627385">
        <w:rPr>
          <w:spacing w:val="-1"/>
          <w:sz w:val="22"/>
          <w:szCs w:val="22"/>
          <w:lang w:val="en-GB"/>
        </w:rPr>
        <w:t>site food service companies to provide catering, housekeeping, and janitorial services for their employees. These services helped provide mine employees with some semblance of home. Most companies deemed these services essential because happier employees resulted in lower turnover and higher productivity. Most remote</w:t>
      </w:r>
      <w:r w:rsidR="003206F2" w:rsidRPr="00627385">
        <w:rPr>
          <w:spacing w:val="-1"/>
          <w:sz w:val="22"/>
          <w:szCs w:val="22"/>
          <w:lang w:val="en-GB"/>
        </w:rPr>
        <w:t>-</w:t>
      </w:r>
      <w:r w:rsidRPr="00627385">
        <w:rPr>
          <w:spacing w:val="-1"/>
          <w:sz w:val="22"/>
          <w:szCs w:val="22"/>
          <w:lang w:val="en-GB"/>
        </w:rPr>
        <w:t>site food service companies dispatched their employees to the various remote site locations on an as-needed basis.</w:t>
      </w:r>
    </w:p>
    <w:p w14:paraId="22D5517B" w14:textId="77777777" w:rsidR="006B3BC4" w:rsidRPr="00627385" w:rsidRDefault="006B3BC4" w:rsidP="006B3BC4">
      <w:pPr>
        <w:jc w:val="both"/>
        <w:rPr>
          <w:spacing w:val="-1"/>
          <w:sz w:val="18"/>
          <w:szCs w:val="18"/>
          <w:lang w:val="en-GB"/>
        </w:rPr>
      </w:pPr>
    </w:p>
    <w:p w14:paraId="6CA3A020" w14:textId="3AEC9BF1" w:rsidR="006B3BC4" w:rsidRPr="00627385" w:rsidRDefault="006B3BC4" w:rsidP="006B3BC4">
      <w:pPr>
        <w:jc w:val="both"/>
        <w:rPr>
          <w:spacing w:val="-1"/>
          <w:sz w:val="22"/>
          <w:szCs w:val="22"/>
          <w:lang w:val="en-GB"/>
        </w:rPr>
      </w:pPr>
      <w:r w:rsidRPr="00627385">
        <w:rPr>
          <w:spacing w:val="-1"/>
          <w:sz w:val="22"/>
          <w:szCs w:val="22"/>
          <w:lang w:val="en-GB"/>
        </w:rPr>
        <w:t xml:space="preserve">Due to the recent downturn in commodity prices and the resulting decrease in corporate investments in remote sites, the demand for catering services had declined by approximately 30 per cent in 2015. The industry was expected to decrease by a further </w:t>
      </w:r>
      <w:r w:rsidR="001D0947" w:rsidRPr="00627385">
        <w:rPr>
          <w:spacing w:val="-1"/>
          <w:sz w:val="22"/>
          <w:szCs w:val="22"/>
          <w:lang w:val="en-GB"/>
        </w:rPr>
        <w:t>7</w:t>
      </w:r>
      <w:r w:rsidRPr="00627385">
        <w:rPr>
          <w:spacing w:val="-1"/>
          <w:sz w:val="22"/>
          <w:szCs w:val="22"/>
          <w:lang w:val="en-GB"/>
        </w:rPr>
        <w:t xml:space="preserve"> per cent in 2016; consequently, </w:t>
      </w:r>
      <w:r w:rsidR="001D0947" w:rsidRPr="00627385">
        <w:rPr>
          <w:spacing w:val="-1"/>
          <w:sz w:val="22"/>
          <w:szCs w:val="22"/>
          <w:lang w:val="en-GB"/>
        </w:rPr>
        <w:t xml:space="preserve">not only were </w:t>
      </w:r>
      <w:r w:rsidRPr="00627385">
        <w:rPr>
          <w:spacing w:val="-1"/>
          <w:sz w:val="22"/>
          <w:szCs w:val="22"/>
          <w:lang w:val="en-GB"/>
        </w:rPr>
        <w:t xml:space="preserve">newer contracts more difficult to obtain but </w:t>
      </w:r>
      <w:r w:rsidR="001D0947" w:rsidRPr="00627385">
        <w:rPr>
          <w:spacing w:val="-1"/>
          <w:sz w:val="22"/>
          <w:szCs w:val="22"/>
          <w:lang w:val="en-GB"/>
        </w:rPr>
        <w:t xml:space="preserve">also </w:t>
      </w:r>
      <w:r w:rsidRPr="00627385">
        <w:rPr>
          <w:spacing w:val="-1"/>
          <w:sz w:val="22"/>
          <w:szCs w:val="22"/>
          <w:lang w:val="en-GB"/>
        </w:rPr>
        <w:t>existing customers were looking for ways to cut costs.</w:t>
      </w:r>
    </w:p>
    <w:p w14:paraId="5C42E545" w14:textId="77777777" w:rsidR="006B3BC4" w:rsidRPr="00627385" w:rsidRDefault="006B3BC4" w:rsidP="006B3BC4">
      <w:pPr>
        <w:jc w:val="both"/>
        <w:rPr>
          <w:spacing w:val="-1"/>
          <w:sz w:val="18"/>
          <w:szCs w:val="18"/>
          <w:u w:val="single"/>
          <w:lang w:val="en-GB"/>
        </w:rPr>
      </w:pPr>
    </w:p>
    <w:p w14:paraId="0D62710B" w14:textId="77777777" w:rsidR="006B3BC4" w:rsidRPr="00627385" w:rsidRDefault="006B3BC4" w:rsidP="006B3BC4">
      <w:pPr>
        <w:jc w:val="both"/>
        <w:rPr>
          <w:spacing w:val="-1"/>
          <w:sz w:val="18"/>
          <w:szCs w:val="18"/>
          <w:u w:val="single"/>
          <w:lang w:val="en-GB"/>
        </w:rPr>
      </w:pPr>
    </w:p>
    <w:p w14:paraId="149778D5" w14:textId="77777777" w:rsidR="006B3BC4" w:rsidRPr="00627385" w:rsidRDefault="006B3BC4" w:rsidP="006B3BC4">
      <w:pPr>
        <w:jc w:val="both"/>
        <w:rPr>
          <w:rFonts w:ascii="Arial" w:eastAsia="Calibri" w:hAnsi="Arial"/>
          <w:b/>
          <w:lang w:val="en-GB"/>
        </w:rPr>
      </w:pPr>
      <w:r w:rsidRPr="00627385">
        <w:rPr>
          <w:rFonts w:ascii="Arial" w:eastAsia="Calibri" w:hAnsi="Arial"/>
          <w:b/>
          <w:lang w:val="en-GB"/>
        </w:rPr>
        <w:t>Customers</w:t>
      </w:r>
    </w:p>
    <w:p w14:paraId="120341F2" w14:textId="77777777" w:rsidR="006B3BC4" w:rsidRPr="00627385" w:rsidRDefault="006B3BC4" w:rsidP="006B3BC4">
      <w:pPr>
        <w:jc w:val="both"/>
        <w:rPr>
          <w:spacing w:val="-1"/>
          <w:sz w:val="18"/>
          <w:szCs w:val="18"/>
          <w:lang w:val="en-GB"/>
        </w:rPr>
      </w:pPr>
    </w:p>
    <w:p w14:paraId="2205AE18" w14:textId="7D4BA187" w:rsidR="006B3BC4" w:rsidRPr="00627385" w:rsidRDefault="006B3BC4" w:rsidP="006B3BC4">
      <w:pPr>
        <w:jc w:val="both"/>
        <w:rPr>
          <w:spacing w:val="-1"/>
          <w:sz w:val="22"/>
          <w:szCs w:val="22"/>
          <w:lang w:val="en-GB"/>
        </w:rPr>
      </w:pPr>
      <w:r w:rsidRPr="00627385">
        <w:rPr>
          <w:spacing w:val="-1"/>
          <w:sz w:val="22"/>
          <w:szCs w:val="22"/>
          <w:lang w:val="en-GB"/>
        </w:rPr>
        <w:t>In Canada, food services (and related ancillary services) were requested by Canadian mines in operation and under construction in the mineral</w:t>
      </w:r>
      <w:r w:rsidR="00F71510" w:rsidRPr="00627385">
        <w:rPr>
          <w:spacing w:val="-1"/>
          <w:sz w:val="22"/>
          <w:szCs w:val="22"/>
          <w:lang w:val="en-GB"/>
        </w:rPr>
        <w:t>-</w:t>
      </w:r>
      <w:r w:rsidRPr="00627385">
        <w:rPr>
          <w:spacing w:val="-1"/>
          <w:sz w:val="22"/>
          <w:szCs w:val="22"/>
          <w:lang w:val="en-GB"/>
        </w:rPr>
        <w:t xml:space="preserve">rich regions of </w:t>
      </w:r>
      <w:r w:rsidR="00CA5500" w:rsidRPr="00627385">
        <w:rPr>
          <w:spacing w:val="-1"/>
          <w:sz w:val="22"/>
          <w:szCs w:val="22"/>
          <w:lang w:val="en-GB"/>
        </w:rPr>
        <w:t>n</w:t>
      </w:r>
      <w:r w:rsidRPr="00627385">
        <w:rPr>
          <w:spacing w:val="-1"/>
          <w:sz w:val="22"/>
          <w:szCs w:val="22"/>
          <w:lang w:val="en-GB"/>
        </w:rPr>
        <w:t>orthern Ontario, Quebec, Yukon, Northwest Territories, and Nunavut. With the exception of the oil sands, a few multinational mining companies dominated the ferrous, precious metals, and minerals mining industries. In fact, it was estimated that the top two iron ore mining companies generated 90 per cent of the 2015 mining and exploration industry revenues.</w:t>
      </w:r>
    </w:p>
    <w:p w14:paraId="4EF485A4" w14:textId="77777777" w:rsidR="006B3BC4" w:rsidRPr="00627385" w:rsidRDefault="006B3BC4" w:rsidP="006B3BC4">
      <w:pPr>
        <w:jc w:val="both"/>
        <w:rPr>
          <w:spacing w:val="-1"/>
          <w:sz w:val="18"/>
          <w:szCs w:val="18"/>
          <w:lang w:val="en-GB"/>
        </w:rPr>
      </w:pPr>
    </w:p>
    <w:p w14:paraId="15B7C3E4" w14:textId="5980A450" w:rsidR="006B3BC4" w:rsidRPr="00627385" w:rsidRDefault="006B3BC4" w:rsidP="006B3BC4">
      <w:pPr>
        <w:jc w:val="both"/>
        <w:rPr>
          <w:spacing w:val="-1"/>
          <w:sz w:val="22"/>
          <w:szCs w:val="22"/>
          <w:lang w:val="en-GB"/>
        </w:rPr>
      </w:pPr>
      <w:r w:rsidRPr="00627385">
        <w:rPr>
          <w:spacing w:val="-1"/>
          <w:sz w:val="22"/>
          <w:szCs w:val="22"/>
          <w:lang w:val="en-GB"/>
        </w:rPr>
        <w:t>Remote</w:t>
      </w:r>
      <w:r w:rsidR="001D0947" w:rsidRPr="00627385">
        <w:rPr>
          <w:spacing w:val="-1"/>
          <w:sz w:val="22"/>
          <w:szCs w:val="22"/>
          <w:lang w:val="en-GB"/>
        </w:rPr>
        <w:t>-</w:t>
      </w:r>
      <w:r w:rsidRPr="00627385">
        <w:rPr>
          <w:spacing w:val="-1"/>
          <w:sz w:val="22"/>
          <w:szCs w:val="22"/>
          <w:lang w:val="en-GB"/>
        </w:rPr>
        <w:t>site food service providers were asked to bid on new projects through RFPs.</w:t>
      </w:r>
      <w:r w:rsidRPr="00627385">
        <w:rPr>
          <w:spacing w:val="-1"/>
          <w:sz w:val="22"/>
          <w:szCs w:val="22"/>
          <w:vertAlign w:val="superscript"/>
          <w:lang w:val="en-GB"/>
        </w:rPr>
        <w:footnoteReference w:id="15"/>
      </w:r>
      <w:r w:rsidRPr="00627385">
        <w:rPr>
          <w:spacing w:val="-1"/>
          <w:sz w:val="22"/>
          <w:szCs w:val="22"/>
          <w:lang w:val="en-GB"/>
        </w:rPr>
        <w:t xml:space="preserve"> Contracts were typically awarded to the successful bidder for three to five years, with the option for renewal. Mining and exploration companies preferred to renew contracts with existing providers because this eliminated the risk of potential problems during transitional periods between providers. Contracts were sometimes renegotiated</w:t>
      </w:r>
      <w:r w:rsidR="0064605D" w:rsidRPr="00627385">
        <w:rPr>
          <w:spacing w:val="-1"/>
          <w:sz w:val="22"/>
          <w:szCs w:val="22"/>
          <w:lang w:val="en-GB"/>
        </w:rPr>
        <w:t>,</w:t>
      </w:r>
      <w:r w:rsidRPr="00627385">
        <w:rPr>
          <w:spacing w:val="-1"/>
          <w:sz w:val="22"/>
          <w:szCs w:val="22"/>
          <w:lang w:val="en-GB"/>
        </w:rPr>
        <w:t xml:space="preserve"> depending on market conditions; for example, the recent economic downturn had forced mining companies to cut costs by reducing the frequency of housekeeping services from daily to once every other day.</w:t>
      </w:r>
    </w:p>
    <w:p w14:paraId="22151159" w14:textId="77777777" w:rsidR="006A6686" w:rsidRPr="00627385" w:rsidRDefault="006A6686" w:rsidP="006B3BC4">
      <w:pPr>
        <w:jc w:val="both"/>
        <w:rPr>
          <w:spacing w:val="-1"/>
          <w:sz w:val="22"/>
          <w:szCs w:val="22"/>
          <w:lang w:val="en-GB"/>
        </w:rPr>
      </w:pPr>
    </w:p>
    <w:p w14:paraId="25973FE8" w14:textId="6AA248BC" w:rsidR="006B3BC4" w:rsidRPr="00627385" w:rsidRDefault="006B3BC4" w:rsidP="006B3BC4">
      <w:pPr>
        <w:jc w:val="both"/>
        <w:rPr>
          <w:spacing w:val="-2"/>
          <w:kern w:val="22"/>
          <w:sz w:val="22"/>
          <w:szCs w:val="22"/>
          <w:lang w:val="en-GB"/>
        </w:rPr>
      </w:pPr>
      <w:r w:rsidRPr="00627385">
        <w:rPr>
          <w:spacing w:val="-2"/>
          <w:kern w:val="22"/>
          <w:sz w:val="22"/>
          <w:szCs w:val="22"/>
          <w:lang w:val="en-GB"/>
        </w:rPr>
        <w:t>When reviewing bids, companies</w:t>
      </w:r>
      <w:r w:rsidR="00C41CB0" w:rsidRPr="00627385">
        <w:rPr>
          <w:spacing w:val="-2"/>
          <w:kern w:val="22"/>
          <w:sz w:val="22"/>
          <w:szCs w:val="22"/>
          <w:lang w:val="en-GB"/>
        </w:rPr>
        <w:t xml:space="preserve"> </w:t>
      </w:r>
      <w:r w:rsidR="007F5A0B" w:rsidRPr="00627385">
        <w:rPr>
          <w:spacing w:val="-2"/>
          <w:kern w:val="22"/>
          <w:sz w:val="22"/>
          <w:szCs w:val="22"/>
          <w:lang w:val="en-GB"/>
        </w:rPr>
        <w:t>—</w:t>
      </w:r>
      <w:r w:rsidR="00C41CB0" w:rsidRPr="00627385">
        <w:rPr>
          <w:spacing w:val="-2"/>
          <w:kern w:val="22"/>
          <w:sz w:val="22"/>
          <w:szCs w:val="22"/>
          <w:lang w:val="en-GB"/>
        </w:rPr>
        <w:t xml:space="preserve"> </w:t>
      </w:r>
      <w:r w:rsidRPr="00627385">
        <w:rPr>
          <w:spacing w:val="-2"/>
          <w:kern w:val="22"/>
          <w:sz w:val="22"/>
          <w:szCs w:val="22"/>
          <w:lang w:val="en-GB"/>
        </w:rPr>
        <w:t xml:space="preserve">regardless of </w:t>
      </w:r>
      <w:r w:rsidR="007F5A0B" w:rsidRPr="00627385">
        <w:rPr>
          <w:spacing w:val="-2"/>
          <w:kern w:val="22"/>
          <w:sz w:val="22"/>
          <w:szCs w:val="22"/>
          <w:lang w:val="en-GB"/>
        </w:rPr>
        <w:t xml:space="preserve">their </w:t>
      </w:r>
      <w:r w:rsidRPr="00627385">
        <w:rPr>
          <w:spacing w:val="-2"/>
          <w:kern w:val="22"/>
          <w:sz w:val="22"/>
          <w:szCs w:val="22"/>
          <w:lang w:val="en-GB"/>
        </w:rPr>
        <w:t>size</w:t>
      </w:r>
      <w:r w:rsidR="00C41CB0" w:rsidRPr="00627385">
        <w:rPr>
          <w:spacing w:val="-2"/>
          <w:kern w:val="22"/>
          <w:sz w:val="22"/>
          <w:szCs w:val="22"/>
          <w:lang w:val="en-GB"/>
        </w:rPr>
        <w:t xml:space="preserve"> </w:t>
      </w:r>
      <w:r w:rsidR="007F5A0B" w:rsidRPr="00627385">
        <w:rPr>
          <w:spacing w:val="-2"/>
          <w:kern w:val="22"/>
          <w:sz w:val="22"/>
          <w:szCs w:val="22"/>
          <w:lang w:val="en-GB"/>
        </w:rPr>
        <w:t>—</w:t>
      </w:r>
      <w:r w:rsidR="00C41CB0" w:rsidRPr="00627385">
        <w:rPr>
          <w:spacing w:val="-2"/>
          <w:kern w:val="22"/>
          <w:sz w:val="22"/>
          <w:szCs w:val="22"/>
          <w:lang w:val="en-GB"/>
        </w:rPr>
        <w:t xml:space="preserve"> </w:t>
      </w:r>
      <w:r w:rsidRPr="00627385">
        <w:rPr>
          <w:spacing w:val="-2"/>
          <w:kern w:val="22"/>
          <w:sz w:val="22"/>
          <w:szCs w:val="22"/>
          <w:lang w:val="en-GB"/>
        </w:rPr>
        <w:t>considered the bidder’s price, the bidder’s understanding of the marketplace, and the bidder’s quality of management and employees who would be sent to the remote sites. Each site was negotiated individually, although having an established relationship with one mining or exploration company could help the food service provider with future bids at other locations.</w:t>
      </w:r>
    </w:p>
    <w:p w14:paraId="2530E63C" w14:textId="77777777" w:rsidR="006B3BC4" w:rsidRPr="00627385" w:rsidRDefault="006B3BC4" w:rsidP="006B3BC4">
      <w:pPr>
        <w:jc w:val="both"/>
        <w:rPr>
          <w:rFonts w:ascii="Arial" w:hAnsi="Arial"/>
          <w:b/>
          <w:lang w:val="en-GB"/>
        </w:rPr>
      </w:pPr>
      <w:r w:rsidRPr="00627385">
        <w:rPr>
          <w:rFonts w:ascii="Arial" w:hAnsi="Arial"/>
          <w:b/>
          <w:lang w:val="en-GB"/>
        </w:rPr>
        <w:lastRenderedPageBreak/>
        <w:t>Competition</w:t>
      </w:r>
    </w:p>
    <w:p w14:paraId="5FFD5BF8" w14:textId="77777777" w:rsidR="006B3BC4" w:rsidRPr="00627385" w:rsidRDefault="006B3BC4" w:rsidP="006B3BC4">
      <w:pPr>
        <w:jc w:val="both"/>
        <w:rPr>
          <w:spacing w:val="-1"/>
          <w:sz w:val="18"/>
          <w:szCs w:val="18"/>
          <w:lang w:val="en-GB"/>
        </w:rPr>
      </w:pPr>
    </w:p>
    <w:p w14:paraId="15BE2093" w14:textId="39CF3345" w:rsidR="006B3BC4" w:rsidRPr="00627385" w:rsidRDefault="006B3BC4" w:rsidP="006B3BC4">
      <w:pPr>
        <w:jc w:val="both"/>
        <w:rPr>
          <w:spacing w:val="-1"/>
          <w:sz w:val="22"/>
          <w:szCs w:val="22"/>
          <w:lang w:val="en-GB"/>
        </w:rPr>
      </w:pPr>
      <w:r w:rsidRPr="00627385">
        <w:rPr>
          <w:spacing w:val="-1"/>
          <w:sz w:val="22"/>
          <w:szCs w:val="22"/>
          <w:lang w:val="en-GB"/>
        </w:rPr>
        <w:t>Comfort had four major competitors that offered catering and hospitality services to remote site locations: Compass Group PLC</w:t>
      </w:r>
      <w:r w:rsidR="007F5A0B" w:rsidRPr="00627385">
        <w:rPr>
          <w:spacing w:val="-1"/>
          <w:sz w:val="22"/>
          <w:szCs w:val="22"/>
          <w:lang w:val="en-GB"/>
        </w:rPr>
        <w:t xml:space="preserve"> (Compass)</w:t>
      </w:r>
      <w:r w:rsidRPr="00627385">
        <w:rPr>
          <w:spacing w:val="-1"/>
          <w:sz w:val="22"/>
          <w:szCs w:val="22"/>
          <w:lang w:val="en-GB"/>
        </w:rPr>
        <w:t>, Aramark Corporation</w:t>
      </w:r>
      <w:r w:rsidR="007F5A0B" w:rsidRPr="00627385">
        <w:rPr>
          <w:spacing w:val="-1"/>
          <w:sz w:val="22"/>
          <w:szCs w:val="22"/>
          <w:lang w:val="en-GB"/>
        </w:rPr>
        <w:t xml:space="preserve"> (Aramark)</w:t>
      </w:r>
      <w:r w:rsidRPr="00627385">
        <w:rPr>
          <w:spacing w:val="-1"/>
          <w:sz w:val="22"/>
          <w:szCs w:val="22"/>
          <w:lang w:val="en-GB"/>
        </w:rPr>
        <w:t>, Sodexo SA</w:t>
      </w:r>
      <w:r w:rsidR="007F5A0B" w:rsidRPr="00627385">
        <w:rPr>
          <w:spacing w:val="-1"/>
          <w:sz w:val="22"/>
          <w:szCs w:val="22"/>
          <w:lang w:val="en-GB"/>
        </w:rPr>
        <w:t xml:space="preserve"> (Sodexo)</w:t>
      </w:r>
      <w:r w:rsidRPr="00627385">
        <w:rPr>
          <w:spacing w:val="-1"/>
          <w:sz w:val="22"/>
          <w:szCs w:val="22"/>
          <w:lang w:val="en-GB"/>
        </w:rPr>
        <w:t>, and Civeo Corporation</w:t>
      </w:r>
      <w:r w:rsidR="007F5A0B" w:rsidRPr="00627385">
        <w:rPr>
          <w:spacing w:val="-1"/>
          <w:sz w:val="22"/>
          <w:szCs w:val="22"/>
          <w:lang w:val="en-GB"/>
        </w:rPr>
        <w:t xml:space="preserve"> (Civeo)</w:t>
      </w:r>
      <w:r w:rsidR="002D5F21">
        <w:rPr>
          <w:spacing w:val="-1"/>
          <w:sz w:val="22"/>
          <w:szCs w:val="22"/>
          <w:lang w:val="en-GB"/>
        </w:rPr>
        <w:t xml:space="preserve"> (see </w:t>
      </w:r>
      <w:r w:rsidRPr="00627385">
        <w:rPr>
          <w:spacing w:val="-1"/>
          <w:sz w:val="22"/>
          <w:szCs w:val="22"/>
          <w:lang w:val="en-GB"/>
        </w:rPr>
        <w:t>Exhibit 1)</w:t>
      </w:r>
      <w:r w:rsidR="002D5F21">
        <w:rPr>
          <w:spacing w:val="-1"/>
          <w:sz w:val="22"/>
          <w:szCs w:val="22"/>
          <w:lang w:val="en-GB"/>
        </w:rPr>
        <w:t>.</w:t>
      </w:r>
    </w:p>
    <w:p w14:paraId="39F454F6" w14:textId="77777777" w:rsidR="006B3BC4" w:rsidRPr="00627385" w:rsidRDefault="006B3BC4" w:rsidP="006B3BC4">
      <w:pPr>
        <w:jc w:val="both"/>
        <w:rPr>
          <w:spacing w:val="-1"/>
          <w:sz w:val="18"/>
          <w:szCs w:val="18"/>
          <w:lang w:val="en-GB"/>
        </w:rPr>
      </w:pPr>
    </w:p>
    <w:p w14:paraId="6D6C25A0" w14:textId="77777777" w:rsidR="006B3BC4" w:rsidRPr="00627385" w:rsidRDefault="006B3BC4" w:rsidP="006B3BC4">
      <w:pPr>
        <w:jc w:val="both"/>
        <w:rPr>
          <w:spacing w:val="-1"/>
          <w:sz w:val="18"/>
          <w:szCs w:val="18"/>
          <w:lang w:val="en-GB"/>
        </w:rPr>
      </w:pPr>
    </w:p>
    <w:p w14:paraId="68EC572B" w14:textId="77777777" w:rsidR="006B3BC4" w:rsidRPr="00627385" w:rsidRDefault="006B3BC4" w:rsidP="006B3BC4">
      <w:pPr>
        <w:jc w:val="both"/>
        <w:rPr>
          <w:sz w:val="22"/>
          <w:u w:val="single"/>
          <w:lang w:val="en-GB"/>
        </w:rPr>
      </w:pPr>
      <w:r w:rsidRPr="00627385">
        <w:rPr>
          <w:sz w:val="22"/>
          <w:u w:val="single"/>
          <w:lang w:val="en-GB"/>
        </w:rPr>
        <w:t>Compass Group PLC</w:t>
      </w:r>
    </w:p>
    <w:p w14:paraId="4DD90A20" w14:textId="77777777" w:rsidR="006B3BC4" w:rsidRPr="00627385" w:rsidRDefault="006B3BC4" w:rsidP="006B3BC4">
      <w:pPr>
        <w:jc w:val="both"/>
        <w:rPr>
          <w:spacing w:val="-1"/>
          <w:sz w:val="18"/>
          <w:szCs w:val="18"/>
          <w:lang w:val="en-GB"/>
        </w:rPr>
      </w:pPr>
    </w:p>
    <w:p w14:paraId="1A6650FC" w14:textId="768A20C8" w:rsidR="006B3BC4" w:rsidRPr="00627385" w:rsidRDefault="006B3BC4" w:rsidP="006B3BC4">
      <w:pPr>
        <w:jc w:val="both"/>
        <w:rPr>
          <w:spacing w:val="-1"/>
          <w:sz w:val="22"/>
          <w:szCs w:val="22"/>
          <w:lang w:val="en-GB"/>
        </w:rPr>
      </w:pPr>
      <w:r w:rsidRPr="00627385">
        <w:rPr>
          <w:spacing w:val="-1"/>
          <w:sz w:val="22"/>
          <w:szCs w:val="22"/>
          <w:lang w:val="en-GB"/>
        </w:rPr>
        <w:t>Founded in 1941, Compass was a British multinational conglomerate based in Chertsey, England. It provided catering, cleaning, and property management services in over 50 countries and had 500,000 employees. In 2015, the conglomerate earned a profit of £877 million</w:t>
      </w:r>
      <w:r w:rsidR="007F5A0B" w:rsidRPr="00627385">
        <w:rPr>
          <w:rStyle w:val="FootnoteReference"/>
          <w:spacing w:val="-1"/>
          <w:sz w:val="22"/>
          <w:szCs w:val="22"/>
          <w:lang w:val="en-GB"/>
        </w:rPr>
        <w:footnoteReference w:id="16"/>
      </w:r>
      <w:r w:rsidRPr="00627385">
        <w:rPr>
          <w:spacing w:val="-1"/>
          <w:sz w:val="22"/>
          <w:szCs w:val="22"/>
          <w:lang w:val="en-GB"/>
        </w:rPr>
        <w:t xml:space="preserve"> ($1.64 billion) on revenues of £17.8 billion ($33.2 billion), wherein approximately 50 per cent of its sales came from the North American market.</w:t>
      </w:r>
      <w:r w:rsidRPr="00627385">
        <w:rPr>
          <w:spacing w:val="-1"/>
          <w:sz w:val="22"/>
          <w:szCs w:val="22"/>
          <w:vertAlign w:val="superscript"/>
          <w:lang w:val="en-GB"/>
        </w:rPr>
        <w:footnoteReference w:id="17"/>
      </w:r>
      <w:r w:rsidRPr="00627385">
        <w:rPr>
          <w:spacing w:val="-1"/>
          <w:sz w:val="22"/>
          <w:szCs w:val="22"/>
          <w:lang w:val="en-GB"/>
        </w:rPr>
        <w:t xml:space="preserve"> Compass operated under ESS North America for its Canadian remote</w:t>
      </w:r>
      <w:r w:rsidR="0083707B" w:rsidRPr="00627385">
        <w:rPr>
          <w:spacing w:val="-1"/>
          <w:sz w:val="22"/>
          <w:szCs w:val="22"/>
          <w:lang w:val="en-GB"/>
        </w:rPr>
        <w:t>-</w:t>
      </w:r>
      <w:r w:rsidRPr="00627385">
        <w:rPr>
          <w:spacing w:val="-1"/>
          <w:sz w:val="22"/>
          <w:szCs w:val="22"/>
          <w:lang w:val="en-GB"/>
        </w:rPr>
        <w:t xml:space="preserve">site food service operations, servicing the construction, mining, oil and gas, and </w:t>
      </w:r>
      <w:r w:rsidR="00A71040" w:rsidRPr="00627385">
        <w:rPr>
          <w:spacing w:val="-1"/>
          <w:sz w:val="22"/>
          <w:szCs w:val="22"/>
          <w:lang w:val="en-GB"/>
        </w:rPr>
        <w:t xml:space="preserve">defence </w:t>
      </w:r>
      <w:r w:rsidRPr="00627385">
        <w:rPr>
          <w:spacing w:val="-1"/>
          <w:sz w:val="22"/>
          <w:szCs w:val="22"/>
          <w:lang w:val="en-GB"/>
        </w:rPr>
        <w:t>sectors.</w:t>
      </w:r>
      <w:r w:rsidRPr="00627385">
        <w:rPr>
          <w:spacing w:val="-1"/>
          <w:sz w:val="22"/>
          <w:szCs w:val="22"/>
          <w:vertAlign w:val="superscript"/>
          <w:lang w:val="en-GB"/>
        </w:rPr>
        <w:footnoteReference w:id="18"/>
      </w:r>
    </w:p>
    <w:p w14:paraId="623D817A" w14:textId="77777777" w:rsidR="006B3BC4" w:rsidRPr="00627385" w:rsidRDefault="006B3BC4" w:rsidP="006B3BC4">
      <w:pPr>
        <w:jc w:val="both"/>
        <w:rPr>
          <w:spacing w:val="-1"/>
          <w:sz w:val="18"/>
          <w:szCs w:val="18"/>
          <w:lang w:val="en-GB"/>
        </w:rPr>
      </w:pPr>
    </w:p>
    <w:p w14:paraId="6C9D0C6B" w14:textId="47061DBC" w:rsidR="006B3BC4" w:rsidRPr="00627385" w:rsidRDefault="006B3BC4" w:rsidP="006B3BC4">
      <w:pPr>
        <w:jc w:val="both"/>
        <w:rPr>
          <w:spacing w:val="-1"/>
          <w:sz w:val="22"/>
          <w:szCs w:val="22"/>
          <w:lang w:val="en-GB"/>
        </w:rPr>
      </w:pPr>
      <w:r w:rsidRPr="00627385">
        <w:rPr>
          <w:spacing w:val="-1"/>
          <w:sz w:val="22"/>
          <w:szCs w:val="22"/>
          <w:lang w:val="en-GB"/>
        </w:rPr>
        <w:t xml:space="preserve">In 2008, </w:t>
      </w:r>
      <w:proofErr w:type="spellStart"/>
      <w:r w:rsidRPr="00627385">
        <w:rPr>
          <w:spacing w:val="-1"/>
          <w:sz w:val="22"/>
          <w:szCs w:val="22"/>
          <w:lang w:val="en-GB"/>
        </w:rPr>
        <w:t>Eurest</w:t>
      </w:r>
      <w:proofErr w:type="spellEnd"/>
      <w:r w:rsidRPr="00627385">
        <w:rPr>
          <w:spacing w:val="-1"/>
          <w:sz w:val="22"/>
          <w:szCs w:val="22"/>
          <w:lang w:val="en-GB"/>
        </w:rPr>
        <w:t xml:space="preserve"> Dining Services, a subsidiary of Compass, served food that tested positive for </w:t>
      </w:r>
      <w:r w:rsidRPr="00627385">
        <w:rPr>
          <w:i/>
          <w:spacing w:val="-1"/>
          <w:sz w:val="22"/>
          <w:szCs w:val="22"/>
          <w:lang w:val="en-GB"/>
        </w:rPr>
        <w:t>Listeria</w:t>
      </w:r>
      <w:r w:rsidR="00CE519C" w:rsidRPr="00627385">
        <w:rPr>
          <w:i/>
          <w:spacing w:val="-1"/>
          <w:sz w:val="22"/>
          <w:szCs w:val="22"/>
          <w:lang w:val="en-GB"/>
        </w:rPr>
        <w:t xml:space="preserve"> </w:t>
      </w:r>
      <w:r w:rsidR="007F3ED4" w:rsidRPr="00627385">
        <w:rPr>
          <w:i/>
          <w:spacing w:val="-1"/>
          <w:sz w:val="22"/>
          <w:szCs w:val="22"/>
          <w:lang w:val="en-GB"/>
        </w:rPr>
        <w:t xml:space="preserve">monocytogenes </w:t>
      </w:r>
      <w:r w:rsidRPr="00627385">
        <w:rPr>
          <w:spacing w:val="-1"/>
          <w:sz w:val="22"/>
          <w:szCs w:val="22"/>
          <w:lang w:val="en-GB"/>
        </w:rPr>
        <w:t>in Ontario prisons. In February 2013, the company was accused of knowingly selling beef products tainted with horse</w:t>
      </w:r>
      <w:r w:rsidR="00CE519C" w:rsidRPr="00627385">
        <w:rPr>
          <w:spacing w:val="-1"/>
          <w:sz w:val="22"/>
          <w:szCs w:val="22"/>
          <w:lang w:val="en-GB"/>
        </w:rPr>
        <w:t xml:space="preserve"> </w:t>
      </w:r>
      <w:r w:rsidRPr="00627385">
        <w:rPr>
          <w:spacing w:val="-1"/>
          <w:sz w:val="22"/>
          <w:szCs w:val="22"/>
          <w:lang w:val="en-GB"/>
        </w:rPr>
        <w:t>meat to schools in the U</w:t>
      </w:r>
      <w:r w:rsidR="00CE519C" w:rsidRPr="00627385">
        <w:rPr>
          <w:spacing w:val="-1"/>
          <w:sz w:val="22"/>
          <w:szCs w:val="22"/>
          <w:lang w:val="en-GB"/>
        </w:rPr>
        <w:t xml:space="preserve">nited </w:t>
      </w:r>
      <w:r w:rsidRPr="00627385">
        <w:rPr>
          <w:spacing w:val="-1"/>
          <w:sz w:val="22"/>
          <w:szCs w:val="22"/>
          <w:lang w:val="en-GB"/>
        </w:rPr>
        <w:t>K</w:t>
      </w:r>
      <w:r w:rsidR="00CE519C" w:rsidRPr="00627385">
        <w:rPr>
          <w:spacing w:val="-1"/>
          <w:sz w:val="22"/>
          <w:szCs w:val="22"/>
          <w:lang w:val="en-GB"/>
        </w:rPr>
        <w:t>ingdom</w:t>
      </w:r>
      <w:r w:rsidRPr="00627385">
        <w:rPr>
          <w:spacing w:val="-1"/>
          <w:sz w:val="22"/>
          <w:szCs w:val="22"/>
          <w:lang w:val="en-GB"/>
        </w:rPr>
        <w:t xml:space="preserve"> and Ireland.</w:t>
      </w:r>
      <w:r w:rsidRPr="00627385">
        <w:rPr>
          <w:spacing w:val="-1"/>
          <w:sz w:val="22"/>
          <w:szCs w:val="22"/>
          <w:vertAlign w:val="superscript"/>
          <w:lang w:val="en-GB"/>
        </w:rPr>
        <w:footnoteReference w:id="19"/>
      </w:r>
    </w:p>
    <w:p w14:paraId="5FF262AD" w14:textId="77777777" w:rsidR="006B3BC4" w:rsidRPr="00627385" w:rsidRDefault="006B3BC4" w:rsidP="006B3BC4">
      <w:pPr>
        <w:jc w:val="both"/>
        <w:rPr>
          <w:rFonts w:ascii="Times" w:hAnsi="Times"/>
          <w:spacing w:val="-1"/>
          <w:sz w:val="18"/>
          <w:szCs w:val="18"/>
          <w:lang w:val="en-GB"/>
        </w:rPr>
      </w:pPr>
    </w:p>
    <w:p w14:paraId="70C05FC9" w14:textId="77777777" w:rsidR="006B3BC4" w:rsidRPr="00627385" w:rsidRDefault="006B3BC4" w:rsidP="006B3BC4">
      <w:pPr>
        <w:jc w:val="both"/>
        <w:rPr>
          <w:rFonts w:ascii="Times" w:hAnsi="Times"/>
          <w:spacing w:val="-1"/>
          <w:sz w:val="18"/>
          <w:szCs w:val="18"/>
          <w:lang w:val="en-GB"/>
        </w:rPr>
      </w:pPr>
    </w:p>
    <w:p w14:paraId="1F27932A" w14:textId="77777777" w:rsidR="006B3BC4" w:rsidRPr="00627385" w:rsidRDefault="006B3BC4" w:rsidP="006B3BC4">
      <w:pPr>
        <w:jc w:val="both"/>
        <w:rPr>
          <w:sz w:val="22"/>
          <w:u w:val="single"/>
          <w:lang w:val="en-GB"/>
        </w:rPr>
      </w:pPr>
      <w:r w:rsidRPr="00627385">
        <w:rPr>
          <w:sz w:val="22"/>
          <w:u w:val="single"/>
          <w:lang w:val="en-GB"/>
        </w:rPr>
        <w:t>Aramark Corporation</w:t>
      </w:r>
    </w:p>
    <w:p w14:paraId="4C457086" w14:textId="77777777" w:rsidR="006B3BC4" w:rsidRPr="00627385" w:rsidRDefault="006B3BC4" w:rsidP="006B3BC4">
      <w:pPr>
        <w:jc w:val="both"/>
        <w:rPr>
          <w:spacing w:val="-1"/>
          <w:sz w:val="18"/>
          <w:szCs w:val="18"/>
          <w:lang w:val="en-GB"/>
        </w:rPr>
      </w:pPr>
    </w:p>
    <w:p w14:paraId="1EFA9C59" w14:textId="14091DF8" w:rsidR="006B3BC4" w:rsidRPr="00627385" w:rsidRDefault="006B3BC4" w:rsidP="006B3BC4">
      <w:pPr>
        <w:jc w:val="both"/>
        <w:rPr>
          <w:spacing w:val="-1"/>
          <w:sz w:val="22"/>
          <w:szCs w:val="22"/>
          <w:lang w:val="en-GB"/>
        </w:rPr>
      </w:pPr>
      <w:r w:rsidRPr="00627385">
        <w:rPr>
          <w:spacing w:val="-1"/>
          <w:sz w:val="22"/>
          <w:szCs w:val="22"/>
          <w:lang w:val="en-GB"/>
        </w:rPr>
        <w:t>Aramark, founded in 1959, was based in Philadelphia, United States. It offered food and support services to the education, health</w:t>
      </w:r>
      <w:r w:rsidR="00A41C18" w:rsidRPr="00627385">
        <w:rPr>
          <w:spacing w:val="-1"/>
          <w:sz w:val="22"/>
          <w:szCs w:val="22"/>
          <w:lang w:val="en-GB"/>
        </w:rPr>
        <w:t xml:space="preserve"> </w:t>
      </w:r>
      <w:r w:rsidRPr="00627385">
        <w:rPr>
          <w:spacing w:val="-1"/>
          <w:sz w:val="22"/>
          <w:szCs w:val="22"/>
          <w:lang w:val="en-GB"/>
        </w:rPr>
        <w:t>care, business, sports, and correctional industries in 21 countries. In 2015, Aramark generated US$237 million ($303 million) in profits from US$14.3 billion ($18.4 billion) in sales. Approximately 70 per cent of these sales came from its North American operations.</w:t>
      </w:r>
      <w:r w:rsidRPr="00627385">
        <w:rPr>
          <w:spacing w:val="-1"/>
          <w:sz w:val="22"/>
          <w:szCs w:val="22"/>
          <w:vertAlign w:val="superscript"/>
          <w:lang w:val="en-GB"/>
        </w:rPr>
        <w:footnoteReference w:id="20"/>
      </w:r>
    </w:p>
    <w:p w14:paraId="0F4CC9BE" w14:textId="77777777" w:rsidR="006B3BC4" w:rsidRPr="00627385" w:rsidRDefault="006B3BC4" w:rsidP="006B3BC4">
      <w:pPr>
        <w:jc w:val="both"/>
        <w:rPr>
          <w:spacing w:val="-1"/>
          <w:sz w:val="18"/>
          <w:szCs w:val="18"/>
          <w:lang w:val="en-GB"/>
        </w:rPr>
      </w:pPr>
    </w:p>
    <w:p w14:paraId="0FE43579" w14:textId="5ADCE09F" w:rsidR="006B3BC4" w:rsidRPr="00627385" w:rsidRDefault="006B3BC4" w:rsidP="006B3BC4">
      <w:pPr>
        <w:jc w:val="both"/>
        <w:rPr>
          <w:spacing w:val="-1"/>
          <w:sz w:val="22"/>
          <w:szCs w:val="22"/>
          <w:lang w:val="en-GB"/>
        </w:rPr>
      </w:pPr>
      <w:r w:rsidRPr="00627385">
        <w:rPr>
          <w:spacing w:val="-1"/>
          <w:sz w:val="22"/>
          <w:szCs w:val="22"/>
          <w:lang w:val="en-GB"/>
        </w:rPr>
        <w:t>In 2013, maggots were found in the food served at correctional facilities in Ohio and Michigan serviced by Aramark, and numerous prisoners became sick.</w:t>
      </w:r>
      <w:r w:rsidRPr="00627385">
        <w:rPr>
          <w:spacing w:val="-1"/>
          <w:sz w:val="22"/>
          <w:szCs w:val="22"/>
          <w:vertAlign w:val="superscript"/>
          <w:lang w:val="en-GB"/>
        </w:rPr>
        <w:footnoteReference w:id="21"/>
      </w:r>
      <w:r w:rsidRPr="00627385">
        <w:rPr>
          <w:spacing w:val="-1"/>
          <w:sz w:val="22"/>
          <w:szCs w:val="22"/>
          <w:lang w:val="en-GB"/>
        </w:rPr>
        <w:t xml:space="preserve"> Aramark had since been cleared by the Michigan Department of Corrections</w:t>
      </w:r>
      <w:r w:rsidR="007B3B6E" w:rsidRPr="00627385">
        <w:rPr>
          <w:spacing w:val="-1"/>
          <w:sz w:val="22"/>
          <w:szCs w:val="22"/>
          <w:lang w:val="en-GB"/>
        </w:rPr>
        <w:t xml:space="preserve"> of any wrongdoing</w:t>
      </w:r>
      <w:r w:rsidRPr="00627385">
        <w:rPr>
          <w:spacing w:val="-1"/>
          <w:sz w:val="22"/>
          <w:szCs w:val="22"/>
          <w:lang w:val="en-GB"/>
        </w:rPr>
        <w:t>.</w:t>
      </w:r>
      <w:r w:rsidRPr="00627385">
        <w:rPr>
          <w:spacing w:val="-1"/>
          <w:sz w:val="22"/>
          <w:szCs w:val="22"/>
          <w:vertAlign w:val="superscript"/>
          <w:lang w:val="en-GB"/>
        </w:rPr>
        <w:footnoteReference w:id="22"/>
      </w:r>
    </w:p>
    <w:p w14:paraId="3B23382E" w14:textId="77777777" w:rsidR="006A6686" w:rsidRPr="00627385" w:rsidRDefault="006A6686" w:rsidP="006B3BC4">
      <w:pPr>
        <w:jc w:val="both"/>
        <w:rPr>
          <w:spacing w:val="-1"/>
          <w:sz w:val="18"/>
          <w:szCs w:val="18"/>
          <w:lang w:val="en-GB"/>
        </w:rPr>
      </w:pPr>
    </w:p>
    <w:p w14:paraId="512F14FA" w14:textId="77777777" w:rsidR="006A6686" w:rsidRPr="00627385" w:rsidRDefault="006A6686" w:rsidP="006B3BC4">
      <w:pPr>
        <w:jc w:val="both"/>
        <w:rPr>
          <w:spacing w:val="-1"/>
          <w:sz w:val="18"/>
          <w:szCs w:val="18"/>
          <w:lang w:val="en-GB"/>
        </w:rPr>
      </w:pPr>
    </w:p>
    <w:p w14:paraId="679ACDD8" w14:textId="77777777" w:rsidR="006B3BC4" w:rsidRPr="00627385" w:rsidRDefault="006B3BC4" w:rsidP="006B3BC4">
      <w:pPr>
        <w:jc w:val="both"/>
        <w:rPr>
          <w:sz w:val="22"/>
          <w:u w:val="single"/>
          <w:lang w:val="en-GB"/>
        </w:rPr>
      </w:pPr>
      <w:r w:rsidRPr="00627385">
        <w:rPr>
          <w:sz w:val="22"/>
          <w:u w:val="single"/>
          <w:lang w:val="en-GB"/>
        </w:rPr>
        <w:t>Sodexo SA</w:t>
      </w:r>
    </w:p>
    <w:p w14:paraId="38D7CEC1" w14:textId="77777777" w:rsidR="006B3BC4" w:rsidRPr="00627385" w:rsidRDefault="006B3BC4" w:rsidP="006B3BC4">
      <w:pPr>
        <w:jc w:val="both"/>
        <w:rPr>
          <w:spacing w:val="-1"/>
          <w:sz w:val="18"/>
          <w:szCs w:val="18"/>
          <w:lang w:val="en-GB"/>
        </w:rPr>
      </w:pPr>
    </w:p>
    <w:p w14:paraId="4A23A28C" w14:textId="4BB92079" w:rsidR="006B3BC4" w:rsidRPr="00627385" w:rsidRDefault="006B3BC4" w:rsidP="006B3BC4">
      <w:pPr>
        <w:jc w:val="both"/>
        <w:rPr>
          <w:color w:val="222222"/>
          <w:spacing w:val="-1"/>
          <w:sz w:val="22"/>
          <w:szCs w:val="22"/>
          <w:shd w:val="clear" w:color="auto" w:fill="FFFFFF"/>
          <w:lang w:val="en-GB"/>
        </w:rPr>
      </w:pPr>
      <w:r w:rsidRPr="00627385">
        <w:rPr>
          <w:spacing w:val="-1"/>
          <w:sz w:val="22"/>
          <w:szCs w:val="22"/>
          <w:lang w:val="en-GB"/>
        </w:rPr>
        <w:t xml:space="preserve">Sodexo was based in Paris, France. Founded in 1966, it specialized in serving local schools, hospitals, and restaurants. Sodexo currently operated in 80 countries. In 2015, Sodexo earned </w:t>
      </w:r>
      <w:r w:rsidRPr="00627385">
        <w:rPr>
          <w:color w:val="222222"/>
          <w:spacing w:val="-1"/>
          <w:sz w:val="22"/>
          <w:szCs w:val="22"/>
          <w:shd w:val="clear" w:color="auto" w:fill="FFFFFF"/>
          <w:lang w:val="en-GB"/>
        </w:rPr>
        <w:t>€700 million</w:t>
      </w:r>
      <w:r w:rsidR="007B3B6E" w:rsidRPr="00627385">
        <w:rPr>
          <w:rStyle w:val="FootnoteReference"/>
          <w:color w:val="222222"/>
          <w:spacing w:val="-1"/>
          <w:sz w:val="22"/>
          <w:szCs w:val="22"/>
          <w:shd w:val="clear" w:color="auto" w:fill="FFFFFF"/>
          <w:lang w:val="en-GB"/>
        </w:rPr>
        <w:footnoteReference w:id="23"/>
      </w:r>
      <w:r w:rsidR="002D5F21">
        <w:rPr>
          <w:color w:val="222222"/>
          <w:spacing w:val="-1"/>
          <w:sz w:val="22"/>
          <w:szCs w:val="22"/>
          <w:shd w:val="clear" w:color="auto" w:fill="FFFFFF"/>
          <w:lang w:val="en-GB"/>
        </w:rPr>
        <w:t xml:space="preserve"> ($1</w:t>
      </w:r>
      <w:r w:rsidRPr="00627385">
        <w:rPr>
          <w:color w:val="222222"/>
          <w:spacing w:val="-1"/>
          <w:sz w:val="22"/>
          <w:szCs w:val="22"/>
          <w:shd w:val="clear" w:color="auto" w:fill="FFFFFF"/>
          <w:lang w:val="en-GB"/>
        </w:rPr>
        <w:t xml:space="preserve"> billion) </w:t>
      </w:r>
      <w:r w:rsidRPr="00627385">
        <w:rPr>
          <w:color w:val="222222"/>
          <w:spacing w:val="-1"/>
          <w:sz w:val="22"/>
          <w:szCs w:val="22"/>
          <w:shd w:val="clear" w:color="auto" w:fill="FFFFFF"/>
          <w:lang w:val="en-GB"/>
        </w:rPr>
        <w:lastRenderedPageBreak/>
        <w:t xml:space="preserve">in profits on €19.8 billion ($28.9 billion) in sales. Of total sales, approximately 41 per cent originated from its North American operations and </w:t>
      </w:r>
      <w:r w:rsidR="007B3B6E" w:rsidRPr="00627385">
        <w:rPr>
          <w:color w:val="222222"/>
          <w:spacing w:val="-1"/>
          <w:sz w:val="22"/>
          <w:szCs w:val="22"/>
          <w:shd w:val="clear" w:color="auto" w:fill="FFFFFF"/>
          <w:lang w:val="en-GB"/>
        </w:rPr>
        <w:t>9</w:t>
      </w:r>
      <w:r w:rsidRPr="00627385">
        <w:rPr>
          <w:color w:val="222222"/>
          <w:spacing w:val="-1"/>
          <w:sz w:val="22"/>
          <w:szCs w:val="22"/>
          <w:shd w:val="clear" w:color="auto" w:fill="FFFFFF"/>
          <w:lang w:val="en-GB"/>
        </w:rPr>
        <w:t xml:space="preserve"> per cent originated from its remote site services.</w:t>
      </w:r>
      <w:r w:rsidRPr="00627385">
        <w:rPr>
          <w:color w:val="222222"/>
          <w:spacing w:val="-1"/>
          <w:sz w:val="22"/>
          <w:szCs w:val="22"/>
          <w:shd w:val="clear" w:color="auto" w:fill="FFFFFF"/>
          <w:vertAlign w:val="superscript"/>
          <w:lang w:val="en-GB"/>
        </w:rPr>
        <w:footnoteReference w:id="24"/>
      </w:r>
    </w:p>
    <w:p w14:paraId="541FA5EE" w14:textId="77777777" w:rsidR="006B3BC4" w:rsidRPr="00627385" w:rsidRDefault="006B3BC4" w:rsidP="006B3BC4">
      <w:pPr>
        <w:jc w:val="both"/>
        <w:rPr>
          <w:color w:val="222222"/>
          <w:spacing w:val="-1"/>
          <w:sz w:val="18"/>
          <w:szCs w:val="18"/>
          <w:shd w:val="clear" w:color="auto" w:fill="FFFFFF"/>
          <w:lang w:val="en-GB"/>
        </w:rPr>
      </w:pPr>
    </w:p>
    <w:p w14:paraId="5D2D89D4" w14:textId="46300C61" w:rsidR="006B3BC4" w:rsidRPr="00627385" w:rsidRDefault="000E0E0C" w:rsidP="006B3BC4">
      <w:pPr>
        <w:jc w:val="both"/>
        <w:rPr>
          <w:color w:val="222222"/>
          <w:spacing w:val="-1"/>
          <w:sz w:val="22"/>
          <w:szCs w:val="22"/>
          <w:shd w:val="clear" w:color="auto" w:fill="FFFFFF"/>
          <w:lang w:val="en-GB"/>
        </w:rPr>
      </w:pPr>
      <w:r w:rsidRPr="00627385">
        <w:rPr>
          <w:color w:val="222222"/>
          <w:spacing w:val="-1"/>
          <w:sz w:val="22"/>
          <w:szCs w:val="22"/>
          <w:shd w:val="clear" w:color="auto" w:fill="FFFFFF"/>
          <w:lang w:val="en-GB"/>
        </w:rPr>
        <w:t>T</w:t>
      </w:r>
      <w:r w:rsidR="006B3BC4" w:rsidRPr="00627385">
        <w:rPr>
          <w:color w:val="222222"/>
          <w:spacing w:val="-1"/>
          <w:sz w:val="22"/>
          <w:szCs w:val="22"/>
          <w:shd w:val="clear" w:color="auto" w:fill="FFFFFF"/>
          <w:lang w:val="en-GB"/>
        </w:rPr>
        <w:t xml:space="preserve">he beef products </w:t>
      </w:r>
      <w:r w:rsidRPr="00627385">
        <w:rPr>
          <w:color w:val="222222"/>
          <w:spacing w:val="-1"/>
          <w:sz w:val="22"/>
          <w:szCs w:val="22"/>
          <w:shd w:val="clear" w:color="auto" w:fill="FFFFFF"/>
          <w:lang w:val="en-GB"/>
        </w:rPr>
        <w:t>Sodexo</w:t>
      </w:r>
      <w:r w:rsidR="006B3BC4" w:rsidRPr="00627385">
        <w:rPr>
          <w:color w:val="222222"/>
          <w:spacing w:val="-1"/>
          <w:sz w:val="22"/>
          <w:szCs w:val="22"/>
          <w:shd w:val="clear" w:color="auto" w:fill="FFFFFF"/>
          <w:lang w:val="en-GB"/>
        </w:rPr>
        <w:t xml:space="preserve"> had served in 2,300 institutions across the U</w:t>
      </w:r>
      <w:r w:rsidR="007B3B6E" w:rsidRPr="00627385">
        <w:rPr>
          <w:color w:val="222222"/>
          <w:spacing w:val="-1"/>
          <w:sz w:val="22"/>
          <w:szCs w:val="22"/>
          <w:shd w:val="clear" w:color="auto" w:fill="FFFFFF"/>
          <w:lang w:val="en-GB"/>
        </w:rPr>
        <w:t xml:space="preserve">nited </w:t>
      </w:r>
      <w:r w:rsidR="006B3BC4" w:rsidRPr="00627385">
        <w:rPr>
          <w:color w:val="222222"/>
          <w:spacing w:val="-1"/>
          <w:sz w:val="22"/>
          <w:szCs w:val="22"/>
          <w:shd w:val="clear" w:color="auto" w:fill="FFFFFF"/>
          <w:lang w:val="en-GB"/>
        </w:rPr>
        <w:t>K</w:t>
      </w:r>
      <w:r w:rsidR="00840977" w:rsidRPr="00627385">
        <w:rPr>
          <w:color w:val="222222"/>
          <w:spacing w:val="-1"/>
          <w:sz w:val="22"/>
          <w:szCs w:val="22"/>
          <w:shd w:val="clear" w:color="auto" w:fill="FFFFFF"/>
          <w:lang w:val="en-GB"/>
        </w:rPr>
        <w:t>in</w:t>
      </w:r>
      <w:r w:rsidR="007B3B6E" w:rsidRPr="00627385">
        <w:rPr>
          <w:color w:val="222222"/>
          <w:spacing w:val="-1"/>
          <w:sz w:val="22"/>
          <w:szCs w:val="22"/>
          <w:shd w:val="clear" w:color="auto" w:fill="FFFFFF"/>
          <w:lang w:val="en-GB"/>
        </w:rPr>
        <w:t>g</w:t>
      </w:r>
      <w:r w:rsidR="00840977" w:rsidRPr="00627385">
        <w:rPr>
          <w:color w:val="222222"/>
          <w:spacing w:val="-1"/>
          <w:sz w:val="22"/>
          <w:szCs w:val="22"/>
          <w:shd w:val="clear" w:color="auto" w:fill="FFFFFF"/>
          <w:lang w:val="en-GB"/>
        </w:rPr>
        <w:t>d</w:t>
      </w:r>
      <w:r w:rsidR="007B3B6E" w:rsidRPr="00627385">
        <w:rPr>
          <w:color w:val="222222"/>
          <w:spacing w:val="-1"/>
          <w:sz w:val="22"/>
          <w:szCs w:val="22"/>
          <w:shd w:val="clear" w:color="auto" w:fill="FFFFFF"/>
          <w:lang w:val="en-GB"/>
        </w:rPr>
        <w:t>om</w:t>
      </w:r>
      <w:r w:rsidR="006B3BC4" w:rsidRPr="00627385">
        <w:rPr>
          <w:color w:val="222222"/>
          <w:spacing w:val="-1"/>
          <w:sz w:val="22"/>
          <w:szCs w:val="22"/>
          <w:shd w:val="clear" w:color="auto" w:fill="FFFFFF"/>
          <w:lang w:val="en-GB"/>
        </w:rPr>
        <w:t xml:space="preserve"> and Ireland </w:t>
      </w:r>
      <w:r w:rsidRPr="00627385">
        <w:rPr>
          <w:color w:val="222222"/>
          <w:spacing w:val="-1"/>
          <w:sz w:val="22"/>
          <w:szCs w:val="22"/>
          <w:shd w:val="clear" w:color="auto" w:fill="FFFFFF"/>
          <w:lang w:val="en-GB"/>
        </w:rPr>
        <w:t>were also implicated in the 2013 horse meat scandal</w:t>
      </w:r>
      <w:r w:rsidR="006B3BC4" w:rsidRPr="00627385">
        <w:rPr>
          <w:color w:val="222222"/>
          <w:spacing w:val="-1"/>
          <w:sz w:val="22"/>
          <w:szCs w:val="22"/>
          <w:shd w:val="clear" w:color="auto" w:fill="FFFFFF"/>
          <w:lang w:val="en-GB"/>
        </w:rPr>
        <w:t>.</w:t>
      </w:r>
      <w:r w:rsidR="006B3BC4" w:rsidRPr="00627385">
        <w:rPr>
          <w:color w:val="222222"/>
          <w:spacing w:val="-1"/>
          <w:sz w:val="22"/>
          <w:szCs w:val="22"/>
          <w:shd w:val="clear" w:color="auto" w:fill="FFFFFF"/>
          <w:vertAlign w:val="superscript"/>
          <w:lang w:val="en-GB"/>
        </w:rPr>
        <w:footnoteReference w:id="25"/>
      </w:r>
    </w:p>
    <w:p w14:paraId="370D7936" w14:textId="77777777" w:rsidR="006B3BC4" w:rsidRPr="00627385" w:rsidRDefault="006B3BC4" w:rsidP="006B3BC4">
      <w:pPr>
        <w:jc w:val="both"/>
        <w:rPr>
          <w:color w:val="222222"/>
          <w:spacing w:val="-1"/>
          <w:sz w:val="18"/>
          <w:szCs w:val="18"/>
          <w:shd w:val="clear" w:color="auto" w:fill="FFFFFF"/>
          <w:lang w:val="en-GB"/>
        </w:rPr>
      </w:pPr>
    </w:p>
    <w:p w14:paraId="1AEFD560" w14:textId="77777777" w:rsidR="006B3BC4" w:rsidRPr="00627385" w:rsidRDefault="006B3BC4" w:rsidP="006B3BC4">
      <w:pPr>
        <w:jc w:val="both"/>
        <w:rPr>
          <w:color w:val="222222"/>
          <w:spacing w:val="-1"/>
          <w:sz w:val="18"/>
          <w:szCs w:val="18"/>
          <w:shd w:val="clear" w:color="auto" w:fill="FFFFFF"/>
          <w:lang w:val="en-GB"/>
        </w:rPr>
      </w:pPr>
    </w:p>
    <w:p w14:paraId="7DD985A9" w14:textId="77777777" w:rsidR="006B3BC4" w:rsidRPr="00627385" w:rsidRDefault="006B3BC4" w:rsidP="006B3BC4">
      <w:pPr>
        <w:jc w:val="both"/>
        <w:rPr>
          <w:sz w:val="22"/>
          <w:u w:val="single"/>
          <w:lang w:val="en-GB"/>
        </w:rPr>
      </w:pPr>
      <w:r w:rsidRPr="00627385">
        <w:rPr>
          <w:sz w:val="22"/>
          <w:u w:val="single"/>
          <w:lang w:val="en-GB"/>
        </w:rPr>
        <w:t>Civeo Corporation</w:t>
      </w:r>
      <w:r w:rsidRPr="00627385">
        <w:rPr>
          <w:sz w:val="22"/>
          <w:vertAlign w:val="superscript"/>
          <w:lang w:val="en-GB"/>
        </w:rPr>
        <w:footnoteReference w:id="26"/>
      </w:r>
    </w:p>
    <w:p w14:paraId="1CE990AB" w14:textId="77777777" w:rsidR="006B3BC4" w:rsidRPr="00627385" w:rsidRDefault="006B3BC4" w:rsidP="006B3BC4">
      <w:pPr>
        <w:jc w:val="both"/>
        <w:rPr>
          <w:spacing w:val="-1"/>
          <w:sz w:val="18"/>
          <w:szCs w:val="18"/>
          <w:lang w:val="en-GB"/>
        </w:rPr>
      </w:pPr>
    </w:p>
    <w:p w14:paraId="475FB5BB" w14:textId="79D007E8" w:rsidR="006B3BC4" w:rsidRPr="00627385" w:rsidRDefault="006B3BC4" w:rsidP="006B3BC4">
      <w:pPr>
        <w:jc w:val="both"/>
        <w:rPr>
          <w:spacing w:val="-1"/>
          <w:sz w:val="22"/>
          <w:szCs w:val="22"/>
          <w:lang w:val="en-GB"/>
        </w:rPr>
      </w:pPr>
      <w:r w:rsidRPr="00627385">
        <w:rPr>
          <w:spacing w:val="-1"/>
          <w:sz w:val="22"/>
          <w:szCs w:val="22"/>
          <w:lang w:val="en-GB"/>
        </w:rPr>
        <w:t>Civeo was based in Edmonton, Canada</w:t>
      </w:r>
      <w:r w:rsidR="007B3B6E" w:rsidRPr="00627385">
        <w:rPr>
          <w:spacing w:val="-1"/>
          <w:sz w:val="22"/>
          <w:szCs w:val="22"/>
          <w:lang w:val="en-GB"/>
        </w:rPr>
        <w:t>, and</w:t>
      </w:r>
      <w:r w:rsidRPr="00627385">
        <w:rPr>
          <w:spacing w:val="-1"/>
          <w:sz w:val="22"/>
          <w:szCs w:val="22"/>
          <w:lang w:val="en-GB"/>
        </w:rPr>
        <w:t xml:space="preserve"> had operations in Canada, the United States, and Australia, representing 67 per cent, 7 per cent, and 26 per cent of revenues, respectively. Civeo serviced primarily oil sites in North America and coal mine sites in Australia with lodging, catering, housekeeping, and janitorial services. In addition to providing remote</w:t>
      </w:r>
      <w:r w:rsidR="0083707B" w:rsidRPr="00627385">
        <w:rPr>
          <w:spacing w:val="-1"/>
          <w:sz w:val="22"/>
          <w:szCs w:val="22"/>
          <w:lang w:val="en-GB"/>
        </w:rPr>
        <w:t>-</w:t>
      </w:r>
      <w:r w:rsidRPr="00627385">
        <w:rPr>
          <w:spacing w:val="-1"/>
          <w:sz w:val="22"/>
          <w:szCs w:val="22"/>
          <w:lang w:val="en-GB"/>
        </w:rPr>
        <w:t>site food services, Civeo also leased heavy equipment used in the mining and oil extraction process to its customers. In 2015, Civeo was affected by low commodity prices, reporting a net los</w:t>
      </w:r>
      <w:r w:rsidR="002D5F21">
        <w:rPr>
          <w:spacing w:val="-1"/>
          <w:sz w:val="22"/>
          <w:szCs w:val="22"/>
          <w:lang w:val="en-GB"/>
        </w:rPr>
        <w:t>s of $172.6 million on revenues of $679 million</w:t>
      </w:r>
      <w:r w:rsidRPr="00627385">
        <w:rPr>
          <w:spacing w:val="-1"/>
          <w:sz w:val="22"/>
          <w:szCs w:val="22"/>
          <w:lang w:val="en-GB"/>
        </w:rPr>
        <w:t>.</w:t>
      </w:r>
    </w:p>
    <w:p w14:paraId="3DCB96F5" w14:textId="77777777" w:rsidR="006B3BC4" w:rsidRPr="00627385" w:rsidRDefault="006B3BC4" w:rsidP="00627385">
      <w:pPr>
        <w:pStyle w:val="BodyTextMain"/>
      </w:pPr>
    </w:p>
    <w:p w14:paraId="466B0E8B" w14:textId="77777777" w:rsidR="006B3BC4" w:rsidRPr="00627385" w:rsidRDefault="006B3BC4" w:rsidP="00627385">
      <w:pPr>
        <w:pStyle w:val="BodyTextMain"/>
      </w:pPr>
    </w:p>
    <w:p w14:paraId="1419C6A9" w14:textId="77777777" w:rsidR="006B3BC4" w:rsidRPr="00627385" w:rsidRDefault="006B3BC4" w:rsidP="006B3BC4">
      <w:pPr>
        <w:jc w:val="both"/>
        <w:rPr>
          <w:rFonts w:ascii="Arial" w:hAnsi="Arial"/>
          <w:b/>
          <w:caps/>
          <w:lang w:val="en-GB"/>
        </w:rPr>
      </w:pPr>
      <w:r w:rsidRPr="00627385">
        <w:rPr>
          <w:rFonts w:ascii="Arial" w:hAnsi="Arial"/>
          <w:b/>
          <w:caps/>
          <w:lang w:val="en-GB"/>
        </w:rPr>
        <w:t>Comfort Remote Site Services</w:t>
      </w:r>
    </w:p>
    <w:p w14:paraId="3BE704E8" w14:textId="77777777" w:rsidR="006B3BC4" w:rsidRPr="00627385" w:rsidRDefault="006B3BC4" w:rsidP="006B3BC4">
      <w:pPr>
        <w:jc w:val="both"/>
        <w:rPr>
          <w:spacing w:val="-1"/>
          <w:sz w:val="18"/>
          <w:szCs w:val="18"/>
          <w:lang w:val="en-GB"/>
        </w:rPr>
      </w:pPr>
    </w:p>
    <w:p w14:paraId="28B40502" w14:textId="77777777" w:rsidR="006B3BC4" w:rsidRPr="00627385" w:rsidRDefault="006B3BC4" w:rsidP="006B3BC4">
      <w:pPr>
        <w:jc w:val="both"/>
        <w:rPr>
          <w:rFonts w:ascii="Arial" w:hAnsi="Arial"/>
          <w:b/>
          <w:lang w:val="en-GB"/>
        </w:rPr>
      </w:pPr>
      <w:r w:rsidRPr="00627385">
        <w:rPr>
          <w:rFonts w:ascii="Arial" w:hAnsi="Arial"/>
          <w:b/>
          <w:lang w:val="en-GB"/>
        </w:rPr>
        <w:t>Background</w:t>
      </w:r>
    </w:p>
    <w:p w14:paraId="1D30F791" w14:textId="77777777" w:rsidR="006B3BC4" w:rsidRPr="00627385" w:rsidRDefault="006B3BC4" w:rsidP="006B3BC4">
      <w:pPr>
        <w:jc w:val="both"/>
        <w:rPr>
          <w:spacing w:val="-1"/>
          <w:sz w:val="18"/>
          <w:szCs w:val="18"/>
          <w:lang w:val="en-GB"/>
        </w:rPr>
      </w:pPr>
    </w:p>
    <w:p w14:paraId="7A964758" w14:textId="3C57B45D" w:rsidR="006B3BC4" w:rsidRPr="00627385" w:rsidRDefault="006B3BC4" w:rsidP="006B3BC4">
      <w:pPr>
        <w:jc w:val="both"/>
        <w:rPr>
          <w:spacing w:val="-1"/>
          <w:sz w:val="22"/>
          <w:szCs w:val="22"/>
          <w:lang w:val="en-GB"/>
        </w:rPr>
      </w:pPr>
      <w:r w:rsidRPr="00627385">
        <w:rPr>
          <w:spacing w:val="-1"/>
          <w:sz w:val="22"/>
          <w:szCs w:val="22"/>
          <w:lang w:val="en-GB"/>
        </w:rPr>
        <w:t>Comfort was founded in 1953</w:t>
      </w:r>
      <w:r w:rsidR="000346D1" w:rsidRPr="00627385">
        <w:rPr>
          <w:spacing w:val="-1"/>
          <w:sz w:val="22"/>
          <w:szCs w:val="22"/>
          <w:lang w:val="en-GB"/>
        </w:rPr>
        <w:t xml:space="preserve"> and</w:t>
      </w:r>
      <w:r w:rsidRPr="00627385">
        <w:rPr>
          <w:spacing w:val="-1"/>
          <w:sz w:val="22"/>
          <w:szCs w:val="22"/>
          <w:lang w:val="en-GB"/>
        </w:rPr>
        <w:t xml:space="preserve"> based in Oakville, Ontario</w:t>
      </w:r>
      <w:r w:rsidR="000346D1" w:rsidRPr="00627385">
        <w:rPr>
          <w:spacing w:val="-1"/>
          <w:sz w:val="22"/>
          <w:szCs w:val="22"/>
          <w:lang w:val="en-GB"/>
        </w:rPr>
        <w:t>.</w:t>
      </w:r>
      <w:r w:rsidRPr="00627385">
        <w:rPr>
          <w:spacing w:val="-1"/>
          <w:sz w:val="22"/>
          <w:szCs w:val="22"/>
          <w:lang w:val="en-GB"/>
        </w:rPr>
        <w:t xml:space="preserve"> </w:t>
      </w:r>
      <w:r w:rsidR="000346D1" w:rsidRPr="00627385">
        <w:rPr>
          <w:spacing w:val="-1"/>
          <w:sz w:val="22"/>
          <w:szCs w:val="22"/>
          <w:lang w:val="en-GB"/>
        </w:rPr>
        <w:t xml:space="preserve">It </w:t>
      </w:r>
      <w:r w:rsidRPr="00627385">
        <w:rPr>
          <w:spacing w:val="-1"/>
          <w:sz w:val="22"/>
          <w:szCs w:val="22"/>
          <w:lang w:val="en-GB"/>
        </w:rPr>
        <w:t xml:space="preserve">currently had over 700 employees. The company initially </w:t>
      </w:r>
      <w:r w:rsidR="00406741" w:rsidRPr="00627385">
        <w:rPr>
          <w:spacing w:val="-1"/>
          <w:sz w:val="22"/>
          <w:szCs w:val="22"/>
          <w:lang w:val="en-GB"/>
        </w:rPr>
        <w:t xml:space="preserve">had </w:t>
      </w:r>
      <w:r w:rsidRPr="00627385">
        <w:rPr>
          <w:spacing w:val="-1"/>
          <w:sz w:val="22"/>
          <w:szCs w:val="22"/>
          <w:lang w:val="en-GB"/>
        </w:rPr>
        <w:t xml:space="preserve">specialized in the remote mining and highway restaurant industries. In 1991, Comfort exited the highway restaurant business and entered the education cafeteria services sector. In 2005, it refocused its efforts on catering, housekeeping, and janitorial services at remote mine sites, dedicating all of its resources to building relationships and expertise in the remote mining sector. Rather than using a dispatch system for its employees, Comfort harnessed local remote communities in joint ventures to staff its remote site operations. These ventures included partnerships with </w:t>
      </w:r>
      <w:r w:rsidR="001E31E1" w:rsidRPr="00627385">
        <w:rPr>
          <w:spacing w:val="-1"/>
          <w:sz w:val="22"/>
          <w:szCs w:val="22"/>
          <w:lang w:val="en-GB"/>
        </w:rPr>
        <w:t>A</w:t>
      </w:r>
      <w:r w:rsidRPr="00627385">
        <w:rPr>
          <w:spacing w:val="-1"/>
          <w:sz w:val="22"/>
          <w:szCs w:val="22"/>
          <w:lang w:val="en-GB"/>
        </w:rPr>
        <w:t>boriginal communities that helped to create local jobs. The average manager at Comfort had over 20 years of experience in the food service industry</w:t>
      </w:r>
      <w:r w:rsidR="00CF7CD9" w:rsidRPr="00627385">
        <w:rPr>
          <w:spacing w:val="-1"/>
          <w:sz w:val="22"/>
          <w:szCs w:val="22"/>
          <w:lang w:val="en-GB"/>
        </w:rPr>
        <w:t>,</w:t>
      </w:r>
      <w:r w:rsidRPr="00627385">
        <w:rPr>
          <w:spacing w:val="-1"/>
          <w:sz w:val="22"/>
          <w:szCs w:val="22"/>
          <w:lang w:val="en-GB"/>
        </w:rPr>
        <w:t xml:space="preserve"> and </w:t>
      </w:r>
      <w:r w:rsidR="000346D1" w:rsidRPr="00627385">
        <w:rPr>
          <w:spacing w:val="-1"/>
          <w:sz w:val="22"/>
          <w:szCs w:val="22"/>
          <w:lang w:val="en-GB"/>
        </w:rPr>
        <w:t>Comfort’s</w:t>
      </w:r>
      <w:r w:rsidRPr="00627385">
        <w:rPr>
          <w:spacing w:val="-1"/>
          <w:sz w:val="22"/>
          <w:szCs w:val="22"/>
          <w:lang w:val="en-GB"/>
        </w:rPr>
        <w:t xml:space="preserve"> financial controller had been with </w:t>
      </w:r>
      <w:r w:rsidR="000346D1" w:rsidRPr="00627385">
        <w:rPr>
          <w:spacing w:val="-1"/>
          <w:sz w:val="22"/>
          <w:szCs w:val="22"/>
          <w:lang w:val="en-GB"/>
        </w:rPr>
        <w:t>the company</w:t>
      </w:r>
      <w:r w:rsidRPr="00627385">
        <w:rPr>
          <w:spacing w:val="-1"/>
          <w:sz w:val="22"/>
          <w:szCs w:val="22"/>
          <w:lang w:val="en-GB"/>
        </w:rPr>
        <w:t xml:space="preserve"> for over 15 years.</w:t>
      </w:r>
    </w:p>
    <w:p w14:paraId="3ABB3669" w14:textId="77777777" w:rsidR="006A6686" w:rsidRPr="00627385" w:rsidRDefault="006A6686" w:rsidP="006B3BC4">
      <w:pPr>
        <w:jc w:val="both"/>
        <w:rPr>
          <w:spacing w:val="-1"/>
          <w:sz w:val="22"/>
          <w:szCs w:val="22"/>
          <w:lang w:val="en-GB"/>
        </w:rPr>
      </w:pPr>
    </w:p>
    <w:p w14:paraId="020E5983" w14:textId="019701E4" w:rsidR="006B3BC4" w:rsidRPr="00627385" w:rsidRDefault="006B3BC4" w:rsidP="006B3BC4">
      <w:pPr>
        <w:jc w:val="both"/>
        <w:rPr>
          <w:spacing w:val="-1"/>
          <w:sz w:val="22"/>
          <w:szCs w:val="22"/>
          <w:lang w:val="en-GB"/>
        </w:rPr>
      </w:pPr>
      <w:r w:rsidRPr="00627385">
        <w:rPr>
          <w:spacing w:val="-1"/>
          <w:sz w:val="22"/>
          <w:szCs w:val="22"/>
          <w:lang w:val="en-GB"/>
        </w:rPr>
        <w:t>Presently, Comfort had operations in over 25 remote locations across four Canadian provinces and territories. It operated in a number of different mining and exploration sectors (iron ore, diamond, gold, and copper). Comfort had satellite offices in Edmonton, Alberta; Montreal, Quebec; and Victoria, British Columbia, to help oversee operations across the country. See Exhibits 2 and 3 for the company’s statement of earnings and statement of financial position for 2014 and 2015 fiscal years</w:t>
      </w:r>
      <w:r w:rsidR="001B3BAB" w:rsidRPr="00627385">
        <w:rPr>
          <w:spacing w:val="-1"/>
          <w:sz w:val="22"/>
          <w:szCs w:val="22"/>
          <w:lang w:val="en-GB"/>
        </w:rPr>
        <w:t>.</w:t>
      </w:r>
    </w:p>
    <w:p w14:paraId="7B8CA305" w14:textId="77777777" w:rsidR="006B3BC4" w:rsidRPr="00627385" w:rsidRDefault="006B3BC4" w:rsidP="006B3BC4">
      <w:pPr>
        <w:jc w:val="both"/>
        <w:rPr>
          <w:spacing w:val="-1"/>
          <w:sz w:val="18"/>
          <w:szCs w:val="18"/>
          <w:lang w:val="en-GB"/>
        </w:rPr>
      </w:pPr>
    </w:p>
    <w:p w14:paraId="5D56EC01" w14:textId="77777777" w:rsidR="006B3BC4" w:rsidRPr="00627385" w:rsidRDefault="006B3BC4" w:rsidP="006B3BC4">
      <w:pPr>
        <w:jc w:val="both"/>
        <w:rPr>
          <w:spacing w:val="-1"/>
          <w:sz w:val="18"/>
          <w:szCs w:val="18"/>
          <w:lang w:val="en-GB"/>
        </w:rPr>
      </w:pPr>
    </w:p>
    <w:p w14:paraId="6AA8D693" w14:textId="77777777" w:rsidR="006B3BC4" w:rsidRPr="00627385" w:rsidRDefault="006B3BC4" w:rsidP="006B3BC4">
      <w:pPr>
        <w:jc w:val="both"/>
        <w:rPr>
          <w:rFonts w:ascii="Arial" w:hAnsi="Arial"/>
          <w:b/>
          <w:lang w:val="en-GB"/>
        </w:rPr>
      </w:pPr>
      <w:r w:rsidRPr="00627385">
        <w:rPr>
          <w:rFonts w:ascii="Arial" w:hAnsi="Arial"/>
          <w:b/>
          <w:lang w:val="en-GB"/>
        </w:rPr>
        <w:t>Thomas Young</w:t>
      </w:r>
    </w:p>
    <w:p w14:paraId="6A3CBB0A" w14:textId="77777777" w:rsidR="006B3BC4" w:rsidRPr="00627385" w:rsidRDefault="006B3BC4" w:rsidP="006B3BC4">
      <w:pPr>
        <w:jc w:val="both"/>
        <w:rPr>
          <w:spacing w:val="-1"/>
          <w:sz w:val="18"/>
          <w:szCs w:val="18"/>
          <w:lang w:val="en-GB"/>
        </w:rPr>
      </w:pPr>
    </w:p>
    <w:p w14:paraId="36E04F37" w14:textId="2D632AE7" w:rsidR="006B3BC4" w:rsidRDefault="006B3BC4" w:rsidP="006B3BC4">
      <w:pPr>
        <w:jc w:val="both"/>
        <w:rPr>
          <w:spacing w:val="-1"/>
          <w:sz w:val="22"/>
          <w:szCs w:val="22"/>
          <w:lang w:val="en-GB"/>
        </w:rPr>
      </w:pPr>
      <w:r w:rsidRPr="00627385">
        <w:rPr>
          <w:spacing w:val="-1"/>
          <w:sz w:val="22"/>
          <w:szCs w:val="22"/>
          <w:lang w:val="en-GB"/>
        </w:rPr>
        <w:t xml:space="preserve">Young joined Comfort in 1976 as the corporate controller after completing his </w:t>
      </w:r>
      <w:r w:rsidR="00336E6F" w:rsidRPr="00627385">
        <w:rPr>
          <w:spacing w:val="-1"/>
          <w:sz w:val="22"/>
          <w:szCs w:val="22"/>
          <w:lang w:val="en-GB"/>
        </w:rPr>
        <w:t>m</w:t>
      </w:r>
      <w:r w:rsidRPr="00627385">
        <w:rPr>
          <w:spacing w:val="-1"/>
          <w:sz w:val="22"/>
          <w:szCs w:val="22"/>
          <w:lang w:val="en-GB"/>
        </w:rPr>
        <w:t xml:space="preserve">aster of </w:t>
      </w:r>
      <w:r w:rsidR="00336E6F" w:rsidRPr="00627385">
        <w:rPr>
          <w:spacing w:val="-1"/>
          <w:sz w:val="22"/>
          <w:szCs w:val="22"/>
          <w:lang w:val="en-GB"/>
        </w:rPr>
        <w:t>b</w:t>
      </w:r>
      <w:r w:rsidRPr="00627385">
        <w:rPr>
          <w:spacing w:val="-1"/>
          <w:sz w:val="22"/>
          <w:szCs w:val="22"/>
          <w:lang w:val="en-GB"/>
        </w:rPr>
        <w:t xml:space="preserve">usiness </w:t>
      </w:r>
      <w:r w:rsidR="00336E6F" w:rsidRPr="00627385">
        <w:rPr>
          <w:spacing w:val="-1"/>
          <w:sz w:val="22"/>
          <w:szCs w:val="22"/>
          <w:lang w:val="en-GB"/>
        </w:rPr>
        <w:t>a</w:t>
      </w:r>
      <w:r w:rsidRPr="00627385">
        <w:rPr>
          <w:spacing w:val="-1"/>
          <w:sz w:val="22"/>
          <w:szCs w:val="22"/>
          <w:lang w:val="en-GB"/>
        </w:rPr>
        <w:t xml:space="preserve">dministration at the Ivey Business School in London, Ontario. He became the company’s chairman and </w:t>
      </w:r>
      <w:r w:rsidR="00872FFC" w:rsidRPr="00627385">
        <w:rPr>
          <w:spacing w:val="-1"/>
          <w:sz w:val="22"/>
          <w:szCs w:val="22"/>
          <w:lang w:val="en-GB"/>
        </w:rPr>
        <w:t>CEO</w:t>
      </w:r>
      <w:r w:rsidRPr="00627385">
        <w:rPr>
          <w:spacing w:val="-1"/>
          <w:sz w:val="22"/>
          <w:szCs w:val="22"/>
          <w:lang w:val="en-GB"/>
        </w:rPr>
        <w:t xml:space="preserve"> after purchasing a controlling share of the business in 1983. As </w:t>
      </w:r>
      <w:r w:rsidR="007854B9" w:rsidRPr="00627385">
        <w:rPr>
          <w:spacing w:val="-1"/>
          <w:sz w:val="22"/>
          <w:szCs w:val="22"/>
          <w:lang w:val="en-GB"/>
        </w:rPr>
        <w:t xml:space="preserve">Comfort was </w:t>
      </w:r>
      <w:r w:rsidRPr="00627385">
        <w:rPr>
          <w:spacing w:val="-1"/>
          <w:sz w:val="22"/>
          <w:szCs w:val="22"/>
          <w:lang w:val="en-GB"/>
        </w:rPr>
        <w:t xml:space="preserve">a relatively small company, Young </w:t>
      </w:r>
      <w:r w:rsidR="007854B9" w:rsidRPr="00627385">
        <w:rPr>
          <w:spacing w:val="-1"/>
          <w:sz w:val="22"/>
          <w:szCs w:val="22"/>
          <w:lang w:val="en-GB"/>
        </w:rPr>
        <w:t xml:space="preserve">had </w:t>
      </w:r>
      <w:r w:rsidRPr="00627385">
        <w:rPr>
          <w:spacing w:val="-1"/>
          <w:sz w:val="22"/>
          <w:szCs w:val="22"/>
          <w:lang w:val="en-GB"/>
        </w:rPr>
        <w:t xml:space="preserve">had time to </w:t>
      </w:r>
      <w:r w:rsidR="007854B9" w:rsidRPr="00627385">
        <w:rPr>
          <w:spacing w:val="-1"/>
          <w:sz w:val="22"/>
          <w:szCs w:val="22"/>
          <w:lang w:val="en-GB"/>
        </w:rPr>
        <w:t xml:space="preserve">come to </w:t>
      </w:r>
      <w:r w:rsidRPr="00627385">
        <w:rPr>
          <w:spacing w:val="-1"/>
          <w:sz w:val="22"/>
          <w:szCs w:val="22"/>
          <w:lang w:val="en-GB"/>
        </w:rPr>
        <w:t xml:space="preserve">understand the </w:t>
      </w:r>
      <w:r w:rsidR="00CF7CD9" w:rsidRPr="00627385">
        <w:rPr>
          <w:spacing w:val="-1"/>
          <w:sz w:val="22"/>
          <w:szCs w:val="22"/>
          <w:lang w:val="en-GB"/>
        </w:rPr>
        <w:t xml:space="preserve">needs of the </w:t>
      </w:r>
      <w:r w:rsidRPr="00627385">
        <w:rPr>
          <w:spacing w:val="-1"/>
          <w:sz w:val="22"/>
          <w:szCs w:val="22"/>
          <w:lang w:val="en-GB"/>
        </w:rPr>
        <w:t>company’s customers</w:t>
      </w:r>
      <w:r w:rsidR="007854B9" w:rsidRPr="00627385">
        <w:rPr>
          <w:spacing w:val="-1"/>
          <w:sz w:val="22"/>
          <w:szCs w:val="22"/>
          <w:lang w:val="en-GB"/>
        </w:rPr>
        <w:t>,</w:t>
      </w:r>
      <w:r w:rsidRPr="00627385">
        <w:rPr>
          <w:spacing w:val="-1"/>
          <w:sz w:val="22"/>
          <w:szCs w:val="22"/>
          <w:lang w:val="en-GB"/>
        </w:rPr>
        <w:t xml:space="preserve"> and</w:t>
      </w:r>
      <w:r w:rsidR="007854B9" w:rsidRPr="00627385">
        <w:rPr>
          <w:spacing w:val="-1"/>
          <w:sz w:val="22"/>
          <w:szCs w:val="22"/>
          <w:lang w:val="en-GB"/>
        </w:rPr>
        <w:t xml:space="preserve"> he</w:t>
      </w:r>
      <w:r w:rsidRPr="00627385">
        <w:rPr>
          <w:spacing w:val="-1"/>
          <w:sz w:val="22"/>
          <w:szCs w:val="22"/>
          <w:lang w:val="en-GB"/>
        </w:rPr>
        <w:t xml:space="preserve"> had </w:t>
      </w:r>
      <w:r w:rsidRPr="00627385">
        <w:rPr>
          <w:spacing w:val="-1"/>
          <w:sz w:val="22"/>
          <w:szCs w:val="22"/>
          <w:lang w:val="en-GB"/>
        </w:rPr>
        <w:lastRenderedPageBreak/>
        <w:t>built strong working relationships with its client base. This knowledge and experience were evidenced by Comfort’s contract renewal rate of over 95 per cent under Young’s management.</w:t>
      </w:r>
    </w:p>
    <w:p w14:paraId="1EC35DCA" w14:textId="77777777" w:rsidR="00627385" w:rsidRPr="00627385" w:rsidRDefault="00627385" w:rsidP="006B3BC4">
      <w:pPr>
        <w:jc w:val="both"/>
        <w:rPr>
          <w:spacing w:val="-1"/>
          <w:sz w:val="22"/>
          <w:szCs w:val="22"/>
          <w:lang w:val="en-GB"/>
        </w:rPr>
      </w:pPr>
    </w:p>
    <w:p w14:paraId="3577030A" w14:textId="77777777" w:rsidR="006B3BC4" w:rsidRPr="00627385" w:rsidRDefault="006B3BC4" w:rsidP="006B3BC4">
      <w:pPr>
        <w:jc w:val="both"/>
        <w:rPr>
          <w:spacing w:val="-1"/>
          <w:sz w:val="22"/>
          <w:szCs w:val="22"/>
          <w:lang w:val="en-GB"/>
        </w:rPr>
      </w:pPr>
      <w:r w:rsidRPr="00627385">
        <w:rPr>
          <w:spacing w:val="-1"/>
          <w:sz w:val="22"/>
          <w:szCs w:val="22"/>
          <w:lang w:val="en-GB"/>
        </w:rPr>
        <w:t>Young’s retirement plans were on the horizon. Although no concrete plans had been made, he was content with Comfort’s current performance and did not have plans to aggressively expand the business.</w:t>
      </w:r>
    </w:p>
    <w:p w14:paraId="31BC6037" w14:textId="77777777" w:rsidR="006B3BC4" w:rsidRPr="00627385" w:rsidRDefault="006B3BC4" w:rsidP="006B3BC4">
      <w:pPr>
        <w:jc w:val="both"/>
        <w:rPr>
          <w:spacing w:val="-1"/>
          <w:sz w:val="18"/>
          <w:szCs w:val="18"/>
          <w:lang w:val="en-GB"/>
        </w:rPr>
      </w:pPr>
    </w:p>
    <w:p w14:paraId="22C3DFB2" w14:textId="77777777" w:rsidR="006B3BC4" w:rsidRPr="00627385" w:rsidRDefault="006B3BC4" w:rsidP="006B3BC4">
      <w:pPr>
        <w:jc w:val="both"/>
        <w:rPr>
          <w:spacing w:val="-1"/>
          <w:sz w:val="18"/>
          <w:szCs w:val="18"/>
          <w:lang w:val="en-GB"/>
        </w:rPr>
      </w:pPr>
    </w:p>
    <w:p w14:paraId="4F696E9A" w14:textId="77777777" w:rsidR="006B3BC4" w:rsidRPr="00627385" w:rsidRDefault="006B3BC4" w:rsidP="006B3BC4">
      <w:pPr>
        <w:jc w:val="both"/>
        <w:rPr>
          <w:rFonts w:ascii="Arial" w:hAnsi="Arial"/>
          <w:b/>
          <w:caps/>
          <w:lang w:val="en-GB"/>
        </w:rPr>
      </w:pPr>
      <w:r w:rsidRPr="00627385">
        <w:rPr>
          <w:rFonts w:ascii="Arial" w:hAnsi="Arial"/>
          <w:b/>
          <w:caps/>
          <w:lang w:val="en-GB"/>
        </w:rPr>
        <w:t>the Gregory Mine Bid</w:t>
      </w:r>
    </w:p>
    <w:p w14:paraId="1AC4F9F7" w14:textId="77777777" w:rsidR="006B3BC4" w:rsidRPr="00627385" w:rsidRDefault="006B3BC4" w:rsidP="006B3BC4">
      <w:pPr>
        <w:jc w:val="both"/>
        <w:rPr>
          <w:spacing w:val="-1"/>
          <w:sz w:val="18"/>
          <w:szCs w:val="18"/>
          <w:lang w:val="en-GB"/>
        </w:rPr>
      </w:pPr>
    </w:p>
    <w:p w14:paraId="11B6416A" w14:textId="77777777" w:rsidR="006B3BC4" w:rsidRPr="00627385" w:rsidRDefault="006B3BC4" w:rsidP="006B3BC4">
      <w:pPr>
        <w:jc w:val="both"/>
        <w:rPr>
          <w:rFonts w:ascii="Arial" w:hAnsi="Arial"/>
          <w:b/>
          <w:lang w:val="en-GB"/>
        </w:rPr>
      </w:pPr>
      <w:r w:rsidRPr="00627385">
        <w:rPr>
          <w:rFonts w:ascii="Arial" w:hAnsi="Arial"/>
          <w:b/>
          <w:lang w:val="en-GB"/>
        </w:rPr>
        <w:t>The RFP</w:t>
      </w:r>
    </w:p>
    <w:p w14:paraId="17F83A54" w14:textId="77777777" w:rsidR="006B3BC4" w:rsidRPr="00627385" w:rsidRDefault="006B3BC4" w:rsidP="006B3BC4">
      <w:pPr>
        <w:jc w:val="both"/>
        <w:rPr>
          <w:spacing w:val="-1"/>
          <w:sz w:val="18"/>
          <w:szCs w:val="18"/>
          <w:lang w:val="en-GB"/>
        </w:rPr>
      </w:pPr>
    </w:p>
    <w:p w14:paraId="28E2728C" w14:textId="45266DA9" w:rsidR="006B3BC4" w:rsidRPr="00627385" w:rsidRDefault="006B3BC4" w:rsidP="006B3BC4">
      <w:pPr>
        <w:jc w:val="both"/>
        <w:rPr>
          <w:spacing w:val="-1"/>
          <w:sz w:val="22"/>
          <w:szCs w:val="22"/>
          <w:lang w:val="en-GB"/>
        </w:rPr>
      </w:pPr>
      <w:r w:rsidRPr="00627385">
        <w:rPr>
          <w:spacing w:val="-1"/>
          <w:sz w:val="22"/>
          <w:szCs w:val="22"/>
          <w:lang w:val="en-GB"/>
        </w:rPr>
        <w:t>The Gregory Mine, owned by Yellowstone Mining (Yellowstone), was an iron ore mine under construction</w:t>
      </w:r>
      <w:r w:rsidR="007854B9" w:rsidRPr="00627385">
        <w:rPr>
          <w:spacing w:val="-1"/>
          <w:sz w:val="22"/>
          <w:szCs w:val="22"/>
          <w:lang w:val="en-GB"/>
        </w:rPr>
        <w:t>,</w:t>
      </w:r>
      <w:r w:rsidRPr="00627385">
        <w:rPr>
          <w:spacing w:val="-1"/>
          <w:sz w:val="22"/>
          <w:szCs w:val="22"/>
          <w:lang w:val="en-GB"/>
        </w:rPr>
        <w:t xml:space="preserve"> located approximately 320 kilometres north of Whitehorse, Yukon. Yellowstone was an iron ore producer with operations in over 30 countries. Due to its remote location and the lack of infrastructure at the Gregory Mine, Yellowstone was soliciting bids (through an RFP) for a two-year contract for catering, housekeeping, and janitorial services. Since it was a closed bidding process, Young did not know which competitors were also interested in bidding on this work. Mine construction was to be completed December 2016, with operations commencing in May of the following calendar year. The RFP stated that there would be between 400 and 520 employees working at the mine once it was under operation. </w:t>
      </w:r>
      <w:r w:rsidR="007854B9" w:rsidRPr="00627385">
        <w:rPr>
          <w:spacing w:val="-1"/>
          <w:sz w:val="22"/>
          <w:szCs w:val="22"/>
          <w:lang w:val="en-GB"/>
        </w:rPr>
        <w:t>According to estimates, t</w:t>
      </w:r>
      <w:r w:rsidRPr="00627385">
        <w:rPr>
          <w:spacing w:val="-1"/>
          <w:sz w:val="22"/>
          <w:szCs w:val="22"/>
          <w:lang w:val="en-GB"/>
        </w:rPr>
        <w:t>he facility, once completed, w</w:t>
      </w:r>
      <w:r w:rsidR="007854B9" w:rsidRPr="00627385">
        <w:rPr>
          <w:spacing w:val="-1"/>
          <w:sz w:val="22"/>
          <w:szCs w:val="22"/>
          <w:lang w:val="en-GB"/>
        </w:rPr>
        <w:t>ould</w:t>
      </w:r>
      <w:r w:rsidRPr="00627385">
        <w:rPr>
          <w:spacing w:val="-1"/>
          <w:sz w:val="22"/>
          <w:szCs w:val="22"/>
          <w:lang w:val="en-GB"/>
        </w:rPr>
        <w:t xml:space="preserve"> be 100,000</w:t>
      </w:r>
      <w:r w:rsidR="007854B9" w:rsidRPr="00627385">
        <w:rPr>
          <w:spacing w:val="-1"/>
          <w:sz w:val="22"/>
          <w:szCs w:val="22"/>
          <w:lang w:val="en-GB"/>
        </w:rPr>
        <w:t xml:space="preserve"> </w:t>
      </w:r>
      <w:r w:rsidRPr="00627385">
        <w:rPr>
          <w:spacing w:val="-1"/>
          <w:sz w:val="22"/>
          <w:szCs w:val="22"/>
          <w:lang w:val="en-GB"/>
        </w:rPr>
        <w:t>square feet. Yellowstone was not one of Comfort’s existing customers.</w:t>
      </w:r>
    </w:p>
    <w:p w14:paraId="12512A05" w14:textId="77777777" w:rsidR="006B3BC4" w:rsidRPr="00627385" w:rsidRDefault="006B3BC4" w:rsidP="006B3BC4">
      <w:pPr>
        <w:jc w:val="both"/>
        <w:rPr>
          <w:spacing w:val="-1"/>
          <w:sz w:val="18"/>
          <w:szCs w:val="18"/>
          <w:lang w:val="en-GB"/>
        </w:rPr>
      </w:pPr>
    </w:p>
    <w:p w14:paraId="4EC5CE64" w14:textId="77777777" w:rsidR="006B3BC4" w:rsidRPr="00627385" w:rsidRDefault="006B3BC4" w:rsidP="006B3BC4">
      <w:pPr>
        <w:jc w:val="both"/>
        <w:rPr>
          <w:spacing w:val="-1"/>
          <w:sz w:val="18"/>
          <w:szCs w:val="18"/>
          <w:lang w:val="en-GB"/>
        </w:rPr>
      </w:pPr>
    </w:p>
    <w:p w14:paraId="158BC499" w14:textId="77777777" w:rsidR="006B3BC4" w:rsidRPr="00627385" w:rsidRDefault="006B3BC4" w:rsidP="006B3BC4">
      <w:pPr>
        <w:jc w:val="both"/>
        <w:rPr>
          <w:rFonts w:ascii="Arial" w:hAnsi="Arial"/>
          <w:b/>
          <w:lang w:val="en-GB"/>
        </w:rPr>
      </w:pPr>
      <w:r w:rsidRPr="00627385">
        <w:rPr>
          <w:rFonts w:ascii="Arial" w:hAnsi="Arial"/>
          <w:b/>
          <w:lang w:val="en-GB"/>
        </w:rPr>
        <w:t>Projected Costs</w:t>
      </w:r>
    </w:p>
    <w:p w14:paraId="2E01D522" w14:textId="77777777" w:rsidR="006B3BC4" w:rsidRPr="00627385" w:rsidRDefault="006B3BC4" w:rsidP="006B3BC4">
      <w:pPr>
        <w:jc w:val="both"/>
        <w:rPr>
          <w:spacing w:val="-1"/>
          <w:sz w:val="18"/>
          <w:szCs w:val="18"/>
          <w:lang w:val="en-GB"/>
        </w:rPr>
      </w:pPr>
    </w:p>
    <w:p w14:paraId="175A51FF" w14:textId="50719B1C" w:rsidR="006B3BC4" w:rsidRPr="00627385" w:rsidRDefault="006B3BC4" w:rsidP="006B3BC4">
      <w:pPr>
        <w:jc w:val="both"/>
        <w:rPr>
          <w:spacing w:val="-1"/>
          <w:sz w:val="22"/>
          <w:szCs w:val="22"/>
          <w:lang w:val="en-GB"/>
        </w:rPr>
      </w:pPr>
      <w:r w:rsidRPr="00627385">
        <w:rPr>
          <w:spacing w:val="-1"/>
          <w:sz w:val="22"/>
          <w:szCs w:val="22"/>
          <w:lang w:val="en-GB"/>
        </w:rPr>
        <w:t>The bid consisted of three components: catering, housekeeping, and facilities management. Based on his experience, Young planned to charge $40 per person per day for 400 employees for catering and housekeeping.</w:t>
      </w:r>
      <w:r w:rsidRPr="00627385">
        <w:rPr>
          <w:spacing w:val="-1"/>
          <w:sz w:val="22"/>
          <w:szCs w:val="22"/>
          <w:vertAlign w:val="superscript"/>
          <w:lang w:val="en-GB"/>
        </w:rPr>
        <w:footnoteReference w:id="27"/>
      </w:r>
      <w:r w:rsidRPr="00627385">
        <w:rPr>
          <w:spacing w:val="-1"/>
          <w:sz w:val="22"/>
          <w:szCs w:val="22"/>
          <w:lang w:val="en-GB"/>
        </w:rPr>
        <w:t xml:space="preserve"> This would decrease to $37.50 per person per day if </w:t>
      </w:r>
      <w:r w:rsidR="009F18DA" w:rsidRPr="00627385">
        <w:rPr>
          <w:spacing w:val="-1"/>
          <w:sz w:val="22"/>
          <w:szCs w:val="22"/>
          <w:lang w:val="en-GB"/>
        </w:rPr>
        <w:t xml:space="preserve">the </w:t>
      </w:r>
      <w:r w:rsidRPr="00627385">
        <w:rPr>
          <w:spacing w:val="-1"/>
          <w:sz w:val="22"/>
          <w:szCs w:val="22"/>
          <w:lang w:val="en-GB"/>
        </w:rPr>
        <w:t>residents increased to 520 employees</w:t>
      </w:r>
      <w:r w:rsidR="009F18DA" w:rsidRPr="00627385">
        <w:rPr>
          <w:spacing w:val="-1"/>
          <w:sz w:val="22"/>
          <w:szCs w:val="22"/>
          <w:lang w:val="en-GB"/>
        </w:rPr>
        <w:t>,</w:t>
      </w:r>
      <w:r w:rsidRPr="00627385">
        <w:rPr>
          <w:spacing w:val="-1"/>
          <w:sz w:val="22"/>
          <w:szCs w:val="22"/>
          <w:lang w:val="en-GB"/>
        </w:rPr>
        <w:t xml:space="preserve"> since on</w:t>
      </w:r>
      <w:r w:rsidR="007854B9" w:rsidRPr="00627385">
        <w:rPr>
          <w:spacing w:val="-1"/>
          <w:sz w:val="22"/>
          <w:szCs w:val="22"/>
          <w:lang w:val="en-GB"/>
        </w:rPr>
        <w:t>-</w:t>
      </w:r>
      <w:r w:rsidRPr="00627385">
        <w:rPr>
          <w:spacing w:val="-1"/>
          <w:sz w:val="22"/>
          <w:szCs w:val="22"/>
          <w:lang w:val="en-GB"/>
        </w:rPr>
        <w:t>site management costs were fixed. Facilities management, including janitorial services, would be priced at a rate of $0.05 per square foot. Yellowstone would be offered credit terms of net 30</w:t>
      </w:r>
      <w:r w:rsidR="009F18DA" w:rsidRPr="00627385">
        <w:rPr>
          <w:spacing w:val="-1"/>
          <w:sz w:val="22"/>
          <w:szCs w:val="22"/>
          <w:lang w:val="en-GB"/>
        </w:rPr>
        <w:t xml:space="preserve"> days</w:t>
      </w:r>
      <w:r w:rsidRPr="00627385">
        <w:rPr>
          <w:spacing w:val="-1"/>
          <w:sz w:val="22"/>
          <w:szCs w:val="22"/>
          <w:lang w:val="en-GB"/>
        </w:rPr>
        <w:t>.</w:t>
      </w:r>
      <w:r w:rsidRPr="00627385">
        <w:rPr>
          <w:spacing w:val="-1"/>
          <w:sz w:val="22"/>
          <w:szCs w:val="22"/>
          <w:vertAlign w:val="superscript"/>
          <w:lang w:val="en-GB"/>
        </w:rPr>
        <w:footnoteReference w:id="28"/>
      </w:r>
      <w:r w:rsidRPr="00627385">
        <w:rPr>
          <w:spacing w:val="-1"/>
          <w:sz w:val="22"/>
          <w:szCs w:val="22"/>
          <w:lang w:val="en-GB"/>
        </w:rPr>
        <w:t xml:space="preserve"> A camp manager would oversee all operations and would earn $100,000 annually. The manager would allocate his time evenly </w:t>
      </w:r>
      <w:r w:rsidR="00BB78D0" w:rsidRPr="00627385">
        <w:rPr>
          <w:spacing w:val="-1"/>
          <w:sz w:val="22"/>
          <w:szCs w:val="22"/>
          <w:lang w:val="en-GB"/>
        </w:rPr>
        <w:t xml:space="preserve">among </w:t>
      </w:r>
      <w:r w:rsidRPr="00627385">
        <w:rPr>
          <w:spacing w:val="-1"/>
          <w:sz w:val="22"/>
          <w:szCs w:val="22"/>
          <w:lang w:val="en-GB"/>
        </w:rPr>
        <w:t>catering, housekeeping, and janitorial services.</w:t>
      </w:r>
    </w:p>
    <w:p w14:paraId="7F08528A" w14:textId="77777777" w:rsidR="006B3BC4" w:rsidRPr="00627385" w:rsidRDefault="006B3BC4" w:rsidP="006B3BC4">
      <w:pPr>
        <w:jc w:val="both"/>
        <w:rPr>
          <w:spacing w:val="-1"/>
          <w:sz w:val="18"/>
          <w:szCs w:val="18"/>
          <w:lang w:val="en-GB"/>
        </w:rPr>
      </w:pPr>
    </w:p>
    <w:p w14:paraId="7D536D18" w14:textId="31586E0B" w:rsidR="006B3BC4" w:rsidRPr="00627385" w:rsidRDefault="006B3BC4" w:rsidP="006B3BC4">
      <w:pPr>
        <w:jc w:val="both"/>
        <w:rPr>
          <w:spacing w:val="-1"/>
          <w:sz w:val="22"/>
          <w:szCs w:val="22"/>
          <w:lang w:val="en-GB"/>
        </w:rPr>
      </w:pPr>
      <w:r w:rsidRPr="00627385">
        <w:rPr>
          <w:spacing w:val="-1"/>
          <w:sz w:val="22"/>
          <w:szCs w:val="22"/>
          <w:lang w:val="en-GB"/>
        </w:rPr>
        <w:t>Food w</w:t>
      </w:r>
      <w:r w:rsidR="009F18DA" w:rsidRPr="00627385">
        <w:rPr>
          <w:spacing w:val="-1"/>
          <w:sz w:val="22"/>
          <w:szCs w:val="22"/>
          <w:lang w:val="en-GB"/>
        </w:rPr>
        <w:t>as</w:t>
      </w:r>
      <w:r w:rsidRPr="00627385">
        <w:rPr>
          <w:spacing w:val="-1"/>
          <w:sz w:val="22"/>
          <w:szCs w:val="22"/>
          <w:lang w:val="en-GB"/>
        </w:rPr>
        <w:t xml:space="preserve"> projected at a cost of $18.42 per person per day</w:t>
      </w:r>
      <w:r w:rsidR="009F18DA" w:rsidRPr="00627385">
        <w:rPr>
          <w:spacing w:val="-1"/>
          <w:sz w:val="22"/>
          <w:szCs w:val="22"/>
          <w:lang w:val="en-GB"/>
        </w:rPr>
        <w:t>,</w:t>
      </w:r>
      <w:r w:rsidRPr="00627385">
        <w:rPr>
          <w:spacing w:val="-1"/>
          <w:sz w:val="22"/>
          <w:szCs w:val="22"/>
          <w:lang w:val="en-GB"/>
        </w:rPr>
        <w:t xml:space="preserve"> regardless of the number of employees. Wait staff in the dining area would be negligible </w:t>
      </w:r>
      <w:r w:rsidR="00BB78D0" w:rsidRPr="00627385">
        <w:rPr>
          <w:spacing w:val="-1"/>
          <w:sz w:val="22"/>
          <w:szCs w:val="22"/>
          <w:lang w:val="en-GB"/>
        </w:rPr>
        <w:t xml:space="preserve">because </w:t>
      </w:r>
      <w:r w:rsidRPr="00627385">
        <w:rPr>
          <w:spacing w:val="-1"/>
          <w:sz w:val="22"/>
          <w:szCs w:val="22"/>
          <w:lang w:val="en-GB"/>
        </w:rPr>
        <w:t>food would be served buffet</w:t>
      </w:r>
      <w:r w:rsidR="009F18DA" w:rsidRPr="00627385">
        <w:rPr>
          <w:spacing w:val="-1"/>
          <w:sz w:val="22"/>
          <w:szCs w:val="22"/>
          <w:lang w:val="en-GB"/>
        </w:rPr>
        <w:t>-</w:t>
      </w:r>
      <w:r w:rsidRPr="00627385">
        <w:rPr>
          <w:spacing w:val="-1"/>
          <w:sz w:val="22"/>
          <w:szCs w:val="22"/>
          <w:lang w:val="en-GB"/>
        </w:rPr>
        <w:t>style. Comfort would employ two chefs to oversee kitchen operations and menu planning. They would work on a rotating basis</w:t>
      </w:r>
      <w:r w:rsidR="00402F0D" w:rsidRPr="00627385">
        <w:rPr>
          <w:spacing w:val="-1"/>
          <w:sz w:val="22"/>
          <w:szCs w:val="22"/>
          <w:lang w:val="en-GB"/>
        </w:rPr>
        <w:t>,</w:t>
      </w:r>
      <w:r w:rsidRPr="00627385">
        <w:rPr>
          <w:spacing w:val="-1"/>
          <w:sz w:val="22"/>
          <w:szCs w:val="22"/>
          <w:lang w:val="en-GB"/>
        </w:rPr>
        <w:t xml:space="preserve"> and each would be paid an annual salary of $80,000. The kitchen would also need two cross-shift bakers, each at $75,500 annually, and </w:t>
      </w:r>
      <w:r w:rsidR="00402F0D" w:rsidRPr="00627385">
        <w:rPr>
          <w:spacing w:val="-1"/>
          <w:sz w:val="22"/>
          <w:szCs w:val="22"/>
          <w:lang w:val="en-GB"/>
        </w:rPr>
        <w:t>12</w:t>
      </w:r>
      <w:r w:rsidRPr="00627385">
        <w:rPr>
          <w:spacing w:val="-1"/>
          <w:sz w:val="22"/>
          <w:szCs w:val="22"/>
          <w:lang w:val="en-GB"/>
        </w:rPr>
        <w:t xml:space="preserve"> line cooks. The line cooks included two first cooks, four second cooks, and six third cooks. The first and second cooks would each earn annual salaries of $75,500 and $62,000, respectively. The third cooks would be on call and would work as needed. They would earn $15 per hour for the first eight hours of their shift. After eight hours, they would earn an overtime rate of $20 per hour. In the 400-employee scenario, four third cooks would be working every day on 10-hour shifts. Five third cooks would be working on 10-hour shifts in the 520-employee scenario. Sixteen and 21 housekeeping employees each earning $51,000 per year would be employed in the 400- and 520-employee scenarios, respectively. In addition, 20 janitorial employees earning $50,000 per year would be needed for daily cleaning of the facility. Cleaning supplies used would total $115,000 every six months. Except for the camp manager, head chefs, and first chefs, all employees would be recruited and employed through Comfort’s local joint ventures. All employees would also be covered by a benefits package costing 15 per cent of their earnings. Employees would be paid at the end of the month for the current month’s work.</w:t>
      </w:r>
    </w:p>
    <w:p w14:paraId="048D2064" w14:textId="77777777" w:rsidR="006B3BC4" w:rsidRPr="00627385" w:rsidRDefault="006B3BC4" w:rsidP="006B3BC4">
      <w:pPr>
        <w:jc w:val="both"/>
        <w:rPr>
          <w:spacing w:val="-1"/>
          <w:sz w:val="18"/>
          <w:szCs w:val="18"/>
          <w:lang w:val="en-GB"/>
        </w:rPr>
      </w:pPr>
    </w:p>
    <w:p w14:paraId="35205ABF" w14:textId="77777777" w:rsidR="006B3BC4" w:rsidRPr="00627385" w:rsidRDefault="006B3BC4" w:rsidP="006B3BC4">
      <w:pPr>
        <w:jc w:val="both"/>
        <w:rPr>
          <w:spacing w:val="-1"/>
          <w:sz w:val="22"/>
          <w:szCs w:val="22"/>
          <w:lang w:val="en-GB"/>
        </w:rPr>
      </w:pPr>
      <w:r w:rsidRPr="00627385">
        <w:rPr>
          <w:spacing w:val="-1"/>
          <w:sz w:val="22"/>
          <w:szCs w:val="22"/>
          <w:lang w:val="en-GB"/>
        </w:rPr>
        <w:lastRenderedPageBreak/>
        <w:t>A supervisor would be flown from the company’s Edmonton regional office to the Gregory Mine seven times a year to conduct performance audits and to ensure that all operations were running smoothly. In addition, the camp manager, head chefs, and first cooks were each allowed 16 round trips per year to visit their families. The flights, paid for by Comfort, would be $1,250 per round trip. It would also cost $4,500 to transport all Comfort employees at once to the Gregory Mine at the beginning of operations.</w:t>
      </w:r>
    </w:p>
    <w:p w14:paraId="354610A1" w14:textId="77777777" w:rsidR="006B3BC4" w:rsidRPr="00627385" w:rsidRDefault="006B3BC4" w:rsidP="006B3BC4">
      <w:pPr>
        <w:jc w:val="both"/>
        <w:rPr>
          <w:spacing w:val="-1"/>
          <w:sz w:val="18"/>
          <w:szCs w:val="18"/>
          <w:lang w:val="en-GB"/>
        </w:rPr>
      </w:pPr>
    </w:p>
    <w:p w14:paraId="5BF8AFA7" w14:textId="3D214B12" w:rsidR="006B3BC4" w:rsidRPr="00627385" w:rsidRDefault="006B3BC4" w:rsidP="006B3BC4">
      <w:pPr>
        <w:jc w:val="both"/>
        <w:rPr>
          <w:spacing w:val="-1"/>
          <w:sz w:val="22"/>
          <w:szCs w:val="22"/>
          <w:lang w:val="en-GB"/>
        </w:rPr>
      </w:pPr>
      <w:r w:rsidRPr="00627385">
        <w:rPr>
          <w:spacing w:val="-1"/>
          <w:sz w:val="22"/>
          <w:szCs w:val="22"/>
          <w:lang w:val="en-GB"/>
        </w:rPr>
        <w:t>Due to the Gregory Mine’s remote location, Young projected that Comfort would spend $365,000 annually to transport the supplies needed for catering and facilities management operations.</w:t>
      </w:r>
      <w:r w:rsidRPr="00627385">
        <w:rPr>
          <w:spacing w:val="-1"/>
          <w:sz w:val="22"/>
          <w:szCs w:val="22"/>
          <w:vertAlign w:val="superscript"/>
          <w:lang w:val="en-GB"/>
        </w:rPr>
        <w:footnoteReference w:id="29"/>
      </w:r>
      <w:r w:rsidRPr="00627385">
        <w:rPr>
          <w:spacing w:val="-1"/>
          <w:sz w:val="22"/>
          <w:szCs w:val="22"/>
          <w:lang w:val="en-GB"/>
        </w:rPr>
        <w:t xml:space="preserve"> Young also budgeted an additional $15,150 for administrative expenses. As a result of past projects that often ran over budget, he decided to budget for an additional </w:t>
      </w:r>
      <w:r w:rsidR="00CF7CD9" w:rsidRPr="00627385">
        <w:rPr>
          <w:spacing w:val="-1"/>
          <w:sz w:val="22"/>
          <w:szCs w:val="22"/>
          <w:lang w:val="en-GB"/>
        </w:rPr>
        <w:t>2</w:t>
      </w:r>
      <w:r w:rsidRPr="00627385">
        <w:rPr>
          <w:spacing w:val="-1"/>
          <w:sz w:val="22"/>
          <w:szCs w:val="22"/>
          <w:lang w:val="en-GB"/>
        </w:rPr>
        <w:t xml:space="preserve"> per cent of all recurring cash expenses as a contingency.</w:t>
      </w:r>
    </w:p>
    <w:p w14:paraId="6E77783A" w14:textId="77777777" w:rsidR="006B3BC4" w:rsidRPr="00627385" w:rsidRDefault="006B3BC4" w:rsidP="006B3BC4">
      <w:pPr>
        <w:jc w:val="both"/>
        <w:rPr>
          <w:spacing w:val="-1"/>
          <w:sz w:val="18"/>
          <w:szCs w:val="18"/>
          <w:lang w:val="en-GB"/>
        </w:rPr>
      </w:pPr>
    </w:p>
    <w:p w14:paraId="784C2BBF" w14:textId="4149CD40" w:rsidR="006B3BC4" w:rsidRPr="00627385" w:rsidRDefault="006B3BC4" w:rsidP="006B3BC4">
      <w:pPr>
        <w:jc w:val="both"/>
        <w:rPr>
          <w:spacing w:val="-1"/>
          <w:sz w:val="22"/>
          <w:szCs w:val="22"/>
          <w:lang w:val="en-GB"/>
        </w:rPr>
      </w:pPr>
      <w:r w:rsidRPr="00627385">
        <w:rPr>
          <w:spacing w:val="-1"/>
          <w:sz w:val="22"/>
          <w:szCs w:val="22"/>
          <w:lang w:val="en-GB"/>
        </w:rPr>
        <w:t>Uniforms would be purchased for all Comfort employees working at the Gregory Mine. Uniforms would cost $50 and ha</w:t>
      </w:r>
      <w:r w:rsidR="00CF7CD9" w:rsidRPr="00627385">
        <w:rPr>
          <w:spacing w:val="-1"/>
          <w:sz w:val="22"/>
          <w:szCs w:val="22"/>
          <w:lang w:val="en-GB"/>
        </w:rPr>
        <w:t>ve</w:t>
      </w:r>
      <w:r w:rsidRPr="00627385">
        <w:rPr>
          <w:spacing w:val="-1"/>
          <w:sz w:val="22"/>
          <w:szCs w:val="22"/>
          <w:lang w:val="en-GB"/>
        </w:rPr>
        <w:t xml:space="preserve"> a useful life of two years.</w:t>
      </w:r>
      <w:r w:rsidRPr="00627385">
        <w:rPr>
          <w:spacing w:val="-1"/>
          <w:sz w:val="22"/>
          <w:szCs w:val="22"/>
          <w:vertAlign w:val="superscript"/>
          <w:lang w:val="en-GB"/>
        </w:rPr>
        <w:footnoteReference w:id="30"/>
      </w:r>
      <w:r w:rsidRPr="00627385">
        <w:rPr>
          <w:spacing w:val="-1"/>
          <w:sz w:val="22"/>
          <w:szCs w:val="22"/>
          <w:lang w:val="en-GB"/>
        </w:rPr>
        <w:t xml:space="preserve"> New linens would be purchased for Yellowstone employees at $250 per set.</w:t>
      </w:r>
      <w:r w:rsidRPr="00627385">
        <w:rPr>
          <w:spacing w:val="-1"/>
          <w:sz w:val="22"/>
          <w:szCs w:val="22"/>
          <w:vertAlign w:val="superscript"/>
          <w:lang w:val="en-GB"/>
        </w:rPr>
        <w:footnoteReference w:id="31"/>
      </w:r>
      <w:r w:rsidRPr="00627385">
        <w:rPr>
          <w:spacing w:val="-1"/>
          <w:sz w:val="22"/>
          <w:szCs w:val="22"/>
          <w:lang w:val="en-GB"/>
        </w:rPr>
        <w:t xml:space="preserve"> </w:t>
      </w:r>
      <w:proofErr w:type="spellStart"/>
      <w:r w:rsidRPr="00627385">
        <w:rPr>
          <w:spacing w:val="-1"/>
          <w:sz w:val="22"/>
          <w:szCs w:val="22"/>
          <w:lang w:val="en-GB"/>
        </w:rPr>
        <w:t>Smallwares</w:t>
      </w:r>
      <w:proofErr w:type="spellEnd"/>
      <w:r w:rsidRPr="00627385">
        <w:rPr>
          <w:spacing w:val="-1"/>
          <w:sz w:val="22"/>
          <w:szCs w:val="22"/>
          <w:lang w:val="en-GB"/>
        </w:rPr>
        <w:t xml:space="preserve"> and cleaning equipment, with an estimated useful life of five years, would be purchased for $38,000.</w:t>
      </w:r>
    </w:p>
    <w:p w14:paraId="1D374722" w14:textId="77777777" w:rsidR="006B3BC4" w:rsidRPr="00627385" w:rsidRDefault="006B3BC4" w:rsidP="006B3BC4">
      <w:pPr>
        <w:jc w:val="both"/>
        <w:rPr>
          <w:spacing w:val="-1"/>
          <w:sz w:val="18"/>
          <w:szCs w:val="18"/>
          <w:lang w:val="en-GB"/>
        </w:rPr>
      </w:pPr>
    </w:p>
    <w:p w14:paraId="6CB0A9DB" w14:textId="77777777" w:rsidR="006B3BC4" w:rsidRPr="00627385" w:rsidRDefault="006B3BC4" w:rsidP="006B3BC4">
      <w:pPr>
        <w:jc w:val="both"/>
        <w:rPr>
          <w:spacing w:val="-1"/>
          <w:sz w:val="22"/>
          <w:szCs w:val="22"/>
          <w:lang w:val="en-GB"/>
        </w:rPr>
      </w:pPr>
      <w:r w:rsidRPr="00627385">
        <w:rPr>
          <w:spacing w:val="-1"/>
          <w:sz w:val="22"/>
          <w:szCs w:val="22"/>
          <w:lang w:val="en-GB"/>
        </w:rPr>
        <w:t>Young anticipated that the age of accounts payable would remain unchanged from fiscal 2015. Comfort would keep 100 days of inventory on hand at all times at the Gregory Mine.</w:t>
      </w:r>
      <w:r w:rsidRPr="00627385">
        <w:rPr>
          <w:spacing w:val="-1"/>
          <w:sz w:val="22"/>
          <w:szCs w:val="22"/>
          <w:vertAlign w:val="superscript"/>
          <w:lang w:val="en-GB"/>
        </w:rPr>
        <w:t xml:space="preserve"> </w:t>
      </w:r>
      <w:r w:rsidRPr="00627385">
        <w:rPr>
          <w:spacing w:val="-1"/>
          <w:sz w:val="22"/>
          <w:szCs w:val="22"/>
          <w:vertAlign w:val="superscript"/>
          <w:lang w:val="en-GB"/>
        </w:rPr>
        <w:footnoteReference w:id="32"/>
      </w:r>
    </w:p>
    <w:p w14:paraId="507133D7" w14:textId="77777777" w:rsidR="006B3BC4" w:rsidRPr="00627385" w:rsidRDefault="006B3BC4" w:rsidP="006B3BC4">
      <w:pPr>
        <w:jc w:val="both"/>
        <w:rPr>
          <w:spacing w:val="-1"/>
          <w:sz w:val="18"/>
          <w:szCs w:val="18"/>
          <w:lang w:val="en-GB"/>
        </w:rPr>
      </w:pPr>
    </w:p>
    <w:p w14:paraId="21DE8D8F" w14:textId="77777777" w:rsidR="006B3BC4" w:rsidRPr="00627385" w:rsidRDefault="006B3BC4" w:rsidP="006B3BC4">
      <w:pPr>
        <w:jc w:val="both"/>
        <w:rPr>
          <w:spacing w:val="-1"/>
          <w:sz w:val="18"/>
          <w:szCs w:val="18"/>
          <w:lang w:val="en-GB"/>
        </w:rPr>
      </w:pPr>
    </w:p>
    <w:p w14:paraId="71E9613E" w14:textId="77777777" w:rsidR="006B3BC4" w:rsidRPr="00627385" w:rsidRDefault="006B3BC4" w:rsidP="006B3BC4">
      <w:pPr>
        <w:jc w:val="both"/>
        <w:rPr>
          <w:sz w:val="22"/>
          <w:u w:val="single"/>
          <w:lang w:val="en-GB"/>
        </w:rPr>
      </w:pPr>
      <w:r w:rsidRPr="00627385">
        <w:rPr>
          <w:sz w:val="22"/>
          <w:u w:val="single"/>
          <w:lang w:val="en-GB"/>
        </w:rPr>
        <w:t>Financial Evaluation of Services</w:t>
      </w:r>
    </w:p>
    <w:p w14:paraId="21446D81" w14:textId="77777777" w:rsidR="006B3BC4" w:rsidRPr="00627385" w:rsidRDefault="006B3BC4" w:rsidP="006B3BC4">
      <w:pPr>
        <w:jc w:val="both"/>
        <w:rPr>
          <w:spacing w:val="-1"/>
          <w:sz w:val="18"/>
          <w:szCs w:val="18"/>
          <w:lang w:val="en-GB"/>
        </w:rPr>
      </w:pPr>
    </w:p>
    <w:p w14:paraId="5929A994" w14:textId="637ECD04" w:rsidR="006B3BC4" w:rsidRPr="00627385" w:rsidRDefault="007B76FA" w:rsidP="006B3BC4">
      <w:pPr>
        <w:jc w:val="both"/>
        <w:rPr>
          <w:spacing w:val="-1"/>
          <w:sz w:val="22"/>
          <w:szCs w:val="22"/>
          <w:lang w:val="en-GB"/>
        </w:rPr>
      </w:pPr>
      <w:r w:rsidRPr="00627385">
        <w:rPr>
          <w:spacing w:val="-1"/>
          <w:sz w:val="22"/>
          <w:szCs w:val="22"/>
          <w:lang w:val="en-GB"/>
        </w:rPr>
        <w:t>Because</w:t>
      </w:r>
      <w:r w:rsidR="006B3BC4" w:rsidRPr="00627385">
        <w:rPr>
          <w:spacing w:val="-1"/>
          <w:sz w:val="22"/>
          <w:szCs w:val="22"/>
          <w:lang w:val="en-GB"/>
        </w:rPr>
        <w:t xml:space="preserve"> the Gregory Mine bid consisted of three services (catering, housekeeping, and janitorial), Young wanted to </w:t>
      </w:r>
      <w:proofErr w:type="spellStart"/>
      <w:r w:rsidR="006B3BC4" w:rsidRPr="00627385">
        <w:rPr>
          <w:spacing w:val="-1"/>
          <w:sz w:val="22"/>
          <w:szCs w:val="22"/>
          <w:lang w:val="en-GB"/>
        </w:rPr>
        <w:t>analyze</w:t>
      </w:r>
      <w:proofErr w:type="spellEnd"/>
      <w:r w:rsidR="006B3BC4" w:rsidRPr="00627385">
        <w:rPr>
          <w:spacing w:val="-1"/>
          <w:sz w:val="22"/>
          <w:szCs w:val="22"/>
          <w:lang w:val="en-GB"/>
        </w:rPr>
        <w:t xml:space="preserve"> the operating profits and margins for each service (within the company, each of these services were trea</w:t>
      </w:r>
      <w:r w:rsidR="00840977" w:rsidRPr="00627385">
        <w:rPr>
          <w:spacing w:val="-1"/>
          <w:sz w:val="22"/>
          <w:szCs w:val="22"/>
          <w:lang w:val="en-GB"/>
        </w:rPr>
        <w:t>t</w:t>
      </w:r>
      <w:r w:rsidR="006B3BC4" w:rsidRPr="00627385">
        <w:rPr>
          <w:spacing w:val="-1"/>
          <w:sz w:val="22"/>
          <w:szCs w:val="22"/>
          <w:lang w:val="en-GB"/>
        </w:rPr>
        <w:t xml:space="preserve">ed as business units). To do this, he estimated that 30 per cent, 20 per cent, and 50 per cent of cleaning supplies should be allocated to catering, housekeeping, and janitorial services, respectively. The cleaning equipment would be used equally between housekeeping and janitorial services. Also, all employee transportation expenses would be split evenly </w:t>
      </w:r>
      <w:r w:rsidRPr="00627385">
        <w:rPr>
          <w:spacing w:val="-1"/>
          <w:sz w:val="22"/>
          <w:szCs w:val="22"/>
          <w:lang w:val="en-GB"/>
        </w:rPr>
        <w:t xml:space="preserve">among </w:t>
      </w:r>
      <w:r w:rsidR="006B3BC4" w:rsidRPr="00627385">
        <w:rPr>
          <w:spacing w:val="-1"/>
          <w:sz w:val="22"/>
          <w:szCs w:val="22"/>
          <w:lang w:val="en-GB"/>
        </w:rPr>
        <w:t xml:space="preserve">the business segments. Unless otherwise identified, all general operating overhead expenses would be allocated evenly </w:t>
      </w:r>
      <w:r w:rsidRPr="00627385">
        <w:rPr>
          <w:spacing w:val="-1"/>
          <w:sz w:val="22"/>
          <w:szCs w:val="22"/>
          <w:lang w:val="en-GB"/>
        </w:rPr>
        <w:t xml:space="preserve">among </w:t>
      </w:r>
      <w:r w:rsidR="006B3BC4" w:rsidRPr="00627385">
        <w:rPr>
          <w:spacing w:val="-1"/>
          <w:sz w:val="22"/>
          <w:szCs w:val="22"/>
          <w:lang w:val="en-GB"/>
        </w:rPr>
        <w:t>the three services. Young hoped all three business units would be profitable under his proposed bid.</w:t>
      </w:r>
    </w:p>
    <w:p w14:paraId="26480635" w14:textId="77777777" w:rsidR="006A6686" w:rsidRPr="00627385" w:rsidRDefault="006A6686" w:rsidP="006B3BC4">
      <w:pPr>
        <w:jc w:val="both"/>
        <w:rPr>
          <w:spacing w:val="-1"/>
          <w:sz w:val="18"/>
          <w:szCs w:val="18"/>
          <w:lang w:val="en-GB"/>
        </w:rPr>
      </w:pPr>
    </w:p>
    <w:p w14:paraId="3422EBC2" w14:textId="77777777" w:rsidR="006A6686" w:rsidRPr="00627385" w:rsidRDefault="006A6686" w:rsidP="006B3BC4">
      <w:pPr>
        <w:jc w:val="both"/>
        <w:rPr>
          <w:spacing w:val="-1"/>
          <w:sz w:val="18"/>
          <w:szCs w:val="18"/>
          <w:lang w:val="en-GB"/>
        </w:rPr>
      </w:pPr>
    </w:p>
    <w:p w14:paraId="1388D09B" w14:textId="77777777" w:rsidR="006B3BC4" w:rsidRPr="00627385" w:rsidRDefault="006B3BC4" w:rsidP="006B3BC4">
      <w:pPr>
        <w:jc w:val="both"/>
        <w:rPr>
          <w:rFonts w:ascii="Arial" w:hAnsi="Arial"/>
          <w:b/>
          <w:caps/>
          <w:lang w:val="en-GB"/>
        </w:rPr>
      </w:pPr>
      <w:r w:rsidRPr="00627385">
        <w:rPr>
          <w:rFonts w:ascii="Arial" w:hAnsi="Arial"/>
          <w:b/>
          <w:caps/>
          <w:lang w:val="en-GB"/>
        </w:rPr>
        <w:t>Conclusion</w:t>
      </w:r>
    </w:p>
    <w:p w14:paraId="02B79252" w14:textId="77777777" w:rsidR="006B3BC4" w:rsidRPr="00627385" w:rsidRDefault="006B3BC4" w:rsidP="006B3BC4">
      <w:pPr>
        <w:jc w:val="both"/>
        <w:rPr>
          <w:spacing w:val="-1"/>
          <w:sz w:val="18"/>
          <w:szCs w:val="18"/>
          <w:lang w:val="en-GB"/>
        </w:rPr>
      </w:pPr>
    </w:p>
    <w:p w14:paraId="3D180ABC" w14:textId="533EAB8C" w:rsidR="006B3BC4" w:rsidRPr="00627385" w:rsidRDefault="006B3BC4" w:rsidP="006A6686">
      <w:pPr>
        <w:jc w:val="both"/>
        <w:rPr>
          <w:spacing w:val="-1"/>
          <w:sz w:val="22"/>
          <w:szCs w:val="22"/>
          <w:lang w:val="en-GB"/>
        </w:rPr>
      </w:pPr>
      <w:r w:rsidRPr="00627385">
        <w:rPr>
          <w:spacing w:val="-1"/>
          <w:sz w:val="22"/>
          <w:szCs w:val="22"/>
          <w:lang w:val="en-GB"/>
        </w:rPr>
        <w:t>Young wondered if he should pursue the Gregory Mine opportunity. Given the weak commodity prices and customers’ need to cut costs, he knew that any additional business would be helpful to the company’s bottom line; however, he did not want to pursue a business opportunity that did not improve Comfort’s financial performance.</w:t>
      </w:r>
      <w:r w:rsidRPr="00627385">
        <w:rPr>
          <w:lang w:val="en-GB"/>
        </w:rPr>
        <w:br w:type="page"/>
      </w:r>
    </w:p>
    <w:p w14:paraId="5E60A716" w14:textId="77777777" w:rsidR="006B3BC4" w:rsidRPr="00627385" w:rsidRDefault="006B3BC4" w:rsidP="006B3BC4">
      <w:pPr>
        <w:jc w:val="center"/>
        <w:rPr>
          <w:rFonts w:ascii="Arial" w:hAnsi="Arial"/>
          <w:b/>
          <w:caps/>
          <w:lang w:val="en-GB"/>
        </w:rPr>
      </w:pPr>
      <w:r w:rsidRPr="00627385">
        <w:rPr>
          <w:rFonts w:ascii="Arial" w:hAnsi="Arial"/>
          <w:b/>
          <w:caps/>
          <w:lang w:val="en-GB"/>
        </w:rPr>
        <w:lastRenderedPageBreak/>
        <w:t>Exhibit 1: Select Competitor Fiscal 2015 Ratios</w:t>
      </w:r>
    </w:p>
    <w:p w14:paraId="651D9CE2" w14:textId="77777777" w:rsidR="006B3BC4" w:rsidRPr="00627385" w:rsidRDefault="006B3BC4" w:rsidP="00627385">
      <w:pPr>
        <w:pStyle w:val="ExhibitText"/>
        <w:rPr>
          <w:lang w:val="en-GB"/>
        </w:rPr>
      </w:pPr>
    </w:p>
    <w:tbl>
      <w:tblPr>
        <w:tblW w:w="7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5"/>
        <w:gridCol w:w="1260"/>
        <w:gridCol w:w="1080"/>
        <w:gridCol w:w="1170"/>
        <w:gridCol w:w="1080"/>
      </w:tblGrid>
      <w:tr w:rsidR="006B3BC4" w:rsidRPr="00627385" w14:paraId="32CB5937"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3C187972" w14:textId="77777777" w:rsidR="006B3BC4" w:rsidRPr="00627385" w:rsidRDefault="006B3BC4" w:rsidP="006B3BC4">
            <w:pPr>
              <w:pStyle w:val="ExhibitText"/>
              <w:jc w:val="center"/>
              <w:rPr>
                <w:b/>
                <w:lang w:val="en-GB"/>
              </w:rPr>
            </w:pPr>
          </w:p>
        </w:tc>
        <w:tc>
          <w:tcPr>
            <w:tcW w:w="1260" w:type="dxa"/>
            <w:shd w:val="clear" w:color="auto" w:fill="auto"/>
            <w:noWrap/>
            <w:tcMar>
              <w:top w:w="15" w:type="dxa"/>
              <w:left w:w="15" w:type="dxa"/>
              <w:bottom w:w="0" w:type="dxa"/>
              <w:right w:w="15" w:type="dxa"/>
            </w:tcMar>
            <w:vAlign w:val="center"/>
            <w:hideMark/>
          </w:tcPr>
          <w:p w14:paraId="11F7E11C" w14:textId="77777777" w:rsidR="006B3BC4" w:rsidRPr="00627385" w:rsidRDefault="006B3BC4" w:rsidP="006B3BC4">
            <w:pPr>
              <w:pStyle w:val="ExhibitText"/>
              <w:jc w:val="center"/>
              <w:rPr>
                <w:b/>
                <w:lang w:val="en-GB"/>
              </w:rPr>
            </w:pPr>
            <w:r w:rsidRPr="00627385">
              <w:rPr>
                <w:b/>
                <w:lang w:val="en-GB"/>
              </w:rPr>
              <w:t>Compass</w:t>
            </w:r>
          </w:p>
        </w:tc>
        <w:tc>
          <w:tcPr>
            <w:tcW w:w="1080" w:type="dxa"/>
            <w:shd w:val="clear" w:color="auto" w:fill="auto"/>
            <w:noWrap/>
            <w:tcMar>
              <w:top w:w="15" w:type="dxa"/>
              <w:left w:w="15" w:type="dxa"/>
              <w:bottom w:w="0" w:type="dxa"/>
              <w:right w:w="15" w:type="dxa"/>
            </w:tcMar>
            <w:vAlign w:val="center"/>
            <w:hideMark/>
          </w:tcPr>
          <w:p w14:paraId="6D83A8B7" w14:textId="77777777" w:rsidR="006B3BC4" w:rsidRPr="00627385" w:rsidRDefault="006B3BC4" w:rsidP="006B3BC4">
            <w:pPr>
              <w:pStyle w:val="ExhibitText"/>
              <w:jc w:val="center"/>
              <w:rPr>
                <w:b/>
                <w:lang w:val="en-GB"/>
              </w:rPr>
            </w:pPr>
            <w:r w:rsidRPr="00627385">
              <w:rPr>
                <w:b/>
                <w:lang w:val="en-GB"/>
              </w:rPr>
              <w:t>Aramark</w:t>
            </w:r>
          </w:p>
        </w:tc>
        <w:tc>
          <w:tcPr>
            <w:tcW w:w="1170" w:type="dxa"/>
            <w:shd w:val="clear" w:color="auto" w:fill="auto"/>
            <w:noWrap/>
            <w:tcMar>
              <w:top w:w="15" w:type="dxa"/>
              <w:left w:w="15" w:type="dxa"/>
              <w:bottom w:w="0" w:type="dxa"/>
              <w:right w:w="15" w:type="dxa"/>
            </w:tcMar>
            <w:vAlign w:val="center"/>
            <w:hideMark/>
          </w:tcPr>
          <w:p w14:paraId="6EEC6180" w14:textId="77777777" w:rsidR="006B3BC4" w:rsidRPr="00627385" w:rsidRDefault="006B3BC4" w:rsidP="006B3BC4">
            <w:pPr>
              <w:pStyle w:val="ExhibitText"/>
              <w:jc w:val="center"/>
              <w:rPr>
                <w:b/>
                <w:lang w:val="en-GB"/>
              </w:rPr>
            </w:pPr>
            <w:r w:rsidRPr="00627385">
              <w:rPr>
                <w:b/>
                <w:lang w:val="en-GB"/>
              </w:rPr>
              <w:t>Sodexo</w:t>
            </w:r>
          </w:p>
        </w:tc>
        <w:tc>
          <w:tcPr>
            <w:tcW w:w="1080" w:type="dxa"/>
            <w:shd w:val="clear" w:color="auto" w:fill="auto"/>
            <w:noWrap/>
            <w:tcMar>
              <w:top w:w="15" w:type="dxa"/>
              <w:left w:w="15" w:type="dxa"/>
              <w:bottom w:w="0" w:type="dxa"/>
              <w:right w:w="15" w:type="dxa"/>
            </w:tcMar>
            <w:vAlign w:val="center"/>
            <w:hideMark/>
          </w:tcPr>
          <w:p w14:paraId="7D65506D" w14:textId="77777777" w:rsidR="006B3BC4" w:rsidRPr="00627385" w:rsidRDefault="006B3BC4" w:rsidP="006B3BC4">
            <w:pPr>
              <w:pStyle w:val="ExhibitText"/>
              <w:jc w:val="center"/>
              <w:rPr>
                <w:b/>
                <w:lang w:val="en-GB"/>
              </w:rPr>
            </w:pPr>
            <w:r w:rsidRPr="00627385">
              <w:rPr>
                <w:b/>
                <w:lang w:val="en-GB"/>
              </w:rPr>
              <w:t>Civeo</w:t>
            </w:r>
          </w:p>
        </w:tc>
      </w:tr>
      <w:tr w:rsidR="006B3BC4" w:rsidRPr="00627385" w14:paraId="14F61C1E"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3E2A50F2" w14:textId="77777777" w:rsidR="006B3BC4" w:rsidRPr="00627385" w:rsidRDefault="006B3BC4" w:rsidP="006B3BC4">
            <w:pPr>
              <w:pStyle w:val="ExhibitText"/>
              <w:jc w:val="left"/>
              <w:rPr>
                <w:lang w:val="en-GB"/>
              </w:rPr>
            </w:pPr>
            <w:r w:rsidRPr="00627385">
              <w:rPr>
                <w:lang w:val="en-GB"/>
              </w:rPr>
              <w:t>Current ratio</w:t>
            </w:r>
          </w:p>
        </w:tc>
        <w:tc>
          <w:tcPr>
            <w:tcW w:w="1260" w:type="dxa"/>
            <w:shd w:val="clear" w:color="auto" w:fill="auto"/>
            <w:noWrap/>
            <w:tcMar>
              <w:top w:w="15" w:type="dxa"/>
              <w:left w:w="15" w:type="dxa"/>
              <w:bottom w:w="0" w:type="dxa"/>
              <w:right w:w="15" w:type="dxa"/>
            </w:tcMar>
            <w:vAlign w:val="center"/>
            <w:hideMark/>
          </w:tcPr>
          <w:p w14:paraId="78703611" w14:textId="77777777" w:rsidR="006B3BC4" w:rsidRPr="00627385" w:rsidRDefault="006B3BC4" w:rsidP="006B3BC4">
            <w:pPr>
              <w:pStyle w:val="ExhibitText"/>
              <w:jc w:val="right"/>
              <w:rPr>
                <w:lang w:val="en-GB"/>
              </w:rPr>
            </w:pPr>
            <w:r w:rsidRPr="00627385">
              <w:rPr>
                <w:lang w:val="en-GB"/>
              </w:rPr>
              <w:t>0.74</w:t>
            </w:r>
          </w:p>
        </w:tc>
        <w:tc>
          <w:tcPr>
            <w:tcW w:w="1080" w:type="dxa"/>
            <w:shd w:val="clear" w:color="auto" w:fill="auto"/>
            <w:noWrap/>
            <w:tcMar>
              <w:top w:w="15" w:type="dxa"/>
              <w:left w:w="15" w:type="dxa"/>
              <w:bottom w:w="0" w:type="dxa"/>
              <w:right w:w="15" w:type="dxa"/>
            </w:tcMar>
            <w:vAlign w:val="center"/>
            <w:hideMark/>
          </w:tcPr>
          <w:p w14:paraId="03D7286F" w14:textId="77777777" w:rsidR="006B3BC4" w:rsidRPr="00627385" w:rsidRDefault="006B3BC4" w:rsidP="006B3BC4">
            <w:pPr>
              <w:pStyle w:val="ExhibitText"/>
              <w:jc w:val="right"/>
              <w:rPr>
                <w:lang w:val="en-GB"/>
              </w:rPr>
            </w:pPr>
            <w:r w:rsidRPr="00627385">
              <w:rPr>
                <w:lang w:val="en-GB"/>
              </w:rPr>
              <w:t>1.09</w:t>
            </w:r>
          </w:p>
        </w:tc>
        <w:tc>
          <w:tcPr>
            <w:tcW w:w="1170" w:type="dxa"/>
            <w:shd w:val="clear" w:color="auto" w:fill="auto"/>
            <w:noWrap/>
            <w:tcMar>
              <w:top w:w="15" w:type="dxa"/>
              <w:left w:w="15" w:type="dxa"/>
              <w:bottom w:w="0" w:type="dxa"/>
              <w:right w:w="15" w:type="dxa"/>
            </w:tcMar>
            <w:vAlign w:val="center"/>
            <w:hideMark/>
          </w:tcPr>
          <w:p w14:paraId="7036E058" w14:textId="77777777" w:rsidR="006B3BC4" w:rsidRPr="00627385" w:rsidRDefault="006B3BC4" w:rsidP="006B3BC4">
            <w:pPr>
              <w:pStyle w:val="ExhibitText"/>
              <w:jc w:val="right"/>
              <w:rPr>
                <w:lang w:val="en-GB"/>
              </w:rPr>
            </w:pPr>
            <w:r w:rsidRPr="00627385">
              <w:rPr>
                <w:lang w:val="en-GB"/>
              </w:rPr>
              <w:t>0.37</w:t>
            </w:r>
          </w:p>
        </w:tc>
        <w:tc>
          <w:tcPr>
            <w:tcW w:w="1080" w:type="dxa"/>
            <w:shd w:val="clear" w:color="auto" w:fill="auto"/>
            <w:noWrap/>
            <w:tcMar>
              <w:top w:w="15" w:type="dxa"/>
              <w:left w:w="15" w:type="dxa"/>
              <w:bottom w:w="0" w:type="dxa"/>
              <w:right w:w="15" w:type="dxa"/>
            </w:tcMar>
            <w:vAlign w:val="center"/>
            <w:hideMark/>
          </w:tcPr>
          <w:p w14:paraId="04498EC0" w14:textId="77777777" w:rsidR="006B3BC4" w:rsidRPr="00627385" w:rsidRDefault="006B3BC4" w:rsidP="006B3BC4">
            <w:pPr>
              <w:pStyle w:val="ExhibitText"/>
              <w:jc w:val="right"/>
              <w:rPr>
                <w:lang w:val="en-GB"/>
              </w:rPr>
            </w:pPr>
            <w:r w:rsidRPr="00627385">
              <w:rPr>
                <w:lang w:val="en-GB"/>
              </w:rPr>
              <w:t>1.37</w:t>
            </w:r>
          </w:p>
        </w:tc>
      </w:tr>
      <w:tr w:rsidR="006B3BC4" w:rsidRPr="00627385" w14:paraId="774F9F58"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40A15F80" w14:textId="77777777" w:rsidR="006B3BC4" w:rsidRPr="00627385" w:rsidRDefault="006B3BC4" w:rsidP="006B3BC4">
            <w:pPr>
              <w:pStyle w:val="ExhibitText"/>
              <w:jc w:val="left"/>
              <w:rPr>
                <w:lang w:val="en-GB"/>
              </w:rPr>
            </w:pPr>
            <w:r w:rsidRPr="00627385">
              <w:rPr>
                <w:lang w:val="en-GB"/>
              </w:rPr>
              <w:t>Acid test</w:t>
            </w:r>
          </w:p>
        </w:tc>
        <w:tc>
          <w:tcPr>
            <w:tcW w:w="1260" w:type="dxa"/>
            <w:shd w:val="clear" w:color="auto" w:fill="auto"/>
            <w:noWrap/>
            <w:tcMar>
              <w:top w:w="15" w:type="dxa"/>
              <w:left w:w="15" w:type="dxa"/>
              <w:bottom w:w="0" w:type="dxa"/>
              <w:right w:w="15" w:type="dxa"/>
            </w:tcMar>
            <w:vAlign w:val="center"/>
            <w:hideMark/>
          </w:tcPr>
          <w:p w14:paraId="09D9789C" w14:textId="77777777" w:rsidR="006B3BC4" w:rsidRPr="00627385" w:rsidRDefault="006B3BC4" w:rsidP="006B3BC4">
            <w:pPr>
              <w:pStyle w:val="ExhibitText"/>
              <w:jc w:val="right"/>
              <w:rPr>
                <w:lang w:val="en-GB"/>
              </w:rPr>
            </w:pPr>
            <w:r w:rsidRPr="00627385">
              <w:rPr>
                <w:lang w:val="en-GB"/>
              </w:rPr>
              <w:t>0.67</w:t>
            </w:r>
          </w:p>
        </w:tc>
        <w:tc>
          <w:tcPr>
            <w:tcW w:w="1080" w:type="dxa"/>
            <w:shd w:val="clear" w:color="auto" w:fill="auto"/>
            <w:noWrap/>
            <w:tcMar>
              <w:top w:w="15" w:type="dxa"/>
              <w:left w:w="15" w:type="dxa"/>
              <w:bottom w:w="0" w:type="dxa"/>
              <w:right w:w="15" w:type="dxa"/>
            </w:tcMar>
            <w:vAlign w:val="center"/>
            <w:hideMark/>
          </w:tcPr>
          <w:p w14:paraId="76F4BA9B" w14:textId="77777777" w:rsidR="006B3BC4" w:rsidRPr="00627385" w:rsidRDefault="006B3BC4" w:rsidP="006B3BC4">
            <w:pPr>
              <w:pStyle w:val="ExhibitText"/>
              <w:jc w:val="right"/>
              <w:rPr>
                <w:lang w:val="en-GB"/>
              </w:rPr>
            </w:pPr>
            <w:r w:rsidRPr="00627385">
              <w:rPr>
                <w:lang w:val="en-GB"/>
              </w:rPr>
              <w:t>0.83</w:t>
            </w:r>
          </w:p>
        </w:tc>
        <w:tc>
          <w:tcPr>
            <w:tcW w:w="1170" w:type="dxa"/>
            <w:shd w:val="clear" w:color="auto" w:fill="auto"/>
            <w:noWrap/>
            <w:tcMar>
              <w:top w:w="15" w:type="dxa"/>
              <w:left w:w="15" w:type="dxa"/>
              <w:bottom w:w="0" w:type="dxa"/>
              <w:right w:w="15" w:type="dxa"/>
            </w:tcMar>
            <w:vAlign w:val="center"/>
            <w:hideMark/>
          </w:tcPr>
          <w:p w14:paraId="25A7C685" w14:textId="77777777" w:rsidR="006B3BC4" w:rsidRPr="00627385" w:rsidRDefault="006B3BC4" w:rsidP="006B3BC4">
            <w:pPr>
              <w:pStyle w:val="ExhibitText"/>
              <w:jc w:val="right"/>
              <w:rPr>
                <w:lang w:val="en-GB"/>
              </w:rPr>
            </w:pPr>
            <w:r w:rsidRPr="00627385">
              <w:rPr>
                <w:lang w:val="en-GB"/>
              </w:rPr>
              <w:t>N/A</w:t>
            </w:r>
          </w:p>
        </w:tc>
        <w:tc>
          <w:tcPr>
            <w:tcW w:w="1080" w:type="dxa"/>
            <w:shd w:val="clear" w:color="auto" w:fill="auto"/>
            <w:noWrap/>
            <w:tcMar>
              <w:top w:w="15" w:type="dxa"/>
              <w:left w:w="15" w:type="dxa"/>
              <w:bottom w:w="0" w:type="dxa"/>
              <w:right w:w="15" w:type="dxa"/>
            </w:tcMar>
            <w:vAlign w:val="center"/>
            <w:hideMark/>
          </w:tcPr>
          <w:p w14:paraId="307799AF" w14:textId="77777777" w:rsidR="006B3BC4" w:rsidRPr="00627385" w:rsidRDefault="006B3BC4" w:rsidP="006B3BC4">
            <w:pPr>
              <w:pStyle w:val="ExhibitText"/>
              <w:jc w:val="right"/>
              <w:rPr>
                <w:lang w:val="en-GB"/>
              </w:rPr>
            </w:pPr>
            <w:r w:rsidRPr="00627385">
              <w:rPr>
                <w:lang w:val="en-GB"/>
              </w:rPr>
              <w:t>1.29</w:t>
            </w:r>
          </w:p>
        </w:tc>
      </w:tr>
      <w:tr w:rsidR="006B3BC4" w:rsidRPr="00627385" w14:paraId="5C549F47"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44A0EBD4" w14:textId="77777777" w:rsidR="006B3BC4" w:rsidRPr="00627385" w:rsidRDefault="006B3BC4" w:rsidP="006B3BC4">
            <w:pPr>
              <w:pStyle w:val="ExhibitText"/>
              <w:jc w:val="left"/>
              <w:rPr>
                <w:lang w:val="en-GB"/>
              </w:rPr>
            </w:pPr>
            <w:r w:rsidRPr="00627385">
              <w:rPr>
                <w:lang w:val="en-GB"/>
              </w:rPr>
              <w:t>Debt/equity</w:t>
            </w:r>
          </w:p>
        </w:tc>
        <w:tc>
          <w:tcPr>
            <w:tcW w:w="1260" w:type="dxa"/>
            <w:shd w:val="clear" w:color="auto" w:fill="auto"/>
            <w:noWrap/>
            <w:tcMar>
              <w:top w:w="15" w:type="dxa"/>
              <w:left w:w="15" w:type="dxa"/>
              <w:bottom w:w="0" w:type="dxa"/>
              <w:right w:w="15" w:type="dxa"/>
            </w:tcMar>
            <w:vAlign w:val="center"/>
            <w:hideMark/>
          </w:tcPr>
          <w:p w14:paraId="6C83FD67" w14:textId="77777777" w:rsidR="006B3BC4" w:rsidRPr="00627385" w:rsidRDefault="006B3BC4" w:rsidP="006B3BC4">
            <w:pPr>
              <w:pStyle w:val="ExhibitText"/>
              <w:jc w:val="right"/>
              <w:rPr>
                <w:lang w:val="en-GB"/>
              </w:rPr>
            </w:pPr>
            <w:r w:rsidRPr="00627385">
              <w:rPr>
                <w:lang w:val="en-GB"/>
              </w:rPr>
              <w:t>3.72</w:t>
            </w:r>
          </w:p>
        </w:tc>
        <w:tc>
          <w:tcPr>
            <w:tcW w:w="1080" w:type="dxa"/>
            <w:shd w:val="clear" w:color="auto" w:fill="auto"/>
            <w:noWrap/>
            <w:tcMar>
              <w:top w:w="15" w:type="dxa"/>
              <w:left w:w="15" w:type="dxa"/>
              <w:bottom w:w="0" w:type="dxa"/>
              <w:right w:w="15" w:type="dxa"/>
            </w:tcMar>
            <w:vAlign w:val="center"/>
            <w:hideMark/>
          </w:tcPr>
          <w:p w14:paraId="1E9D4D02" w14:textId="77777777" w:rsidR="006B3BC4" w:rsidRPr="00627385" w:rsidRDefault="006B3BC4" w:rsidP="006B3BC4">
            <w:pPr>
              <w:pStyle w:val="ExhibitText"/>
              <w:jc w:val="right"/>
              <w:rPr>
                <w:lang w:val="en-GB"/>
              </w:rPr>
            </w:pPr>
            <w:r w:rsidRPr="00627385">
              <w:rPr>
                <w:lang w:val="en-GB"/>
              </w:rPr>
              <w:t>3.27</w:t>
            </w:r>
          </w:p>
        </w:tc>
        <w:tc>
          <w:tcPr>
            <w:tcW w:w="1170" w:type="dxa"/>
            <w:shd w:val="clear" w:color="auto" w:fill="auto"/>
            <w:noWrap/>
            <w:tcMar>
              <w:top w:w="15" w:type="dxa"/>
              <w:left w:w="15" w:type="dxa"/>
              <w:bottom w:w="0" w:type="dxa"/>
              <w:right w:w="15" w:type="dxa"/>
            </w:tcMar>
            <w:vAlign w:val="center"/>
            <w:hideMark/>
          </w:tcPr>
          <w:p w14:paraId="13A0117B" w14:textId="77777777" w:rsidR="006B3BC4" w:rsidRPr="00627385" w:rsidRDefault="006B3BC4" w:rsidP="006B3BC4">
            <w:pPr>
              <w:pStyle w:val="ExhibitText"/>
              <w:jc w:val="right"/>
              <w:rPr>
                <w:lang w:val="en-GB"/>
              </w:rPr>
            </w:pPr>
            <w:r w:rsidRPr="00627385">
              <w:rPr>
                <w:lang w:val="en-GB"/>
              </w:rPr>
              <w:t>0.96</w:t>
            </w:r>
          </w:p>
        </w:tc>
        <w:tc>
          <w:tcPr>
            <w:tcW w:w="1080" w:type="dxa"/>
            <w:shd w:val="clear" w:color="auto" w:fill="auto"/>
            <w:noWrap/>
            <w:tcMar>
              <w:top w:w="15" w:type="dxa"/>
              <w:left w:w="15" w:type="dxa"/>
              <w:bottom w:w="0" w:type="dxa"/>
              <w:right w:w="15" w:type="dxa"/>
            </w:tcMar>
            <w:vAlign w:val="center"/>
            <w:hideMark/>
          </w:tcPr>
          <w:p w14:paraId="7ECB67A8" w14:textId="77777777" w:rsidR="006B3BC4" w:rsidRPr="00627385" w:rsidRDefault="006B3BC4" w:rsidP="006B3BC4">
            <w:pPr>
              <w:pStyle w:val="ExhibitText"/>
              <w:jc w:val="right"/>
              <w:rPr>
                <w:lang w:val="en-GB"/>
              </w:rPr>
            </w:pPr>
            <w:r w:rsidRPr="00627385">
              <w:rPr>
                <w:lang w:val="en-GB"/>
              </w:rPr>
              <w:t>0.90</w:t>
            </w:r>
          </w:p>
        </w:tc>
      </w:tr>
      <w:tr w:rsidR="006B3BC4" w:rsidRPr="00627385" w14:paraId="4CF77788"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356F3B63" w14:textId="77777777" w:rsidR="006B3BC4" w:rsidRPr="00627385" w:rsidRDefault="006B3BC4" w:rsidP="006B3BC4">
            <w:pPr>
              <w:pStyle w:val="ExhibitText"/>
              <w:jc w:val="left"/>
              <w:rPr>
                <w:lang w:val="en-GB"/>
              </w:rPr>
            </w:pPr>
            <w:r w:rsidRPr="00627385">
              <w:rPr>
                <w:lang w:val="en-GB"/>
              </w:rPr>
              <w:t>Interest coverage</w:t>
            </w:r>
          </w:p>
        </w:tc>
        <w:tc>
          <w:tcPr>
            <w:tcW w:w="1260" w:type="dxa"/>
            <w:shd w:val="clear" w:color="auto" w:fill="auto"/>
            <w:noWrap/>
            <w:tcMar>
              <w:top w:w="15" w:type="dxa"/>
              <w:left w:w="15" w:type="dxa"/>
              <w:bottom w:w="0" w:type="dxa"/>
              <w:right w:w="15" w:type="dxa"/>
            </w:tcMar>
            <w:vAlign w:val="center"/>
            <w:hideMark/>
          </w:tcPr>
          <w:p w14:paraId="07462194" w14:textId="77777777" w:rsidR="006B3BC4" w:rsidRPr="00627385" w:rsidRDefault="006B3BC4" w:rsidP="006B3BC4">
            <w:pPr>
              <w:pStyle w:val="ExhibitText"/>
              <w:jc w:val="right"/>
              <w:rPr>
                <w:lang w:val="en-GB"/>
              </w:rPr>
            </w:pPr>
            <w:r w:rsidRPr="00627385">
              <w:rPr>
                <w:lang w:val="en-GB"/>
              </w:rPr>
              <w:t>11.83</w:t>
            </w:r>
          </w:p>
        </w:tc>
        <w:tc>
          <w:tcPr>
            <w:tcW w:w="1080" w:type="dxa"/>
            <w:shd w:val="clear" w:color="auto" w:fill="auto"/>
            <w:noWrap/>
            <w:tcMar>
              <w:top w:w="15" w:type="dxa"/>
              <w:left w:w="15" w:type="dxa"/>
              <w:bottom w:w="0" w:type="dxa"/>
              <w:right w:w="15" w:type="dxa"/>
            </w:tcMar>
            <w:vAlign w:val="center"/>
            <w:hideMark/>
          </w:tcPr>
          <w:p w14:paraId="2882F1B9" w14:textId="77777777" w:rsidR="006B3BC4" w:rsidRPr="00627385" w:rsidRDefault="006B3BC4" w:rsidP="006B3BC4">
            <w:pPr>
              <w:pStyle w:val="ExhibitText"/>
              <w:jc w:val="right"/>
              <w:rPr>
                <w:lang w:val="en-GB"/>
              </w:rPr>
            </w:pPr>
            <w:r w:rsidRPr="00627385">
              <w:rPr>
                <w:lang w:val="en-GB"/>
              </w:rPr>
              <w:t>2.20</w:t>
            </w:r>
          </w:p>
        </w:tc>
        <w:tc>
          <w:tcPr>
            <w:tcW w:w="1170" w:type="dxa"/>
            <w:shd w:val="clear" w:color="auto" w:fill="auto"/>
            <w:noWrap/>
            <w:tcMar>
              <w:top w:w="15" w:type="dxa"/>
              <w:left w:w="15" w:type="dxa"/>
              <w:bottom w:w="0" w:type="dxa"/>
              <w:right w:w="15" w:type="dxa"/>
            </w:tcMar>
            <w:vAlign w:val="center"/>
            <w:hideMark/>
          </w:tcPr>
          <w:p w14:paraId="42802092" w14:textId="77777777" w:rsidR="006B3BC4" w:rsidRPr="00627385" w:rsidRDefault="006B3BC4" w:rsidP="006B3BC4">
            <w:pPr>
              <w:pStyle w:val="ExhibitText"/>
              <w:jc w:val="right"/>
              <w:rPr>
                <w:lang w:val="en-GB"/>
              </w:rPr>
            </w:pPr>
            <w:r w:rsidRPr="00627385">
              <w:rPr>
                <w:lang w:val="en-GB"/>
              </w:rPr>
              <w:t>10.75</w:t>
            </w:r>
          </w:p>
        </w:tc>
        <w:tc>
          <w:tcPr>
            <w:tcW w:w="1080" w:type="dxa"/>
            <w:shd w:val="clear" w:color="auto" w:fill="auto"/>
            <w:noWrap/>
            <w:tcMar>
              <w:top w:w="15" w:type="dxa"/>
              <w:left w:w="15" w:type="dxa"/>
              <w:bottom w:w="0" w:type="dxa"/>
              <w:right w:w="15" w:type="dxa"/>
            </w:tcMar>
            <w:vAlign w:val="center"/>
            <w:hideMark/>
          </w:tcPr>
          <w:p w14:paraId="486E5D20" w14:textId="7B2B304C" w:rsidR="006B3BC4" w:rsidRPr="00627385" w:rsidRDefault="00D400F2" w:rsidP="00102C19">
            <w:pPr>
              <w:pStyle w:val="ExhibitText"/>
              <w:jc w:val="right"/>
              <w:rPr>
                <w:lang w:val="en-GB"/>
              </w:rPr>
            </w:pPr>
            <w:r w:rsidRPr="00627385">
              <w:rPr>
                <w:lang w:val="en-GB"/>
              </w:rPr>
              <w:t>-</w:t>
            </w:r>
          </w:p>
        </w:tc>
      </w:tr>
      <w:tr w:rsidR="006B3BC4" w:rsidRPr="00627385" w14:paraId="1E5F548F"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4CB16D41" w14:textId="42E8D190" w:rsidR="006B3BC4" w:rsidRPr="00627385" w:rsidRDefault="006B3BC4" w:rsidP="00840977">
            <w:pPr>
              <w:pStyle w:val="ExhibitText"/>
              <w:jc w:val="left"/>
              <w:rPr>
                <w:lang w:val="en-GB"/>
              </w:rPr>
            </w:pPr>
            <w:r w:rsidRPr="00627385">
              <w:rPr>
                <w:lang w:val="en-GB"/>
              </w:rPr>
              <w:t>R</w:t>
            </w:r>
            <w:r w:rsidR="00D400F2" w:rsidRPr="00627385">
              <w:rPr>
                <w:lang w:val="en-GB"/>
              </w:rPr>
              <w:t>eturn on assets</w:t>
            </w:r>
          </w:p>
        </w:tc>
        <w:tc>
          <w:tcPr>
            <w:tcW w:w="1260" w:type="dxa"/>
            <w:shd w:val="clear" w:color="auto" w:fill="auto"/>
            <w:noWrap/>
            <w:tcMar>
              <w:top w:w="15" w:type="dxa"/>
              <w:left w:w="15" w:type="dxa"/>
              <w:bottom w:w="0" w:type="dxa"/>
              <w:right w:w="15" w:type="dxa"/>
            </w:tcMar>
            <w:vAlign w:val="center"/>
            <w:hideMark/>
          </w:tcPr>
          <w:p w14:paraId="4DB93014" w14:textId="73E5ABB9" w:rsidR="006B3BC4" w:rsidRPr="00627385" w:rsidRDefault="006B3BC4" w:rsidP="006B3BC4">
            <w:pPr>
              <w:pStyle w:val="ExhibitText"/>
              <w:jc w:val="right"/>
              <w:rPr>
                <w:lang w:val="en-GB"/>
              </w:rPr>
            </w:pPr>
            <w:r w:rsidRPr="00627385">
              <w:rPr>
                <w:lang w:val="en-GB"/>
              </w:rPr>
              <w:t>10.0</w:t>
            </w:r>
            <w:r w:rsidR="00A22AB1" w:rsidRPr="00627385">
              <w:rPr>
                <w:lang w:val="en-GB"/>
              </w:rPr>
              <w:t>0</w:t>
            </w:r>
            <w:r w:rsidRPr="00627385">
              <w:rPr>
                <w:lang w:val="en-GB"/>
              </w:rPr>
              <w:t>%</w:t>
            </w:r>
          </w:p>
        </w:tc>
        <w:tc>
          <w:tcPr>
            <w:tcW w:w="1080" w:type="dxa"/>
            <w:shd w:val="clear" w:color="auto" w:fill="auto"/>
            <w:noWrap/>
            <w:tcMar>
              <w:top w:w="15" w:type="dxa"/>
              <w:left w:w="15" w:type="dxa"/>
              <w:bottom w:w="0" w:type="dxa"/>
              <w:right w:w="15" w:type="dxa"/>
            </w:tcMar>
            <w:vAlign w:val="center"/>
            <w:hideMark/>
          </w:tcPr>
          <w:p w14:paraId="54764475" w14:textId="6E09133A" w:rsidR="006B3BC4" w:rsidRPr="00627385" w:rsidRDefault="006B3BC4" w:rsidP="006B3BC4">
            <w:pPr>
              <w:pStyle w:val="ExhibitText"/>
              <w:jc w:val="right"/>
              <w:rPr>
                <w:lang w:val="en-GB"/>
              </w:rPr>
            </w:pPr>
            <w:r w:rsidRPr="00627385">
              <w:rPr>
                <w:lang w:val="en-GB"/>
              </w:rPr>
              <w:t>2.3</w:t>
            </w:r>
            <w:r w:rsidR="00A22AB1" w:rsidRPr="00627385">
              <w:rPr>
                <w:lang w:val="en-GB"/>
              </w:rPr>
              <w:t>0</w:t>
            </w:r>
            <w:r w:rsidRPr="00627385">
              <w:rPr>
                <w:lang w:val="en-GB"/>
              </w:rPr>
              <w:t>%</w:t>
            </w:r>
          </w:p>
        </w:tc>
        <w:tc>
          <w:tcPr>
            <w:tcW w:w="1170" w:type="dxa"/>
            <w:shd w:val="clear" w:color="auto" w:fill="auto"/>
            <w:noWrap/>
            <w:tcMar>
              <w:top w:w="15" w:type="dxa"/>
              <w:left w:w="15" w:type="dxa"/>
              <w:bottom w:w="0" w:type="dxa"/>
              <w:right w:w="15" w:type="dxa"/>
            </w:tcMar>
            <w:vAlign w:val="center"/>
            <w:hideMark/>
          </w:tcPr>
          <w:p w14:paraId="582D2A7F" w14:textId="6D337E6C" w:rsidR="006B3BC4" w:rsidRPr="00627385" w:rsidRDefault="006B3BC4" w:rsidP="006B3BC4">
            <w:pPr>
              <w:pStyle w:val="ExhibitText"/>
              <w:jc w:val="right"/>
              <w:rPr>
                <w:lang w:val="en-GB"/>
              </w:rPr>
            </w:pPr>
            <w:r w:rsidRPr="00627385">
              <w:rPr>
                <w:lang w:val="en-GB"/>
              </w:rPr>
              <w:t>11.2</w:t>
            </w:r>
            <w:r w:rsidR="00A22AB1" w:rsidRPr="00627385">
              <w:rPr>
                <w:lang w:val="en-GB"/>
              </w:rPr>
              <w:t>0</w:t>
            </w:r>
            <w:r w:rsidRPr="00627385">
              <w:rPr>
                <w:lang w:val="en-GB"/>
              </w:rPr>
              <w:t>%</w:t>
            </w:r>
          </w:p>
        </w:tc>
        <w:tc>
          <w:tcPr>
            <w:tcW w:w="1080" w:type="dxa"/>
            <w:shd w:val="clear" w:color="auto" w:fill="auto"/>
            <w:noWrap/>
            <w:tcMar>
              <w:top w:w="15" w:type="dxa"/>
              <w:left w:w="15" w:type="dxa"/>
              <w:bottom w:w="0" w:type="dxa"/>
              <w:right w:w="15" w:type="dxa"/>
            </w:tcMar>
            <w:vAlign w:val="center"/>
            <w:hideMark/>
          </w:tcPr>
          <w:p w14:paraId="57C43CDA" w14:textId="29249640" w:rsidR="006B3BC4" w:rsidRPr="00627385" w:rsidRDefault="006B3BC4" w:rsidP="006B3BC4">
            <w:pPr>
              <w:pStyle w:val="ExhibitText"/>
              <w:jc w:val="right"/>
              <w:rPr>
                <w:lang w:val="en-GB"/>
              </w:rPr>
            </w:pPr>
            <w:r w:rsidRPr="00627385">
              <w:rPr>
                <w:lang w:val="en-GB"/>
              </w:rPr>
              <w:t>(12.3</w:t>
            </w:r>
            <w:r w:rsidR="00A22AB1" w:rsidRPr="00627385">
              <w:rPr>
                <w:lang w:val="en-GB"/>
              </w:rPr>
              <w:t>0</w:t>
            </w:r>
            <w:r w:rsidRPr="00627385">
              <w:rPr>
                <w:lang w:val="en-GB"/>
              </w:rPr>
              <w:t>%)</w:t>
            </w:r>
          </w:p>
        </w:tc>
      </w:tr>
      <w:tr w:rsidR="006B3BC4" w:rsidRPr="00627385" w14:paraId="61BBF36C"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4A3BB1DD" w14:textId="78BC6830" w:rsidR="006B3BC4" w:rsidRPr="00627385" w:rsidRDefault="006B3BC4" w:rsidP="00102C19">
            <w:pPr>
              <w:pStyle w:val="ExhibitText"/>
              <w:jc w:val="left"/>
              <w:rPr>
                <w:lang w:val="en-GB"/>
              </w:rPr>
            </w:pPr>
            <w:r w:rsidRPr="00627385">
              <w:rPr>
                <w:lang w:val="en-GB"/>
              </w:rPr>
              <w:t>R</w:t>
            </w:r>
            <w:r w:rsidR="00D400F2" w:rsidRPr="00627385">
              <w:rPr>
                <w:lang w:val="en-GB"/>
              </w:rPr>
              <w:t>eturn on equity</w:t>
            </w:r>
          </w:p>
        </w:tc>
        <w:tc>
          <w:tcPr>
            <w:tcW w:w="1260" w:type="dxa"/>
            <w:shd w:val="clear" w:color="auto" w:fill="auto"/>
            <w:noWrap/>
            <w:tcMar>
              <w:top w:w="15" w:type="dxa"/>
              <w:left w:w="15" w:type="dxa"/>
              <w:bottom w:w="0" w:type="dxa"/>
              <w:right w:w="15" w:type="dxa"/>
            </w:tcMar>
            <w:vAlign w:val="center"/>
            <w:hideMark/>
          </w:tcPr>
          <w:p w14:paraId="6F2342CD" w14:textId="4CF9C514" w:rsidR="006B3BC4" w:rsidRPr="00627385" w:rsidRDefault="006B3BC4" w:rsidP="006B3BC4">
            <w:pPr>
              <w:pStyle w:val="ExhibitText"/>
              <w:jc w:val="right"/>
              <w:rPr>
                <w:lang w:val="en-GB"/>
              </w:rPr>
            </w:pPr>
            <w:r w:rsidRPr="00627385">
              <w:rPr>
                <w:lang w:val="en-GB"/>
              </w:rPr>
              <w:t>45.0</w:t>
            </w:r>
            <w:r w:rsidR="00A22AB1" w:rsidRPr="00627385">
              <w:rPr>
                <w:lang w:val="en-GB"/>
              </w:rPr>
              <w:t>0</w:t>
            </w:r>
            <w:r w:rsidRPr="00627385">
              <w:rPr>
                <w:lang w:val="en-GB"/>
              </w:rPr>
              <w:t>%</w:t>
            </w:r>
          </w:p>
        </w:tc>
        <w:tc>
          <w:tcPr>
            <w:tcW w:w="1080" w:type="dxa"/>
            <w:shd w:val="clear" w:color="auto" w:fill="auto"/>
            <w:noWrap/>
            <w:tcMar>
              <w:top w:w="15" w:type="dxa"/>
              <w:left w:w="15" w:type="dxa"/>
              <w:bottom w:w="0" w:type="dxa"/>
              <w:right w:w="15" w:type="dxa"/>
            </w:tcMar>
            <w:vAlign w:val="center"/>
            <w:hideMark/>
          </w:tcPr>
          <w:p w14:paraId="36C6924F" w14:textId="1B282466" w:rsidR="006B3BC4" w:rsidRPr="00627385" w:rsidRDefault="006B3BC4" w:rsidP="006B3BC4">
            <w:pPr>
              <w:pStyle w:val="ExhibitText"/>
              <w:jc w:val="right"/>
              <w:rPr>
                <w:lang w:val="en-GB"/>
              </w:rPr>
            </w:pPr>
            <w:r w:rsidRPr="00627385">
              <w:rPr>
                <w:lang w:val="en-GB"/>
              </w:rPr>
              <w:t>12.5</w:t>
            </w:r>
            <w:r w:rsidR="00A22AB1" w:rsidRPr="00627385">
              <w:rPr>
                <w:lang w:val="en-GB"/>
              </w:rPr>
              <w:t>0</w:t>
            </w:r>
            <w:r w:rsidRPr="00627385">
              <w:rPr>
                <w:lang w:val="en-GB"/>
              </w:rPr>
              <w:t>%</w:t>
            </w:r>
          </w:p>
        </w:tc>
        <w:tc>
          <w:tcPr>
            <w:tcW w:w="1170" w:type="dxa"/>
            <w:shd w:val="clear" w:color="auto" w:fill="auto"/>
            <w:noWrap/>
            <w:tcMar>
              <w:top w:w="15" w:type="dxa"/>
              <w:left w:w="15" w:type="dxa"/>
              <w:bottom w:w="0" w:type="dxa"/>
              <w:right w:w="15" w:type="dxa"/>
            </w:tcMar>
            <w:vAlign w:val="center"/>
            <w:hideMark/>
          </w:tcPr>
          <w:p w14:paraId="7AE7A076" w14:textId="6B85D3DE" w:rsidR="006B3BC4" w:rsidRPr="00627385" w:rsidRDefault="006B3BC4" w:rsidP="006B3BC4">
            <w:pPr>
              <w:pStyle w:val="ExhibitText"/>
              <w:jc w:val="right"/>
              <w:rPr>
                <w:lang w:val="en-GB"/>
              </w:rPr>
            </w:pPr>
            <w:r w:rsidRPr="00627385">
              <w:rPr>
                <w:lang w:val="en-GB"/>
              </w:rPr>
              <w:t>22.0</w:t>
            </w:r>
            <w:r w:rsidR="00A22AB1" w:rsidRPr="00627385">
              <w:rPr>
                <w:lang w:val="en-GB"/>
              </w:rPr>
              <w:t>0</w:t>
            </w:r>
            <w:r w:rsidRPr="00627385">
              <w:rPr>
                <w:lang w:val="en-GB"/>
              </w:rPr>
              <w:t>%</w:t>
            </w:r>
          </w:p>
        </w:tc>
        <w:tc>
          <w:tcPr>
            <w:tcW w:w="1080" w:type="dxa"/>
            <w:shd w:val="clear" w:color="auto" w:fill="auto"/>
            <w:noWrap/>
            <w:tcMar>
              <w:top w:w="15" w:type="dxa"/>
              <w:left w:w="15" w:type="dxa"/>
              <w:bottom w:w="0" w:type="dxa"/>
              <w:right w:w="15" w:type="dxa"/>
            </w:tcMar>
            <w:vAlign w:val="center"/>
            <w:hideMark/>
          </w:tcPr>
          <w:p w14:paraId="2303BED0" w14:textId="194FE583" w:rsidR="006B3BC4" w:rsidRPr="00627385" w:rsidRDefault="006B3BC4" w:rsidP="006B3BC4">
            <w:pPr>
              <w:pStyle w:val="ExhibitText"/>
              <w:jc w:val="right"/>
              <w:rPr>
                <w:lang w:val="en-GB"/>
              </w:rPr>
            </w:pPr>
            <w:r w:rsidRPr="00627385">
              <w:rPr>
                <w:lang w:val="en-GB"/>
              </w:rPr>
              <w:t>(23.4</w:t>
            </w:r>
            <w:r w:rsidR="00A22AB1" w:rsidRPr="00627385">
              <w:rPr>
                <w:lang w:val="en-GB"/>
              </w:rPr>
              <w:t>0</w:t>
            </w:r>
            <w:r w:rsidRPr="00627385">
              <w:rPr>
                <w:lang w:val="en-GB"/>
              </w:rPr>
              <w:t>%)</w:t>
            </w:r>
          </w:p>
        </w:tc>
      </w:tr>
      <w:tr w:rsidR="006B3BC4" w:rsidRPr="00627385" w14:paraId="6577A04F"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0276697A" w14:textId="77777777" w:rsidR="006B3BC4" w:rsidRPr="00627385" w:rsidRDefault="006B3BC4" w:rsidP="006B3BC4">
            <w:pPr>
              <w:pStyle w:val="ExhibitText"/>
              <w:jc w:val="left"/>
              <w:rPr>
                <w:lang w:val="en-GB"/>
              </w:rPr>
            </w:pPr>
            <w:r w:rsidRPr="00627385">
              <w:rPr>
                <w:lang w:val="en-GB"/>
              </w:rPr>
              <w:t>Days of accounts receivable</w:t>
            </w:r>
          </w:p>
        </w:tc>
        <w:tc>
          <w:tcPr>
            <w:tcW w:w="1260" w:type="dxa"/>
            <w:shd w:val="clear" w:color="auto" w:fill="auto"/>
            <w:noWrap/>
            <w:tcMar>
              <w:top w:w="15" w:type="dxa"/>
              <w:left w:w="15" w:type="dxa"/>
              <w:bottom w:w="0" w:type="dxa"/>
              <w:right w:w="15" w:type="dxa"/>
            </w:tcMar>
            <w:vAlign w:val="center"/>
            <w:hideMark/>
          </w:tcPr>
          <w:p w14:paraId="13B92EBC" w14:textId="77777777" w:rsidR="006B3BC4" w:rsidRPr="00627385" w:rsidRDefault="006B3BC4" w:rsidP="006B3BC4">
            <w:pPr>
              <w:pStyle w:val="ExhibitText"/>
              <w:jc w:val="right"/>
              <w:rPr>
                <w:lang w:val="en-GB"/>
              </w:rPr>
            </w:pPr>
            <w:r w:rsidRPr="00627385">
              <w:rPr>
                <w:lang w:val="en-GB"/>
              </w:rPr>
              <w:t>42.67</w:t>
            </w:r>
          </w:p>
        </w:tc>
        <w:tc>
          <w:tcPr>
            <w:tcW w:w="1080" w:type="dxa"/>
            <w:shd w:val="clear" w:color="auto" w:fill="auto"/>
            <w:noWrap/>
            <w:tcMar>
              <w:top w:w="15" w:type="dxa"/>
              <w:left w:w="15" w:type="dxa"/>
              <w:bottom w:w="0" w:type="dxa"/>
              <w:right w:w="15" w:type="dxa"/>
            </w:tcMar>
            <w:vAlign w:val="center"/>
            <w:hideMark/>
          </w:tcPr>
          <w:p w14:paraId="4242ABBB" w14:textId="77777777" w:rsidR="006B3BC4" w:rsidRPr="00627385" w:rsidRDefault="006B3BC4" w:rsidP="006B3BC4">
            <w:pPr>
              <w:pStyle w:val="ExhibitText"/>
              <w:jc w:val="right"/>
              <w:rPr>
                <w:lang w:val="en-GB"/>
              </w:rPr>
            </w:pPr>
            <w:r w:rsidRPr="00627385">
              <w:rPr>
                <w:lang w:val="en-GB"/>
              </w:rPr>
              <w:t>36.29</w:t>
            </w:r>
          </w:p>
        </w:tc>
        <w:tc>
          <w:tcPr>
            <w:tcW w:w="1170" w:type="dxa"/>
            <w:shd w:val="clear" w:color="auto" w:fill="auto"/>
            <w:noWrap/>
            <w:tcMar>
              <w:top w:w="15" w:type="dxa"/>
              <w:left w:w="15" w:type="dxa"/>
              <w:bottom w:w="0" w:type="dxa"/>
              <w:right w:w="15" w:type="dxa"/>
            </w:tcMar>
            <w:vAlign w:val="center"/>
            <w:hideMark/>
          </w:tcPr>
          <w:p w14:paraId="12C2EFB7" w14:textId="77777777" w:rsidR="006B3BC4" w:rsidRPr="00627385" w:rsidRDefault="006B3BC4" w:rsidP="006B3BC4">
            <w:pPr>
              <w:pStyle w:val="ExhibitText"/>
              <w:jc w:val="right"/>
              <w:rPr>
                <w:lang w:val="en-GB"/>
              </w:rPr>
            </w:pPr>
            <w:r w:rsidRPr="00627385">
              <w:rPr>
                <w:lang w:val="en-GB"/>
              </w:rPr>
              <w:t>0.80</w:t>
            </w:r>
          </w:p>
        </w:tc>
        <w:tc>
          <w:tcPr>
            <w:tcW w:w="1080" w:type="dxa"/>
            <w:shd w:val="clear" w:color="auto" w:fill="auto"/>
            <w:noWrap/>
            <w:tcMar>
              <w:top w:w="15" w:type="dxa"/>
              <w:left w:w="15" w:type="dxa"/>
              <w:bottom w:w="0" w:type="dxa"/>
              <w:right w:w="15" w:type="dxa"/>
            </w:tcMar>
            <w:vAlign w:val="center"/>
            <w:hideMark/>
          </w:tcPr>
          <w:p w14:paraId="5B72FD98" w14:textId="77777777" w:rsidR="006B3BC4" w:rsidRPr="00627385" w:rsidRDefault="006B3BC4" w:rsidP="006B3BC4">
            <w:pPr>
              <w:pStyle w:val="ExhibitText"/>
              <w:jc w:val="right"/>
              <w:rPr>
                <w:lang w:val="en-GB"/>
              </w:rPr>
            </w:pPr>
            <w:r w:rsidRPr="00627385">
              <w:rPr>
                <w:lang w:val="en-GB"/>
              </w:rPr>
              <w:t>42.72</w:t>
            </w:r>
          </w:p>
        </w:tc>
      </w:tr>
      <w:tr w:rsidR="006B3BC4" w:rsidRPr="00627385" w14:paraId="1BD00B7A"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394DECB6" w14:textId="3AC28C27" w:rsidR="006B3BC4" w:rsidRPr="00627385" w:rsidRDefault="006B3BC4" w:rsidP="006B3BC4">
            <w:pPr>
              <w:pStyle w:val="ExhibitText"/>
              <w:jc w:val="left"/>
              <w:rPr>
                <w:lang w:val="en-GB"/>
              </w:rPr>
            </w:pPr>
            <w:r w:rsidRPr="00627385">
              <w:rPr>
                <w:lang w:val="en-GB"/>
              </w:rPr>
              <w:t xml:space="preserve">Days </w:t>
            </w:r>
            <w:r w:rsidR="00D400F2" w:rsidRPr="00627385">
              <w:rPr>
                <w:lang w:val="en-GB"/>
              </w:rPr>
              <w:t xml:space="preserve">of </w:t>
            </w:r>
            <w:r w:rsidRPr="00627385">
              <w:rPr>
                <w:lang w:val="en-GB"/>
              </w:rPr>
              <w:t>accounts payable</w:t>
            </w:r>
          </w:p>
        </w:tc>
        <w:tc>
          <w:tcPr>
            <w:tcW w:w="1260" w:type="dxa"/>
            <w:shd w:val="clear" w:color="auto" w:fill="auto"/>
            <w:noWrap/>
            <w:tcMar>
              <w:top w:w="15" w:type="dxa"/>
              <w:left w:w="15" w:type="dxa"/>
              <w:bottom w:w="0" w:type="dxa"/>
              <w:right w:w="15" w:type="dxa"/>
            </w:tcMar>
            <w:vAlign w:val="center"/>
            <w:hideMark/>
          </w:tcPr>
          <w:p w14:paraId="7D7EDF2D" w14:textId="77777777" w:rsidR="006B3BC4" w:rsidRPr="00627385" w:rsidRDefault="006B3BC4" w:rsidP="006B3BC4">
            <w:pPr>
              <w:pStyle w:val="ExhibitText"/>
              <w:jc w:val="right"/>
              <w:rPr>
                <w:lang w:val="en-GB"/>
              </w:rPr>
            </w:pPr>
            <w:r w:rsidRPr="00627385">
              <w:rPr>
                <w:lang w:val="en-GB"/>
              </w:rPr>
              <w:t>69.44</w:t>
            </w:r>
          </w:p>
        </w:tc>
        <w:tc>
          <w:tcPr>
            <w:tcW w:w="1080" w:type="dxa"/>
            <w:shd w:val="clear" w:color="auto" w:fill="auto"/>
            <w:noWrap/>
            <w:tcMar>
              <w:top w:w="15" w:type="dxa"/>
              <w:left w:w="15" w:type="dxa"/>
              <w:bottom w:w="0" w:type="dxa"/>
              <w:right w:w="15" w:type="dxa"/>
            </w:tcMar>
            <w:vAlign w:val="center"/>
            <w:hideMark/>
          </w:tcPr>
          <w:p w14:paraId="0744B21E" w14:textId="77777777" w:rsidR="006B3BC4" w:rsidRPr="00627385" w:rsidRDefault="006B3BC4" w:rsidP="006B3BC4">
            <w:pPr>
              <w:pStyle w:val="ExhibitText"/>
              <w:jc w:val="right"/>
              <w:rPr>
                <w:lang w:val="en-GB"/>
              </w:rPr>
            </w:pPr>
            <w:r w:rsidRPr="00627385">
              <w:rPr>
                <w:lang w:val="en-GB"/>
              </w:rPr>
              <w:t>23.76</w:t>
            </w:r>
          </w:p>
        </w:tc>
        <w:tc>
          <w:tcPr>
            <w:tcW w:w="1170" w:type="dxa"/>
            <w:shd w:val="clear" w:color="auto" w:fill="auto"/>
            <w:noWrap/>
            <w:tcMar>
              <w:top w:w="15" w:type="dxa"/>
              <w:left w:w="15" w:type="dxa"/>
              <w:bottom w:w="0" w:type="dxa"/>
              <w:right w:w="15" w:type="dxa"/>
            </w:tcMar>
            <w:vAlign w:val="center"/>
            <w:hideMark/>
          </w:tcPr>
          <w:p w14:paraId="7171EA9C" w14:textId="77777777" w:rsidR="006B3BC4" w:rsidRPr="00627385" w:rsidRDefault="006B3BC4" w:rsidP="006B3BC4">
            <w:pPr>
              <w:pStyle w:val="ExhibitText"/>
              <w:jc w:val="right"/>
              <w:rPr>
                <w:lang w:val="en-GB"/>
              </w:rPr>
            </w:pPr>
            <w:r w:rsidRPr="00627385">
              <w:rPr>
                <w:lang w:val="en-GB"/>
              </w:rPr>
              <w:t>N/A</w:t>
            </w:r>
          </w:p>
        </w:tc>
        <w:tc>
          <w:tcPr>
            <w:tcW w:w="1080" w:type="dxa"/>
            <w:shd w:val="clear" w:color="auto" w:fill="auto"/>
            <w:noWrap/>
            <w:tcMar>
              <w:top w:w="15" w:type="dxa"/>
              <w:left w:w="15" w:type="dxa"/>
              <w:bottom w:w="0" w:type="dxa"/>
              <w:right w:w="15" w:type="dxa"/>
            </w:tcMar>
            <w:vAlign w:val="center"/>
            <w:hideMark/>
          </w:tcPr>
          <w:p w14:paraId="3A4247FA" w14:textId="77777777" w:rsidR="006B3BC4" w:rsidRPr="00627385" w:rsidRDefault="006B3BC4" w:rsidP="006B3BC4">
            <w:pPr>
              <w:pStyle w:val="ExhibitText"/>
              <w:jc w:val="right"/>
              <w:rPr>
                <w:lang w:val="en-GB"/>
              </w:rPr>
            </w:pPr>
            <w:r w:rsidRPr="00627385">
              <w:rPr>
                <w:lang w:val="en-GB"/>
              </w:rPr>
              <w:t>13.36</w:t>
            </w:r>
          </w:p>
        </w:tc>
      </w:tr>
      <w:tr w:rsidR="006B3BC4" w:rsidRPr="00627385" w14:paraId="2AE9EA63"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17551001" w14:textId="54878F34" w:rsidR="006B3BC4" w:rsidRPr="00627385" w:rsidRDefault="006B3BC4" w:rsidP="006B3BC4">
            <w:pPr>
              <w:pStyle w:val="ExhibitText"/>
              <w:jc w:val="left"/>
              <w:rPr>
                <w:lang w:val="en-GB"/>
              </w:rPr>
            </w:pPr>
            <w:r w:rsidRPr="00627385">
              <w:rPr>
                <w:lang w:val="en-GB"/>
              </w:rPr>
              <w:t>Days</w:t>
            </w:r>
            <w:r w:rsidR="00D400F2" w:rsidRPr="00627385">
              <w:rPr>
                <w:lang w:val="en-GB"/>
              </w:rPr>
              <w:t xml:space="preserve"> in</w:t>
            </w:r>
            <w:r w:rsidRPr="00627385">
              <w:rPr>
                <w:lang w:val="en-GB"/>
              </w:rPr>
              <w:t xml:space="preserve"> inventory</w:t>
            </w:r>
          </w:p>
        </w:tc>
        <w:tc>
          <w:tcPr>
            <w:tcW w:w="1260" w:type="dxa"/>
            <w:shd w:val="clear" w:color="auto" w:fill="auto"/>
            <w:noWrap/>
            <w:tcMar>
              <w:top w:w="15" w:type="dxa"/>
              <w:left w:w="15" w:type="dxa"/>
              <w:bottom w:w="0" w:type="dxa"/>
              <w:right w:w="15" w:type="dxa"/>
            </w:tcMar>
            <w:vAlign w:val="center"/>
            <w:hideMark/>
          </w:tcPr>
          <w:p w14:paraId="3553B12F" w14:textId="77777777" w:rsidR="006B3BC4" w:rsidRPr="00627385" w:rsidRDefault="006B3BC4" w:rsidP="006B3BC4">
            <w:pPr>
              <w:pStyle w:val="ExhibitText"/>
              <w:jc w:val="right"/>
              <w:rPr>
                <w:lang w:val="en-GB"/>
              </w:rPr>
            </w:pPr>
            <w:r w:rsidRPr="00627385">
              <w:rPr>
                <w:lang w:val="en-GB"/>
              </w:rPr>
              <w:t>6.20</w:t>
            </w:r>
          </w:p>
        </w:tc>
        <w:tc>
          <w:tcPr>
            <w:tcW w:w="1080" w:type="dxa"/>
            <w:shd w:val="clear" w:color="auto" w:fill="auto"/>
            <w:noWrap/>
            <w:tcMar>
              <w:top w:w="15" w:type="dxa"/>
              <w:left w:w="15" w:type="dxa"/>
              <w:bottom w:w="0" w:type="dxa"/>
              <w:right w:w="15" w:type="dxa"/>
            </w:tcMar>
            <w:vAlign w:val="center"/>
            <w:hideMark/>
          </w:tcPr>
          <w:p w14:paraId="66C1221A" w14:textId="77777777" w:rsidR="006B3BC4" w:rsidRPr="00627385" w:rsidRDefault="006B3BC4" w:rsidP="006B3BC4">
            <w:pPr>
              <w:pStyle w:val="ExhibitText"/>
              <w:jc w:val="right"/>
              <w:rPr>
                <w:lang w:val="en-GB"/>
              </w:rPr>
            </w:pPr>
            <w:r w:rsidRPr="00627385">
              <w:rPr>
                <w:lang w:val="en-GB"/>
              </w:rPr>
              <w:t>16.08</w:t>
            </w:r>
          </w:p>
        </w:tc>
        <w:tc>
          <w:tcPr>
            <w:tcW w:w="1170" w:type="dxa"/>
            <w:shd w:val="clear" w:color="auto" w:fill="auto"/>
            <w:noWrap/>
            <w:tcMar>
              <w:top w:w="15" w:type="dxa"/>
              <w:left w:w="15" w:type="dxa"/>
              <w:bottom w:w="0" w:type="dxa"/>
              <w:right w:w="15" w:type="dxa"/>
            </w:tcMar>
            <w:vAlign w:val="center"/>
            <w:hideMark/>
          </w:tcPr>
          <w:p w14:paraId="1A462AF8" w14:textId="77777777" w:rsidR="006B3BC4" w:rsidRPr="00627385" w:rsidRDefault="006B3BC4" w:rsidP="006B3BC4">
            <w:pPr>
              <w:pStyle w:val="ExhibitText"/>
              <w:jc w:val="right"/>
              <w:rPr>
                <w:lang w:val="en-GB"/>
              </w:rPr>
            </w:pPr>
            <w:r w:rsidRPr="00627385">
              <w:rPr>
                <w:lang w:val="en-GB"/>
              </w:rPr>
              <w:t>N/A</w:t>
            </w:r>
          </w:p>
        </w:tc>
        <w:tc>
          <w:tcPr>
            <w:tcW w:w="1080" w:type="dxa"/>
            <w:shd w:val="clear" w:color="auto" w:fill="auto"/>
            <w:noWrap/>
            <w:tcMar>
              <w:top w:w="15" w:type="dxa"/>
              <w:left w:w="15" w:type="dxa"/>
              <w:bottom w:w="0" w:type="dxa"/>
              <w:right w:w="15" w:type="dxa"/>
            </w:tcMar>
            <w:vAlign w:val="center"/>
            <w:hideMark/>
          </w:tcPr>
          <w:p w14:paraId="10EB38AC" w14:textId="77777777" w:rsidR="006B3BC4" w:rsidRPr="00627385" w:rsidRDefault="006B3BC4" w:rsidP="006B3BC4">
            <w:pPr>
              <w:pStyle w:val="ExhibitText"/>
              <w:jc w:val="right"/>
              <w:rPr>
                <w:lang w:val="en-GB"/>
              </w:rPr>
            </w:pPr>
            <w:r w:rsidRPr="00627385">
              <w:rPr>
                <w:lang w:val="en-GB"/>
              </w:rPr>
              <w:t>3.06</w:t>
            </w:r>
          </w:p>
        </w:tc>
      </w:tr>
      <w:tr w:rsidR="006B3BC4" w:rsidRPr="00627385" w14:paraId="33C76BE7"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6AD1B1E0" w14:textId="77777777" w:rsidR="006B3BC4" w:rsidRPr="00627385" w:rsidRDefault="006B3BC4" w:rsidP="006B3BC4">
            <w:pPr>
              <w:pStyle w:val="ExhibitText"/>
              <w:jc w:val="left"/>
              <w:rPr>
                <w:lang w:val="en-GB"/>
              </w:rPr>
            </w:pPr>
            <w:r w:rsidRPr="00627385">
              <w:rPr>
                <w:lang w:val="en-GB"/>
              </w:rPr>
              <w:t>Operating profit</w:t>
            </w:r>
          </w:p>
        </w:tc>
        <w:tc>
          <w:tcPr>
            <w:tcW w:w="1260" w:type="dxa"/>
            <w:shd w:val="clear" w:color="auto" w:fill="auto"/>
            <w:noWrap/>
            <w:tcMar>
              <w:top w:w="15" w:type="dxa"/>
              <w:left w:w="15" w:type="dxa"/>
              <w:bottom w:w="0" w:type="dxa"/>
              <w:right w:w="15" w:type="dxa"/>
            </w:tcMar>
            <w:vAlign w:val="center"/>
            <w:hideMark/>
          </w:tcPr>
          <w:p w14:paraId="09A1DD62" w14:textId="77777777" w:rsidR="006B3BC4" w:rsidRPr="00627385" w:rsidRDefault="006B3BC4" w:rsidP="006B3BC4">
            <w:pPr>
              <w:pStyle w:val="ExhibitText"/>
              <w:jc w:val="right"/>
              <w:rPr>
                <w:lang w:val="en-GB"/>
              </w:rPr>
            </w:pPr>
            <w:r w:rsidRPr="00627385">
              <w:rPr>
                <w:lang w:val="en-GB"/>
              </w:rPr>
              <w:t>7.07%</w:t>
            </w:r>
          </w:p>
        </w:tc>
        <w:tc>
          <w:tcPr>
            <w:tcW w:w="1080" w:type="dxa"/>
            <w:shd w:val="clear" w:color="auto" w:fill="auto"/>
            <w:noWrap/>
            <w:tcMar>
              <w:top w:w="15" w:type="dxa"/>
              <w:left w:w="15" w:type="dxa"/>
              <w:bottom w:w="0" w:type="dxa"/>
              <w:right w:w="15" w:type="dxa"/>
            </w:tcMar>
            <w:vAlign w:val="center"/>
            <w:hideMark/>
          </w:tcPr>
          <w:p w14:paraId="21B6A795" w14:textId="77777777" w:rsidR="006B3BC4" w:rsidRPr="00627385" w:rsidRDefault="006B3BC4" w:rsidP="006B3BC4">
            <w:pPr>
              <w:pStyle w:val="ExhibitText"/>
              <w:jc w:val="right"/>
              <w:rPr>
                <w:lang w:val="en-GB"/>
              </w:rPr>
            </w:pPr>
            <w:r w:rsidRPr="00627385">
              <w:rPr>
                <w:lang w:val="en-GB"/>
              </w:rPr>
              <w:t>4.38%</w:t>
            </w:r>
          </w:p>
        </w:tc>
        <w:tc>
          <w:tcPr>
            <w:tcW w:w="1170" w:type="dxa"/>
            <w:shd w:val="clear" w:color="auto" w:fill="auto"/>
            <w:noWrap/>
            <w:tcMar>
              <w:top w:w="15" w:type="dxa"/>
              <w:left w:w="15" w:type="dxa"/>
              <w:bottom w:w="0" w:type="dxa"/>
              <w:right w:w="15" w:type="dxa"/>
            </w:tcMar>
            <w:vAlign w:val="center"/>
            <w:hideMark/>
          </w:tcPr>
          <w:p w14:paraId="7747D4B2" w14:textId="77777777" w:rsidR="006B3BC4" w:rsidRPr="00627385" w:rsidRDefault="006B3BC4" w:rsidP="006B3BC4">
            <w:pPr>
              <w:pStyle w:val="ExhibitText"/>
              <w:jc w:val="right"/>
              <w:rPr>
                <w:lang w:val="en-GB"/>
              </w:rPr>
            </w:pPr>
            <w:r w:rsidRPr="00627385">
              <w:rPr>
                <w:lang w:val="en-GB"/>
              </w:rPr>
              <w:t>5.77%</w:t>
            </w:r>
          </w:p>
        </w:tc>
        <w:tc>
          <w:tcPr>
            <w:tcW w:w="1080" w:type="dxa"/>
            <w:shd w:val="clear" w:color="auto" w:fill="auto"/>
            <w:noWrap/>
            <w:tcMar>
              <w:top w:w="15" w:type="dxa"/>
              <w:left w:w="15" w:type="dxa"/>
              <w:bottom w:w="0" w:type="dxa"/>
              <w:right w:w="15" w:type="dxa"/>
            </w:tcMar>
            <w:vAlign w:val="center"/>
            <w:hideMark/>
          </w:tcPr>
          <w:p w14:paraId="19B79B24" w14:textId="0DC6A90C" w:rsidR="006B3BC4" w:rsidRPr="00627385" w:rsidRDefault="006B3BC4" w:rsidP="006B3BC4">
            <w:pPr>
              <w:pStyle w:val="ExhibitText"/>
              <w:jc w:val="right"/>
              <w:rPr>
                <w:lang w:val="en-GB"/>
              </w:rPr>
            </w:pPr>
            <w:r w:rsidRPr="00627385">
              <w:rPr>
                <w:lang w:val="en-GB"/>
              </w:rPr>
              <w:t>(29.6</w:t>
            </w:r>
            <w:r w:rsidR="00A22AB1" w:rsidRPr="00627385">
              <w:rPr>
                <w:lang w:val="en-GB"/>
              </w:rPr>
              <w:t>0</w:t>
            </w:r>
            <w:r w:rsidRPr="00627385">
              <w:rPr>
                <w:lang w:val="en-GB"/>
              </w:rPr>
              <w:t>%)</w:t>
            </w:r>
          </w:p>
        </w:tc>
      </w:tr>
      <w:tr w:rsidR="006B3BC4" w:rsidRPr="00627385" w14:paraId="15E90E13"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04833CC3" w14:textId="77777777" w:rsidR="006B3BC4" w:rsidRPr="00627385" w:rsidRDefault="006B3BC4" w:rsidP="006B3BC4">
            <w:pPr>
              <w:pStyle w:val="ExhibitText"/>
              <w:jc w:val="left"/>
              <w:rPr>
                <w:lang w:val="en-GB"/>
              </w:rPr>
            </w:pPr>
            <w:r w:rsidRPr="00627385">
              <w:rPr>
                <w:lang w:val="en-GB"/>
              </w:rPr>
              <w:t>Net profit</w:t>
            </w:r>
          </w:p>
        </w:tc>
        <w:tc>
          <w:tcPr>
            <w:tcW w:w="1260" w:type="dxa"/>
            <w:shd w:val="clear" w:color="auto" w:fill="auto"/>
            <w:noWrap/>
            <w:tcMar>
              <w:top w:w="15" w:type="dxa"/>
              <w:left w:w="15" w:type="dxa"/>
              <w:bottom w:w="0" w:type="dxa"/>
              <w:right w:w="15" w:type="dxa"/>
            </w:tcMar>
            <w:vAlign w:val="center"/>
            <w:hideMark/>
          </w:tcPr>
          <w:p w14:paraId="39BEAF06" w14:textId="77777777" w:rsidR="006B3BC4" w:rsidRPr="00627385" w:rsidRDefault="006B3BC4" w:rsidP="006B3BC4">
            <w:pPr>
              <w:pStyle w:val="ExhibitText"/>
              <w:jc w:val="right"/>
              <w:rPr>
                <w:lang w:val="en-GB"/>
              </w:rPr>
            </w:pPr>
            <w:r w:rsidRPr="00627385">
              <w:rPr>
                <w:lang w:val="en-GB"/>
              </w:rPr>
              <w:t>4.92%</w:t>
            </w:r>
          </w:p>
        </w:tc>
        <w:tc>
          <w:tcPr>
            <w:tcW w:w="1080" w:type="dxa"/>
            <w:shd w:val="clear" w:color="auto" w:fill="auto"/>
            <w:noWrap/>
            <w:tcMar>
              <w:top w:w="15" w:type="dxa"/>
              <w:left w:w="15" w:type="dxa"/>
              <w:bottom w:w="0" w:type="dxa"/>
              <w:right w:w="15" w:type="dxa"/>
            </w:tcMar>
            <w:vAlign w:val="center"/>
            <w:hideMark/>
          </w:tcPr>
          <w:p w14:paraId="634D5D22" w14:textId="77777777" w:rsidR="006B3BC4" w:rsidRPr="00627385" w:rsidRDefault="006B3BC4" w:rsidP="006B3BC4">
            <w:pPr>
              <w:pStyle w:val="ExhibitText"/>
              <w:jc w:val="right"/>
              <w:rPr>
                <w:lang w:val="en-GB"/>
              </w:rPr>
            </w:pPr>
            <w:r w:rsidRPr="00627385">
              <w:rPr>
                <w:lang w:val="en-GB"/>
              </w:rPr>
              <w:t>1.65%</w:t>
            </w:r>
          </w:p>
        </w:tc>
        <w:tc>
          <w:tcPr>
            <w:tcW w:w="1170" w:type="dxa"/>
            <w:shd w:val="clear" w:color="auto" w:fill="auto"/>
            <w:noWrap/>
            <w:tcMar>
              <w:top w:w="15" w:type="dxa"/>
              <w:left w:w="15" w:type="dxa"/>
              <w:bottom w:w="0" w:type="dxa"/>
              <w:right w:w="15" w:type="dxa"/>
            </w:tcMar>
            <w:vAlign w:val="center"/>
            <w:hideMark/>
          </w:tcPr>
          <w:p w14:paraId="29FAC708" w14:textId="77777777" w:rsidR="006B3BC4" w:rsidRPr="00627385" w:rsidRDefault="006B3BC4" w:rsidP="006B3BC4">
            <w:pPr>
              <w:pStyle w:val="ExhibitText"/>
              <w:jc w:val="right"/>
              <w:rPr>
                <w:lang w:val="en-GB"/>
              </w:rPr>
            </w:pPr>
            <w:r w:rsidRPr="00627385">
              <w:rPr>
                <w:lang w:val="en-GB"/>
              </w:rPr>
              <w:t>3.65%</w:t>
            </w:r>
          </w:p>
        </w:tc>
        <w:tc>
          <w:tcPr>
            <w:tcW w:w="1080" w:type="dxa"/>
            <w:shd w:val="clear" w:color="auto" w:fill="auto"/>
            <w:noWrap/>
            <w:tcMar>
              <w:top w:w="15" w:type="dxa"/>
              <w:left w:w="15" w:type="dxa"/>
              <w:bottom w:w="0" w:type="dxa"/>
              <w:right w:w="15" w:type="dxa"/>
            </w:tcMar>
            <w:vAlign w:val="center"/>
            <w:hideMark/>
          </w:tcPr>
          <w:p w14:paraId="14B2440B" w14:textId="61BC3EEB" w:rsidR="006B3BC4" w:rsidRPr="00627385" w:rsidRDefault="006B3BC4" w:rsidP="006B3BC4">
            <w:pPr>
              <w:pStyle w:val="ExhibitText"/>
              <w:jc w:val="right"/>
              <w:rPr>
                <w:lang w:val="en-GB"/>
              </w:rPr>
            </w:pPr>
            <w:r w:rsidRPr="00627385">
              <w:rPr>
                <w:lang w:val="en-GB"/>
              </w:rPr>
              <w:t>(26.9</w:t>
            </w:r>
            <w:r w:rsidR="00A22AB1" w:rsidRPr="00627385">
              <w:rPr>
                <w:lang w:val="en-GB"/>
              </w:rPr>
              <w:t>0</w:t>
            </w:r>
            <w:r w:rsidRPr="00627385">
              <w:rPr>
                <w:lang w:val="en-GB"/>
              </w:rPr>
              <w:t>%)</w:t>
            </w:r>
          </w:p>
        </w:tc>
      </w:tr>
      <w:tr w:rsidR="006B3BC4" w:rsidRPr="00627385" w14:paraId="6F0AAA4C"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28CDAB99" w14:textId="77777777" w:rsidR="006B3BC4" w:rsidRPr="00627385" w:rsidRDefault="006B3BC4" w:rsidP="006B3BC4">
            <w:pPr>
              <w:pStyle w:val="ExhibitText"/>
              <w:jc w:val="left"/>
              <w:rPr>
                <w:lang w:val="en-GB"/>
              </w:rPr>
            </w:pPr>
            <w:r w:rsidRPr="00627385">
              <w:rPr>
                <w:lang w:val="en-GB"/>
              </w:rPr>
              <w:t>Sales growth</w:t>
            </w:r>
          </w:p>
        </w:tc>
        <w:tc>
          <w:tcPr>
            <w:tcW w:w="1260" w:type="dxa"/>
            <w:shd w:val="clear" w:color="auto" w:fill="auto"/>
            <w:noWrap/>
            <w:tcMar>
              <w:top w:w="15" w:type="dxa"/>
              <w:left w:w="15" w:type="dxa"/>
              <w:bottom w:w="0" w:type="dxa"/>
              <w:right w:w="15" w:type="dxa"/>
            </w:tcMar>
            <w:vAlign w:val="center"/>
            <w:hideMark/>
          </w:tcPr>
          <w:p w14:paraId="753CC500" w14:textId="77777777" w:rsidR="006B3BC4" w:rsidRPr="00627385" w:rsidRDefault="006B3BC4" w:rsidP="006B3BC4">
            <w:pPr>
              <w:pStyle w:val="ExhibitText"/>
              <w:jc w:val="right"/>
              <w:rPr>
                <w:lang w:val="en-GB"/>
              </w:rPr>
            </w:pPr>
            <w:r w:rsidRPr="00627385">
              <w:rPr>
                <w:lang w:val="en-GB"/>
              </w:rPr>
              <w:t>4.60%</w:t>
            </w:r>
          </w:p>
        </w:tc>
        <w:tc>
          <w:tcPr>
            <w:tcW w:w="1080" w:type="dxa"/>
            <w:shd w:val="clear" w:color="auto" w:fill="auto"/>
            <w:noWrap/>
            <w:tcMar>
              <w:top w:w="15" w:type="dxa"/>
              <w:left w:w="15" w:type="dxa"/>
              <w:bottom w:w="0" w:type="dxa"/>
              <w:right w:w="15" w:type="dxa"/>
            </w:tcMar>
            <w:vAlign w:val="center"/>
            <w:hideMark/>
          </w:tcPr>
          <w:p w14:paraId="375E8896" w14:textId="77777777" w:rsidR="006B3BC4" w:rsidRPr="00627385" w:rsidRDefault="006B3BC4" w:rsidP="006B3BC4">
            <w:pPr>
              <w:pStyle w:val="ExhibitText"/>
              <w:jc w:val="right"/>
              <w:rPr>
                <w:lang w:val="en-GB"/>
              </w:rPr>
            </w:pPr>
            <w:r w:rsidRPr="00627385">
              <w:rPr>
                <w:lang w:val="en-GB"/>
              </w:rPr>
              <w:t>(3.40%)</w:t>
            </w:r>
          </w:p>
        </w:tc>
        <w:tc>
          <w:tcPr>
            <w:tcW w:w="1170" w:type="dxa"/>
            <w:shd w:val="clear" w:color="auto" w:fill="auto"/>
            <w:noWrap/>
            <w:tcMar>
              <w:top w:w="15" w:type="dxa"/>
              <w:left w:w="15" w:type="dxa"/>
              <w:bottom w:w="0" w:type="dxa"/>
              <w:right w:w="15" w:type="dxa"/>
            </w:tcMar>
            <w:vAlign w:val="center"/>
            <w:hideMark/>
          </w:tcPr>
          <w:p w14:paraId="40AAB86F" w14:textId="081DD560" w:rsidR="006B3BC4" w:rsidRPr="00627385" w:rsidRDefault="006B3BC4" w:rsidP="006B3BC4">
            <w:pPr>
              <w:pStyle w:val="ExhibitText"/>
              <w:jc w:val="right"/>
              <w:rPr>
                <w:lang w:val="en-GB"/>
              </w:rPr>
            </w:pPr>
            <w:r w:rsidRPr="00627385">
              <w:rPr>
                <w:lang w:val="en-GB"/>
              </w:rPr>
              <w:t>10.0</w:t>
            </w:r>
            <w:r w:rsidR="00A22AB1" w:rsidRPr="00627385">
              <w:rPr>
                <w:lang w:val="en-GB"/>
              </w:rPr>
              <w:t>0</w:t>
            </w:r>
            <w:r w:rsidRPr="00627385">
              <w:rPr>
                <w:lang w:val="en-GB"/>
              </w:rPr>
              <w:t>%</w:t>
            </w:r>
          </w:p>
        </w:tc>
        <w:tc>
          <w:tcPr>
            <w:tcW w:w="1080" w:type="dxa"/>
            <w:shd w:val="clear" w:color="auto" w:fill="auto"/>
            <w:noWrap/>
            <w:tcMar>
              <w:top w:w="15" w:type="dxa"/>
              <w:left w:w="15" w:type="dxa"/>
              <w:bottom w:w="0" w:type="dxa"/>
              <w:right w:w="15" w:type="dxa"/>
            </w:tcMar>
            <w:vAlign w:val="center"/>
            <w:hideMark/>
          </w:tcPr>
          <w:p w14:paraId="70726146" w14:textId="0C8B9412" w:rsidR="006B3BC4" w:rsidRPr="00627385" w:rsidRDefault="006B3BC4" w:rsidP="006B3BC4">
            <w:pPr>
              <w:pStyle w:val="ExhibitText"/>
              <w:jc w:val="right"/>
              <w:rPr>
                <w:lang w:val="en-GB"/>
              </w:rPr>
            </w:pPr>
            <w:r w:rsidRPr="00627385">
              <w:rPr>
                <w:lang w:val="en-GB"/>
              </w:rPr>
              <w:t>(45.1</w:t>
            </w:r>
            <w:r w:rsidR="00A22AB1" w:rsidRPr="00627385">
              <w:rPr>
                <w:lang w:val="en-GB"/>
              </w:rPr>
              <w:t>0</w:t>
            </w:r>
            <w:r w:rsidRPr="00627385">
              <w:rPr>
                <w:lang w:val="en-GB"/>
              </w:rPr>
              <w:t>%)</w:t>
            </w:r>
          </w:p>
        </w:tc>
      </w:tr>
      <w:tr w:rsidR="006B3BC4" w:rsidRPr="00627385" w14:paraId="490B3A8A" w14:textId="77777777" w:rsidTr="006B3BC4">
        <w:trPr>
          <w:trHeight w:val="300"/>
          <w:jc w:val="center"/>
        </w:trPr>
        <w:tc>
          <w:tcPr>
            <w:tcW w:w="2695" w:type="dxa"/>
            <w:shd w:val="clear" w:color="auto" w:fill="auto"/>
            <w:noWrap/>
            <w:tcMar>
              <w:top w:w="15" w:type="dxa"/>
              <w:left w:w="15" w:type="dxa"/>
              <w:bottom w:w="0" w:type="dxa"/>
              <w:right w:w="15" w:type="dxa"/>
            </w:tcMar>
            <w:vAlign w:val="center"/>
            <w:hideMark/>
          </w:tcPr>
          <w:p w14:paraId="073406CC" w14:textId="77777777" w:rsidR="006B3BC4" w:rsidRPr="00627385" w:rsidRDefault="006B3BC4" w:rsidP="006B3BC4">
            <w:pPr>
              <w:pStyle w:val="ExhibitText"/>
              <w:jc w:val="left"/>
              <w:rPr>
                <w:lang w:val="en-GB"/>
              </w:rPr>
            </w:pPr>
            <w:r w:rsidRPr="00627385">
              <w:rPr>
                <w:lang w:val="en-GB"/>
              </w:rPr>
              <w:t>Profit growth</w:t>
            </w:r>
          </w:p>
        </w:tc>
        <w:tc>
          <w:tcPr>
            <w:tcW w:w="1260" w:type="dxa"/>
            <w:shd w:val="clear" w:color="auto" w:fill="auto"/>
            <w:noWrap/>
            <w:tcMar>
              <w:top w:w="15" w:type="dxa"/>
              <w:left w:w="15" w:type="dxa"/>
              <w:bottom w:w="0" w:type="dxa"/>
              <w:right w:w="15" w:type="dxa"/>
            </w:tcMar>
            <w:vAlign w:val="center"/>
            <w:hideMark/>
          </w:tcPr>
          <w:p w14:paraId="71F563D9" w14:textId="77777777" w:rsidR="006B3BC4" w:rsidRPr="00627385" w:rsidRDefault="006B3BC4" w:rsidP="006B3BC4">
            <w:pPr>
              <w:pStyle w:val="ExhibitText"/>
              <w:jc w:val="right"/>
              <w:rPr>
                <w:lang w:val="en-GB"/>
              </w:rPr>
            </w:pPr>
            <w:r w:rsidRPr="00627385">
              <w:rPr>
                <w:lang w:val="en-GB"/>
              </w:rPr>
              <w:t>0.69%</w:t>
            </w:r>
          </w:p>
        </w:tc>
        <w:tc>
          <w:tcPr>
            <w:tcW w:w="1080" w:type="dxa"/>
            <w:shd w:val="clear" w:color="auto" w:fill="auto"/>
            <w:noWrap/>
            <w:tcMar>
              <w:top w:w="15" w:type="dxa"/>
              <w:left w:w="15" w:type="dxa"/>
              <w:bottom w:w="0" w:type="dxa"/>
              <w:right w:w="15" w:type="dxa"/>
            </w:tcMar>
            <w:vAlign w:val="center"/>
            <w:hideMark/>
          </w:tcPr>
          <w:p w14:paraId="6E046E52" w14:textId="250A6742" w:rsidR="006B3BC4" w:rsidRPr="00627385" w:rsidRDefault="006B3BC4" w:rsidP="006B3BC4">
            <w:pPr>
              <w:pStyle w:val="ExhibitText"/>
              <w:jc w:val="right"/>
              <w:rPr>
                <w:lang w:val="en-GB"/>
              </w:rPr>
            </w:pPr>
            <w:r w:rsidRPr="00627385">
              <w:rPr>
                <w:lang w:val="en-GB"/>
              </w:rPr>
              <w:t>58.4</w:t>
            </w:r>
            <w:r w:rsidR="00A22AB1" w:rsidRPr="00627385">
              <w:rPr>
                <w:lang w:val="en-GB"/>
              </w:rPr>
              <w:t>0</w:t>
            </w:r>
            <w:r w:rsidRPr="00627385">
              <w:rPr>
                <w:lang w:val="en-GB"/>
              </w:rPr>
              <w:t>%</w:t>
            </w:r>
          </w:p>
        </w:tc>
        <w:tc>
          <w:tcPr>
            <w:tcW w:w="1170" w:type="dxa"/>
            <w:shd w:val="clear" w:color="auto" w:fill="auto"/>
            <w:noWrap/>
            <w:tcMar>
              <w:top w:w="15" w:type="dxa"/>
              <w:left w:w="15" w:type="dxa"/>
              <w:bottom w:w="0" w:type="dxa"/>
              <w:right w:w="15" w:type="dxa"/>
            </w:tcMar>
            <w:vAlign w:val="center"/>
            <w:hideMark/>
          </w:tcPr>
          <w:p w14:paraId="3B092E9C" w14:textId="7B8F82BD" w:rsidR="006B3BC4" w:rsidRPr="00627385" w:rsidRDefault="006B3BC4" w:rsidP="006B3BC4">
            <w:pPr>
              <w:pStyle w:val="ExhibitText"/>
              <w:jc w:val="right"/>
              <w:rPr>
                <w:lang w:val="en-GB"/>
              </w:rPr>
            </w:pPr>
            <w:r w:rsidRPr="00627385">
              <w:rPr>
                <w:lang w:val="en-GB"/>
              </w:rPr>
              <w:t>42.0</w:t>
            </w:r>
            <w:r w:rsidR="00A22AB1" w:rsidRPr="00627385">
              <w:rPr>
                <w:lang w:val="en-GB"/>
              </w:rPr>
              <w:t>0</w:t>
            </w:r>
            <w:r w:rsidRPr="00627385">
              <w:rPr>
                <w:lang w:val="en-GB"/>
              </w:rPr>
              <w:t>%</w:t>
            </w:r>
          </w:p>
        </w:tc>
        <w:tc>
          <w:tcPr>
            <w:tcW w:w="1080" w:type="dxa"/>
            <w:shd w:val="clear" w:color="auto" w:fill="auto"/>
            <w:noWrap/>
            <w:tcMar>
              <w:top w:w="15" w:type="dxa"/>
              <w:left w:w="15" w:type="dxa"/>
              <w:bottom w:w="0" w:type="dxa"/>
              <w:right w:w="15" w:type="dxa"/>
            </w:tcMar>
            <w:vAlign w:val="center"/>
            <w:hideMark/>
          </w:tcPr>
          <w:p w14:paraId="6A4DE306" w14:textId="4B9775B6" w:rsidR="006B3BC4" w:rsidRPr="00627385" w:rsidRDefault="006B3BC4" w:rsidP="006B3BC4">
            <w:pPr>
              <w:pStyle w:val="ExhibitText"/>
              <w:jc w:val="right"/>
              <w:rPr>
                <w:lang w:val="en-GB"/>
              </w:rPr>
            </w:pPr>
            <w:r w:rsidRPr="00627385">
              <w:rPr>
                <w:lang w:val="en-GB"/>
              </w:rPr>
              <w:t>30.3</w:t>
            </w:r>
            <w:r w:rsidR="00A22AB1" w:rsidRPr="00627385">
              <w:rPr>
                <w:lang w:val="en-GB"/>
              </w:rPr>
              <w:t>0</w:t>
            </w:r>
            <w:r w:rsidRPr="00627385">
              <w:rPr>
                <w:lang w:val="en-GB"/>
              </w:rPr>
              <w:t>%</w:t>
            </w:r>
          </w:p>
        </w:tc>
      </w:tr>
    </w:tbl>
    <w:p w14:paraId="4ED1A669" w14:textId="77777777" w:rsidR="006B3BC4" w:rsidRPr="00627385" w:rsidRDefault="006B3BC4" w:rsidP="006B3BC4">
      <w:pPr>
        <w:rPr>
          <w:sz w:val="22"/>
          <w:szCs w:val="22"/>
          <w:lang w:val="en-GB"/>
        </w:rPr>
      </w:pPr>
    </w:p>
    <w:p w14:paraId="272A7D40" w14:textId="128C02C6" w:rsidR="00D400F2" w:rsidRPr="00627385" w:rsidRDefault="00D400F2" w:rsidP="006B3BC4">
      <w:pPr>
        <w:outlineLvl w:val="0"/>
        <w:rPr>
          <w:rFonts w:ascii="Arial" w:hAnsi="Arial" w:cs="Arial"/>
          <w:sz w:val="17"/>
          <w:szCs w:val="17"/>
          <w:lang w:val="en-GB"/>
        </w:rPr>
      </w:pPr>
      <w:r w:rsidRPr="00627385">
        <w:rPr>
          <w:rFonts w:ascii="Arial" w:hAnsi="Arial" w:cs="Arial"/>
          <w:sz w:val="17"/>
          <w:szCs w:val="17"/>
          <w:lang w:val="en-GB"/>
        </w:rPr>
        <w:t xml:space="preserve">Note: Compass = Compass Group PLC; Aramark = Aramark Corporation; Sodexo = Sodexo SA; Civeo = Civeo Corporation; N/A = </w:t>
      </w:r>
      <w:r w:rsidR="008D7BF9" w:rsidRPr="00627385">
        <w:rPr>
          <w:rFonts w:ascii="Arial" w:hAnsi="Arial" w:cs="Arial"/>
          <w:sz w:val="17"/>
          <w:szCs w:val="17"/>
          <w:lang w:val="en-GB"/>
        </w:rPr>
        <w:t>N</w:t>
      </w:r>
      <w:r w:rsidRPr="00627385">
        <w:rPr>
          <w:rFonts w:ascii="Arial" w:hAnsi="Arial" w:cs="Arial"/>
          <w:sz w:val="17"/>
          <w:szCs w:val="17"/>
          <w:lang w:val="en-GB"/>
        </w:rPr>
        <w:t>ot available</w:t>
      </w:r>
      <w:r w:rsidR="008D7BF9" w:rsidRPr="00627385">
        <w:rPr>
          <w:rFonts w:ascii="Arial" w:hAnsi="Arial" w:cs="Arial"/>
          <w:sz w:val="17"/>
          <w:szCs w:val="17"/>
          <w:lang w:val="en-GB"/>
        </w:rPr>
        <w:t>.</w:t>
      </w:r>
    </w:p>
    <w:p w14:paraId="185B9390" w14:textId="2A6091C1" w:rsidR="00F42EE0" w:rsidRPr="00627385" w:rsidRDefault="006B3BC4" w:rsidP="00627385">
      <w:pPr>
        <w:pStyle w:val="Footnote"/>
        <w:rPr>
          <w:lang w:val="en-GB"/>
        </w:rPr>
      </w:pPr>
      <w:r w:rsidRPr="00627385">
        <w:rPr>
          <w:lang w:val="en-GB"/>
        </w:rPr>
        <w:t xml:space="preserve">Source: </w:t>
      </w:r>
      <w:r w:rsidR="00F42EE0" w:rsidRPr="00627385">
        <w:rPr>
          <w:lang w:val="en-GB"/>
        </w:rPr>
        <w:t>Compass Group PLC, </w:t>
      </w:r>
      <w:r w:rsidR="00F42EE0" w:rsidRPr="00627385">
        <w:rPr>
          <w:i/>
          <w:lang w:val="en-GB"/>
        </w:rPr>
        <w:t>Annual Report 2015</w:t>
      </w:r>
      <w:r w:rsidR="00F42EE0" w:rsidRPr="00627385">
        <w:rPr>
          <w:lang w:val="en-GB"/>
        </w:rPr>
        <w:t xml:space="preserve">, accessed May 17, 2016, </w:t>
      </w:r>
      <w:r w:rsidR="00627385" w:rsidRPr="00627385">
        <w:rPr>
          <w:lang w:val="en-GB"/>
        </w:rPr>
        <w:t>www.compass-group.com/en/investors/annual-reports.category1.year2015.html</w:t>
      </w:r>
      <w:r w:rsidR="00627385">
        <w:rPr>
          <w:lang w:val="en-GB"/>
        </w:rPr>
        <w:t xml:space="preserve">; </w:t>
      </w:r>
      <w:r w:rsidR="00F42EE0" w:rsidRPr="00627385">
        <w:rPr>
          <w:lang w:val="en-GB"/>
        </w:rPr>
        <w:t xml:space="preserve">Aramark, </w:t>
      </w:r>
      <w:r w:rsidR="00F42EE0" w:rsidRPr="00627385">
        <w:rPr>
          <w:i/>
          <w:lang w:val="en-GB"/>
        </w:rPr>
        <w:t>Annual Report 2015</w:t>
      </w:r>
      <w:r w:rsidR="00F42EE0" w:rsidRPr="00627385">
        <w:rPr>
          <w:lang w:val="en-GB"/>
        </w:rPr>
        <w:t xml:space="preserve">, accessed May 17, 2016. </w:t>
      </w:r>
      <w:r w:rsidR="00627385" w:rsidRPr="00627385">
        <w:rPr>
          <w:lang w:val="en-GB"/>
        </w:rPr>
        <w:t>http://www.annualreports.com/HostedData/AnnualReportArchive/A/NYSE_ARMK_2015.pdf</w:t>
      </w:r>
      <w:r w:rsidR="00627385">
        <w:rPr>
          <w:lang w:val="en-GB"/>
        </w:rPr>
        <w:t xml:space="preserve">; </w:t>
      </w:r>
      <w:r w:rsidR="00F42EE0" w:rsidRPr="00627385">
        <w:rPr>
          <w:lang w:val="en-GB"/>
        </w:rPr>
        <w:t>Sodexo</w:t>
      </w:r>
      <w:r w:rsidR="00F42EE0" w:rsidRPr="00627385">
        <w:rPr>
          <w:i/>
          <w:lang w:val="en-GB"/>
        </w:rPr>
        <w:t>, Sodexo Digest: Fiscal 2015</w:t>
      </w:r>
      <w:r w:rsidR="00F42EE0" w:rsidRPr="00627385">
        <w:rPr>
          <w:lang w:val="en-GB"/>
        </w:rPr>
        <w:t xml:space="preserve">, accessed May 17, 2016, </w:t>
      </w:r>
      <w:r w:rsidR="00627385" w:rsidRPr="00627385">
        <w:rPr>
          <w:lang w:val="en-GB"/>
        </w:rPr>
        <w:t>www.sodexo.com/home/media/publications/annual-publications.html</w:t>
      </w:r>
      <w:r w:rsidR="00627385">
        <w:rPr>
          <w:lang w:val="en-GB"/>
        </w:rPr>
        <w:t xml:space="preserve">; </w:t>
      </w:r>
      <w:r w:rsidR="00F42EE0" w:rsidRPr="00627385">
        <w:rPr>
          <w:lang w:val="en-GB"/>
        </w:rPr>
        <w:t xml:space="preserve">Civeo Corporation, </w:t>
      </w:r>
      <w:r w:rsidR="00F42EE0" w:rsidRPr="00627385">
        <w:rPr>
          <w:i/>
          <w:lang w:val="en-GB"/>
        </w:rPr>
        <w:t>Inside Civeo: Under the Roof – 2015 Annual Report</w:t>
      </w:r>
      <w:r w:rsidR="00F42EE0" w:rsidRPr="00627385">
        <w:rPr>
          <w:lang w:val="en-GB"/>
        </w:rPr>
        <w:t>, accessed May 17, 2016, http://ir.civeo.com/static-files/5608773d-608b-48f6-ac5d-35ecfbaec8b9.</w:t>
      </w:r>
    </w:p>
    <w:p w14:paraId="683ED2C7" w14:textId="77777777" w:rsidR="00F42EE0" w:rsidRPr="00627385" w:rsidRDefault="00F42EE0" w:rsidP="00627385">
      <w:pPr>
        <w:pStyle w:val="ExhibitText"/>
        <w:rPr>
          <w:lang w:val="en-GB"/>
        </w:rPr>
      </w:pPr>
    </w:p>
    <w:p w14:paraId="5846C71F" w14:textId="77777777" w:rsidR="006B3BC4" w:rsidRPr="00627385" w:rsidRDefault="006B3BC4" w:rsidP="00627385">
      <w:pPr>
        <w:pStyle w:val="ExhibitText"/>
        <w:rPr>
          <w:lang w:val="en-GB"/>
        </w:rPr>
      </w:pPr>
    </w:p>
    <w:p w14:paraId="6536FB33" w14:textId="1AF18A23" w:rsidR="006B3BC4" w:rsidRPr="00627385" w:rsidRDefault="006B3BC4" w:rsidP="006B3BC4">
      <w:pPr>
        <w:jc w:val="center"/>
        <w:rPr>
          <w:rFonts w:ascii="Arial" w:hAnsi="Arial"/>
          <w:b/>
          <w:lang w:val="en-GB"/>
        </w:rPr>
      </w:pPr>
      <w:r w:rsidRPr="00627385">
        <w:rPr>
          <w:rFonts w:ascii="Arial" w:hAnsi="Arial"/>
          <w:b/>
          <w:caps/>
          <w:lang w:val="en-GB"/>
        </w:rPr>
        <w:t xml:space="preserve">Exhibit 2: </w:t>
      </w:r>
      <w:r w:rsidR="00D400F2" w:rsidRPr="00627385">
        <w:rPr>
          <w:rFonts w:ascii="Arial" w:hAnsi="Arial"/>
          <w:b/>
          <w:caps/>
          <w:lang w:val="en-GB"/>
        </w:rPr>
        <w:t xml:space="preserve">COMFORT </w:t>
      </w:r>
      <w:r w:rsidRPr="00627385">
        <w:rPr>
          <w:rFonts w:ascii="Arial" w:hAnsi="Arial"/>
          <w:b/>
          <w:caps/>
          <w:lang w:val="en-GB"/>
        </w:rPr>
        <w:t>Statement of Earnings</w:t>
      </w:r>
      <w:r w:rsidR="00D400F2" w:rsidRPr="00627385">
        <w:rPr>
          <w:rFonts w:ascii="Arial" w:hAnsi="Arial"/>
          <w:b/>
          <w:caps/>
          <w:lang w:val="en-GB"/>
        </w:rPr>
        <w:t>, YEARS ENDING DECEMBER 31</w:t>
      </w:r>
      <w:r w:rsidR="00D400F2" w:rsidRPr="00627385">
        <w:rPr>
          <w:rFonts w:ascii="Arial" w:hAnsi="Arial"/>
          <w:b/>
          <w:lang w:val="en-GB"/>
        </w:rPr>
        <w:t xml:space="preserve"> </w:t>
      </w:r>
      <w:r w:rsidRPr="00627385">
        <w:rPr>
          <w:rFonts w:ascii="Arial" w:hAnsi="Arial"/>
          <w:b/>
          <w:lang w:val="en-GB"/>
        </w:rPr>
        <w:t>(I</w:t>
      </w:r>
      <w:r w:rsidR="00D400F2" w:rsidRPr="00627385">
        <w:rPr>
          <w:rFonts w:ascii="Arial" w:hAnsi="Arial"/>
          <w:b/>
          <w:lang w:val="en-GB"/>
        </w:rPr>
        <w:t>N</w:t>
      </w:r>
      <w:r w:rsidRPr="00627385">
        <w:rPr>
          <w:rFonts w:ascii="Arial" w:hAnsi="Arial"/>
          <w:b/>
          <w:lang w:val="en-GB"/>
        </w:rPr>
        <w:t xml:space="preserve"> </w:t>
      </w:r>
      <w:r w:rsidR="00D400F2" w:rsidRPr="00627385">
        <w:rPr>
          <w:rFonts w:ascii="Arial" w:hAnsi="Arial"/>
          <w:b/>
          <w:lang w:val="en-GB"/>
        </w:rPr>
        <w:t>CA</w:t>
      </w:r>
      <w:r w:rsidRPr="00627385">
        <w:rPr>
          <w:rFonts w:ascii="Arial" w:hAnsi="Arial"/>
          <w:b/>
          <w:lang w:val="en-GB"/>
        </w:rPr>
        <w:t>$000s)</w:t>
      </w:r>
    </w:p>
    <w:p w14:paraId="094FC712" w14:textId="77777777" w:rsidR="006B3BC4" w:rsidRPr="00627385" w:rsidRDefault="006B3BC4" w:rsidP="006B3BC4">
      <w:pPr>
        <w:pStyle w:val="ExhibitText"/>
        <w:rPr>
          <w:lang w:val="en-GB"/>
        </w:rPr>
      </w:pPr>
    </w:p>
    <w:tbl>
      <w:tblPr>
        <w:tblW w:w="6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5"/>
        <w:gridCol w:w="1080"/>
        <w:gridCol w:w="1080"/>
      </w:tblGrid>
      <w:tr w:rsidR="006B3BC4" w:rsidRPr="00627385" w14:paraId="55623A01" w14:textId="77777777" w:rsidTr="00627385">
        <w:trPr>
          <w:trHeight w:val="161"/>
          <w:jc w:val="center"/>
        </w:trPr>
        <w:tc>
          <w:tcPr>
            <w:tcW w:w="4585" w:type="dxa"/>
            <w:shd w:val="clear" w:color="000000" w:fill="FFFFFF"/>
            <w:noWrap/>
            <w:vAlign w:val="bottom"/>
          </w:tcPr>
          <w:p w14:paraId="5494B476" w14:textId="77777777" w:rsidR="006B3BC4" w:rsidRPr="00627385" w:rsidRDefault="006B3BC4" w:rsidP="006B3BC4">
            <w:pPr>
              <w:pStyle w:val="ExhibitText"/>
              <w:rPr>
                <w:lang w:val="en-GB"/>
              </w:rPr>
            </w:pPr>
          </w:p>
        </w:tc>
        <w:tc>
          <w:tcPr>
            <w:tcW w:w="1080" w:type="dxa"/>
            <w:shd w:val="clear" w:color="000000" w:fill="FFFFFF"/>
            <w:noWrap/>
            <w:vAlign w:val="center"/>
            <w:hideMark/>
          </w:tcPr>
          <w:p w14:paraId="67DBF22D" w14:textId="77777777" w:rsidR="006B3BC4" w:rsidRPr="00627385" w:rsidRDefault="006B3BC4" w:rsidP="006B3BC4">
            <w:pPr>
              <w:pStyle w:val="ExhibitText"/>
              <w:jc w:val="center"/>
              <w:rPr>
                <w:b/>
                <w:lang w:val="en-GB"/>
              </w:rPr>
            </w:pPr>
            <w:r w:rsidRPr="00627385">
              <w:rPr>
                <w:b/>
                <w:lang w:val="en-GB"/>
              </w:rPr>
              <w:t>2015</w:t>
            </w:r>
          </w:p>
        </w:tc>
        <w:tc>
          <w:tcPr>
            <w:tcW w:w="1080" w:type="dxa"/>
            <w:shd w:val="clear" w:color="000000" w:fill="FFFFFF"/>
            <w:vAlign w:val="center"/>
          </w:tcPr>
          <w:p w14:paraId="7BE683FB" w14:textId="77777777" w:rsidR="006B3BC4" w:rsidRPr="00627385" w:rsidRDefault="006B3BC4" w:rsidP="006B3BC4">
            <w:pPr>
              <w:pStyle w:val="ExhibitText"/>
              <w:jc w:val="center"/>
              <w:rPr>
                <w:b/>
                <w:lang w:val="en-GB"/>
              </w:rPr>
            </w:pPr>
            <w:r w:rsidRPr="00627385">
              <w:rPr>
                <w:b/>
                <w:lang w:val="en-GB"/>
              </w:rPr>
              <w:t>2014</w:t>
            </w:r>
          </w:p>
        </w:tc>
      </w:tr>
      <w:tr w:rsidR="006B3BC4" w:rsidRPr="00627385" w14:paraId="562CA19A" w14:textId="77777777" w:rsidTr="00627385">
        <w:trPr>
          <w:trHeight w:val="188"/>
          <w:jc w:val="center"/>
        </w:trPr>
        <w:tc>
          <w:tcPr>
            <w:tcW w:w="4585" w:type="dxa"/>
            <w:shd w:val="clear" w:color="000000" w:fill="FFFFFF"/>
            <w:noWrap/>
            <w:vAlign w:val="center"/>
            <w:hideMark/>
          </w:tcPr>
          <w:p w14:paraId="34582217" w14:textId="77777777" w:rsidR="006B3BC4" w:rsidRPr="00627385" w:rsidRDefault="006B3BC4" w:rsidP="006B3BC4">
            <w:pPr>
              <w:pStyle w:val="ExhibitText"/>
              <w:jc w:val="left"/>
              <w:rPr>
                <w:lang w:val="en-GB"/>
              </w:rPr>
            </w:pPr>
            <w:r w:rsidRPr="00627385">
              <w:rPr>
                <w:lang w:val="en-GB"/>
              </w:rPr>
              <w:t>Net sales</w:t>
            </w:r>
          </w:p>
        </w:tc>
        <w:tc>
          <w:tcPr>
            <w:tcW w:w="1080" w:type="dxa"/>
            <w:shd w:val="clear" w:color="000000" w:fill="FFFFFF"/>
            <w:noWrap/>
            <w:vAlign w:val="center"/>
            <w:hideMark/>
          </w:tcPr>
          <w:p w14:paraId="34208B25" w14:textId="26C26DE6" w:rsidR="006B3BC4" w:rsidRPr="00627385" w:rsidRDefault="006B3BC4" w:rsidP="006B3BC4">
            <w:pPr>
              <w:pStyle w:val="ExhibitText"/>
              <w:jc w:val="right"/>
              <w:rPr>
                <w:lang w:val="en-GB"/>
              </w:rPr>
            </w:pPr>
            <w:r w:rsidRPr="00627385">
              <w:rPr>
                <w:lang w:val="en-GB"/>
              </w:rPr>
              <w:t>52,108</w:t>
            </w:r>
          </w:p>
        </w:tc>
        <w:tc>
          <w:tcPr>
            <w:tcW w:w="1080" w:type="dxa"/>
            <w:shd w:val="clear" w:color="000000" w:fill="FFFFFF"/>
            <w:vAlign w:val="center"/>
          </w:tcPr>
          <w:p w14:paraId="5F86EC85" w14:textId="0BFEC7A1" w:rsidR="006B3BC4" w:rsidRPr="00627385" w:rsidRDefault="006B3BC4" w:rsidP="006B3BC4">
            <w:pPr>
              <w:pStyle w:val="ExhibitText"/>
              <w:jc w:val="right"/>
              <w:rPr>
                <w:lang w:val="en-GB"/>
              </w:rPr>
            </w:pPr>
            <w:r w:rsidRPr="00627385">
              <w:rPr>
                <w:lang w:val="en-GB"/>
              </w:rPr>
              <w:t>56,917</w:t>
            </w:r>
          </w:p>
        </w:tc>
      </w:tr>
      <w:tr w:rsidR="006B3BC4" w:rsidRPr="00627385" w14:paraId="69C2EB5E" w14:textId="77777777" w:rsidTr="00627385">
        <w:trPr>
          <w:trHeight w:val="215"/>
          <w:jc w:val="center"/>
        </w:trPr>
        <w:tc>
          <w:tcPr>
            <w:tcW w:w="4585" w:type="dxa"/>
            <w:shd w:val="clear" w:color="000000" w:fill="FFFFFF"/>
            <w:noWrap/>
            <w:vAlign w:val="center"/>
            <w:hideMark/>
          </w:tcPr>
          <w:p w14:paraId="09407162" w14:textId="77777777" w:rsidR="006B3BC4" w:rsidRPr="00627385" w:rsidRDefault="006B3BC4" w:rsidP="006B3BC4">
            <w:pPr>
              <w:pStyle w:val="ExhibitText"/>
              <w:jc w:val="left"/>
              <w:rPr>
                <w:lang w:val="en-GB"/>
              </w:rPr>
            </w:pPr>
            <w:r w:rsidRPr="00627385">
              <w:rPr>
                <w:lang w:val="en-GB"/>
              </w:rPr>
              <w:t>Cost of sales</w:t>
            </w:r>
          </w:p>
        </w:tc>
        <w:tc>
          <w:tcPr>
            <w:tcW w:w="1080" w:type="dxa"/>
            <w:shd w:val="clear" w:color="000000" w:fill="FFFFFF"/>
            <w:noWrap/>
            <w:vAlign w:val="center"/>
            <w:hideMark/>
          </w:tcPr>
          <w:p w14:paraId="084A6750" w14:textId="77777777" w:rsidR="006B3BC4" w:rsidRPr="00627385" w:rsidRDefault="006B3BC4" w:rsidP="006B3BC4">
            <w:pPr>
              <w:pStyle w:val="ExhibitText"/>
              <w:jc w:val="right"/>
              <w:rPr>
                <w:lang w:val="en-GB"/>
              </w:rPr>
            </w:pPr>
            <w:r w:rsidRPr="00627385">
              <w:rPr>
                <w:lang w:val="en-GB"/>
              </w:rPr>
              <w:t>37,469</w:t>
            </w:r>
          </w:p>
        </w:tc>
        <w:tc>
          <w:tcPr>
            <w:tcW w:w="1080" w:type="dxa"/>
            <w:shd w:val="clear" w:color="000000" w:fill="FFFFFF"/>
            <w:vAlign w:val="center"/>
          </w:tcPr>
          <w:p w14:paraId="296A3012" w14:textId="77777777" w:rsidR="006B3BC4" w:rsidRPr="00627385" w:rsidRDefault="006B3BC4" w:rsidP="006B3BC4">
            <w:pPr>
              <w:pStyle w:val="ExhibitText"/>
              <w:jc w:val="right"/>
              <w:rPr>
                <w:lang w:val="en-GB"/>
              </w:rPr>
            </w:pPr>
            <w:r w:rsidRPr="00627385">
              <w:rPr>
                <w:lang w:val="en-GB"/>
              </w:rPr>
              <w:t>39,902</w:t>
            </w:r>
          </w:p>
        </w:tc>
      </w:tr>
      <w:tr w:rsidR="006B3BC4" w:rsidRPr="00627385" w14:paraId="601627DE" w14:textId="77777777" w:rsidTr="00627385">
        <w:trPr>
          <w:trHeight w:val="260"/>
          <w:jc w:val="center"/>
        </w:trPr>
        <w:tc>
          <w:tcPr>
            <w:tcW w:w="4585" w:type="dxa"/>
            <w:shd w:val="clear" w:color="000000" w:fill="FFFFFF"/>
            <w:noWrap/>
            <w:vAlign w:val="center"/>
            <w:hideMark/>
          </w:tcPr>
          <w:p w14:paraId="75CC6444" w14:textId="77777777" w:rsidR="006B3BC4" w:rsidRPr="00627385" w:rsidRDefault="006B3BC4" w:rsidP="006B3BC4">
            <w:pPr>
              <w:pStyle w:val="ExhibitText"/>
              <w:jc w:val="left"/>
              <w:rPr>
                <w:lang w:val="en-GB"/>
              </w:rPr>
            </w:pPr>
            <w:r w:rsidRPr="00627385">
              <w:rPr>
                <w:lang w:val="en-GB"/>
              </w:rPr>
              <w:t xml:space="preserve">Gross profit </w:t>
            </w:r>
          </w:p>
        </w:tc>
        <w:tc>
          <w:tcPr>
            <w:tcW w:w="1080" w:type="dxa"/>
            <w:shd w:val="clear" w:color="000000" w:fill="FFFFFF"/>
            <w:noWrap/>
            <w:vAlign w:val="center"/>
            <w:hideMark/>
          </w:tcPr>
          <w:p w14:paraId="3D2F6CDB" w14:textId="77777777" w:rsidR="006B3BC4" w:rsidRPr="00627385" w:rsidRDefault="006B3BC4" w:rsidP="006B3BC4">
            <w:pPr>
              <w:pStyle w:val="ExhibitText"/>
              <w:jc w:val="right"/>
              <w:rPr>
                <w:lang w:val="en-GB"/>
              </w:rPr>
            </w:pPr>
            <w:r w:rsidRPr="00627385">
              <w:rPr>
                <w:lang w:val="en-GB"/>
              </w:rPr>
              <w:t>14,639</w:t>
            </w:r>
          </w:p>
        </w:tc>
        <w:tc>
          <w:tcPr>
            <w:tcW w:w="1080" w:type="dxa"/>
            <w:shd w:val="clear" w:color="000000" w:fill="FFFFFF"/>
            <w:vAlign w:val="center"/>
          </w:tcPr>
          <w:p w14:paraId="5F6FD39D" w14:textId="77777777" w:rsidR="006B3BC4" w:rsidRPr="00627385" w:rsidRDefault="006B3BC4" w:rsidP="006B3BC4">
            <w:pPr>
              <w:pStyle w:val="ExhibitText"/>
              <w:jc w:val="right"/>
              <w:rPr>
                <w:lang w:val="en-GB"/>
              </w:rPr>
            </w:pPr>
            <w:r w:rsidRPr="00627385">
              <w:rPr>
                <w:lang w:val="en-GB"/>
              </w:rPr>
              <w:t>17,015</w:t>
            </w:r>
          </w:p>
        </w:tc>
      </w:tr>
      <w:tr w:rsidR="006B3BC4" w:rsidRPr="00627385" w14:paraId="69C31722" w14:textId="77777777" w:rsidTr="00627385">
        <w:trPr>
          <w:trHeight w:val="251"/>
          <w:jc w:val="center"/>
        </w:trPr>
        <w:tc>
          <w:tcPr>
            <w:tcW w:w="4585" w:type="dxa"/>
            <w:shd w:val="clear" w:color="000000" w:fill="FFFFFF"/>
            <w:noWrap/>
            <w:vAlign w:val="center"/>
            <w:hideMark/>
          </w:tcPr>
          <w:p w14:paraId="4D0456D3" w14:textId="77777777" w:rsidR="006B3BC4" w:rsidRPr="00627385" w:rsidRDefault="006B3BC4" w:rsidP="006B3BC4">
            <w:pPr>
              <w:pStyle w:val="ExhibitText"/>
              <w:jc w:val="left"/>
              <w:rPr>
                <w:lang w:val="en-GB"/>
              </w:rPr>
            </w:pPr>
            <w:r w:rsidRPr="00627385">
              <w:rPr>
                <w:lang w:val="en-GB"/>
              </w:rPr>
              <w:t xml:space="preserve">General overhead expenses </w:t>
            </w:r>
          </w:p>
        </w:tc>
        <w:tc>
          <w:tcPr>
            <w:tcW w:w="1080" w:type="dxa"/>
            <w:shd w:val="clear" w:color="000000" w:fill="FFFFFF"/>
            <w:noWrap/>
            <w:vAlign w:val="center"/>
            <w:hideMark/>
          </w:tcPr>
          <w:p w14:paraId="3A83BB10" w14:textId="77777777" w:rsidR="006B3BC4" w:rsidRPr="00627385" w:rsidRDefault="006B3BC4" w:rsidP="006B3BC4">
            <w:pPr>
              <w:pStyle w:val="ExhibitText"/>
              <w:jc w:val="right"/>
              <w:rPr>
                <w:lang w:val="en-GB"/>
              </w:rPr>
            </w:pPr>
            <w:r w:rsidRPr="00627385">
              <w:rPr>
                <w:lang w:val="en-GB"/>
              </w:rPr>
              <w:t>5,245</w:t>
            </w:r>
          </w:p>
        </w:tc>
        <w:tc>
          <w:tcPr>
            <w:tcW w:w="1080" w:type="dxa"/>
            <w:shd w:val="clear" w:color="000000" w:fill="FFFFFF"/>
            <w:vAlign w:val="center"/>
          </w:tcPr>
          <w:p w14:paraId="6AAC298E" w14:textId="77777777" w:rsidR="006B3BC4" w:rsidRPr="00627385" w:rsidRDefault="006B3BC4" w:rsidP="006B3BC4">
            <w:pPr>
              <w:pStyle w:val="ExhibitText"/>
              <w:jc w:val="right"/>
              <w:rPr>
                <w:lang w:val="en-GB"/>
              </w:rPr>
            </w:pPr>
            <w:r w:rsidRPr="00627385">
              <w:rPr>
                <w:lang w:val="en-GB"/>
              </w:rPr>
              <w:t>4,536</w:t>
            </w:r>
          </w:p>
        </w:tc>
      </w:tr>
      <w:tr w:rsidR="006B3BC4" w:rsidRPr="00627385" w14:paraId="725E03F8" w14:textId="77777777" w:rsidTr="00627385">
        <w:trPr>
          <w:trHeight w:val="161"/>
          <w:jc w:val="center"/>
        </w:trPr>
        <w:tc>
          <w:tcPr>
            <w:tcW w:w="4585" w:type="dxa"/>
            <w:shd w:val="clear" w:color="000000" w:fill="FFFFFF"/>
            <w:noWrap/>
            <w:vAlign w:val="center"/>
            <w:hideMark/>
          </w:tcPr>
          <w:p w14:paraId="7C5B586D" w14:textId="77777777" w:rsidR="006B3BC4" w:rsidRPr="00627385" w:rsidRDefault="006B3BC4" w:rsidP="006B3BC4">
            <w:pPr>
              <w:pStyle w:val="ExhibitText"/>
              <w:jc w:val="left"/>
              <w:rPr>
                <w:lang w:val="en-GB"/>
              </w:rPr>
            </w:pPr>
            <w:r w:rsidRPr="00627385">
              <w:rPr>
                <w:lang w:val="en-GB"/>
              </w:rPr>
              <w:t>Other expenses:</w:t>
            </w:r>
          </w:p>
        </w:tc>
        <w:tc>
          <w:tcPr>
            <w:tcW w:w="1080" w:type="dxa"/>
            <w:shd w:val="clear" w:color="000000" w:fill="FFFFFF"/>
            <w:noWrap/>
            <w:vAlign w:val="center"/>
            <w:hideMark/>
          </w:tcPr>
          <w:p w14:paraId="575C4F13" w14:textId="77777777" w:rsidR="006B3BC4" w:rsidRPr="00627385" w:rsidRDefault="006B3BC4" w:rsidP="006B3BC4">
            <w:pPr>
              <w:pStyle w:val="ExhibitText"/>
              <w:jc w:val="right"/>
              <w:rPr>
                <w:lang w:val="en-GB"/>
              </w:rPr>
            </w:pPr>
          </w:p>
        </w:tc>
        <w:tc>
          <w:tcPr>
            <w:tcW w:w="1080" w:type="dxa"/>
            <w:shd w:val="clear" w:color="000000" w:fill="FFFFFF"/>
            <w:vAlign w:val="center"/>
          </w:tcPr>
          <w:p w14:paraId="0B5260F3" w14:textId="77777777" w:rsidR="006B3BC4" w:rsidRPr="00627385" w:rsidRDefault="006B3BC4" w:rsidP="006B3BC4">
            <w:pPr>
              <w:pStyle w:val="ExhibitText"/>
              <w:jc w:val="right"/>
              <w:rPr>
                <w:lang w:val="en-GB"/>
              </w:rPr>
            </w:pPr>
          </w:p>
        </w:tc>
      </w:tr>
      <w:tr w:rsidR="006B3BC4" w:rsidRPr="00627385" w14:paraId="15355DC9" w14:textId="77777777" w:rsidTr="00627385">
        <w:trPr>
          <w:trHeight w:val="206"/>
          <w:jc w:val="center"/>
        </w:trPr>
        <w:tc>
          <w:tcPr>
            <w:tcW w:w="4585" w:type="dxa"/>
            <w:shd w:val="clear" w:color="000000" w:fill="FFFFFF"/>
            <w:noWrap/>
            <w:vAlign w:val="center"/>
            <w:hideMark/>
          </w:tcPr>
          <w:p w14:paraId="1BCB3C0E" w14:textId="77777777" w:rsidR="006B3BC4" w:rsidRPr="00627385" w:rsidRDefault="006B3BC4" w:rsidP="006B3BC4">
            <w:pPr>
              <w:pStyle w:val="ExhibitText"/>
              <w:jc w:val="left"/>
              <w:rPr>
                <w:lang w:val="en-GB"/>
              </w:rPr>
            </w:pPr>
            <w:r w:rsidRPr="00627385">
              <w:rPr>
                <w:lang w:val="en-GB"/>
              </w:rPr>
              <w:tab/>
              <w:t>Loss on investment/disposal of assets</w:t>
            </w:r>
          </w:p>
        </w:tc>
        <w:tc>
          <w:tcPr>
            <w:tcW w:w="1080" w:type="dxa"/>
            <w:shd w:val="clear" w:color="000000" w:fill="FFFFFF"/>
            <w:noWrap/>
            <w:vAlign w:val="center"/>
            <w:hideMark/>
          </w:tcPr>
          <w:p w14:paraId="5ECB9B68" w14:textId="77777777" w:rsidR="006B3BC4" w:rsidRPr="00627385" w:rsidRDefault="006B3BC4" w:rsidP="006B3BC4">
            <w:pPr>
              <w:pStyle w:val="ExhibitText"/>
              <w:jc w:val="right"/>
              <w:rPr>
                <w:lang w:val="en-GB"/>
              </w:rPr>
            </w:pPr>
            <w:r w:rsidRPr="00627385">
              <w:rPr>
                <w:lang w:val="en-GB"/>
              </w:rPr>
              <w:t>549</w:t>
            </w:r>
          </w:p>
        </w:tc>
        <w:tc>
          <w:tcPr>
            <w:tcW w:w="1080" w:type="dxa"/>
            <w:shd w:val="clear" w:color="000000" w:fill="FFFFFF"/>
            <w:vAlign w:val="center"/>
          </w:tcPr>
          <w:p w14:paraId="4415D912" w14:textId="77777777" w:rsidR="006B3BC4" w:rsidRPr="00627385" w:rsidRDefault="006B3BC4" w:rsidP="006B3BC4">
            <w:pPr>
              <w:pStyle w:val="ExhibitText"/>
              <w:jc w:val="right"/>
              <w:rPr>
                <w:lang w:val="en-GB"/>
              </w:rPr>
            </w:pPr>
            <w:r w:rsidRPr="00627385">
              <w:rPr>
                <w:lang w:val="en-GB"/>
              </w:rPr>
              <w:t>314</w:t>
            </w:r>
          </w:p>
        </w:tc>
      </w:tr>
      <w:tr w:rsidR="006B3BC4" w:rsidRPr="00627385" w14:paraId="218E742E" w14:textId="77777777" w:rsidTr="00627385">
        <w:trPr>
          <w:trHeight w:val="233"/>
          <w:jc w:val="center"/>
        </w:trPr>
        <w:tc>
          <w:tcPr>
            <w:tcW w:w="4585" w:type="dxa"/>
            <w:shd w:val="clear" w:color="000000" w:fill="FFFFFF"/>
            <w:noWrap/>
            <w:vAlign w:val="center"/>
            <w:hideMark/>
          </w:tcPr>
          <w:p w14:paraId="3B5B9E1E" w14:textId="77777777" w:rsidR="006B3BC4" w:rsidRPr="00627385" w:rsidRDefault="006B3BC4" w:rsidP="006B3BC4">
            <w:pPr>
              <w:pStyle w:val="ExhibitText"/>
              <w:jc w:val="left"/>
              <w:rPr>
                <w:lang w:val="en-GB"/>
              </w:rPr>
            </w:pPr>
            <w:r w:rsidRPr="00627385">
              <w:rPr>
                <w:lang w:val="en-GB"/>
              </w:rPr>
              <w:tab/>
              <w:t>Owners’ compensation</w:t>
            </w:r>
          </w:p>
        </w:tc>
        <w:tc>
          <w:tcPr>
            <w:tcW w:w="1080" w:type="dxa"/>
            <w:shd w:val="clear" w:color="000000" w:fill="FFFFFF"/>
            <w:noWrap/>
            <w:vAlign w:val="center"/>
            <w:hideMark/>
          </w:tcPr>
          <w:p w14:paraId="44CDC448" w14:textId="77777777" w:rsidR="006B3BC4" w:rsidRPr="00627385" w:rsidRDefault="006B3BC4" w:rsidP="006B3BC4">
            <w:pPr>
              <w:pStyle w:val="ExhibitText"/>
              <w:jc w:val="right"/>
              <w:rPr>
                <w:lang w:val="en-GB"/>
              </w:rPr>
            </w:pPr>
            <w:r w:rsidRPr="00627385">
              <w:rPr>
                <w:lang w:val="en-GB"/>
              </w:rPr>
              <w:t>1,979</w:t>
            </w:r>
          </w:p>
        </w:tc>
        <w:tc>
          <w:tcPr>
            <w:tcW w:w="1080" w:type="dxa"/>
            <w:shd w:val="clear" w:color="000000" w:fill="FFFFFF"/>
            <w:vAlign w:val="center"/>
          </w:tcPr>
          <w:p w14:paraId="24EFE0C4" w14:textId="77777777" w:rsidR="006B3BC4" w:rsidRPr="00627385" w:rsidRDefault="006B3BC4" w:rsidP="006B3BC4">
            <w:pPr>
              <w:pStyle w:val="ExhibitText"/>
              <w:jc w:val="right"/>
              <w:rPr>
                <w:lang w:val="en-GB"/>
              </w:rPr>
            </w:pPr>
            <w:r w:rsidRPr="00627385">
              <w:rPr>
                <w:lang w:val="en-GB"/>
              </w:rPr>
              <w:t>1,265</w:t>
            </w:r>
          </w:p>
        </w:tc>
      </w:tr>
      <w:tr w:rsidR="006B3BC4" w:rsidRPr="00627385" w14:paraId="5717A414" w14:textId="77777777" w:rsidTr="00627385">
        <w:trPr>
          <w:trHeight w:val="170"/>
          <w:jc w:val="center"/>
        </w:trPr>
        <w:tc>
          <w:tcPr>
            <w:tcW w:w="4585" w:type="dxa"/>
            <w:shd w:val="clear" w:color="000000" w:fill="FFFFFF"/>
            <w:noWrap/>
            <w:vAlign w:val="center"/>
            <w:hideMark/>
          </w:tcPr>
          <w:p w14:paraId="710BCC4B" w14:textId="77777777" w:rsidR="006B3BC4" w:rsidRPr="00627385" w:rsidRDefault="006B3BC4" w:rsidP="006B3BC4">
            <w:pPr>
              <w:pStyle w:val="ExhibitText"/>
              <w:jc w:val="left"/>
              <w:rPr>
                <w:lang w:val="en-GB"/>
              </w:rPr>
            </w:pPr>
            <w:r w:rsidRPr="00627385">
              <w:rPr>
                <w:lang w:val="en-GB"/>
              </w:rPr>
              <w:tab/>
              <w:t>Management fees to non-affiliated entity</w:t>
            </w:r>
          </w:p>
        </w:tc>
        <w:tc>
          <w:tcPr>
            <w:tcW w:w="1080" w:type="dxa"/>
            <w:shd w:val="clear" w:color="000000" w:fill="FFFFFF"/>
            <w:noWrap/>
            <w:vAlign w:val="center"/>
            <w:hideMark/>
          </w:tcPr>
          <w:p w14:paraId="6CA9534D" w14:textId="77777777" w:rsidR="006B3BC4" w:rsidRPr="00627385" w:rsidRDefault="006B3BC4" w:rsidP="006B3BC4">
            <w:pPr>
              <w:pStyle w:val="ExhibitText"/>
              <w:jc w:val="right"/>
              <w:rPr>
                <w:lang w:val="en-GB"/>
              </w:rPr>
            </w:pPr>
            <w:r w:rsidRPr="00627385">
              <w:rPr>
                <w:lang w:val="en-GB"/>
              </w:rPr>
              <w:t>0</w:t>
            </w:r>
          </w:p>
        </w:tc>
        <w:tc>
          <w:tcPr>
            <w:tcW w:w="1080" w:type="dxa"/>
            <w:shd w:val="clear" w:color="000000" w:fill="FFFFFF"/>
            <w:vAlign w:val="center"/>
          </w:tcPr>
          <w:p w14:paraId="36EDAD21" w14:textId="77777777" w:rsidR="006B3BC4" w:rsidRPr="00627385" w:rsidRDefault="006B3BC4" w:rsidP="006B3BC4">
            <w:pPr>
              <w:pStyle w:val="ExhibitText"/>
              <w:jc w:val="right"/>
              <w:rPr>
                <w:lang w:val="en-GB"/>
              </w:rPr>
            </w:pPr>
            <w:r w:rsidRPr="00627385">
              <w:rPr>
                <w:lang w:val="en-GB"/>
              </w:rPr>
              <w:t>0</w:t>
            </w:r>
          </w:p>
        </w:tc>
      </w:tr>
      <w:tr w:rsidR="006B3BC4" w:rsidRPr="00627385" w14:paraId="602AC23C" w14:textId="77777777" w:rsidTr="00627385">
        <w:trPr>
          <w:trHeight w:val="197"/>
          <w:jc w:val="center"/>
        </w:trPr>
        <w:tc>
          <w:tcPr>
            <w:tcW w:w="4585" w:type="dxa"/>
            <w:shd w:val="clear" w:color="000000" w:fill="FFFFFF"/>
            <w:noWrap/>
            <w:vAlign w:val="center"/>
            <w:hideMark/>
          </w:tcPr>
          <w:p w14:paraId="40FE6BFB" w14:textId="77777777" w:rsidR="006B3BC4" w:rsidRPr="00627385" w:rsidRDefault="006B3BC4" w:rsidP="006B3BC4">
            <w:pPr>
              <w:pStyle w:val="ExhibitText"/>
              <w:jc w:val="left"/>
              <w:rPr>
                <w:lang w:val="en-GB"/>
              </w:rPr>
            </w:pPr>
            <w:r w:rsidRPr="00627385">
              <w:rPr>
                <w:lang w:val="en-GB"/>
              </w:rPr>
              <w:tab/>
              <w:t>Extraordinary items</w:t>
            </w:r>
          </w:p>
        </w:tc>
        <w:tc>
          <w:tcPr>
            <w:tcW w:w="1080" w:type="dxa"/>
            <w:shd w:val="clear" w:color="000000" w:fill="FFFFFF"/>
            <w:noWrap/>
            <w:vAlign w:val="center"/>
            <w:hideMark/>
          </w:tcPr>
          <w:p w14:paraId="7B81586B" w14:textId="77777777" w:rsidR="006B3BC4" w:rsidRPr="00627385" w:rsidRDefault="006B3BC4" w:rsidP="006B3BC4">
            <w:pPr>
              <w:pStyle w:val="ExhibitText"/>
              <w:jc w:val="right"/>
              <w:rPr>
                <w:lang w:val="en-GB"/>
              </w:rPr>
            </w:pPr>
            <w:r w:rsidRPr="00627385">
              <w:rPr>
                <w:lang w:val="en-GB"/>
              </w:rPr>
              <w:t>(2,881)</w:t>
            </w:r>
          </w:p>
        </w:tc>
        <w:tc>
          <w:tcPr>
            <w:tcW w:w="1080" w:type="dxa"/>
            <w:shd w:val="clear" w:color="000000" w:fill="FFFFFF"/>
            <w:vAlign w:val="center"/>
          </w:tcPr>
          <w:p w14:paraId="2C29F1B7" w14:textId="77777777" w:rsidR="006B3BC4" w:rsidRPr="00627385" w:rsidRDefault="006B3BC4" w:rsidP="006B3BC4">
            <w:pPr>
              <w:pStyle w:val="ExhibitText"/>
              <w:jc w:val="right"/>
              <w:rPr>
                <w:lang w:val="en-GB"/>
              </w:rPr>
            </w:pPr>
            <w:r w:rsidRPr="00627385">
              <w:rPr>
                <w:lang w:val="en-GB"/>
              </w:rPr>
              <w:t>1,770</w:t>
            </w:r>
          </w:p>
        </w:tc>
      </w:tr>
      <w:tr w:rsidR="006B3BC4" w:rsidRPr="00627385" w14:paraId="3A510284" w14:textId="77777777" w:rsidTr="00627385">
        <w:trPr>
          <w:trHeight w:val="224"/>
          <w:jc w:val="center"/>
        </w:trPr>
        <w:tc>
          <w:tcPr>
            <w:tcW w:w="4585" w:type="dxa"/>
            <w:shd w:val="clear" w:color="000000" w:fill="FFFFFF"/>
            <w:noWrap/>
            <w:vAlign w:val="center"/>
            <w:hideMark/>
          </w:tcPr>
          <w:p w14:paraId="636A5FF2" w14:textId="77777777" w:rsidR="006B3BC4" w:rsidRPr="00627385" w:rsidRDefault="006B3BC4" w:rsidP="006B3BC4">
            <w:pPr>
              <w:pStyle w:val="ExhibitText"/>
              <w:jc w:val="left"/>
              <w:rPr>
                <w:lang w:val="en-GB"/>
              </w:rPr>
            </w:pPr>
            <w:r w:rsidRPr="00627385">
              <w:rPr>
                <w:lang w:val="en-GB"/>
              </w:rPr>
              <w:tab/>
              <w:t xml:space="preserve">Depreciation and amortization </w:t>
            </w:r>
          </w:p>
        </w:tc>
        <w:tc>
          <w:tcPr>
            <w:tcW w:w="1080" w:type="dxa"/>
            <w:shd w:val="clear" w:color="000000" w:fill="FFFFFF"/>
            <w:noWrap/>
            <w:vAlign w:val="center"/>
            <w:hideMark/>
          </w:tcPr>
          <w:p w14:paraId="02EFB331" w14:textId="77777777" w:rsidR="006B3BC4" w:rsidRPr="00627385" w:rsidRDefault="006B3BC4" w:rsidP="006B3BC4">
            <w:pPr>
              <w:pStyle w:val="ExhibitText"/>
              <w:jc w:val="right"/>
              <w:rPr>
                <w:lang w:val="en-GB"/>
              </w:rPr>
            </w:pPr>
            <w:r w:rsidRPr="00627385">
              <w:rPr>
                <w:lang w:val="en-GB"/>
              </w:rPr>
              <w:t>331</w:t>
            </w:r>
          </w:p>
        </w:tc>
        <w:tc>
          <w:tcPr>
            <w:tcW w:w="1080" w:type="dxa"/>
            <w:shd w:val="clear" w:color="000000" w:fill="FFFFFF"/>
            <w:vAlign w:val="center"/>
          </w:tcPr>
          <w:p w14:paraId="40B9FDF9" w14:textId="77777777" w:rsidR="006B3BC4" w:rsidRPr="00627385" w:rsidRDefault="006B3BC4" w:rsidP="006B3BC4">
            <w:pPr>
              <w:pStyle w:val="ExhibitText"/>
              <w:jc w:val="right"/>
              <w:rPr>
                <w:lang w:val="en-GB"/>
              </w:rPr>
            </w:pPr>
            <w:r w:rsidRPr="00627385">
              <w:rPr>
                <w:lang w:val="en-GB"/>
              </w:rPr>
              <w:t>260</w:t>
            </w:r>
          </w:p>
        </w:tc>
      </w:tr>
      <w:tr w:rsidR="006B3BC4" w:rsidRPr="00627385" w14:paraId="32905F57" w14:textId="77777777" w:rsidTr="00627385">
        <w:trPr>
          <w:trHeight w:val="161"/>
          <w:jc w:val="center"/>
        </w:trPr>
        <w:tc>
          <w:tcPr>
            <w:tcW w:w="4585" w:type="dxa"/>
            <w:shd w:val="clear" w:color="000000" w:fill="FFFFFF"/>
            <w:noWrap/>
            <w:vAlign w:val="center"/>
            <w:hideMark/>
          </w:tcPr>
          <w:p w14:paraId="50DA5041" w14:textId="77777777" w:rsidR="006B3BC4" w:rsidRPr="00627385" w:rsidRDefault="006B3BC4" w:rsidP="006B3BC4">
            <w:pPr>
              <w:pStyle w:val="ExhibitText"/>
              <w:jc w:val="left"/>
              <w:rPr>
                <w:lang w:val="en-GB"/>
              </w:rPr>
            </w:pPr>
            <w:r w:rsidRPr="00627385">
              <w:rPr>
                <w:lang w:val="en-GB"/>
              </w:rPr>
              <w:tab/>
              <w:t>Interest expense (income)</w:t>
            </w:r>
          </w:p>
        </w:tc>
        <w:tc>
          <w:tcPr>
            <w:tcW w:w="1080" w:type="dxa"/>
            <w:shd w:val="clear" w:color="000000" w:fill="FFFFFF"/>
            <w:noWrap/>
            <w:vAlign w:val="center"/>
            <w:hideMark/>
          </w:tcPr>
          <w:p w14:paraId="6245A055" w14:textId="77777777" w:rsidR="006B3BC4" w:rsidRPr="00627385" w:rsidRDefault="006B3BC4" w:rsidP="006B3BC4">
            <w:pPr>
              <w:pStyle w:val="ExhibitText"/>
              <w:jc w:val="right"/>
              <w:rPr>
                <w:lang w:val="en-GB"/>
              </w:rPr>
            </w:pPr>
            <w:r w:rsidRPr="00627385">
              <w:rPr>
                <w:lang w:val="en-GB"/>
              </w:rPr>
              <w:t>(204)</w:t>
            </w:r>
          </w:p>
        </w:tc>
        <w:tc>
          <w:tcPr>
            <w:tcW w:w="1080" w:type="dxa"/>
            <w:shd w:val="clear" w:color="000000" w:fill="FFFFFF"/>
            <w:vAlign w:val="center"/>
          </w:tcPr>
          <w:p w14:paraId="2424CB1A" w14:textId="77777777" w:rsidR="006B3BC4" w:rsidRPr="00627385" w:rsidRDefault="006B3BC4" w:rsidP="006B3BC4">
            <w:pPr>
              <w:pStyle w:val="ExhibitText"/>
              <w:jc w:val="right"/>
              <w:rPr>
                <w:lang w:val="en-GB"/>
              </w:rPr>
            </w:pPr>
            <w:r w:rsidRPr="00627385">
              <w:rPr>
                <w:lang w:val="en-GB"/>
              </w:rPr>
              <w:t>(227)</w:t>
            </w:r>
          </w:p>
        </w:tc>
      </w:tr>
      <w:tr w:rsidR="006B3BC4" w:rsidRPr="00627385" w14:paraId="1F3F53FA" w14:textId="77777777" w:rsidTr="00627385">
        <w:trPr>
          <w:trHeight w:val="188"/>
          <w:jc w:val="center"/>
        </w:trPr>
        <w:tc>
          <w:tcPr>
            <w:tcW w:w="4585" w:type="dxa"/>
            <w:shd w:val="clear" w:color="000000" w:fill="FFFFFF"/>
            <w:noWrap/>
            <w:vAlign w:val="center"/>
            <w:hideMark/>
          </w:tcPr>
          <w:p w14:paraId="67A65D9A" w14:textId="77777777" w:rsidR="006B3BC4" w:rsidRPr="00627385" w:rsidRDefault="006B3BC4" w:rsidP="006B3BC4">
            <w:pPr>
              <w:pStyle w:val="ExhibitText"/>
              <w:jc w:val="left"/>
              <w:rPr>
                <w:lang w:val="en-GB"/>
              </w:rPr>
            </w:pPr>
            <w:r w:rsidRPr="00627385">
              <w:rPr>
                <w:lang w:val="en-GB"/>
              </w:rPr>
              <w:t>Total expenses</w:t>
            </w:r>
          </w:p>
        </w:tc>
        <w:tc>
          <w:tcPr>
            <w:tcW w:w="1080" w:type="dxa"/>
            <w:shd w:val="clear" w:color="000000" w:fill="FFFFFF"/>
            <w:noWrap/>
            <w:vAlign w:val="center"/>
            <w:hideMark/>
          </w:tcPr>
          <w:p w14:paraId="7461C458" w14:textId="77777777" w:rsidR="006B3BC4" w:rsidRPr="00627385" w:rsidRDefault="006B3BC4" w:rsidP="006B3BC4">
            <w:pPr>
              <w:pStyle w:val="ExhibitText"/>
              <w:jc w:val="right"/>
              <w:rPr>
                <w:lang w:val="en-GB"/>
              </w:rPr>
            </w:pPr>
            <w:r w:rsidRPr="00627385">
              <w:rPr>
                <w:lang w:val="en-GB"/>
              </w:rPr>
              <w:t>5,019</w:t>
            </w:r>
          </w:p>
        </w:tc>
        <w:tc>
          <w:tcPr>
            <w:tcW w:w="1080" w:type="dxa"/>
            <w:shd w:val="clear" w:color="000000" w:fill="FFFFFF"/>
            <w:vAlign w:val="center"/>
          </w:tcPr>
          <w:p w14:paraId="65B65748" w14:textId="77777777" w:rsidR="006B3BC4" w:rsidRPr="00627385" w:rsidRDefault="006B3BC4" w:rsidP="006B3BC4">
            <w:pPr>
              <w:pStyle w:val="ExhibitText"/>
              <w:jc w:val="right"/>
              <w:rPr>
                <w:lang w:val="en-GB"/>
              </w:rPr>
            </w:pPr>
            <w:r w:rsidRPr="00627385">
              <w:rPr>
                <w:lang w:val="en-GB"/>
              </w:rPr>
              <w:t>7,918</w:t>
            </w:r>
          </w:p>
        </w:tc>
      </w:tr>
      <w:tr w:rsidR="006B3BC4" w:rsidRPr="00627385" w14:paraId="1C9AE534" w14:textId="77777777" w:rsidTr="00627385">
        <w:trPr>
          <w:trHeight w:val="224"/>
          <w:jc w:val="center"/>
        </w:trPr>
        <w:tc>
          <w:tcPr>
            <w:tcW w:w="4585" w:type="dxa"/>
            <w:shd w:val="clear" w:color="000000" w:fill="FFFFFF"/>
            <w:noWrap/>
            <w:vAlign w:val="center"/>
            <w:hideMark/>
          </w:tcPr>
          <w:p w14:paraId="5B856A19" w14:textId="77777777" w:rsidR="006B3BC4" w:rsidRPr="00627385" w:rsidRDefault="006B3BC4" w:rsidP="006B3BC4">
            <w:pPr>
              <w:pStyle w:val="ExhibitText"/>
              <w:jc w:val="left"/>
              <w:rPr>
                <w:lang w:val="en-GB"/>
              </w:rPr>
            </w:pPr>
            <w:r w:rsidRPr="00627385">
              <w:rPr>
                <w:lang w:val="en-GB"/>
              </w:rPr>
              <w:t>Earnings before taxes</w:t>
            </w:r>
          </w:p>
        </w:tc>
        <w:tc>
          <w:tcPr>
            <w:tcW w:w="1080" w:type="dxa"/>
            <w:shd w:val="clear" w:color="000000" w:fill="FFFFFF"/>
            <w:noWrap/>
            <w:vAlign w:val="center"/>
            <w:hideMark/>
          </w:tcPr>
          <w:p w14:paraId="2844177A" w14:textId="77777777" w:rsidR="006B3BC4" w:rsidRPr="00627385" w:rsidRDefault="006B3BC4" w:rsidP="006B3BC4">
            <w:pPr>
              <w:pStyle w:val="ExhibitText"/>
              <w:jc w:val="right"/>
              <w:rPr>
                <w:lang w:val="en-GB"/>
              </w:rPr>
            </w:pPr>
            <w:r w:rsidRPr="00627385">
              <w:rPr>
                <w:lang w:val="en-GB"/>
              </w:rPr>
              <w:t>9,620</w:t>
            </w:r>
          </w:p>
        </w:tc>
        <w:tc>
          <w:tcPr>
            <w:tcW w:w="1080" w:type="dxa"/>
            <w:shd w:val="clear" w:color="000000" w:fill="FFFFFF"/>
            <w:vAlign w:val="center"/>
          </w:tcPr>
          <w:p w14:paraId="5745675B" w14:textId="77777777" w:rsidR="006B3BC4" w:rsidRPr="00627385" w:rsidRDefault="006B3BC4" w:rsidP="006B3BC4">
            <w:pPr>
              <w:pStyle w:val="ExhibitText"/>
              <w:jc w:val="right"/>
              <w:rPr>
                <w:lang w:val="en-GB"/>
              </w:rPr>
            </w:pPr>
            <w:r w:rsidRPr="00627385">
              <w:rPr>
                <w:lang w:val="en-GB"/>
              </w:rPr>
              <w:t>9,097</w:t>
            </w:r>
          </w:p>
        </w:tc>
      </w:tr>
      <w:tr w:rsidR="006B3BC4" w:rsidRPr="00627385" w14:paraId="5F3DC20E" w14:textId="77777777" w:rsidTr="00627385">
        <w:trPr>
          <w:trHeight w:val="170"/>
          <w:jc w:val="center"/>
        </w:trPr>
        <w:tc>
          <w:tcPr>
            <w:tcW w:w="4585" w:type="dxa"/>
            <w:shd w:val="clear" w:color="000000" w:fill="FFFFFF"/>
            <w:noWrap/>
            <w:vAlign w:val="center"/>
            <w:hideMark/>
          </w:tcPr>
          <w:p w14:paraId="7D57B8E1" w14:textId="77777777" w:rsidR="006B3BC4" w:rsidRPr="00627385" w:rsidRDefault="006B3BC4" w:rsidP="006B3BC4">
            <w:pPr>
              <w:pStyle w:val="ExhibitText"/>
              <w:jc w:val="left"/>
              <w:rPr>
                <w:lang w:val="en-GB"/>
              </w:rPr>
            </w:pPr>
            <w:r w:rsidRPr="00627385">
              <w:rPr>
                <w:lang w:val="en-GB"/>
              </w:rPr>
              <w:t xml:space="preserve">Income taxes </w:t>
            </w:r>
          </w:p>
        </w:tc>
        <w:tc>
          <w:tcPr>
            <w:tcW w:w="1080" w:type="dxa"/>
            <w:shd w:val="clear" w:color="000000" w:fill="FFFFFF"/>
            <w:noWrap/>
            <w:vAlign w:val="center"/>
            <w:hideMark/>
          </w:tcPr>
          <w:p w14:paraId="295C8A66" w14:textId="77777777" w:rsidR="006B3BC4" w:rsidRPr="00627385" w:rsidRDefault="006B3BC4" w:rsidP="006B3BC4">
            <w:pPr>
              <w:pStyle w:val="ExhibitText"/>
              <w:jc w:val="right"/>
              <w:rPr>
                <w:lang w:val="en-GB"/>
              </w:rPr>
            </w:pPr>
            <w:r w:rsidRPr="00627385">
              <w:rPr>
                <w:lang w:val="en-GB"/>
              </w:rPr>
              <w:t>1,801</w:t>
            </w:r>
          </w:p>
        </w:tc>
        <w:tc>
          <w:tcPr>
            <w:tcW w:w="1080" w:type="dxa"/>
            <w:shd w:val="clear" w:color="000000" w:fill="FFFFFF"/>
            <w:vAlign w:val="center"/>
          </w:tcPr>
          <w:p w14:paraId="5E362BDE" w14:textId="77777777" w:rsidR="006B3BC4" w:rsidRPr="00627385" w:rsidRDefault="006B3BC4" w:rsidP="006B3BC4">
            <w:pPr>
              <w:pStyle w:val="ExhibitText"/>
              <w:jc w:val="right"/>
              <w:rPr>
                <w:lang w:val="en-GB"/>
              </w:rPr>
            </w:pPr>
            <w:r w:rsidRPr="00627385">
              <w:rPr>
                <w:lang w:val="en-GB"/>
              </w:rPr>
              <w:t>2,553</w:t>
            </w:r>
          </w:p>
        </w:tc>
      </w:tr>
      <w:tr w:rsidR="006B3BC4" w:rsidRPr="00627385" w14:paraId="736C9E41" w14:textId="77777777" w:rsidTr="00627385">
        <w:trPr>
          <w:trHeight w:val="107"/>
          <w:jc w:val="center"/>
        </w:trPr>
        <w:tc>
          <w:tcPr>
            <w:tcW w:w="4585" w:type="dxa"/>
            <w:shd w:val="clear" w:color="000000" w:fill="FFFFFF"/>
            <w:noWrap/>
            <w:vAlign w:val="center"/>
            <w:hideMark/>
          </w:tcPr>
          <w:p w14:paraId="5F4A8E31" w14:textId="77777777" w:rsidR="006B3BC4" w:rsidRPr="00627385" w:rsidRDefault="006B3BC4" w:rsidP="006B3BC4">
            <w:pPr>
              <w:pStyle w:val="ExhibitText"/>
              <w:jc w:val="left"/>
              <w:rPr>
                <w:lang w:val="en-GB"/>
              </w:rPr>
            </w:pPr>
            <w:r w:rsidRPr="00627385">
              <w:rPr>
                <w:lang w:val="en-GB"/>
              </w:rPr>
              <w:t>Net income</w:t>
            </w:r>
          </w:p>
        </w:tc>
        <w:tc>
          <w:tcPr>
            <w:tcW w:w="1080" w:type="dxa"/>
            <w:shd w:val="clear" w:color="000000" w:fill="FFFFFF"/>
            <w:noWrap/>
            <w:vAlign w:val="center"/>
            <w:hideMark/>
          </w:tcPr>
          <w:p w14:paraId="4A3DD859" w14:textId="483D325F" w:rsidR="006B3BC4" w:rsidRPr="00627385" w:rsidRDefault="006B3BC4" w:rsidP="006B3BC4">
            <w:pPr>
              <w:pStyle w:val="ExhibitText"/>
              <w:jc w:val="right"/>
              <w:rPr>
                <w:lang w:val="en-GB"/>
              </w:rPr>
            </w:pPr>
            <w:r w:rsidRPr="00627385">
              <w:rPr>
                <w:lang w:val="en-GB"/>
              </w:rPr>
              <w:t>7,819</w:t>
            </w:r>
          </w:p>
        </w:tc>
        <w:tc>
          <w:tcPr>
            <w:tcW w:w="1080" w:type="dxa"/>
            <w:shd w:val="clear" w:color="000000" w:fill="FFFFFF"/>
            <w:vAlign w:val="center"/>
          </w:tcPr>
          <w:p w14:paraId="41A1B369" w14:textId="6EC239E8" w:rsidR="006B3BC4" w:rsidRPr="00627385" w:rsidRDefault="006B3BC4" w:rsidP="006B3BC4">
            <w:pPr>
              <w:pStyle w:val="ExhibitText"/>
              <w:jc w:val="right"/>
              <w:rPr>
                <w:lang w:val="en-GB"/>
              </w:rPr>
            </w:pPr>
            <w:r w:rsidRPr="00627385">
              <w:rPr>
                <w:lang w:val="en-GB"/>
              </w:rPr>
              <w:t>6,544</w:t>
            </w:r>
          </w:p>
        </w:tc>
      </w:tr>
    </w:tbl>
    <w:p w14:paraId="29001F06" w14:textId="77777777" w:rsidR="006B3BC4" w:rsidRPr="00627385" w:rsidRDefault="006B3BC4" w:rsidP="006B3BC4">
      <w:pPr>
        <w:rPr>
          <w:bCs/>
          <w:color w:val="000000"/>
          <w:sz w:val="22"/>
          <w:szCs w:val="22"/>
          <w:lang w:val="en-GB"/>
        </w:rPr>
      </w:pPr>
    </w:p>
    <w:p w14:paraId="04B2E2F4" w14:textId="77777777" w:rsidR="006B3BC4" w:rsidRPr="00627385" w:rsidRDefault="006B3BC4" w:rsidP="006B3BC4">
      <w:pPr>
        <w:rPr>
          <w:rFonts w:ascii="Arial" w:hAnsi="Arial" w:cs="Arial"/>
          <w:sz w:val="17"/>
          <w:szCs w:val="17"/>
          <w:lang w:val="en-GB"/>
        </w:rPr>
      </w:pPr>
      <w:r w:rsidRPr="00627385">
        <w:rPr>
          <w:rFonts w:ascii="Arial" w:hAnsi="Arial" w:cs="Arial"/>
          <w:bCs/>
          <w:color w:val="000000"/>
          <w:sz w:val="17"/>
          <w:szCs w:val="17"/>
          <w:lang w:val="en-GB"/>
        </w:rPr>
        <w:t>Source: Company files.</w:t>
      </w:r>
      <w:r w:rsidRPr="00627385">
        <w:rPr>
          <w:sz w:val="22"/>
          <w:szCs w:val="22"/>
          <w:lang w:val="en-GB"/>
        </w:rPr>
        <w:br w:type="page"/>
      </w:r>
    </w:p>
    <w:p w14:paraId="2B9E9399" w14:textId="1C88DED4" w:rsidR="006B3BC4" w:rsidRPr="00627385" w:rsidRDefault="006B3BC4" w:rsidP="006B3BC4">
      <w:pPr>
        <w:jc w:val="center"/>
        <w:rPr>
          <w:rFonts w:ascii="Arial" w:hAnsi="Arial"/>
          <w:b/>
          <w:lang w:val="en-GB"/>
        </w:rPr>
      </w:pPr>
      <w:r w:rsidRPr="00627385">
        <w:rPr>
          <w:rFonts w:ascii="Arial" w:hAnsi="Arial"/>
          <w:b/>
          <w:caps/>
          <w:lang w:val="en-GB"/>
        </w:rPr>
        <w:lastRenderedPageBreak/>
        <w:t xml:space="preserve">Exhibit 3: </w:t>
      </w:r>
      <w:r w:rsidR="00D400F2" w:rsidRPr="00627385">
        <w:rPr>
          <w:rFonts w:ascii="Arial" w:hAnsi="Arial"/>
          <w:b/>
          <w:caps/>
          <w:lang w:val="en-GB"/>
        </w:rPr>
        <w:t xml:space="preserve">comfort </w:t>
      </w:r>
      <w:r w:rsidRPr="00627385">
        <w:rPr>
          <w:rFonts w:ascii="Arial" w:hAnsi="Arial"/>
          <w:b/>
          <w:caps/>
          <w:lang w:val="en-GB"/>
        </w:rPr>
        <w:t>Statement of Financial Position</w:t>
      </w:r>
      <w:r w:rsidR="00D400F2" w:rsidRPr="00627385">
        <w:rPr>
          <w:rFonts w:ascii="Arial" w:hAnsi="Arial"/>
          <w:b/>
          <w:caps/>
          <w:lang w:val="en-GB"/>
        </w:rPr>
        <w:t xml:space="preserve">, </w:t>
      </w:r>
      <w:r w:rsidR="00D400F2" w:rsidRPr="00627385">
        <w:rPr>
          <w:rFonts w:ascii="Arial" w:hAnsi="Arial"/>
          <w:b/>
          <w:lang w:val="en-GB"/>
        </w:rPr>
        <w:t>YEARS ENDING</w:t>
      </w:r>
      <w:r w:rsidRPr="00627385">
        <w:rPr>
          <w:rFonts w:ascii="Arial" w:hAnsi="Arial"/>
          <w:b/>
          <w:lang w:val="en-GB"/>
        </w:rPr>
        <w:t xml:space="preserve"> D</w:t>
      </w:r>
      <w:r w:rsidR="00D400F2" w:rsidRPr="00627385">
        <w:rPr>
          <w:rFonts w:ascii="Arial" w:hAnsi="Arial"/>
          <w:b/>
          <w:lang w:val="en-GB"/>
        </w:rPr>
        <w:t>ECEMBER</w:t>
      </w:r>
      <w:r w:rsidRPr="00627385">
        <w:rPr>
          <w:rFonts w:ascii="Arial" w:hAnsi="Arial"/>
          <w:b/>
          <w:lang w:val="en-GB"/>
        </w:rPr>
        <w:t xml:space="preserve"> 31</w:t>
      </w:r>
      <w:r w:rsidR="00D400F2" w:rsidRPr="00627385">
        <w:rPr>
          <w:rFonts w:ascii="Arial" w:hAnsi="Arial"/>
          <w:b/>
          <w:lang w:val="en-GB"/>
        </w:rPr>
        <w:t xml:space="preserve"> </w:t>
      </w:r>
    </w:p>
    <w:p w14:paraId="7D911BE9" w14:textId="6754F40E" w:rsidR="006B3BC4" w:rsidRPr="00627385" w:rsidRDefault="006B3BC4" w:rsidP="006B3BC4">
      <w:pPr>
        <w:jc w:val="center"/>
        <w:rPr>
          <w:rFonts w:ascii="Arial" w:hAnsi="Arial"/>
          <w:b/>
          <w:lang w:val="en-GB"/>
        </w:rPr>
      </w:pPr>
      <w:r w:rsidRPr="00627385">
        <w:rPr>
          <w:rFonts w:ascii="Arial" w:hAnsi="Arial"/>
          <w:b/>
          <w:lang w:val="en-GB"/>
        </w:rPr>
        <w:t>(I</w:t>
      </w:r>
      <w:r w:rsidR="00D400F2" w:rsidRPr="00627385">
        <w:rPr>
          <w:rFonts w:ascii="Arial" w:hAnsi="Arial"/>
          <w:b/>
          <w:lang w:val="en-GB"/>
        </w:rPr>
        <w:t>N</w:t>
      </w:r>
      <w:r w:rsidRPr="00627385">
        <w:rPr>
          <w:rFonts w:ascii="Arial" w:hAnsi="Arial"/>
          <w:b/>
          <w:lang w:val="en-GB"/>
        </w:rPr>
        <w:t xml:space="preserve"> </w:t>
      </w:r>
      <w:r w:rsidR="00D400F2" w:rsidRPr="00627385">
        <w:rPr>
          <w:rFonts w:ascii="Arial" w:hAnsi="Arial"/>
          <w:b/>
          <w:lang w:val="en-GB"/>
        </w:rPr>
        <w:t>CA</w:t>
      </w:r>
      <w:r w:rsidR="002D5F21">
        <w:rPr>
          <w:rFonts w:ascii="Arial" w:hAnsi="Arial"/>
          <w:b/>
          <w:lang w:val="en-GB"/>
        </w:rPr>
        <w:t>$ THOUSAND</w:t>
      </w:r>
      <w:bookmarkStart w:id="0" w:name="_GoBack"/>
      <w:bookmarkEnd w:id="0"/>
      <w:r w:rsidRPr="00627385">
        <w:rPr>
          <w:rFonts w:ascii="Arial" w:hAnsi="Arial"/>
          <w:b/>
          <w:lang w:val="en-GB"/>
        </w:rPr>
        <w:t>)</w:t>
      </w:r>
    </w:p>
    <w:p w14:paraId="42E8B6DA" w14:textId="77777777" w:rsidR="006B3BC4" w:rsidRPr="00627385" w:rsidRDefault="006B3BC4" w:rsidP="00E5607F">
      <w:pPr>
        <w:pStyle w:val="ExhibitText"/>
        <w:rPr>
          <w:lang w:val="en-GB"/>
        </w:rPr>
      </w:pPr>
    </w:p>
    <w:tbl>
      <w:tblPr>
        <w:tblW w:w="7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5"/>
        <w:gridCol w:w="1350"/>
        <w:gridCol w:w="1350"/>
      </w:tblGrid>
      <w:tr w:rsidR="006B3BC4" w:rsidRPr="00627385" w14:paraId="5CEAC10A" w14:textId="77777777" w:rsidTr="00E5607F">
        <w:trPr>
          <w:jc w:val="center"/>
        </w:trPr>
        <w:tc>
          <w:tcPr>
            <w:tcW w:w="4765" w:type="dxa"/>
            <w:shd w:val="clear" w:color="000000" w:fill="FFFFFF"/>
            <w:noWrap/>
            <w:vAlign w:val="center"/>
            <w:hideMark/>
          </w:tcPr>
          <w:p w14:paraId="74BB90C0" w14:textId="77777777" w:rsidR="006B3BC4" w:rsidRPr="00627385" w:rsidRDefault="006B3BC4" w:rsidP="00121ABF">
            <w:pPr>
              <w:pStyle w:val="ExhibitText"/>
              <w:jc w:val="center"/>
              <w:rPr>
                <w:b/>
                <w:lang w:val="en-GB"/>
              </w:rPr>
            </w:pPr>
            <w:r w:rsidRPr="00627385">
              <w:rPr>
                <w:b/>
                <w:lang w:val="en-GB"/>
              </w:rPr>
              <w:t>ASSETS</w:t>
            </w:r>
          </w:p>
        </w:tc>
        <w:tc>
          <w:tcPr>
            <w:tcW w:w="1350" w:type="dxa"/>
            <w:shd w:val="clear" w:color="000000" w:fill="FFFFFF"/>
            <w:noWrap/>
            <w:vAlign w:val="center"/>
            <w:hideMark/>
          </w:tcPr>
          <w:p w14:paraId="5AAD017F" w14:textId="77777777" w:rsidR="006B3BC4" w:rsidRPr="00627385" w:rsidRDefault="006B3BC4" w:rsidP="006B3BC4">
            <w:pPr>
              <w:pStyle w:val="ExhibitText"/>
              <w:jc w:val="center"/>
              <w:rPr>
                <w:b/>
                <w:lang w:val="en-GB"/>
              </w:rPr>
            </w:pPr>
            <w:r w:rsidRPr="00627385">
              <w:rPr>
                <w:b/>
                <w:lang w:val="en-GB"/>
              </w:rPr>
              <w:t>2015</w:t>
            </w:r>
          </w:p>
        </w:tc>
        <w:tc>
          <w:tcPr>
            <w:tcW w:w="1350" w:type="dxa"/>
            <w:shd w:val="clear" w:color="000000" w:fill="FFFFFF"/>
            <w:vAlign w:val="center"/>
          </w:tcPr>
          <w:p w14:paraId="3A1F46C5" w14:textId="77777777" w:rsidR="006B3BC4" w:rsidRPr="00627385" w:rsidRDefault="006B3BC4" w:rsidP="006B3BC4">
            <w:pPr>
              <w:pStyle w:val="ExhibitText"/>
              <w:jc w:val="center"/>
              <w:rPr>
                <w:b/>
                <w:lang w:val="en-GB"/>
              </w:rPr>
            </w:pPr>
            <w:r w:rsidRPr="00627385">
              <w:rPr>
                <w:b/>
                <w:lang w:val="en-GB"/>
              </w:rPr>
              <w:t>2014</w:t>
            </w:r>
          </w:p>
        </w:tc>
      </w:tr>
      <w:tr w:rsidR="006B3BC4" w:rsidRPr="00627385" w14:paraId="590B5B92" w14:textId="77777777" w:rsidTr="00E5607F">
        <w:trPr>
          <w:jc w:val="center"/>
        </w:trPr>
        <w:tc>
          <w:tcPr>
            <w:tcW w:w="7465" w:type="dxa"/>
            <w:gridSpan w:val="3"/>
            <w:shd w:val="clear" w:color="000000" w:fill="FFFFFF"/>
            <w:noWrap/>
            <w:vAlign w:val="center"/>
            <w:hideMark/>
          </w:tcPr>
          <w:p w14:paraId="34FC95CB" w14:textId="77777777" w:rsidR="006B3BC4" w:rsidRPr="00627385" w:rsidRDefault="006B3BC4" w:rsidP="006B3BC4">
            <w:pPr>
              <w:pStyle w:val="ExhibitText"/>
              <w:rPr>
                <w:b/>
                <w:lang w:val="en-GB"/>
              </w:rPr>
            </w:pPr>
            <w:r w:rsidRPr="00627385">
              <w:rPr>
                <w:b/>
                <w:lang w:val="en-GB"/>
              </w:rPr>
              <w:t>Current assets:</w:t>
            </w:r>
          </w:p>
        </w:tc>
      </w:tr>
      <w:tr w:rsidR="006B3BC4" w:rsidRPr="00627385" w14:paraId="484DBDEB" w14:textId="77777777" w:rsidTr="00E5607F">
        <w:trPr>
          <w:jc w:val="center"/>
        </w:trPr>
        <w:tc>
          <w:tcPr>
            <w:tcW w:w="4765" w:type="dxa"/>
            <w:shd w:val="clear" w:color="000000" w:fill="FFFFFF"/>
            <w:noWrap/>
            <w:vAlign w:val="center"/>
            <w:hideMark/>
          </w:tcPr>
          <w:p w14:paraId="23C4CD2D" w14:textId="77777777" w:rsidR="006B3BC4" w:rsidRPr="00627385" w:rsidRDefault="006B3BC4" w:rsidP="006B3BC4">
            <w:pPr>
              <w:pStyle w:val="ExhibitText"/>
              <w:jc w:val="left"/>
              <w:rPr>
                <w:lang w:val="en-GB"/>
              </w:rPr>
            </w:pPr>
            <w:r w:rsidRPr="00627385">
              <w:rPr>
                <w:lang w:val="en-GB"/>
              </w:rPr>
              <w:tab/>
              <w:t>Cash</w:t>
            </w:r>
          </w:p>
        </w:tc>
        <w:tc>
          <w:tcPr>
            <w:tcW w:w="1350" w:type="dxa"/>
            <w:shd w:val="clear" w:color="000000" w:fill="FFFFFF"/>
            <w:noWrap/>
            <w:vAlign w:val="center"/>
            <w:hideMark/>
          </w:tcPr>
          <w:p w14:paraId="500008B8" w14:textId="2C34597E" w:rsidR="006B3BC4" w:rsidRPr="00627385" w:rsidRDefault="006B3BC4" w:rsidP="006B3BC4">
            <w:pPr>
              <w:pStyle w:val="ExhibitText"/>
              <w:jc w:val="right"/>
              <w:rPr>
                <w:lang w:val="en-GB"/>
              </w:rPr>
            </w:pPr>
            <w:r w:rsidRPr="00627385">
              <w:rPr>
                <w:lang w:val="en-GB"/>
              </w:rPr>
              <w:t>25,321</w:t>
            </w:r>
          </w:p>
        </w:tc>
        <w:tc>
          <w:tcPr>
            <w:tcW w:w="1350" w:type="dxa"/>
            <w:shd w:val="clear" w:color="000000" w:fill="FFFFFF"/>
            <w:vAlign w:val="center"/>
          </w:tcPr>
          <w:p w14:paraId="2C5B5EBA" w14:textId="6F59F2F0" w:rsidR="006B3BC4" w:rsidRPr="00627385" w:rsidRDefault="006B3BC4" w:rsidP="006B3BC4">
            <w:pPr>
              <w:pStyle w:val="ExhibitText"/>
              <w:jc w:val="right"/>
              <w:rPr>
                <w:lang w:val="en-GB"/>
              </w:rPr>
            </w:pPr>
            <w:r w:rsidRPr="00627385">
              <w:rPr>
                <w:lang w:val="en-GB"/>
              </w:rPr>
              <w:t>24,390</w:t>
            </w:r>
          </w:p>
        </w:tc>
      </w:tr>
      <w:tr w:rsidR="006B3BC4" w:rsidRPr="00627385" w14:paraId="6392E47A" w14:textId="77777777" w:rsidTr="00E5607F">
        <w:trPr>
          <w:jc w:val="center"/>
        </w:trPr>
        <w:tc>
          <w:tcPr>
            <w:tcW w:w="4765" w:type="dxa"/>
            <w:shd w:val="clear" w:color="000000" w:fill="FFFFFF"/>
            <w:noWrap/>
            <w:vAlign w:val="center"/>
            <w:hideMark/>
          </w:tcPr>
          <w:p w14:paraId="697BAA9F" w14:textId="77777777" w:rsidR="006B3BC4" w:rsidRPr="00627385" w:rsidRDefault="006B3BC4" w:rsidP="006B3BC4">
            <w:pPr>
              <w:pStyle w:val="ExhibitText"/>
              <w:jc w:val="left"/>
              <w:rPr>
                <w:lang w:val="en-GB"/>
              </w:rPr>
            </w:pPr>
            <w:r w:rsidRPr="00627385">
              <w:rPr>
                <w:lang w:val="en-GB"/>
              </w:rPr>
              <w:tab/>
              <w:t>Marketable securities</w:t>
            </w:r>
          </w:p>
        </w:tc>
        <w:tc>
          <w:tcPr>
            <w:tcW w:w="1350" w:type="dxa"/>
            <w:shd w:val="clear" w:color="000000" w:fill="FFFFFF"/>
            <w:noWrap/>
            <w:vAlign w:val="center"/>
            <w:hideMark/>
          </w:tcPr>
          <w:p w14:paraId="484D9630" w14:textId="77777777" w:rsidR="006B3BC4" w:rsidRPr="00627385" w:rsidRDefault="006B3BC4" w:rsidP="006B3BC4">
            <w:pPr>
              <w:pStyle w:val="ExhibitText"/>
              <w:jc w:val="right"/>
              <w:rPr>
                <w:lang w:val="en-GB"/>
              </w:rPr>
            </w:pPr>
            <w:r w:rsidRPr="00627385">
              <w:rPr>
                <w:lang w:val="en-GB"/>
              </w:rPr>
              <w:t>2,902</w:t>
            </w:r>
          </w:p>
        </w:tc>
        <w:tc>
          <w:tcPr>
            <w:tcW w:w="1350" w:type="dxa"/>
            <w:shd w:val="clear" w:color="000000" w:fill="FFFFFF"/>
            <w:vAlign w:val="center"/>
          </w:tcPr>
          <w:p w14:paraId="63879603" w14:textId="77777777" w:rsidR="006B3BC4" w:rsidRPr="00627385" w:rsidRDefault="006B3BC4" w:rsidP="006B3BC4">
            <w:pPr>
              <w:pStyle w:val="ExhibitText"/>
              <w:jc w:val="right"/>
              <w:rPr>
                <w:lang w:val="en-GB"/>
              </w:rPr>
            </w:pPr>
            <w:r w:rsidRPr="00627385">
              <w:rPr>
                <w:lang w:val="en-GB"/>
              </w:rPr>
              <w:t>3,433</w:t>
            </w:r>
          </w:p>
        </w:tc>
      </w:tr>
      <w:tr w:rsidR="006B3BC4" w:rsidRPr="00627385" w14:paraId="73D09DD4" w14:textId="77777777" w:rsidTr="00E5607F">
        <w:trPr>
          <w:jc w:val="center"/>
        </w:trPr>
        <w:tc>
          <w:tcPr>
            <w:tcW w:w="4765" w:type="dxa"/>
            <w:shd w:val="clear" w:color="000000" w:fill="FFFFFF"/>
            <w:noWrap/>
            <w:vAlign w:val="center"/>
            <w:hideMark/>
          </w:tcPr>
          <w:p w14:paraId="15541209" w14:textId="77777777" w:rsidR="006B3BC4" w:rsidRPr="00627385" w:rsidRDefault="006B3BC4" w:rsidP="006B3BC4">
            <w:pPr>
              <w:pStyle w:val="ExhibitText"/>
              <w:jc w:val="left"/>
              <w:rPr>
                <w:lang w:val="en-GB"/>
              </w:rPr>
            </w:pPr>
            <w:r w:rsidRPr="00627385">
              <w:rPr>
                <w:lang w:val="en-GB"/>
              </w:rPr>
              <w:tab/>
              <w:t xml:space="preserve">Accounts receivable </w:t>
            </w:r>
          </w:p>
        </w:tc>
        <w:tc>
          <w:tcPr>
            <w:tcW w:w="1350" w:type="dxa"/>
            <w:shd w:val="clear" w:color="000000" w:fill="FFFFFF"/>
            <w:noWrap/>
            <w:vAlign w:val="center"/>
            <w:hideMark/>
          </w:tcPr>
          <w:p w14:paraId="5544A475" w14:textId="77777777" w:rsidR="006B3BC4" w:rsidRPr="00627385" w:rsidRDefault="006B3BC4" w:rsidP="006B3BC4">
            <w:pPr>
              <w:pStyle w:val="ExhibitText"/>
              <w:jc w:val="right"/>
              <w:rPr>
                <w:lang w:val="en-GB"/>
              </w:rPr>
            </w:pPr>
            <w:r w:rsidRPr="00627385">
              <w:rPr>
                <w:lang w:val="en-GB"/>
              </w:rPr>
              <w:t>9,891</w:t>
            </w:r>
          </w:p>
        </w:tc>
        <w:tc>
          <w:tcPr>
            <w:tcW w:w="1350" w:type="dxa"/>
            <w:shd w:val="clear" w:color="000000" w:fill="FFFFFF"/>
            <w:vAlign w:val="center"/>
          </w:tcPr>
          <w:p w14:paraId="4565F764" w14:textId="77777777" w:rsidR="006B3BC4" w:rsidRPr="00627385" w:rsidRDefault="006B3BC4" w:rsidP="006B3BC4">
            <w:pPr>
              <w:pStyle w:val="ExhibitText"/>
              <w:jc w:val="right"/>
              <w:rPr>
                <w:lang w:val="en-GB"/>
              </w:rPr>
            </w:pPr>
            <w:r w:rsidRPr="00627385">
              <w:rPr>
                <w:lang w:val="en-GB"/>
              </w:rPr>
              <w:t>8,974</w:t>
            </w:r>
          </w:p>
        </w:tc>
      </w:tr>
      <w:tr w:rsidR="006B3BC4" w:rsidRPr="00627385" w14:paraId="2957B70E" w14:textId="77777777" w:rsidTr="00E5607F">
        <w:trPr>
          <w:jc w:val="center"/>
        </w:trPr>
        <w:tc>
          <w:tcPr>
            <w:tcW w:w="4765" w:type="dxa"/>
            <w:shd w:val="clear" w:color="000000" w:fill="FFFFFF"/>
            <w:noWrap/>
            <w:vAlign w:val="center"/>
            <w:hideMark/>
          </w:tcPr>
          <w:p w14:paraId="2543BA70" w14:textId="77777777" w:rsidR="006B3BC4" w:rsidRPr="00627385" w:rsidRDefault="006B3BC4" w:rsidP="006B3BC4">
            <w:pPr>
              <w:pStyle w:val="ExhibitText"/>
              <w:jc w:val="left"/>
              <w:rPr>
                <w:lang w:val="en-GB"/>
              </w:rPr>
            </w:pPr>
            <w:r w:rsidRPr="00627385">
              <w:rPr>
                <w:lang w:val="en-GB"/>
              </w:rPr>
              <w:tab/>
              <w:t>Loan receivable</w:t>
            </w:r>
          </w:p>
        </w:tc>
        <w:tc>
          <w:tcPr>
            <w:tcW w:w="1350" w:type="dxa"/>
            <w:shd w:val="clear" w:color="000000" w:fill="FFFFFF"/>
            <w:noWrap/>
            <w:vAlign w:val="center"/>
            <w:hideMark/>
          </w:tcPr>
          <w:p w14:paraId="32542E3C" w14:textId="77777777" w:rsidR="006B3BC4" w:rsidRPr="00627385" w:rsidRDefault="006B3BC4" w:rsidP="006B3BC4">
            <w:pPr>
              <w:pStyle w:val="ExhibitText"/>
              <w:jc w:val="right"/>
              <w:rPr>
                <w:lang w:val="en-GB"/>
              </w:rPr>
            </w:pPr>
            <w:r w:rsidRPr="00627385">
              <w:rPr>
                <w:lang w:val="en-GB"/>
              </w:rPr>
              <w:t>0</w:t>
            </w:r>
          </w:p>
        </w:tc>
        <w:tc>
          <w:tcPr>
            <w:tcW w:w="1350" w:type="dxa"/>
            <w:shd w:val="clear" w:color="000000" w:fill="FFFFFF"/>
            <w:vAlign w:val="center"/>
          </w:tcPr>
          <w:p w14:paraId="627E7B94" w14:textId="77777777" w:rsidR="006B3BC4" w:rsidRPr="00627385" w:rsidRDefault="006B3BC4" w:rsidP="006B3BC4">
            <w:pPr>
              <w:pStyle w:val="ExhibitText"/>
              <w:jc w:val="right"/>
              <w:rPr>
                <w:lang w:val="en-GB"/>
              </w:rPr>
            </w:pPr>
            <w:r w:rsidRPr="00627385">
              <w:rPr>
                <w:lang w:val="en-GB"/>
              </w:rPr>
              <w:t>127</w:t>
            </w:r>
          </w:p>
        </w:tc>
      </w:tr>
      <w:tr w:rsidR="006B3BC4" w:rsidRPr="00627385" w14:paraId="7C0DCC74" w14:textId="77777777" w:rsidTr="00E5607F">
        <w:trPr>
          <w:jc w:val="center"/>
        </w:trPr>
        <w:tc>
          <w:tcPr>
            <w:tcW w:w="4765" w:type="dxa"/>
            <w:shd w:val="clear" w:color="000000" w:fill="FFFFFF"/>
            <w:noWrap/>
            <w:vAlign w:val="center"/>
            <w:hideMark/>
          </w:tcPr>
          <w:p w14:paraId="25166935" w14:textId="77777777" w:rsidR="006B3BC4" w:rsidRPr="00627385" w:rsidRDefault="006B3BC4" w:rsidP="006B3BC4">
            <w:pPr>
              <w:pStyle w:val="ExhibitText"/>
              <w:jc w:val="left"/>
              <w:rPr>
                <w:lang w:val="en-GB"/>
              </w:rPr>
            </w:pPr>
            <w:r w:rsidRPr="00627385">
              <w:rPr>
                <w:lang w:val="en-GB"/>
              </w:rPr>
              <w:tab/>
              <w:t>Inventory</w:t>
            </w:r>
          </w:p>
        </w:tc>
        <w:tc>
          <w:tcPr>
            <w:tcW w:w="1350" w:type="dxa"/>
            <w:shd w:val="clear" w:color="000000" w:fill="FFFFFF"/>
            <w:noWrap/>
            <w:vAlign w:val="center"/>
            <w:hideMark/>
          </w:tcPr>
          <w:p w14:paraId="67CED6EA" w14:textId="77777777" w:rsidR="006B3BC4" w:rsidRPr="00627385" w:rsidRDefault="006B3BC4" w:rsidP="006B3BC4">
            <w:pPr>
              <w:pStyle w:val="ExhibitText"/>
              <w:jc w:val="right"/>
              <w:rPr>
                <w:lang w:val="en-GB"/>
              </w:rPr>
            </w:pPr>
            <w:r w:rsidRPr="00627385">
              <w:rPr>
                <w:lang w:val="en-GB"/>
              </w:rPr>
              <w:t>1,588</w:t>
            </w:r>
          </w:p>
        </w:tc>
        <w:tc>
          <w:tcPr>
            <w:tcW w:w="1350" w:type="dxa"/>
            <w:shd w:val="clear" w:color="000000" w:fill="FFFFFF"/>
            <w:vAlign w:val="center"/>
          </w:tcPr>
          <w:p w14:paraId="0517C5D9" w14:textId="77777777" w:rsidR="006B3BC4" w:rsidRPr="00627385" w:rsidRDefault="006B3BC4" w:rsidP="006B3BC4">
            <w:pPr>
              <w:pStyle w:val="ExhibitText"/>
              <w:jc w:val="right"/>
              <w:rPr>
                <w:lang w:val="en-GB"/>
              </w:rPr>
            </w:pPr>
            <w:r w:rsidRPr="00627385">
              <w:rPr>
                <w:lang w:val="en-GB"/>
              </w:rPr>
              <w:t>1,401</w:t>
            </w:r>
          </w:p>
        </w:tc>
      </w:tr>
      <w:tr w:rsidR="006B3BC4" w:rsidRPr="00627385" w14:paraId="4357C6B1" w14:textId="77777777" w:rsidTr="00E5607F">
        <w:trPr>
          <w:jc w:val="center"/>
        </w:trPr>
        <w:tc>
          <w:tcPr>
            <w:tcW w:w="4765" w:type="dxa"/>
            <w:shd w:val="clear" w:color="000000" w:fill="FFFFFF"/>
            <w:noWrap/>
            <w:vAlign w:val="center"/>
            <w:hideMark/>
          </w:tcPr>
          <w:p w14:paraId="386967F1" w14:textId="2FC56874" w:rsidR="006B3BC4" w:rsidRPr="00627385" w:rsidRDefault="006B3BC4" w:rsidP="006B3BC4">
            <w:pPr>
              <w:pStyle w:val="ExhibitText"/>
              <w:jc w:val="left"/>
              <w:rPr>
                <w:lang w:val="en-GB"/>
              </w:rPr>
            </w:pPr>
            <w:r w:rsidRPr="00627385">
              <w:rPr>
                <w:lang w:val="en-GB"/>
              </w:rPr>
              <w:tab/>
              <w:t>Pre</w:t>
            </w:r>
            <w:r w:rsidR="00AE4220" w:rsidRPr="00627385">
              <w:rPr>
                <w:lang w:val="en-GB"/>
              </w:rPr>
              <w:t>-</w:t>
            </w:r>
            <w:r w:rsidRPr="00627385">
              <w:rPr>
                <w:lang w:val="en-GB"/>
              </w:rPr>
              <w:t>paid</w:t>
            </w:r>
          </w:p>
        </w:tc>
        <w:tc>
          <w:tcPr>
            <w:tcW w:w="1350" w:type="dxa"/>
            <w:shd w:val="clear" w:color="000000" w:fill="FFFFFF"/>
            <w:noWrap/>
            <w:vAlign w:val="center"/>
            <w:hideMark/>
          </w:tcPr>
          <w:p w14:paraId="3EC54E4F" w14:textId="77777777" w:rsidR="006B3BC4" w:rsidRPr="00627385" w:rsidRDefault="006B3BC4" w:rsidP="006B3BC4">
            <w:pPr>
              <w:pStyle w:val="ExhibitText"/>
              <w:jc w:val="right"/>
              <w:rPr>
                <w:lang w:val="en-GB"/>
              </w:rPr>
            </w:pPr>
            <w:r w:rsidRPr="00627385">
              <w:rPr>
                <w:lang w:val="en-GB"/>
              </w:rPr>
              <w:t>236</w:t>
            </w:r>
          </w:p>
        </w:tc>
        <w:tc>
          <w:tcPr>
            <w:tcW w:w="1350" w:type="dxa"/>
            <w:shd w:val="clear" w:color="000000" w:fill="FFFFFF"/>
            <w:vAlign w:val="center"/>
          </w:tcPr>
          <w:p w14:paraId="325A0AA9" w14:textId="77777777" w:rsidR="006B3BC4" w:rsidRPr="00627385" w:rsidRDefault="006B3BC4" w:rsidP="006B3BC4">
            <w:pPr>
              <w:pStyle w:val="ExhibitText"/>
              <w:jc w:val="right"/>
              <w:rPr>
                <w:lang w:val="en-GB"/>
              </w:rPr>
            </w:pPr>
            <w:r w:rsidRPr="00627385">
              <w:rPr>
                <w:lang w:val="en-GB"/>
              </w:rPr>
              <w:t>428</w:t>
            </w:r>
          </w:p>
        </w:tc>
      </w:tr>
      <w:tr w:rsidR="006B3BC4" w:rsidRPr="00627385" w14:paraId="2145BA9E" w14:textId="77777777" w:rsidTr="00E5607F">
        <w:trPr>
          <w:jc w:val="center"/>
        </w:trPr>
        <w:tc>
          <w:tcPr>
            <w:tcW w:w="4765" w:type="dxa"/>
            <w:shd w:val="clear" w:color="000000" w:fill="FFFFFF"/>
            <w:noWrap/>
            <w:vAlign w:val="center"/>
            <w:hideMark/>
          </w:tcPr>
          <w:p w14:paraId="196E5137" w14:textId="77777777" w:rsidR="006B3BC4" w:rsidRPr="00627385" w:rsidRDefault="006B3BC4" w:rsidP="006B3BC4">
            <w:pPr>
              <w:pStyle w:val="ExhibitText"/>
              <w:jc w:val="left"/>
              <w:rPr>
                <w:lang w:val="en-GB"/>
              </w:rPr>
            </w:pPr>
            <w:r w:rsidRPr="00627385">
              <w:rPr>
                <w:lang w:val="en-GB"/>
              </w:rPr>
              <w:t>Total current assets</w:t>
            </w:r>
          </w:p>
        </w:tc>
        <w:tc>
          <w:tcPr>
            <w:tcW w:w="1350" w:type="dxa"/>
            <w:shd w:val="clear" w:color="000000" w:fill="FFFFFF"/>
            <w:noWrap/>
            <w:vAlign w:val="center"/>
            <w:hideMark/>
          </w:tcPr>
          <w:p w14:paraId="382E6773" w14:textId="77777777" w:rsidR="006B3BC4" w:rsidRPr="00627385" w:rsidRDefault="006B3BC4" w:rsidP="006B3BC4">
            <w:pPr>
              <w:pStyle w:val="ExhibitText"/>
              <w:jc w:val="right"/>
              <w:rPr>
                <w:lang w:val="en-GB"/>
              </w:rPr>
            </w:pPr>
            <w:r w:rsidRPr="00627385">
              <w:rPr>
                <w:lang w:val="en-GB"/>
              </w:rPr>
              <w:t>39,938</w:t>
            </w:r>
          </w:p>
        </w:tc>
        <w:tc>
          <w:tcPr>
            <w:tcW w:w="1350" w:type="dxa"/>
            <w:shd w:val="clear" w:color="000000" w:fill="FFFFFF"/>
            <w:vAlign w:val="center"/>
          </w:tcPr>
          <w:p w14:paraId="674370A8" w14:textId="77777777" w:rsidR="006B3BC4" w:rsidRPr="00627385" w:rsidRDefault="006B3BC4" w:rsidP="006B3BC4">
            <w:pPr>
              <w:pStyle w:val="ExhibitText"/>
              <w:jc w:val="right"/>
              <w:rPr>
                <w:lang w:val="en-GB"/>
              </w:rPr>
            </w:pPr>
            <w:r w:rsidRPr="00627385">
              <w:rPr>
                <w:lang w:val="en-GB"/>
              </w:rPr>
              <w:t>38,753</w:t>
            </w:r>
          </w:p>
        </w:tc>
      </w:tr>
      <w:tr w:rsidR="006B3BC4" w:rsidRPr="00627385" w14:paraId="42B5737F" w14:textId="77777777" w:rsidTr="00E5607F">
        <w:trPr>
          <w:jc w:val="center"/>
        </w:trPr>
        <w:tc>
          <w:tcPr>
            <w:tcW w:w="7465" w:type="dxa"/>
            <w:gridSpan w:val="3"/>
            <w:shd w:val="clear" w:color="000000" w:fill="FFFFFF"/>
            <w:noWrap/>
            <w:vAlign w:val="center"/>
            <w:hideMark/>
          </w:tcPr>
          <w:p w14:paraId="0B151439" w14:textId="77777777" w:rsidR="006B3BC4" w:rsidRPr="00627385" w:rsidRDefault="006B3BC4" w:rsidP="006B3BC4">
            <w:pPr>
              <w:pStyle w:val="ExhibitText"/>
              <w:jc w:val="left"/>
              <w:rPr>
                <w:b/>
                <w:lang w:val="en-GB"/>
              </w:rPr>
            </w:pPr>
            <w:r w:rsidRPr="00627385">
              <w:rPr>
                <w:b/>
                <w:lang w:val="en-GB"/>
              </w:rPr>
              <w:t>Fixed assets:</w:t>
            </w:r>
          </w:p>
        </w:tc>
      </w:tr>
      <w:tr w:rsidR="006B3BC4" w:rsidRPr="00627385" w14:paraId="501F9BBF" w14:textId="77777777" w:rsidTr="00E5607F">
        <w:trPr>
          <w:jc w:val="center"/>
        </w:trPr>
        <w:tc>
          <w:tcPr>
            <w:tcW w:w="4765" w:type="dxa"/>
            <w:shd w:val="clear" w:color="000000" w:fill="FFFFFF"/>
            <w:noWrap/>
            <w:vAlign w:val="center"/>
            <w:hideMark/>
          </w:tcPr>
          <w:p w14:paraId="461CB018" w14:textId="77777777" w:rsidR="006B3BC4" w:rsidRPr="00627385" w:rsidRDefault="006B3BC4" w:rsidP="006B3BC4">
            <w:pPr>
              <w:pStyle w:val="ExhibitText"/>
              <w:jc w:val="left"/>
              <w:rPr>
                <w:lang w:val="en-GB"/>
              </w:rPr>
            </w:pPr>
            <w:r w:rsidRPr="00627385">
              <w:rPr>
                <w:lang w:val="en-GB"/>
              </w:rPr>
              <w:tab/>
              <w:t xml:space="preserve">Equipment </w:t>
            </w:r>
          </w:p>
        </w:tc>
        <w:tc>
          <w:tcPr>
            <w:tcW w:w="1350" w:type="dxa"/>
            <w:shd w:val="clear" w:color="000000" w:fill="FFFFFF"/>
            <w:noWrap/>
            <w:vAlign w:val="center"/>
            <w:hideMark/>
          </w:tcPr>
          <w:p w14:paraId="559C6435" w14:textId="77777777" w:rsidR="006B3BC4" w:rsidRPr="00627385" w:rsidRDefault="006B3BC4" w:rsidP="006B3BC4">
            <w:pPr>
              <w:pStyle w:val="ExhibitText"/>
              <w:jc w:val="right"/>
              <w:rPr>
                <w:lang w:val="en-GB"/>
              </w:rPr>
            </w:pPr>
            <w:r w:rsidRPr="00627385">
              <w:rPr>
                <w:lang w:val="en-GB"/>
              </w:rPr>
              <w:t>262</w:t>
            </w:r>
          </w:p>
        </w:tc>
        <w:tc>
          <w:tcPr>
            <w:tcW w:w="1350" w:type="dxa"/>
            <w:shd w:val="clear" w:color="000000" w:fill="FFFFFF"/>
            <w:vAlign w:val="center"/>
          </w:tcPr>
          <w:p w14:paraId="6BBD16C6" w14:textId="77777777" w:rsidR="006B3BC4" w:rsidRPr="00627385" w:rsidRDefault="006B3BC4" w:rsidP="006B3BC4">
            <w:pPr>
              <w:pStyle w:val="ExhibitText"/>
              <w:jc w:val="right"/>
              <w:rPr>
                <w:lang w:val="en-GB"/>
              </w:rPr>
            </w:pPr>
            <w:r w:rsidRPr="00627385">
              <w:rPr>
                <w:lang w:val="en-GB"/>
              </w:rPr>
              <w:t>3,701</w:t>
            </w:r>
          </w:p>
        </w:tc>
      </w:tr>
      <w:tr w:rsidR="006B3BC4" w:rsidRPr="00627385" w14:paraId="578CABCF" w14:textId="77777777" w:rsidTr="00E5607F">
        <w:trPr>
          <w:jc w:val="center"/>
        </w:trPr>
        <w:tc>
          <w:tcPr>
            <w:tcW w:w="4765" w:type="dxa"/>
            <w:shd w:val="clear" w:color="000000" w:fill="FFFFFF"/>
            <w:noWrap/>
            <w:vAlign w:val="center"/>
            <w:hideMark/>
          </w:tcPr>
          <w:p w14:paraId="67A6C4ED" w14:textId="77777777" w:rsidR="006B3BC4" w:rsidRPr="00627385" w:rsidRDefault="006B3BC4" w:rsidP="006B3BC4">
            <w:pPr>
              <w:pStyle w:val="ExhibitText"/>
              <w:jc w:val="left"/>
              <w:rPr>
                <w:lang w:val="en-GB"/>
              </w:rPr>
            </w:pPr>
            <w:r w:rsidRPr="00627385">
              <w:rPr>
                <w:lang w:val="en-GB"/>
              </w:rPr>
              <w:tab/>
              <w:t>Furniture &amp; fixtures</w:t>
            </w:r>
          </w:p>
        </w:tc>
        <w:tc>
          <w:tcPr>
            <w:tcW w:w="1350" w:type="dxa"/>
            <w:shd w:val="clear" w:color="000000" w:fill="FFFFFF"/>
            <w:noWrap/>
            <w:vAlign w:val="center"/>
            <w:hideMark/>
          </w:tcPr>
          <w:p w14:paraId="03DDB070" w14:textId="77777777" w:rsidR="006B3BC4" w:rsidRPr="00627385" w:rsidRDefault="006B3BC4" w:rsidP="006B3BC4">
            <w:pPr>
              <w:pStyle w:val="ExhibitText"/>
              <w:jc w:val="right"/>
              <w:rPr>
                <w:lang w:val="en-GB"/>
              </w:rPr>
            </w:pPr>
            <w:r w:rsidRPr="00627385">
              <w:rPr>
                <w:lang w:val="en-GB"/>
              </w:rPr>
              <w:t>108</w:t>
            </w:r>
          </w:p>
        </w:tc>
        <w:tc>
          <w:tcPr>
            <w:tcW w:w="1350" w:type="dxa"/>
            <w:shd w:val="clear" w:color="000000" w:fill="FFFFFF"/>
            <w:vAlign w:val="center"/>
          </w:tcPr>
          <w:p w14:paraId="6AC66139" w14:textId="77777777" w:rsidR="006B3BC4" w:rsidRPr="00627385" w:rsidRDefault="006B3BC4" w:rsidP="006B3BC4">
            <w:pPr>
              <w:pStyle w:val="ExhibitText"/>
              <w:jc w:val="right"/>
              <w:rPr>
                <w:lang w:val="en-GB"/>
              </w:rPr>
            </w:pPr>
            <w:r w:rsidRPr="00627385">
              <w:rPr>
                <w:lang w:val="en-GB"/>
              </w:rPr>
              <w:t>133</w:t>
            </w:r>
          </w:p>
        </w:tc>
      </w:tr>
      <w:tr w:rsidR="006B3BC4" w:rsidRPr="00627385" w14:paraId="52B6C78C" w14:textId="77777777" w:rsidTr="00E5607F">
        <w:trPr>
          <w:jc w:val="center"/>
        </w:trPr>
        <w:tc>
          <w:tcPr>
            <w:tcW w:w="4765" w:type="dxa"/>
            <w:shd w:val="clear" w:color="000000" w:fill="FFFFFF"/>
            <w:noWrap/>
            <w:vAlign w:val="center"/>
            <w:hideMark/>
          </w:tcPr>
          <w:p w14:paraId="4AA817D0" w14:textId="77777777" w:rsidR="006B3BC4" w:rsidRPr="00627385" w:rsidRDefault="006B3BC4" w:rsidP="006B3BC4">
            <w:pPr>
              <w:pStyle w:val="ExhibitText"/>
              <w:jc w:val="left"/>
              <w:rPr>
                <w:lang w:val="en-GB"/>
              </w:rPr>
            </w:pPr>
            <w:r w:rsidRPr="00627385">
              <w:rPr>
                <w:lang w:val="en-GB"/>
              </w:rPr>
              <w:tab/>
              <w:t>Computer &amp; software</w:t>
            </w:r>
          </w:p>
        </w:tc>
        <w:tc>
          <w:tcPr>
            <w:tcW w:w="1350" w:type="dxa"/>
            <w:shd w:val="clear" w:color="000000" w:fill="FFFFFF"/>
            <w:noWrap/>
            <w:vAlign w:val="center"/>
            <w:hideMark/>
          </w:tcPr>
          <w:p w14:paraId="2DA66AD1" w14:textId="77777777" w:rsidR="006B3BC4" w:rsidRPr="00627385" w:rsidRDefault="006B3BC4" w:rsidP="006B3BC4">
            <w:pPr>
              <w:pStyle w:val="ExhibitText"/>
              <w:jc w:val="right"/>
              <w:rPr>
                <w:lang w:val="en-GB"/>
              </w:rPr>
            </w:pPr>
            <w:r w:rsidRPr="00627385">
              <w:rPr>
                <w:lang w:val="en-GB"/>
              </w:rPr>
              <w:t>19</w:t>
            </w:r>
          </w:p>
        </w:tc>
        <w:tc>
          <w:tcPr>
            <w:tcW w:w="1350" w:type="dxa"/>
            <w:shd w:val="clear" w:color="000000" w:fill="FFFFFF"/>
            <w:vAlign w:val="center"/>
          </w:tcPr>
          <w:p w14:paraId="645CAF1D" w14:textId="77777777" w:rsidR="006B3BC4" w:rsidRPr="00627385" w:rsidRDefault="006B3BC4" w:rsidP="006B3BC4">
            <w:pPr>
              <w:pStyle w:val="ExhibitText"/>
              <w:jc w:val="right"/>
              <w:rPr>
                <w:lang w:val="en-GB"/>
              </w:rPr>
            </w:pPr>
            <w:r w:rsidRPr="00627385">
              <w:rPr>
                <w:lang w:val="en-GB"/>
              </w:rPr>
              <w:t>18</w:t>
            </w:r>
          </w:p>
        </w:tc>
      </w:tr>
      <w:tr w:rsidR="006B3BC4" w:rsidRPr="00627385" w14:paraId="4D2D77C6" w14:textId="77777777" w:rsidTr="00E5607F">
        <w:trPr>
          <w:jc w:val="center"/>
        </w:trPr>
        <w:tc>
          <w:tcPr>
            <w:tcW w:w="4765" w:type="dxa"/>
            <w:shd w:val="clear" w:color="000000" w:fill="FFFFFF"/>
            <w:noWrap/>
            <w:vAlign w:val="center"/>
            <w:hideMark/>
          </w:tcPr>
          <w:p w14:paraId="491221CC" w14:textId="77777777" w:rsidR="006B3BC4" w:rsidRPr="00627385" w:rsidRDefault="006B3BC4" w:rsidP="006B3BC4">
            <w:pPr>
              <w:pStyle w:val="ExhibitText"/>
              <w:jc w:val="left"/>
              <w:rPr>
                <w:lang w:val="en-GB"/>
              </w:rPr>
            </w:pPr>
            <w:r w:rsidRPr="00627385">
              <w:rPr>
                <w:lang w:val="en-GB"/>
              </w:rPr>
              <w:tab/>
              <w:t>Vehicles</w:t>
            </w:r>
          </w:p>
        </w:tc>
        <w:tc>
          <w:tcPr>
            <w:tcW w:w="1350" w:type="dxa"/>
            <w:shd w:val="clear" w:color="000000" w:fill="FFFFFF"/>
            <w:noWrap/>
            <w:vAlign w:val="center"/>
            <w:hideMark/>
          </w:tcPr>
          <w:p w14:paraId="57A76414" w14:textId="77777777" w:rsidR="006B3BC4" w:rsidRPr="00627385" w:rsidRDefault="006B3BC4" w:rsidP="006B3BC4">
            <w:pPr>
              <w:pStyle w:val="ExhibitText"/>
              <w:jc w:val="right"/>
              <w:rPr>
                <w:lang w:val="en-GB"/>
              </w:rPr>
            </w:pPr>
            <w:r w:rsidRPr="00627385">
              <w:rPr>
                <w:lang w:val="en-GB"/>
              </w:rPr>
              <w:t>380</w:t>
            </w:r>
          </w:p>
        </w:tc>
        <w:tc>
          <w:tcPr>
            <w:tcW w:w="1350" w:type="dxa"/>
            <w:shd w:val="clear" w:color="000000" w:fill="FFFFFF"/>
            <w:vAlign w:val="center"/>
          </w:tcPr>
          <w:p w14:paraId="4BB72C5B" w14:textId="77777777" w:rsidR="006B3BC4" w:rsidRPr="00627385" w:rsidRDefault="006B3BC4" w:rsidP="006B3BC4">
            <w:pPr>
              <w:pStyle w:val="ExhibitText"/>
              <w:jc w:val="right"/>
              <w:rPr>
                <w:lang w:val="en-GB"/>
              </w:rPr>
            </w:pPr>
            <w:r w:rsidRPr="00627385">
              <w:rPr>
                <w:lang w:val="en-GB"/>
              </w:rPr>
              <w:t>353</w:t>
            </w:r>
          </w:p>
        </w:tc>
      </w:tr>
      <w:tr w:rsidR="006B3BC4" w:rsidRPr="00627385" w14:paraId="2A6BEDF0" w14:textId="77777777" w:rsidTr="00E5607F">
        <w:trPr>
          <w:jc w:val="center"/>
        </w:trPr>
        <w:tc>
          <w:tcPr>
            <w:tcW w:w="4765" w:type="dxa"/>
            <w:shd w:val="clear" w:color="000000" w:fill="FFFFFF"/>
            <w:noWrap/>
            <w:vAlign w:val="center"/>
            <w:hideMark/>
          </w:tcPr>
          <w:p w14:paraId="6458C32A" w14:textId="77777777" w:rsidR="006B3BC4" w:rsidRPr="00627385" w:rsidRDefault="006B3BC4" w:rsidP="006B3BC4">
            <w:pPr>
              <w:pStyle w:val="ExhibitText"/>
              <w:jc w:val="left"/>
              <w:rPr>
                <w:lang w:val="en-GB"/>
              </w:rPr>
            </w:pPr>
            <w:r w:rsidRPr="00627385">
              <w:rPr>
                <w:lang w:val="en-GB"/>
              </w:rPr>
              <w:tab/>
            </w:r>
            <w:proofErr w:type="spellStart"/>
            <w:r w:rsidRPr="00627385">
              <w:rPr>
                <w:lang w:val="en-GB"/>
              </w:rPr>
              <w:t>Smallwares</w:t>
            </w:r>
            <w:proofErr w:type="spellEnd"/>
          </w:p>
        </w:tc>
        <w:tc>
          <w:tcPr>
            <w:tcW w:w="1350" w:type="dxa"/>
            <w:shd w:val="clear" w:color="000000" w:fill="FFFFFF"/>
            <w:noWrap/>
            <w:vAlign w:val="center"/>
            <w:hideMark/>
          </w:tcPr>
          <w:p w14:paraId="3C44131A" w14:textId="77777777" w:rsidR="006B3BC4" w:rsidRPr="00627385" w:rsidRDefault="006B3BC4" w:rsidP="006B3BC4">
            <w:pPr>
              <w:pStyle w:val="ExhibitText"/>
              <w:jc w:val="right"/>
              <w:rPr>
                <w:lang w:val="en-GB"/>
              </w:rPr>
            </w:pPr>
            <w:r w:rsidRPr="00627385">
              <w:rPr>
                <w:lang w:val="en-GB"/>
              </w:rPr>
              <w:t>36</w:t>
            </w:r>
          </w:p>
        </w:tc>
        <w:tc>
          <w:tcPr>
            <w:tcW w:w="1350" w:type="dxa"/>
            <w:shd w:val="clear" w:color="000000" w:fill="FFFFFF"/>
            <w:vAlign w:val="center"/>
          </w:tcPr>
          <w:p w14:paraId="1A9D950E" w14:textId="77777777" w:rsidR="006B3BC4" w:rsidRPr="00627385" w:rsidRDefault="006B3BC4" w:rsidP="006B3BC4">
            <w:pPr>
              <w:pStyle w:val="ExhibitText"/>
              <w:jc w:val="right"/>
              <w:rPr>
                <w:lang w:val="en-GB"/>
              </w:rPr>
            </w:pPr>
            <w:r w:rsidRPr="00627385">
              <w:rPr>
                <w:lang w:val="en-GB"/>
              </w:rPr>
              <w:t>19</w:t>
            </w:r>
          </w:p>
        </w:tc>
      </w:tr>
      <w:tr w:rsidR="006B3BC4" w:rsidRPr="00627385" w14:paraId="4A2A661B" w14:textId="77777777" w:rsidTr="00E5607F">
        <w:trPr>
          <w:jc w:val="center"/>
        </w:trPr>
        <w:tc>
          <w:tcPr>
            <w:tcW w:w="4765" w:type="dxa"/>
            <w:shd w:val="clear" w:color="000000" w:fill="FFFFFF"/>
            <w:noWrap/>
            <w:vAlign w:val="center"/>
            <w:hideMark/>
          </w:tcPr>
          <w:p w14:paraId="0993DE57" w14:textId="77777777" w:rsidR="006B3BC4" w:rsidRPr="00627385" w:rsidRDefault="006B3BC4" w:rsidP="006B3BC4">
            <w:pPr>
              <w:pStyle w:val="ExhibitText"/>
              <w:jc w:val="left"/>
              <w:rPr>
                <w:lang w:val="en-GB"/>
              </w:rPr>
            </w:pPr>
            <w:r w:rsidRPr="00627385">
              <w:rPr>
                <w:lang w:val="en-GB"/>
              </w:rPr>
              <w:tab/>
              <w:t>Leasehold improvements</w:t>
            </w:r>
          </w:p>
        </w:tc>
        <w:tc>
          <w:tcPr>
            <w:tcW w:w="1350" w:type="dxa"/>
            <w:shd w:val="clear" w:color="000000" w:fill="FFFFFF"/>
            <w:noWrap/>
            <w:vAlign w:val="center"/>
            <w:hideMark/>
          </w:tcPr>
          <w:p w14:paraId="08C57465" w14:textId="77777777" w:rsidR="006B3BC4" w:rsidRPr="00627385" w:rsidRDefault="006B3BC4" w:rsidP="006B3BC4">
            <w:pPr>
              <w:pStyle w:val="ExhibitText"/>
              <w:jc w:val="right"/>
              <w:rPr>
                <w:lang w:val="en-GB"/>
              </w:rPr>
            </w:pPr>
            <w:r w:rsidRPr="00627385">
              <w:rPr>
                <w:lang w:val="en-GB"/>
              </w:rPr>
              <w:t>472</w:t>
            </w:r>
          </w:p>
        </w:tc>
        <w:tc>
          <w:tcPr>
            <w:tcW w:w="1350" w:type="dxa"/>
            <w:shd w:val="clear" w:color="000000" w:fill="FFFFFF"/>
            <w:vAlign w:val="center"/>
          </w:tcPr>
          <w:p w14:paraId="1A0EF06E" w14:textId="77777777" w:rsidR="006B3BC4" w:rsidRPr="00627385" w:rsidRDefault="006B3BC4" w:rsidP="006B3BC4">
            <w:pPr>
              <w:pStyle w:val="ExhibitText"/>
              <w:jc w:val="right"/>
              <w:rPr>
                <w:lang w:val="en-GB"/>
              </w:rPr>
            </w:pPr>
            <w:r w:rsidRPr="00627385">
              <w:rPr>
                <w:lang w:val="en-GB"/>
              </w:rPr>
              <w:t>575</w:t>
            </w:r>
          </w:p>
        </w:tc>
      </w:tr>
      <w:tr w:rsidR="00E5607F" w:rsidRPr="00627385" w14:paraId="1499FC15" w14:textId="77777777" w:rsidTr="00E5607F">
        <w:trPr>
          <w:jc w:val="center"/>
        </w:trPr>
        <w:tc>
          <w:tcPr>
            <w:tcW w:w="7465" w:type="dxa"/>
            <w:gridSpan w:val="3"/>
            <w:shd w:val="clear" w:color="000000" w:fill="FFFFFF"/>
            <w:noWrap/>
            <w:vAlign w:val="center"/>
            <w:hideMark/>
          </w:tcPr>
          <w:p w14:paraId="579BF1D9" w14:textId="29AD16DC" w:rsidR="00E5607F" w:rsidRPr="00627385" w:rsidRDefault="00E5607F" w:rsidP="00102C19">
            <w:pPr>
              <w:pStyle w:val="ExhibitText"/>
              <w:jc w:val="left"/>
              <w:rPr>
                <w:b/>
                <w:lang w:val="en-GB"/>
              </w:rPr>
            </w:pPr>
            <w:r w:rsidRPr="00627385">
              <w:rPr>
                <w:b/>
                <w:lang w:val="en-GB"/>
              </w:rPr>
              <w:t>Other long</w:t>
            </w:r>
            <w:r w:rsidR="00AE4220" w:rsidRPr="00627385">
              <w:rPr>
                <w:b/>
                <w:lang w:val="en-GB"/>
              </w:rPr>
              <w:t>-</w:t>
            </w:r>
            <w:r w:rsidRPr="00627385">
              <w:rPr>
                <w:b/>
                <w:lang w:val="en-GB"/>
              </w:rPr>
              <w:t>term assets:</w:t>
            </w:r>
          </w:p>
        </w:tc>
      </w:tr>
      <w:tr w:rsidR="006B3BC4" w:rsidRPr="00627385" w14:paraId="76E827ED" w14:textId="77777777" w:rsidTr="00E5607F">
        <w:trPr>
          <w:jc w:val="center"/>
        </w:trPr>
        <w:tc>
          <w:tcPr>
            <w:tcW w:w="4765" w:type="dxa"/>
            <w:shd w:val="clear" w:color="000000" w:fill="FFFFFF"/>
            <w:noWrap/>
            <w:vAlign w:val="center"/>
            <w:hideMark/>
          </w:tcPr>
          <w:p w14:paraId="72687AD5" w14:textId="77777777" w:rsidR="006B3BC4" w:rsidRPr="00627385" w:rsidRDefault="006B3BC4" w:rsidP="006B3BC4">
            <w:pPr>
              <w:pStyle w:val="ExhibitText"/>
              <w:jc w:val="left"/>
              <w:rPr>
                <w:lang w:val="en-GB"/>
              </w:rPr>
            </w:pPr>
            <w:r w:rsidRPr="00627385">
              <w:rPr>
                <w:lang w:val="en-GB"/>
              </w:rPr>
              <w:tab/>
              <w:t>Due from related parties</w:t>
            </w:r>
          </w:p>
        </w:tc>
        <w:tc>
          <w:tcPr>
            <w:tcW w:w="1350" w:type="dxa"/>
            <w:shd w:val="clear" w:color="000000" w:fill="FFFFFF"/>
            <w:noWrap/>
            <w:vAlign w:val="center"/>
            <w:hideMark/>
          </w:tcPr>
          <w:p w14:paraId="2D3D28FA" w14:textId="77777777" w:rsidR="006B3BC4" w:rsidRPr="00627385" w:rsidRDefault="006B3BC4" w:rsidP="006B3BC4">
            <w:pPr>
              <w:pStyle w:val="ExhibitText"/>
              <w:jc w:val="right"/>
              <w:rPr>
                <w:lang w:val="en-GB"/>
              </w:rPr>
            </w:pPr>
            <w:r w:rsidRPr="00627385">
              <w:rPr>
                <w:lang w:val="en-GB"/>
              </w:rPr>
              <w:t>1,910</w:t>
            </w:r>
          </w:p>
        </w:tc>
        <w:tc>
          <w:tcPr>
            <w:tcW w:w="1350" w:type="dxa"/>
            <w:shd w:val="clear" w:color="000000" w:fill="FFFFFF"/>
            <w:vAlign w:val="center"/>
          </w:tcPr>
          <w:p w14:paraId="1E59D25E" w14:textId="77777777" w:rsidR="006B3BC4" w:rsidRPr="00627385" w:rsidRDefault="006B3BC4" w:rsidP="006B3BC4">
            <w:pPr>
              <w:pStyle w:val="ExhibitText"/>
              <w:jc w:val="right"/>
              <w:rPr>
                <w:lang w:val="en-GB"/>
              </w:rPr>
            </w:pPr>
            <w:r w:rsidRPr="00627385">
              <w:rPr>
                <w:lang w:val="en-GB"/>
              </w:rPr>
              <w:t>3,567</w:t>
            </w:r>
          </w:p>
        </w:tc>
      </w:tr>
      <w:tr w:rsidR="006B3BC4" w:rsidRPr="00627385" w14:paraId="4A3C1B36" w14:textId="77777777" w:rsidTr="00E5607F">
        <w:trPr>
          <w:jc w:val="center"/>
        </w:trPr>
        <w:tc>
          <w:tcPr>
            <w:tcW w:w="4765" w:type="dxa"/>
            <w:shd w:val="clear" w:color="000000" w:fill="FFFFFF"/>
            <w:noWrap/>
            <w:vAlign w:val="center"/>
            <w:hideMark/>
          </w:tcPr>
          <w:p w14:paraId="4350AFC0" w14:textId="77777777" w:rsidR="006B3BC4" w:rsidRPr="00627385" w:rsidRDefault="006B3BC4" w:rsidP="006B3BC4">
            <w:pPr>
              <w:pStyle w:val="ExhibitText"/>
              <w:jc w:val="left"/>
              <w:rPr>
                <w:lang w:val="en-GB"/>
              </w:rPr>
            </w:pPr>
            <w:r w:rsidRPr="00627385">
              <w:rPr>
                <w:lang w:val="en-GB"/>
              </w:rPr>
              <w:tab/>
              <w:t>Investment in subsidiary</w:t>
            </w:r>
          </w:p>
        </w:tc>
        <w:tc>
          <w:tcPr>
            <w:tcW w:w="1350" w:type="dxa"/>
            <w:shd w:val="clear" w:color="000000" w:fill="FFFFFF"/>
            <w:noWrap/>
            <w:vAlign w:val="center"/>
            <w:hideMark/>
          </w:tcPr>
          <w:p w14:paraId="09732DF2" w14:textId="77777777" w:rsidR="006B3BC4" w:rsidRPr="00627385" w:rsidRDefault="006B3BC4" w:rsidP="006B3BC4">
            <w:pPr>
              <w:pStyle w:val="ExhibitText"/>
              <w:jc w:val="right"/>
              <w:rPr>
                <w:lang w:val="en-GB"/>
              </w:rPr>
            </w:pPr>
            <w:r w:rsidRPr="00627385">
              <w:rPr>
                <w:lang w:val="en-GB"/>
              </w:rPr>
              <w:t>1,765</w:t>
            </w:r>
          </w:p>
        </w:tc>
        <w:tc>
          <w:tcPr>
            <w:tcW w:w="1350" w:type="dxa"/>
            <w:shd w:val="clear" w:color="000000" w:fill="FFFFFF"/>
            <w:vAlign w:val="center"/>
          </w:tcPr>
          <w:p w14:paraId="22B6648C" w14:textId="77777777" w:rsidR="006B3BC4" w:rsidRPr="00627385" w:rsidRDefault="006B3BC4" w:rsidP="006B3BC4">
            <w:pPr>
              <w:pStyle w:val="ExhibitText"/>
              <w:jc w:val="right"/>
              <w:rPr>
                <w:lang w:val="en-GB"/>
              </w:rPr>
            </w:pPr>
            <w:r w:rsidRPr="00627385">
              <w:rPr>
                <w:lang w:val="en-GB"/>
              </w:rPr>
              <w:t>534</w:t>
            </w:r>
          </w:p>
        </w:tc>
      </w:tr>
      <w:tr w:rsidR="006B3BC4" w:rsidRPr="00627385" w14:paraId="7E9CFF48" w14:textId="77777777" w:rsidTr="00E5607F">
        <w:trPr>
          <w:jc w:val="center"/>
        </w:trPr>
        <w:tc>
          <w:tcPr>
            <w:tcW w:w="4765" w:type="dxa"/>
            <w:shd w:val="clear" w:color="000000" w:fill="FFFFFF"/>
            <w:noWrap/>
            <w:vAlign w:val="center"/>
            <w:hideMark/>
          </w:tcPr>
          <w:p w14:paraId="7EECC3F9" w14:textId="77777777" w:rsidR="006B3BC4" w:rsidRPr="00627385" w:rsidRDefault="006B3BC4" w:rsidP="006B3BC4">
            <w:pPr>
              <w:pStyle w:val="ExhibitText"/>
              <w:jc w:val="left"/>
              <w:rPr>
                <w:lang w:val="en-GB"/>
              </w:rPr>
            </w:pPr>
            <w:r w:rsidRPr="00627385">
              <w:rPr>
                <w:lang w:val="en-GB"/>
              </w:rPr>
              <w:tab/>
              <w:t>Investment in non-associated company</w:t>
            </w:r>
          </w:p>
        </w:tc>
        <w:tc>
          <w:tcPr>
            <w:tcW w:w="1350" w:type="dxa"/>
            <w:shd w:val="clear" w:color="000000" w:fill="FFFFFF"/>
            <w:noWrap/>
            <w:vAlign w:val="center"/>
            <w:hideMark/>
          </w:tcPr>
          <w:p w14:paraId="5C273419" w14:textId="77777777" w:rsidR="006B3BC4" w:rsidRPr="00627385" w:rsidRDefault="006B3BC4" w:rsidP="006B3BC4">
            <w:pPr>
              <w:pStyle w:val="ExhibitText"/>
              <w:jc w:val="right"/>
              <w:rPr>
                <w:lang w:val="en-GB"/>
              </w:rPr>
            </w:pPr>
            <w:r w:rsidRPr="00627385">
              <w:rPr>
                <w:lang w:val="en-GB"/>
              </w:rPr>
              <w:t>0</w:t>
            </w:r>
          </w:p>
        </w:tc>
        <w:tc>
          <w:tcPr>
            <w:tcW w:w="1350" w:type="dxa"/>
            <w:shd w:val="clear" w:color="000000" w:fill="FFFFFF"/>
            <w:vAlign w:val="center"/>
          </w:tcPr>
          <w:p w14:paraId="67067AAC" w14:textId="77777777" w:rsidR="006B3BC4" w:rsidRPr="00627385" w:rsidRDefault="006B3BC4" w:rsidP="006B3BC4">
            <w:pPr>
              <w:pStyle w:val="ExhibitText"/>
              <w:jc w:val="right"/>
              <w:rPr>
                <w:lang w:val="en-GB"/>
              </w:rPr>
            </w:pPr>
            <w:r w:rsidRPr="00627385">
              <w:rPr>
                <w:lang w:val="en-GB"/>
              </w:rPr>
              <w:t>13</w:t>
            </w:r>
          </w:p>
        </w:tc>
      </w:tr>
      <w:tr w:rsidR="006B3BC4" w:rsidRPr="00627385" w14:paraId="48CD7E30" w14:textId="77777777" w:rsidTr="00E5607F">
        <w:trPr>
          <w:jc w:val="center"/>
        </w:trPr>
        <w:tc>
          <w:tcPr>
            <w:tcW w:w="4765" w:type="dxa"/>
            <w:shd w:val="clear" w:color="000000" w:fill="FFFFFF"/>
            <w:noWrap/>
            <w:vAlign w:val="center"/>
            <w:hideMark/>
          </w:tcPr>
          <w:p w14:paraId="67FA7573" w14:textId="7052C99D" w:rsidR="006B3BC4" w:rsidRPr="00627385" w:rsidRDefault="006B3BC4" w:rsidP="00102C19">
            <w:pPr>
              <w:pStyle w:val="ExhibitText"/>
              <w:jc w:val="left"/>
              <w:rPr>
                <w:lang w:val="en-GB"/>
              </w:rPr>
            </w:pPr>
            <w:r w:rsidRPr="00627385">
              <w:rPr>
                <w:lang w:val="en-GB"/>
              </w:rPr>
              <w:t>Total long</w:t>
            </w:r>
            <w:r w:rsidR="00AE4220" w:rsidRPr="00627385">
              <w:rPr>
                <w:lang w:val="en-GB"/>
              </w:rPr>
              <w:t>-</w:t>
            </w:r>
            <w:r w:rsidRPr="00627385">
              <w:rPr>
                <w:lang w:val="en-GB"/>
              </w:rPr>
              <w:t xml:space="preserve">term assets </w:t>
            </w:r>
          </w:p>
        </w:tc>
        <w:tc>
          <w:tcPr>
            <w:tcW w:w="1350" w:type="dxa"/>
            <w:shd w:val="clear" w:color="000000" w:fill="FFFFFF"/>
            <w:noWrap/>
            <w:vAlign w:val="center"/>
            <w:hideMark/>
          </w:tcPr>
          <w:p w14:paraId="0E78A634" w14:textId="77777777" w:rsidR="006B3BC4" w:rsidRPr="00627385" w:rsidRDefault="006B3BC4" w:rsidP="006B3BC4">
            <w:pPr>
              <w:pStyle w:val="ExhibitText"/>
              <w:jc w:val="right"/>
              <w:rPr>
                <w:lang w:val="en-GB"/>
              </w:rPr>
            </w:pPr>
            <w:r w:rsidRPr="00627385">
              <w:rPr>
                <w:lang w:val="en-GB"/>
              </w:rPr>
              <w:t>4,952</w:t>
            </w:r>
          </w:p>
        </w:tc>
        <w:tc>
          <w:tcPr>
            <w:tcW w:w="1350" w:type="dxa"/>
            <w:shd w:val="clear" w:color="000000" w:fill="FFFFFF"/>
            <w:vAlign w:val="center"/>
          </w:tcPr>
          <w:p w14:paraId="458CE22C" w14:textId="77777777" w:rsidR="006B3BC4" w:rsidRPr="00627385" w:rsidRDefault="006B3BC4" w:rsidP="006B3BC4">
            <w:pPr>
              <w:pStyle w:val="ExhibitText"/>
              <w:jc w:val="right"/>
              <w:rPr>
                <w:lang w:val="en-GB"/>
              </w:rPr>
            </w:pPr>
            <w:r w:rsidRPr="00627385">
              <w:rPr>
                <w:lang w:val="en-GB"/>
              </w:rPr>
              <w:t>8,913</w:t>
            </w:r>
          </w:p>
        </w:tc>
      </w:tr>
      <w:tr w:rsidR="006B3BC4" w:rsidRPr="00627385" w14:paraId="38EC3DCE" w14:textId="77777777" w:rsidTr="00E5607F">
        <w:trPr>
          <w:jc w:val="center"/>
        </w:trPr>
        <w:tc>
          <w:tcPr>
            <w:tcW w:w="4765" w:type="dxa"/>
            <w:shd w:val="clear" w:color="000000" w:fill="FFFFFF"/>
            <w:noWrap/>
            <w:vAlign w:val="center"/>
            <w:hideMark/>
          </w:tcPr>
          <w:p w14:paraId="0E6EC6DD" w14:textId="77777777" w:rsidR="006B3BC4" w:rsidRPr="00627385" w:rsidRDefault="006B3BC4" w:rsidP="006B3BC4">
            <w:pPr>
              <w:pStyle w:val="ExhibitText"/>
              <w:jc w:val="left"/>
              <w:rPr>
                <w:lang w:val="en-GB"/>
              </w:rPr>
            </w:pPr>
            <w:r w:rsidRPr="00627385">
              <w:rPr>
                <w:lang w:val="en-GB"/>
              </w:rPr>
              <w:t>Total assets</w:t>
            </w:r>
          </w:p>
        </w:tc>
        <w:tc>
          <w:tcPr>
            <w:tcW w:w="1350" w:type="dxa"/>
            <w:shd w:val="clear" w:color="000000" w:fill="FFFFFF"/>
            <w:noWrap/>
            <w:vAlign w:val="center"/>
            <w:hideMark/>
          </w:tcPr>
          <w:p w14:paraId="4ACFD471" w14:textId="68C9DBEB" w:rsidR="006B3BC4" w:rsidRPr="00627385" w:rsidRDefault="006B3BC4" w:rsidP="006B3BC4">
            <w:pPr>
              <w:pStyle w:val="ExhibitText"/>
              <w:jc w:val="right"/>
              <w:rPr>
                <w:lang w:val="en-GB"/>
              </w:rPr>
            </w:pPr>
            <w:r w:rsidRPr="00627385">
              <w:rPr>
                <w:lang w:val="en-GB"/>
              </w:rPr>
              <w:t>44,890</w:t>
            </w:r>
          </w:p>
        </w:tc>
        <w:tc>
          <w:tcPr>
            <w:tcW w:w="1350" w:type="dxa"/>
            <w:shd w:val="clear" w:color="000000" w:fill="FFFFFF"/>
            <w:vAlign w:val="center"/>
          </w:tcPr>
          <w:p w14:paraId="2215C9D2" w14:textId="2306B498" w:rsidR="006B3BC4" w:rsidRPr="00627385" w:rsidRDefault="006B3BC4" w:rsidP="006B3BC4">
            <w:pPr>
              <w:pStyle w:val="ExhibitText"/>
              <w:jc w:val="right"/>
              <w:rPr>
                <w:lang w:val="en-GB"/>
              </w:rPr>
            </w:pPr>
            <w:r w:rsidRPr="00627385">
              <w:rPr>
                <w:lang w:val="en-GB"/>
              </w:rPr>
              <w:t>47,666</w:t>
            </w:r>
          </w:p>
        </w:tc>
      </w:tr>
      <w:tr w:rsidR="00E5607F" w:rsidRPr="00627385" w14:paraId="115F83BE" w14:textId="77777777" w:rsidTr="00E5607F">
        <w:trPr>
          <w:jc w:val="center"/>
        </w:trPr>
        <w:tc>
          <w:tcPr>
            <w:tcW w:w="7465" w:type="dxa"/>
            <w:gridSpan w:val="3"/>
            <w:shd w:val="clear" w:color="000000" w:fill="FFFFFF"/>
            <w:noWrap/>
            <w:vAlign w:val="center"/>
            <w:hideMark/>
          </w:tcPr>
          <w:p w14:paraId="5A0BCA5F" w14:textId="77777777" w:rsidR="00E5607F" w:rsidRPr="00627385" w:rsidRDefault="00E5607F" w:rsidP="00E5607F">
            <w:pPr>
              <w:pStyle w:val="ExhibitText"/>
              <w:jc w:val="left"/>
              <w:rPr>
                <w:b/>
                <w:lang w:val="en-GB"/>
              </w:rPr>
            </w:pPr>
            <w:r w:rsidRPr="00627385">
              <w:rPr>
                <w:b/>
                <w:lang w:val="en-GB"/>
              </w:rPr>
              <w:t>Liabilities and shareholders’ equity</w:t>
            </w:r>
          </w:p>
        </w:tc>
      </w:tr>
      <w:tr w:rsidR="00E5607F" w:rsidRPr="00627385" w14:paraId="7C995CEA" w14:textId="77777777" w:rsidTr="00E5607F">
        <w:trPr>
          <w:jc w:val="center"/>
        </w:trPr>
        <w:tc>
          <w:tcPr>
            <w:tcW w:w="7465" w:type="dxa"/>
            <w:gridSpan w:val="3"/>
            <w:shd w:val="clear" w:color="000000" w:fill="FFFFFF"/>
            <w:noWrap/>
            <w:vAlign w:val="center"/>
            <w:hideMark/>
          </w:tcPr>
          <w:p w14:paraId="184DD2B6" w14:textId="77777777" w:rsidR="00E5607F" w:rsidRPr="00627385" w:rsidRDefault="00E5607F" w:rsidP="00E5607F">
            <w:pPr>
              <w:pStyle w:val="ExhibitText"/>
              <w:jc w:val="left"/>
              <w:rPr>
                <w:b/>
                <w:lang w:val="en-GB"/>
              </w:rPr>
            </w:pPr>
            <w:r w:rsidRPr="00627385">
              <w:rPr>
                <w:b/>
                <w:lang w:val="en-GB"/>
              </w:rPr>
              <w:t>Current liabilities:</w:t>
            </w:r>
          </w:p>
        </w:tc>
      </w:tr>
      <w:tr w:rsidR="006B3BC4" w:rsidRPr="00627385" w14:paraId="43030083" w14:textId="77777777" w:rsidTr="00E5607F">
        <w:trPr>
          <w:jc w:val="center"/>
        </w:trPr>
        <w:tc>
          <w:tcPr>
            <w:tcW w:w="4765" w:type="dxa"/>
            <w:shd w:val="clear" w:color="000000" w:fill="FFFFFF"/>
            <w:noWrap/>
            <w:vAlign w:val="center"/>
            <w:hideMark/>
          </w:tcPr>
          <w:p w14:paraId="228E842E" w14:textId="77777777" w:rsidR="006B3BC4" w:rsidRPr="00627385" w:rsidRDefault="006B3BC4" w:rsidP="006B3BC4">
            <w:pPr>
              <w:pStyle w:val="ExhibitText"/>
              <w:jc w:val="left"/>
              <w:rPr>
                <w:lang w:val="en-GB"/>
              </w:rPr>
            </w:pPr>
            <w:r w:rsidRPr="00627385">
              <w:rPr>
                <w:lang w:val="en-GB"/>
              </w:rPr>
              <w:tab/>
              <w:t xml:space="preserve">Accounts payable &amp; accrued liabilities </w:t>
            </w:r>
          </w:p>
        </w:tc>
        <w:tc>
          <w:tcPr>
            <w:tcW w:w="1350" w:type="dxa"/>
            <w:shd w:val="clear" w:color="000000" w:fill="FFFFFF"/>
            <w:noWrap/>
            <w:vAlign w:val="center"/>
            <w:hideMark/>
          </w:tcPr>
          <w:p w14:paraId="5071A643" w14:textId="534AE61D" w:rsidR="006B3BC4" w:rsidRPr="00627385" w:rsidRDefault="006B3BC4" w:rsidP="006B3BC4">
            <w:pPr>
              <w:pStyle w:val="ExhibitText"/>
              <w:jc w:val="right"/>
              <w:rPr>
                <w:lang w:val="en-GB"/>
              </w:rPr>
            </w:pPr>
            <w:r w:rsidRPr="00627385">
              <w:rPr>
                <w:lang w:val="en-GB"/>
              </w:rPr>
              <w:t>3,094</w:t>
            </w:r>
          </w:p>
        </w:tc>
        <w:tc>
          <w:tcPr>
            <w:tcW w:w="1350" w:type="dxa"/>
            <w:shd w:val="clear" w:color="000000" w:fill="FFFFFF"/>
            <w:vAlign w:val="center"/>
          </w:tcPr>
          <w:p w14:paraId="3304321B" w14:textId="7B6AB788" w:rsidR="006B3BC4" w:rsidRPr="00627385" w:rsidRDefault="006B3BC4" w:rsidP="006B3BC4">
            <w:pPr>
              <w:pStyle w:val="ExhibitText"/>
              <w:jc w:val="right"/>
              <w:rPr>
                <w:lang w:val="en-GB"/>
              </w:rPr>
            </w:pPr>
            <w:r w:rsidRPr="00627385">
              <w:rPr>
                <w:lang w:val="en-GB"/>
              </w:rPr>
              <w:t>4,839</w:t>
            </w:r>
          </w:p>
        </w:tc>
      </w:tr>
      <w:tr w:rsidR="006B3BC4" w:rsidRPr="00627385" w14:paraId="2DF5EEB0" w14:textId="77777777" w:rsidTr="00E5607F">
        <w:trPr>
          <w:jc w:val="center"/>
        </w:trPr>
        <w:tc>
          <w:tcPr>
            <w:tcW w:w="4765" w:type="dxa"/>
            <w:shd w:val="clear" w:color="000000" w:fill="FFFFFF"/>
            <w:noWrap/>
            <w:vAlign w:val="center"/>
            <w:hideMark/>
          </w:tcPr>
          <w:p w14:paraId="65377F19" w14:textId="330D881E" w:rsidR="006B3BC4" w:rsidRPr="00627385" w:rsidRDefault="006B3BC4" w:rsidP="00102C19">
            <w:pPr>
              <w:pStyle w:val="ExhibitText"/>
              <w:jc w:val="left"/>
              <w:rPr>
                <w:lang w:val="en-GB"/>
              </w:rPr>
            </w:pPr>
            <w:r w:rsidRPr="00627385">
              <w:rPr>
                <w:lang w:val="en-GB"/>
              </w:rPr>
              <w:tab/>
              <w:t>Due to partnership/inter</w:t>
            </w:r>
            <w:r w:rsidR="00AE4220" w:rsidRPr="00627385">
              <w:rPr>
                <w:lang w:val="en-GB"/>
              </w:rPr>
              <w:t>-</w:t>
            </w:r>
            <w:r w:rsidRPr="00627385">
              <w:rPr>
                <w:lang w:val="en-GB"/>
              </w:rPr>
              <w:t>company</w:t>
            </w:r>
          </w:p>
        </w:tc>
        <w:tc>
          <w:tcPr>
            <w:tcW w:w="1350" w:type="dxa"/>
            <w:shd w:val="clear" w:color="000000" w:fill="FFFFFF"/>
            <w:noWrap/>
            <w:vAlign w:val="center"/>
            <w:hideMark/>
          </w:tcPr>
          <w:p w14:paraId="1D13D64C" w14:textId="77777777" w:rsidR="006B3BC4" w:rsidRPr="00627385" w:rsidRDefault="006B3BC4" w:rsidP="006B3BC4">
            <w:pPr>
              <w:pStyle w:val="ExhibitText"/>
              <w:jc w:val="right"/>
              <w:rPr>
                <w:lang w:val="en-GB"/>
              </w:rPr>
            </w:pPr>
            <w:r w:rsidRPr="00627385">
              <w:rPr>
                <w:lang w:val="en-GB"/>
              </w:rPr>
              <w:t>1,020</w:t>
            </w:r>
          </w:p>
        </w:tc>
        <w:tc>
          <w:tcPr>
            <w:tcW w:w="1350" w:type="dxa"/>
            <w:shd w:val="clear" w:color="000000" w:fill="FFFFFF"/>
            <w:vAlign w:val="center"/>
          </w:tcPr>
          <w:p w14:paraId="1D10F0E3" w14:textId="77777777" w:rsidR="006B3BC4" w:rsidRPr="00627385" w:rsidRDefault="006B3BC4" w:rsidP="006B3BC4">
            <w:pPr>
              <w:pStyle w:val="ExhibitText"/>
              <w:jc w:val="right"/>
              <w:rPr>
                <w:lang w:val="en-GB"/>
              </w:rPr>
            </w:pPr>
            <w:r w:rsidRPr="00627385">
              <w:rPr>
                <w:lang w:val="en-GB"/>
              </w:rPr>
              <w:t>1,962</w:t>
            </w:r>
          </w:p>
        </w:tc>
      </w:tr>
      <w:tr w:rsidR="006B3BC4" w:rsidRPr="00627385" w14:paraId="799458CF" w14:textId="77777777" w:rsidTr="00E5607F">
        <w:trPr>
          <w:jc w:val="center"/>
        </w:trPr>
        <w:tc>
          <w:tcPr>
            <w:tcW w:w="4765" w:type="dxa"/>
            <w:shd w:val="clear" w:color="000000" w:fill="FFFFFF"/>
            <w:noWrap/>
            <w:vAlign w:val="center"/>
            <w:hideMark/>
          </w:tcPr>
          <w:p w14:paraId="4ED28E95" w14:textId="77777777" w:rsidR="006B3BC4" w:rsidRPr="00627385" w:rsidRDefault="006B3BC4" w:rsidP="006B3BC4">
            <w:pPr>
              <w:pStyle w:val="ExhibitText"/>
              <w:jc w:val="left"/>
              <w:rPr>
                <w:lang w:val="en-GB"/>
              </w:rPr>
            </w:pPr>
            <w:r w:rsidRPr="00627385">
              <w:rPr>
                <w:lang w:val="en-GB"/>
              </w:rPr>
              <w:t>Total current liabilities</w:t>
            </w:r>
          </w:p>
        </w:tc>
        <w:tc>
          <w:tcPr>
            <w:tcW w:w="1350" w:type="dxa"/>
            <w:shd w:val="clear" w:color="000000" w:fill="FFFFFF"/>
            <w:noWrap/>
            <w:vAlign w:val="center"/>
            <w:hideMark/>
          </w:tcPr>
          <w:p w14:paraId="7EB4D041" w14:textId="77777777" w:rsidR="006B3BC4" w:rsidRPr="00627385" w:rsidRDefault="006B3BC4" w:rsidP="006B3BC4">
            <w:pPr>
              <w:pStyle w:val="ExhibitText"/>
              <w:jc w:val="right"/>
              <w:rPr>
                <w:lang w:val="en-GB"/>
              </w:rPr>
            </w:pPr>
            <w:r w:rsidRPr="00627385">
              <w:rPr>
                <w:lang w:val="en-GB"/>
              </w:rPr>
              <w:t>4,114</w:t>
            </w:r>
          </w:p>
        </w:tc>
        <w:tc>
          <w:tcPr>
            <w:tcW w:w="1350" w:type="dxa"/>
            <w:shd w:val="clear" w:color="000000" w:fill="FFFFFF"/>
            <w:vAlign w:val="center"/>
          </w:tcPr>
          <w:p w14:paraId="79A63D8E" w14:textId="77777777" w:rsidR="006B3BC4" w:rsidRPr="00627385" w:rsidRDefault="006B3BC4" w:rsidP="006B3BC4">
            <w:pPr>
              <w:pStyle w:val="ExhibitText"/>
              <w:jc w:val="right"/>
              <w:rPr>
                <w:lang w:val="en-GB"/>
              </w:rPr>
            </w:pPr>
            <w:r w:rsidRPr="00627385">
              <w:rPr>
                <w:lang w:val="en-GB"/>
              </w:rPr>
              <w:t>6,801</w:t>
            </w:r>
          </w:p>
        </w:tc>
      </w:tr>
      <w:tr w:rsidR="006B3BC4" w:rsidRPr="00627385" w14:paraId="32AB2DA1" w14:textId="77777777" w:rsidTr="00E5607F">
        <w:trPr>
          <w:jc w:val="center"/>
        </w:trPr>
        <w:tc>
          <w:tcPr>
            <w:tcW w:w="4765" w:type="dxa"/>
            <w:shd w:val="clear" w:color="000000" w:fill="FFFFFF"/>
            <w:noWrap/>
            <w:vAlign w:val="center"/>
            <w:hideMark/>
          </w:tcPr>
          <w:p w14:paraId="4B1FF083" w14:textId="292BB8F2" w:rsidR="006B3BC4" w:rsidRPr="00627385" w:rsidRDefault="006B3BC4" w:rsidP="00102C19">
            <w:pPr>
              <w:pStyle w:val="ExhibitText"/>
              <w:jc w:val="left"/>
              <w:rPr>
                <w:lang w:val="en-GB"/>
              </w:rPr>
            </w:pPr>
            <w:r w:rsidRPr="00627385">
              <w:rPr>
                <w:lang w:val="en-GB"/>
              </w:rPr>
              <w:t>Long</w:t>
            </w:r>
            <w:r w:rsidR="00AE4220" w:rsidRPr="00627385">
              <w:rPr>
                <w:lang w:val="en-GB"/>
              </w:rPr>
              <w:t>-</w:t>
            </w:r>
            <w:r w:rsidRPr="00627385">
              <w:rPr>
                <w:lang w:val="en-GB"/>
              </w:rPr>
              <w:t>term liabilities:</w:t>
            </w:r>
          </w:p>
        </w:tc>
        <w:tc>
          <w:tcPr>
            <w:tcW w:w="1350" w:type="dxa"/>
            <w:shd w:val="clear" w:color="000000" w:fill="FFFFFF"/>
            <w:noWrap/>
            <w:vAlign w:val="center"/>
            <w:hideMark/>
          </w:tcPr>
          <w:p w14:paraId="235AC069" w14:textId="77777777" w:rsidR="006B3BC4" w:rsidRPr="00627385" w:rsidRDefault="006B3BC4" w:rsidP="006B3BC4">
            <w:pPr>
              <w:pStyle w:val="ExhibitText"/>
              <w:jc w:val="right"/>
              <w:rPr>
                <w:lang w:val="en-GB"/>
              </w:rPr>
            </w:pPr>
          </w:p>
        </w:tc>
        <w:tc>
          <w:tcPr>
            <w:tcW w:w="1350" w:type="dxa"/>
            <w:shd w:val="clear" w:color="000000" w:fill="FFFFFF"/>
            <w:vAlign w:val="center"/>
          </w:tcPr>
          <w:p w14:paraId="6B94486B" w14:textId="77777777" w:rsidR="006B3BC4" w:rsidRPr="00627385" w:rsidRDefault="006B3BC4" w:rsidP="006B3BC4">
            <w:pPr>
              <w:pStyle w:val="ExhibitText"/>
              <w:jc w:val="right"/>
              <w:rPr>
                <w:lang w:val="en-GB"/>
              </w:rPr>
            </w:pPr>
          </w:p>
        </w:tc>
      </w:tr>
      <w:tr w:rsidR="006B3BC4" w:rsidRPr="00627385" w14:paraId="251BA171" w14:textId="77777777" w:rsidTr="00E5607F">
        <w:trPr>
          <w:jc w:val="center"/>
        </w:trPr>
        <w:tc>
          <w:tcPr>
            <w:tcW w:w="4765" w:type="dxa"/>
            <w:shd w:val="clear" w:color="000000" w:fill="FFFFFF"/>
            <w:noWrap/>
            <w:vAlign w:val="center"/>
            <w:hideMark/>
          </w:tcPr>
          <w:p w14:paraId="6C023D99" w14:textId="77777777" w:rsidR="006B3BC4" w:rsidRPr="00627385" w:rsidRDefault="006B3BC4" w:rsidP="006B3BC4">
            <w:pPr>
              <w:pStyle w:val="ExhibitText"/>
              <w:jc w:val="left"/>
              <w:rPr>
                <w:lang w:val="en-GB"/>
              </w:rPr>
            </w:pPr>
            <w:r w:rsidRPr="00627385">
              <w:rPr>
                <w:lang w:val="en-GB"/>
              </w:rPr>
              <w:tab/>
              <w:t>Loan payable</w:t>
            </w:r>
          </w:p>
        </w:tc>
        <w:tc>
          <w:tcPr>
            <w:tcW w:w="1350" w:type="dxa"/>
            <w:shd w:val="clear" w:color="000000" w:fill="FFFFFF"/>
            <w:noWrap/>
            <w:vAlign w:val="center"/>
            <w:hideMark/>
          </w:tcPr>
          <w:p w14:paraId="2D01F4B2" w14:textId="77777777" w:rsidR="006B3BC4" w:rsidRPr="00627385" w:rsidRDefault="006B3BC4" w:rsidP="006B3BC4">
            <w:pPr>
              <w:pStyle w:val="ExhibitText"/>
              <w:jc w:val="right"/>
              <w:rPr>
                <w:lang w:val="en-GB"/>
              </w:rPr>
            </w:pPr>
            <w:r w:rsidRPr="00627385">
              <w:rPr>
                <w:lang w:val="en-GB"/>
              </w:rPr>
              <w:t>0</w:t>
            </w:r>
          </w:p>
        </w:tc>
        <w:tc>
          <w:tcPr>
            <w:tcW w:w="1350" w:type="dxa"/>
            <w:shd w:val="clear" w:color="000000" w:fill="FFFFFF"/>
            <w:vAlign w:val="center"/>
          </w:tcPr>
          <w:p w14:paraId="3F150989" w14:textId="77777777" w:rsidR="006B3BC4" w:rsidRPr="00627385" w:rsidRDefault="006B3BC4" w:rsidP="006B3BC4">
            <w:pPr>
              <w:pStyle w:val="ExhibitText"/>
              <w:jc w:val="right"/>
              <w:rPr>
                <w:lang w:val="en-GB"/>
              </w:rPr>
            </w:pPr>
            <w:r w:rsidRPr="00627385">
              <w:rPr>
                <w:lang w:val="en-GB"/>
              </w:rPr>
              <w:t>63</w:t>
            </w:r>
          </w:p>
        </w:tc>
      </w:tr>
      <w:tr w:rsidR="006B3BC4" w:rsidRPr="00627385" w14:paraId="04160B9A" w14:textId="77777777" w:rsidTr="00E5607F">
        <w:trPr>
          <w:jc w:val="center"/>
        </w:trPr>
        <w:tc>
          <w:tcPr>
            <w:tcW w:w="4765" w:type="dxa"/>
            <w:shd w:val="clear" w:color="000000" w:fill="FFFFFF"/>
            <w:noWrap/>
            <w:vAlign w:val="center"/>
            <w:hideMark/>
          </w:tcPr>
          <w:p w14:paraId="300D2945" w14:textId="0D62F1C9" w:rsidR="006B3BC4" w:rsidRPr="00627385" w:rsidRDefault="006B3BC4" w:rsidP="00102C19">
            <w:pPr>
              <w:pStyle w:val="ExhibitText"/>
              <w:jc w:val="left"/>
              <w:rPr>
                <w:lang w:val="en-GB"/>
              </w:rPr>
            </w:pPr>
            <w:r w:rsidRPr="00627385">
              <w:rPr>
                <w:lang w:val="en-GB"/>
              </w:rPr>
              <w:t>Total long</w:t>
            </w:r>
            <w:r w:rsidR="00AE4220" w:rsidRPr="00627385">
              <w:rPr>
                <w:lang w:val="en-GB"/>
              </w:rPr>
              <w:t>-</w:t>
            </w:r>
            <w:r w:rsidRPr="00627385">
              <w:rPr>
                <w:lang w:val="en-GB"/>
              </w:rPr>
              <w:t>term liabilities</w:t>
            </w:r>
          </w:p>
        </w:tc>
        <w:tc>
          <w:tcPr>
            <w:tcW w:w="1350" w:type="dxa"/>
            <w:shd w:val="clear" w:color="000000" w:fill="FFFFFF"/>
            <w:noWrap/>
            <w:vAlign w:val="center"/>
            <w:hideMark/>
          </w:tcPr>
          <w:p w14:paraId="03F4FEE8" w14:textId="77777777" w:rsidR="006B3BC4" w:rsidRPr="00627385" w:rsidRDefault="006B3BC4" w:rsidP="006B3BC4">
            <w:pPr>
              <w:pStyle w:val="ExhibitText"/>
              <w:jc w:val="right"/>
              <w:rPr>
                <w:lang w:val="en-GB"/>
              </w:rPr>
            </w:pPr>
            <w:r w:rsidRPr="00627385">
              <w:rPr>
                <w:lang w:val="en-GB"/>
              </w:rPr>
              <w:t>0</w:t>
            </w:r>
          </w:p>
        </w:tc>
        <w:tc>
          <w:tcPr>
            <w:tcW w:w="1350" w:type="dxa"/>
            <w:shd w:val="clear" w:color="000000" w:fill="FFFFFF"/>
            <w:vAlign w:val="center"/>
          </w:tcPr>
          <w:p w14:paraId="68E3BEA7" w14:textId="77777777" w:rsidR="006B3BC4" w:rsidRPr="00627385" w:rsidRDefault="006B3BC4" w:rsidP="006B3BC4">
            <w:pPr>
              <w:pStyle w:val="ExhibitText"/>
              <w:jc w:val="right"/>
              <w:rPr>
                <w:lang w:val="en-GB"/>
              </w:rPr>
            </w:pPr>
            <w:r w:rsidRPr="00627385">
              <w:rPr>
                <w:lang w:val="en-GB"/>
              </w:rPr>
              <w:t>63</w:t>
            </w:r>
          </w:p>
        </w:tc>
      </w:tr>
      <w:tr w:rsidR="006B3BC4" w:rsidRPr="00627385" w14:paraId="58343C8F" w14:textId="77777777" w:rsidTr="00E5607F">
        <w:trPr>
          <w:jc w:val="center"/>
        </w:trPr>
        <w:tc>
          <w:tcPr>
            <w:tcW w:w="4765" w:type="dxa"/>
            <w:shd w:val="clear" w:color="000000" w:fill="FFFFFF"/>
            <w:noWrap/>
            <w:vAlign w:val="center"/>
            <w:hideMark/>
          </w:tcPr>
          <w:p w14:paraId="5CC7BAE1" w14:textId="77777777" w:rsidR="006B3BC4" w:rsidRPr="00627385" w:rsidRDefault="006B3BC4" w:rsidP="006B3BC4">
            <w:pPr>
              <w:pStyle w:val="ExhibitText"/>
              <w:jc w:val="left"/>
              <w:rPr>
                <w:lang w:val="en-GB"/>
              </w:rPr>
            </w:pPr>
            <w:r w:rsidRPr="00627385">
              <w:rPr>
                <w:lang w:val="en-GB"/>
              </w:rPr>
              <w:t>Total liabilities</w:t>
            </w:r>
          </w:p>
        </w:tc>
        <w:tc>
          <w:tcPr>
            <w:tcW w:w="1350" w:type="dxa"/>
            <w:shd w:val="clear" w:color="000000" w:fill="FFFFFF"/>
            <w:noWrap/>
            <w:vAlign w:val="center"/>
            <w:hideMark/>
          </w:tcPr>
          <w:p w14:paraId="755942D2" w14:textId="77777777" w:rsidR="006B3BC4" w:rsidRPr="00627385" w:rsidRDefault="006B3BC4" w:rsidP="006B3BC4">
            <w:pPr>
              <w:pStyle w:val="ExhibitText"/>
              <w:jc w:val="right"/>
              <w:rPr>
                <w:lang w:val="en-GB"/>
              </w:rPr>
            </w:pPr>
            <w:r w:rsidRPr="00627385">
              <w:rPr>
                <w:lang w:val="en-GB"/>
              </w:rPr>
              <w:t>4,114</w:t>
            </w:r>
          </w:p>
        </w:tc>
        <w:tc>
          <w:tcPr>
            <w:tcW w:w="1350" w:type="dxa"/>
            <w:shd w:val="clear" w:color="000000" w:fill="FFFFFF"/>
            <w:vAlign w:val="center"/>
          </w:tcPr>
          <w:p w14:paraId="7C656081" w14:textId="77777777" w:rsidR="006B3BC4" w:rsidRPr="00627385" w:rsidRDefault="006B3BC4" w:rsidP="006B3BC4">
            <w:pPr>
              <w:pStyle w:val="ExhibitText"/>
              <w:jc w:val="right"/>
              <w:rPr>
                <w:lang w:val="en-GB"/>
              </w:rPr>
            </w:pPr>
            <w:r w:rsidRPr="00627385">
              <w:rPr>
                <w:lang w:val="en-GB"/>
              </w:rPr>
              <w:t>6,864</w:t>
            </w:r>
          </w:p>
        </w:tc>
      </w:tr>
      <w:tr w:rsidR="006B3BC4" w:rsidRPr="00627385" w14:paraId="010DE9AF" w14:textId="77777777" w:rsidTr="00E5607F">
        <w:trPr>
          <w:jc w:val="center"/>
        </w:trPr>
        <w:tc>
          <w:tcPr>
            <w:tcW w:w="4765" w:type="dxa"/>
            <w:shd w:val="clear" w:color="000000" w:fill="FFFFFF"/>
            <w:noWrap/>
            <w:vAlign w:val="center"/>
            <w:hideMark/>
          </w:tcPr>
          <w:p w14:paraId="670411FD" w14:textId="77777777" w:rsidR="006B3BC4" w:rsidRPr="00627385" w:rsidRDefault="006B3BC4" w:rsidP="006B3BC4">
            <w:pPr>
              <w:pStyle w:val="ExhibitText"/>
              <w:jc w:val="left"/>
              <w:rPr>
                <w:lang w:val="en-GB"/>
              </w:rPr>
            </w:pPr>
            <w:r w:rsidRPr="00627385">
              <w:rPr>
                <w:lang w:val="en-GB"/>
              </w:rPr>
              <w:t>Shareholders’ equity:</w:t>
            </w:r>
          </w:p>
        </w:tc>
        <w:tc>
          <w:tcPr>
            <w:tcW w:w="1350" w:type="dxa"/>
            <w:shd w:val="clear" w:color="000000" w:fill="FFFFFF"/>
            <w:noWrap/>
            <w:vAlign w:val="center"/>
            <w:hideMark/>
          </w:tcPr>
          <w:p w14:paraId="22330129" w14:textId="77777777" w:rsidR="006B3BC4" w:rsidRPr="00627385" w:rsidRDefault="006B3BC4" w:rsidP="006B3BC4">
            <w:pPr>
              <w:pStyle w:val="ExhibitText"/>
              <w:jc w:val="right"/>
              <w:rPr>
                <w:lang w:val="en-GB"/>
              </w:rPr>
            </w:pPr>
          </w:p>
        </w:tc>
        <w:tc>
          <w:tcPr>
            <w:tcW w:w="1350" w:type="dxa"/>
            <w:shd w:val="clear" w:color="000000" w:fill="FFFFFF"/>
            <w:vAlign w:val="center"/>
          </w:tcPr>
          <w:p w14:paraId="19C04B1A" w14:textId="77777777" w:rsidR="006B3BC4" w:rsidRPr="00627385" w:rsidRDefault="006B3BC4" w:rsidP="006B3BC4">
            <w:pPr>
              <w:pStyle w:val="ExhibitText"/>
              <w:jc w:val="right"/>
              <w:rPr>
                <w:lang w:val="en-GB"/>
              </w:rPr>
            </w:pPr>
          </w:p>
        </w:tc>
      </w:tr>
      <w:tr w:rsidR="006B3BC4" w:rsidRPr="00627385" w14:paraId="46A228F8" w14:textId="77777777" w:rsidTr="00E5607F">
        <w:trPr>
          <w:jc w:val="center"/>
        </w:trPr>
        <w:tc>
          <w:tcPr>
            <w:tcW w:w="4765" w:type="dxa"/>
            <w:shd w:val="clear" w:color="000000" w:fill="FFFFFF"/>
            <w:noWrap/>
            <w:vAlign w:val="center"/>
            <w:hideMark/>
          </w:tcPr>
          <w:p w14:paraId="0DCA8BC2" w14:textId="77777777" w:rsidR="006B3BC4" w:rsidRPr="00627385" w:rsidRDefault="006B3BC4" w:rsidP="006B3BC4">
            <w:pPr>
              <w:pStyle w:val="ExhibitText"/>
              <w:jc w:val="left"/>
              <w:rPr>
                <w:lang w:val="en-GB"/>
              </w:rPr>
            </w:pPr>
            <w:r w:rsidRPr="00627385">
              <w:rPr>
                <w:lang w:val="en-GB"/>
              </w:rPr>
              <w:tab/>
              <w:t>Common stock</w:t>
            </w:r>
          </w:p>
        </w:tc>
        <w:tc>
          <w:tcPr>
            <w:tcW w:w="1350" w:type="dxa"/>
            <w:shd w:val="clear" w:color="000000" w:fill="FFFFFF"/>
            <w:noWrap/>
            <w:vAlign w:val="center"/>
            <w:hideMark/>
          </w:tcPr>
          <w:p w14:paraId="2E605943" w14:textId="77777777" w:rsidR="006B3BC4" w:rsidRPr="00627385" w:rsidRDefault="006B3BC4" w:rsidP="006B3BC4">
            <w:pPr>
              <w:pStyle w:val="ExhibitText"/>
              <w:jc w:val="right"/>
              <w:rPr>
                <w:lang w:val="en-GB"/>
              </w:rPr>
            </w:pPr>
            <w:r w:rsidRPr="00627385">
              <w:rPr>
                <w:lang w:val="en-GB"/>
              </w:rPr>
              <w:t>1,233</w:t>
            </w:r>
          </w:p>
        </w:tc>
        <w:tc>
          <w:tcPr>
            <w:tcW w:w="1350" w:type="dxa"/>
            <w:shd w:val="clear" w:color="000000" w:fill="FFFFFF"/>
            <w:vAlign w:val="center"/>
          </w:tcPr>
          <w:p w14:paraId="414D1EC4" w14:textId="77777777" w:rsidR="006B3BC4" w:rsidRPr="00627385" w:rsidRDefault="006B3BC4" w:rsidP="006B3BC4">
            <w:pPr>
              <w:pStyle w:val="ExhibitText"/>
              <w:jc w:val="right"/>
              <w:rPr>
                <w:lang w:val="en-GB"/>
              </w:rPr>
            </w:pPr>
            <w:r w:rsidRPr="00627385">
              <w:rPr>
                <w:lang w:val="en-GB"/>
              </w:rPr>
              <w:t>963</w:t>
            </w:r>
          </w:p>
        </w:tc>
      </w:tr>
      <w:tr w:rsidR="006B3BC4" w:rsidRPr="00627385" w14:paraId="20A6641F" w14:textId="77777777" w:rsidTr="00E5607F">
        <w:trPr>
          <w:jc w:val="center"/>
        </w:trPr>
        <w:tc>
          <w:tcPr>
            <w:tcW w:w="4765" w:type="dxa"/>
            <w:shd w:val="clear" w:color="000000" w:fill="FFFFFF"/>
            <w:noWrap/>
            <w:vAlign w:val="center"/>
            <w:hideMark/>
          </w:tcPr>
          <w:p w14:paraId="560A997E" w14:textId="77777777" w:rsidR="006B3BC4" w:rsidRPr="00627385" w:rsidRDefault="006B3BC4" w:rsidP="006B3BC4">
            <w:pPr>
              <w:pStyle w:val="ExhibitText"/>
              <w:jc w:val="left"/>
              <w:rPr>
                <w:lang w:val="en-GB"/>
              </w:rPr>
            </w:pPr>
            <w:r w:rsidRPr="00627385">
              <w:rPr>
                <w:lang w:val="en-GB"/>
              </w:rPr>
              <w:tab/>
              <w:t>Retained earnings</w:t>
            </w:r>
          </w:p>
        </w:tc>
        <w:tc>
          <w:tcPr>
            <w:tcW w:w="1350" w:type="dxa"/>
            <w:shd w:val="clear" w:color="000000" w:fill="FFFFFF"/>
            <w:noWrap/>
            <w:vAlign w:val="center"/>
            <w:hideMark/>
          </w:tcPr>
          <w:p w14:paraId="6FAF6A16" w14:textId="77777777" w:rsidR="006B3BC4" w:rsidRPr="00627385" w:rsidRDefault="006B3BC4" w:rsidP="006B3BC4">
            <w:pPr>
              <w:pStyle w:val="ExhibitText"/>
              <w:jc w:val="right"/>
              <w:rPr>
                <w:lang w:val="en-GB"/>
              </w:rPr>
            </w:pPr>
            <w:r w:rsidRPr="00627385">
              <w:rPr>
                <w:lang w:val="en-GB"/>
              </w:rPr>
              <w:t>39,543</w:t>
            </w:r>
          </w:p>
        </w:tc>
        <w:tc>
          <w:tcPr>
            <w:tcW w:w="1350" w:type="dxa"/>
            <w:shd w:val="clear" w:color="000000" w:fill="FFFFFF"/>
            <w:vAlign w:val="center"/>
          </w:tcPr>
          <w:p w14:paraId="3785BCBD" w14:textId="77777777" w:rsidR="006B3BC4" w:rsidRPr="00627385" w:rsidRDefault="006B3BC4" w:rsidP="006B3BC4">
            <w:pPr>
              <w:pStyle w:val="ExhibitText"/>
              <w:jc w:val="right"/>
              <w:rPr>
                <w:lang w:val="en-GB"/>
              </w:rPr>
            </w:pPr>
            <w:r w:rsidRPr="00627385">
              <w:rPr>
                <w:lang w:val="en-GB"/>
              </w:rPr>
              <w:t>39,839</w:t>
            </w:r>
          </w:p>
        </w:tc>
      </w:tr>
      <w:tr w:rsidR="006B3BC4" w:rsidRPr="00627385" w14:paraId="07D35AD6" w14:textId="77777777" w:rsidTr="00E5607F">
        <w:trPr>
          <w:jc w:val="center"/>
        </w:trPr>
        <w:tc>
          <w:tcPr>
            <w:tcW w:w="4765" w:type="dxa"/>
            <w:shd w:val="clear" w:color="000000" w:fill="FFFFFF"/>
            <w:noWrap/>
            <w:vAlign w:val="center"/>
            <w:hideMark/>
          </w:tcPr>
          <w:p w14:paraId="2A5BBB5A" w14:textId="77777777" w:rsidR="006B3BC4" w:rsidRPr="00627385" w:rsidRDefault="006B3BC4" w:rsidP="006B3BC4">
            <w:pPr>
              <w:pStyle w:val="ExhibitText"/>
              <w:jc w:val="left"/>
              <w:rPr>
                <w:lang w:val="en-GB"/>
              </w:rPr>
            </w:pPr>
            <w:r w:rsidRPr="00627385">
              <w:rPr>
                <w:lang w:val="en-GB"/>
              </w:rPr>
              <w:t>Total shareholders’ equity</w:t>
            </w:r>
          </w:p>
        </w:tc>
        <w:tc>
          <w:tcPr>
            <w:tcW w:w="1350" w:type="dxa"/>
            <w:shd w:val="clear" w:color="000000" w:fill="FFFFFF"/>
            <w:noWrap/>
            <w:vAlign w:val="center"/>
            <w:hideMark/>
          </w:tcPr>
          <w:p w14:paraId="1C2F271E" w14:textId="77777777" w:rsidR="006B3BC4" w:rsidRPr="00627385" w:rsidRDefault="006B3BC4" w:rsidP="006B3BC4">
            <w:pPr>
              <w:pStyle w:val="ExhibitText"/>
              <w:jc w:val="right"/>
              <w:rPr>
                <w:lang w:val="en-GB"/>
              </w:rPr>
            </w:pPr>
            <w:r w:rsidRPr="00627385">
              <w:rPr>
                <w:lang w:val="en-GB"/>
              </w:rPr>
              <w:t>40,776</w:t>
            </w:r>
          </w:p>
        </w:tc>
        <w:tc>
          <w:tcPr>
            <w:tcW w:w="1350" w:type="dxa"/>
            <w:shd w:val="clear" w:color="000000" w:fill="FFFFFF"/>
            <w:vAlign w:val="center"/>
          </w:tcPr>
          <w:p w14:paraId="57FC5EF2" w14:textId="77777777" w:rsidR="006B3BC4" w:rsidRPr="00627385" w:rsidRDefault="006B3BC4" w:rsidP="006B3BC4">
            <w:pPr>
              <w:pStyle w:val="ExhibitText"/>
              <w:jc w:val="right"/>
              <w:rPr>
                <w:lang w:val="en-GB"/>
              </w:rPr>
            </w:pPr>
            <w:r w:rsidRPr="00627385">
              <w:rPr>
                <w:lang w:val="en-GB"/>
              </w:rPr>
              <w:t>40,802</w:t>
            </w:r>
          </w:p>
        </w:tc>
      </w:tr>
      <w:tr w:rsidR="006B3BC4" w:rsidRPr="00627385" w14:paraId="6E3463EA" w14:textId="77777777" w:rsidTr="00E5607F">
        <w:trPr>
          <w:jc w:val="center"/>
        </w:trPr>
        <w:tc>
          <w:tcPr>
            <w:tcW w:w="4765" w:type="dxa"/>
            <w:shd w:val="clear" w:color="000000" w:fill="FFFFFF"/>
            <w:noWrap/>
            <w:vAlign w:val="center"/>
            <w:hideMark/>
          </w:tcPr>
          <w:p w14:paraId="52506CF4" w14:textId="77777777" w:rsidR="006B3BC4" w:rsidRPr="00627385" w:rsidRDefault="006B3BC4" w:rsidP="006B3BC4">
            <w:pPr>
              <w:pStyle w:val="ExhibitText"/>
              <w:jc w:val="left"/>
              <w:rPr>
                <w:lang w:val="en-GB"/>
              </w:rPr>
            </w:pPr>
            <w:r w:rsidRPr="00627385">
              <w:rPr>
                <w:lang w:val="en-GB"/>
              </w:rPr>
              <w:t>Total liabilities &amp; shareholders’ equity</w:t>
            </w:r>
          </w:p>
        </w:tc>
        <w:tc>
          <w:tcPr>
            <w:tcW w:w="1350" w:type="dxa"/>
            <w:shd w:val="clear" w:color="000000" w:fill="FFFFFF"/>
            <w:noWrap/>
            <w:vAlign w:val="center"/>
            <w:hideMark/>
          </w:tcPr>
          <w:p w14:paraId="7270A2BB" w14:textId="480FC3CF" w:rsidR="006B3BC4" w:rsidRPr="00627385" w:rsidRDefault="006B3BC4" w:rsidP="006B3BC4">
            <w:pPr>
              <w:pStyle w:val="ExhibitText"/>
              <w:jc w:val="right"/>
              <w:rPr>
                <w:lang w:val="en-GB"/>
              </w:rPr>
            </w:pPr>
            <w:r w:rsidRPr="00627385">
              <w:rPr>
                <w:lang w:val="en-GB"/>
              </w:rPr>
              <w:t>44,890</w:t>
            </w:r>
          </w:p>
        </w:tc>
        <w:tc>
          <w:tcPr>
            <w:tcW w:w="1350" w:type="dxa"/>
            <w:shd w:val="clear" w:color="000000" w:fill="FFFFFF"/>
            <w:vAlign w:val="center"/>
          </w:tcPr>
          <w:p w14:paraId="661FD4D2" w14:textId="1FD7A927" w:rsidR="006B3BC4" w:rsidRPr="00627385" w:rsidRDefault="006B3BC4" w:rsidP="006B3BC4">
            <w:pPr>
              <w:pStyle w:val="ExhibitText"/>
              <w:jc w:val="right"/>
              <w:rPr>
                <w:lang w:val="en-GB"/>
              </w:rPr>
            </w:pPr>
            <w:r w:rsidRPr="00627385">
              <w:rPr>
                <w:lang w:val="en-GB"/>
              </w:rPr>
              <w:t>47,666</w:t>
            </w:r>
          </w:p>
        </w:tc>
      </w:tr>
    </w:tbl>
    <w:p w14:paraId="6AE9E9DD" w14:textId="77777777" w:rsidR="006B3BC4" w:rsidRPr="00627385" w:rsidRDefault="006B3BC4" w:rsidP="006B3BC4">
      <w:pPr>
        <w:rPr>
          <w:sz w:val="22"/>
          <w:szCs w:val="22"/>
          <w:lang w:val="en-GB"/>
        </w:rPr>
      </w:pPr>
    </w:p>
    <w:p w14:paraId="2ABDA5D1" w14:textId="77777777" w:rsidR="00465348" w:rsidRPr="00627385" w:rsidRDefault="006B3BC4" w:rsidP="006B3BC4">
      <w:pPr>
        <w:rPr>
          <w:rFonts w:ascii="Arial" w:hAnsi="Arial" w:cs="Arial"/>
          <w:sz w:val="17"/>
          <w:szCs w:val="17"/>
          <w:lang w:val="en-GB"/>
        </w:rPr>
      </w:pPr>
      <w:r w:rsidRPr="00627385">
        <w:rPr>
          <w:rFonts w:ascii="Arial" w:hAnsi="Arial" w:cs="Arial"/>
          <w:sz w:val="17"/>
          <w:szCs w:val="17"/>
          <w:lang w:val="en-GB"/>
        </w:rPr>
        <w:t>Source: Company files.</w:t>
      </w:r>
    </w:p>
    <w:sectPr w:rsidR="00465348" w:rsidRPr="00627385" w:rsidSect="00751E0B">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33B53C" w16cid:durableId="1EE4ABF3"/>
  <w16cid:commentId w16cid:paraId="40564C82" w16cid:durableId="1EE46CF3"/>
  <w16cid:commentId w16cid:paraId="0306D243" w16cid:durableId="1EE47FE4"/>
  <w16cid:commentId w16cid:paraId="745BCFDD" w16cid:durableId="1EE4832B"/>
  <w16cid:commentId w16cid:paraId="51A34A2D" w16cid:durableId="1EDF6BAE"/>
  <w16cid:commentId w16cid:paraId="02360BF1" w16cid:durableId="1EE4A608"/>
  <w16cid:commentId w16cid:paraId="286FF1D8" w16cid:durableId="1EE48985"/>
  <w16cid:commentId w16cid:paraId="3C13104C" w16cid:durableId="1EE49349"/>
  <w16cid:commentId w16cid:paraId="2FD2CD41" w16cid:durableId="1EE4937B"/>
  <w16cid:commentId w16cid:paraId="669FAB87" w16cid:durableId="1EE49386"/>
  <w16cid:commentId w16cid:paraId="2939CB7A" w16cid:durableId="1EE49393"/>
  <w16cid:commentId w16cid:paraId="1B567997" w16cid:durableId="1EE493A0"/>
  <w16cid:commentId w16cid:paraId="6F9E5AB8" w16cid:durableId="1EDF6BB0"/>
  <w16cid:commentId w16cid:paraId="236303D1" w16cid:durableId="1EE4947F"/>
  <w16cid:commentId w16cid:paraId="4906AF82" w16cid:durableId="1EE496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7C369" w14:textId="77777777" w:rsidR="00813D0A" w:rsidRDefault="00813D0A" w:rsidP="00D75295">
      <w:r>
        <w:separator/>
      </w:r>
    </w:p>
  </w:endnote>
  <w:endnote w:type="continuationSeparator" w:id="0">
    <w:p w14:paraId="4C142428" w14:textId="77777777" w:rsidR="00813D0A" w:rsidRDefault="00813D0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FD640" w14:textId="77777777" w:rsidR="00813D0A" w:rsidRDefault="00813D0A" w:rsidP="00D75295">
      <w:r>
        <w:separator/>
      </w:r>
    </w:p>
  </w:footnote>
  <w:footnote w:type="continuationSeparator" w:id="0">
    <w:p w14:paraId="082288FE" w14:textId="77777777" w:rsidR="00813D0A" w:rsidRDefault="00813D0A" w:rsidP="00D75295">
      <w:r>
        <w:continuationSeparator/>
      </w:r>
    </w:p>
  </w:footnote>
  <w:footnote w:id="1">
    <w:p w14:paraId="4F42B002" w14:textId="13852D85" w:rsidR="008B73DF" w:rsidRPr="00121ABF" w:rsidRDefault="008B73DF" w:rsidP="00121ABF">
      <w:pPr>
        <w:pStyle w:val="Footnote"/>
        <w:rPr>
          <w:lang w:val="en-CA"/>
        </w:rPr>
      </w:pPr>
      <w:r>
        <w:rPr>
          <w:rStyle w:val="FootnoteReference"/>
        </w:rPr>
        <w:footnoteRef/>
      </w:r>
      <w:r>
        <w:t xml:space="preserve"> </w:t>
      </w:r>
      <w:r>
        <w:rPr>
          <w:lang w:val="en-CA"/>
        </w:rPr>
        <w:t>All dollar amounts are in Canadian dollars unless specified otherwise.</w:t>
      </w:r>
    </w:p>
  </w:footnote>
  <w:footnote w:id="2">
    <w:p w14:paraId="4C671631" w14:textId="03BEB789" w:rsidR="008B73DF" w:rsidRDefault="008B73DF" w:rsidP="006B3BC4">
      <w:pPr>
        <w:pStyle w:val="Footnote"/>
      </w:pPr>
      <w:r>
        <w:rPr>
          <w:rStyle w:val="FootnoteReference"/>
        </w:rPr>
        <w:footnoteRef/>
      </w:r>
      <w:r>
        <w:t xml:space="preserve"> Statistics Canada, “Gross Domestic Product </w:t>
      </w:r>
      <w:r w:rsidR="004A78CF">
        <w:t xml:space="preserve">(GDP) </w:t>
      </w:r>
      <w:r>
        <w:t>at Basic Prices, by Industry</w:t>
      </w:r>
      <w:r w:rsidR="004A78CF">
        <w:t xml:space="preserve">, </w:t>
      </w:r>
      <w:r>
        <w:t>Monthl</w:t>
      </w:r>
      <w:r w:rsidR="004A78CF">
        <w:t>y, Growth Rates (x 1,000,000)</w:t>
      </w:r>
      <w:r>
        <w:t xml:space="preserve">,” Government of Canada, accessed January 16, 2017, </w:t>
      </w:r>
      <w:hyperlink r:id="rId1" w:history="1">
        <w:r w:rsidRPr="00121ABF">
          <w:t>www.statcan.gc.ca/tables-tableaux/sum-som/l01/cst01/gdps04a-eng.htm</w:t>
        </w:r>
      </w:hyperlink>
      <w:r>
        <w:t>; Statistics Canada, “Implicit Chain Price Indexes, Gross Domestic Product,” Government of Canada, accessed January 16, 2017, www.statcan.gc.ca/tables-tableaux/sum-som/l01/cst01/econ06-eng.htm.</w:t>
      </w:r>
    </w:p>
  </w:footnote>
  <w:footnote w:id="3">
    <w:p w14:paraId="723D4044" w14:textId="5461359F" w:rsidR="008B73DF" w:rsidRDefault="008B73DF" w:rsidP="006B3BC4">
      <w:pPr>
        <w:pStyle w:val="Footnote"/>
      </w:pPr>
      <w:r>
        <w:rPr>
          <w:rStyle w:val="FootnoteReference"/>
        </w:rPr>
        <w:footnoteRef/>
      </w:r>
      <w:r>
        <w:t xml:space="preserve"> The average mine in Canada had a lifespan of between 15 and 20 years.</w:t>
      </w:r>
    </w:p>
  </w:footnote>
  <w:footnote w:id="4">
    <w:p w14:paraId="32D7636B" w14:textId="5DC6B49E" w:rsidR="008B73DF" w:rsidRPr="006A6686" w:rsidRDefault="008B73DF" w:rsidP="006B3BC4">
      <w:pPr>
        <w:pStyle w:val="Footnote"/>
        <w:rPr>
          <w:spacing w:val="-4"/>
          <w:kern w:val="17"/>
        </w:rPr>
      </w:pPr>
      <w:r w:rsidRPr="006A6686">
        <w:rPr>
          <w:rStyle w:val="FootnoteReference"/>
          <w:spacing w:val="-4"/>
          <w:kern w:val="17"/>
        </w:rPr>
        <w:footnoteRef/>
      </w:r>
      <w:r w:rsidRPr="006A6686">
        <w:rPr>
          <w:spacing w:val="-4"/>
          <w:kern w:val="17"/>
        </w:rPr>
        <w:t xml:space="preserve"> IBISWorld, “Iron Ore Mining – Canada Market Research Report,” Canada Industry Report 21221CA, accessed May 15, 2016.</w:t>
      </w:r>
    </w:p>
  </w:footnote>
  <w:footnote w:id="5">
    <w:p w14:paraId="0C0DDD4F" w14:textId="5E1D8E8B" w:rsidR="008B73DF" w:rsidRPr="006A6686" w:rsidRDefault="008B73DF" w:rsidP="006B3BC4">
      <w:pPr>
        <w:pStyle w:val="Footnote"/>
        <w:rPr>
          <w:spacing w:val="-6"/>
          <w:kern w:val="17"/>
        </w:rPr>
      </w:pPr>
      <w:r w:rsidRPr="006A6686">
        <w:rPr>
          <w:rStyle w:val="FootnoteReference"/>
          <w:spacing w:val="-6"/>
          <w:kern w:val="17"/>
        </w:rPr>
        <w:footnoteRef/>
      </w:r>
      <w:r w:rsidRPr="006A6686">
        <w:rPr>
          <w:spacing w:val="-6"/>
          <w:kern w:val="17"/>
        </w:rPr>
        <w:t> “XE Currency Charts: USD to CAD,” XE, accessed January 17, 2017, www.xe.com/currencycharts/?from=USD&amp;to=CAD&amp;view=10Y.</w:t>
      </w:r>
    </w:p>
  </w:footnote>
  <w:footnote w:id="6">
    <w:p w14:paraId="0AEFE696" w14:textId="60230FE8" w:rsidR="008B73DF" w:rsidRDefault="008B73DF" w:rsidP="006B3BC4">
      <w:pPr>
        <w:pStyle w:val="Footnote"/>
      </w:pPr>
      <w:r>
        <w:rPr>
          <w:rStyle w:val="FootnoteReference"/>
        </w:rPr>
        <w:footnoteRef/>
      </w:r>
      <w:r>
        <w:t xml:space="preserve"> “Distribution of Global Iron Ore Imports in 2016, by Major Country,” Statista, accessed January 17, 2017, www.statista.com/statistics/270008/top-importing-countries-of-iron-ore/.</w:t>
      </w:r>
    </w:p>
  </w:footnote>
  <w:footnote w:id="7">
    <w:p w14:paraId="306DB586" w14:textId="1D1FFF97" w:rsidR="008B73DF" w:rsidRDefault="008B73DF" w:rsidP="006B3BC4">
      <w:pPr>
        <w:pStyle w:val="Footnote"/>
      </w:pPr>
      <w:r>
        <w:rPr>
          <w:rStyle w:val="FootnoteReference"/>
        </w:rPr>
        <w:footnoteRef/>
      </w:r>
      <w:r>
        <w:t> “GDP Growth (Annual %),” The World Bank, 2016, accessed January 17, 2017, http://data.worldbank.org/indicator/NY.GDP.MKTP.KD.ZG.</w:t>
      </w:r>
    </w:p>
  </w:footnote>
  <w:footnote w:id="8">
    <w:p w14:paraId="7BD9B5E2" w14:textId="0D76DCAD" w:rsidR="008B73DF" w:rsidRDefault="008B73DF" w:rsidP="006B3BC4">
      <w:pPr>
        <w:pStyle w:val="Footnote"/>
      </w:pPr>
      <w:r>
        <w:rPr>
          <w:rStyle w:val="FootnoteReference"/>
        </w:rPr>
        <w:footnoteRef/>
      </w:r>
      <w:r>
        <w:t xml:space="preserve"> Ibid; this included gold, silver, copper, nickel, lead, and zinc mining.</w:t>
      </w:r>
    </w:p>
  </w:footnote>
  <w:footnote w:id="9">
    <w:p w14:paraId="6A23A7FE" w14:textId="2B0C0BFC" w:rsidR="008B73DF" w:rsidRPr="006A6686" w:rsidRDefault="008B73DF" w:rsidP="006B3BC4">
      <w:pPr>
        <w:pStyle w:val="Footnote"/>
        <w:rPr>
          <w:spacing w:val="-6"/>
          <w:kern w:val="17"/>
        </w:rPr>
      </w:pPr>
      <w:r w:rsidRPr="006A6686">
        <w:rPr>
          <w:rStyle w:val="FootnoteReference"/>
          <w:spacing w:val="-6"/>
          <w:kern w:val="17"/>
        </w:rPr>
        <w:footnoteRef/>
      </w:r>
      <w:r w:rsidRPr="006A6686">
        <w:rPr>
          <w:spacing w:val="-6"/>
          <w:kern w:val="17"/>
        </w:rPr>
        <w:t xml:space="preserve"> IBISWorld, “Gold &amp; Silver Ore Mining – Canada Market Research Report,” Canada Industry Report 21222CA, accessed May 15, 2016.</w:t>
      </w:r>
    </w:p>
  </w:footnote>
  <w:footnote w:id="10">
    <w:p w14:paraId="74F0B614" w14:textId="53220D4A" w:rsidR="008B73DF" w:rsidRDefault="008B73DF" w:rsidP="006B3BC4">
      <w:pPr>
        <w:pStyle w:val="Footnote"/>
      </w:pPr>
      <w:r>
        <w:rPr>
          <w:rStyle w:val="FootnoteReference"/>
        </w:rPr>
        <w:footnoteRef/>
      </w:r>
      <w:r>
        <w:t> “S&amp;P GSCI Precious Metals,” S&amp;P Dow Jones Indices, accessed May 15, 2016, http://ca.spindices.com/indices/commodities/sp-gsci-precious-metals.</w:t>
      </w:r>
    </w:p>
  </w:footnote>
  <w:footnote w:id="11">
    <w:p w14:paraId="5186124E" w14:textId="08347C52" w:rsidR="008B73DF" w:rsidRDefault="008B73DF" w:rsidP="006B3BC4">
      <w:pPr>
        <w:pStyle w:val="Footnote"/>
      </w:pPr>
      <w:r>
        <w:rPr>
          <w:rStyle w:val="FootnoteReference"/>
        </w:rPr>
        <w:footnoteRef/>
      </w:r>
      <w:r>
        <w:t xml:space="preserve"> IBISWorld, “Mineral &amp; Phosphate Mining – Canada Market Research Report,” Canada Industry Report 21239CA, accessed May 25, 2016.</w:t>
      </w:r>
    </w:p>
  </w:footnote>
  <w:footnote w:id="12">
    <w:p w14:paraId="1F7909B0" w14:textId="244FF208" w:rsidR="008B73DF" w:rsidRDefault="008B73DF" w:rsidP="006B3BC4">
      <w:pPr>
        <w:pStyle w:val="Footnote"/>
      </w:pPr>
      <w:r>
        <w:rPr>
          <w:rStyle w:val="FootnoteReference"/>
        </w:rPr>
        <w:footnoteRef/>
      </w:r>
      <w:r>
        <w:t> “Crude Oil: WTI (NYMEX) Price,” </w:t>
      </w:r>
      <w:proofErr w:type="gramStart"/>
      <w:r>
        <w:t>Nasdaq</w:t>
      </w:r>
      <w:proofErr w:type="gramEnd"/>
      <w:r>
        <w:t>, accessed January 1, 2017, www.nasdaq.com/markets/crude-oil.aspx?timeframe=3y.</w:t>
      </w:r>
    </w:p>
  </w:footnote>
  <w:footnote w:id="13">
    <w:p w14:paraId="01756621" w14:textId="4693B6EB" w:rsidR="008B73DF" w:rsidRDefault="008B73DF" w:rsidP="006B3BC4">
      <w:pPr>
        <w:pStyle w:val="Footnote"/>
      </w:pPr>
      <w:r>
        <w:rPr>
          <w:rStyle w:val="FootnoteReference"/>
        </w:rPr>
        <w:footnoteRef/>
      </w:r>
      <w:r>
        <w:t xml:space="preserve"> Reuters, “At $22, Three Quarters of </w:t>
      </w:r>
      <w:proofErr w:type="spellStart"/>
      <w:r>
        <w:t>Oilsands</w:t>
      </w:r>
      <w:proofErr w:type="spellEnd"/>
      <w:r>
        <w:t xml:space="preserve"> Production </w:t>
      </w:r>
      <w:r w:rsidR="004A78CF">
        <w:t>I</w:t>
      </w:r>
      <w:r>
        <w:t xml:space="preserve">s Underwater and Losing up to $3 on Every Barrel,” </w:t>
      </w:r>
      <w:r w:rsidRPr="00121ABF">
        <w:rPr>
          <w:i/>
        </w:rPr>
        <w:t>Financial Post</w:t>
      </w:r>
      <w:r>
        <w:t>, December 17, 2015, accessed January 17, 2017, http://business.financialpost.com/news/energy/at-22-three-quarters-of-oilsands-producers-are-underwater-and-losing-3-on-every-barrel?__lsa=5ae9-53ea.</w:t>
      </w:r>
    </w:p>
  </w:footnote>
  <w:footnote w:id="14">
    <w:p w14:paraId="0FDBB484" w14:textId="34B8FE91" w:rsidR="008B73DF" w:rsidRDefault="008B73DF" w:rsidP="006B3BC4">
      <w:pPr>
        <w:pStyle w:val="Footnote"/>
      </w:pPr>
      <w:r>
        <w:rPr>
          <w:rStyle w:val="FootnoteReference"/>
        </w:rPr>
        <w:footnoteRef/>
      </w:r>
      <w:r>
        <w:t xml:space="preserve"> IBISWorld, “Oil Drilling &amp; Gas Extraction – Canada Market Research Report,” Canada Industry Report 21111CA, accessed May 19, 2016.</w:t>
      </w:r>
    </w:p>
  </w:footnote>
  <w:footnote w:id="15">
    <w:p w14:paraId="7AA8EC17" w14:textId="312A1E24" w:rsidR="008B73DF" w:rsidRDefault="008B73DF" w:rsidP="006B3BC4">
      <w:pPr>
        <w:pStyle w:val="Footnote"/>
      </w:pPr>
      <w:r>
        <w:rPr>
          <w:rStyle w:val="FootnoteReference"/>
        </w:rPr>
        <w:footnoteRef/>
      </w:r>
      <w:r>
        <w:t xml:space="preserve"> An RFP (Request for Proposal) was a document that solicited for the procurement of a product or service typically through a bidding process.</w:t>
      </w:r>
    </w:p>
  </w:footnote>
  <w:footnote w:id="16">
    <w:p w14:paraId="644C8057" w14:textId="25F8A379" w:rsidR="008B73DF" w:rsidRPr="00121ABF" w:rsidRDefault="008B73DF" w:rsidP="00121ABF">
      <w:pPr>
        <w:pStyle w:val="Footnote"/>
        <w:rPr>
          <w:lang w:val="en-CA"/>
        </w:rPr>
      </w:pPr>
      <w:r>
        <w:rPr>
          <w:rStyle w:val="FootnoteReference"/>
        </w:rPr>
        <w:footnoteRef/>
      </w:r>
      <w:r>
        <w:t xml:space="preserve"> </w:t>
      </w:r>
      <w:r w:rsidRPr="006B3BC4">
        <w:t>£</w:t>
      </w:r>
      <w:r>
        <w:t xml:space="preserve"> = GBP = British pound</w:t>
      </w:r>
      <w:r w:rsidR="00B36049">
        <w:t>.</w:t>
      </w:r>
    </w:p>
  </w:footnote>
  <w:footnote w:id="17">
    <w:p w14:paraId="3D762647" w14:textId="650CD4A7" w:rsidR="008B73DF" w:rsidRDefault="008B73DF" w:rsidP="00A22AB1">
      <w:pPr>
        <w:pStyle w:val="Footnote"/>
        <w:jc w:val="left"/>
      </w:pPr>
      <w:r>
        <w:rPr>
          <w:rStyle w:val="FootnoteReference"/>
        </w:rPr>
        <w:footnoteRef/>
      </w:r>
      <w:r>
        <w:t> Compass Group PLC, </w:t>
      </w:r>
      <w:r>
        <w:rPr>
          <w:i/>
        </w:rPr>
        <w:t>Annual </w:t>
      </w:r>
      <w:r w:rsidRPr="00121ABF">
        <w:rPr>
          <w:i/>
        </w:rPr>
        <w:t>Report</w:t>
      </w:r>
      <w:r>
        <w:rPr>
          <w:i/>
        </w:rPr>
        <w:t> </w:t>
      </w:r>
      <w:r w:rsidRPr="00121ABF">
        <w:rPr>
          <w:i/>
        </w:rPr>
        <w:t>2015</w:t>
      </w:r>
      <w:r>
        <w:t>, accessed May 17, 2016</w:t>
      </w:r>
      <w:r w:rsidR="00B36049">
        <w:t>,</w:t>
      </w:r>
      <w:r w:rsidR="00B36049" w:rsidRPr="00B36049">
        <w:t xml:space="preserve"> www.compass-group.com/en/investors/annual-</w:t>
      </w:r>
      <w:r w:rsidR="00B36049">
        <w:t xml:space="preserve">reports.category1.year2015.html </w:t>
      </w:r>
    </w:p>
  </w:footnote>
  <w:footnote w:id="18">
    <w:p w14:paraId="78A75405" w14:textId="1105A9A9" w:rsidR="008B73DF" w:rsidRDefault="008B73DF" w:rsidP="006B3BC4">
      <w:pPr>
        <w:pStyle w:val="Footnote"/>
      </w:pPr>
      <w:r>
        <w:rPr>
          <w:rStyle w:val="FootnoteReference"/>
        </w:rPr>
        <w:footnoteRef/>
      </w:r>
      <w:r>
        <w:t> “We Are Compass Group Canada,” Compass Group, accessed January 17, 2017, www.compass-canada.com/Pages/Content.aspx?ItemID=52.</w:t>
      </w:r>
    </w:p>
  </w:footnote>
  <w:footnote w:id="19">
    <w:p w14:paraId="464F490A" w14:textId="1193A578" w:rsidR="008B73DF" w:rsidRDefault="008B73DF" w:rsidP="006B3BC4">
      <w:pPr>
        <w:pStyle w:val="Footnote"/>
      </w:pPr>
      <w:r>
        <w:rPr>
          <w:rStyle w:val="FootnoteReference"/>
        </w:rPr>
        <w:footnoteRef/>
      </w:r>
      <w:r>
        <w:t xml:space="preserve"> BBC, “Horsemeat Scandal: Supermarkets ‘Share Anger and Outrage,’” February 15, 2013, accessed January 17, 2017, www.bbc.com/news/uk-21468699.</w:t>
      </w:r>
    </w:p>
  </w:footnote>
  <w:footnote w:id="20">
    <w:p w14:paraId="6AB1DCF9" w14:textId="271D0130" w:rsidR="008B73DF" w:rsidRDefault="008B73DF" w:rsidP="006B3BC4">
      <w:pPr>
        <w:pStyle w:val="Footnote"/>
      </w:pPr>
      <w:r>
        <w:rPr>
          <w:rStyle w:val="FootnoteReference"/>
        </w:rPr>
        <w:footnoteRef/>
      </w:r>
      <w:r w:rsidR="00627385">
        <w:t> </w:t>
      </w:r>
      <w:r>
        <w:t>Aramark</w:t>
      </w:r>
      <w:r w:rsidR="00627385">
        <w:t>, </w:t>
      </w:r>
      <w:r w:rsidR="00627385">
        <w:rPr>
          <w:i/>
        </w:rPr>
        <w:t>Annual </w:t>
      </w:r>
      <w:r w:rsidR="00F42EE0" w:rsidRPr="0004162A">
        <w:rPr>
          <w:i/>
        </w:rPr>
        <w:t>Report</w:t>
      </w:r>
      <w:r w:rsidR="00627385">
        <w:rPr>
          <w:i/>
        </w:rPr>
        <w:t> </w:t>
      </w:r>
      <w:r w:rsidRPr="0004162A">
        <w:rPr>
          <w:i/>
        </w:rPr>
        <w:t>2015</w:t>
      </w:r>
      <w:r w:rsidR="00627385">
        <w:t>, accessed May 17, </w:t>
      </w:r>
      <w:r>
        <w:t>2016.</w:t>
      </w:r>
      <w:r w:rsidR="00627385">
        <w:t> </w:t>
      </w:r>
      <w:r w:rsidR="00F42EE0" w:rsidRPr="00F42EE0">
        <w:t>http://www.annualreports.com/HostedData/AnnualReportArchive/A/NYSE_ARMK_2015.pdf</w:t>
      </w:r>
      <w:r w:rsidR="0004162A">
        <w:t>.</w:t>
      </w:r>
    </w:p>
  </w:footnote>
  <w:footnote w:id="21">
    <w:p w14:paraId="44771C37" w14:textId="683FA550" w:rsidR="008B73DF" w:rsidRDefault="008B73DF" w:rsidP="006B3BC4">
      <w:pPr>
        <w:pStyle w:val="Footnote"/>
      </w:pPr>
      <w:r>
        <w:rPr>
          <w:rStyle w:val="FootnoteReference"/>
        </w:rPr>
        <w:footnoteRef/>
      </w:r>
      <w:r>
        <w:t xml:space="preserve"> Jonathan </w:t>
      </w:r>
      <w:proofErr w:type="spellStart"/>
      <w:r>
        <w:t>Oosting</w:t>
      </w:r>
      <w:proofErr w:type="spellEnd"/>
      <w:r>
        <w:t xml:space="preserve">, “Maggots Found near Food in Jackson Prison ‘Unacceptable,’ Says Gov. Snyder,” </w:t>
      </w:r>
      <w:proofErr w:type="spellStart"/>
      <w:r>
        <w:t>MLive</w:t>
      </w:r>
      <w:proofErr w:type="spellEnd"/>
      <w:r>
        <w:t>, July 1, 2014, accessed January 17, 2017, www.mlive.com/lansing-news/index.ssf/2014/07/prison_food_safety_unacceptabl.html;</w:t>
      </w:r>
      <w:r w:rsidRPr="007B3B6E">
        <w:t xml:space="preserve"> </w:t>
      </w:r>
      <w:r>
        <w:t xml:space="preserve">Alan Johnson, “Maggots Found in Food at Two Ohio Prisons,” </w:t>
      </w:r>
      <w:r w:rsidRPr="00121ABF">
        <w:rPr>
          <w:i/>
        </w:rPr>
        <w:t>The Columbus Dispatch</w:t>
      </w:r>
      <w:r>
        <w:t>, July 7, 2014, accessed January 17, 2017, www.dispatch.com/content/stories/local/2014/07/07/prison-food.html#.</w:t>
      </w:r>
    </w:p>
  </w:footnote>
  <w:footnote w:id="22">
    <w:p w14:paraId="2939D7E9" w14:textId="6CB5DB28" w:rsidR="008B73DF" w:rsidRDefault="008B73DF" w:rsidP="006B3BC4">
      <w:pPr>
        <w:pStyle w:val="Footnote"/>
      </w:pPr>
      <w:r>
        <w:rPr>
          <w:rStyle w:val="FootnoteReference"/>
        </w:rPr>
        <w:footnoteRef/>
      </w:r>
      <w:r>
        <w:t xml:space="preserve"> “Michigan Department of Corrections Statement on Aramark Correctional Services,” Michigan Department of Corrections, accessed January 17, 2017, www.michigan.gov/corrections/0,4551,7-119-1441_26969-335195--,00.html.</w:t>
      </w:r>
    </w:p>
  </w:footnote>
  <w:footnote w:id="23">
    <w:p w14:paraId="48CFA4F2" w14:textId="284D7EF6" w:rsidR="008B73DF" w:rsidRPr="00121ABF" w:rsidRDefault="008B73DF" w:rsidP="00121ABF">
      <w:pPr>
        <w:pStyle w:val="Footnote"/>
        <w:rPr>
          <w:lang w:val="en-CA"/>
        </w:rPr>
      </w:pPr>
      <w:r>
        <w:rPr>
          <w:rStyle w:val="FootnoteReference"/>
        </w:rPr>
        <w:footnoteRef/>
      </w:r>
      <w:r>
        <w:t xml:space="preserve"> </w:t>
      </w:r>
      <w:r w:rsidRPr="006B3BC4">
        <w:rPr>
          <w:shd w:val="clear" w:color="auto" w:fill="FFFFFF"/>
          <w:lang w:val="en-CA"/>
        </w:rPr>
        <w:t>€</w:t>
      </w:r>
      <w:r>
        <w:rPr>
          <w:shd w:val="clear" w:color="auto" w:fill="FFFFFF"/>
          <w:lang w:val="en-CA"/>
        </w:rPr>
        <w:t xml:space="preserve"> = EUR = euro</w:t>
      </w:r>
      <w:r w:rsidR="00090351">
        <w:rPr>
          <w:shd w:val="clear" w:color="auto" w:fill="FFFFFF"/>
          <w:lang w:val="en-CA"/>
        </w:rPr>
        <w:t>.</w:t>
      </w:r>
    </w:p>
  </w:footnote>
  <w:footnote w:id="24">
    <w:p w14:paraId="2B1CCB1B" w14:textId="175C4B7D" w:rsidR="008B73DF" w:rsidRDefault="008B73DF" w:rsidP="006B3BC4">
      <w:pPr>
        <w:pStyle w:val="Footnote"/>
      </w:pPr>
      <w:r>
        <w:rPr>
          <w:rStyle w:val="FootnoteReference"/>
        </w:rPr>
        <w:footnoteRef/>
      </w:r>
      <w:r>
        <w:t xml:space="preserve"> Sodexo</w:t>
      </w:r>
      <w:r w:rsidR="000A1B0E" w:rsidRPr="00A22AB1">
        <w:rPr>
          <w:i/>
        </w:rPr>
        <w:t>,</w:t>
      </w:r>
      <w:r w:rsidRPr="00A22AB1">
        <w:rPr>
          <w:i/>
        </w:rPr>
        <w:t xml:space="preserve"> </w:t>
      </w:r>
      <w:r w:rsidR="000A1B0E" w:rsidRPr="00A22AB1">
        <w:rPr>
          <w:i/>
        </w:rPr>
        <w:t xml:space="preserve">Sodexo Digest: Fiscal </w:t>
      </w:r>
      <w:r w:rsidRPr="00A22AB1">
        <w:rPr>
          <w:i/>
        </w:rPr>
        <w:t>2015</w:t>
      </w:r>
      <w:r>
        <w:t>, accessed May 17, 2016</w:t>
      </w:r>
      <w:r w:rsidR="000A1B0E">
        <w:t xml:space="preserve">, </w:t>
      </w:r>
      <w:r w:rsidR="000A1B0E" w:rsidRPr="000A1B0E">
        <w:t>www.sodexo.com/home/media/publications/annual-publications.html</w:t>
      </w:r>
      <w:r w:rsidR="000A1B0E">
        <w:t>.</w:t>
      </w:r>
    </w:p>
  </w:footnote>
  <w:footnote w:id="25">
    <w:p w14:paraId="0AA88CE6" w14:textId="4AC8C5CA" w:rsidR="008B73DF" w:rsidRDefault="008B73DF" w:rsidP="006B3BC4">
      <w:pPr>
        <w:pStyle w:val="Footnote"/>
      </w:pPr>
      <w:r>
        <w:rPr>
          <w:rStyle w:val="FootnoteReference"/>
        </w:rPr>
        <w:footnoteRef/>
      </w:r>
      <w:r>
        <w:t xml:space="preserve"> James </w:t>
      </w:r>
      <w:proofErr w:type="spellStart"/>
      <w:r>
        <w:t>Meikle</w:t>
      </w:r>
      <w:proofErr w:type="spellEnd"/>
      <w:r>
        <w:t xml:space="preserve"> and Peter Newlands, “Horsemeat Scandal: Schools Caterer Suspends All Frozen Beef Products,” </w:t>
      </w:r>
      <w:r w:rsidRPr="00121ABF">
        <w:rPr>
          <w:i/>
        </w:rPr>
        <w:t>The Guardian</w:t>
      </w:r>
      <w:r>
        <w:t>, February 22, 2013, accessed January 17, 2017, www.theguardian.com/uk/2013/feb/22/horsemeat-scandal-schools-frozen-beef</w:t>
      </w:r>
      <w:r w:rsidR="00AF6E23">
        <w:t>.</w:t>
      </w:r>
    </w:p>
  </w:footnote>
  <w:footnote w:id="26">
    <w:p w14:paraId="7F320EF8" w14:textId="17A5795B" w:rsidR="008B73DF" w:rsidRDefault="008B73DF" w:rsidP="006B3BC4">
      <w:pPr>
        <w:pStyle w:val="Footnote"/>
      </w:pPr>
      <w:r>
        <w:rPr>
          <w:rStyle w:val="FootnoteReference"/>
        </w:rPr>
        <w:footnoteRef/>
      </w:r>
      <w:r>
        <w:t xml:space="preserve"> Civeo Corporation, </w:t>
      </w:r>
      <w:r w:rsidRPr="00121ABF">
        <w:rPr>
          <w:i/>
        </w:rPr>
        <w:t>Inside Civeo: Under the Roof – 2015 Annual Report</w:t>
      </w:r>
      <w:r>
        <w:t>, accessed May 17, 2016,</w:t>
      </w:r>
      <w:r w:rsidRPr="00CD19AD">
        <w:t xml:space="preserve"> http://ir.civeo.com/static-files/5608773d-608b-48f6-ac5d-35ecfbaec8b9</w:t>
      </w:r>
      <w:r>
        <w:t>.</w:t>
      </w:r>
    </w:p>
  </w:footnote>
  <w:footnote w:id="27">
    <w:p w14:paraId="3E7541DF" w14:textId="422D5A38" w:rsidR="008B73DF" w:rsidRDefault="008B73DF" w:rsidP="006B3BC4">
      <w:pPr>
        <w:pStyle w:val="Footnote"/>
      </w:pPr>
      <w:r>
        <w:rPr>
          <w:rStyle w:val="FootnoteReference"/>
        </w:rPr>
        <w:footnoteRef/>
      </w:r>
      <w:r>
        <w:t xml:space="preserve"> Of this charge, $7.50 was for housekeeping.</w:t>
      </w:r>
    </w:p>
  </w:footnote>
  <w:footnote w:id="28">
    <w:p w14:paraId="336CD291" w14:textId="77777777" w:rsidR="008B73DF" w:rsidRPr="00121ABF" w:rsidRDefault="008B73DF" w:rsidP="006B3BC4">
      <w:pPr>
        <w:pStyle w:val="Footnote"/>
      </w:pPr>
      <w:r w:rsidRPr="00121ABF">
        <w:rPr>
          <w:rStyle w:val="FootnoteReference"/>
        </w:rPr>
        <w:footnoteRef/>
      </w:r>
      <w:r w:rsidRPr="00121ABF">
        <w:t xml:space="preserve"> Collections were due 30 days after the sale had been completed.</w:t>
      </w:r>
    </w:p>
  </w:footnote>
  <w:footnote w:id="29">
    <w:p w14:paraId="70D6D43F" w14:textId="60EAFF18" w:rsidR="008B73DF" w:rsidRDefault="008B73DF" w:rsidP="006B3BC4">
      <w:pPr>
        <w:pStyle w:val="Footnote"/>
      </w:pPr>
      <w:r>
        <w:rPr>
          <w:rStyle w:val="FootnoteReference"/>
        </w:rPr>
        <w:footnoteRef/>
      </w:r>
      <w:r>
        <w:t xml:space="preserve"> Ninety per cent was allocated to shipping food supplies to the site. The rest was distributed evenly between housekeeping and janitorial supplies. It would be paid on credit.</w:t>
      </w:r>
    </w:p>
  </w:footnote>
  <w:footnote w:id="30">
    <w:p w14:paraId="7C997157" w14:textId="77777777" w:rsidR="008B73DF" w:rsidRDefault="008B73DF" w:rsidP="006B3BC4">
      <w:pPr>
        <w:pStyle w:val="Footnote"/>
      </w:pPr>
      <w:r>
        <w:rPr>
          <w:rStyle w:val="FootnoteReference"/>
        </w:rPr>
        <w:footnoteRef/>
      </w:r>
      <w:r>
        <w:t xml:space="preserve"> Uniform depreciation was allocated based on the number of employees in each business unit.</w:t>
      </w:r>
    </w:p>
  </w:footnote>
  <w:footnote w:id="31">
    <w:p w14:paraId="259E0B92" w14:textId="77777777" w:rsidR="008B73DF" w:rsidRDefault="008B73DF" w:rsidP="006B3BC4">
      <w:pPr>
        <w:pStyle w:val="Footnote"/>
      </w:pPr>
      <w:r>
        <w:rPr>
          <w:rStyle w:val="FootnoteReference"/>
        </w:rPr>
        <w:footnoteRef/>
      </w:r>
      <w:r>
        <w:t xml:space="preserve"> Linens were used exclusively for housekeeping and had an estimated useful life of five years.</w:t>
      </w:r>
    </w:p>
  </w:footnote>
  <w:footnote w:id="32">
    <w:p w14:paraId="3B2EA858" w14:textId="32491303" w:rsidR="008B73DF" w:rsidRDefault="008B73DF" w:rsidP="006B3BC4">
      <w:pPr>
        <w:pStyle w:val="Footnote"/>
      </w:pPr>
      <w:r>
        <w:rPr>
          <w:rStyle w:val="FootnoteReference"/>
        </w:rPr>
        <w:footnoteRef/>
      </w:r>
      <w:r>
        <w:t xml:space="preserve"> Inventory consisted of food and cleaning supplies and was paid on credit.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BD839" w14:textId="283321D3" w:rsidR="008B73DF" w:rsidRPr="00C92CC4" w:rsidRDefault="008B73D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D5F21">
      <w:rPr>
        <w:rFonts w:ascii="Arial" w:hAnsi="Arial"/>
        <w:b/>
        <w:noProof/>
      </w:rPr>
      <w:t>8</w:t>
    </w:r>
    <w:r>
      <w:rPr>
        <w:rFonts w:ascii="Arial" w:hAnsi="Arial"/>
        <w:b/>
      </w:rPr>
      <w:fldChar w:fldCharType="end"/>
    </w:r>
    <w:r w:rsidR="00627385">
      <w:rPr>
        <w:rFonts w:ascii="Arial" w:hAnsi="Arial"/>
        <w:b/>
      </w:rPr>
      <w:tab/>
      <w:t>9B18M105</w:t>
    </w:r>
  </w:p>
  <w:p w14:paraId="25B2C9AB" w14:textId="77777777" w:rsidR="008B73DF" w:rsidRDefault="008B73DF" w:rsidP="00D13667">
    <w:pPr>
      <w:pStyle w:val="Header"/>
      <w:tabs>
        <w:tab w:val="clear" w:pos="4680"/>
      </w:tabs>
      <w:rPr>
        <w:sz w:val="18"/>
        <w:szCs w:val="18"/>
      </w:rPr>
    </w:pPr>
  </w:p>
  <w:p w14:paraId="56EF591F" w14:textId="77777777" w:rsidR="008B73DF" w:rsidRPr="00C92CC4" w:rsidRDefault="008B73DF"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CB8"/>
    <w:rsid w:val="00013360"/>
    <w:rsid w:val="00016759"/>
    <w:rsid w:val="000216CE"/>
    <w:rsid w:val="00024ED4"/>
    <w:rsid w:val="00025DC7"/>
    <w:rsid w:val="0003420B"/>
    <w:rsid w:val="000346D1"/>
    <w:rsid w:val="00035F09"/>
    <w:rsid w:val="0004162A"/>
    <w:rsid w:val="00044ECC"/>
    <w:rsid w:val="000531D3"/>
    <w:rsid w:val="0005646B"/>
    <w:rsid w:val="0008102D"/>
    <w:rsid w:val="00090351"/>
    <w:rsid w:val="00094C0E"/>
    <w:rsid w:val="000A1B0E"/>
    <w:rsid w:val="000A5143"/>
    <w:rsid w:val="000A5A49"/>
    <w:rsid w:val="000C3C69"/>
    <w:rsid w:val="000D3813"/>
    <w:rsid w:val="000D7091"/>
    <w:rsid w:val="000E0E0C"/>
    <w:rsid w:val="000F0C22"/>
    <w:rsid w:val="000F6B09"/>
    <w:rsid w:val="000F6FDC"/>
    <w:rsid w:val="00102C19"/>
    <w:rsid w:val="00104567"/>
    <w:rsid w:val="00104916"/>
    <w:rsid w:val="00104AA7"/>
    <w:rsid w:val="001160E2"/>
    <w:rsid w:val="00121ABF"/>
    <w:rsid w:val="00126507"/>
    <w:rsid w:val="0012732D"/>
    <w:rsid w:val="00143F25"/>
    <w:rsid w:val="00152682"/>
    <w:rsid w:val="00154FC9"/>
    <w:rsid w:val="0019241A"/>
    <w:rsid w:val="001A22D1"/>
    <w:rsid w:val="001A752D"/>
    <w:rsid w:val="001A757E"/>
    <w:rsid w:val="001B3BAB"/>
    <w:rsid w:val="001B5032"/>
    <w:rsid w:val="001C7777"/>
    <w:rsid w:val="001D0947"/>
    <w:rsid w:val="001E31E1"/>
    <w:rsid w:val="001E364F"/>
    <w:rsid w:val="001F4222"/>
    <w:rsid w:val="00203AA1"/>
    <w:rsid w:val="00203CB9"/>
    <w:rsid w:val="00213E98"/>
    <w:rsid w:val="0023081A"/>
    <w:rsid w:val="00293FDC"/>
    <w:rsid w:val="002A30CD"/>
    <w:rsid w:val="002D5F21"/>
    <w:rsid w:val="002F460C"/>
    <w:rsid w:val="002F48D6"/>
    <w:rsid w:val="00317391"/>
    <w:rsid w:val="003206F2"/>
    <w:rsid w:val="00326216"/>
    <w:rsid w:val="003272C7"/>
    <w:rsid w:val="00327982"/>
    <w:rsid w:val="00336580"/>
    <w:rsid w:val="00336E6F"/>
    <w:rsid w:val="00354899"/>
    <w:rsid w:val="00355FD6"/>
    <w:rsid w:val="00364A5C"/>
    <w:rsid w:val="00373FB1"/>
    <w:rsid w:val="00396C76"/>
    <w:rsid w:val="003B30D8"/>
    <w:rsid w:val="003B7EF2"/>
    <w:rsid w:val="003C3FA4"/>
    <w:rsid w:val="003D0BA1"/>
    <w:rsid w:val="003F2B0C"/>
    <w:rsid w:val="003F40DD"/>
    <w:rsid w:val="00402F0D"/>
    <w:rsid w:val="00406741"/>
    <w:rsid w:val="004105B2"/>
    <w:rsid w:val="00412900"/>
    <w:rsid w:val="004221E4"/>
    <w:rsid w:val="004263A2"/>
    <w:rsid w:val="004273F8"/>
    <w:rsid w:val="004312B5"/>
    <w:rsid w:val="004355A3"/>
    <w:rsid w:val="00446546"/>
    <w:rsid w:val="00452769"/>
    <w:rsid w:val="0045558C"/>
    <w:rsid w:val="00457A65"/>
    <w:rsid w:val="00465348"/>
    <w:rsid w:val="004746A5"/>
    <w:rsid w:val="004A78CF"/>
    <w:rsid w:val="004B1CCB"/>
    <w:rsid w:val="004B632F"/>
    <w:rsid w:val="004D3FB1"/>
    <w:rsid w:val="004D6F21"/>
    <w:rsid w:val="004D73A5"/>
    <w:rsid w:val="00500949"/>
    <w:rsid w:val="00501C06"/>
    <w:rsid w:val="0050442B"/>
    <w:rsid w:val="005160F1"/>
    <w:rsid w:val="00524F2F"/>
    <w:rsid w:val="00527E5C"/>
    <w:rsid w:val="00532CF5"/>
    <w:rsid w:val="005528CB"/>
    <w:rsid w:val="00566771"/>
    <w:rsid w:val="00581E2E"/>
    <w:rsid w:val="00584F15"/>
    <w:rsid w:val="0059514B"/>
    <w:rsid w:val="005A1B0F"/>
    <w:rsid w:val="005E52D9"/>
    <w:rsid w:val="006163F7"/>
    <w:rsid w:val="00621136"/>
    <w:rsid w:val="00627385"/>
    <w:rsid w:val="00627C63"/>
    <w:rsid w:val="0063350B"/>
    <w:rsid w:val="0064605D"/>
    <w:rsid w:val="00652606"/>
    <w:rsid w:val="0065621D"/>
    <w:rsid w:val="00684DEF"/>
    <w:rsid w:val="00690517"/>
    <w:rsid w:val="006946EE"/>
    <w:rsid w:val="006A58A9"/>
    <w:rsid w:val="006A606D"/>
    <w:rsid w:val="006A6686"/>
    <w:rsid w:val="006B3BC4"/>
    <w:rsid w:val="006B5405"/>
    <w:rsid w:val="006C0371"/>
    <w:rsid w:val="006C08B6"/>
    <w:rsid w:val="006C0B1A"/>
    <w:rsid w:val="006C6065"/>
    <w:rsid w:val="006C7F9F"/>
    <w:rsid w:val="006E2F6D"/>
    <w:rsid w:val="006E58F6"/>
    <w:rsid w:val="006E77E1"/>
    <w:rsid w:val="006F131D"/>
    <w:rsid w:val="0070392B"/>
    <w:rsid w:val="00711642"/>
    <w:rsid w:val="007125FC"/>
    <w:rsid w:val="00730BBC"/>
    <w:rsid w:val="007507C6"/>
    <w:rsid w:val="00751E0B"/>
    <w:rsid w:val="00752BCD"/>
    <w:rsid w:val="00766DA1"/>
    <w:rsid w:val="00780D94"/>
    <w:rsid w:val="007854B9"/>
    <w:rsid w:val="007866A6"/>
    <w:rsid w:val="007A130D"/>
    <w:rsid w:val="007B3B6E"/>
    <w:rsid w:val="007B76FA"/>
    <w:rsid w:val="007D1A2D"/>
    <w:rsid w:val="007D4102"/>
    <w:rsid w:val="007F3ED4"/>
    <w:rsid w:val="007F43B7"/>
    <w:rsid w:val="007F5A0B"/>
    <w:rsid w:val="00813D0A"/>
    <w:rsid w:val="00821FFC"/>
    <w:rsid w:val="008271CA"/>
    <w:rsid w:val="0083707B"/>
    <w:rsid w:val="00840977"/>
    <w:rsid w:val="008467D5"/>
    <w:rsid w:val="00872FFC"/>
    <w:rsid w:val="008A4DC4"/>
    <w:rsid w:val="008B438C"/>
    <w:rsid w:val="008B73DF"/>
    <w:rsid w:val="008C1340"/>
    <w:rsid w:val="008D06CA"/>
    <w:rsid w:val="008D3A46"/>
    <w:rsid w:val="008D7BF9"/>
    <w:rsid w:val="008E43DD"/>
    <w:rsid w:val="008F0D08"/>
    <w:rsid w:val="008F46F1"/>
    <w:rsid w:val="009067A4"/>
    <w:rsid w:val="00912E63"/>
    <w:rsid w:val="00930885"/>
    <w:rsid w:val="00933D68"/>
    <w:rsid w:val="009340DB"/>
    <w:rsid w:val="0094618C"/>
    <w:rsid w:val="0095684B"/>
    <w:rsid w:val="00964839"/>
    <w:rsid w:val="00972498"/>
    <w:rsid w:val="0097481F"/>
    <w:rsid w:val="00974CC6"/>
    <w:rsid w:val="00976AD4"/>
    <w:rsid w:val="00995547"/>
    <w:rsid w:val="009A312F"/>
    <w:rsid w:val="009A5348"/>
    <w:rsid w:val="009B0AB7"/>
    <w:rsid w:val="009C76D5"/>
    <w:rsid w:val="009F18DA"/>
    <w:rsid w:val="009F7AA4"/>
    <w:rsid w:val="00A10AD7"/>
    <w:rsid w:val="00A22AB1"/>
    <w:rsid w:val="00A41C18"/>
    <w:rsid w:val="00A559DB"/>
    <w:rsid w:val="00A569EA"/>
    <w:rsid w:val="00A71040"/>
    <w:rsid w:val="00A7584C"/>
    <w:rsid w:val="00AC2DE5"/>
    <w:rsid w:val="00AE4220"/>
    <w:rsid w:val="00AF35FC"/>
    <w:rsid w:val="00AF5556"/>
    <w:rsid w:val="00AF6E23"/>
    <w:rsid w:val="00B03639"/>
    <w:rsid w:val="00B0652A"/>
    <w:rsid w:val="00B21170"/>
    <w:rsid w:val="00B34FB2"/>
    <w:rsid w:val="00B36049"/>
    <w:rsid w:val="00B40937"/>
    <w:rsid w:val="00B423EF"/>
    <w:rsid w:val="00B453DE"/>
    <w:rsid w:val="00B63E13"/>
    <w:rsid w:val="00B72597"/>
    <w:rsid w:val="00B901F9"/>
    <w:rsid w:val="00B9632A"/>
    <w:rsid w:val="00BA06C5"/>
    <w:rsid w:val="00BA1A69"/>
    <w:rsid w:val="00BB78D0"/>
    <w:rsid w:val="00BD6EFB"/>
    <w:rsid w:val="00C1584D"/>
    <w:rsid w:val="00C15BE2"/>
    <w:rsid w:val="00C3447F"/>
    <w:rsid w:val="00C41CB0"/>
    <w:rsid w:val="00C67102"/>
    <w:rsid w:val="00C80BDD"/>
    <w:rsid w:val="00C81218"/>
    <w:rsid w:val="00C81491"/>
    <w:rsid w:val="00C81676"/>
    <w:rsid w:val="00C848BC"/>
    <w:rsid w:val="00C84C30"/>
    <w:rsid w:val="00C85C5D"/>
    <w:rsid w:val="00C92CC4"/>
    <w:rsid w:val="00CA0AFB"/>
    <w:rsid w:val="00CA2CE1"/>
    <w:rsid w:val="00CA3976"/>
    <w:rsid w:val="00CA50E3"/>
    <w:rsid w:val="00CA5500"/>
    <w:rsid w:val="00CA757B"/>
    <w:rsid w:val="00CB3DBB"/>
    <w:rsid w:val="00CC1787"/>
    <w:rsid w:val="00CC182C"/>
    <w:rsid w:val="00CC3830"/>
    <w:rsid w:val="00CD0824"/>
    <w:rsid w:val="00CD19AD"/>
    <w:rsid w:val="00CD2908"/>
    <w:rsid w:val="00CE0E49"/>
    <w:rsid w:val="00CE519C"/>
    <w:rsid w:val="00CF7CD9"/>
    <w:rsid w:val="00D00DB4"/>
    <w:rsid w:val="00D03A82"/>
    <w:rsid w:val="00D05CFD"/>
    <w:rsid w:val="00D13667"/>
    <w:rsid w:val="00D15344"/>
    <w:rsid w:val="00D23F57"/>
    <w:rsid w:val="00D310A0"/>
    <w:rsid w:val="00D31BEC"/>
    <w:rsid w:val="00D400F2"/>
    <w:rsid w:val="00D5739C"/>
    <w:rsid w:val="00D63150"/>
    <w:rsid w:val="00D636BA"/>
    <w:rsid w:val="00D64A32"/>
    <w:rsid w:val="00D64EFC"/>
    <w:rsid w:val="00D75295"/>
    <w:rsid w:val="00D76CE9"/>
    <w:rsid w:val="00D97F12"/>
    <w:rsid w:val="00DA6095"/>
    <w:rsid w:val="00DB42E7"/>
    <w:rsid w:val="00DB6203"/>
    <w:rsid w:val="00DE01A6"/>
    <w:rsid w:val="00DE7A98"/>
    <w:rsid w:val="00DF32C2"/>
    <w:rsid w:val="00E26CBC"/>
    <w:rsid w:val="00E374CD"/>
    <w:rsid w:val="00E471A7"/>
    <w:rsid w:val="00E5607F"/>
    <w:rsid w:val="00E635CF"/>
    <w:rsid w:val="00E841AE"/>
    <w:rsid w:val="00EC6E0A"/>
    <w:rsid w:val="00ED179B"/>
    <w:rsid w:val="00ED4E18"/>
    <w:rsid w:val="00EE1F37"/>
    <w:rsid w:val="00EE50F5"/>
    <w:rsid w:val="00F0159C"/>
    <w:rsid w:val="00F105B7"/>
    <w:rsid w:val="00F13220"/>
    <w:rsid w:val="00F17A21"/>
    <w:rsid w:val="00F26B7B"/>
    <w:rsid w:val="00F37B27"/>
    <w:rsid w:val="00F42EE0"/>
    <w:rsid w:val="00F46556"/>
    <w:rsid w:val="00F50E91"/>
    <w:rsid w:val="00F57D29"/>
    <w:rsid w:val="00F71510"/>
    <w:rsid w:val="00F96201"/>
    <w:rsid w:val="00FA3AC7"/>
    <w:rsid w:val="00FC017E"/>
    <w:rsid w:val="00FC323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89DBC8"/>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
    <w:name w:val="Unresolved Mention"/>
    <w:basedOn w:val="DefaultParagraphFont"/>
    <w:uiPriority w:val="99"/>
    <w:semiHidden/>
    <w:unhideWhenUsed/>
    <w:rsid w:val="007F3E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hyperlink" Target="https://iveypubs.my.salesforce.com/003A000001T0PHv"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tatcan.gc.ca/tables-tableaux/sum-som/l01/cst01/gdps04a-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B2E56-DF69-4B9E-AA48-BB8EFA95C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2018-07-17T12:52:00Z</dcterms:created>
  <dcterms:modified xsi:type="dcterms:W3CDTF">2018-07-20T13:33:00Z</dcterms:modified>
</cp:coreProperties>
</file>