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9B19D" w14:textId="77777777" w:rsidR="003070FC" w:rsidRPr="00597788" w:rsidRDefault="003070FC" w:rsidP="003070FC">
      <w:pPr>
        <w:pBdr>
          <w:bottom w:val="single" w:sz="18" w:space="1" w:color="auto"/>
        </w:pBdr>
        <w:tabs>
          <w:tab w:val="left" w:pos="-1440"/>
          <w:tab w:val="left" w:pos="-720"/>
          <w:tab w:val="left" w:pos="1"/>
        </w:tabs>
        <w:jc w:val="both"/>
        <w:rPr>
          <w:rFonts w:ascii="Arial" w:hAnsi="Arial"/>
          <w:b/>
          <w:sz w:val="24"/>
          <w:lang w:val="en-GB"/>
        </w:rPr>
      </w:pPr>
      <w:r w:rsidRPr="00597788">
        <w:rPr>
          <w:rFonts w:ascii="Arial" w:hAnsi="Arial"/>
          <w:b/>
          <w:noProof/>
          <w:sz w:val="24"/>
        </w:rPr>
        <w:drawing>
          <wp:inline distT="0" distB="0" distL="0" distR="0" wp14:anchorId="7701984B" wp14:editId="133C7095">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8AFB00D" w14:textId="677C3619" w:rsidR="003070FC" w:rsidRPr="00597788" w:rsidRDefault="00BF2FBA" w:rsidP="003070FC">
      <w:pPr>
        <w:pStyle w:val="ProductNumber"/>
        <w:rPr>
          <w:lang w:val="en-GB"/>
        </w:rPr>
      </w:pPr>
      <w:r>
        <w:rPr>
          <w:lang w:val="en-GB"/>
        </w:rPr>
        <w:t>9B18M109</w:t>
      </w:r>
    </w:p>
    <w:p w14:paraId="52D6EB85" w14:textId="63A24F51" w:rsidR="00D75295" w:rsidRPr="00597788" w:rsidRDefault="00D75295" w:rsidP="00360100">
      <w:pPr>
        <w:pStyle w:val="ProductNumber"/>
        <w:outlineLvl w:val="0"/>
        <w:rPr>
          <w:lang w:val="en-GB"/>
        </w:rPr>
      </w:pPr>
    </w:p>
    <w:p w14:paraId="5E4DC22F" w14:textId="77777777" w:rsidR="00866F6D" w:rsidRPr="00597788" w:rsidRDefault="00866F6D" w:rsidP="00D75295">
      <w:pPr>
        <w:jc w:val="right"/>
        <w:rPr>
          <w:rFonts w:ascii="Arial" w:hAnsi="Arial"/>
          <w:b/>
          <w:sz w:val="28"/>
          <w:szCs w:val="28"/>
          <w:lang w:val="en-GB"/>
        </w:rPr>
      </w:pPr>
    </w:p>
    <w:p w14:paraId="681F7D2F" w14:textId="7A7AF3D4" w:rsidR="00013360" w:rsidRPr="00597788" w:rsidRDefault="00B04C2E" w:rsidP="00D54C93">
      <w:pPr>
        <w:pStyle w:val="CaseTitle"/>
        <w:spacing w:after="0" w:line="240" w:lineRule="auto"/>
        <w:rPr>
          <w:lang w:val="en-GB"/>
        </w:rPr>
      </w:pPr>
      <w:r w:rsidRPr="00597788">
        <w:rPr>
          <w:lang w:val="en-GB"/>
        </w:rPr>
        <w:t>EPCOR UTILITIES INC</w:t>
      </w:r>
      <w:r w:rsidR="00E76BC1" w:rsidRPr="00597788">
        <w:rPr>
          <w:lang w:val="en-GB"/>
        </w:rPr>
        <w:t>.</w:t>
      </w:r>
      <w:r w:rsidRPr="00597788">
        <w:rPr>
          <w:lang w:val="en-GB"/>
        </w:rPr>
        <w:t>: MODERNIZING ALBERTA’S ELECTRICITY SYSTEM</w:t>
      </w:r>
    </w:p>
    <w:p w14:paraId="7E61C0F1" w14:textId="77777777" w:rsidR="00D54C93" w:rsidRPr="00597788" w:rsidRDefault="00D54C93" w:rsidP="00D54C93">
      <w:pPr>
        <w:pStyle w:val="CaseTitle"/>
        <w:spacing w:after="0" w:line="240" w:lineRule="auto"/>
        <w:rPr>
          <w:b w:val="0"/>
          <w:lang w:val="en-GB"/>
        </w:rPr>
      </w:pPr>
    </w:p>
    <w:p w14:paraId="0733E8EC" w14:textId="77777777" w:rsidR="00D54C93" w:rsidRPr="00597788" w:rsidRDefault="00D54C93" w:rsidP="00D54C93">
      <w:pPr>
        <w:pStyle w:val="CaseTitle"/>
        <w:spacing w:after="0" w:line="240" w:lineRule="auto"/>
        <w:rPr>
          <w:b w:val="0"/>
          <w:lang w:val="en-GB"/>
        </w:rPr>
      </w:pPr>
    </w:p>
    <w:p w14:paraId="1B12546F" w14:textId="77777777" w:rsidR="00013360" w:rsidRPr="00597788" w:rsidRDefault="00B04C2E" w:rsidP="00104567">
      <w:pPr>
        <w:pStyle w:val="StyleCopyrightStatementAfter0ptBottomSinglesolidline1"/>
        <w:rPr>
          <w:lang w:val="en-GB"/>
        </w:rPr>
      </w:pPr>
      <w:r w:rsidRPr="00597788">
        <w:rPr>
          <w:lang w:val="en-GB"/>
        </w:rPr>
        <w:t xml:space="preserve">Jennifer Keith, Chelsey McLeod, Jolene Proulx, and Leanne Hedberg wrote this case under the supervision of Professor Joel Gehman </w:t>
      </w:r>
      <w:r w:rsidR="007E5921" w:rsidRPr="00597788">
        <w:rPr>
          <w:lang w:val="en-GB"/>
        </w:rPr>
        <w:t>sol</w:t>
      </w:r>
      <w:r w:rsidR="00D75295" w:rsidRPr="00597788">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293DF06E" w14:textId="77777777" w:rsidR="00013360" w:rsidRPr="00597788" w:rsidRDefault="00013360" w:rsidP="00104567">
      <w:pPr>
        <w:pStyle w:val="StyleCopyrightStatementAfter0ptBottomSinglesolidline1"/>
        <w:rPr>
          <w:lang w:val="en-GB"/>
        </w:rPr>
      </w:pPr>
    </w:p>
    <w:p w14:paraId="13E2196E" w14:textId="77777777" w:rsidR="003070FC" w:rsidRPr="00597788" w:rsidRDefault="003070FC" w:rsidP="003070FC">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597788">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597788">
          <w:rPr>
            <w:rFonts w:ascii="Arial" w:hAnsi="Arial"/>
            <w:i/>
            <w:iCs/>
            <w:color w:val="000000"/>
            <w:sz w:val="16"/>
            <w:lang w:val="en-GB"/>
          </w:rPr>
          <w:t>cases@ivey.ca</w:t>
        </w:r>
      </w:hyperlink>
      <w:r w:rsidRPr="00597788">
        <w:rPr>
          <w:rFonts w:ascii="Arial" w:hAnsi="Arial"/>
          <w:i/>
          <w:iCs/>
          <w:color w:val="000000"/>
          <w:sz w:val="16"/>
          <w:lang w:val="en-GB"/>
        </w:rPr>
        <w:t xml:space="preserve">; </w:t>
      </w:r>
      <w:hyperlink r:id="rId10" w:history="1">
        <w:r w:rsidRPr="00597788">
          <w:rPr>
            <w:rFonts w:ascii="Arial" w:hAnsi="Arial"/>
            <w:i/>
            <w:iCs/>
            <w:color w:val="000000"/>
            <w:sz w:val="16"/>
            <w:lang w:val="en-GB"/>
          </w:rPr>
          <w:t>www.iveycases.com</w:t>
        </w:r>
      </w:hyperlink>
      <w:r w:rsidRPr="00597788">
        <w:rPr>
          <w:rFonts w:ascii="Arial" w:hAnsi="Arial"/>
          <w:i/>
          <w:iCs/>
          <w:color w:val="000000"/>
          <w:sz w:val="16"/>
          <w:lang w:val="en-GB"/>
        </w:rPr>
        <w:t>.</w:t>
      </w:r>
    </w:p>
    <w:p w14:paraId="63F65FB5" w14:textId="77777777" w:rsidR="003070FC" w:rsidRPr="00597788" w:rsidRDefault="003070FC" w:rsidP="003070FC">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065F3F91" w14:textId="7A34D7DC" w:rsidR="003B7EF2" w:rsidRPr="00597788" w:rsidRDefault="003070FC" w:rsidP="003070FC">
      <w:pPr>
        <w:pStyle w:val="StyleStyleCopyrightStatementAfter0ptBottomSinglesolid"/>
        <w:outlineLvl w:val="0"/>
        <w:rPr>
          <w:lang w:val="en-GB"/>
        </w:rPr>
      </w:pPr>
      <w:r w:rsidRPr="00597788">
        <w:rPr>
          <w:rFonts w:cs="Arial"/>
          <w:iCs w:val="0"/>
          <w:color w:val="auto"/>
          <w:szCs w:val="16"/>
          <w:lang w:val="en-GB"/>
        </w:rPr>
        <w:t>Copyright © 2018, Ivey Business School Foundation</w:t>
      </w:r>
      <w:r w:rsidRPr="00597788">
        <w:rPr>
          <w:rFonts w:cs="Arial"/>
          <w:iCs w:val="0"/>
          <w:color w:val="auto"/>
          <w:szCs w:val="16"/>
          <w:lang w:val="en-GB"/>
        </w:rPr>
        <w:tab/>
        <w:t>Version: 2018-</w:t>
      </w:r>
      <w:r w:rsidR="00EE680D">
        <w:rPr>
          <w:rFonts w:cs="Arial"/>
          <w:iCs w:val="0"/>
          <w:color w:val="auto"/>
          <w:szCs w:val="16"/>
          <w:lang w:val="en-GB"/>
        </w:rPr>
        <w:t>08-13</w:t>
      </w:r>
    </w:p>
    <w:p w14:paraId="67258BF9" w14:textId="77777777" w:rsidR="003B7EF2" w:rsidRPr="00597788" w:rsidRDefault="003B7EF2" w:rsidP="00013C69">
      <w:pPr>
        <w:pStyle w:val="StyleCopyrightStatementAfter0ptBottomSinglesolidline1"/>
        <w:rPr>
          <w:rFonts w:eastAsiaTheme="minorEastAsia"/>
          <w:lang w:val="en-GB" w:bidi="en-US"/>
        </w:rPr>
      </w:pPr>
    </w:p>
    <w:p w14:paraId="4435AE09" w14:textId="77777777" w:rsidR="00013C69" w:rsidRPr="00597788" w:rsidRDefault="00013C69" w:rsidP="00013C69">
      <w:pPr>
        <w:pStyle w:val="StyleCopyrightStatementAfter0ptBottomSinglesolidline1"/>
        <w:rPr>
          <w:rFonts w:eastAsiaTheme="minorEastAsia"/>
          <w:lang w:val="en-GB" w:bidi="en-US"/>
        </w:rPr>
      </w:pPr>
    </w:p>
    <w:p w14:paraId="2677CE50" w14:textId="747AAFBB" w:rsidR="00B43BDC" w:rsidRPr="00597788" w:rsidRDefault="00B04C2E" w:rsidP="007E4763">
      <w:pPr>
        <w:pStyle w:val="BodyTextMain"/>
        <w:rPr>
          <w:rFonts w:eastAsiaTheme="minorEastAsia"/>
          <w:lang w:val="en-GB" w:bidi="en-US"/>
        </w:rPr>
      </w:pPr>
      <w:r w:rsidRPr="00597788">
        <w:rPr>
          <w:rFonts w:eastAsiaTheme="minorEastAsia"/>
          <w:lang w:val="en-GB" w:bidi="en-US"/>
        </w:rPr>
        <w:t>It was January 2014</w:t>
      </w:r>
      <w:r w:rsidR="00D8015D" w:rsidRPr="00597788">
        <w:rPr>
          <w:rFonts w:eastAsiaTheme="minorEastAsia"/>
          <w:lang w:val="en-GB" w:bidi="en-US"/>
        </w:rPr>
        <w:t>,</w:t>
      </w:r>
      <w:r w:rsidRPr="00597788">
        <w:rPr>
          <w:rFonts w:eastAsiaTheme="minorEastAsia"/>
          <w:lang w:val="en-GB" w:bidi="en-US"/>
        </w:rPr>
        <w:t xml:space="preserve"> and Rob Reimer, </w:t>
      </w:r>
      <w:r w:rsidR="007B34DF" w:rsidRPr="00597788">
        <w:rPr>
          <w:rFonts w:eastAsiaTheme="minorEastAsia"/>
          <w:lang w:val="en-GB" w:bidi="en-US"/>
        </w:rPr>
        <w:t>d</w:t>
      </w:r>
      <w:r w:rsidRPr="00597788">
        <w:rPr>
          <w:rFonts w:eastAsiaTheme="minorEastAsia"/>
          <w:lang w:val="en-GB" w:bidi="en-US"/>
        </w:rPr>
        <w:t xml:space="preserve">irector of Metering </w:t>
      </w:r>
      <w:r w:rsidR="00D8015D" w:rsidRPr="00597788">
        <w:rPr>
          <w:rFonts w:eastAsiaTheme="minorEastAsia"/>
          <w:lang w:val="en-GB" w:bidi="en-US"/>
        </w:rPr>
        <w:t xml:space="preserve">and </w:t>
      </w:r>
      <w:r w:rsidRPr="00597788">
        <w:rPr>
          <w:rFonts w:eastAsiaTheme="minorEastAsia"/>
          <w:lang w:val="en-GB" w:bidi="en-US"/>
        </w:rPr>
        <w:t>Wholesale Energy for EPCOR Distribution &amp; Transmission Inc. (EDTI)</w:t>
      </w:r>
      <w:r w:rsidR="007B34DF" w:rsidRPr="00597788">
        <w:rPr>
          <w:rFonts w:eastAsiaTheme="minorEastAsia"/>
          <w:lang w:val="en-GB" w:bidi="en-US"/>
        </w:rPr>
        <w:t>,</w:t>
      </w:r>
      <w:r w:rsidRPr="00597788">
        <w:rPr>
          <w:rFonts w:eastAsiaTheme="minorEastAsia"/>
          <w:lang w:val="en-GB" w:bidi="en-US"/>
        </w:rPr>
        <w:t xml:space="preserve"> </w:t>
      </w:r>
      <w:r w:rsidR="007B34DF" w:rsidRPr="00597788">
        <w:rPr>
          <w:rFonts w:eastAsiaTheme="minorEastAsia"/>
          <w:lang w:val="en-GB" w:bidi="en-US"/>
        </w:rPr>
        <w:t xml:space="preserve">was </w:t>
      </w:r>
      <w:r w:rsidRPr="00597788">
        <w:rPr>
          <w:rFonts w:eastAsiaTheme="minorEastAsia"/>
          <w:lang w:val="en-GB" w:bidi="en-US"/>
        </w:rPr>
        <w:t>contemplat</w:t>
      </w:r>
      <w:r w:rsidR="007B34DF" w:rsidRPr="00597788">
        <w:rPr>
          <w:rFonts w:eastAsiaTheme="minorEastAsia"/>
          <w:lang w:val="en-GB" w:bidi="en-US"/>
        </w:rPr>
        <w:t>ing</w:t>
      </w:r>
      <w:r w:rsidRPr="00597788">
        <w:rPr>
          <w:rFonts w:eastAsiaTheme="minorEastAsia"/>
          <w:lang w:val="en-GB" w:bidi="en-US"/>
        </w:rPr>
        <w:t xml:space="preserve"> how to proceed with updating </w:t>
      </w:r>
      <w:r w:rsidR="00D8015D" w:rsidRPr="00597788">
        <w:rPr>
          <w:rFonts w:eastAsiaTheme="minorEastAsia"/>
          <w:lang w:val="en-GB" w:bidi="en-US"/>
        </w:rPr>
        <w:t xml:space="preserve">the current meter operations of </w:t>
      </w:r>
      <w:r w:rsidRPr="00597788">
        <w:rPr>
          <w:rFonts w:eastAsiaTheme="minorEastAsia"/>
          <w:lang w:val="en-GB" w:bidi="en-US"/>
        </w:rPr>
        <w:t>EPCOR</w:t>
      </w:r>
      <w:r w:rsidR="007B34DF" w:rsidRPr="00597788">
        <w:rPr>
          <w:rFonts w:eastAsiaTheme="minorEastAsia"/>
          <w:lang w:val="en-GB" w:bidi="en-US"/>
        </w:rPr>
        <w:t xml:space="preserve"> Utilities Inc. (EPCOR)</w:t>
      </w:r>
      <w:r w:rsidRPr="00597788">
        <w:rPr>
          <w:rFonts w:eastAsiaTheme="minorEastAsia"/>
          <w:lang w:val="en-GB" w:bidi="en-US"/>
        </w:rPr>
        <w:t xml:space="preserve">. </w:t>
      </w:r>
      <w:r w:rsidR="00D8015D" w:rsidRPr="00597788">
        <w:rPr>
          <w:rFonts w:eastAsiaTheme="minorEastAsia"/>
          <w:lang w:val="en-GB" w:bidi="en-US"/>
        </w:rPr>
        <w:t>I</w:t>
      </w:r>
      <w:r w:rsidRPr="00597788">
        <w:rPr>
          <w:rFonts w:eastAsiaTheme="minorEastAsia"/>
          <w:lang w:val="en-GB" w:bidi="en-US"/>
        </w:rPr>
        <w:t xml:space="preserve">n 2007, EPCOR’s senior leaders </w:t>
      </w:r>
      <w:r w:rsidR="007B34DF" w:rsidRPr="00597788">
        <w:rPr>
          <w:rFonts w:eastAsiaTheme="minorEastAsia"/>
          <w:lang w:val="en-GB" w:bidi="en-US"/>
        </w:rPr>
        <w:t xml:space="preserve">had </w:t>
      </w:r>
      <w:r w:rsidRPr="00597788">
        <w:rPr>
          <w:rFonts w:eastAsiaTheme="minorEastAsia"/>
          <w:lang w:val="en-GB" w:bidi="en-US"/>
        </w:rPr>
        <w:t xml:space="preserve">asked </w:t>
      </w:r>
      <w:r w:rsidR="007B34DF" w:rsidRPr="00597788">
        <w:rPr>
          <w:rFonts w:eastAsiaTheme="minorEastAsia"/>
          <w:lang w:val="en-GB" w:bidi="en-US"/>
        </w:rPr>
        <w:t>Reimer</w:t>
      </w:r>
      <w:r w:rsidRPr="00597788">
        <w:rPr>
          <w:rFonts w:eastAsiaTheme="minorEastAsia"/>
          <w:lang w:val="en-GB" w:bidi="en-US"/>
        </w:rPr>
        <w:t xml:space="preserve"> to research </w:t>
      </w:r>
      <w:r w:rsidR="00E709A6" w:rsidRPr="00597788">
        <w:rPr>
          <w:rFonts w:eastAsiaTheme="minorEastAsia"/>
          <w:lang w:val="en-GB" w:bidi="en-US"/>
        </w:rPr>
        <w:t>s</w:t>
      </w:r>
      <w:r w:rsidRPr="00597788">
        <w:rPr>
          <w:rFonts w:eastAsiaTheme="minorEastAsia"/>
          <w:lang w:val="en-GB" w:bidi="en-US"/>
        </w:rPr>
        <w:t xml:space="preserve">mart </w:t>
      </w:r>
      <w:r w:rsidR="00E709A6" w:rsidRPr="00597788">
        <w:rPr>
          <w:rFonts w:eastAsiaTheme="minorEastAsia"/>
          <w:lang w:val="en-GB" w:bidi="en-US"/>
        </w:rPr>
        <w:t>g</w:t>
      </w:r>
      <w:r w:rsidRPr="00597788">
        <w:rPr>
          <w:rFonts w:eastAsiaTheme="minorEastAsia"/>
          <w:lang w:val="en-GB" w:bidi="en-US"/>
        </w:rPr>
        <w:t xml:space="preserve">rid technologies as a potential opportunity for EDTI. Smart </w:t>
      </w:r>
      <w:r w:rsidR="00E709A6" w:rsidRPr="00597788">
        <w:rPr>
          <w:rFonts w:eastAsiaTheme="minorEastAsia"/>
          <w:lang w:val="en-GB" w:bidi="en-US"/>
        </w:rPr>
        <w:t>g</w:t>
      </w:r>
      <w:r w:rsidRPr="00597788">
        <w:rPr>
          <w:rFonts w:eastAsiaTheme="minorEastAsia"/>
          <w:lang w:val="en-GB" w:bidi="en-US"/>
        </w:rPr>
        <w:t>rid technology had swept North America</w:t>
      </w:r>
      <w:r w:rsidR="007B34DF" w:rsidRPr="00597788">
        <w:rPr>
          <w:rFonts w:eastAsiaTheme="minorEastAsia"/>
          <w:lang w:val="en-GB" w:bidi="en-US"/>
        </w:rPr>
        <w:t>,</w:t>
      </w:r>
      <w:r w:rsidRPr="00597788">
        <w:rPr>
          <w:rFonts w:eastAsiaTheme="minorEastAsia"/>
          <w:lang w:val="en-GB" w:bidi="en-US"/>
        </w:rPr>
        <w:t xml:space="preserve"> enabled by advances in communication technology and </w:t>
      </w:r>
      <w:r w:rsidR="001C1F03" w:rsidRPr="00597788">
        <w:rPr>
          <w:rFonts w:eastAsiaTheme="minorEastAsia"/>
          <w:lang w:val="en-GB" w:bidi="en-US"/>
        </w:rPr>
        <w:t xml:space="preserve">support from </w:t>
      </w:r>
      <w:r w:rsidRPr="00597788">
        <w:rPr>
          <w:rFonts w:eastAsiaTheme="minorEastAsia"/>
          <w:lang w:val="en-GB" w:bidi="en-US"/>
        </w:rPr>
        <w:t>U</w:t>
      </w:r>
      <w:r w:rsidR="007B34DF" w:rsidRPr="00597788">
        <w:rPr>
          <w:rFonts w:eastAsiaTheme="minorEastAsia"/>
          <w:lang w:val="en-GB" w:bidi="en-US"/>
        </w:rPr>
        <w:t>.</w:t>
      </w:r>
      <w:r w:rsidRPr="00597788">
        <w:rPr>
          <w:rFonts w:eastAsiaTheme="minorEastAsia"/>
          <w:lang w:val="en-GB" w:bidi="en-US"/>
        </w:rPr>
        <w:t>S</w:t>
      </w:r>
      <w:r w:rsidR="007B34DF" w:rsidRPr="00597788">
        <w:rPr>
          <w:rFonts w:eastAsiaTheme="minorEastAsia"/>
          <w:lang w:val="en-GB" w:bidi="en-US"/>
        </w:rPr>
        <w:t>.</w:t>
      </w:r>
      <w:r w:rsidRPr="00597788">
        <w:rPr>
          <w:rFonts w:eastAsiaTheme="minorEastAsia"/>
          <w:lang w:val="en-GB" w:bidi="en-US"/>
        </w:rPr>
        <w:t xml:space="preserve"> government stimulus funding. </w:t>
      </w:r>
      <w:r w:rsidR="005D161E" w:rsidRPr="00597788">
        <w:rPr>
          <w:rFonts w:eastAsiaTheme="minorEastAsia"/>
          <w:lang w:val="en-GB" w:bidi="en-US"/>
        </w:rPr>
        <w:t>Both of the</w:t>
      </w:r>
      <w:r w:rsidR="001C1F03" w:rsidRPr="00597788">
        <w:rPr>
          <w:rFonts w:eastAsiaTheme="minorEastAsia"/>
          <w:lang w:val="en-GB" w:bidi="en-US"/>
        </w:rPr>
        <w:t xml:space="preserve"> primary </w:t>
      </w:r>
      <w:r w:rsidR="00E709A6" w:rsidRPr="00597788">
        <w:rPr>
          <w:rFonts w:eastAsiaTheme="minorEastAsia"/>
          <w:lang w:val="en-GB" w:bidi="en-US"/>
        </w:rPr>
        <w:t>s</w:t>
      </w:r>
      <w:r w:rsidR="001C1F03" w:rsidRPr="00597788">
        <w:rPr>
          <w:rFonts w:eastAsiaTheme="minorEastAsia"/>
          <w:lang w:val="en-GB" w:bidi="en-US"/>
        </w:rPr>
        <w:t xml:space="preserve">mart </w:t>
      </w:r>
      <w:r w:rsidR="00E709A6" w:rsidRPr="00597788">
        <w:rPr>
          <w:rFonts w:eastAsiaTheme="minorEastAsia"/>
          <w:lang w:val="en-GB" w:bidi="en-US"/>
        </w:rPr>
        <w:t>g</w:t>
      </w:r>
      <w:r w:rsidR="001C1F03" w:rsidRPr="00597788">
        <w:rPr>
          <w:rFonts w:eastAsiaTheme="minorEastAsia"/>
          <w:lang w:val="en-GB" w:bidi="en-US"/>
        </w:rPr>
        <w:t>rid technologies,</w:t>
      </w:r>
      <w:r w:rsidRPr="00597788">
        <w:rPr>
          <w:rFonts w:eastAsiaTheme="minorEastAsia"/>
          <w:lang w:val="en-GB" w:bidi="en-US"/>
        </w:rPr>
        <w:t xml:space="preserve"> </w:t>
      </w:r>
      <w:r w:rsidR="007B34DF" w:rsidRPr="00597788">
        <w:rPr>
          <w:rFonts w:eastAsiaTheme="minorEastAsia"/>
          <w:lang w:val="en-GB" w:bidi="en-US"/>
        </w:rPr>
        <w:t>a</w:t>
      </w:r>
      <w:r w:rsidR="0029268F" w:rsidRPr="00597788">
        <w:rPr>
          <w:rFonts w:eastAsiaTheme="minorEastAsia"/>
          <w:lang w:val="en-GB" w:bidi="en-US"/>
        </w:rPr>
        <w:t>utomat</w:t>
      </w:r>
      <w:r w:rsidR="00C86EAB" w:rsidRPr="00597788">
        <w:rPr>
          <w:rFonts w:eastAsiaTheme="minorEastAsia"/>
          <w:lang w:val="en-GB" w:bidi="en-US"/>
        </w:rPr>
        <w:t>ic</w:t>
      </w:r>
      <w:r w:rsidRPr="00597788">
        <w:rPr>
          <w:rFonts w:eastAsiaTheme="minorEastAsia"/>
          <w:lang w:val="en-GB" w:bidi="en-US"/>
        </w:rPr>
        <w:t xml:space="preserve"> </w:t>
      </w:r>
      <w:r w:rsidR="007B34DF" w:rsidRPr="00597788">
        <w:rPr>
          <w:rFonts w:eastAsiaTheme="minorEastAsia"/>
          <w:lang w:val="en-GB" w:bidi="en-US"/>
        </w:rPr>
        <w:t>m</w:t>
      </w:r>
      <w:r w:rsidRPr="00597788">
        <w:rPr>
          <w:rFonts w:eastAsiaTheme="minorEastAsia"/>
          <w:lang w:val="en-GB" w:bidi="en-US"/>
        </w:rPr>
        <w:t xml:space="preserve">eter </w:t>
      </w:r>
      <w:r w:rsidR="007B34DF" w:rsidRPr="00597788">
        <w:rPr>
          <w:rFonts w:eastAsiaTheme="minorEastAsia"/>
          <w:lang w:val="en-GB" w:bidi="en-US"/>
        </w:rPr>
        <w:t>r</w:t>
      </w:r>
      <w:r w:rsidR="00A619A1" w:rsidRPr="00597788">
        <w:rPr>
          <w:rFonts w:eastAsiaTheme="minorEastAsia"/>
          <w:lang w:val="en-GB" w:bidi="en-US"/>
        </w:rPr>
        <w:t xml:space="preserve">eading </w:t>
      </w:r>
      <w:r w:rsidRPr="00597788">
        <w:rPr>
          <w:rFonts w:eastAsiaTheme="minorEastAsia"/>
          <w:lang w:val="en-GB" w:bidi="en-US"/>
        </w:rPr>
        <w:t>(AM</w:t>
      </w:r>
      <w:r w:rsidR="00A619A1" w:rsidRPr="00597788">
        <w:rPr>
          <w:rFonts w:eastAsiaTheme="minorEastAsia"/>
          <w:lang w:val="en-GB" w:bidi="en-US"/>
        </w:rPr>
        <w:t>R</w:t>
      </w:r>
      <w:r w:rsidRPr="00597788">
        <w:rPr>
          <w:rFonts w:eastAsiaTheme="minorEastAsia"/>
          <w:lang w:val="en-GB" w:bidi="en-US"/>
        </w:rPr>
        <w:t xml:space="preserve">) and </w:t>
      </w:r>
      <w:r w:rsidR="007B34DF" w:rsidRPr="00597788">
        <w:rPr>
          <w:rFonts w:eastAsiaTheme="minorEastAsia"/>
          <w:lang w:val="en-GB" w:bidi="en-US"/>
        </w:rPr>
        <w:t>a</w:t>
      </w:r>
      <w:r w:rsidR="0029268F" w:rsidRPr="00597788">
        <w:rPr>
          <w:rFonts w:eastAsiaTheme="minorEastAsia"/>
          <w:lang w:val="en-GB" w:bidi="en-US"/>
        </w:rPr>
        <w:t>dvanced</w:t>
      </w:r>
      <w:r w:rsidRPr="00597788">
        <w:rPr>
          <w:rFonts w:eastAsiaTheme="minorEastAsia"/>
          <w:lang w:val="en-GB" w:bidi="en-US"/>
        </w:rPr>
        <w:t xml:space="preserve"> </w:t>
      </w:r>
      <w:r w:rsidR="007B34DF" w:rsidRPr="00597788">
        <w:rPr>
          <w:rFonts w:eastAsiaTheme="minorEastAsia"/>
          <w:lang w:val="en-GB" w:bidi="en-US"/>
        </w:rPr>
        <w:t>m</w:t>
      </w:r>
      <w:r w:rsidRPr="00597788">
        <w:rPr>
          <w:rFonts w:eastAsiaTheme="minorEastAsia"/>
          <w:lang w:val="en-GB" w:bidi="en-US"/>
        </w:rPr>
        <w:t>eter</w:t>
      </w:r>
      <w:r w:rsidR="0029268F" w:rsidRPr="00597788">
        <w:rPr>
          <w:rFonts w:eastAsiaTheme="minorEastAsia"/>
          <w:lang w:val="en-GB" w:bidi="en-US"/>
        </w:rPr>
        <w:t>ing</w:t>
      </w:r>
      <w:r w:rsidRPr="00597788">
        <w:rPr>
          <w:rFonts w:eastAsiaTheme="minorEastAsia"/>
          <w:lang w:val="en-GB" w:bidi="en-US"/>
        </w:rPr>
        <w:t xml:space="preserve"> </w:t>
      </w:r>
      <w:r w:rsidR="007B34DF" w:rsidRPr="00597788">
        <w:rPr>
          <w:rFonts w:eastAsiaTheme="minorEastAsia"/>
          <w:lang w:val="en-GB" w:bidi="en-US"/>
        </w:rPr>
        <w:t>i</w:t>
      </w:r>
      <w:r w:rsidR="00A619A1" w:rsidRPr="00597788">
        <w:rPr>
          <w:rFonts w:eastAsiaTheme="minorEastAsia"/>
          <w:lang w:val="en-GB" w:bidi="en-US"/>
        </w:rPr>
        <w:t xml:space="preserve">nfrastructure </w:t>
      </w:r>
      <w:r w:rsidRPr="00597788">
        <w:rPr>
          <w:rFonts w:eastAsiaTheme="minorEastAsia"/>
          <w:lang w:val="en-GB" w:bidi="en-US"/>
        </w:rPr>
        <w:t>(AM</w:t>
      </w:r>
      <w:r w:rsidR="00A619A1" w:rsidRPr="00597788">
        <w:rPr>
          <w:rFonts w:eastAsiaTheme="minorEastAsia"/>
          <w:lang w:val="en-GB" w:bidi="en-US"/>
        </w:rPr>
        <w:t>I</w:t>
      </w:r>
      <w:r w:rsidRPr="00597788">
        <w:rPr>
          <w:rFonts w:eastAsiaTheme="minorEastAsia"/>
          <w:lang w:val="en-GB" w:bidi="en-US"/>
        </w:rPr>
        <w:t xml:space="preserve">), </w:t>
      </w:r>
      <w:r w:rsidR="005D161E" w:rsidRPr="00597788">
        <w:rPr>
          <w:rFonts w:eastAsiaTheme="minorEastAsia"/>
          <w:lang w:val="en-GB" w:bidi="en-US"/>
        </w:rPr>
        <w:t>represented significant improvements over manually</w:t>
      </w:r>
      <w:r w:rsidR="00D8015D" w:rsidRPr="00597788">
        <w:rPr>
          <w:rFonts w:eastAsiaTheme="minorEastAsia"/>
          <w:lang w:val="en-GB" w:bidi="en-US"/>
        </w:rPr>
        <w:t xml:space="preserve"> </w:t>
      </w:r>
      <w:r w:rsidR="005D161E" w:rsidRPr="00597788">
        <w:rPr>
          <w:rFonts w:eastAsiaTheme="minorEastAsia"/>
          <w:lang w:val="en-GB" w:bidi="en-US"/>
        </w:rPr>
        <w:t>read</w:t>
      </w:r>
      <w:r w:rsidR="00D8015D" w:rsidRPr="00597788">
        <w:rPr>
          <w:rFonts w:eastAsiaTheme="minorEastAsia"/>
          <w:lang w:val="en-GB" w:bidi="en-US"/>
        </w:rPr>
        <w:t>ing</w:t>
      </w:r>
      <w:r w:rsidR="005D161E" w:rsidRPr="00597788">
        <w:rPr>
          <w:rFonts w:eastAsiaTheme="minorEastAsia"/>
          <w:lang w:val="en-GB" w:bidi="en-US"/>
        </w:rPr>
        <w:t xml:space="preserve"> meters. AMR, </w:t>
      </w:r>
      <w:r w:rsidR="00B25273" w:rsidRPr="00597788">
        <w:rPr>
          <w:rFonts w:eastAsiaTheme="minorEastAsia"/>
          <w:lang w:val="en-GB" w:bidi="en-US"/>
        </w:rPr>
        <w:t>a meter-based technology</w:t>
      </w:r>
      <w:r w:rsidR="005D161E" w:rsidRPr="00597788">
        <w:rPr>
          <w:rFonts w:eastAsiaTheme="minorEastAsia"/>
          <w:lang w:val="en-GB" w:bidi="en-US"/>
        </w:rPr>
        <w:t xml:space="preserve">, enabled meters to be read from the readers’ vehicles. </w:t>
      </w:r>
      <w:r w:rsidR="00E0493E" w:rsidRPr="00597788">
        <w:rPr>
          <w:rFonts w:eastAsiaTheme="minorEastAsia"/>
          <w:lang w:val="en-GB" w:bidi="en-US"/>
        </w:rPr>
        <w:t xml:space="preserve">With the additional installation of </w:t>
      </w:r>
      <w:r w:rsidR="007B34DF" w:rsidRPr="00597788">
        <w:rPr>
          <w:rFonts w:eastAsiaTheme="minorEastAsia"/>
          <w:lang w:val="en-GB" w:bidi="en-US"/>
        </w:rPr>
        <w:t>f</w:t>
      </w:r>
      <w:r w:rsidR="00E0493E" w:rsidRPr="00597788">
        <w:rPr>
          <w:rFonts w:eastAsiaTheme="minorEastAsia"/>
          <w:lang w:val="en-GB" w:bidi="en-US"/>
        </w:rPr>
        <w:t xml:space="preserve">ixed </w:t>
      </w:r>
      <w:r w:rsidR="007B34DF" w:rsidRPr="00597788">
        <w:rPr>
          <w:rFonts w:eastAsiaTheme="minorEastAsia"/>
          <w:lang w:val="en-GB" w:bidi="en-US"/>
        </w:rPr>
        <w:t>n</w:t>
      </w:r>
      <w:r w:rsidR="00E0493E" w:rsidRPr="00597788">
        <w:rPr>
          <w:rFonts w:eastAsiaTheme="minorEastAsia"/>
          <w:lang w:val="en-GB" w:bidi="en-US"/>
        </w:rPr>
        <w:t>etworks, data from AMR meters could be remotely transmitted to central processing cent</w:t>
      </w:r>
      <w:r w:rsidR="007B34DF" w:rsidRPr="00597788">
        <w:rPr>
          <w:rFonts w:eastAsiaTheme="minorEastAsia"/>
          <w:lang w:val="en-GB" w:bidi="en-US"/>
        </w:rPr>
        <w:t>r</w:t>
      </w:r>
      <w:r w:rsidR="00E0493E" w:rsidRPr="00597788">
        <w:rPr>
          <w:rFonts w:eastAsiaTheme="minorEastAsia"/>
          <w:lang w:val="en-GB" w:bidi="en-US"/>
        </w:rPr>
        <w:t>es</w:t>
      </w:r>
      <w:r w:rsidR="00216C6F" w:rsidRPr="00597788">
        <w:rPr>
          <w:rFonts w:eastAsiaTheme="minorEastAsia"/>
          <w:lang w:val="en-GB" w:bidi="en-US"/>
        </w:rPr>
        <w:t>, eliminating the need for a fleet of vehicles</w:t>
      </w:r>
      <w:r w:rsidR="00E0493E" w:rsidRPr="00597788">
        <w:rPr>
          <w:rFonts w:eastAsiaTheme="minorEastAsia"/>
          <w:lang w:val="en-GB" w:bidi="en-US"/>
        </w:rPr>
        <w:t xml:space="preserve">. </w:t>
      </w:r>
      <w:r w:rsidR="005D161E" w:rsidRPr="00597788">
        <w:rPr>
          <w:rFonts w:eastAsiaTheme="minorEastAsia"/>
          <w:lang w:val="en-GB" w:bidi="en-US"/>
        </w:rPr>
        <w:t>AMI</w:t>
      </w:r>
      <w:r w:rsidR="00E0493E" w:rsidRPr="00597788">
        <w:rPr>
          <w:rFonts w:eastAsiaTheme="minorEastAsia"/>
          <w:lang w:val="en-GB" w:bidi="en-US"/>
        </w:rPr>
        <w:t xml:space="preserve">, </w:t>
      </w:r>
      <w:r w:rsidR="00A619A1" w:rsidRPr="00597788">
        <w:rPr>
          <w:rFonts w:eastAsiaTheme="minorEastAsia"/>
          <w:lang w:val="en-GB" w:bidi="en-US"/>
        </w:rPr>
        <w:t>although a</w:t>
      </w:r>
      <w:r w:rsidR="00E0493E" w:rsidRPr="00597788">
        <w:rPr>
          <w:rFonts w:eastAsiaTheme="minorEastAsia"/>
          <w:lang w:val="en-GB" w:bidi="en-US"/>
        </w:rPr>
        <w:t xml:space="preserve"> </w:t>
      </w:r>
      <w:r w:rsidR="00216C6F" w:rsidRPr="00597788">
        <w:rPr>
          <w:rFonts w:eastAsiaTheme="minorEastAsia"/>
          <w:lang w:val="en-GB" w:bidi="en-US"/>
        </w:rPr>
        <w:t>costlier</w:t>
      </w:r>
      <w:r w:rsidR="00B74387" w:rsidRPr="00597788">
        <w:rPr>
          <w:rFonts w:eastAsiaTheme="minorEastAsia"/>
          <w:lang w:val="en-GB" w:bidi="en-US"/>
        </w:rPr>
        <w:t xml:space="preserve"> </w:t>
      </w:r>
      <w:r w:rsidR="005D161E" w:rsidRPr="00597788">
        <w:rPr>
          <w:rFonts w:eastAsiaTheme="minorEastAsia"/>
          <w:lang w:val="en-GB" w:bidi="en-US"/>
        </w:rPr>
        <w:t>technology</w:t>
      </w:r>
      <w:r w:rsidR="00A619A1" w:rsidRPr="00597788">
        <w:rPr>
          <w:rFonts w:eastAsiaTheme="minorEastAsia"/>
          <w:lang w:val="en-GB" w:bidi="en-US"/>
        </w:rPr>
        <w:t>,</w:t>
      </w:r>
      <w:r w:rsidR="00E0493E" w:rsidRPr="00597788">
        <w:rPr>
          <w:rFonts w:eastAsiaTheme="minorEastAsia"/>
          <w:lang w:val="en-GB" w:bidi="en-US"/>
        </w:rPr>
        <w:t xml:space="preserve"> </w:t>
      </w:r>
      <w:r w:rsidR="00A619A1" w:rsidRPr="00597788">
        <w:rPr>
          <w:rFonts w:eastAsiaTheme="minorEastAsia"/>
          <w:lang w:val="en-GB" w:bidi="en-US"/>
        </w:rPr>
        <w:t xml:space="preserve">was a comprehensive system that </w:t>
      </w:r>
      <w:r w:rsidR="00B25273" w:rsidRPr="00597788">
        <w:rPr>
          <w:rFonts w:eastAsiaTheme="minorEastAsia"/>
          <w:lang w:val="en-GB" w:bidi="en-US"/>
        </w:rPr>
        <w:t>enabled</w:t>
      </w:r>
      <w:r w:rsidR="00B43BDC" w:rsidRPr="00597788">
        <w:rPr>
          <w:rFonts w:eastAsiaTheme="minorEastAsia"/>
          <w:lang w:val="en-GB" w:bidi="en-US"/>
        </w:rPr>
        <w:t xml:space="preserve"> </w:t>
      </w:r>
      <w:r w:rsidR="005D161E" w:rsidRPr="00597788">
        <w:rPr>
          <w:rFonts w:eastAsiaTheme="minorEastAsia"/>
          <w:lang w:val="en-GB" w:bidi="en-US"/>
        </w:rPr>
        <w:t xml:space="preserve">automated </w:t>
      </w:r>
      <w:r w:rsidR="001C1F03" w:rsidRPr="00597788">
        <w:rPr>
          <w:rFonts w:eastAsiaTheme="minorEastAsia"/>
          <w:lang w:val="en-GB" w:bidi="en-US"/>
        </w:rPr>
        <w:t>two</w:t>
      </w:r>
      <w:r w:rsidR="005D161E" w:rsidRPr="00597788">
        <w:rPr>
          <w:rFonts w:eastAsiaTheme="minorEastAsia"/>
          <w:lang w:val="en-GB" w:bidi="en-US"/>
        </w:rPr>
        <w:t>-way communication between meter</w:t>
      </w:r>
      <w:r w:rsidR="00B43BDC" w:rsidRPr="00597788">
        <w:rPr>
          <w:rFonts w:eastAsiaTheme="minorEastAsia"/>
          <w:lang w:val="en-GB" w:bidi="en-US"/>
        </w:rPr>
        <w:t xml:space="preserve">s and </w:t>
      </w:r>
      <w:r w:rsidR="00B25273" w:rsidRPr="00597788">
        <w:rPr>
          <w:rFonts w:eastAsiaTheme="minorEastAsia"/>
          <w:lang w:val="en-GB" w:bidi="en-US"/>
        </w:rPr>
        <w:t xml:space="preserve">a central network. </w:t>
      </w:r>
      <w:r w:rsidR="00B43BDC" w:rsidRPr="00597788">
        <w:rPr>
          <w:rFonts w:eastAsiaTheme="minorEastAsia"/>
          <w:lang w:val="en-GB" w:bidi="en-US"/>
        </w:rPr>
        <w:t>Two-way communication</w:t>
      </w:r>
      <w:r w:rsidR="00A619A1" w:rsidRPr="00597788">
        <w:rPr>
          <w:rFonts w:eastAsiaTheme="minorEastAsia"/>
          <w:lang w:val="en-GB" w:bidi="en-US"/>
        </w:rPr>
        <w:t xml:space="preserve"> provided benefits over AMR including </w:t>
      </w:r>
      <w:r w:rsidR="00B43BDC" w:rsidRPr="00597788">
        <w:rPr>
          <w:rFonts w:eastAsiaTheme="minorEastAsia"/>
          <w:lang w:val="en-GB" w:bidi="en-US"/>
        </w:rPr>
        <w:t xml:space="preserve">immediate </w:t>
      </w:r>
      <w:r w:rsidR="00B25273" w:rsidRPr="00597788">
        <w:rPr>
          <w:rFonts w:eastAsiaTheme="minorEastAsia"/>
          <w:lang w:val="en-GB" w:bidi="en-US"/>
        </w:rPr>
        <w:t>notification</w:t>
      </w:r>
      <w:r w:rsidR="00D8015D" w:rsidRPr="00597788">
        <w:rPr>
          <w:rFonts w:eastAsiaTheme="minorEastAsia"/>
          <w:lang w:val="en-GB" w:bidi="en-US"/>
        </w:rPr>
        <w:t>,</w:t>
      </w:r>
      <w:r w:rsidR="00B25273" w:rsidRPr="00597788">
        <w:rPr>
          <w:rFonts w:eastAsiaTheme="minorEastAsia"/>
          <w:lang w:val="en-GB" w:bidi="en-US"/>
        </w:rPr>
        <w:t xml:space="preserve"> resolution of</w:t>
      </w:r>
      <w:r w:rsidR="00B43BDC" w:rsidRPr="00597788">
        <w:rPr>
          <w:rFonts w:eastAsiaTheme="minorEastAsia"/>
          <w:lang w:val="en-GB" w:bidi="en-US"/>
        </w:rPr>
        <w:t xml:space="preserve"> </w:t>
      </w:r>
      <w:r w:rsidR="00B25273" w:rsidRPr="00597788">
        <w:rPr>
          <w:rFonts w:eastAsiaTheme="minorEastAsia"/>
          <w:lang w:val="en-GB" w:bidi="en-US"/>
        </w:rPr>
        <w:t>operational failures (i.e.</w:t>
      </w:r>
      <w:r w:rsidR="007B34DF" w:rsidRPr="00597788">
        <w:rPr>
          <w:rFonts w:eastAsiaTheme="minorEastAsia"/>
          <w:lang w:val="en-GB" w:bidi="en-US"/>
        </w:rPr>
        <w:t>,</w:t>
      </w:r>
      <w:r w:rsidR="00B25273" w:rsidRPr="00597788">
        <w:rPr>
          <w:rFonts w:eastAsiaTheme="minorEastAsia"/>
          <w:lang w:val="en-GB" w:bidi="en-US"/>
        </w:rPr>
        <w:t xml:space="preserve"> outages)</w:t>
      </w:r>
      <w:r w:rsidR="00D8015D" w:rsidRPr="00597788">
        <w:rPr>
          <w:rFonts w:eastAsiaTheme="minorEastAsia"/>
          <w:lang w:val="en-GB" w:bidi="en-US"/>
        </w:rPr>
        <w:t>,</w:t>
      </w:r>
      <w:r w:rsidR="00B43BDC" w:rsidRPr="00597788">
        <w:rPr>
          <w:rFonts w:eastAsiaTheme="minorEastAsia"/>
          <w:lang w:val="en-GB" w:bidi="en-US"/>
        </w:rPr>
        <w:t xml:space="preserve"> and </w:t>
      </w:r>
      <w:r w:rsidR="00B25273" w:rsidRPr="00597788">
        <w:rPr>
          <w:rFonts w:eastAsiaTheme="minorEastAsia"/>
          <w:lang w:val="en-GB" w:bidi="en-US"/>
        </w:rPr>
        <w:t xml:space="preserve">energy savings. </w:t>
      </w:r>
    </w:p>
    <w:p w14:paraId="5D329A65" w14:textId="77777777" w:rsidR="00B43BDC" w:rsidRPr="00597788" w:rsidRDefault="00B43BDC" w:rsidP="007E4763">
      <w:pPr>
        <w:pStyle w:val="BodyTextMain"/>
        <w:rPr>
          <w:rFonts w:eastAsiaTheme="minorEastAsia"/>
          <w:lang w:val="en-GB" w:bidi="en-US"/>
        </w:rPr>
      </w:pPr>
    </w:p>
    <w:p w14:paraId="6702B22D" w14:textId="2E92066C" w:rsidR="00B04C2E" w:rsidRPr="00597788" w:rsidRDefault="00B04C2E" w:rsidP="00B04C2E">
      <w:pPr>
        <w:pStyle w:val="BodyTextMain"/>
        <w:rPr>
          <w:rFonts w:eastAsiaTheme="minorEastAsia"/>
          <w:lang w:val="en-GB" w:bidi="en-US"/>
        </w:rPr>
      </w:pPr>
      <w:r w:rsidRPr="00597788">
        <w:rPr>
          <w:rFonts w:eastAsiaTheme="minorEastAsia"/>
          <w:lang w:val="en-GB" w:bidi="en-US"/>
        </w:rPr>
        <w:t xml:space="preserve">EPCOR had </w:t>
      </w:r>
      <w:r w:rsidR="005D161E" w:rsidRPr="00597788">
        <w:rPr>
          <w:rFonts w:eastAsiaTheme="minorEastAsia"/>
          <w:lang w:val="en-GB" w:bidi="en-US"/>
        </w:rPr>
        <w:t xml:space="preserve">already </w:t>
      </w:r>
      <w:r w:rsidRPr="00597788">
        <w:rPr>
          <w:rFonts w:eastAsiaTheme="minorEastAsia"/>
          <w:lang w:val="en-GB" w:bidi="en-US"/>
        </w:rPr>
        <w:t xml:space="preserve">begun to replace </w:t>
      </w:r>
      <w:r w:rsidR="00234D71" w:rsidRPr="00597788">
        <w:rPr>
          <w:rFonts w:eastAsiaTheme="minorEastAsia"/>
          <w:lang w:val="en-GB" w:bidi="en-US"/>
        </w:rPr>
        <w:t>worn-</w:t>
      </w:r>
      <w:r w:rsidRPr="00597788">
        <w:rPr>
          <w:rFonts w:eastAsiaTheme="minorEastAsia"/>
          <w:lang w:val="en-GB" w:bidi="en-US"/>
        </w:rPr>
        <w:t xml:space="preserve">out </w:t>
      </w:r>
      <w:r w:rsidR="00B43BDC" w:rsidRPr="00597788">
        <w:rPr>
          <w:rFonts w:eastAsiaTheme="minorEastAsia"/>
          <w:lang w:val="en-GB" w:bidi="en-US"/>
        </w:rPr>
        <w:t>manually</w:t>
      </w:r>
      <w:r w:rsidR="00D8015D" w:rsidRPr="00597788">
        <w:rPr>
          <w:rFonts w:eastAsiaTheme="minorEastAsia"/>
          <w:lang w:val="en-GB" w:bidi="en-US"/>
        </w:rPr>
        <w:t xml:space="preserve"> </w:t>
      </w:r>
      <w:r w:rsidR="00B43BDC" w:rsidRPr="00597788">
        <w:rPr>
          <w:rFonts w:eastAsiaTheme="minorEastAsia"/>
          <w:lang w:val="en-GB" w:bidi="en-US"/>
        </w:rPr>
        <w:t xml:space="preserve">read </w:t>
      </w:r>
      <w:r w:rsidRPr="00597788">
        <w:rPr>
          <w:rFonts w:eastAsiaTheme="minorEastAsia"/>
          <w:lang w:val="en-GB" w:bidi="en-US"/>
        </w:rPr>
        <w:t>meters with AMR</w:t>
      </w:r>
      <w:r w:rsidR="00386732" w:rsidRPr="00597788">
        <w:rPr>
          <w:rFonts w:eastAsiaTheme="minorEastAsia"/>
          <w:lang w:val="en-GB" w:bidi="en-US"/>
        </w:rPr>
        <w:t>,</w:t>
      </w:r>
      <w:r w:rsidR="005D161E" w:rsidRPr="00597788">
        <w:rPr>
          <w:rFonts w:eastAsiaTheme="minorEastAsia"/>
          <w:lang w:val="en-GB" w:bidi="en-US"/>
        </w:rPr>
        <w:t xml:space="preserve"> and c</w:t>
      </w:r>
      <w:r w:rsidR="00B43BDC" w:rsidRPr="00597788">
        <w:rPr>
          <w:rFonts w:eastAsiaTheme="minorEastAsia"/>
          <w:lang w:val="en-GB" w:bidi="en-US"/>
        </w:rPr>
        <w:t xml:space="preserve">ontinuing </w:t>
      </w:r>
      <w:r w:rsidR="005D161E" w:rsidRPr="00597788">
        <w:rPr>
          <w:rFonts w:eastAsiaTheme="minorEastAsia"/>
          <w:lang w:val="en-GB" w:bidi="en-US"/>
        </w:rPr>
        <w:t>down this road</w:t>
      </w:r>
      <w:r w:rsidR="00136BE9" w:rsidRPr="00597788">
        <w:rPr>
          <w:rFonts w:eastAsiaTheme="minorEastAsia"/>
          <w:lang w:val="en-GB" w:bidi="en-US"/>
        </w:rPr>
        <w:t xml:space="preserve"> would mean</w:t>
      </w:r>
      <w:r w:rsidR="005D161E" w:rsidRPr="00597788">
        <w:rPr>
          <w:rFonts w:eastAsiaTheme="minorEastAsia"/>
          <w:lang w:val="en-GB" w:bidi="en-US"/>
        </w:rPr>
        <w:t xml:space="preserve"> </w:t>
      </w:r>
      <w:r w:rsidRPr="00597788">
        <w:rPr>
          <w:rFonts w:eastAsiaTheme="minorEastAsia"/>
          <w:lang w:val="en-GB" w:bidi="en-US"/>
        </w:rPr>
        <w:t>all meters</w:t>
      </w:r>
      <w:r w:rsidR="005D161E" w:rsidRPr="00597788">
        <w:rPr>
          <w:rFonts w:eastAsiaTheme="minorEastAsia"/>
          <w:lang w:val="en-GB" w:bidi="en-US"/>
        </w:rPr>
        <w:t xml:space="preserve"> would be transitioned</w:t>
      </w:r>
      <w:r w:rsidRPr="00597788">
        <w:rPr>
          <w:rFonts w:eastAsiaTheme="minorEastAsia"/>
          <w:lang w:val="en-GB" w:bidi="en-US"/>
        </w:rPr>
        <w:t xml:space="preserve"> to AMR</w:t>
      </w:r>
      <w:r w:rsidR="005D161E" w:rsidRPr="00597788">
        <w:rPr>
          <w:rFonts w:eastAsiaTheme="minorEastAsia"/>
          <w:lang w:val="en-GB" w:bidi="en-US"/>
        </w:rPr>
        <w:t xml:space="preserve"> in about 20 years</w:t>
      </w:r>
      <w:r w:rsidRPr="00597788">
        <w:rPr>
          <w:rFonts w:eastAsiaTheme="minorEastAsia"/>
          <w:lang w:val="en-GB" w:bidi="en-US"/>
        </w:rPr>
        <w:t xml:space="preserve">. </w:t>
      </w:r>
      <w:r w:rsidR="00B43BDC" w:rsidRPr="00597788">
        <w:rPr>
          <w:rFonts w:eastAsiaTheme="minorEastAsia"/>
          <w:lang w:val="en-GB" w:bidi="en-US"/>
        </w:rPr>
        <w:t>Although</w:t>
      </w:r>
      <w:r w:rsidRPr="00597788">
        <w:rPr>
          <w:rFonts w:eastAsiaTheme="minorEastAsia"/>
          <w:lang w:val="en-GB" w:bidi="en-US"/>
        </w:rPr>
        <w:t xml:space="preserve"> attractive in many regards, an immediate upgrade to either AMR or AMI represented a major capital expenditure. </w:t>
      </w:r>
      <w:r w:rsidR="00B43BDC" w:rsidRPr="00597788">
        <w:rPr>
          <w:rFonts w:eastAsiaTheme="minorEastAsia"/>
          <w:lang w:val="en-GB" w:bidi="en-US"/>
        </w:rPr>
        <w:t>Additionally</w:t>
      </w:r>
      <w:r w:rsidRPr="00597788">
        <w:rPr>
          <w:rFonts w:eastAsiaTheme="minorEastAsia"/>
          <w:lang w:val="en-GB" w:bidi="en-US"/>
        </w:rPr>
        <w:t>, EDTI’s application</w:t>
      </w:r>
      <w:r w:rsidR="00B43BDC" w:rsidRPr="00597788">
        <w:rPr>
          <w:rFonts w:eastAsiaTheme="minorEastAsia"/>
          <w:lang w:val="en-GB" w:bidi="en-US"/>
        </w:rPr>
        <w:t>,</w:t>
      </w:r>
      <w:r w:rsidRPr="00597788">
        <w:rPr>
          <w:rFonts w:eastAsiaTheme="minorEastAsia"/>
          <w:lang w:val="en-GB" w:bidi="en-US"/>
        </w:rPr>
        <w:t xml:space="preserve"> </w:t>
      </w:r>
      <w:r w:rsidR="00B43BDC" w:rsidRPr="00597788">
        <w:rPr>
          <w:rFonts w:eastAsiaTheme="minorEastAsia"/>
          <w:lang w:val="en-GB" w:bidi="en-US"/>
        </w:rPr>
        <w:t xml:space="preserve">in 2010, </w:t>
      </w:r>
      <w:r w:rsidRPr="00597788">
        <w:rPr>
          <w:rFonts w:eastAsiaTheme="minorEastAsia"/>
          <w:lang w:val="en-GB" w:bidi="en-US"/>
        </w:rPr>
        <w:t xml:space="preserve">to implement AMI </w:t>
      </w:r>
      <w:r w:rsidR="00D8015D" w:rsidRPr="00597788">
        <w:rPr>
          <w:rFonts w:eastAsiaTheme="minorEastAsia"/>
          <w:lang w:val="en-GB" w:bidi="en-US"/>
        </w:rPr>
        <w:t xml:space="preserve">had been </w:t>
      </w:r>
      <w:r w:rsidRPr="00597788">
        <w:rPr>
          <w:rFonts w:eastAsiaTheme="minorEastAsia"/>
          <w:lang w:val="en-GB" w:bidi="en-US"/>
        </w:rPr>
        <w:t>denied by the Alberta Utilities Commission</w:t>
      </w:r>
      <w:r w:rsidR="00216C6F" w:rsidRPr="00597788">
        <w:rPr>
          <w:rFonts w:eastAsiaTheme="minorEastAsia"/>
          <w:lang w:val="en-GB" w:bidi="en-US"/>
        </w:rPr>
        <w:t xml:space="preserve"> </w:t>
      </w:r>
      <w:r w:rsidR="00840C8C" w:rsidRPr="00597788">
        <w:rPr>
          <w:rFonts w:eastAsiaTheme="minorEastAsia"/>
          <w:lang w:val="en-GB" w:bidi="en-US"/>
        </w:rPr>
        <w:t xml:space="preserve">(AUC) </w:t>
      </w:r>
      <w:r w:rsidR="00216C6F" w:rsidRPr="00597788">
        <w:rPr>
          <w:rFonts w:eastAsiaTheme="minorEastAsia"/>
          <w:lang w:val="en-GB" w:bidi="en-US"/>
        </w:rPr>
        <w:t>because the financial analysis did not demonstrate a clear benefit</w:t>
      </w:r>
      <w:r w:rsidR="00CB629F" w:rsidRPr="00597788">
        <w:rPr>
          <w:rFonts w:eastAsiaTheme="minorEastAsia"/>
          <w:lang w:val="en-GB" w:bidi="en-US"/>
        </w:rPr>
        <w:t xml:space="preserve"> of upgrading</w:t>
      </w:r>
      <w:r w:rsidR="00216C6F" w:rsidRPr="00597788">
        <w:rPr>
          <w:rFonts w:eastAsiaTheme="minorEastAsia"/>
          <w:lang w:val="en-GB" w:bidi="en-US"/>
        </w:rPr>
        <w:t>.</w:t>
      </w:r>
      <w:r w:rsidR="00B43BDC" w:rsidRPr="00597788">
        <w:rPr>
          <w:rFonts w:eastAsiaTheme="minorEastAsia"/>
          <w:lang w:val="en-GB" w:bidi="en-US"/>
        </w:rPr>
        <w:t xml:space="preserve"> </w:t>
      </w:r>
      <w:r w:rsidRPr="00597788">
        <w:rPr>
          <w:rFonts w:eastAsiaTheme="minorEastAsia"/>
          <w:lang w:val="en-GB" w:bidi="en-US"/>
        </w:rPr>
        <w:t xml:space="preserve">Since </w:t>
      </w:r>
      <w:r w:rsidR="00B43BDC" w:rsidRPr="00597788">
        <w:rPr>
          <w:rFonts w:eastAsiaTheme="minorEastAsia"/>
          <w:lang w:val="en-GB" w:bidi="en-US"/>
        </w:rPr>
        <w:t>that time</w:t>
      </w:r>
      <w:r w:rsidRPr="00597788">
        <w:rPr>
          <w:rFonts w:eastAsiaTheme="minorEastAsia"/>
          <w:lang w:val="en-GB" w:bidi="en-US"/>
        </w:rPr>
        <w:t>, however, several key changes had taken place</w:t>
      </w:r>
      <w:r w:rsidR="00D8015D" w:rsidRPr="00597788">
        <w:rPr>
          <w:rFonts w:eastAsiaTheme="minorEastAsia"/>
          <w:lang w:val="en-GB" w:bidi="en-US"/>
        </w:rPr>
        <w:t xml:space="preserve"> that meant </w:t>
      </w:r>
      <w:r w:rsidR="00CB629F" w:rsidRPr="00597788">
        <w:rPr>
          <w:rFonts w:eastAsiaTheme="minorEastAsia"/>
          <w:lang w:val="en-GB" w:bidi="en-US"/>
        </w:rPr>
        <w:t>that</w:t>
      </w:r>
      <w:r w:rsidR="00690E95" w:rsidRPr="00597788">
        <w:rPr>
          <w:rFonts w:eastAsiaTheme="minorEastAsia"/>
          <w:lang w:val="en-GB" w:bidi="en-US"/>
        </w:rPr>
        <w:t xml:space="preserve"> a</w:t>
      </w:r>
      <w:r w:rsidR="00216C6F" w:rsidRPr="00597788">
        <w:rPr>
          <w:rFonts w:eastAsiaTheme="minorEastAsia"/>
          <w:lang w:val="en-GB" w:bidi="en-US"/>
        </w:rPr>
        <w:t xml:space="preserve"> new</w:t>
      </w:r>
      <w:r w:rsidR="00690E95" w:rsidRPr="00597788">
        <w:rPr>
          <w:rFonts w:eastAsiaTheme="minorEastAsia"/>
          <w:lang w:val="en-GB" w:bidi="en-US"/>
        </w:rPr>
        <w:t xml:space="preserve"> application for AMI had </w:t>
      </w:r>
      <w:r w:rsidR="00136BE9" w:rsidRPr="00597788">
        <w:rPr>
          <w:rFonts w:eastAsiaTheme="minorEastAsia"/>
          <w:lang w:val="en-GB" w:bidi="en-US"/>
        </w:rPr>
        <w:t xml:space="preserve">a </w:t>
      </w:r>
      <w:r w:rsidR="00690E95" w:rsidRPr="00597788">
        <w:rPr>
          <w:rFonts w:eastAsiaTheme="minorEastAsia"/>
          <w:lang w:val="en-GB" w:bidi="en-US"/>
        </w:rPr>
        <w:t xml:space="preserve">better chance of being accepted. </w:t>
      </w:r>
      <w:r w:rsidR="00386732" w:rsidRPr="00597788">
        <w:rPr>
          <w:rFonts w:eastAsiaTheme="minorEastAsia"/>
          <w:lang w:val="en-GB" w:bidi="en-US"/>
        </w:rPr>
        <w:t>These c</w:t>
      </w:r>
      <w:r w:rsidR="00690E95" w:rsidRPr="00597788">
        <w:rPr>
          <w:rFonts w:eastAsiaTheme="minorEastAsia"/>
          <w:lang w:val="en-GB" w:bidi="en-US"/>
        </w:rPr>
        <w:t>hanges</w:t>
      </w:r>
      <w:r w:rsidRPr="00597788">
        <w:rPr>
          <w:rFonts w:eastAsiaTheme="minorEastAsia"/>
          <w:lang w:val="en-GB" w:bidi="en-US"/>
        </w:rPr>
        <w:t xml:space="preserve"> includ</w:t>
      </w:r>
      <w:r w:rsidR="00690E95" w:rsidRPr="00597788">
        <w:rPr>
          <w:rFonts w:eastAsiaTheme="minorEastAsia"/>
          <w:lang w:val="en-GB" w:bidi="en-US"/>
        </w:rPr>
        <w:t>ed</w:t>
      </w:r>
      <w:r w:rsidRPr="00597788">
        <w:rPr>
          <w:rFonts w:eastAsiaTheme="minorEastAsia"/>
          <w:lang w:val="en-GB" w:bidi="en-US"/>
        </w:rPr>
        <w:t xml:space="preserve"> more stringent and costly regulatory requirements for meter sampling and testing</w:t>
      </w:r>
      <w:r w:rsidR="00386732" w:rsidRPr="00597788">
        <w:rPr>
          <w:rFonts w:eastAsiaTheme="minorEastAsia"/>
          <w:lang w:val="en-GB" w:bidi="en-US"/>
        </w:rPr>
        <w:t>,</w:t>
      </w:r>
      <w:r w:rsidR="00CB629F" w:rsidRPr="00597788">
        <w:rPr>
          <w:rFonts w:eastAsiaTheme="minorEastAsia"/>
          <w:lang w:val="en-GB" w:bidi="en-US"/>
        </w:rPr>
        <w:t xml:space="preserve"> which made the use of manual meters costlier.</w:t>
      </w:r>
      <w:r w:rsidRPr="00597788">
        <w:rPr>
          <w:rFonts w:eastAsiaTheme="minorEastAsia"/>
          <w:lang w:val="en-GB" w:bidi="en-US"/>
        </w:rPr>
        <w:t xml:space="preserve"> </w:t>
      </w:r>
      <w:r w:rsidR="00CB629F" w:rsidRPr="00597788">
        <w:rPr>
          <w:rFonts w:eastAsiaTheme="minorEastAsia"/>
          <w:lang w:val="en-GB" w:bidi="en-US"/>
        </w:rPr>
        <w:t xml:space="preserve">Additionally, </w:t>
      </w:r>
      <w:r w:rsidR="00386732" w:rsidRPr="00597788">
        <w:rPr>
          <w:rFonts w:eastAsiaTheme="minorEastAsia"/>
          <w:lang w:val="en-GB" w:bidi="en-US"/>
        </w:rPr>
        <w:t>Alberta’s</w:t>
      </w:r>
      <w:r w:rsidRPr="00597788">
        <w:rPr>
          <w:rFonts w:eastAsiaTheme="minorEastAsia"/>
          <w:lang w:val="en-GB" w:bidi="en-US"/>
        </w:rPr>
        <w:t xml:space="preserve"> Department of Energy</w:t>
      </w:r>
      <w:r w:rsidR="00840C8C" w:rsidRPr="00597788">
        <w:rPr>
          <w:rFonts w:eastAsiaTheme="minorEastAsia"/>
          <w:lang w:val="en-GB" w:bidi="en-US"/>
        </w:rPr>
        <w:t xml:space="preserve"> (DOE)</w:t>
      </w:r>
      <w:r w:rsidRPr="00597788">
        <w:rPr>
          <w:rFonts w:eastAsiaTheme="minorEastAsia"/>
          <w:lang w:val="en-GB" w:bidi="en-US"/>
        </w:rPr>
        <w:t xml:space="preserve"> announced that, while utilit</w:t>
      </w:r>
      <w:r w:rsidR="00B827B9" w:rsidRPr="00597788">
        <w:rPr>
          <w:rFonts w:eastAsiaTheme="minorEastAsia"/>
          <w:lang w:val="en-GB" w:bidi="en-US"/>
        </w:rPr>
        <w:t>y providers</w:t>
      </w:r>
      <w:r w:rsidRPr="00597788">
        <w:rPr>
          <w:rFonts w:eastAsiaTheme="minorEastAsia"/>
          <w:lang w:val="en-GB" w:bidi="en-US"/>
        </w:rPr>
        <w:t xml:space="preserve"> would not be</w:t>
      </w:r>
      <w:r w:rsidRPr="00597788">
        <w:rPr>
          <w:rFonts w:eastAsiaTheme="minorEastAsia"/>
          <w:i/>
          <w:lang w:val="en-GB" w:bidi="en-US"/>
        </w:rPr>
        <w:t xml:space="preserve"> required</w:t>
      </w:r>
      <w:r w:rsidRPr="00597788">
        <w:rPr>
          <w:rFonts w:eastAsiaTheme="minorEastAsia"/>
          <w:lang w:val="en-GB" w:bidi="en-US"/>
        </w:rPr>
        <w:t xml:space="preserve"> to update their systems with smart technology, neither would they be barred from doing so. Lastly, the cost of smart meters had decreased significantly since 2010. With an</w:t>
      </w:r>
      <w:r w:rsidR="00CB629F" w:rsidRPr="00597788">
        <w:rPr>
          <w:rFonts w:eastAsiaTheme="minorEastAsia"/>
          <w:lang w:val="en-GB" w:bidi="en-US"/>
        </w:rPr>
        <w:t xml:space="preserve"> </w:t>
      </w:r>
      <w:r w:rsidR="00690E95" w:rsidRPr="00597788">
        <w:rPr>
          <w:rFonts w:eastAsiaTheme="minorEastAsia"/>
          <w:lang w:val="en-GB" w:bidi="en-US"/>
        </w:rPr>
        <w:t>opportunity</w:t>
      </w:r>
      <w:r w:rsidR="00CB629F" w:rsidRPr="00597788">
        <w:rPr>
          <w:rFonts w:eastAsiaTheme="minorEastAsia"/>
          <w:lang w:val="en-GB" w:bidi="en-US"/>
        </w:rPr>
        <w:t xml:space="preserve"> in just four months</w:t>
      </w:r>
      <w:r w:rsidR="00690E95" w:rsidRPr="00597788">
        <w:rPr>
          <w:rFonts w:eastAsiaTheme="minorEastAsia"/>
          <w:lang w:val="en-GB" w:bidi="en-US"/>
        </w:rPr>
        <w:t xml:space="preserve"> to submit </w:t>
      </w:r>
      <w:r w:rsidR="00CB629F" w:rsidRPr="00597788">
        <w:rPr>
          <w:rFonts w:eastAsiaTheme="minorEastAsia"/>
          <w:lang w:val="en-GB" w:bidi="en-US"/>
        </w:rPr>
        <w:t xml:space="preserve">another </w:t>
      </w:r>
      <w:r w:rsidRPr="00597788">
        <w:rPr>
          <w:rFonts w:eastAsiaTheme="minorEastAsia"/>
          <w:lang w:val="en-GB" w:bidi="en-US"/>
        </w:rPr>
        <w:t>application</w:t>
      </w:r>
      <w:r w:rsidR="00690E95" w:rsidRPr="00597788">
        <w:rPr>
          <w:rFonts w:eastAsiaTheme="minorEastAsia"/>
          <w:lang w:val="en-GB" w:bidi="en-US"/>
        </w:rPr>
        <w:t xml:space="preserve"> for </w:t>
      </w:r>
      <w:r w:rsidR="00E709A6" w:rsidRPr="00597788">
        <w:rPr>
          <w:rFonts w:eastAsiaTheme="minorEastAsia"/>
          <w:lang w:val="en-GB" w:bidi="en-US"/>
        </w:rPr>
        <w:t>s</w:t>
      </w:r>
      <w:r w:rsidR="00690E95" w:rsidRPr="00597788">
        <w:rPr>
          <w:rFonts w:eastAsiaTheme="minorEastAsia"/>
          <w:lang w:val="en-GB" w:bidi="en-US"/>
        </w:rPr>
        <w:t xml:space="preserve">mart </w:t>
      </w:r>
      <w:r w:rsidR="00E709A6" w:rsidRPr="00597788">
        <w:rPr>
          <w:rFonts w:eastAsiaTheme="minorEastAsia"/>
          <w:lang w:val="en-GB" w:bidi="en-US"/>
        </w:rPr>
        <w:t>g</w:t>
      </w:r>
      <w:r w:rsidR="00690E95" w:rsidRPr="00597788">
        <w:rPr>
          <w:rFonts w:eastAsiaTheme="minorEastAsia"/>
          <w:lang w:val="en-GB" w:bidi="en-US"/>
        </w:rPr>
        <w:t>rid technology</w:t>
      </w:r>
      <w:r w:rsidR="00CB629F" w:rsidRPr="00597788">
        <w:rPr>
          <w:rFonts w:eastAsiaTheme="minorEastAsia"/>
          <w:lang w:val="en-GB" w:bidi="en-US"/>
        </w:rPr>
        <w:t xml:space="preserve">, </w:t>
      </w:r>
      <w:r w:rsidR="00386732" w:rsidRPr="00597788">
        <w:rPr>
          <w:rFonts w:eastAsiaTheme="minorEastAsia"/>
          <w:lang w:val="en-GB" w:bidi="en-US"/>
        </w:rPr>
        <w:t>Reimer</w:t>
      </w:r>
      <w:r w:rsidRPr="00597788">
        <w:rPr>
          <w:rFonts w:eastAsiaTheme="minorEastAsia"/>
          <w:lang w:val="en-GB" w:bidi="en-US"/>
        </w:rPr>
        <w:t xml:space="preserve"> contemplated his main options: </w:t>
      </w:r>
      <w:r w:rsidR="00386732" w:rsidRPr="00597788">
        <w:rPr>
          <w:rFonts w:eastAsiaTheme="minorEastAsia"/>
          <w:lang w:val="en-GB" w:bidi="en-US"/>
        </w:rPr>
        <w:t>(</w:t>
      </w:r>
      <w:r w:rsidRPr="00597788">
        <w:rPr>
          <w:rFonts w:eastAsiaTheme="minorEastAsia"/>
          <w:lang w:val="en-GB" w:bidi="en-US"/>
        </w:rPr>
        <w:t xml:space="preserve">1) continue with the status quo of replacing </w:t>
      </w:r>
      <w:r w:rsidR="00234D71" w:rsidRPr="00597788">
        <w:rPr>
          <w:rFonts w:eastAsiaTheme="minorEastAsia"/>
          <w:lang w:val="en-GB" w:bidi="en-US"/>
        </w:rPr>
        <w:t>worn-</w:t>
      </w:r>
      <w:r w:rsidRPr="00597788">
        <w:rPr>
          <w:rFonts w:eastAsiaTheme="minorEastAsia"/>
          <w:lang w:val="en-GB" w:bidi="en-US"/>
        </w:rPr>
        <w:t xml:space="preserve">out meters with AMR, </w:t>
      </w:r>
      <w:r w:rsidR="00386732" w:rsidRPr="00597788">
        <w:rPr>
          <w:rFonts w:eastAsiaTheme="minorEastAsia"/>
          <w:lang w:val="en-GB" w:bidi="en-US"/>
        </w:rPr>
        <w:t>(</w:t>
      </w:r>
      <w:r w:rsidRPr="00597788">
        <w:rPr>
          <w:rFonts w:eastAsiaTheme="minorEastAsia"/>
          <w:lang w:val="en-GB" w:bidi="en-US"/>
        </w:rPr>
        <w:t xml:space="preserve">2) replace all meters with AMR, </w:t>
      </w:r>
      <w:r w:rsidR="00386732" w:rsidRPr="00597788">
        <w:rPr>
          <w:rFonts w:eastAsiaTheme="minorEastAsia"/>
          <w:lang w:val="en-GB" w:bidi="en-US"/>
        </w:rPr>
        <w:t>(</w:t>
      </w:r>
      <w:r w:rsidR="00E0493E" w:rsidRPr="00597788">
        <w:rPr>
          <w:rFonts w:eastAsiaTheme="minorEastAsia"/>
          <w:lang w:val="en-GB" w:bidi="en-US"/>
        </w:rPr>
        <w:t xml:space="preserve">3) replace all meters with AMR and install </w:t>
      </w:r>
      <w:r w:rsidR="00386732" w:rsidRPr="00597788">
        <w:rPr>
          <w:rFonts w:eastAsiaTheme="minorEastAsia"/>
          <w:lang w:val="en-GB" w:bidi="en-US"/>
        </w:rPr>
        <w:t>f</w:t>
      </w:r>
      <w:r w:rsidR="00E0493E" w:rsidRPr="00597788">
        <w:rPr>
          <w:rFonts w:eastAsiaTheme="minorEastAsia"/>
          <w:lang w:val="en-GB" w:bidi="en-US"/>
        </w:rPr>
        <w:t xml:space="preserve">ixed </w:t>
      </w:r>
      <w:r w:rsidR="00386732" w:rsidRPr="00597788">
        <w:rPr>
          <w:rFonts w:eastAsiaTheme="minorEastAsia"/>
          <w:lang w:val="en-GB" w:bidi="en-US"/>
        </w:rPr>
        <w:t>n</w:t>
      </w:r>
      <w:r w:rsidR="00E0493E" w:rsidRPr="00597788">
        <w:rPr>
          <w:rFonts w:eastAsiaTheme="minorEastAsia"/>
          <w:lang w:val="en-GB" w:bidi="en-US"/>
        </w:rPr>
        <w:t>etwork</w:t>
      </w:r>
      <w:r w:rsidR="00CB629F" w:rsidRPr="00597788">
        <w:rPr>
          <w:rFonts w:eastAsiaTheme="minorEastAsia"/>
          <w:lang w:val="en-GB" w:bidi="en-US"/>
        </w:rPr>
        <w:t>s</w:t>
      </w:r>
      <w:r w:rsidR="00E0493E" w:rsidRPr="00597788">
        <w:rPr>
          <w:rFonts w:eastAsiaTheme="minorEastAsia"/>
          <w:lang w:val="en-GB" w:bidi="en-US"/>
        </w:rPr>
        <w:t xml:space="preserve"> to automatically collect batches of meter readings</w:t>
      </w:r>
      <w:r w:rsidR="00386732" w:rsidRPr="00597788">
        <w:rPr>
          <w:rFonts w:eastAsiaTheme="minorEastAsia"/>
          <w:lang w:val="en-GB" w:bidi="en-US"/>
        </w:rPr>
        <w:t>,</w:t>
      </w:r>
      <w:r w:rsidR="00E0493E" w:rsidRPr="00597788">
        <w:rPr>
          <w:rFonts w:eastAsiaTheme="minorEastAsia"/>
          <w:lang w:val="en-GB" w:bidi="en-US"/>
        </w:rPr>
        <w:t xml:space="preserve"> </w:t>
      </w:r>
      <w:r w:rsidRPr="00597788">
        <w:rPr>
          <w:rFonts w:eastAsiaTheme="minorEastAsia"/>
          <w:lang w:val="en-GB" w:bidi="en-US"/>
        </w:rPr>
        <w:t xml:space="preserve">or </w:t>
      </w:r>
      <w:r w:rsidR="00386732" w:rsidRPr="00597788">
        <w:rPr>
          <w:rFonts w:eastAsiaTheme="minorEastAsia"/>
          <w:lang w:val="en-GB" w:bidi="en-US"/>
        </w:rPr>
        <w:t>(</w:t>
      </w:r>
      <w:r w:rsidR="00E0493E" w:rsidRPr="00597788">
        <w:rPr>
          <w:rFonts w:eastAsiaTheme="minorEastAsia"/>
          <w:lang w:val="en-GB" w:bidi="en-US"/>
        </w:rPr>
        <w:t>4</w:t>
      </w:r>
      <w:r w:rsidRPr="00597788">
        <w:rPr>
          <w:rFonts w:eastAsiaTheme="minorEastAsia"/>
          <w:lang w:val="en-GB" w:bidi="en-US"/>
        </w:rPr>
        <w:t xml:space="preserve">) reapply for AMI. If EDTI opted to reapply for AMI, </w:t>
      </w:r>
      <w:r w:rsidR="00271866" w:rsidRPr="00597788">
        <w:rPr>
          <w:rFonts w:eastAsiaTheme="minorEastAsia"/>
          <w:lang w:val="en-GB" w:bidi="en-US"/>
        </w:rPr>
        <w:t xml:space="preserve">which involved a far greater capital expenditure than AMR, </w:t>
      </w:r>
      <w:r w:rsidRPr="00597788">
        <w:rPr>
          <w:rFonts w:eastAsiaTheme="minorEastAsia"/>
          <w:lang w:val="en-GB" w:bidi="en-US"/>
        </w:rPr>
        <w:t>acceptance</w:t>
      </w:r>
      <w:r w:rsidR="00271866" w:rsidRPr="00597788">
        <w:rPr>
          <w:rFonts w:eastAsiaTheme="minorEastAsia"/>
          <w:lang w:val="en-GB" w:bidi="en-US"/>
        </w:rPr>
        <w:t xml:space="preserve"> of the application</w:t>
      </w:r>
      <w:r w:rsidRPr="00597788">
        <w:rPr>
          <w:rFonts w:eastAsiaTheme="minorEastAsia"/>
          <w:lang w:val="en-GB" w:bidi="en-US"/>
        </w:rPr>
        <w:t xml:space="preserve"> hinged </w:t>
      </w:r>
      <w:r w:rsidR="00271866" w:rsidRPr="00597788">
        <w:rPr>
          <w:rFonts w:eastAsiaTheme="minorEastAsia"/>
          <w:lang w:val="en-GB" w:bidi="en-US"/>
        </w:rPr>
        <w:t>upon the</w:t>
      </w:r>
      <w:r w:rsidR="00B43BDC" w:rsidRPr="00597788">
        <w:rPr>
          <w:rFonts w:eastAsiaTheme="minorEastAsia"/>
          <w:lang w:val="en-GB" w:bidi="en-US"/>
        </w:rPr>
        <w:t xml:space="preserve"> </w:t>
      </w:r>
      <w:r w:rsidRPr="00597788">
        <w:rPr>
          <w:rFonts w:eastAsiaTheme="minorEastAsia"/>
          <w:lang w:val="en-GB" w:bidi="en-US"/>
        </w:rPr>
        <w:t xml:space="preserve">careful consideration of the interests of many different stakeholders. </w:t>
      </w:r>
      <w:r w:rsidRPr="00597788">
        <w:rPr>
          <w:rFonts w:eastAsiaTheme="minorEastAsia"/>
          <w:lang w:val="en-GB" w:bidi="en-US"/>
        </w:rPr>
        <w:lastRenderedPageBreak/>
        <w:t xml:space="preserve">Thus, </w:t>
      </w:r>
      <w:r w:rsidR="00271866" w:rsidRPr="00597788">
        <w:rPr>
          <w:rFonts w:eastAsiaTheme="minorEastAsia"/>
          <w:lang w:val="en-GB" w:bidi="en-US"/>
        </w:rPr>
        <w:t xml:space="preserve">in </w:t>
      </w:r>
      <w:r w:rsidR="00CB629F" w:rsidRPr="00597788">
        <w:rPr>
          <w:rFonts w:eastAsiaTheme="minorEastAsia"/>
          <w:lang w:val="en-GB" w:bidi="en-US"/>
        </w:rPr>
        <w:t xml:space="preserve">deciding </w:t>
      </w:r>
      <w:r w:rsidR="00271866" w:rsidRPr="00597788">
        <w:rPr>
          <w:rFonts w:eastAsiaTheme="minorEastAsia"/>
          <w:lang w:val="en-GB" w:bidi="en-US"/>
        </w:rPr>
        <w:t>which alternative to pursue</w:t>
      </w:r>
      <w:r w:rsidR="00216C6F" w:rsidRPr="00597788">
        <w:rPr>
          <w:rFonts w:eastAsiaTheme="minorEastAsia"/>
          <w:lang w:val="en-GB" w:bidi="en-US"/>
        </w:rPr>
        <w:t>,</w:t>
      </w:r>
      <w:r w:rsidR="00271866" w:rsidRPr="00597788">
        <w:rPr>
          <w:rFonts w:eastAsiaTheme="minorEastAsia"/>
          <w:lang w:val="en-GB" w:bidi="en-US"/>
        </w:rPr>
        <w:t xml:space="preserve"> </w:t>
      </w:r>
      <w:r w:rsidRPr="00597788">
        <w:rPr>
          <w:rFonts w:eastAsiaTheme="minorEastAsia"/>
          <w:lang w:val="en-GB" w:bidi="en-US"/>
        </w:rPr>
        <w:t>R</w:t>
      </w:r>
      <w:r w:rsidR="00136BE9" w:rsidRPr="00597788">
        <w:rPr>
          <w:rFonts w:eastAsiaTheme="minorEastAsia"/>
          <w:lang w:val="en-GB" w:bidi="en-US"/>
        </w:rPr>
        <w:t>eimer</w:t>
      </w:r>
      <w:r w:rsidRPr="00597788">
        <w:rPr>
          <w:rFonts w:eastAsiaTheme="minorEastAsia"/>
          <w:lang w:val="en-GB" w:bidi="en-US"/>
        </w:rPr>
        <w:t xml:space="preserve"> knew that he needed to develop a thorough and thoughtful implementation plan</w:t>
      </w:r>
      <w:r w:rsidR="00CB629F" w:rsidRPr="00597788">
        <w:rPr>
          <w:rFonts w:eastAsiaTheme="minorEastAsia"/>
          <w:lang w:val="en-GB" w:bidi="en-US"/>
        </w:rPr>
        <w:t xml:space="preserve"> and financial analysis</w:t>
      </w:r>
      <w:r w:rsidRPr="00597788">
        <w:rPr>
          <w:rFonts w:eastAsiaTheme="minorEastAsia"/>
          <w:lang w:val="en-GB" w:bidi="en-US"/>
        </w:rPr>
        <w:t xml:space="preserve">, one that both </w:t>
      </w:r>
      <w:r w:rsidR="00386732" w:rsidRPr="00597788">
        <w:rPr>
          <w:rFonts w:eastAsiaTheme="minorEastAsia"/>
          <w:lang w:val="en-GB" w:bidi="en-US"/>
        </w:rPr>
        <w:t xml:space="preserve">was </w:t>
      </w:r>
      <w:r w:rsidRPr="00597788">
        <w:rPr>
          <w:rFonts w:eastAsiaTheme="minorEastAsia"/>
          <w:lang w:val="en-GB" w:bidi="en-US"/>
        </w:rPr>
        <w:t>operationally viable for the business and considered the needs of major stakeholders.</w:t>
      </w:r>
    </w:p>
    <w:p w14:paraId="6D7A5BE2" w14:textId="77777777" w:rsidR="00C57568" w:rsidRPr="00597788" w:rsidRDefault="00C57568" w:rsidP="00B04C2E">
      <w:pPr>
        <w:pStyle w:val="Casehead1"/>
        <w:rPr>
          <w:rFonts w:eastAsiaTheme="majorEastAsia"/>
          <w:lang w:val="en-GB" w:bidi="en-US"/>
        </w:rPr>
      </w:pPr>
    </w:p>
    <w:p w14:paraId="0A23F0C1" w14:textId="77777777" w:rsidR="00C57568" w:rsidRPr="00597788" w:rsidRDefault="00C57568" w:rsidP="00B04C2E">
      <w:pPr>
        <w:pStyle w:val="Casehead1"/>
        <w:rPr>
          <w:rFonts w:eastAsiaTheme="majorEastAsia"/>
          <w:lang w:val="en-GB" w:bidi="en-US"/>
        </w:rPr>
      </w:pPr>
    </w:p>
    <w:p w14:paraId="1FD7D523" w14:textId="77777777" w:rsidR="00B04C2E" w:rsidRPr="00597788" w:rsidRDefault="00B04C2E" w:rsidP="00360100">
      <w:pPr>
        <w:pStyle w:val="Casehead1"/>
        <w:keepNext/>
        <w:outlineLvl w:val="0"/>
        <w:rPr>
          <w:rFonts w:eastAsiaTheme="majorEastAsia"/>
          <w:lang w:val="en-GB" w:bidi="en-US"/>
        </w:rPr>
      </w:pPr>
      <w:r w:rsidRPr="00597788">
        <w:rPr>
          <w:rFonts w:eastAsiaTheme="majorEastAsia"/>
          <w:lang w:val="en-GB" w:bidi="en-US"/>
        </w:rPr>
        <w:t>The Industry</w:t>
      </w:r>
    </w:p>
    <w:p w14:paraId="36185BF5" w14:textId="77777777" w:rsidR="00B04C2E" w:rsidRPr="00597788" w:rsidRDefault="00B04C2E" w:rsidP="00C57568">
      <w:pPr>
        <w:pStyle w:val="BodyTextMain"/>
        <w:keepNext/>
        <w:rPr>
          <w:rFonts w:eastAsiaTheme="majorEastAsia"/>
          <w:lang w:val="en-GB" w:bidi="en-US"/>
        </w:rPr>
      </w:pPr>
    </w:p>
    <w:p w14:paraId="5F8CA157" w14:textId="77777777" w:rsidR="00B04C2E" w:rsidRPr="00597788" w:rsidRDefault="00B04C2E" w:rsidP="00360100">
      <w:pPr>
        <w:pStyle w:val="Casehead2"/>
        <w:keepNext/>
        <w:outlineLvl w:val="0"/>
        <w:rPr>
          <w:rFonts w:eastAsiaTheme="majorEastAsia"/>
          <w:lang w:val="en-GB" w:bidi="en-US"/>
        </w:rPr>
      </w:pPr>
      <w:r w:rsidRPr="00597788">
        <w:rPr>
          <w:rFonts w:eastAsiaTheme="majorEastAsia"/>
          <w:lang w:val="en-GB" w:bidi="en-US"/>
        </w:rPr>
        <w:t xml:space="preserve">Overview </w:t>
      </w:r>
    </w:p>
    <w:p w14:paraId="3116708E" w14:textId="77777777" w:rsidR="00B04C2E" w:rsidRPr="00597788" w:rsidRDefault="00B04C2E" w:rsidP="00C57568">
      <w:pPr>
        <w:pStyle w:val="BodyTextMain"/>
        <w:keepNext/>
        <w:rPr>
          <w:rFonts w:eastAsiaTheme="minorEastAsia"/>
          <w:lang w:val="en-GB" w:bidi="en-US"/>
        </w:rPr>
      </w:pPr>
    </w:p>
    <w:p w14:paraId="44E8CB48" w14:textId="62D20E66" w:rsidR="00B04C2E" w:rsidRPr="00597788" w:rsidRDefault="00B04C2E" w:rsidP="00C57568">
      <w:pPr>
        <w:pStyle w:val="BodyTextMain"/>
        <w:keepNext/>
        <w:rPr>
          <w:rFonts w:eastAsiaTheme="minorEastAsia"/>
          <w:lang w:val="en-GB" w:bidi="en-US"/>
        </w:rPr>
      </w:pPr>
      <w:r w:rsidRPr="00597788">
        <w:rPr>
          <w:rFonts w:eastAsiaTheme="minorEastAsia"/>
          <w:lang w:val="en-GB" w:bidi="en-US"/>
        </w:rPr>
        <w:t>The utilities sector, according to the North American Industry Classification System (NAICS), encompassed public services including electric power, natural gas, steam supply, water supply, and sewage removal.</w:t>
      </w:r>
      <w:r w:rsidRPr="00597788">
        <w:rPr>
          <w:rFonts w:eastAsiaTheme="minorEastAsia"/>
          <w:vertAlign w:val="superscript"/>
          <w:lang w:val="en-GB" w:bidi="en-US"/>
        </w:rPr>
        <w:endnoteReference w:id="1"/>
      </w:r>
      <w:r w:rsidRPr="00597788">
        <w:rPr>
          <w:rFonts w:eastAsiaTheme="minorEastAsia"/>
          <w:lang w:val="en-GB" w:bidi="en-US"/>
        </w:rPr>
        <w:t xml:space="preserve"> Utility companies managed large-scale infrastructure and delivered essential services to both residential and commercial customers. In 2014, with the utility sector in a state of transformation, organizations faced massive environmental shifts including demands for environmental sustainability</w:t>
      </w:r>
      <w:r w:rsidR="00234D71" w:rsidRPr="00597788">
        <w:rPr>
          <w:rFonts w:eastAsiaTheme="minorEastAsia"/>
          <w:lang w:val="en-GB" w:bidi="en-US"/>
        </w:rPr>
        <w:t xml:space="preserve"> and decarbonization, </w:t>
      </w:r>
      <w:r w:rsidRPr="00597788">
        <w:rPr>
          <w:rFonts w:eastAsiaTheme="minorEastAsia"/>
          <w:lang w:val="en-GB" w:bidi="en-US"/>
        </w:rPr>
        <w:t xml:space="preserve">challenges in adapting to new technologies, and significant business model changes </w:t>
      </w:r>
      <w:r w:rsidR="00500869" w:rsidRPr="00597788">
        <w:rPr>
          <w:rFonts w:eastAsiaTheme="minorEastAsia"/>
          <w:lang w:val="en-GB" w:bidi="en-US"/>
        </w:rPr>
        <w:t>such as</w:t>
      </w:r>
      <w:r w:rsidRPr="00597788">
        <w:rPr>
          <w:rFonts w:eastAsiaTheme="minorEastAsia"/>
          <w:lang w:val="en-GB" w:bidi="en-US"/>
        </w:rPr>
        <w:t xml:space="preserve"> the decentralization of data management.</w:t>
      </w:r>
      <w:r w:rsidRPr="00597788">
        <w:rPr>
          <w:rFonts w:eastAsiaTheme="minorEastAsia"/>
          <w:vertAlign w:val="superscript"/>
          <w:lang w:val="en-GB" w:bidi="en-US"/>
        </w:rPr>
        <w:endnoteReference w:id="2"/>
      </w:r>
      <w:r w:rsidRPr="00597788">
        <w:rPr>
          <w:rFonts w:eastAsiaTheme="minorEastAsia"/>
          <w:lang w:val="en-GB" w:bidi="en-US"/>
        </w:rPr>
        <w:t xml:space="preserve"> In order to succeed in the face of such large shifts, utility providers needed to respond with substantive or even disruptive innovations. With any changes, utility providers needed to carefully consider possible impacts to operations, assets, regulation requirements, and, last but not least, stakeholders.</w:t>
      </w:r>
    </w:p>
    <w:p w14:paraId="31CB5EE0" w14:textId="77777777" w:rsidR="00B04C2E" w:rsidRPr="00597788" w:rsidRDefault="00B04C2E" w:rsidP="00B04C2E">
      <w:pPr>
        <w:pStyle w:val="BodyTextMain"/>
        <w:rPr>
          <w:rFonts w:eastAsiaTheme="minorEastAsia"/>
          <w:lang w:val="en-GB" w:bidi="en-US"/>
        </w:rPr>
      </w:pPr>
    </w:p>
    <w:p w14:paraId="6203896B" w14:textId="2F7F543E" w:rsidR="00B04C2E" w:rsidRPr="00597788" w:rsidRDefault="00B04C2E" w:rsidP="00B04C2E">
      <w:pPr>
        <w:pStyle w:val="BodyTextMain"/>
        <w:rPr>
          <w:rFonts w:eastAsiaTheme="minorEastAsia"/>
          <w:lang w:val="en-GB" w:bidi="en-US"/>
        </w:rPr>
      </w:pPr>
      <w:r w:rsidRPr="00597788">
        <w:rPr>
          <w:rFonts w:eastAsiaTheme="minorEastAsia"/>
          <w:lang w:val="en-GB" w:bidi="en-US"/>
        </w:rPr>
        <w:t xml:space="preserve">One primary area of innovation was a move towards more </w:t>
      </w:r>
      <w:r w:rsidR="00234D71" w:rsidRPr="00597788">
        <w:rPr>
          <w:rFonts w:eastAsiaTheme="minorEastAsia"/>
          <w:lang w:val="en-GB" w:bidi="en-US"/>
        </w:rPr>
        <w:t>energy-</w:t>
      </w:r>
      <w:r w:rsidRPr="00597788">
        <w:rPr>
          <w:rFonts w:eastAsiaTheme="minorEastAsia"/>
          <w:lang w:val="en-GB" w:bidi="en-US"/>
        </w:rPr>
        <w:t>efficient electricity service, which involved “solutions for measurement, such as metering and monitoring, as well as dynamic grid operations and consumer involvement</w:t>
      </w:r>
      <w:r w:rsidR="00500869" w:rsidRPr="00597788">
        <w:rPr>
          <w:rFonts w:eastAsiaTheme="minorEastAsia"/>
          <w:lang w:val="en-GB" w:bidi="en-US"/>
        </w:rPr>
        <w:t>.</w:t>
      </w:r>
      <w:r w:rsidRPr="00597788">
        <w:rPr>
          <w:rFonts w:eastAsiaTheme="minorEastAsia"/>
          <w:lang w:val="en-GB" w:bidi="en-US"/>
        </w:rPr>
        <w:t>”</w:t>
      </w:r>
      <w:r w:rsidRPr="00597788">
        <w:rPr>
          <w:rFonts w:eastAsiaTheme="minorEastAsia"/>
          <w:vertAlign w:val="superscript"/>
          <w:lang w:val="en-GB" w:bidi="en-US"/>
        </w:rPr>
        <w:endnoteReference w:id="3"/>
      </w:r>
      <w:r w:rsidRPr="00597788">
        <w:rPr>
          <w:rFonts w:eastAsiaTheme="minorEastAsia"/>
          <w:lang w:val="en-GB" w:bidi="en-US"/>
        </w:rPr>
        <w:t xml:space="preserve"> Given the pressure of industry changes, it was paramount that utilities responded by adopting emerging technologies in operational areas including demand response, optimization of asset use, and the timely detection and mitigation of issues.</w:t>
      </w:r>
      <w:r w:rsidRPr="00597788">
        <w:rPr>
          <w:rFonts w:eastAsiaTheme="minorEastAsia"/>
          <w:vertAlign w:val="superscript"/>
          <w:lang w:val="en-GB" w:bidi="en-US"/>
        </w:rPr>
        <w:endnoteReference w:id="4"/>
      </w:r>
      <w:r w:rsidRPr="00597788">
        <w:rPr>
          <w:rFonts w:eastAsiaTheme="minorEastAsia"/>
          <w:lang w:val="en-GB" w:bidi="en-US"/>
        </w:rPr>
        <w:t xml:space="preserve"> </w:t>
      </w:r>
    </w:p>
    <w:p w14:paraId="3CBBCA1A" w14:textId="77777777" w:rsidR="00B04C2E" w:rsidRPr="00597788" w:rsidRDefault="00B04C2E" w:rsidP="00B04C2E">
      <w:pPr>
        <w:pStyle w:val="BodyTextMain"/>
        <w:rPr>
          <w:rFonts w:eastAsiaTheme="minorEastAsia"/>
          <w:lang w:val="en-GB" w:bidi="en-US"/>
        </w:rPr>
      </w:pPr>
    </w:p>
    <w:p w14:paraId="0B45276F" w14:textId="77777777" w:rsidR="00B04C2E" w:rsidRPr="00597788" w:rsidRDefault="00B04C2E" w:rsidP="00B04C2E">
      <w:pPr>
        <w:pStyle w:val="BodyTextMain"/>
        <w:rPr>
          <w:rFonts w:eastAsiaTheme="minorEastAsia"/>
          <w:lang w:val="en-GB" w:bidi="en-US"/>
        </w:rPr>
      </w:pPr>
    </w:p>
    <w:p w14:paraId="77067495" w14:textId="77777777" w:rsidR="00B04C2E" w:rsidRPr="00597788" w:rsidRDefault="00B04C2E" w:rsidP="00360100">
      <w:pPr>
        <w:pStyle w:val="Casehead2"/>
        <w:outlineLvl w:val="0"/>
        <w:rPr>
          <w:rFonts w:eastAsiaTheme="majorEastAsia"/>
          <w:lang w:val="en-GB" w:bidi="en-US"/>
        </w:rPr>
      </w:pPr>
      <w:bookmarkStart w:id="0" w:name="h.gjdgxs" w:colFirst="0" w:colLast="0"/>
      <w:bookmarkEnd w:id="0"/>
      <w:r w:rsidRPr="00597788">
        <w:rPr>
          <w:rFonts w:eastAsiaTheme="majorEastAsia"/>
          <w:lang w:val="en-GB" w:bidi="en-US"/>
        </w:rPr>
        <w:t>The Electricity Market in Alberta</w:t>
      </w:r>
    </w:p>
    <w:p w14:paraId="4DB37F39" w14:textId="77777777" w:rsidR="00B04C2E" w:rsidRPr="002B4ED2" w:rsidRDefault="00B04C2E" w:rsidP="002B4ED2">
      <w:pPr>
        <w:pStyle w:val="BodyTextMain"/>
        <w:rPr>
          <w:rFonts w:eastAsiaTheme="minorEastAsia"/>
          <w:highlight w:val="white"/>
        </w:rPr>
      </w:pPr>
    </w:p>
    <w:p w14:paraId="7A249AB9" w14:textId="33F943C5" w:rsidR="00B04C2E" w:rsidRPr="002B4ED2" w:rsidRDefault="00B04C2E" w:rsidP="002B4ED2">
      <w:pPr>
        <w:pStyle w:val="BodyTextMain"/>
        <w:rPr>
          <w:rFonts w:eastAsiaTheme="minorEastAsia"/>
        </w:rPr>
      </w:pPr>
      <w:r w:rsidRPr="002B4ED2">
        <w:rPr>
          <w:rFonts w:eastAsiaTheme="minorEastAsia"/>
          <w:highlight w:val="white"/>
        </w:rPr>
        <w:t>Alberta’s electricity market was comprised of three primary areas</w:t>
      </w:r>
      <w:r w:rsidR="00500869" w:rsidRPr="002B4ED2">
        <w:rPr>
          <w:rFonts w:eastAsiaTheme="minorEastAsia"/>
          <w:highlight w:val="white"/>
        </w:rPr>
        <w:t>—</w:t>
      </w:r>
      <w:r w:rsidRPr="002B4ED2">
        <w:rPr>
          <w:rFonts w:eastAsiaTheme="minorEastAsia"/>
          <w:highlight w:val="white"/>
        </w:rPr>
        <w:t>generation, transmission/distribution, and retail (see Exhibit 1). Alberta’s market was unique compared with other provincially</w:t>
      </w:r>
      <w:r w:rsidR="00234D71" w:rsidRPr="002B4ED2">
        <w:rPr>
          <w:rFonts w:eastAsiaTheme="minorEastAsia"/>
          <w:highlight w:val="white"/>
        </w:rPr>
        <w:t xml:space="preserve"> </w:t>
      </w:r>
      <w:r w:rsidRPr="002B4ED2">
        <w:rPr>
          <w:rFonts w:eastAsiaTheme="minorEastAsia"/>
          <w:highlight w:val="white"/>
        </w:rPr>
        <w:t>owned and operated utility companies</w:t>
      </w:r>
      <w:r w:rsidR="00234D71" w:rsidRPr="002B4ED2">
        <w:rPr>
          <w:rFonts w:eastAsiaTheme="minorEastAsia"/>
          <w:highlight w:val="white"/>
        </w:rPr>
        <w:t xml:space="preserve"> in Canada</w:t>
      </w:r>
      <w:r w:rsidRPr="002B4ED2">
        <w:rPr>
          <w:rFonts w:eastAsiaTheme="minorEastAsia"/>
          <w:highlight w:val="white"/>
        </w:rPr>
        <w:t>. In contrast</w:t>
      </w:r>
      <w:r w:rsidR="00500869" w:rsidRPr="002B4ED2">
        <w:rPr>
          <w:rFonts w:eastAsiaTheme="minorEastAsia"/>
          <w:highlight w:val="white"/>
        </w:rPr>
        <w:t xml:space="preserve"> to these</w:t>
      </w:r>
      <w:r w:rsidRPr="002B4ED2">
        <w:rPr>
          <w:rFonts w:eastAsiaTheme="minorEastAsia"/>
          <w:highlight w:val="white"/>
        </w:rPr>
        <w:t xml:space="preserve">, the Alberta market operated as a </w:t>
      </w:r>
      <w:r w:rsidR="00500869" w:rsidRPr="002B4ED2">
        <w:rPr>
          <w:rFonts w:eastAsiaTheme="minorEastAsia"/>
          <w:highlight w:val="white"/>
        </w:rPr>
        <w:t>“</w:t>
      </w:r>
      <w:r w:rsidRPr="002B4ED2">
        <w:rPr>
          <w:rFonts w:eastAsiaTheme="minorEastAsia"/>
          <w:highlight w:val="white"/>
        </w:rPr>
        <w:t>power pool</w:t>
      </w:r>
      <w:r w:rsidR="00500869" w:rsidRPr="002B4ED2">
        <w:rPr>
          <w:rFonts w:eastAsiaTheme="minorEastAsia"/>
          <w:highlight w:val="white"/>
        </w:rPr>
        <w:t>”</w:t>
      </w:r>
      <w:r w:rsidRPr="002B4ED2">
        <w:rPr>
          <w:rFonts w:eastAsiaTheme="minorEastAsia"/>
          <w:highlight w:val="white"/>
        </w:rPr>
        <w:t xml:space="preserve"> market, or a wholesale system, through which the price for electricity was established on an hourly basis. This hourly price determined the revenue for generators as well as the cost to customers.</w:t>
      </w:r>
      <w:r w:rsidRPr="002B4ED2">
        <w:rPr>
          <w:rFonts w:eastAsiaTheme="minorEastAsia"/>
          <w:highlight w:val="white"/>
          <w:vertAlign w:val="superscript"/>
        </w:rPr>
        <w:endnoteReference w:id="5"/>
      </w:r>
      <w:r w:rsidRPr="002B4ED2">
        <w:rPr>
          <w:rFonts w:eastAsiaTheme="minorEastAsia"/>
          <w:highlight w:val="white"/>
        </w:rPr>
        <w:t xml:space="preserve"> Alberta’s hourly pricing model reflected short-term events like outages and extreme weather, which created volatility.</w:t>
      </w:r>
      <w:r w:rsidRPr="002B4ED2">
        <w:rPr>
          <w:rFonts w:eastAsiaTheme="minorEastAsia"/>
          <w:highlight w:val="white"/>
          <w:vertAlign w:val="superscript"/>
        </w:rPr>
        <w:endnoteReference w:id="6"/>
      </w:r>
      <w:r w:rsidRPr="002B4ED2">
        <w:rPr>
          <w:rFonts w:eastAsiaTheme="minorEastAsia"/>
          <w:highlight w:val="white"/>
          <w:vertAlign w:val="superscript"/>
        </w:rPr>
        <w:t xml:space="preserve"> </w:t>
      </w:r>
      <w:r w:rsidRPr="002B4ED2">
        <w:rPr>
          <w:rFonts w:eastAsiaTheme="minorEastAsia"/>
          <w:highlight w:val="white"/>
        </w:rPr>
        <w:t>Longer</w:t>
      </w:r>
      <w:r w:rsidR="00500869" w:rsidRPr="002B4ED2">
        <w:rPr>
          <w:rFonts w:eastAsiaTheme="minorEastAsia"/>
          <w:highlight w:val="white"/>
        </w:rPr>
        <w:t>-</w:t>
      </w:r>
      <w:r w:rsidRPr="002B4ED2">
        <w:rPr>
          <w:rFonts w:eastAsiaTheme="minorEastAsia"/>
          <w:highlight w:val="white"/>
        </w:rPr>
        <w:t>term pricing w</w:t>
      </w:r>
      <w:r w:rsidR="00500869" w:rsidRPr="002B4ED2">
        <w:rPr>
          <w:rFonts w:eastAsiaTheme="minorEastAsia"/>
          <w:highlight w:val="white"/>
        </w:rPr>
        <w:t>as</w:t>
      </w:r>
      <w:r w:rsidRPr="002B4ED2">
        <w:rPr>
          <w:rFonts w:eastAsiaTheme="minorEastAsia"/>
          <w:highlight w:val="white"/>
        </w:rPr>
        <w:t xml:space="preserve"> the norm for the industry and w</w:t>
      </w:r>
      <w:r w:rsidR="00500869" w:rsidRPr="002B4ED2">
        <w:rPr>
          <w:rFonts w:eastAsiaTheme="minorEastAsia"/>
          <w:highlight w:val="white"/>
        </w:rPr>
        <w:t>as</w:t>
      </w:r>
      <w:r w:rsidRPr="002B4ED2">
        <w:rPr>
          <w:rFonts w:eastAsiaTheme="minorEastAsia"/>
          <w:highlight w:val="white"/>
        </w:rPr>
        <w:t xml:space="preserve"> more stable because </w:t>
      </w:r>
      <w:r w:rsidR="00500869" w:rsidRPr="002B4ED2">
        <w:rPr>
          <w:rFonts w:eastAsiaTheme="minorEastAsia"/>
          <w:highlight w:val="white"/>
        </w:rPr>
        <w:t>it</w:t>
      </w:r>
      <w:r w:rsidRPr="002B4ED2">
        <w:rPr>
          <w:rFonts w:eastAsiaTheme="minorEastAsia"/>
          <w:highlight w:val="white"/>
        </w:rPr>
        <w:t xml:space="preserve"> resulted from averaging hourly prices. With longer</w:t>
      </w:r>
      <w:r w:rsidR="00500869" w:rsidRPr="002B4ED2">
        <w:rPr>
          <w:rFonts w:eastAsiaTheme="minorEastAsia"/>
          <w:highlight w:val="white"/>
        </w:rPr>
        <w:t>-</w:t>
      </w:r>
      <w:r w:rsidRPr="002B4ED2">
        <w:rPr>
          <w:rFonts w:eastAsiaTheme="minorEastAsia"/>
          <w:highlight w:val="white"/>
        </w:rPr>
        <w:t xml:space="preserve">term pricing, price changes were reflective of </w:t>
      </w:r>
      <w:r w:rsidR="00500869" w:rsidRPr="002B4ED2">
        <w:rPr>
          <w:rFonts w:eastAsiaTheme="minorEastAsia"/>
          <w:highlight w:val="white"/>
        </w:rPr>
        <w:t>“</w:t>
      </w:r>
      <w:r w:rsidRPr="002B4ED2">
        <w:rPr>
          <w:rFonts w:eastAsiaTheme="minorEastAsia"/>
          <w:highlight w:val="white"/>
        </w:rPr>
        <w:t>big picture</w:t>
      </w:r>
      <w:r w:rsidR="00500869" w:rsidRPr="002B4ED2">
        <w:rPr>
          <w:rFonts w:eastAsiaTheme="minorEastAsia"/>
          <w:highlight w:val="white"/>
        </w:rPr>
        <w:t>”</w:t>
      </w:r>
      <w:r w:rsidRPr="002B4ED2">
        <w:rPr>
          <w:rFonts w:eastAsiaTheme="minorEastAsia"/>
          <w:highlight w:val="white"/>
        </w:rPr>
        <w:t xml:space="preserve"> events such as provincial demand growth, supply additions</w:t>
      </w:r>
      <w:r w:rsidR="00500869" w:rsidRPr="002B4ED2">
        <w:rPr>
          <w:rFonts w:eastAsiaTheme="minorEastAsia"/>
          <w:highlight w:val="white"/>
        </w:rPr>
        <w:t>,</w:t>
      </w:r>
      <w:r w:rsidRPr="002B4ED2">
        <w:rPr>
          <w:rFonts w:eastAsiaTheme="minorEastAsia"/>
          <w:highlight w:val="white"/>
        </w:rPr>
        <w:t xml:space="preserve"> and </w:t>
      </w:r>
      <w:r w:rsidR="00360100" w:rsidRPr="002B4ED2">
        <w:rPr>
          <w:rFonts w:eastAsiaTheme="minorEastAsia"/>
          <w:highlight w:val="white"/>
        </w:rPr>
        <w:t xml:space="preserve">sustained changes in </w:t>
      </w:r>
      <w:r w:rsidRPr="002B4ED2">
        <w:rPr>
          <w:rFonts w:eastAsiaTheme="minorEastAsia"/>
          <w:highlight w:val="white"/>
        </w:rPr>
        <w:t xml:space="preserve">natural gas prices due to </w:t>
      </w:r>
      <w:r w:rsidR="00360100" w:rsidRPr="002B4ED2">
        <w:rPr>
          <w:rFonts w:eastAsiaTheme="minorEastAsia"/>
          <w:highlight w:val="white"/>
        </w:rPr>
        <w:t xml:space="preserve">its use </w:t>
      </w:r>
      <w:r w:rsidRPr="002B4ED2">
        <w:rPr>
          <w:rFonts w:eastAsiaTheme="minorEastAsia"/>
          <w:highlight w:val="white"/>
        </w:rPr>
        <w:t xml:space="preserve">as a fuel for many </w:t>
      </w:r>
      <w:r w:rsidR="00360100" w:rsidRPr="002B4ED2">
        <w:rPr>
          <w:rFonts w:eastAsiaTheme="minorEastAsia"/>
          <w:highlight w:val="white"/>
        </w:rPr>
        <w:t xml:space="preserve">electricity </w:t>
      </w:r>
      <w:r w:rsidRPr="002B4ED2">
        <w:rPr>
          <w:rFonts w:eastAsiaTheme="minorEastAsia"/>
          <w:highlight w:val="white"/>
        </w:rPr>
        <w:t>generators.</w:t>
      </w:r>
      <w:bookmarkStart w:id="1" w:name="_GoBack"/>
      <w:r w:rsidRPr="002B4ED2">
        <w:rPr>
          <w:rFonts w:eastAsiaTheme="minorEastAsia"/>
          <w:highlight w:val="white"/>
          <w:vertAlign w:val="superscript"/>
        </w:rPr>
        <w:endnoteReference w:id="7"/>
      </w:r>
      <w:r w:rsidRPr="002B4ED2">
        <w:rPr>
          <w:rFonts w:eastAsiaTheme="minorEastAsia"/>
          <w:highlight w:val="white"/>
          <w:vertAlign w:val="superscript"/>
        </w:rPr>
        <w:t xml:space="preserve"> </w:t>
      </w:r>
      <w:bookmarkEnd w:id="1"/>
    </w:p>
    <w:p w14:paraId="6950B66C" w14:textId="77777777" w:rsidR="00B04C2E" w:rsidRPr="002B4ED2" w:rsidRDefault="00B04C2E" w:rsidP="002B4ED2">
      <w:pPr>
        <w:pStyle w:val="BodyTextMain"/>
        <w:rPr>
          <w:rFonts w:eastAsiaTheme="minorEastAsia"/>
        </w:rPr>
      </w:pPr>
    </w:p>
    <w:p w14:paraId="587339F4" w14:textId="77777777" w:rsidR="00B04C2E" w:rsidRPr="002B4ED2" w:rsidRDefault="00B04C2E" w:rsidP="002B4ED2">
      <w:pPr>
        <w:pStyle w:val="BodyTextMain"/>
        <w:rPr>
          <w:rFonts w:eastAsiaTheme="minorEastAsia"/>
        </w:rPr>
      </w:pPr>
    </w:p>
    <w:p w14:paraId="578334FC" w14:textId="77777777" w:rsidR="00B04C2E" w:rsidRPr="00597788" w:rsidRDefault="00B04C2E" w:rsidP="00360100">
      <w:pPr>
        <w:pStyle w:val="Casehead2"/>
        <w:outlineLvl w:val="0"/>
        <w:rPr>
          <w:rFonts w:eastAsiaTheme="majorEastAsia"/>
          <w:lang w:val="en-GB" w:bidi="en-US"/>
        </w:rPr>
      </w:pPr>
      <w:r w:rsidRPr="00597788">
        <w:rPr>
          <w:rFonts w:eastAsiaTheme="majorEastAsia"/>
          <w:lang w:val="en-GB" w:bidi="en-US"/>
        </w:rPr>
        <w:t>Regulatory Environment</w:t>
      </w:r>
    </w:p>
    <w:p w14:paraId="5F947E3D" w14:textId="77777777" w:rsidR="00B04C2E" w:rsidRPr="00597788" w:rsidRDefault="00B04C2E" w:rsidP="00B04C2E">
      <w:pPr>
        <w:pStyle w:val="BodyTextMain"/>
        <w:rPr>
          <w:rFonts w:eastAsiaTheme="minorEastAsia"/>
          <w:lang w:val="en-GB" w:bidi="en-US"/>
        </w:rPr>
      </w:pPr>
    </w:p>
    <w:p w14:paraId="5EBBCA11" w14:textId="7BA4D1F4" w:rsidR="00B04C2E" w:rsidRPr="00597788" w:rsidRDefault="00B04C2E" w:rsidP="00B04C2E">
      <w:pPr>
        <w:pStyle w:val="BodyTextMain"/>
        <w:rPr>
          <w:rFonts w:eastAsiaTheme="minorEastAsia"/>
          <w:spacing w:val="-2"/>
          <w:lang w:val="en-GB" w:bidi="en-US"/>
        </w:rPr>
      </w:pPr>
      <w:r w:rsidRPr="00597788">
        <w:rPr>
          <w:rFonts w:eastAsiaTheme="minorEastAsia"/>
          <w:spacing w:val="-2"/>
          <w:lang w:val="en-GB" w:bidi="en-US"/>
        </w:rPr>
        <w:t xml:space="preserve">After deregulation of the Alberta utilities industry in 2001, the market was governed by a large number of </w:t>
      </w:r>
      <w:r w:rsidR="00234D71" w:rsidRPr="00597788">
        <w:rPr>
          <w:rFonts w:eastAsiaTheme="minorEastAsia"/>
          <w:spacing w:val="-2"/>
          <w:lang w:val="en-GB" w:bidi="en-US"/>
        </w:rPr>
        <w:t xml:space="preserve">laws </w:t>
      </w:r>
      <w:r w:rsidRPr="00597788">
        <w:rPr>
          <w:rFonts w:eastAsiaTheme="minorEastAsia"/>
          <w:spacing w:val="-2"/>
          <w:lang w:val="en-GB" w:bidi="en-US"/>
        </w:rPr>
        <w:t>and government policies, which created a highly complex and nuanced regulatory environment. The overall direction of the deregulated energy and wholesale electricity market was determined by the DOE. Market governance and the roles of key agencies were defined by two main pieces of legislation</w:t>
      </w:r>
      <w:r w:rsidR="00234D71" w:rsidRPr="00597788">
        <w:rPr>
          <w:rFonts w:eastAsiaTheme="minorEastAsia"/>
          <w:spacing w:val="-2"/>
          <w:lang w:val="en-GB" w:bidi="en-US"/>
        </w:rPr>
        <w:t xml:space="preserve">: </w:t>
      </w:r>
      <w:r w:rsidRPr="00597788">
        <w:rPr>
          <w:rFonts w:eastAsiaTheme="minorEastAsia"/>
          <w:spacing w:val="-2"/>
          <w:lang w:val="en-GB" w:bidi="en-US"/>
        </w:rPr>
        <w:t xml:space="preserve">the </w:t>
      </w:r>
      <w:r w:rsidRPr="00597788">
        <w:rPr>
          <w:rFonts w:eastAsiaTheme="minorEastAsia"/>
          <w:i/>
          <w:spacing w:val="-2"/>
          <w:lang w:val="en-GB" w:bidi="en-US"/>
        </w:rPr>
        <w:t>Electric Utilities Act</w:t>
      </w:r>
      <w:r w:rsidRPr="00597788">
        <w:rPr>
          <w:rFonts w:eastAsiaTheme="minorEastAsia"/>
          <w:spacing w:val="-2"/>
          <w:lang w:val="en-GB" w:bidi="en-US"/>
        </w:rPr>
        <w:t xml:space="preserve"> (2003)</w:t>
      </w:r>
      <w:r w:rsidRPr="00597788">
        <w:rPr>
          <w:rFonts w:eastAsiaTheme="minorEastAsia"/>
          <w:spacing w:val="-2"/>
          <w:vertAlign w:val="superscript"/>
          <w:lang w:val="en-GB" w:bidi="en-US"/>
        </w:rPr>
        <w:endnoteReference w:id="8"/>
      </w:r>
      <w:r w:rsidRPr="00597788">
        <w:rPr>
          <w:rFonts w:eastAsiaTheme="minorEastAsia"/>
          <w:spacing w:val="-2"/>
          <w:lang w:val="en-GB" w:bidi="en-US"/>
        </w:rPr>
        <w:t xml:space="preserve"> and the </w:t>
      </w:r>
      <w:r w:rsidRPr="00597788">
        <w:rPr>
          <w:rFonts w:eastAsiaTheme="minorEastAsia"/>
          <w:i/>
          <w:spacing w:val="-2"/>
          <w:lang w:val="en-GB" w:bidi="en-US"/>
        </w:rPr>
        <w:t>Alberta Utilities Commission Act</w:t>
      </w:r>
      <w:r w:rsidRPr="00597788">
        <w:rPr>
          <w:rFonts w:eastAsiaTheme="minorEastAsia"/>
          <w:spacing w:val="-2"/>
          <w:lang w:val="en-GB" w:bidi="en-US"/>
        </w:rPr>
        <w:t xml:space="preserve"> (2007).</w:t>
      </w:r>
      <w:r w:rsidRPr="00597788">
        <w:rPr>
          <w:rFonts w:eastAsiaTheme="minorEastAsia"/>
          <w:spacing w:val="-2"/>
          <w:vertAlign w:val="superscript"/>
          <w:lang w:val="en-GB" w:bidi="en-US"/>
        </w:rPr>
        <w:endnoteReference w:id="9"/>
      </w:r>
      <w:r w:rsidRPr="00597788">
        <w:rPr>
          <w:rFonts w:eastAsiaTheme="minorEastAsia"/>
          <w:spacing w:val="-2"/>
          <w:lang w:val="en-GB" w:bidi="en-US"/>
        </w:rPr>
        <w:t xml:space="preserve"> The key agencies included the Alberta Electric System Operator (AESO), </w:t>
      </w:r>
      <w:r w:rsidR="00840C8C" w:rsidRPr="00597788">
        <w:rPr>
          <w:rFonts w:eastAsiaTheme="minorEastAsia"/>
          <w:spacing w:val="-2"/>
          <w:lang w:val="en-GB" w:bidi="en-US"/>
        </w:rPr>
        <w:t>the</w:t>
      </w:r>
      <w:r w:rsidRPr="00597788">
        <w:rPr>
          <w:rFonts w:eastAsiaTheme="minorEastAsia"/>
          <w:spacing w:val="-2"/>
          <w:lang w:val="en-GB" w:bidi="en-US"/>
        </w:rPr>
        <w:t xml:space="preserve"> AUC, and the Market Surveillance Administrator. Together, these agencies were responsible for the “development, operation and management of the markets and transmission </w:t>
      </w:r>
      <w:r w:rsidRPr="00597788">
        <w:rPr>
          <w:rFonts w:eastAsiaTheme="minorEastAsia"/>
          <w:spacing w:val="-2"/>
          <w:lang w:val="en-GB" w:bidi="en-US"/>
        </w:rPr>
        <w:lastRenderedPageBreak/>
        <w:t>infrastructure, as well as surveillance over behaviour.”</w:t>
      </w:r>
      <w:r w:rsidRPr="00597788">
        <w:rPr>
          <w:rFonts w:eastAsiaTheme="minorEastAsia"/>
          <w:spacing w:val="-2"/>
          <w:vertAlign w:val="superscript"/>
          <w:lang w:val="en-GB" w:bidi="en-US"/>
        </w:rPr>
        <w:endnoteReference w:id="10"/>
      </w:r>
      <w:r w:rsidRPr="00597788">
        <w:rPr>
          <w:rFonts w:eastAsiaTheme="minorEastAsia"/>
          <w:spacing w:val="-2"/>
          <w:lang w:val="en-GB" w:bidi="en-US"/>
        </w:rPr>
        <w:t xml:space="preserve"> Additionally, the Utilities Consumer Advocate (UCA) and other interven</w:t>
      </w:r>
      <w:r w:rsidR="003C4FCF" w:rsidRPr="00597788">
        <w:rPr>
          <w:rFonts w:eastAsiaTheme="minorEastAsia"/>
          <w:spacing w:val="-2"/>
          <w:lang w:val="en-GB" w:bidi="en-US"/>
        </w:rPr>
        <w:t>e</w:t>
      </w:r>
      <w:r w:rsidRPr="00597788">
        <w:rPr>
          <w:rFonts w:eastAsiaTheme="minorEastAsia"/>
          <w:spacing w:val="-2"/>
          <w:lang w:val="en-GB" w:bidi="en-US"/>
        </w:rPr>
        <w:t>r groups represented the interests of electricity and natural gas consumers and intervened in regulatory applications submitted to the AUC and in utility rate hearings.</w:t>
      </w:r>
      <w:r w:rsidRPr="00597788">
        <w:rPr>
          <w:rFonts w:eastAsiaTheme="minorEastAsia"/>
          <w:spacing w:val="-2"/>
          <w:vertAlign w:val="superscript"/>
          <w:lang w:val="en-GB" w:bidi="en-US"/>
        </w:rPr>
        <w:endnoteReference w:id="11"/>
      </w:r>
      <w:r w:rsidRPr="00597788">
        <w:rPr>
          <w:rFonts w:eastAsiaTheme="minorEastAsia"/>
          <w:spacing w:val="-2"/>
          <w:lang w:val="en-GB" w:bidi="en-US"/>
        </w:rPr>
        <w:t xml:space="preserve">  </w:t>
      </w:r>
    </w:p>
    <w:p w14:paraId="6543DB32" w14:textId="77777777" w:rsidR="004331A6" w:rsidRPr="00597788" w:rsidRDefault="004331A6" w:rsidP="00B04C2E">
      <w:pPr>
        <w:pStyle w:val="BodyTextMain"/>
        <w:rPr>
          <w:rFonts w:eastAsiaTheme="minorEastAsia"/>
          <w:lang w:val="en-GB" w:bidi="en-US"/>
        </w:rPr>
      </w:pPr>
    </w:p>
    <w:p w14:paraId="773CF204" w14:textId="6D1B9BE2" w:rsidR="00B04C2E" w:rsidRPr="00597788" w:rsidRDefault="00B04C2E" w:rsidP="00B04C2E">
      <w:pPr>
        <w:pStyle w:val="BodyTextMain"/>
        <w:rPr>
          <w:rFonts w:eastAsiaTheme="minorEastAsia"/>
          <w:lang w:val="en-GB" w:bidi="en-US"/>
        </w:rPr>
      </w:pPr>
      <w:r w:rsidRPr="00597788">
        <w:rPr>
          <w:rFonts w:eastAsiaTheme="minorEastAsia"/>
          <w:lang w:val="en-GB" w:bidi="en-US"/>
        </w:rPr>
        <w:t xml:space="preserve">With the prices of electricity no longer regulated, electricity generators sold their power through the AESO. The AESO was responsible for operating the </w:t>
      </w:r>
      <w:r w:rsidR="000045C1" w:rsidRPr="00597788">
        <w:rPr>
          <w:rFonts w:eastAsiaTheme="minorEastAsia"/>
          <w:lang w:val="en-GB" w:bidi="en-US"/>
        </w:rPr>
        <w:t>“</w:t>
      </w:r>
      <w:r w:rsidRPr="00597788">
        <w:rPr>
          <w:rFonts w:eastAsiaTheme="minorEastAsia"/>
          <w:lang w:val="en-GB" w:bidi="en-US"/>
        </w:rPr>
        <w:t>power pool</w:t>
      </w:r>
      <w:r w:rsidR="000045C1" w:rsidRPr="00597788">
        <w:rPr>
          <w:rFonts w:eastAsiaTheme="minorEastAsia"/>
          <w:lang w:val="en-GB" w:bidi="en-US"/>
        </w:rPr>
        <w:t>”</w:t>
      </w:r>
      <w:r w:rsidRPr="00597788">
        <w:rPr>
          <w:rFonts w:eastAsiaTheme="minorEastAsia"/>
          <w:lang w:val="en-GB" w:bidi="en-US"/>
        </w:rPr>
        <w:t xml:space="preserve"> in a manner that was fair, efficient, and openly competitive. It established and enforced many policies and procedures for market participants. It </w:t>
      </w:r>
      <w:r w:rsidR="006E62B0" w:rsidRPr="00597788">
        <w:rPr>
          <w:rFonts w:eastAsiaTheme="minorEastAsia"/>
          <w:lang w:val="en-GB" w:bidi="en-US"/>
        </w:rPr>
        <w:t xml:space="preserve">was responsible for overseeing </w:t>
      </w:r>
      <w:r w:rsidRPr="00597788">
        <w:rPr>
          <w:rFonts w:eastAsiaTheme="minorEastAsia"/>
          <w:lang w:val="en-GB" w:bidi="en-US"/>
        </w:rPr>
        <w:t>the development of, and access to, the transmission system</w:t>
      </w:r>
      <w:r w:rsidR="006E62B0" w:rsidRPr="00597788">
        <w:rPr>
          <w:rFonts w:eastAsiaTheme="minorEastAsia"/>
          <w:lang w:val="en-GB" w:bidi="en-US"/>
        </w:rPr>
        <w:t>,</w:t>
      </w:r>
      <w:r w:rsidRPr="00597788">
        <w:rPr>
          <w:rFonts w:eastAsiaTheme="minorEastAsia"/>
          <w:lang w:val="en-GB" w:bidi="en-US"/>
        </w:rPr>
        <w:t xml:space="preserve"> </w:t>
      </w:r>
      <w:r w:rsidR="0056715F" w:rsidRPr="00597788">
        <w:rPr>
          <w:rFonts w:eastAsiaTheme="minorEastAsia"/>
          <w:lang w:val="en-GB" w:bidi="en-US"/>
        </w:rPr>
        <w:t>provid</w:t>
      </w:r>
      <w:r w:rsidR="006E62B0" w:rsidRPr="00597788">
        <w:rPr>
          <w:rFonts w:eastAsiaTheme="minorEastAsia"/>
          <w:lang w:val="en-GB" w:bidi="en-US"/>
        </w:rPr>
        <w:t>ing</w:t>
      </w:r>
      <w:r w:rsidR="0056715F" w:rsidRPr="00597788">
        <w:rPr>
          <w:rFonts w:eastAsiaTheme="minorEastAsia"/>
          <w:lang w:val="en-GB" w:bidi="en-US"/>
        </w:rPr>
        <w:t xml:space="preserve"> the</w:t>
      </w:r>
      <w:r w:rsidRPr="00597788">
        <w:rPr>
          <w:rFonts w:eastAsiaTheme="minorEastAsia"/>
          <w:lang w:val="en-GB" w:bidi="en-US"/>
        </w:rPr>
        <w:t xml:space="preserve"> “</w:t>
      </w:r>
      <w:r w:rsidR="0056715F" w:rsidRPr="00597788">
        <w:rPr>
          <w:rFonts w:eastAsiaTheme="minorEastAsia"/>
          <w:lang w:val="en-GB" w:bidi="en-US"/>
        </w:rPr>
        <w:t>safe, reliable and economic operation of the Alberta Interconnected Electric System (AIES) and promoting a fair, efficient and openly competitive market for electricity.</w:t>
      </w:r>
      <w:r w:rsidR="00CC4AB9" w:rsidRPr="00597788">
        <w:rPr>
          <w:rFonts w:eastAsiaTheme="minorEastAsia"/>
          <w:lang w:val="en-GB" w:bidi="en-US"/>
        </w:rPr>
        <w:t>”</w:t>
      </w:r>
      <w:r w:rsidRPr="00597788">
        <w:rPr>
          <w:rFonts w:eastAsiaTheme="minorEastAsia"/>
          <w:vertAlign w:val="superscript"/>
          <w:lang w:val="en-GB" w:bidi="en-US"/>
        </w:rPr>
        <w:endnoteReference w:id="12"/>
      </w:r>
    </w:p>
    <w:p w14:paraId="781D7005" w14:textId="77777777" w:rsidR="004331A6" w:rsidRPr="00597788" w:rsidRDefault="004331A6" w:rsidP="00B04C2E">
      <w:pPr>
        <w:pStyle w:val="BodyTextMain"/>
        <w:rPr>
          <w:rFonts w:eastAsiaTheme="minorEastAsia"/>
          <w:lang w:val="en-GB" w:bidi="en-US"/>
        </w:rPr>
      </w:pPr>
    </w:p>
    <w:p w14:paraId="1C5F77AA" w14:textId="6C64FFA8" w:rsidR="00B04C2E" w:rsidRPr="00597788" w:rsidRDefault="00B04C2E" w:rsidP="00B04C2E">
      <w:pPr>
        <w:pStyle w:val="BodyTextMain"/>
        <w:rPr>
          <w:rFonts w:eastAsiaTheme="minorEastAsia"/>
          <w:lang w:val="en-GB" w:bidi="en-US"/>
        </w:rPr>
      </w:pPr>
      <w:r w:rsidRPr="00597788">
        <w:rPr>
          <w:rFonts w:eastAsiaTheme="minorEastAsia"/>
          <w:lang w:val="en-GB" w:bidi="en-US"/>
        </w:rPr>
        <w:t xml:space="preserve">The AUC was responsible for adjudication related to industry standards, including the approval or denial of transmission and distribution applications and the application of penalties for non-compliance of standards. In addition, the </w:t>
      </w:r>
      <w:r w:rsidR="007C4BDF" w:rsidRPr="00597788">
        <w:rPr>
          <w:rFonts w:eastAsiaTheme="minorEastAsia"/>
          <w:lang w:val="en-GB" w:bidi="en-US"/>
        </w:rPr>
        <w:t>AUC</w:t>
      </w:r>
      <w:r w:rsidRPr="00597788">
        <w:rPr>
          <w:rFonts w:eastAsiaTheme="minorEastAsia"/>
          <w:lang w:val="en-GB" w:bidi="en-US"/>
        </w:rPr>
        <w:t xml:space="preserve"> approved the construction, connection</w:t>
      </w:r>
      <w:r w:rsidR="007C4BDF" w:rsidRPr="00597788">
        <w:rPr>
          <w:rFonts w:eastAsiaTheme="minorEastAsia"/>
          <w:lang w:val="en-GB" w:bidi="en-US"/>
        </w:rPr>
        <w:t>,</w:t>
      </w:r>
      <w:r w:rsidRPr="00597788">
        <w:rPr>
          <w:rFonts w:eastAsiaTheme="minorEastAsia"/>
          <w:lang w:val="en-GB" w:bidi="en-US"/>
        </w:rPr>
        <w:t xml:space="preserve"> and operation of new transmission facilities and all of the costs incurred by transmission facility owners to provide their services. In addition to overseeing transmission facility owners, the </w:t>
      </w:r>
      <w:r w:rsidR="007C4BDF" w:rsidRPr="00597788">
        <w:rPr>
          <w:rFonts w:eastAsiaTheme="minorEastAsia"/>
          <w:lang w:val="en-GB" w:bidi="en-US"/>
        </w:rPr>
        <w:t>AUC</w:t>
      </w:r>
      <w:r w:rsidRPr="00597788">
        <w:rPr>
          <w:rFonts w:eastAsiaTheme="minorEastAsia"/>
          <w:lang w:val="en-GB" w:bidi="en-US"/>
        </w:rPr>
        <w:t xml:space="preserve"> also oversaw operation costs and distribution rates for investor-owned and certain municipality-owned distributors, referred to as “wire owners</w:t>
      </w:r>
      <w:r w:rsidR="007C4BDF" w:rsidRPr="00597788">
        <w:rPr>
          <w:rFonts w:eastAsiaTheme="minorEastAsia"/>
          <w:lang w:val="en-GB" w:bidi="en-US"/>
        </w:rPr>
        <w:t>.</w:t>
      </w:r>
      <w:r w:rsidRPr="00597788">
        <w:rPr>
          <w:rFonts w:eastAsiaTheme="minorEastAsia"/>
          <w:lang w:val="en-GB" w:bidi="en-US"/>
        </w:rPr>
        <w:t>” Costs incurred to wire owners for “the design, maintenance, construction and financing of the electric system that deliver[ed] energy to a customer’s home” were recovered by customers through a tariff.</w:t>
      </w:r>
      <w:r w:rsidRPr="00597788">
        <w:rPr>
          <w:rFonts w:eastAsiaTheme="minorEastAsia"/>
          <w:vertAlign w:val="superscript"/>
          <w:lang w:val="en-GB" w:bidi="en-US"/>
        </w:rPr>
        <w:endnoteReference w:id="13"/>
      </w:r>
      <w:r w:rsidRPr="00597788">
        <w:rPr>
          <w:rFonts w:eastAsiaTheme="minorEastAsia"/>
          <w:lang w:val="en-GB" w:bidi="en-US"/>
        </w:rPr>
        <w:t xml:space="preserve"> </w:t>
      </w:r>
      <w:r w:rsidR="007C4BDF" w:rsidRPr="00597788">
        <w:rPr>
          <w:rFonts w:eastAsiaTheme="minorEastAsia"/>
          <w:lang w:val="en-GB" w:bidi="en-US"/>
        </w:rPr>
        <w:t>However, t</w:t>
      </w:r>
      <w:r w:rsidRPr="00597788">
        <w:rPr>
          <w:rFonts w:eastAsiaTheme="minorEastAsia"/>
          <w:lang w:val="en-GB" w:bidi="en-US"/>
        </w:rPr>
        <w:t xml:space="preserve">he </w:t>
      </w:r>
      <w:r w:rsidR="007C4BDF" w:rsidRPr="00597788">
        <w:rPr>
          <w:rFonts w:eastAsiaTheme="minorEastAsia"/>
          <w:lang w:val="en-GB" w:bidi="en-US"/>
        </w:rPr>
        <w:t>AUC</w:t>
      </w:r>
      <w:r w:rsidRPr="00597788">
        <w:rPr>
          <w:rFonts w:eastAsiaTheme="minorEastAsia"/>
          <w:lang w:val="en-GB" w:bidi="en-US"/>
        </w:rPr>
        <w:t xml:space="preserve"> had jurisdiction only over customer rates for electricity from wire owners. Customers were also able to purchase electricity from a variety of retailers through a competitive contract. If customers did not choose a retailer, they automatically received service from the regulated rate option provider in their area, </w:t>
      </w:r>
      <w:r w:rsidR="007C4BDF" w:rsidRPr="00597788">
        <w:rPr>
          <w:rFonts w:eastAsiaTheme="minorEastAsia"/>
          <w:lang w:val="en-GB" w:bidi="en-US"/>
        </w:rPr>
        <w:t xml:space="preserve">over </w:t>
      </w:r>
      <w:r w:rsidRPr="00597788">
        <w:rPr>
          <w:rFonts w:eastAsiaTheme="minorEastAsia"/>
          <w:lang w:val="en-GB" w:bidi="en-US"/>
        </w:rPr>
        <w:t xml:space="preserve">which the </w:t>
      </w:r>
      <w:r w:rsidR="007C4BDF" w:rsidRPr="00597788">
        <w:rPr>
          <w:rFonts w:eastAsiaTheme="minorEastAsia"/>
          <w:lang w:val="en-GB" w:bidi="en-US"/>
        </w:rPr>
        <w:t>AUC</w:t>
      </w:r>
      <w:r w:rsidRPr="00597788">
        <w:rPr>
          <w:rFonts w:eastAsiaTheme="minorEastAsia"/>
          <w:lang w:val="en-GB" w:bidi="en-US"/>
        </w:rPr>
        <w:t xml:space="preserve"> had jurisdiction.</w:t>
      </w:r>
      <w:r w:rsidRPr="00597788">
        <w:rPr>
          <w:rFonts w:eastAsiaTheme="minorEastAsia"/>
          <w:vertAlign w:val="superscript"/>
          <w:lang w:val="en-GB" w:bidi="en-US"/>
        </w:rPr>
        <w:endnoteReference w:id="14"/>
      </w:r>
      <w:r w:rsidRPr="00597788">
        <w:rPr>
          <w:rFonts w:eastAsiaTheme="minorEastAsia"/>
          <w:lang w:val="en-GB" w:bidi="en-US"/>
        </w:rPr>
        <w:t xml:space="preserve"> In summary, the electricity regulatory environment was highly complex</w:t>
      </w:r>
      <w:r w:rsidR="007C4BDF" w:rsidRPr="00597788">
        <w:rPr>
          <w:rFonts w:eastAsiaTheme="minorEastAsia"/>
          <w:lang w:val="en-GB" w:bidi="en-US"/>
        </w:rPr>
        <w:t>,</w:t>
      </w:r>
      <w:r w:rsidRPr="00597788">
        <w:rPr>
          <w:rFonts w:eastAsiaTheme="minorEastAsia"/>
          <w:lang w:val="en-GB" w:bidi="en-US"/>
        </w:rPr>
        <w:t xml:space="preserve"> and the </w:t>
      </w:r>
      <w:r w:rsidR="007C4BDF" w:rsidRPr="00597788">
        <w:rPr>
          <w:rFonts w:eastAsiaTheme="minorEastAsia"/>
          <w:lang w:val="en-GB" w:bidi="en-US"/>
        </w:rPr>
        <w:t>AUC</w:t>
      </w:r>
      <w:r w:rsidRPr="00597788">
        <w:rPr>
          <w:rFonts w:eastAsiaTheme="minorEastAsia"/>
          <w:lang w:val="en-GB" w:bidi="en-US"/>
        </w:rPr>
        <w:t xml:space="preserve"> had to be rigorous in reviewing and adjudicating regulatory applications to ensure that costs and rates were reasonably justified. </w:t>
      </w:r>
    </w:p>
    <w:p w14:paraId="157E7460" w14:textId="77777777" w:rsidR="00B04C2E" w:rsidRPr="00597788" w:rsidRDefault="00B04C2E" w:rsidP="00B04C2E">
      <w:pPr>
        <w:pStyle w:val="BodyTextMain"/>
        <w:rPr>
          <w:rFonts w:eastAsiaTheme="minorEastAsia"/>
          <w:lang w:val="en-GB" w:bidi="en-US"/>
        </w:rPr>
      </w:pPr>
    </w:p>
    <w:p w14:paraId="2F434285" w14:textId="77777777" w:rsidR="007E4763" w:rsidRPr="00597788" w:rsidRDefault="007E4763" w:rsidP="00B04C2E">
      <w:pPr>
        <w:pStyle w:val="BodyTextMain"/>
        <w:rPr>
          <w:rFonts w:eastAsiaTheme="minorEastAsia"/>
          <w:lang w:val="en-GB" w:bidi="en-US"/>
        </w:rPr>
      </w:pPr>
    </w:p>
    <w:p w14:paraId="425BB245" w14:textId="77777777" w:rsidR="00B04C2E" w:rsidRPr="00597788" w:rsidRDefault="00B04C2E" w:rsidP="00360100">
      <w:pPr>
        <w:pStyle w:val="Casehead2"/>
        <w:outlineLvl w:val="0"/>
        <w:rPr>
          <w:rFonts w:eastAsiaTheme="majorEastAsia"/>
          <w:lang w:val="en-GB" w:bidi="en-US"/>
        </w:rPr>
      </w:pPr>
      <w:r w:rsidRPr="00597788">
        <w:rPr>
          <w:rFonts w:eastAsiaTheme="majorEastAsia"/>
          <w:lang w:val="en-GB" w:bidi="en-US"/>
        </w:rPr>
        <w:t>Smart Grid Technology</w:t>
      </w:r>
    </w:p>
    <w:p w14:paraId="52D2E59F" w14:textId="77777777" w:rsidR="007E4763" w:rsidRPr="00597788" w:rsidRDefault="007E4763" w:rsidP="00B04C2E">
      <w:pPr>
        <w:pStyle w:val="BodyTextMain"/>
        <w:rPr>
          <w:rFonts w:eastAsiaTheme="minorEastAsia"/>
          <w:lang w:val="en-GB" w:bidi="en-US"/>
        </w:rPr>
      </w:pPr>
    </w:p>
    <w:p w14:paraId="112D9129" w14:textId="2D8508BA" w:rsidR="00690E95" w:rsidRPr="00597788" w:rsidRDefault="00690E95" w:rsidP="00B04C2E">
      <w:pPr>
        <w:pStyle w:val="BodyTextMain"/>
        <w:rPr>
          <w:rFonts w:eastAsiaTheme="minorEastAsia"/>
          <w:lang w:val="en-GB" w:bidi="en-US"/>
        </w:rPr>
      </w:pPr>
      <w:r w:rsidRPr="00597788">
        <w:rPr>
          <w:rFonts w:eastAsiaTheme="minorEastAsia"/>
          <w:lang w:val="en-GB" w:bidi="en-US"/>
        </w:rPr>
        <w:t xml:space="preserve">In terms of </w:t>
      </w:r>
      <w:r w:rsidR="00BE78DB" w:rsidRPr="00597788">
        <w:rPr>
          <w:rFonts w:eastAsiaTheme="minorEastAsia"/>
          <w:lang w:val="en-GB" w:bidi="en-US"/>
        </w:rPr>
        <w:t>s</w:t>
      </w:r>
      <w:r w:rsidRPr="00597788">
        <w:rPr>
          <w:rFonts w:eastAsiaTheme="minorEastAsia"/>
          <w:lang w:val="en-GB" w:bidi="en-US"/>
        </w:rPr>
        <w:t xml:space="preserve">mart </w:t>
      </w:r>
      <w:r w:rsidR="00BE78DB" w:rsidRPr="00597788">
        <w:rPr>
          <w:rFonts w:eastAsiaTheme="minorEastAsia"/>
          <w:lang w:val="en-GB" w:bidi="en-US"/>
        </w:rPr>
        <w:t>g</w:t>
      </w:r>
      <w:r w:rsidRPr="00597788">
        <w:rPr>
          <w:rFonts w:eastAsiaTheme="minorEastAsia"/>
          <w:lang w:val="en-GB" w:bidi="en-US"/>
        </w:rPr>
        <w:t xml:space="preserve">rid innovation across Canada, by </w:t>
      </w:r>
      <w:r w:rsidR="006A2C77">
        <w:rPr>
          <w:rFonts w:eastAsiaTheme="minorEastAsia"/>
          <w:lang w:val="en-GB" w:bidi="en-US"/>
        </w:rPr>
        <w:t>2014</w:t>
      </w:r>
      <w:r w:rsidRPr="00597788">
        <w:rPr>
          <w:rFonts w:eastAsiaTheme="minorEastAsia"/>
          <w:lang w:val="en-GB" w:bidi="en-US"/>
        </w:rPr>
        <w:t xml:space="preserve">, approximately </w:t>
      </w:r>
      <w:r w:rsidR="00BE78DB" w:rsidRPr="00597788">
        <w:rPr>
          <w:rFonts w:eastAsiaTheme="minorEastAsia"/>
          <w:lang w:val="en-GB" w:bidi="en-US"/>
        </w:rPr>
        <w:t>CA</w:t>
      </w:r>
      <w:r w:rsidRPr="00597788">
        <w:rPr>
          <w:rFonts w:eastAsiaTheme="minorEastAsia"/>
          <w:lang w:val="en-GB" w:bidi="en-US"/>
        </w:rPr>
        <w:t>$368 million</w:t>
      </w:r>
      <w:r w:rsidR="00BE78DB" w:rsidRPr="00597788">
        <w:rPr>
          <w:rStyle w:val="EndnoteReference"/>
          <w:rFonts w:eastAsiaTheme="minorEastAsia"/>
          <w:lang w:val="en-GB" w:bidi="en-US"/>
        </w:rPr>
        <w:endnoteReference w:id="15"/>
      </w:r>
      <w:r w:rsidRPr="00597788">
        <w:rPr>
          <w:rFonts w:eastAsiaTheme="minorEastAsia"/>
          <w:lang w:val="en-GB" w:bidi="en-US"/>
        </w:rPr>
        <w:t xml:space="preserve"> had been invested in 37 </w:t>
      </w:r>
      <w:r w:rsidR="00BE78DB" w:rsidRPr="00597788">
        <w:rPr>
          <w:rFonts w:eastAsiaTheme="minorEastAsia"/>
          <w:lang w:val="en-GB" w:bidi="en-US"/>
        </w:rPr>
        <w:t>s</w:t>
      </w:r>
      <w:r w:rsidRPr="00597788">
        <w:rPr>
          <w:rFonts w:eastAsiaTheme="minorEastAsia"/>
          <w:lang w:val="en-GB" w:bidi="en-US"/>
        </w:rPr>
        <w:t xml:space="preserve">mart </w:t>
      </w:r>
      <w:r w:rsidR="00BE78DB" w:rsidRPr="00597788">
        <w:rPr>
          <w:rFonts w:eastAsiaTheme="minorEastAsia"/>
          <w:lang w:val="en-GB" w:bidi="en-US"/>
        </w:rPr>
        <w:t>g</w:t>
      </w:r>
      <w:r w:rsidRPr="00597788">
        <w:rPr>
          <w:rFonts w:eastAsiaTheme="minorEastAsia"/>
          <w:lang w:val="en-GB" w:bidi="en-US"/>
        </w:rPr>
        <w:t xml:space="preserve">rid technology projects across 24 companies, </w:t>
      </w:r>
      <w:r w:rsidR="00BE78DB" w:rsidRPr="00597788">
        <w:rPr>
          <w:rFonts w:eastAsiaTheme="minorEastAsia"/>
          <w:lang w:val="en-GB" w:bidi="en-US"/>
        </w:rPr>
        <w:t>six</w:t>
      </w:r>
      <w:r w:rsidRPr="00597788">
        <w:rPr>
          <w:rFonts w:eastAsiaTheme="minorEastAsia"/>
          <w:lang w:val="en-GB" w:bidi="en-US"/>
        </w:rPr>
        <w:t xml:space="preserve"> of which were Canadian utilities. The nation’s utilities, in particular, were considered to be the test beds of innovation for achieving a clean, reliable</w:t>
      </w:r>
      <w:r w:rsidR="00101ABE" w:rsidRPr="00597788">
        <w:rPr>
          <w:rFonts w:eastAsiaTheme="minorEastAsia"/>
          <w:lang w:val="en-GB" w:bidi="en-US"/>
        </w:rPr>
        <w:t>,</w:t>
      </w:r>
      <w:r w:rsidRPr="00597788">
        <w:rPr>
          <w:rFonts w:eastAsiaTheme="minorEastAsia"/>
          <w:lang w:val="en-GB" w:bidi="en-US"/>
        </w:rPr>
        <w:t xml:space="preserve"> and sustainable electricity supply that was supported by smart grid systems.</w:t>
      </w:r>
      <w:r w:rsidRPr="00597788">
        <w:rPr>
          <w:rFonts w:eastAsiaTheme="minorEastAsia"/>
          <w:vertAlign w:val="superscript"/>
          <w:lang w:val="en-GB" w:bidi="en-US"/>
        </w:rPr>
        <w:endnoteReference w:id="16"/>
      </w:r>
      <w:r w:rsidRPr="00597788">
        <w:rPr>
          <w:rFonts w:eastAsiaTheme="minorEastAsia"/>
          <w:lang w:val="en-GB" w:bidi="en-US"/>
        </w:rPr>
        <w:t xml:space="preserve"> Companies and a few utilities in Quebec, Ontario, Saskatchewan, British Columbia</w:t>
      </w:r>
      <w:r w:rsidR="00101ABE" w:rsidRPr="00597788">
        <w:rPr>
          <w:rFonts w:eastAsiaTheme="minorEastAsia"/>
          <w:lang w:val="en-GB" w:bidi="en-US"/>
        </w:rPr>
        <w:t>,</w:t>
      </w:r>
      <w:r w:rsidRPr="00597788">
        <w:rPr>
          <w:rFonts w:eastAsiaTheme="minorEastAsia"/>
          <w:lang w:val="en-GB" w:bidi="en-US"/>
        </w:rPr>
        <w:t xml:space="preserve"> and Alberta </w:t>
      </w:r>
      <w:r w:rsidR="00101ABE" w:rsidRPr="00597788">
        <w:rPr>
          <w:rFonts w:eastAsiaTheme="minorEastAsia"/>
          <w:lang w:val="en-GB" w:bidi="en-US"/>
        </w:rPr>
        <w:t xml:space="preserve">either </w:t>
      </w:r>
      <w:r w:rsidRPr="00597788">
        <w:rPr>
          <w:rFonts w:eastAsiaTheme="minorEastAsia"/>
          <w:lang w:val="en-GB" w:bidi="en-US"/>
        </w:rPr>
        <w:t>had already deployed or were in the process of deploying some form of AMI.</w:t>
      </w:r>
      <w:r w:rsidRPr="00597788">
        <w:rPr>
          <w:rFonts w:eastAsiaTheme="minorEastAsia"/>
          <w:vertAlign w:val="superscript"/>
          <w:lang w:val="en-GB" w:bidi="en-US"/>
        </w:rPr>
        <w:endnoteReference w:id="17"/>
      </w:r>
      <w:r w:rsidRPr="00597788">
        <w:rPr>
          <w:rFonts w:eastAsiaTheme="minorEastAsia"/>
          <w:lang w:val="en-GB" w:bidi="en-US"/>
        </w:rPr>
        <w:t xml:space="preserve"> </w:t>
      </w:r>
      <w:r w:rsidR="00B04C2E" w:rsidRPr="00597788">
        <w:rPr>
          <w:rFonts w:eastAsiaTheme="minorEastAsia"/>
          <w:lang w:val="en-GB" w:bidi="en-US"/>
        </w:rPr>
        <w:t xml:space="preserve">Amidst industry changes, two </w:t>
      </w:r>
      <w:r w:rsidR="006E62B0" w:rsidRPr="00597788">
        <w:rPr>
          <w:rFonts w:eastAsiaTheme="minorEastAsia"/>
          <w:lang w:val="en-GB" w:bidi="en-US"/>
        </w:rPr>
        <w:t>meter-</w:t>
      </w:r>
      <w:r w:rsidR="00B04C2E" w:rsidRPr="00597788">
        <w:rPr>
          <w:rFonts w:eastAsiaTheme="minorEastAsia"/>
          <w:lang w:val="en-GB" w:bidi="en-US"/>
        </w:rPr>
        <w:t xml:space="preserve">reading technologies were most prevalent: AMR and AMI. </w:t>
      </w:r>
    </w:p>
    <w:p w14:paraId="0E3BCF27" w14:textId="77777777" w:rsidR="00690E95" w:rsidRPr="00597788" w:rsidRDefault="00690E95" w:rsidP="00B04C2E">
      <w:pPr>
        <w:pStyle w:val="BodyTextMain"/>
        <w:rPr>
          <w:rFonts w:eastAsiaTheme="minorEastAsia"/>
          <w:lang w:val="en-GB" w:bidi="en-US"/>
        </w:rPr>
      </w:pPr>
    </w:p>
    <w:p w14:paraId="7FBFD575" w14:textId="49411A79" w:rsidR="00B04C2E" w:rsidRPr="00597788" w:rsidRDefault="00B04C2E" w:rsidP="00B04C2E">
      <w:pPr>
        <w:pStyle w:val="BodyTextMain"/>
        <w:rPr>
          <w:rFonts w:eastAsiaTheme="minorEastAsia"/>
          <w:lang w:val="en-GB" w:bidi="en-US"/>
        </w:rPr>
      </w:pPr>
      <w:r w:rsidRPr="00597788">
        <w:rPr>
          <w:rFonts w:eastAsiaTheme="minorEastAsia"/>
          <w:lang w:val="en-GB" w:bidi="en-US"/>
        </w:rPr>
        <w:t xml:space="preserve">AMR </w:t>
      </w:r>
      <w:r w:rsidR="00690E95" w:rsidRPr="00597788">
        <w:rPr>
          <w:rFonts w:eastAsiaTheme="minorEastAsia"/>
          <w:lang w:val="en-GB" w:bidi="en-US"/>
        </w:rPr>
        <w:t xml:space="preserve">technology used electric metering devices that enabled the remote collection of data </w:t>
      </w:r>
      <w:r w:rsidRPr="00597788">
        <w:rPr>
          <w:rFonts w:eastAsiaTheme="minorEastAsia"/>
          <w:lang w:val="en-GB" w:bidi="en-US"/>
        </w:rPr>
        <w:t xml:space="preserve">on </w:t>
      </w:r>
      <w:r w:rsidR="00627DA5" w:rsidRPr="00597788">
        <w:rPr>
          <w:rFonts w:eastAsiaTheme="minorEastAsia"/>
          <w:lang w:val="en-GB" w:bidi="en-US"/>
        </w:rPr>
        <w:t xml:space="preserve">electricity </w:t>
      </w:r>
      <w:r w:rsidRPr="00597788">
        <w:rPr>
          <w:rFonts w:eastAsiaTheme="minorEastAsia"/>
          <w:lang w:val="en-GB" w:bidi="en-US"/>
        </w:rPr>
        <w:t xml:space="preserve">usage, </w:t>
      </w:r>
      <w:r w:rsidR="00101ABE" w:rsidRPr="00597788">
        <w:rPr>
          <w:rFonts w:eastAsiaTheme="minorEastAsia"/>
          <w:lang w:val="en-GB" w:bidi="en-US"/>
        </w:rPr>
        <w:t xml:space="preserve">the </w:t>
      </w:r>
      <w:r w:rsidRPr="00597788">
        <w:rPr>
          <w:rFonts w:eastAsiaTheme="minorEastAsia"/>
          <w:lang w:val="en-GB" w:bidi="en-US"/>
        </w:rPr>
        <w:t>status</w:t>
      </w:r>
      <w:r w:rsidR="00627DA5" w:rsidRPr="00597788">
        <w:rPr>
          <w:rFonts w:eastAsiaTheme="minorEastAsia"/>
          <w:lang w:val="en-GB" w:bidi="en-US"/>
        </w:rPr>
        <w:t xml:space="preserve"> of meter and line functionality,</w:t>
      </w:r>
      <w:r w:rsidRPr="00597788">
        <w:rPr>
          <w:rFonts w:eastAsiaTheme="minorEastAsia"/>
          <w:lang w:val="en-GB" w:bidi="en-US"/>
        </w:rPr>
        <w:t xml:space="preserve"> and even diagnostics. </w:t>
      </w:r>
      <w:r w:rsidR="00101ABE" w:rsidRPr="00597788">
        <w:rPr>
          <w:rFonts w:eastAsiaTheme="minorEastAsia"/>
          <w:lang w:val="en-GB" w:bidi="en-US"/>
        </w:rPr>
        <w:t>Technicians were able to collect d</w:t>
      </w:r>
      <w:r w:rsidRPr="00597788">
        <w:rPr>
          <w:rFonts w:eastAsiaTheme="minorEastAsia"/>
          <w:lang w:val="en-GB" w:bidi="en-US"/>
        </w:rPr>
        <w:t xml:space="preserve">ata from AMR units </w:t>
      </w:r>
      <w:r w:rsidR="00627DA5" w:rsidRPr="00597788">
        <w:rPr>
          <w:rFonts w:eastAsiaTheme="minorEastAsia"/>
          <w:lang w:val="en-GB" w:bidi="en-US"/>
        </w:rPr>
        <w:t xml:space="preserve">electronically </w:t>
      </w:r>
      <w:r w:rsidR="00785A46" w:rsidRPr="00597788">
        <w:rPr>
          <w:rFonts w:eastAsiaTheme="minorEastAsia"/>
          <w:lang w:val="en-GB" w:bidi="en-US"/>
        </w:rPr>
        <w:t xml:space="preserve">by </w:t>
      </w:r>
      <w:r w:rsidR="00101ABE" w:rsidRPr="00597788">
        <w:rPr>
          <w:rFonts w:eastAsiaTheme="minorEastAsia"/>
          <w:lang w:val="en-GB" w:bidi="en-US"/>
        </w:rPr>
        <w:t>just</w:t>
      </w:r>
      <w:r w:rsidR="00690E95" w:rsidRPr="00597788">
        <w:rPr>
          <w:rFonts w:eastAsiaTheme="minorEastAsia"/>
          <w:lang w:val="en-GB" w:bidi="en-US"/>
        </w:rPr>
        <w:t xml:space="preserve"> </w:t>
      </w:r>
      <w:r w:rsidR="00785A46" w:rsidRPr="00597788">
        <w:rPr>
          <w:rFonts w:eastAsiaTheme="minorEastAsia"/>
          <w:lang w:val="en-GB" w:bidi="en-US"/>
        </w:rPr>
        <w:t>driv</w:t>
      </w:r>
      <w:r w:rsidR="00101ABE" w:rsidRPr="00597788">
        <w:rPr>
          <w:rFonts w:eastAsiaTheme="minorEastAsia"/>
          <w:lang w:val="en-GB" w:bidi="en-US"/>
        </w:rPr>
        <w:t>ing</w:t>
      </w:r>
      <w:r w:rsidR="00785A46" w:rsidRPr="00597788">
        <w:rPr>
          <w:rFonts w:eastAsiaTheme="minorEastAsia"/>
          <w:lang w:val="en-GB" w:bidi="en-US"/>
        </w:rPr>
        <w:t xml:space="preserve"> b</w:t>
      </w:r>
      <w:r w:rsidR="00627DA5" w:rsidRPr="00597788">
        <w:rPr>
          <w:rFonts w:eastAsiaTheme="minorEastAsia"/>
          <w:lang w:val="en-GB" w:bidi="en-US"/>
        </w:rPr>
        <w:t>y the units. AMR thus eliminated the need for meter readers to walk from property to property, manually reading meters and writing down the readings, which then had to be manually keyed into the system.</w:t>
      </w:r>
      <w:r w:rsidR="00627DA5" w:rsidRPr="00597788">
        <w:rPr>
          <w:rFonts w:eastAsiaTheme="minorEastAsia"/>
          <w:vertAlign w:val="superscript"/>
          <w:lang w:val="en-GB" w:bidi="en-US"/>
        </w:rPr>
        <w:endnoteReference w:id="18"/>
      </w:r>
      <w:r w:rsidR="00627DA5" w:rsidRPr="00597788">
        <w:rPr>
          <w:rFonts w:eastAsiaTheme="minorEastAsia"/>
          <w:lang w:val="en-GB" w:bidi="en-US"/>
        </w:rPr>
        <w:t xml:space="preserve"> </w:t>
      </w:r>
      <w:r w:rsidR="00785A46" w:rsidRPr="00597788">
        <w:rPr>
          <w:rFonts w:eastAsiaTheme="minorEastAsia"/>
          <w:lang w:val="en-GB" w:bidi="en-US"/>
        </w:rPr>
        <w:t>Furthermore</w:t>
      </w:r>
      <w:r w:rsidR="00627DA5" w:rsidRPr="00597788">
        <w:rPr>
          <w:rFonts w:eastAsiaTheme="minorEastAsia"/>
          <w:lang w:val="en-GB" w:bidi="en-US"/>
        </w:rPr>
        <w:t xml:space="preserve">, with </w:t>
      </w:r>
      <w:r w:rsidR="00690E95" w:rsidRPr="00597788">
        <w:rPr>
          <w:rFonts w:eastAsiaTheme="minorEastAsia"/>
          <w:lang w:val="en-GB" w:bidi="en-US"/>
        </w:rPr>
        <w:t xml:space="preserve">the additional </w:t>
      </w:r>
      <w:r w:rsidR="00627DA5" w:rsidRPr="00597788">
        <w:rPr>
          <w:rFonts w:eastAsiaTheme="minorEastAsia"/>
          <w:lang w:val="en-GB" w:bidi="en-US"/>
        </w:rPr>
        <w:t xml:space="preserve">expense and </w:t>
      </w:r>
      <w:r w:rsidR="00690E95" w:rsidRPr="00597788">
        <w:rPr>
          <w:rFonts w:eastAsiaTheme="minorEastAsia"/>
          <w:lang w:val="en-GB" w:bidi="en-US"/>
        </w:rPr>
        <w:t>installation</w:t>
      </w:r>
      <w:r w:rsidR="00627DA5" w:rsidRPr="00597788">
        <w:rPr>
          <w:rFonts w:eastAsiaTheme="minorEastAsia"/>
          <w:lang w:val="en-GB" w:bidi="en-US"/>
        </w:rPr>
        <w:t xml:space="preserve"> of </w:t>
      </w:r>
      <w:r w:rsidR="00101ABE" w:rsidRPr="00597788">
        <w:rPr>
          <w:rFonts w:eastAsiaTheme="minorEastAsia"/>
          <w:lang w:val="en-GB" w:bidi="en-US"/>
        </w:rPr>
        <w:t>f</w:t>
      </w:r>
      <w:r w:rsidR="00627DA5" w:rsidRPr="00597788">
        <w:rPr>
          <w:rFonts w:eastAsiaTheme="minorEastAsia"/>
          <w:lang w:val="en-GB" w:bidi="en-US"/>
        </w:rPr>
        <w:t xml:space="preserve">ixed </w:t>
      </w:r>
      <w:r w:rsidR="00101ABE" w:rsidRPr="00597788">
        <w:rPr>
          <w:rFonts w:eastAsiaTheme="minorEastAsia"/>
          <w:lang w:val="en-GB" w:bidi="en-US"/>
        </w:rPr>
        <w:t>n</w:t>
      </w:r>
      <w:r w:rsidR="00627DA5" w:rsidRPr="00597788">
        <w:rPr>
          <w:rFonts w:eastAsiaTheme="minorEastAsia"/>
          <w:lang w:val="en-GB" w:bidi="en-US"/>
        </w:rPr>
        <w:t>etworks, data from AMR meters could</w:t>
      </w:r>
      <w:r w:rsidR="00785A46" w:rsidRPr="00597788">
        <w:rPr>
          <w:rFonts w:eastAsiaTheme="minorEastAsia"/>
          <w:lang w:val="en-GB" w:bidi="en-US"/>
        </w:rPr>
        <w:t xml:space="preserve"> </w:t>
      </w:r>
      <w:r w:rsidR="00627DA5" w:rsidRPr="00597788">
        <w:rPr>
          <w:rFonts w:eastAsiaTheme="minorEastAsia"/>
          <w:lang w:val="en-GB" w:bidi="en-US"/>
        </w:rPr>
        <w:t>be automatically transferred to a central database to be used for multiple purposes including billing and troubleshooting.</w:t>
      </w:r>
      <w:r w:rsidR="00627DA5" w:rsidRPr="00597788">
        <w:rPr>
          <w:rFonts w:eastAsiaTheme="minorEastAsia"/>
          <w:vertAlign w:val="superscript"/>
          <w:lang w:val="en-GB" w:bidi="en-US"/>
        </w:rPr>
        <w:endnoteReference w:id="19"/>
      </w:r>
      <w:r w:rsidR="00627DA5" w:rsidRPr="00597788">
        <w:rPr>
          <w:rFonts w:eastAsiaTheme="minorEastAsia"/>
          <w:lang w:val="en-GB" w:bidi="en-US"/>
        </w:rPr>
        <w:t xml:space="preserve"> Fixed </w:t>
      </w:r>
      <w:r w:rsidR="00101ABE" w:rsidRPr="00597788">
        <w:rPr>
          <w:rFonts w:eastAsiaTheme="minorEastAsia"/>
          <w:lang w:val="en-GB" w:bidi="en-US"/>
        </w:rPr>
        <w:t>n</w:t>
      </w:r>
      <w:r w:rsidR="00627DA5" w:rsidRPr="00597788">
        <w:rPr>
          <w:rFonts w:eastAsiaTheme="minorEastAsia"/>
          <w:lang w:val="en-GB" w:bidi="en-US"/>
        </w:rPr>
        <w:t xml:space="preserve">etworks thus eliminated the need for drive-by reading. </w:t>
      </w:r>
      <w:r w:rsidRPr="00597788">
        <w:rPr>
          <w:rFonts w:eastAsiaTheme="minorEastAsia"/>
          <w:lang w:val="en-GB" w:bidi="en-US"/>
        </w:rPr>
        <w:t xml:space="preserve">Reasonably priced relative to other </w:t>
      </w:r>
      <w:r w:rsidR="006E62B0" w:rsidRPr="00597788">
        <w:rPr>
          <w:rFonts w:eastAsiaTheme="minorEastAsia"/>
          <w:lang w:val="en-GB" w:bidi="en-US"/>
        </w:rPr>
        <w:t>meter-</w:t>
      </w:r>
      <w:r w:rsidRPr="00597788">
        <w:rPr>
          <w:rFonts w:eastAsiaTheme="minorEastAsia"/>
          <w:lang w:val="en-GB" w:bidi="en-US"/>
        </w:rPr>
        <w:t>reading technologies, AMR promised to increase efficiency, decrease safety concerns</w:t>
      </w:r>
      <w:r w:rsidR="00101ABE" w:rsidRPr="00597788">
        <w:rPr>
          <w:rFonts w:eastAsiaTheme="minorEastAsia"/>
          <w:lang w:val="en-GB" w:bidi="en-US"/>
        </w:rPr>
        <w:t>,</w:t>
      </w:r>
      <w:r w:rsidRPr="00597788">
        <w:rPr>
          <w:rFonts w:eastAsiaTheme="minorEastAsia"/>
          <w:lang w:val="en-GB" w:bidi="en-US"/>
        </w:rPr>
        <w:t xml:space="preserve"> and reduce labour costs. </w:t>
      </w:r>
      <w:r w:rsidR="00595A92" w:rsidRPr="00597788">
        <w:rPr>
          <w:rFonts w:eastAsiaTheme="minorEastAsia"/>
          <w:lang w:val="en-GB" w:bidi="en-US"/>
        </w:rPr>
        <w:t>AMR did not</w:t>
      </w:r>
      <w:r w:rsidR="00101ABE" w:rsidRPr="00597788">
        <w:rPr>
          <w:rFonts w:eastAsiaTheme="minorEastAsia"/>
          <w:lang w:val="en-GB" w:bidi="en-US"/>
        </w:rPr>
        <w:t>,</w:t>
      </w:r>
      <w:r w:rsidR="00595A92" w:rsidRPr="00597788">
        <w:rPr>
          <w:rFonts w:eastAsiaTheme="minorEastAsia"/>
          <w:lang w:val="en-GB" w:bidi="en-US"/>
        </w:rPr>
        <w:t xml:space="preserve"> however, </w:t>
      </w:r>
      <w:r w:rsidR="00101ABE" w:rsidRPr="00597788">
        <w:rPr>
          <w:rFonts w:eastAsiaTheme="minorEastAsia"/>
          <w:lang w:val="en-GB" w:bidi="en-US"/>
        </w:rPr>
        <w:t>mean</w:t>
      </w:r>
      <w:r w:rsidR="00595A92" w:rsidRPr="00597788">
        <w:rPr>
          <w:rFonts w:eastAsiaTheme="minorEastAsia"/>
          <w:lang w:val="en-GB" w:bidi="en-US"/>
        </w:rPr>
        <w:t xml:space="preserve"> lay</w:t>
      </w:r>
      <w:r w:rsidR="008B3863" w:rsidRPr="00597788">
        <w:rPr>
          <w:rFonts w:eastAsiaTheme="minorEastAsia"/>
          <w:lang w:val="en-GB" w:bidi="en-US"/>
        </w:rPr>
        <w:t xml:space="preserve">ing </w:t>
      </w:r>
      <w:r w:rsidR="00595A92" w:rsidRPr="00597788">
        <w:rPr>
          <w:rFonts w:eastAsiaTheme="minorEastAsia"/>
          <w:lang w:val="en-GB" w:bidi="en-US"/>
        </w:rPr>
        <w:t>off employees because manual meter readers would be re</w:t>
      </w:r>
      <w:r w:rsidR="008B3863" w:rsidRPr="00597788">
        <w:rPr>
          <w:rFonts w:eastAsiaTheme="minorEastAsia"/>
          <w:lang w:val="en-GB" w:bidi="en-US"/>
        </w:rPr>
        <w:t>-</w:t>
      </w:r>
      <w:r w:rsidR="00595A92" w:rsidRPr="00597788">
        <w:rPr>
          <w:rFonts w:eastAsiaTheme="minorEastAsia"/>
          <w:lang w:val="en-GB" w:bidi="en-US"/>
        </w:rPr>
        <w:t xml:space="preserve">trained to support AMR. </w:t>
      </w:r>
      <w:r w:rsidRPr="00597788">
        <w:rPr>
          <w:rFonts w:eastAsiaTheme="minorEastAsia"/>
          <w:lang w:val="en-GB" w:bidi="en-US"/>
        </w:rPr>
        <w:t>Because AMR technology was unit</w:t>
      </w:r>
      <w:r w:rsidR="006E62B0" w:rsidRPr="00597788">
        <w:rPr>
          <w:rFonts w:eastAsiaTheme="minorEastAsia"/>
          <w:lang w:val="en-GB" w:bidi="en-US"/>
        </w:rPr>
        <w:t xml:space="preserve"> </w:t>
      </w:r>
      <w:r w:rsidRPr="00597788">
        <w:rPr>
          <w:rFonts w:eastAsiaTheme="minorEastAsia"/>
          <w:lang w:val="en-GB" w:bidi="en-US"/>
        </w:rPr>
        <w:t>based rather than system</w:t>
      </w:r>
      <w:r w:rsidR="006E62B0" w:rsidRPr="00597788">
        <w:rPr>
          <w:rFonts w:eastAsiaTheme="minorEastAsia"/>
          <w:lang w:val="en-GB" w:bidi="en-US"/>
        </w:rPr>
        <w:t xml:space="preserve"> </w:t>
      </w:r>
      <w:r w:rsidRPr="00597788">
        <w:rPr>
          <w:rFonts w:eastAsiaTheme="minorEastAsia"/>
          <w:lang w:val="en-GB" w:bidi="en-US"/>
        </w:rPr>
        <w:t>based, an additional benefit of AMR was that the electronically</w:t>
      </w:r>
      <w:r w:rsidR="006E62B0" w:rsidRPr="00597788">
        <w:rPr>
          <w:rFonts w:eastAsiaTheme="minorEastAsia"/>
          <w:lang w:val="en-GB" w:bidi="en-US"/>
        </w:rPr>
        <w:t xml:space="preserve"> </w:t>
      </w:r>
      <w:r w:rsidRPr="00597788">
        <w:rPr>
          <w:rFonts w:eastAsiaTheme="minorEastAsia"/>
          <w:lang w:val="en-GB" w:bidi="en-US"/>
        </w:rPr>
        <w:t>read meters could replace manually</w:t>
      </w:r>
      <w:r w:rsidR="006E62B0" w:rsidRPr="00597788">
        <w:rPr>
          <w:rFonts w:eastAsiaTheme="minorEastAsia"/>
          <w:lang w:val="en-GB" w:bidi="en-US"/>
        </w:rPr>
        <w:t xml:space="preserve"> </w:t>
      </w:r>
      <w:r w:rsidR="00DC75C1" w:rsidRPr="00597788">
        <w:rPr>
          <w:rFonts w:eastAsiaTheme="minorEastAsia"/>
          <w:lang w:val="en-GB" w:bidi="en-US"/>
        </w:rPr>
        <w:t xml:space="preserve">read </w:t>
      </w:r>
      <w:r w:rsidR="006E62B0" w:rsidRPr="00597788">
        <w:rPr>
          <w:rFonts w:eastAsiaTheme="minorEastAsia"/>
          <w:lang w:val="en-GB" w:bidi="en-US"/>
        </w:rPr>
        <w:t xml:space="preserve">meters </w:t>
      </w:r>
      <w:r w:rsidR="00DC75C1" w:rsidRPr="00597788">
        <w:rPr>
          <w:rFonts w:eastAsiaTheme="minorEastAsia"/>
          <w:lang w:val="en-GB" w:bidi="en-US"/>
        </w:rPr>
        <w:t>over time.</w:t>
      </w:r>
    </w:p>
    <w:p w14:paraId="54298F20" w14:textId="7A8C0804" w:rsidR="00B04C2E" w:rsidRPr="00597788" w:rsidRDefault="00B04C2E" w:rsidP="00B04C2E">
      <w:pPr>
        <w:pStyle w:val="BodyTextMain"/>
        <w:rPr>
          <w:rFonts w:eastAsiaTheme="minorEastAsia"/>
          <w:lang w:val="en-GB" w:bidi="en-US"/>
        </w:rPr>
      </w:pPr>
      <w:r w:rsidRPr="00597788">
        <w:rPr>
          <w:rFonts w:eastAsiaTheme="minorEastAsia"/>
          <w:lang w:val="en-GB" w:bidi="en-US"/>
        </w:rPr>
        <w:lastRenderedPageBreak/>
        <w:t xml:space="preserve">Unlike AMR, AMI encompassed not only meters but also communication networks </w:t>
      </w:r>
      <w:r w:rsidR="00785A46" w:rsidRPr="00597788">
        <w:rPr>
          <w:rFonts w:eastAsiaTheme="minorEastAsia"/>
          <w:lang w:val="en-GB" w:bidi="en-US"/>
        </w:rPr>
        <w:t>that</w:t>
      </w:r>
      <w:r w:rsidRPr="00597788">
        <w:rPr>
          <w:rFonts w:eastAsiaTheme="minorEastAsia"/>
          <w:lang w:val="en-GB" w:bidi="en-US"/>
        </w:rPr>
        <w:t xml:space="preserve"> </w:t>
      </w:r>
      <w:r w:rsidR="00785A46" w:rsidRPr="00597788">
        <w:rPr>
          <w:rFonts w:eastAsiaTheme="minorEastAsia"/>
          <w:lang w:val="en-GB" w:bidi="en-US"/>
        </w:rPr>
        <w:t>enabled</w:t>
      </w:r>
      <w:r w:rsidRPr="00597788">
        <w:rPr>
          <w:rFonts w:eastAsiaTheme="minorEastAsia"/>
          <w:lang w:val="en-GB" w:bidi="en-US"/>
        </w:rPr>
        <w:t xml:space="preserve"> two-way communication</w:t>
      </w:r>
      <w:r w:rsidR="00785A46" w:rsidRPr="00597788">
        <w:rPr>
          <w:rFonts w:eastAsiaTheme="minorEastAsia"/>
          <w:lang w:val="en-GB" w:bidi="en-US"/>
        </w:rPr>
        <w:t xml:space="preserve"> between customer sites and </w:t>
      </w:r>
      <w:r w:rsidR="00FD01F9" w:rsidRPr="00597788">
        <w:rPr>
          <w:rFonts w:eastAsiaTheme="minorEastAsia"/>
          <w:lang w:val="en-GB" w:bidi="en-US"/>
        </w:rPr>
        <w:t>the AMI host system (i.e.</w:t>
      </w:r>
      <w:r w:rsidR="008B3863" w:rsidRPr="00597788">
        <w:rPr>
          <w:rFonts w:eastAsiaTheme="minorEastAsia"/>
          <w:lang w:val="en-GB" w:bidi="en-US"/>
        </w:rPr>
        <w:t>,</w:t>
      </w:r>
      <w:r w:rsidR="00FD01F9" w:rsidRPr="00597788">
        <w:rPr>
          <w:rFonts w:eastAsiaTheme="minorEastAsia"/>
          <w:lang w:val="en-GB" w:bidi="en-US"/>
        </w:rPr>
        <w:t xml:space="preserve"> the service provider).</w:t>
      </w:r>
      <w:r w:rsidR="00785A46" w:rsidRPr="00597788">
        <w:rPr>
          <w:rFonts w:eastAsiaTheme="minorEastAsia"/>
          <w:vertAlign w:val="superscript"/>
          <w:lang w:val="en-GB" w:bidi="en-US"/>
        </w:rPr>
        <w:endnoteReference w:id="20"/>
      </w:r>
      <w:r w:rsidRPr="00597788">
        <w:rPr>
          <w:rFonts w:eastAsiaTheme="minorEastAsia"/>
          <w:lang w:val="en-GB" w:bidi="en-US"/>
        </w:rPr>
        <w:t xml:space="preserve"> </w:t>
      </w:r>
      <w:r w:rsidR="00FD01F9" w:rsidRPr="00597788">
        <w:rPr>
          <w:rFonts w:eastAsiaTheme="minorEastAsia"/>
          <w:lang w:val="en-GB" w:bidi="en-US"/>
        </w:rPr>
        <w:t>From the host system, d</w:t>
      </w:r>
      <w:r w:rsidRPr="00597788">
        <w:rPr>
          <w:rFonts w:eastAsiaTheme="minorEastAsia"/>
          <w:lang w:val="en-GB" w:bidi="en-US"/>
        </w:rPr>
        <w:t xml:space="preserve">ata </w:t>
      </w:r>
      <w:r w:rsidR="00FD01F9" w:rsidRPr="00597788">
        <w:rPr>
          <w:rFonts w:eastAsiaTheme="minorEastAsia"/>
          <w:lang w:val="en-GB" w:bidi="en-US"/>
        </w:rPr>
        <w:t>could be sent</w:t>
      </w:r>
      <w:r w:rsidRPr="00597788">
        <w:rPr>
          <w:rFonts w:eastAsiaTheme="minorEastAsia"/>
          <w:lang w:val="en-GB" w:bidi="en-US"/>
        </w:rPr>
        <w:t xml:space="preserve"> to the</w:t>
      </w:r>
      <w:r w:rsidRPr="00597788" w:rsidDel="00152304">
        <w:rPr>
          <w:rFonts w:eastAsiaTheme="minorEastAsia"/>
          <w:lang w:val="en-GB" w:bidi="en-US"/>
        </w:rPr>
        <w:t xml:space="preserve"> </w:t>
      </w:r>
      <w:r w:rsidR="006E62B0" w:rsidRPr="00597788">
        <w:rPr>
          <w:rFonts w:eastAsiaTheme="minorEastAsia"/>
          <w:lang w:val="en-GB" w:bidi="en-US"/>
        </w:rPr>
        <w:t>m</w:t>
      </w:r>
      <w:r w:rsidRPr="00597788">
        <w:rPr>
          <w:rFonts w:eastAsiaTheme="minorEastAsia"/>
          <w:lang w:val="en-GB" w:bidi="en-US"/>
        </w:rPr>
        <w:t xml:space="preserve">eter </w:t>
      </w:r>
      <w:r w:rsidR="006E62B0" w:rsidRPr="00597788">
        <w:rPr>
          <w:rFonts w:eastAsiaTheme="minorEastAsia"/>
          <w:lang w:val="en-GB" w:bidi="en-US"/>
        </w:rPr>
        <w:t>d</w:t>
      </w:r>
      <w:r w:rsidRPr="00597788">
        <w:rPr>
          <w:rFonts w:eastAsiaTheme="minorEastAsia"/>
          <w:lang w:val="en-GB" w:bidi="en-US"/>
        </w:rPr>
        <w:t xml:space="preserve">ata </w:t>
      </w:r>
      <w:r w:rsidR="006E62B0" w:rsidRPr="00597788">
        <w:rPr>
          <w:rFonts w:eastAsiaTheme="minorEastAsia"/>
          <w:lang w:val="en-GB" w:bidi="en-US"/>
        </w:rPr>
        <w:t>m</w:t>
      </w:r>
      <w:r w:rsidRPr="00597788">
        <w:rPr>
          <w:rFonts w:eastAsiaTheme="minorEastAsia"/>
          <w:lang w:val="en-GB" w:bidi="en-US"/>
        </w:rPr>
        <w:t xml:space="preserve">anagement </w:t>
      </w:r>
      <w:r w:rsidR="006E62B0" w:rsidRPr="00597788">
        <w:rPr>
          <w:rFonts w:eastAsiaTheme="minorEastAsia"/>
          <w:lang w:val="en-GB" w:bidi="en-US"/>
        </w:rPr>
        <w:t>s</w:t>
      </w:r>
      <w:r w:rsidRPr="00597788">
        <w:rPr>
          <w:rFonts w:eastAsiaTheme="minorEastAsia"/>
          <w:lang w:val="en-GB" w:bidi="en-US"/>
        </w:rPr>
        <w:t>ystem</w:t>
      </w:r>
      <w:r w:rsidR="00FD01F9" w:rsidRPr="00597788">
        <w:rPr>
          <w:rFonts w:eastAsiaTheme="minorEastAsia"/>
          <w:lang w:val="en-GB" w:bidi="en-US"/>
        </w:rPr>
        <w:t xml:space="preserve"> </w:t>
      </w:r>
      <w:r w:rsidR="006E62B0" w:rsidRPr="00597788">
        <w:rPr>
          <w:rFonts w:eastAsiaTheme="minorEastAsia"/>
          <w:lang w:val="en-GB" w:bidi="en-US"/>
        </w:rPr>
        <w:t>for</w:t>
      </w:r>
      <w:r w:rsidR="00FD01F9" w:rsidRPr="00597788">
        <w:rPr>
          <w:rFonts w:eastAsiaTheme="minorEastAsia"/>
          <w:lang w:val="en-GB" w:bidi="en-US"/>
        </w:rPr>
        <w:t xml:space="preserve"> </w:t>
      </w:r>
      <w:r w:rsidR="006E62B0" w:rsidRPr="00597788">
        <w:rPr>
          <w:rFonts w:eastAsiaTheme="minorEastAsia"/>
          <w:lang w:val="en-GB" w:bidi="en-US"/>
        </w:rPr>
        <w:t xml:space="preserve">processing </w:t>
      </w:r>
      <w:r w:rsidRPr="00597788">
        <w:rPr>
          <w:rFonts w:eastAsiaTheme="minorEastAsia"/>
          <w:lang w:val="en-GB" w:bidi="en-US"/>
        </w:rPr>
        <w:t>(i.e.</w:t>
      </w:r>
      <w:r w:rsidR="008B3863" w:rsidRPr="00597788">
        <w:rPr>
          <w:rFonts w:eastAsiaTheme="minorEastAsia"/>
          <w:lang w:val="en-GB" w:bidi="en-US"/>
        </w:rPr>
        <w:t>,</w:t>
      </w:r>
      <w:r w:rsidRPr="00597788">
        <w:rPr>
          <w:rFonts w:eastAsiaTheme="minorEastAsia"/>
          <w:lang w:val="en-GB" w:bidi="en-US"/>
        </w:rPr>
        <w:t xml:space="preserve"> billing), </w:t>
      </w:r>
      <w:r w:rsidR="006E62B0" w:rsidRPr="00597788">
        <w:rPr>
          <w:rFonts w:eastAsiaTheme="minorEastAsia"/>
          <w:lang w:val="en-GB" w:bidi="en-US"/>
        </w:rPr>
        <w:t>analysis</w:t>
      </w:r>
      <w:r w:rsidRPr="00597788">
        <w:rPr>
          <w:rFonts w:eastAsiaTheme="minorEastAsia"/>
          <w:lang w:val="en-GB" w:bidi="en-US"/>
        </w:rPr>
        <w:t xml:space="preserve">, and </w:t>
      </w:r>
      <w:r w:rsidR="006E62B0" w:rsidRPr="00597788">
        <w:rPr>
          <w:rFonts w:eastAsiaTheme="minorEastAsia"/>
          <w:lang w:val="en-GB" w:bidi="en-US"/>
        </w:rPr>
        <w:t>storage</w:t>
      </w:r>
      <w:r w:rsidR="00FD01F9" w:rsidRPr="00597788">
        <w:rPr>
          <w:rFonts w:eastAsiaTheme="minorEastAsia"/>
          <w:lang w:val="en-GB" w:bidi="en-US"/>
        </w:rPr>
        <w:t>.</w:t>
      </w:r>
      <w:r w:rsidRPr="00597788">
        <w:rPr>
          <w:rFonts w:eastAsiaTheme="minorEastAsia"/>
          <w:lang w:val="en-GB" w:bidi="en-US"/>
        </w:rPr>
        <w:t xml:space="preserve"> </w:t>
      </w:r>
    </w:p>
    <w:p w14:paraId="5964ABF2" w14:textId="77777777" w:rsidR="00B04C2E" w:rsidRPr="00597788" w:rsidRDefault="00B04C2E" w:rsidP="00B04C2E">
      <w:pPr>
        <w:pStyle w:val="BodyTextMain"/>
        <w:rPr>
          <w:rFonts w:eastAsiaTheme="minorEastAsia"/>
          <w:lang w:val="en-GB" w:bidi="en-US"/>
        </w:rPr>
      </w:pPr>
    </w:p>
    <w:p w14:paraId="06253D48" w14:textId="5FA71AA6" w:rsidR="00B04C2E" w:rsidRPr="00597788" w:rsidRDefault="00B04C2E" w:rsidP="00B04C2E">
      <w:pPr>
        <w:pStyle w:val="BodyTextMain"/>
        <w:rPr>
          <w:rFonts w:eastAsiaTheme="minorEastAsia"/>
          <w:lang w:val="en-GB" w:bidi="en-US"/>
        </w:rPr>
      </w:pPr>
      <w:r w:rsidRPr="00597788">
        <w:rPr>
          <w:rFonts w:eastAsiaTheme="minorEastAsia"/>
          <w:lang w:val="en-GB" w:bidi="en-US"/>
        </w:rPr>
        <w:t xml:space="preserve">Despite </w:t>
      </w:r>
      <w:r w:rsidR="008B3863" w:rsidRPr="00597788">
        <w:rPr>
          <w:rFonts w:eastAsiaTheme="minorEastAsia"/>
          <w:lang w:val="en-GB" w:bidi="en-US"/>
        </w:rPr>
        <w:t>its</w:t>
      </w:r>
      <w:r w:rsidRPr="00597788">
        <w:rPr>
          <w:rFonts w:eastAsiaTheme="minorEastAsia"/>
          <w:lang w:val="en-GB" w:bidi="en-US"/>
        </w:rPr>
        <w:t xml:space="preserve"> greater up</w:t>
      </w:r>
      <w:r w:rsidR="008B3863" w:rsidRPr="00597788">
        <w:rPr>
          <w:rFonts w:eastAsiaTheme="minorEastAsia"/>
          <w:lang w:val="en-GB" w:bidi="en-US"/>
        </w:rPr>
        <w:t>-</w:t>
      </w:r>
      <w:r w:rsidRPr="00597788">
        <w:rPr>
          <w:rFonts w:eastAsiaTheme="minorEastAsia"/>
          <w:lang w:val="en-GB" w:bidi="en-US"/>
        </w:rPr>
        <w:t>front cost, AMI had the potential to deliver positive results for consumers, utilities, and the community. There were both short-term and long-term financial benefits associated with AMI including cost reduction in managing and maintaining equipment, improvements in inventory management, and the ability to minimize outages and restoration expenses. Utility providers were better able to manage outages because AMI technology could recognize, immediately, when and where outages occurred, enabling faster repairs. Another key benefit of AMI was the increased efficiency and quality in meter data collection</w:t>
      </w:r>
      <w:r w:rsidR="008B3863" w:rsidRPr="00597788">
        <w:rPr>
          <w:rFonts w:eastAsiaTheme="minorEastAsia"/>
          <w:lang w:val="en-GB" w:bidi="en-US"/>
        </w:rPr>
        <w:t>—</w:t>
      </w:r>
      <w:r w:rsidRPr="00597788">
        <w:rPr>
          <w:rFonts w:eastAsiaTheme="minorEastAsia"/>
          <w:lang w:val="en-GB" w:bidi="en-US"/>
        </w:rPr>
        <w:t>the ability to gather accurate and real-time feedback, provide remote connection and disconnection, better conduct utility asset management, and detect energy theft. Like AMR, AMI also effectively eliminated the need to collect meter readings as well as the associated vehicles and overhead of fleet management.</w:t>
      </w:r>
      <w:r w:rsidR="00595A92" w:rsidRPr="00597788">
        <w:rPr>
          <w:rFonts w:eastAsiaTheme="minorEastAsia"/>
          <w:lang w:val="en-GB" w:bidi="en-US"/>
        </w:rPr>
        <w:t xml:space="preserve"> As with AMR, EPCOR’s manual meter readers would be transitioned to support AMI. Not having to manually read meters meant much safer working conditions for these employees. </w:t>
      </w:r>
    </w:p>
    <w:p w14:paraId="5DACA8E1" w14:textId="77777777" w:rsidR="00B04C2E" w:rsidRPr="00597788" w:rsidRDefault="00B04C2E" w:rsidP="00B04C2E">
      <w:pPr>
        <w:pStyle w:val="BodyTextMain"/>
        <w:rPr>
          <w:rFonts w:eastAsiaTheme="minorEastAsia"/>
          <w:lang w:val="en-GB" w:bidi="en-US"/>
        </w:rPr>
      </w:pPr>
    </w:p>
    <w:p w14:paraId="5F3272D8" w14:textId="2C41A96A" w:rsidR="007E4763" w:rsidRPr="006A2C77" w:rsidRDefault="00B04C2E" w:rsidP="00B04C2E">
      <w:pPr>
        <w:pStyle w:val="BodyTextMain"/>
        <w:rPr>
          <w:rFonts w:eastAsiaTheme="minorEastAsia"/>
          <w:spacing w:val="-2"/>
          <w:lang w:val="en-GB" w:bidi="en-US"/>
        </w:rPr>
      </w:pPr>
      <w:r w:rsidRPr="006A2C77">
        <w:rPr>
          <w:rFonts w:eastAsiaTheme="minorEastAsia"/>
          <w:spacing w:val="-2"/>
          <w:lang w:val="en-GB" w:bidi="en-US"/>
        </w:rPr>
        <w:t xml:space="preserve">AMI </w:t>
      </w:r>
      <w:r w:rsidR="00B25273" w:rsidRPr="006A2C77">
        <w:rPr>
          <w:rFonts w:eastAsiaTheme="minorEastAsia"/>
          <w:spacing w:val="-2"/>
          <w:lang w:val="en-GB" w:bidi="en-US"/>
        </w:rPr>
        <w:t xml:space="preserve">also </w:t>
      </w:r>
      <w:r w:rsidRPr="006A2C77">
        <w:rPr>
          <w:rFonts w:eastAsiaTheme="minorEastAsia"/>
          <w:spacing w:val="-2"/>
          <w:lang w:val="en-GB" w:bidi="en-US"/>
        </w:rPr>
        <w:t xml:space="preserve">enabled </w:t>
      </w:r>
      <w:r w:rsidR="006E62B0" w:rsidRPr="006A2C77">
        <w:rPr>
          <w:rFonts w:eastAsiaTheme="minorEastAsia"/>
          <w:spacing w:val="-2"/>
          <w:lang w:val="en-GB" w:bidi="en-US"/>
        </w:rPr>
        <w:t>higher-</w:t>
      </w:r>
      <w:r w:rsidRPr="006A2C77">
        <w:rPr>
          <w:rFonts w:eastAsiaTheme="minorEastAsia"/>
          <w:spacing w:val="-2"/>
          <w:lang w:val="en-GB" w:bidi="en-US"/>
        </w:rPr>
        <w:t xml:space="preserve">quality services </w:t>
      </w:r>
      <w:r w:rsidR="00136BE9" w:rsidRPr="006A2C77">
        <w:rPr>
          <w:rFonts w:eastAsiaTheme="minorEastAsia"/>
          <w:spacing w:val="-2"/>
          <w:lang w:val="en-GB" w:bidi="en-US"/>
        </w:rPr>
        <w:t>for</w:t>
      </w:r>
      <w:r w:rsidRPr="006A2C77">
        <w:rPr>
          <w:rFonts w:eastAsiaTheme="minorEastAsia"/>
          <w:spacing w:val="-2"/>
          <w:lang w:val="en-GB" w:bidi="en-US"/>
        </w:rPr>
        <w:t xml:space="preserve"> both customers and communities. For customers, AMI brought greater value </w:t>
      </w:r>
      <w:r w:rsidR="006E62B0" w:rsidRPr="006A2C77">
        <w:rPr>
          <w:rFonts w:eastAsiaTheme="minorEastAsia"/>
          <w:spacing w:val="-2"/>
          <w:lang w:val="en-GB" w:bidi="en-US"/>
        </w:rPr>
        <w:t xml:space="preserve">through </w:t>
      </w:r>
      <w:r w:rsidRPr="006A2C77">
        <w:rPr>
          <w:rFonts w:eastAsiaTheme="minorEastAsia"/>
          <w:spacing w:val="-2"/>
          <w:lang w:val="en-GB" w:bidi="en-US"/>
        </w:rPr>
        <w:t xml:space="preserve">its ability to rapidly flag meter failures, </w:t>
      </w:r>
      <w:r w:rsidR="00051B42" w:rsidRPr="006A2C77">
        <w:rPr>
          <w:rFonts w:eastAsiaTheme="minorEastAsia"/>
          <w:spacing w:val="-2"/>
          <w:lang w:val="en-GB" w:bidi="en-US"/>
        </w:rPr>
        <w:t>improve</w:t>
      </w:r>
      <w:r w:rsidRPr="006A2C77">
        <w:rPr>
          <w:rFonts w:eastAsiaTheme="minorEastAsia"/>
          <w:spacing w:val="-2"/>
          <w:lang w:val="en-GB" w:bidi="en-US"/>
        </w:rPr>
        <w:t xml:space="preserve"> billing accuracy, offer flexible billing cycles, and produc</w:t>
      </w:r>
      <w:r w:rsidR="00051B42" w:rsidRPr="006A2C77">
        <w:rPr>
          <w:rFonts w:eastAsiaTheme="minorEastAsia"/>
          <w:spacing w:val="-2"/>
          <w:lang w:val="en-GB" w:bidi="en-US"/>
        </w:rPr>
        <w:t>e</w:t>
      </w:r>
      <w:r w:rsidRPr="006A2C77">
        <w:rPr>
          <w:rFonts w:eastAsiaTheme="minorEastAsia"/>
          <w:spacing w:val="-2"/>
          <w:lang w:val="en-GB" w:bidi="en-US"/>
        </w:rPr>
        <w:t xml:space="preserve"> customer profiles for developing energy efficiency/demand response programs. These benefits translated to more pricing and service options for consumers. Communities also reaped the reward of AMI through more efficient energy distribution and utilization, resulting in a reduction of the overall environmental impact. </w:t>
      </w:r>
      <w:r w:rsidR="00FD01F9" w:rsidRPr="006A2C77">
        <w:rPr>
          <w:rFonts w:eastAsiaTheme="minorEastAsia"/>
          <w:spacing w:val="-2"/>
          <w:lang w:val="en-GB" w:bidi="en-US"/>
        </w:rPr>
        <w:t>A primary drawback of AMI was that it required an entire system change</w:t>
      </w:r>
      <w:r w:rsidR="00051B42" w:rsidRPr="006A2C77">
        <w:rPr>
          <w:rFonts w:eastAsiaTheme="minorEastAsia"/>
          <w:spacing w:val="-2"/>
          <w:lang w:val="en-GB" w:bidi="en-US"/>
        </w:rPr>
        <w:t xml:space="preserve"> (e.g., all meters plus additional infrastructure)</w:t>
      </w:r>
      <w:r w:rsidR="00FD01F9" w:rsidRPr="006A2C77">
        <w:rPr>
          <w:rFonts w:eastAsiaTheme="minorEastAsia"/>
          <w:spacing w:val="-2"/>
          <w:lang w:val="en-GB" w:bidi="en-US"/>
        </w:rPr>
        <w:t xml:space="preserve"> at once</w:t>
      </w:r>
      <w:r w:rsidR="00051B42" w:rsidRPr="006A2C77">
        <w:rPr>
          <w:rFonts w:eastAsiaTheme="minorEastAsia"/>
          <w:spacing w:val="-2"/>
          <w:lang w:val="en-GB" w:bidi="en-US"/>
        </w:rPr>
        <w:t>,</w:t>
      </w:r>
      <w:r w:rsidR="00FD01F9" w:rsidRPr="006A2C77">
        <w:rPr>
          <w:rFonts w:eastAsiaTheme="minorEastAsia"/>
          <w:spacing w:val="-2"/>
          <w:lang w:val="en-GB" w:bidi="en-US"/>
        </w:rPr>
        <w:t xml:space="preserve"> which involved a significant capital expenditure.</w:t>
      </w:r>
    </w:p>
    <w:p w14:paraId="1A8BE742" w14:textId="77777777" w:rsidR="00690E95" w:rsidRPr="00597788" w:rsidRDefault="00690E95" w:rsidP="007E4763">
      <w:pPr>
        <w:pStyle w:val="Casehead1"/>
        <w:rPr>
          <w:rFonts w:eastAsiaTheme="majorEastAsia"/>
          <w:lang w:val="en-GB" w:bidi="en-US"/>
        </w:rPr>
      </w:pPr>
    </w:p>
    <w:p w14:paraId="04339124" w14:textId="77777777" w:rsidR="00690E95" w:rsidRPr="00597788" w:rsidRDefault="00690E95" w:rsidP="007E4763">
      <w:pPr>
        <w:pStyle w:val="Casehead1"/>
        <w:rPr>
          <w:rFonts w:eastAsiaTheme="majorEastAsia"/>
          <w:lang w:val="en-GB" w:bidi="en-US"/>
        </w:rPr>
      </w:pPr>
    </w:p>
    <w:p w14:paraId="2D6CC407" w14:textId="77777777" w:rsidR="00B04C2E" w:rsidRPr="00597788" w:rsidRDefault="00B04C2E" w:rsidP="00360100">
      <w:pPr>
        <w:pStyle w:val="Casehead1"/>
        <w:outlineLvl w:val="0"/>
        <w:rPr>
          <w:rFonts w:eastAsiaTheme="majorEastAsia"/>
          <w:lang w:val="en-GB" w:bidi="en-US"/>
        </w:rPr>
      </w:pPr>
      <w:r w:rsidRPr="00597788">
        <w:rPr>
          <w:rFonts w:eastAsiaTheme="majorEastAsia"/>
          <w:lang w:val="en-GB" w:bidi="en-US"/>
        </w:rPr>
        <w:t>The Company</w:t>
      </w:r>
    </w:p>
    <w:p w14:paraId="40A9082D" w14:textId="77777777" w:rsidR="007E4763" w:rsidRPr="00597788" w:rsidRDefault="007E4763" w:rsidP="007E4763">
      <w:pPr>
        <w:pStyle w:val="BodyTextMain"/>
        <w:rPr>
          <w:rFonts w:eastAsiaTheme="majorEastAsia"/>
          <w:lang w:val="en-GB" w:bidi="en-US"/>
        </w:rPr>
      </w:pPr>
    </w:p>
    <w:p w14:paraId="2FAB72B3" w14:textId="77777777" w:rsidR="00B04C2E" w:rsidRPr="00597788" w:rsidRDefault="00B04C2E" w:rsidP="00360100">
      <w:pPr>
        <w:pStyle w:val="Casehead2"/>
        <w:outlineLvl w:val="0"/>
        <w:rPr>
          <w:rFonts w:eastAsiaTheme="majorEastAsia"/>
          <w:lang w:val="en-GB" w:bidi="en-US"/>
        </w:rPr>
      </w:pPr>
      <w:r w:rsidRPr="00597788">
        <w:rPr>
          <w:rFonts w:eastAsiaTheme="majorEastAsia"/>
          <w:lang w:val="en-GB" w:bidi="en-US"/>
        </w:rPr>
        <w:t xml:space="preserve">History </w:t>
      </w:r>
    </w:p>
    <w:p w14:paraId="5F5C1A63" w14:textId="77777777" w:rsidR="007E4763" w:rsidRPr="00597788" w:rsidRDefault="007E4763" w:rsidP="00B04C2E">
      <w:pPr>
        <w:pStyle w:val="BodyTextMain"/>
        <w:rPr>
          <w:rFonts w:eastAsiaTheme="minorEastAsia"/>
          <w:lang w:val="en-GB" w:bidi="en-US"/>
        </w:rPr>
      </w:pPr>
    </w:p>
    <w:p w14:paraId="6B6D2E3D" w14:textId="072457C3" w:rsidR="00B04C2E" w:rsidRPr="00597788" w:rsidRDefault="00B04C2E" w:rsidP="00B04C2E">
      <w:pPr>
        <w:pStyle w:val="BodyTextMain"/>
        <w:rPr>
          <w:rFonts w:eastAsiaTheme="minorEastAsia"/>
          <w:lang w:val="en-GB" w:bidi="en-US"/>
        </w:rPr>
      </w:pPr>
      <w:r w:rsidRPr="00597788">
        <w:rPr>
          <w:rFonts w:eastAsiaTheme="minorEastAsia"/>
          <w:lang w:val="en-GB" w:bidi="en-US"/>
        </w:rPr>
        <w:t>EPCOR was founded in 1891 in Edmonton, Alberta</w:t>
      </w:r>
      <w:r w:rsidR="00051B42" w:rsidRPr="00597788">
        <w:rPr>
          <w:rFonts w:eastAsiaTheme="minorEastAsia"/>
          <w:lang w:val="en-GB" w:bidi="en-US"/>
        </w:rPr>
        <w:t>,</w:t>
      </w:r>
      <w:r w:rsidRPr="00597788">
        <w:rPr>
          <w:rFonts w:eastAsiaTheme="minorEastAsia"/>
          <w:lang w:val="en-GB" w:bidi="en-US"/>
        </w:rPr>
        <w:t xml:space="preserve"> as Canada’s first municipally</w:t>
      </w:r>
      <w:r w:rsidR="006E62B0" w:rsidRPr="00597788">
        <w:rPr>
          <w:rFonts w:eastAsiaTheme="minorEastAsia"/>
          <w:lang w:val="en-GB" w:bidi="en-US"/>
        </w:rPr>
        <w:t xml:space="preserve"> </w:t>
      </w:r>
      <w:r w:rsidRPr="00597788">
        <w:rPr>
          <w:rFonts w:eastAsiaTheme="minorEastAsia"/>
          <w:lang w:val="en-GB" w:bidi="en-US"/>
        </w:rPr>
        <w:t>owned electric utility. It was established as a stand-alone company in 1996 and provided electricity and water products and services to customers. Throughout its history, EPCOR offered competitive power systems, transportation electrical systems, energy efficiency consulting</w:t>
      </w:r>
      <w:r w:rsidR="002B07F6" w:rsidRPr="00597788">
        <w:rPr>
          <w:rFonts w:eastAsiaTheme="minorEastAsia"/>
          <w:lang w:val="en-GB" w:bidi="en-US"/>
        </w:rPr>
        <w:t>,</w:t>
      </w:r>
      <w:r w:rsidRPr="00597788">
        <w:rPr>
          <w:rFonts w:eastAsiaTheme="minorEastAsia"/>
          <w:lang w:val="en-GB" w:bidi="en-US"/>
        </w:rPr>
        <w:t xml:space="preserve"> and utility support. EPCOR’s stated goals were to offer clean water and wastewater services and safe, reliable electricity. </w:t>
      </w:r>
    </w:p>
    <w:p w14:paraId="5693D80A" w14:textId="77777777" w:rsidR="00B04C2E" w:rsidRPr="00597788" w:rsidRDefault="00B04C2E" w:rsidP="00B04C2E">
      <w:pPr>
        <w:pStyle w:val="BodyTextMain"/>
        <w:rPr>
          <w:rFonts w:eastAsiaTheme="minorEastAsia"/>
          <w:lang w:val="en-GB" w:bidi="en-US"/>
        </w:rPr>
      </w:pPr>
    </w:p>
    <w:p w14:paraId="00D3D778" w14:textId="01541B19" w:rsidR="00B04C2E" w:rsidRPr="00597788" w:rsidRDefault="00B04C2E" w:rsidP="00B04C2E">
      <w:pPr>
        <w:pStyle w:val="BodyTextMain"/>
        <w:rPr>
          <w:rFonts w:eastAsiaTheme="minorEastAsia"/>
          <w:lang w:val="en-GB" w:bidi="en-US"/>
        </w:rPr>
      </w:pPr>
      <w:r w:rsidRPr="00597788">
        <w:rPr>
          <w:rFonts w:eastAsiaTheme="minorEastAsia"/>
          <w:lang w:val="en-GB" w:bidi="en-US"/>
        </w:rPr>
        <w:t>EPCOR’s organizational structure was unique. The company operated as an incorporated business</w:t>
      </w:r>
      <w:r w:rsidR="002B07F6" w:rsidRPr="00597788">
        <w:rPr>
          <w:rFonts w:eastAsiaTheme="minorEastAsia"/>
          <w:lang w:val="en-GB" w:bidi="en-US"/>
        </w:rPr>
        <w:t>,</w:t>
      </w:r>
      <w:r w:rsidRPr="00597788">
        <w:rPr>
          <w:rFonts w:eastAsiaTheme="minorEastAsia"/>
          <w:lang w:val="en-GB" w:bidi="en-US"/>
        </w:rPr>
        <w:t xml:space="preserve"> but with a single shareholder—the City of Edmonton. As a component of its unique organizational structure, EPCOR was governed through an independent </w:t>
      </w:r>
      <w:r w:rsidR="002B07F6" w:rsidRPr="00597788">
        <w:rPr>
          <w:rFonts w:eastAsiaTheme="minorEastAsia"/>
          <w:lang w:val="en-GB" w:bidi="en-US"/>
        </w:rPr>
        <w:t>b</w:t>
      </w:r>
      <w:r w:rsidRPr="00597788">
        <w:rPr>
          <w:rFonts w:eastAsiaTheme="minorEastAsia"/>
          <w:lang w:val="en-GB" w:bidi="en-US"/>
        </w:rPr>
        <w:t xml:space="preserve">oard of </w:t>
      </w:r>
      <w:r w:rsidR="002B07F6" w:rsidRPr="00597788">
        <w:rPr>
          <w:rFonts w:eastAsiaTheme="minorEastAsia"/>
          <w:lang w:val="en-GB" w:bidi="en-US"/>
        </w:rPr>
        <w:t>d</w:t>
      </w:r>
      <w:r w:rsidRPr="00597788">
        <w:rPr>
          <w:rFonts w:eastAsiaTheme="minorEastAsia"/>
          <w:lang w:val="en-GB" w:bidi="en-US"/>
        </w:rPr>
        <w:t xml:space="preserve">irectors. </w:t>
      </w:r>
    </w:p>
    <w:p w14:paraId="59FDD648" w14:textId="77777777" w:rsidR="00B04C2E" w:rsidRPr="00597788" w:rsidRDefault="00B04C2E" w:rsidP="00B04C2E">
      <w:pPr>
        <w:pStyle w:val="BodyTextMain"/>
        <w:rPr>
          <w:rFonts w:eastAsiaTheme="minorEastAsia"/>
          <w:lang w:val="en-GB" w:bidi="en-US"/>
        </w:rPr>
      </w:pPr>
    </w:p>
    <w:p w14:paraId="7A127121" w14:textId="77777777" w:rsidR="00B04C2E" w:rsidRPr="00597788" w:rsidRDefault="00B04C2E" w:rsidP="00B04C2E">
      <w:pPr>
        <w:pStyle w:val="BodyTextMain"/>
        <w:rPr>
          <w:rFonts w:eastAsiaTheme="minorEastAsia"/>
          <w:lang w:val="en-GB" w:bidi="en-US"/>
        </w:rPr>
      </w:pPr>
      <w:r w:rsidRPr="00597788">
        <w:rPr>
          <w:rFonts w:eastAsiaTheme="minorEastAsia"/>
          <w:lang w:val="en-GB" w:bidi="en-US"/>
        </w:rPr>
        <w:t>In 2014, EPCOR’s products and services included the following:</w:t>
      </w:r>
    </w:p>
    <w:p w14:paraId="308AF6A6" w14:textId="77777777" w:rsidR="00B04C2E" w:rsidRPr="00597788" w:rsidRDefault="00B04C2E" w:rsidP="00B04C2E">
      <w:pPr>
        <w:pStyle w:val="BodyTextMain"/>
        <w:rPr>
          <w:rFonts w:eastAsiaTheme="minorEastAsia"/>
          <w:lang w:val="en-GB" w:bidi="en-US"/>
        </w:rPr>
      </w:pPr>
    </w:p>
    <w:p w14:paraId="5E251B4A" w14:textId="184776AF" w:rsidR="00B04C2E" w:rsidRPr="00597788" w:rsidRDefault="00B04C2E" w:rsidP="00D54C93">
      <w:pPr>
        <w:pStyle w:val="BodyTextMain"/>
        <w:numPr>
          <w:ilvl w:val="0"/>
          <w:numId w:val="42"/>
        </w:numPr>
        <w:rPr>
          <w:rFonts w:eastAsiaTheme="minorEastAsia"/>
          <w:lang w:val="en-GB" w:bidi="en-US"/>
        </w:rPr>
      </w:pPr>
      <w:r w:rsidRPr="00597788">
        <w:rPr>
          <w:rFonts w:eastAsiaTheme="minorEastAsia"/>
          <w:lang w:val="en-GB" w:bidi="en-US"/>
        </w:rPr>
        <w:t xml:space="preserve">Alberta-wide electricity services (rate-regulated and contract electricity services) to approximately 600,000 residential and small commercial customers </w:t>
      </w:r>
    </w:p>
    <w:p w14:paraId="5094CFAE" w14:textId="1E43C4BF" w:rsidR="00B04C2E" w:rsidRPr="00597788" w:rsidRDefault="009179DB" w:rsidP="00D54C93">
      <w:pPr>
        <w:pStyle w:val="BodyTextMain"/>
        <w:numPr>
          <w:ilvl w:val="0"/>
          <w:numId w:val="42"/>
        </w:numPr>
        <w:rPr>
          <w:rFonts w:eastAsiaTheme="minorEastAsia"/>
          <w:lang w:val="en-GB" w:bidi="en-US"/>
        </w:rPr>
      </w:pPr>
      <w:r w:rsidRPr="00597788">
        <w:rPr>
          <w:rFonts w:eastAsiaTheme="minorEastAsia"/>
          <w:lang w:val="en-GB" w:bidi="en-US"/>
        </w:rPr>
        <w:t xml:space="preserve">distribution </w:t>
      </w:r>
      <w:r w:rsidR="00B04C2E" w:rsidRPr="00597788">
        <w:rPr>
          <w:rFonts w:eastAsiaTheme="minorEastAsia"/>
          <w:lang w:val="en-GB" w:bidi="en-US"/>
        </w:rPr>
        <w:t>of 13.5</w:t>
      </w:r>
      <w:r w:rsidR="002B07F6" w:rsidRPr="00597788">
        <w:rPr>
          <w:rFonts w:eastAsiaTheme="minorEastAsia"/>
          <w:lang w:val="en-GB" w:bidi="en-US"/>
        </w:rPr>
        <w:t xml:space="preserve"> per cent</w:t>
      </w:r>
      <w:r w:rsidR="00B04C2E" w:rsidRPr="00597788">
        <w:rPr>
          <w:rFonts w:eastAsiaTheme="minorEastAsia"/>
          <w:lang w:val="en-GB" w:bidi="en-US"/>
        </w:rPr>
        <w:t xml:space="preserve"> of Alberta’s energy consumption to about 369,000 residential and commercial customers in Edmonton</w:t>
      </w:r>
    </w:p>
    <w:p w14:paraId="77F03254" w14:textId="25509AE9" w:rsidR="00B04C2E" w:rsidRPr="00597788" w:rsidRDefault="009179DB" w:rsidP="007E4763">
      <w:pPr>
        <w:pStyle w:val="BodyTextMain"/>
        <w:numPr>
          <w:ilvl w:val="0"/>
          <w:numId w:val="42"/>
        </w:numPr>
        <w:jc w:val="left"/>
        <w:rPr>
          <w:rFonts w:eastAsiaTheme="minorEastAsia"/>
          <w:lang w:val="en-GB" w:bidi="en-US"/>
        </w:rPr>
      </w:pPr>
      <w:r w:rsidRPr="00597788">
        <w:rPr>
          <w:rFonts w:eastAsiaTheme="minorEastAsia"/>
          <w:lang w:val="en-GB" w:bidi="en-US"/>
        </w:rPr>
        <w:t>water</w:t>
      </w:r>
      <w:r w:rsidR="00B04C2E" w:rsidRPr="00597788">
        <w:rPr>
          <w:rFonts w:eastAsiaTheme="minorEastAsia"/>
          <w:lang w:val="en-GB" w:bidi="en-US"/>
        </w:rPr>
        <w:t>, wastewater, and distribution services</w:t>
      </w:r>
    </w:p>
    <w:p w14:paraId="54C7C4D7" w14:textId="45D76CDE" w:rsidR="00B04C2E" w:rsidRPr="00597788" w:rsidRDefault="009179DB" w:rsidP="007E4763">
      <w:pPr>
        <w:pStyle w:val="BodyTextMain"/>
        <w:numPr>
          <w:ilvl w:val="0"/>
          <w:numId w:val="42"/>
        </w:numPr>
        <w:jc w:val="left"/>
        <w:rPr>
          <w:rFonts w:eastAsiaTheme="minorEastAsia"/>
          <w:lang w:val="en-GB" w:bidi="en-US"/>
        </w:rPr>
      </w:pPr>
      <w:r w:rsidRPr="00597788">
        <w:rPr>
          <w:rFonts w:eastAsiaTheme="minorEastAsia"/>
          <w:lang w:val="en-GB" w:bidi="en-US"/>
        </w:rPr>
        <w:t xml:space="preserve">water </w:t>
      </w:r>
      <w:r w:rsidR="00B04C2E" w:rsidRPr="00597788">
        <w:rPr>
          <w:rFonts w:eastAsiaTheme="minorEastAsia"/>
          <w:lang w:val="en-GB" w:bidi="en-US"/>
        </w:rPr>
        <w:t>operations in Arizona and New Mexico</w:t>
      </w:r>
      <w:r w:rsidRPr="00597788">
        <w:rPr>
          <w:rFonts w:eastAsiaTheme="minorEastAsia"/>
          <w:lang w:val="en-GB" w:bidi="en-US"/>
        </w:rPr>
        <w:t>,</w:t>
      </w:r>
      <w:r w:rsidR="00B04C2E" w:rsidRPr="00597788">
        <w:rPr>
          <w:rFonts w:eastAsiaTheme="minorEastAsia"/>
          <w:lang w:val="en-GB" w:bidi="en-US"/>
        </w:rPr>
        <w:t xml:space="preserve"> serving 22 communities and </w:t>
      </w:r>
      <w:r w:rsidR="002B07F6" w:rsidRPr="00597788">
        <w:rPr>
          <w:rFonts w:eastAsiaTheme="minorEastAsia"/>
          <w:lang w:val="en-GB" w:bidi="en-US"/>
        </w:rPr>
        <w:t>seven</w:t>
      </w:r>
      <w:r w:rsidR="00B04C2E" w:rsidRPr="00597788">
        <w:rPr>
          <w:rFonts w:eastAsiaTheme="minorEastAsia"/>
          <w:lang w:val="en-GB" w:bidi="en-US"/>
        </w:rPr>
        <w:t xml:space="preserve"> counties</w:t>
      </w:r>
    </w:p>
    <w:p w14:paraId="0ED73D8E" w14:textId="77777777" w:rsidR="00B04C2E" w:rsidRPr="00597788" w:rsidRDefault="00B04C2E" w:rsidP="00B04C2E">
      <w:pPr>
        <w:pStyle w:val="BodyTextMain"/>
        <w:rPr>
          <w:rFonts w:eastAsiaTheme="minorEastAsia"/>
          <w:lang w:val="en-GB" w:bidi="en-US"/>
        </w:rPr>
      </w:pPr>
    </w:p>
    <w:p w14:paraId="72613511" w14:textId="63899CB5" w:rsidR="00B04C2E" w:rsidRPr="00597788" w:rsidRDefault="00B04C2E" w:rsidP="00B04C2E">
      <w:pPr>
        <w:pStyle w:val="BodyTextMain"/>
        <w:rPr>
          <w:rFonts w:eastAsiaTheme="minorEastAsia"/>
          <w:spacing w:val="-4"/>
          <w:lang w:val="en-GB" w:bidi="en-US"/>
        </w:rPr>
      </w:pPr>
      <w:r w:rsidRPr="00597788">
        <w:rPr>
          <w:rFonts w:eastAsiaTheme="minorEastAsia"/>
          <w:spacing w:val="-4"/>
          <w:lang w:val="en-GB" w:bidi="en-US"/>
        </w:rPr>
        <w:lastRenderedPageBreak/>
        <w:t xml:space="preserve">EPCOR </w:t>
      </w:r>
      <w:r w:rsidRPr="00597788">
        <w:rPr>
          <w:rFonts w:eastAsiaTheme="minorEastAsia"/>
          <w:spacing w:val="-4"/>
          <w:highlight w:val="white"/>
          <w:lang w:val="en-GB" w:bidi="en-US"/>
        </w:rPr>
        <w:t xml:space="preserve">hoped to achieve its vision of becoming a premier essential services company by focusing on the values of people, health, safety </w:t>
      </w:r>
      <w:r w:rsidR="002B07F6" w:rsidRPr="00597788">
        <w:rPr>
          <w:rFonts w:eastAsiaTheme="minorEastAsia"/>
          <w:spacing w:val="-4"/>
          <w:highlight w:val="white"/>
          <w:lang w:val="en-GB" w:bidi="en-US"/>
        </w:rPr>
        <w:t>and</w:t>
      </w:r>
      <w:r w:rsidRPr="00597788">
        <w:rPr>
          <w:rFonts w:eastAsiaTheme="minorEastAsia"/>
          <w:spacing w:val="-4"/>
          <w:highlight w:val="white"/>
          <w:lang w:val="en-GB" w:bidi="en-US"/>
        </w:rPr>
        <w:t xml:space="preserve"> environment</w:t>
      </w:r>
      <w:r w:rsidR="00136BE9" w:rsidRPr="00597788">
        <w:rPr>
          <w:rFonts w:eastAsiaTheme="minorEastAsia"/>
          <w:spacing w:val="-4"/>
          <w:highlight w:val="white"/>
          <w:lang w:val="en-GB" w:bidi="en-US"/>
        </w:rPr>
        <w:t>;</w:t>
      </w:r>
      <w:r w:rsidRPr="00597788">
        <w:rPr>
          <w:rFonts w:eastAsiaTheme="minorEastAsia"/>
          <w:spacing w:val="-4"/>
          <w:highlight w:val="white"/>
          <w:lang w:val="en-GB" w:bidi="en-US"/>
        </w:rPr>
        <w:t xml:space="preserve"> operational excellence</w:t>
      </w:r>
      <w:r w:rsidR="00136BE9" w:rsidRPr="00597788">
        <w:rPr>
          <w:rFonts w:eastAsiaTheme="minorEastAsia"/>
          <w:spacing w:val="-4"/>
          <w:highlight w:val="white"/>
          <w:lang w:val="en-GB" w:bidi="en-US"/>
        </w:rPr>
        <w:t>;</w:t>
      </w:r>
      <w:r w:rsidRPr="00597788">
        <w:rPr>
          <w:rFonts w:eastAsiaTheme="minorEastAsia"/>
          <w:spacing w:val="-4"/>
          <w:highlight w:val="white"/>
          <w:lang w:val="en-GB" w:bidi="en-US"/>
        </w:rPr>
        <w:t xml:space="preserve"> customers </w:t>
      </w:r>
      <w:r w:rsidR="002B07F6" w:rsidRPr="00597788">
        <w:rPr>
          <w:rFonts w:eastAsiaTheme="minorEastAsia"/>
          <w:spacing w:val="-4"/>
          <w:highlight w:val="white"/>
          <w:lang w:val="en-GB" w:bidi="en-US"/>
        </w:rPr>
        <w:t>and</w:t>
      </w:r>
      <w:r w:rsidRPr="00597788">
        <w:rPr>
          <w:rFonts w:eastAsiaTheme="minorEastAsia"/>
          <w:spacing w:val="-4"/>
          <w:highlight w:val="white"/>
          <w:lang w:val="en-GB" w:bidi="en-US"/>
        </w:rPr>
        <w:t xml:space="preserve"> stakeholders</w:t>
      </w:r>
      <w:r w:rsidR="00136BE9" w:rsidRPr="00597788">
        <w:rPr>
          <w:rFonts w:eastAsiaTheme="minorEastAsia"/>
          <w:spacing w:val="-4"/>
          <w:highlight w:val="white"/>
          <w:lang w:val="en-GB" w:bidi="en-US"/>
        </w:rPr>
        <w:t>;</w:t>
      </w:r>
      <w:r w:rsidRPr="00597788">
        <w:rPr>
          <w:rFonts w:eastAsiaTheme="minorEastAsia"/>
          <w:spacing w:val="-4"/>
          <w:highlight w:val="white"/>
          <w:lang w:val="en-GB" w:bidi="en-US"/>
        </w:rPr>
        <w:t xml:space="preserve"> and growth.</w:t>
      </w:r>
      <w:r w:rsidRPr="00597788">
        <w:rPr>
          <w:rFonts w:eastAsiaTheme="minorEastAsia"/>
          <w:spacing w:val="-4"/>
          <w:lang w:val="en-GB" w:bidi="en-US"/>
        </w:rPr>
        <w:t xml:space="preserve"> Given the nature of EPCOR’s core business of providing essential services to the communities in which it operated, community investment and environmental stewardship were also key focuses for the business.</w:t>
      </w:r>
    </w:p>
    <w:p w14:paraId="163DCE21" w14:textId="77777777" w:rsidR="007E4763" w:rsidRPr="00597788" w:rsidRDefault="007E4763" w:rsidP="00B04C2E">
      <w:pPr>
        <w:pStyle w:val="BodyTextMain"/>
        <w:rPr>
          <w:rFonts w:eastAsiaTheme="minorEastAsia"/>
          <w:lang w:val="en-GB" w:bidi="en-US"/>
        </w:rPr>
      </w:pPr>
    </w:p>
    <w:p w14:paraId="5C1992B1" w14:textId="77777777" w:rsidR="007E4763" w:rsidRPr="00597788" w:rsidRDefault="007E4763" w:rsidP="00B04C2E">
      <w:pPr>
        <w:pStyle w:val="BodyTextMain"/>
        <w:rPr>
          <w:rFonts w:eastAsiaTheme="minorEastAsia"/>
          <w:lang w:val="en-GB" w:bidi="en-US"/>
        </w:rPr>
      </w:pPr>
    </w:p>
    <w:p w14:paraId="5C1D6DCF" w14:textId="77777777" w:rsidR="00B04C2E" w:rsidRPr="00597788" w:rsidRDefault="00B04C2E" w:rsidP="00360100">
      <w:pPr>
        <w:pStyle w:val="Casehead2"/>
        <w:keepNext/>
        <w:outlineLvl w:val="0"/>
        <w:rPr>
          <w:rFonts w:eastAsiaTheme="majorEastAsia"/>
          <w:lang w:val="en-GB" w:bidi="en-US"/>
        </w:rPr>
      </w:pPr>
      <w:r w:rsidRPr="00597788">
        <w:rPr>
          <w:rFonts w:eastAsiaTheme="majorEastAsia"/>
          <w:lang w:val="en-GB" w:bidi="en-US"/>
        </w:rPr>
        <w:t xml:space="preserve">Metering Operations </w:t>
      </w:r>
    </w:p>
    <w:p w14:paraId="700A9269" w14:textId="77777777" w:rsidR="007E4763" w:rsidRPr="00597788" w:rsidRDefault="007E4763" w:rsidP="007E4763">
      <w:pPr>
        <w:pStyle w:val="BodyTextMain"/>
        <w:keepNext/>
        <w:rPr>
          <w:rFonts w:eastAsiaTheme="minorEastAsia"/>
          <w:lang w:val="en-GB" w:bidi="en-US"/>
        </w:rPr>
      </w:pPr>
    </w:p>
    <w:p w14:paraId="609FBBC8" w14:textId="5F49A9C4" w:rsidR="00B04C2E" w:rsidRPr="00EE680D" w:rsidRDefault="00B04C2E" w:rsidP="007E4763">
      <w:pPr>
        <w:pStyle w:val="BodyTextMain"/>
        <w:keepNext/>
        <w:rPr>
          <w:rFonts w:eastAsiaTheme="minorEastAsia"/>
          <w:spacing w:val="-2"/>
          <w:lang w:val="en-GB" w:bidi="en-US"/>
        </w:rPr>
      </w:pPr>
      <w:r w:rsidRPr="00EE680D">
        <w:rPr>
          <w:rFonts w:eastAsiaTheme="minorEastAsia"/>
          <w:spacing w:val="-2"/>
          <w:lang w:val="en-GB" w:bidi="en-US"/>
        </w:rPr>
        <w:t>EDTI was considered a wire owner and was the operating company responsible for building and maintaining the electricity distribution and transmission infrastructure in Alberta. EDTI owned and operated approximately 30 substations and thousands of circuit kilomet</w:t>
      </w:r>
      <w:r w:rsidR="002B07F6" w:rsidRPr="00EE680D">
        <w:rPr>
          <w:rFonts w:eastAsiaTheme="minorEastAsia"/>
          <w:spacing w:val="-2"/>
          <w:lang w:val="en-GB" w:bidi="en-US"/>
        </w:rPr>
        <w:t>r</w:t>
      </w:r>
      <w:r w:rsidRPr="00EE680D">
        <w:rPr>
          <w:rFonts w:eastAsiaTheme="minorEastAsia"/>
          <w:spacing w:val="-2"/>
          <w:lang w:val="en-GB" w:bidi="en-US"/>
        </w:rPr>
        <w:t xml:space="preserve">es of transmission cables and distribution lines. </w:t>
      </w:r>
    </w:p>
    <w:p w14:paraId="6AF3C863" w14:textId="77777777" w:rsidR="00B04C2E" w:rsidRPr="00597788" w:rsidRDefault="00B04C2E" w:rsidP="00B04C2E">
      <w:pPr>
        <w:pStyle w:val="BodyTextMain"/>
        <w:rPr>
          <w:rFonts w:eastAsiaTheme="minorEastAsia"/>
          <w:lang w:val="en-GB" w:bidi="en-US"/>
        </w:rPr>
      </w:pPr>
    </w:p>
    <w:p w14:paraId="255B6AEA" w14:textId="77FF5E90" w:rsidR="00B04C2E" w:rsidRPr="00F23D09" w:rsidRDefault="00B04C2E" w:rsidP="00B04C2E">
      <w:pPr>
        <w:pStyle w:val="BodyTextMain"/>
        <w:rPr>
          <w:rFonts w:eastAsiaTheme="minorEastAsia"/>
          <w:spacing w:val="-2"/>
          <w:vertAlign w:val="superscript"/>
          <w:lang w:val="en-GB" w:bidi="en-US"/>
        </w:rPr>
      </w:pPr>
      <w:r w:rsidRPr="00F23D09">
        <w:rPr>
          <w:rFonts w:eastAsiaTheme="minorEastAsia"/>
          <w:spacing w:val="-2"/>
          <w:lang w:val="en-GB" w:bidi="en-US"/>
        </w:rPr>
        <w:t xml:space="preserve">One of EDTI’s primary functions was to manage and collect data on electricity usage data through meter reading. To maintain meter operations, EDTI employed a large number of meter installers, meter readers, and other meter operations staff. EDTI’s meter installers entered customer premises to install or replace meters, connect or disconnect electricity services, and perform meter inspections. Meter readers were required to physically visit residential or commercial sites to manually read and record cumulative data from the meters on a monthly basis. </w:t>
      </w:r>
      <w:r w:rsidR="009179DB" w:rsidRPr="00F23D09">
        <w:rPr>
          <w:rFonts w:eastAsiaTheme="minorEastAsia"/>
          <w:spacing w:val="-2"/>
          <w:lang w:val="en-GB" w:bidi="en-US"/>
        </w:rPr>
        <w:t xml:space="preserve">As a quality control measure, </w:t>
      </w:r>
      <w:r w:rsidRPr="00F23D09">
        <w:rPr>
          <w:rFonts w:eastAsiaTheme="minorEastAsia"/>
          <w:spacing w:val="-2"/>
          <w:lang w:val="en-GB" w:bidi="en-US"/>
        </w:rPr>
        <w:t xml:space="preserve">EDTI was </w:t>
      </w:r>
      <w:r w:rsidR="009179DB" w:rsidRPr="00F23D09">
        <w:rPr>
          <w:rFonts w:eastAsiaTheme="minorEastAsia"/>
          <w:spacing w:val="-2"/>
          <w:lang w:val="en-GB" w:bidi="en-US"/>
        </w:rPr>
        <w:t xml:space="preserve">also </w:t>
      </w:r>
      <w:r w:rsidRPr="00F23D09">
        <w:rPr>
          <w:rFonts w:eastAsiaTheme="minorEastAsia"/>
          <w:spacing w:val="-2"/>
          <w:lang w:val="en-GB" w:bidi="en-US"/>
        </w:rPr>
        <w:t>required</w:t>
      </w:r>
      <w:r w:rsidR="00B40020" w:rsidRPr="00F23D09">
        <w:rPr>
          <w:rFonts w:eastAsiaTheme="minorEastAsia"/>
          <w:spacing w:val="-2"/>
          <w:lang w:val="en-GB" w:bidi="en-US"/>
        </w:rPr>
        <w:t xml:space="preserve"> to</w:t>
      </w:r>
      <w:r w:rsidRPr="00F23D09">
        <w:rPr>
          <w:rFonts w:eastAsiaTheme="minorEastAsia"/>
          <w:spacing w:val="-2"/>
          <w:lang w:val="en-GB" w:bidi="en-US"/>
        </w:rPr>
        <w:t xml:space="preserve"> periodically review and compare meter reads.</w:t>
      </w:r>
      <w:r w:rsidRPr="00F23D09">
        <w:rPr>
          <w:rFonts w:eastAsiaTheme="minorEastAsia"/>
          <w:spacing w:val="-2"/>
          <w:vertAlign w:val="superscript"/>
          <w:lang w:val="en-GB" w:bidi="en-US"/>
        </w:rPr>
        <w:endnoteReference w:id="21"/>
      </w:r>
      <w:r w:rsidRPr="00F23D09">
        <w:rPr>
          <w:rFonts w:eastAsiaTheme="minorEastAsia"/>
          <w:spacing w:val="-2"/>
          <w:lang w:val="en-GB" w:bidi="en-US"/>
        </w:rPr>
        <w:t xml:space="preserve"> The safety of meter installers and meter readers</w:t>
      </w:r>
      <w:r w:rsidRPr="00F23D09" w:rsidDel="00C91EA1">
        <w:rPr>
          <w:rFonts w:eastAsiaTheme="minorEastAsia"/>
          <w:spacing w:val="-2"/>
          <w:lang w:val="en-GB" w:bidi="en-US"/>
        </w:rPr>
        <w:t xml:space="preserve"> </w:t>
      </w:r>
      <w:r w:rsidRPr="00F23D09">
        <w:rPr>
          <w:rFonts w:eastAsiaTheme="minorEastAsia"/>
          <w:spacing w:val="-2"/>
          <w:lang w:val="en-GB" w:bidi="en-US"/>
        </w:rPr>
        <w:t>was a key concern for EDTI because there were very real risks and hazards involved in entering customer properties and premises on a day-to-day basis. This was significant for EDTI, particularly because of EPCOR being “fully committed to the protection of the environment and the health and safety of its employees, customers, and stakeholders.”</w:t>
      </w:r>
      <w:r w:rsidRPr="00F23D09">
        <w:rPr>
          <w:rFonts w:eastAsiaTheme="minorEastAsia"/>
          <w:spacing w:val="-2"/>
          <w:vertAlign w:val="superscript"/>
          <w:lang w:val="en-GB" w:bidi="en-US"/>
        </w:rPr>
        <w:endnoteReference w:id="22"/>
      </w:r>
    </w:p>
    <w:p w14:paraId="3F214AAE" w14:textId="77777777" w:rsidR="007E4763" w:rsidRPr="00597788" w:rsidRDefault="007E4763" w:rsidP="002C4A3E">
      <w:pPr>
        <w:pStyle w:val="BodyTextMain"/>
        <w:rPr>
          <w:rFonts w:eastAsiaTheme="minorEastAsia"/>
          <w:lang w:val="en-GB"/>
        </w:rPr>
      </w:pPr>
    </w:p>
    <w:p w14:paraId="7B3ACD79" w14:textId="77777777" w:rsidR="007E4763" w:rsidRPr="00597788" w:rsidRDefault="007E4763" w:rsidP="00B04C2E">
      <w:pPr>
        <w:pStyle w:val="BodyTextMain"/>
        <w:rPr>
          <w:rFonts w:eastAsiaTheme="minorEastAsia"/>
          <w:lang w:val="en-GB" w:bidi="en-US"/>
        </w:rPr>
      </w:pPr>
    </w:p>
    <w:p w14:paraId="19E99A1D" w14:textId="77777777" w:rsidR="00B04C2E" w:rsidRPr="00597788" w:rsidRDefault="00B04C2E" w:rsidP="00360100">
      <w:pPr>
        <w:pStyle w:val="Casehead2"/>
        <w:outlineLvl w:val="0"/>
        <w:rPr>
          <w:rFonts w:eastAsiaTheme="majorEastAsia"/>
          <w:lang w:val="en-GB" w:bidi="en-US"/>
        </w:rPr>
      </w:pPr>
      <w:r w:rsidRPr="00597788">
        <w:rPr>
          <w:rFonts w:eastAsiaTheme="majorEastAsia"/>
          <w:lang w:val="en-GB" w:bidi="en-US"/>
        </w:rPr>
        <w:t xml:space="preserve">Competitors </w:t>
      </w:r>
    </w:p>
    <w:p w14:paraId="31CA0774" w14:textId="77777777" w:rsidR="007E4763" w:rsidRPr="00597788" w:rsidRDefault="007E4763" w:rsidP="00B04C2E">
      <w:pPr>
        <w:pStyle w:val="BodyTextMain"/>
        <w:rPr>
          <w:rFonts w:eastAsiaTheme="minorEastAsia"/>
          <w:lang w:val="en-GB" w:bidi="en-US"/>
        </w:rPr>
      </w:pPr>
    </w:p>
    <w:p w14:paraId="2E8CBA78" w14:textId="4B0A6FA9" w:rsidR="00B04C2E" w:rsidRPr="00597788" w:rsidRDefault="00B04C2E" w:rsidP="00B04C2E">
      <w:pPr>
        <w:pStyle w:val="BodyTextMain"/>
        <w:rPr>
          <w:rFonts w:eastAsiaTheme="minorEastAsia"/>
          <w:lang w:val="en-GB" w:bidi="en-US"/>
        </w:rPr>
      </w:pPr>
      <w:r w:rsidRPr="00597788">
        <w:rPr>
          <w:rFonts w:eastAsiaTheme="minorEastAsia"/>
          <w:spacing w:val="-2"/>
          <w:lang w:val="en-GB" w:bidi="en-US"/>
        </w:rPr>
        <w:t xml:space="preserve">Alberta customers had a choice of receiving electricity either through a </w:t>
      </w:r>
      <w:r w:rsidR="007C4BDF" w:rsidRPr="00597788">
        <w:rPr>
          <w:rFonts w:eastAsiaTheme="minorEastAsia"/>
          <w:spacing w:val="-2"/>
          <w:lang w:val="en-GB" w:bidi="en-US"/>
        </w:rPr>
        <w:t>r</w:t>
      </w:r>
      <w:r w:rsidRPr="00597788">
        <w:rPr>
          <w:rFonts w:eastAsiaTheme="minorEastAsia"/>
          <w:spacing w:val="-2"/>
          <w:lang w:val="en-GB" w:bidi="en-US"/>
        </w:rPr>
        <w:t xml:space="preserve">egulated </w:t>
      </w:r>
      <w:r w:rsidR="007C4BDF" w:rsidRPr="00597788">
        <w:rPr>
          <w:rFonts w:eastAsiaTheme="minorEastAsia"/>
          <w:spacing w:val="-2"/>
          <w:lang w:val="en-GB" w:bidi="en-US"/>
        </w:rPr>
        <w:t>r</w:t>
      </w:r>
      <w:r w:rsidRPr="00597788">
        <w:rPr>
          <w:rFonts w:eastAsiaTheme="minorEastAsia"/>
          <w:spacing w:val="-2"/>
          <w:lang w:val="en-GB" w:bidi="en-US"/>
        </w:rPr>
        <w:t xml:space="preserve">ate </w:t>
      </w:r>
      <w:r w:rsidR="007C4BDF" w:rsidRPr="00597788">
        <w:rPr>
          <w:rFonts w:eastAsiaTheme="minorEastAsia"/>
          <w:spacing w:val="-2"/>
          <w:lang w:val="en-GB" w:bidi="en-US"/>
        </w:rPr>
        <w:t>o</w:t>
      </w:r>
      <w:r w:rsidRPr="00597788">
        <w:rPr>
          <w:rFonts w:eastAsiaTheme="minorEastAsia"/>
          <w:spacing w:val="-2"/>
          <w:lang w:val="en-GB" w:bidi="en-US"/>
        </w:rPr>
        <w:t>ption or by signing a competitive contract for electricity provided through retail services. Customers who did not sign a competitive contract would automatically receive retail services from EPCOR Energy Alberta GP Inc.</w:t>
      </w:r>
      <w:r w:rsidR="00B40020" w:rsidRPr="00597788">
        <w:rPr>
          <w:rFonts w:eastAsiaTheme="minorEastAsia"/>
          <w:spacing w:val="-2"/>
          <w:lang w:val="en-GB" w:bidi="en-US"/>
        </w:rPr>
        <w:t>, a subsidiary of EPCOR.</w:t>
      </w:r>
      <w:r w:rsidRPr="00597788">
        <w:rPr>
          <w:rFonts w:eastAsiaTheme="minorEastAsia"/>
          <w:lang w:val="en-GB" w:bidi="en-US"/>
        </w:rPr>
        <w:t xml:space="preserve"> Thus, EPCOR’s main competitors were other retailers who provided competitive contracts for customers. However, the AUC regulated the amount of infrastructure that could exist in any given area. Therefore, these competitive retailers worked with EPCOR to use its existing infrastructure to provide customers with service. </w:t>
      </w:r>
    </w:p>
    <w:p w14:paraId="67DA5273" w14:textId="77777777" w:rsidR="00B04C2E" w:rsidRPr="00597788" w:rsidRDefault="00B04C2E" w:rsidP="00B04C2E">
      <w:pPr>
        <w:pStyle w:val="BodyTextMain"/>
        <w:rPr>
          <w:rFonts w:eastAsiaTheme="minorEastAsia"/>
          <w:lang w:val="en-GB" w:bidi="en-US"/>
        </w:rPr>
      </w:pPr>
    </w:p>
    <w:p w14:paraId="3D9A0335" w14:textId="3D7DAE5F" w:rsidR="00B04C2E" w:rsidRPr="00597788" w:rsidRDefault="00B04C2E" w:rsidP="00B04C2E">
      <w:pPr>
        <w:pStyle w:val="BodyTextMain"/>
        <w:rPr>
          <w:rFonts w:eastAsiaTheme="minorEastAsia"/>
          <w:lang w:val="en-GB" w:bidi="en-US"/>
        </w:rPr>
      </w:pPr>
      <w:r w:rsidRPr="00597788">
        <w:rPr>
          <w:rFonts w:eastAsiaTheme="minorEastAsia"/>
          <w:lang w:val="en-GB" w:bidi="en-US"/>
        </w:rPr>
        <w:t>Since EPCOR was the default service provider of electricity in Edmonton, much due diligence was in place to ensure that customers were informed of their ability to choose among multiple utility providers. Through Alberta</w:t>
      </w:r>
      <w:r w:rsidR="007C2473" w:rsidRPr="00597788">
        <w:rPr>
          <w:rFonts w:eastAsiaTheme="minorEastAsia"/>
          <w:lang w:val="en-GB" w:bidi="en-US"/>
        </w:rPr>
        <w:t>’s</w:t>
      </w:r>
      <w:r w:rsidRPr="00597788">
        <w:rPr>
          <w:rFonts w:eastAsiaTheme="minorEastAsia"/>
          <w:i/>
          <w:lang w:val="en-GB" w:bidi="en-US"/>
        </w:rPr>
        <w:t xml:space="preserve"> Code of Conduct Regulation</w:t>
      </w:r>
      <w:r w:rsidRPr="00597788">
        <w:rPr>
          <w:rFonts w:eastAsiaTheme="minorEastAsia"/>
          <w:lang w:val="en-GB" w:bidi="en-US"/>
        </w:rPr>
        <w:t>, EPCOR informed all customers or potential customers that they were free to choose any retailer for their utilities through the “Fair Competition Statement</w:t>
      </w:r>
      <w:r w:rsidR="007C2473" w:rsidRPr="00597788">
        <w:rPr>
          <w:rFonts w:eastAsiaTheme="minorEastAsia"/>
          <w:lang w:val="en-GB" w:bidi="en-US"/>
        </w:rPr>
        <w:t>.</w:t>
      </w:r>
      <w:r w:rsidRPr="00597788">
        <w:rPr>
          <w:rFonts w:eastAsiaTheme="minorEastAsia"/>
          <w:lang w:val="en-GB" w:bidi="en-US"/>
        </w:rPr>
        <w:t>”</w:t>
      </w:r>
      <w:r w:rsidRPr="00597788">
        <w:rPr>
          <w:rFonts w:eastAsiaTheme="minorEastAsia"/>
          <w:vertAlign w:val="superscript"/>
          <w:lang w:val="en-GB" w:bidi="en-US"/>
        </w:rPr>
        <w:endnoteReference w:id="23"/>
      </w:r>
    </w:p>
    <w:p w14:paraId="16B4DA01" w14:textId="77777777" w:rsidR="007E4763" w:rsidRPr="00597788" w:rsidRDefault="007E4763" w:rsidP="00B04C2E">
      <w:pPr>
        <w:pStyle w:val="BodyTextMain"/>
        <w:rPr>
          <w:rFonts w:eastAsiaTheme="minorEastAsia"/>
          <w:lang w:val="en-GB" w:bidi="en-US"/>
        </w:rPr>
      </w:pPr>
    </w:p>
    <w:p w14:paraId="1C5A77A0" w14:textId="77777777" w:rsidR="00686829" w:rsidRPr="00597788" w:rsidRDefault="00686829" w:rsidP="00B04C2E">
      <w:pPr>
        <w:pStyle w:val="BodyTextMain"/>
        <w:rPr>
          <w:rFonts w:eastAsiaTheme="minorEastAsia"/>
          <w:lang w:val="en-GB" w:bidi="en-US"/>
        </w:rPr>
      </w:pPr>
    </w:p>
    <w:p w14:paraId="562A26D6" w14:textId="77777777" w:rsidR="00B04C2E" w:rsidRPr="00597788" w:rsidRDefault="00B04C2E" w:rsidP="00DC75C1">
      <w:pPr>
        <w:pStyle w:val="Casehead1"/>
        <w:keepNext/>
        <w:outlineLvl w:val="0"/>
        <w:rPr>
          <w:rFonts w:eastAsiaTheme="majorEastAsia"/>
          <w:lang w:val="en-GB" w:bidi="en-US"/>
        </w:rPr>
      </w:pPr>
      <w:r w:rsidRPr="00597788">
        <w:rPr>
          <w:rFonts w:eastAsiaTheme="majorEastAsia"/>
          <w:lang w:val="en-GB" w:bidi="en-US"/>
        </w:rPr>
        <w:t>The Issue</w:t>
      </w:r>
    </w:p>
    <w:p w14:paraId="2A20C80B" w14:textId="77777777" w:rsidR="007E4763" w:rsidRPr="00597788" w:rsidRDefault="007E4763" w:rsidP="00DC75C1">
      <w:pPr>
        <w:pStyle w:val="BodyTextMain"/>
        <w:keepNext/>
        <w:rPr>
          <w:rFonts w:eastAsiaTheme="majorEastAsia"/>
          <w:lang w:val="en-GB" w:bidi="en-US"/>
        </w:rPr>
      </w:pPr>
    </w:p>
    <w:p w14:paraId="46A721D7" w14:textId="199741F0" w:rsidR="00B04C2E" w:rsidRPr="00597788" w:rsidRDefault="000F5197" w:rsidP="00DC75C1">
      <w:pPr>
        <w:pStyle w:val="Casehead2"/>
        <w:keepNext/>
        <w:outlineLvl w:val="0"/>
        <w:rPr>
          <w:rFonts w:eastAsiaTheme="majorEastAsia"/>
          <w:lang w:val="en-GB"/>
        </w:rPr>
      </w:pPr>
      <w:r w:rsidRPr="00597788">
        <w:rPr>
          <w:rFonts w:eastAsiaTheme="majorEastAsia"/>
          <w:lang w:val="en-GB"/>
        </w:rPr>
        <w:t xml:space="preserve">Stakeholders and </w:t>
      </w:r>
      <w:r w:rsidR="007C2473" w:rsidRPr="00597788">
        <w:rPr>
          <w:rFonts w:eastAsiaTheme="majorEastAsia"/>
          <w:lang w:val="en-GB"/>
        </w:rPr>
        <w:t>T</w:t>
      </w:r>
      <w:r w:rsidR="00B04C2E" w:rsidRPr="00597788">
        <w:rPr>
          <w:rFonts w:eastAsiaTheme="majorEastAsia"/>
          <w:lang w:val="en-GB"/>
        </w:rPr>
        <w:t>heir Concerns</w:t>
      </w:r>
    </w:p>
    <w:p w14:paraId="14CA18C3" w14:textId="77777777" w:rsidR="000F5197" w:rsidRPr="00597788" w:rsidRDefault="000F5197" w:rsidP="00DC75C1">
      <w:pPr>
        <w:pStyle w:val="BodyTextMain"/>
        <w:keepNext/>
        <w:rPr>
          <w:rFonts w:eastAsiaTheme="minorEastAsia"/>
          <w:lang w:val="en-GB" w:bidi="en-US"/>
        </w:rPr>
      </w:pPr>
    </w:p>
    <w:p w14:paraId="2824BAA5" w14:textId="18CDA634" w:rsidR="00B04C2E" w:rsidRPr="00597788" w:rsidRDefault="007C2473" w:rsidP="00DC75C1">
      <w:pPr>
        <w:pStyle w:val="BodyTextMain"/>
        <w:keepNext/>
        <w:rPr>
          <w:rFonts w:eastAsiaTheme="minorEastAsia"/>
          <w:lang w:val="en-GB" w:bidi="en-US"/>
        </w:rPr>
      </w:pPr>
      <w:r w:rsidRPr="00597788">
        <w:rPr>
          <w:rFonts w:eastAsiaTheme="minorEastAsia"/>
          <w:lang w:val="en-GB" w:bidi="en-US"/>
        </w:rPr>
        <w:t>A</w:t>
      </w:r>
      <w:r w:rsidR="00B04C2E" w:rsidRPr="00597788">
        <w:rPr>
          <w:rFonts w:eastAsiaTheme="minorEastAsia"/>
          <w:lang w:val="en-GB" w:bidi="en-US"/>
        </w:rPr>
        <w:t xml:space="preserve"> number of stakeholders </w:t>
      </w:r>
      <w:r w:rsidRPr="00597788">
        <w:rPr>
          <w:rFonts w:eastAsiaTheme="minorEastAsia"/>
          <w:lang w:val="en-GB" w:bidi="en-US"/>
        </w:rPr>
        <w:t xml:space="preserve">were </w:t>
      </w:r>
      <w:r w:rsidR="00B04C2E" w:rsidRPr="00597788">
        <w:rPr>
          <w:rFonts w:eastAsiaTheme="minorEastAsia"/>
          <w:lang w:val="en-GB" w:bidi="en-US"/>
        </w:rPr>
        <w:t>involved in the utilities industry. In making his business case for smart grid technology, R</w:t>
      </w:r>
      <w:r w:rsidRPr="00597788">
        <w:rPr>
          <w:rFonts w:eastAsiaTheme="minorEastAsia"/>
          <w:lang w:val="en-GB" w:bidi="en-US"/>
        </w:rPr>
        <w:t>eimer</w:t>
      </w:r>
      <w:r w:rsidR="00B04C2E" w:rsidRPr="00597788">
        <w:rPr>
          <w:rFonts w:eastAsiaTheme="minorEastAsia"/>
          <w:lang w:val="en-GB" w:bidi="en-US"/>
        </w:rPr>
        <w:t xml:space="preserve"> had to ensure a proper balance of stakeholder engagement, defined as “the process by an organization to engage relevant stakeholders for a clear purpose to achieve accepted outcomes.”</w:t>
      </w:r>
      <w:r w:rsidR="00B04C2E" w:rsidRPr="00597788">
        <w:rPr>
          <w:rFonts w:eastAsiaTheme="minorEastAsia"/>
          <w:vertAlign w:val="superscript"/>
          <w:lang w:val="en-GB" w:bidi="en-US"/>
        </w:rPr>
        <w:endnoteReference w:id="24"/>
      </w:r>
      <w:r w:rsidR="00B04C2E" w:rsidRPr="00597788">
        <w:rPr>
          <w:rFonts w:eastAsiaTheme="minorEastAsia"/>
          <w:lang w:val="en-GB" w:bidi="en-US"/>
        </w:rPr>
        <w:t xml:space="preserve"> </w:t>
      </w:r>
      <w:r w:rsidR="009179DB" w:rsidRPr="00597788">
        <w:rPr>
          <w:rFonts w:eastAsiaTheme="minorEastAsia"/>
          <w:lang w:val="en-GB" w:bidi="en-US"/>
        </w:rPr>
        <w:t>A</w:t>
      </w:r>
      <w:r w:rsidRPr="00597788">
        <w:rPr>
          <w:rFonts w:eastAsiaTheme="minorEastAsia"/>
          <w:lang w:val="en-GB" w:bidi="en-US"/>
        </w:rPr>
        <w:t xml:space="preserve"> </w:t>
      </w:r>
      <w:r w:rsidR="00B04C2E" w:rsidRPr="00597788">
        <w:rPr>
          <w:rFonts w:eastAsiaTheme="minorEastAsia"/>
          <w:lang w:val="en-GB" w:bidi="en-US"/>
        </w:rPr>
        <w:t xml:space="preserve">number of stakeholders </w:t>
      </w:r>
      <w:r w:rsidR="009179DB" w:rsidRPr="00597788">
        <w:rPr>
          <w:rFonts w:eastAsiaTheme="minorEastAsia"/>
          <w:lang w:val="en-GB" w:bidi="en-US"/>
        </w:rPr>
        <w:t xml:space="preserve">were </w:t>
      </w:r>
      <w:r w:rsidR="00B04C2E" w:rsidRPr="00597788">
        <w:rPr>
          <w:rFonts w:eastAsiaTheme="minorEastAsia"/>
          <w:lang w:val="en-GB" w:bidi="en-US"/>
        </w:rPr>
        <w:t xml:space="preserve">involved, </w:t>
      </w:r>
      <w:r w:rsidR="009179DB" w:rsidRPr="00597788">
        <w:rPr>
          <w:rFonts w:eastAsiaTheme="minorEastAsia"/>
          <w:lang w:val="en-GB" w:bidi="en-US"/>
        </w:rPr>
        <w:t>and their concerns and the relationships among stakeholders were complex (see</w:t>
      </w:r>
      <w:r w:rsidR="00B04C2E" w:rsidRPr="00597788">
        <w:rPr>
          <w:rFonts w:eastAsiaTheme="minorEastAsia"/>
          <w:lang w:val="en-GB" w:bidi="en-US"/>
        </w:rPr>
        <w:t xml:space="preserve"> Exhibit 2</w:t>
      </w:r>
      <w:r w:rsidR="009179DB" w:rsidRPr="00597788">
        <w:rPr>
          <w:rFonts w:eastAsiaTheme="minorEastAsia"/>
          <w:lang w:val="en-GB" w:bidi="en-US"/>
        </w:rPr>
        <w:t>)</w:t>
      </w:r>
      <w:r w:rsidR="00B04C2E" w:rsidRPr="00597788">
        <w:rPr>
          <w:rFonts w:eastAsiaTheme="minorEastAsia"/>
          <w:lang w:val="en-GB" w:bidi="en-US"/>
        </w:rPr>
        <w:t xml:space="preserve">. </w:t>
      </w:r>
    </w:p>
    <w:p w14:paraId="2419228F" w14:textId="77777777" w:rsidR="00B04C2E" w:rsidRPr="00597788" w:rsidRDefault="00B04C2E" w:rsidP="00B04C2E">
      <w:pPr>
        <w:pStyle w:val="BodyTextMain"/>
        <w:rPr>
          <w:rFonts w:eastAsiaTheme="minorEastAsia"/>
          <w:i/>
          <w:lang w:val="en-GB" w:bidi="en-US"/>
        </w:rPr>
      </w:pPr>
    </w:p>
    <w:p w14:paraId="50DC159B" w14:textId="737CE9F5" w:rsidR="00B04C2E" w:rsidRPr="00597788" w:rsidRDefault="00B04C2E" w:rsidP="00360100">
      <w:pPr>
        <w:pStyle w:val="Casehead3"/>
        <w:keepNext/>
        <w:outlineLvl w:val="0"/>
        <w:rPr>
          <w:rFonts w:eastAsiaTheme="minorEastAsia"/>
          <w:lang w:val="en-GB" w:bidi="en-US"/>
        </w:rPr>
      </w:pPr>
      <w:r w:rsidRPr="00597788">
        <w:rPr>
          <w:rFonts w:eastAsiaTheme="minorEastAsia"/>
          <w:lang w:val="en-GB" w:bidi="en-US"/>
        </w:rPr>
        <w:lastRenderedPageBreak/>
        <w:t>Alberta Policy Maker</w:t>
      </w:r>
      <w:r w:rsidR="00B40020" w:rsidRPr="00597788">
        <w:rPr>
          <w:rFonts w:eastAsiaTheme="minorEastAsia"/>
          <w:lang w:val="en-GB" w:bidi="en-US"/>
        </w:rPr>
        <w:t>—</w:t>
      </w:r>
      <w:r w:rsidRPr="00597788">
        <w:rPr>
          <w:rFonts w:eastAsiaTheme="minorEastAsia"/>
          <w:lang w:val="en-GB" w:bidi="en-US"/>
        </w:rPr>
        <w:t>Department of Energy</w:t>
      </w:r>
    </w:p>
    <w:p w14:paraId="2635BFF0" w14:textId="77777777" w:rsidR="007E4763" w:rsidRPr="00597788" w:rsidRDefault="007E4763" w:rsidP="00C57568">
      <w:pPr>
        <w:pStyle w:val="BodyTextMain"/>
        <w:keepNext/>
        <w:rPr>
          <w:rFonts w:eastAsiaTheme="minorEastAsia"/>
          <w:lang w:val="en-GB" w:bidi="en-US"/>
        </w:rPr>
      </w:pPr>
    </w:p>
    <w:p w14:paraId="771131DA" w14:textId="6A1C99FE" w:rsidR="00B04C2E" w:rsidRPr="00597788" w:rsidRDefault="00B04C2E" w:rsidP="00C57568">
      <w:pPr>
        <w:pStyle w:val="BodyTextMain"/>
        <w:keepNext/>
        <w:rPr>
          <w:rFonts w:eastAsiaTheme="minorEastAsia"/>
          <w:lang w:val="en-GB" w:bidi="en-US"/>
        </w:rPr>
      </w:pPr>
      <w:r w:rsidRPr="00597788">
        <w:rPr>
          <w:rFonts w:eastAsiaTheme="minorEastAsia"/>
          <w:lang w:val="en-GB" w:bidi="en-US"/>
        </w:rPr>
        <w:t>Alberta</w:t>
      </w:r>
      <w:r w:rsidR="00B40020" w:rsidRPr="00597788">
        <w:rPr>
          <w:rFonts w:eastAsiaTheme="minorEastAsia"/>
          <w:lang w:val="en-GB" w:bidi="en-US"/>
        </w:rPr>
        <w:t>’s</w:t>
      </w:r>
      <w:r w:rsidRPr="00597788">
        <w:rPr>
          <w:rFonts w:eastAsiaTheme="minorEastAsia"/>
          <w:lang w:val="en-GB" w:bidi="en-US"/>
        </w:rPr>
        <w:t xml:space="preserve"> DOE was the governmental policy maker for Alberta’s energy matters. Since </w:t>
      </w:r>
      <w:r w:rsidR="007C2473" w:rsidRPr="00597788">
        <w:rPr>
          <w:rFonts w:eastAsiaTheme="minorEastAsia"/>
          <w:lang w:val="en-GB" w:bidi="en-US"/>
        </w:rPr>
        <w:t>s</w:t>
      </w:r>
      <w:r w:rsidRPr="00597788">
        <w:rPr>
          <w:rFonts w:eastAsiaTheme="minorEastAsia"/>
          <w:lang w:val="en-GB" w:bidi="en-US"/>
        </w:rPr>
        <w:t xml:space="preserve">mart </w:t>
      </w:r>
      <w:r w:rsidR="007C2473" w:rsidRPr="00597788">
        <w:rPr>
          <w:rFonts w:eastAsiaTheme="minorEastAsia"/>
          <w:lang w:val="en-GB" w:bidi="en-US"/>
        </w:rPr>
        <w:t>g</w:t>
      </w:r>
      <w:r w:rsidRPr="00597788">
        <w:rPr>
          <w:rFonts w:eastAsiaTheme="minorEastAsia"/>
          <w:lang w:val="en-GB" w:bidi="en-US"/>
        </w:rPr>
        <w:t>rid technologies heavily affected Alberta</w:t>
      </w:r>
      <w:r w:rsidR="007C2473" w:rsidRPr="00597788">
        <w:rPr>
          <w:rFonts w:eastAsiaTheme="minorEastAsia"/>
          <w:lang w:val="en-GB" w:bidi="en-US"/>
        </w:rPr>
        <w:t>’</w:t>
      </w:r>
      <w:r w:rsidRPr="00597788">
        <w:rPr>
          <w:rFonts w:eastAsiaTheme="minorEastAsia"/>
          <w:lang w:val="en-GB" w:bidi="en-US"/>
        </w:rPr>
        <w:t>s energy focus, the DOE undertook numerous initiatives that impacted smart grid technologies in Alberta. In May 2008, the DOE submitted a discussion paper that presented the benefits of an AMI system. In December 2008, the DOE announced the “Provincial Energy Strategy: Launching Alberta’s Energy Future</w:t>
      </w:r>
      <w:r w:rsidR="007C2473" w:rsidRPr="00597788">
        <w:rPr>
          <w:rFonts w:eastAsiaTheme="minorEastAsia"/>
          <w:lang w:val="en-GB" w:bidi="en-US"/>
        </w:rPr>
        <w:t>,</w:t>
      </w:r>
      <w:r w:rsidRPr="00597788">
        <w:rPr>
          <w:rFonts w:eastAsiaTheme="minorEastAsia"/>
          <w:lang w:val="en-GB" w:bidi="en-US"/>
        </w:rPr>
        <w:t xml:space="preserve">” which promoted smart metering and the “migration of electrical meters to </w:t>
      </w:r>
      <w:r w:rsidR="00D129C2" w:rsidRPr="00597788">
        <w:rPr>
          <w:rFonts w:eastAsiaTheme="minorEastAsia"/>
          <w:lang w:val="en-GB" w:bidi="en-US"/>
        </w:rPr>
        <w:t>a</w:t>
      </w:r>
      <w:r w:rsidRPr="00597788">
        <w:rPr>
          <w:rFonts w:eastAsiaTheme="minorEastAsia"/>
          <w:lang w:val="en-GB" w:bidi="en-US"/>
        </w:rPr>
        <w:t xml:space="preserve">dvanced </w:t>
      </w:r>
      <w:r w:rsidR="00D129C2" w:rsidRPr="00597788">
        <w:rPr>
          <w:rFonts w:eastAsiaTheme="minorEastAsia"/>
          <w:lang w:val="en-GB" w:bidi="en-US"/>
        </w:rPr>
        <w:t>m</w:t>
      </w:r>
      <w:r w:rsidRPr="00597788">
        <w:rPr>
          <w:rFonts w:eastAsiaTheme="minorEastAsia"/>
          <w:lang w:val="en-GB" w:bidi="en-US"/>
        </w:rPr>
        <w:t xml:space="preserve">etering </w:t>
      </w:r>
      <w:r w:rsidR="00D129C2" w:rsidRPr="00597788">
        <w:rPr>
          <w:rFonts w:eastAsiaTheme="minorEastAsia"/>
          <w:lang w:val="en-GB" w:bidi="en-US"/>
        </w:rPr>
        <w:t>i</w:t>
      </w:r>
      <w:r w:rsidRPr="00597788">
        <w:rPr>
          <w:rFonts w:eastAsiaTheme="minorEastAsia"/>
          <w:lang w:val="en-GB" w:bidi="en-US"/>
        </w:rPr>
        <w:t>nfrastructure.”</w:t>
      </w:r>
      <w:r w:rsidRPr="00597788">
        <w:rPr>
          <w:rFonts w:eastAsiaTheme="minorEastAsia"/>
          <w:vertAlign w:val="superscript"/>
          <w:lang w:val="en-GB" w:bidi="en-US"/>
        </w:rPr>
        <w:endnoteReference w:id="25"/>
      </w:r>
      <w:r w:rsidRPr="00597788">
        <w:rPr>
          <w:rFonts w:eastAsiaTheme="minorEastAsia"/>
          <w:lang w:val="en-GB" w:bidi="en-US"/>
        </w:rPr>
        <w:t xml:space="preserve"> The DOE’s main concern was the impact that a smart grid transition would have on customers.</w:t>
      </w:r>
    </w:p>
    <w:p w14:paraId="69B265F7" w14:textId="77777777" w:rsidR="00B04C2E" w:rsidRPr="00597788" w:rsidRDefault="00B04C2E" w:rsidP="00B04C2E">
      <w:pPr>
        <w:pStyle w:val="BodyTextMain"/>
        <w:rPr>
          <w:rFonts w:eastAsiaTheme="minorEastAsia"/>
          <w:lang w:val="en-GB" w:bidi="en-US"/>
        </w:rPr>
      </w:pPr>
    </w:p>
    <w:p w14:paraId="7BFE929D" w14:textId="77777777" w:rsidR="007E4763" w:rsidRPr="00597788" w:rsidRDefault="007E4763" w:rsidP="00B04C2E">
      <w:pPr>
        <w:pStyle w:val="BodyTextMain"/>
        <w:rPr>
          <w:rFonts w:eastAsiaTheme="minorEastAsia"/>
          <w:lang w:val="en-GB" w:bidi="en-US"/>
        </w:rPr>
      </w:pPr>
    </w:p>
    <w:p w14:paraId="704B81BA" w14:textId="25248E9E" w:rsidR="00B04C2E" w:rsidRPr="00597788" w:rsidRDefault="00B04C2E" w:rsidP="00360100">
      <w:pPr>
        <w:pStyle w:val="Casehead3"/>
        <w:outlineLvl w:val="0"/>
        <w:rPr>
          <w:rFonts w:eastAsiaTheme="minorEastAsia"/>
          <w:lang w:val="en-GB" w:bidi="en-US"/>
        </w:rPr>
      </w:pPr>
      <w:r w:rsidRPr="00597788">
        <w:rPr>
          <w:rFonts w:eastAsiaTheme="minorEastAsia"/>
          <w:lang w:val="en-GB" w:bidi="en-US"/>
        </w:rPr>
        <w:t>Alberta Regulator</w:t>
      </w:r>
      <w:r w:rsidR="00D129C2" w:rsidRPr="00597788">
        <w:rPr>
          <w:rFonts w:eastAsiaTheme="minorEastAsia"/>
          <w:lang w:val="en-GB" w:bidi="en-US"/>
        </w:rPr>
        <w:t>—</w:t>
      </w:r>
      <w:r w:rsidRPr="00597788">
        <w:rPr>
          <w:rFonts w:eastAsiaTheme="minorEastAsia"/>
          <w:lang w:val="en-GB" w:bidi="en-US"/>
        </w:rPr>
        <w:t>Alberta Utilities Commission</w:t>
      </w:r>
    </w:p>
    <w:p w14:paraId="1BBC9D9B" w14:textId="77777777" w:rsidR="007E4763" w:rsidRPr="00597788" w:rsidRDefault="007E4763" w:rsidP="00B04C2E">
      <w:pPr>
        <w:pStyle w:val="BodyTextMain"/>
        <w:rPr>
          <w:rFonts w:eastAsiaTheme="minorEastAsia"/>
          <w:lang w:val="en-GB" w:bidi="en-US"/>
        </w:rPr>
      </w:pPr>
    </w:p>
    <w:p w14:paraId="2DF6FF7A" w14:textId="63936DA5" w:rsidR="00B04C2E" w:rsidRPr="00597788" w:rsidRDefault="00B04C2E" w:rsidP="00B04C2E">
      <w:pPr>
        <w:pStyle w:val="BodyTextMain"/>
        <w:rPr>
          <w:rFonts w:eastAsiaTheme="minorEastAsia"/>
          <w:lang w:val="en-GB" w:bidi="en-US"/>
        </w:rPr>
      </w:pPr>
      <w:r w:rsidRPr="00597788">
        <w:rPr>
          <w:rFonts w:eastAsiaTheme="minorEastAsia"/>
          <w:lang w:val="en-GB" w:bidi="en-US"/>
        </w:rPr>
        <w:t xml:space="preserve">Since a policy regarding </w:t>
      </w:r>
      <w:r w:rsidR="00D129C2" w:rsidRPr="00597788">
        <w:rPr>
          <w:rFonts w:eastAsiaTheme="minorEastAsia"/>
          <w:lang w:val="en-GB" w:bidi="en-US"/>
        </w:rPr>
        <w:t>s</w:t>
      </w:r>
      <w:r w:rsidRPr="00597788">
        <w:rPr>
          <w:rFonts w:eastAsiaTheme="minorEastAsia"/>
          <w:lang w:val="en-GB" w:bidi="en-US"/>
        </w:rPr>
        <w:t xml:space="preserve">mart </w:t>
      </w:r>
      <w:r w:rsidR="00D129C2" w:rsidRPr="00597788">
        <w:rPr>
          <w:rFonts w:eastAsiaTheme="minorEastAsia"/>
          <w:lang w:val="en-GB" w:bidi="en-US"/>
        </w:rPr>
        <w:t>g</w:t>
      </w:r>
      <w:r w:rsidRPr="00597788">
        <w:rPr>
          <w:rFonts w:eastAsiaTheme="minorEastAsia"/>
          <w:lang w:val="en-GB" w:bidi="en-US"/>
        </w:rPr>
        <w:t>rid or AMI was not yet in place, the AUC had examined tariff applications, which presented the benefits of AMI to customers. The AUC’s focus was on the costs and benefits to customers</w:t>
      </w:r>
      <w:r w:rsidR="00D129C2" w:rsidRPr="00597788">
        <w:rPr>
          <w:rFonts w:eastAsiaTheme="minorEastAsia"/>
          <w:lang w:val="en-GB" w:bidi="en-US"/>
        </w:rPr>
        <w:t>,</w:t>
      </w:r>
      <w:r w:rsidRPr="00597788">
        <w:rPr>
          <w:rFonts w:eastAsiaTheme="minorEastAsia"/>
          <w:lang w:val="en-GB" w:bidi="en-US"/>
        </w:rPr>
        <w:t xml:space="preserve"> </w:t>
      </w:r>
      <w:r w:rsidR="00D129C2" w:rsidRPr="00597788">
        <w:rPr>
          <w:rFonts w:eastAsiaTheme="minorEastAsia"/>
          <w:lang w:val="en-GB" w:bidi="en-US"/>
        </w:rPr>
        <w:t>as well as</w:t>
      </w:r>
      <w:r w:rsidRPr="00597788">
        <w:rPr>
          <w:rFonts w:eastAsiaTheme="minorEastAsia"/>
          <w:lang w:val="en-GB" w:bidi="en-US"/>
        </w:rPr>
        <w:t xml:space="preserve"> on how or when costs for a smart grid transition would be recovered.</w:t>
      </w:r>
    </w:p>
    <w:p w14:paraId="77B3BFB0" w14:textId="77777777" w:rsidR="00B04C2E" w:rsidRPr="00597788" w:rsidRDefault="00B04C2E" w:rsidP="00B04C2E">
      <w:pPr>
        <w:pStyle w:val="BodyTextMain"/>
        <w:rPr>
          <w:rFonts w:eastAsiaTheme="minorEastAsia"/>
          <w:lang w:val="en-GB" w:bidi="en-US"/>
        </w:rPr>
      </w:pPr>
    </w:p>
    <w:p w14:paraId="45CDB102" w14:textId="77777777" w:rsidR="007E4763" w:rsidRPr="00597788" w:rsidRDefault="007E4763" w:rsidP="00B04C2E">
      <w:pPr>
        <w:pStyle w:val="BodyTextMain"/>
        <w:rPr>
          <w:rFonts w:eastAsiaTheme="minorEastAsia"/>
          <w:lang w:val="en-GB" w:bidi="en-US"/>
        </w:rPr>
      </w:pPr>
    </w:p>
    <w:p w14:paraId="7F0C6D1E" w14:textId="77777777" w:rsidR="00B04C2E" w:rsidRPr="00597788" w:rsidRDefault="00B04C2E" w:rsidP="00360100">
      <w:pPr>
        <w:pStyle w:val="Casehead3"/>
        <w:outlineLvl w:val="0"/>
        <w:rPr>
          <w:rFonts w:eastAsiaTheme="minorEastAsia"/>
          <w:lang w:val="en-GB" w:bidi="en-US"/>
        </w:rPr>
      </w:pPr>
      <w:r w:rsidRPr="00597788">
        <w:rPr>
          <w:rFonts w:eastAsiaTheme="minorEastAsia"/>
          <w:lang w:val="en-GB" w:bidi="en-US"/>
        </w:rPr>
        <w:t>Customers</w:t>
      </w:r>
    </w:p>
    <w:p w14:paraId="1AC31E79" w14:textId="77777777" w:rsidR="007E4763" w:rsidRPr="00597788" w:rsidRDefault="007E4763" w:rsidP="00B04C2E">
      <w:pPr>
        <w:pStyle w:val="BodyTextMain"/>
        <w:rPr>
          <w:rFonts w:eastAsiaTheme="minorEastAsia"/>
          <w:lang w:val="en-GB" w:bidi="en-US"/>
        </w:rPr>
      </w:pPr>
    </w:p>
    <w:p w14:paraId="4A74C420" w14:textId="246DE2C6" w:rsidR="00B04C2E" w:rsidRPr="00597788" w:rsidRDefault="00B04C2E" w:rsidP="00B04C2E">
      <w:pPr>
        <w:pStyle w:val="BodyTextMain"/>
        <w:rPr>
          <w:rFonts w:eastAsiaTheme="minorEastAsia"/>
          <w:lang w:val="en-GB" w:bidi="en-US"/>
        </w:rPr>
      </w:pPr>
      <w:r w:rsidRPr="00597788">
        <w:rPr>
          <w:rFonts w:eastAsiaTheme="minorEastAsia"/>
          <w:lang w:val="en-GB" w:bidi="en-US"/>
        </w:rPr>
        <w:t xml:space="preserve">Ultimately, it was the customers who would pay for, and benefit from, smart grid technologies like AMR or AMI. Either of the two technologies meant greater energy reliability, more cost-effective energy delivery, and </w:t>
      </w:r>
      <w:r w:rsidR="009179DB" w:rsidRPr="00597788">
        <w:rPr>
          <w:rFonts w:eastAsiaTheme="minorEastAsia"/>
          <w:lang w:val="en-GB" w:bidi="en-US"/>
        </w:rPr>
        <w:t xml:space="preserve">more timely </w:t>
      </w:r>
      <w:r w:rsidRPr="00597788">
        <w:rPr>
          <w:rFonts w:eastAsiaTheme="minorEastAsia"/>
          <w:lang w:val="en-GB" w:bidi="en-US"/>
        </w:rPr>
        <w:t>information on energy usage, which would encourage and enable customers to reduce energy consumption. The cost of capital investments in infrastructure would be included in the delivery charge on customers’ bills. To date, there had been little direct communication with consumers regarding smart grid</w:t>
      </w:r>
      <w:r w:rsidR="00D129C2" w:rsidRPr="00597788">
        <w:rPr>
          <w:rFonts w:eastAsiaTheme="minorEastAsia"/>
          <w:lang w:val="en-GB" w:bidi="en-US"/>
        </w:rPr>
        <w:t xml:space="preserve"> technology</w:t>
      </w:r>
      <w:r w:rsidRPr="00597788">
        <w:rPr>
          <w:rFonts w:eastAsiaTheme="minorEastAsia"/>
          <w:lang w:val="en-GB" w:bidi="en-US"/>
        </w:rPr>
        <w:t xml:space="preserve">. </w:t>
      </w:r>
    </w:p>
    <w:p w14:paraId="7C94D3FE" w14:textId="77777777" w:rsidR="00B04C2E" w:rsidRPr="00597788" w:rsidRDefault="00B04C2E" w:rsidP="00B04C2E">
      <w:pPr>
        <w:pStyle w:val="BodyTextMain"/>
        <w:rPr>
          <w:rFonts w:eastAsiaTheme="minorEastAsia"/>
          <w:lang w:val="en-GB" w:bidi="en-US"/>
        </w:rPr>
      </w:pPr>
    </w:p>
    <w:p w14:paraId="7495A557" w14:textId="29E22CB5" w:rsidR="00B04C2E" w:rsidRPr="00597788" w:rsidRDefault="00B04C2E" w:rsidP="00B04C2E">
      <w:pPr>
        <w:pStyle w:val="BodyTextMain"/>
        <w:rPr>
          <w:rFonts w:eastAsiaTheme="minorEastAsia"/>
          <w:lang w:val="en-GB" w:bidi="en-US"/>
        </w:rPr>
      </w:pPr>
      <w:r w:rsidRPr="00597788">
        <w:rPr>
          <w:rFonts w:eastAsiaTheme="minorEastAsia"/>
          <w:lang w:val="en-GB" w:bidi="en-US"/>
        </w:rPr>
        <w:t>Some customers had varying concerns surrounding the use of smart meters. They were particularly concerned with the health and safety impacts of the new meters. They were also concerned with the security and privacy of personal information, as well as cost considerations. A significant public challenge to smart grid technology deployment was the concern that radio frequency radiation emitted by wireless smart meters would result in negative health effects.</w:t>
      </w:r>
      <w:r w:rsidRPr="00597788">
        <w:rPr>
          <w:rFonts w:eastAsiaTheme="minorEastAsia"/>
          <w:vertAlign w:val="superscript"/>
          <w:lang w:val="en-GB" w:bidi="en-US"/>
        </w:rPr>
        <w:endnoteReference w:id="26"/>
      </w:r>
      <w:r w:rsidRPr="00597788">
        <w:rPr>
          <w:rFonts w:eastAsiaTheme="minorEastAsia"/>
          <w:lang w:val="en-GB" w:bidi="en-US"/>
        </w:rPr>
        <w:t xml:space="preserve"> Another safety concern regarded the numerous AMI smart meter fires that had been reported in Canada and the United States.</w:t>
      </w:r>
      <w:r w:rsidRPr="00597788">
        <w:rPr>
          <w:rFonts w:eastAsiaTheme="minorEastAsia"/>
          <w:vertAlign w:val="superscript"/>
          <w:lang w:val="en-GB" w:bidi="en-US"/>
        </w:rPr>
        <w:endnoteReference w:id="27"/>
      </w:r>
      <w:r w:rsidRPr="00597788">
        <w:rPr>
          <w:rFonts w:eastAsiaTheme="minorEastAsia"/>
          <w:lang w:val="en-GB" w:bidi="en-US"/>
        </w:rPr>
        <w:t xml:space="preserve"> </w:t>
      </w:r>
    </w:p>
    <w:p w14:paraId="2BF4F45E" w14:textId="77777777" w:rsidR="00B04C2E" w:rsidRPr="00597788" w:rsidRDefault="00B04C2E" w:rsidP="00B04C2E">
      <w:pPr>
        <w:pStyle w:val="BodyTextMain"/>
        <w:rPr>
          <w:rFonts w:eastAsiaTheme="minorEastAsia"/>
          <w:i/>
          <w:lang w:val="en-GB" w:bidi="en-US"/>
        </w:rPr>
      </w:pPr>
    </w:p>
    <w:p w14:paraId="4C65EBE3" w14:textId="77777777" w:rsidR="00686829" w:rsidRPr="00597788" w:rsidRDefault="00686829" w:rsidP="000F5197">
      <w:pPr>
        <w:pStyle w:val="Casehead3"/>
        <w:rPr>
          <w:rFonts w:eastAsiaTheme="minorEastAsia"/>
          <w:lang w:val="en-GB"/>
        </w:rPr>
      </w:pPr>
    </w:p>
    <w:p w14:paraId="562499AC" w14:textId="77777777" w:rsidR="00B04C2E" w:rsidRPr="00597788" w:rsidRDefault="00B04C2E" w:rsidP="00360100">
      <w:pPr>
        <w:pStyle w:val="Casehead3"/>
        <w:outlineLvl w:val="0"/>
        <w:rPr>
          <w:rFonts w:eastAsiaTheme="minorEastAsia"/>
          <w:lang w:val="en-GB"/>
        </w:rPr>
      </w:pPr>
      <w:r w:rsidRPr="00597788">
        <w:rPr>
          <w:rFonts w:eastAsiaTheme="minorEastAsia"/>
          <w:lang w:val="en-GB"/>
        </w:rPr>
        <w:t xml:space="preserve">EPCOR Employees and IBEW Local 1007 </w:t>
      </w:r>
    </w:p>
    <w:p w14:paraId="55285218" w14:textId="77777777" w:rsidR="007E4763" w:rsidRPr="00597788" w:rsidRDefault="007E4763" w:rsidP="00B04C2E">
      <w:pPr>
        <w:pStyle w:val="BodyTextMain"/>
        <w:rPr>
          <w:rFonts w:eastAsiaTheme="minorEastAsia"/>
          <w:lang w:val="en-GB" w:bidi="en-US"/>
        </w:rPr>
      </w:pPr>
    </w:p>
    <w:p w14:paraId="06E2512B" w14:textId="70F46678" w:rsidR="00B04C2E" w:rsidRPr="00597788" w:rsidRDefault="00B04C2E" w:rsidP="00B04C2E">
      <w:pPr>
        <w:pStyle w:val="BodyTextMain"/>
        <w:rPr>
          <w:rFonts w:eastAsiaTheme="minorEastAsia"/>
          <w:lang w:val="en-GB" w:bidi="en-US"/>
        </w:rPr>
      </w:pPr>
      <w:r w:rsidRPr="00597788">
        <w:rPr>
          <w:rFonts w:eastAsiaTheme="minorEastAsia"/>
          <w:lang w:val="en-GB" w:bidi="en-US"/>
        </w:rPr>
        <w:t xml:space="preserve">Employees of EPCOR who would be affected by changes to meter reading included </w:t>
      </w:r>
      <w:r w:rsidR="00FF724C" w:rsidRPr="00597788">
        <w:rPr>
          <w:rFonts w:eastAsiaTheme="minorEastAsia"/>
          <w:lang w:val="en-GB" w:bidi="en-US"/>
        </w:rPr>
        <w:t>EDTI meter readers and installers—</w:t>
      </w:r>
      <w:r w:rsidRPr="00597788">
        <w:rPr>
          <w:rFonts w:eastAsiaTheme="minorEastAsia"/>
          <w:lang w:val="en-GB" w:bidi="en-US"/>
        </w:rPr>
        <w:t xml:space="preserve">members of </w:t>
      </w:r>
      <w:r w:rsidR="00FF724C" w:rsidRPr="00597788">
        <w:rPr>
          <w:rFonts w:eastAsiaTheme="minorEastAsia"/>
          <w:lang w:val="en-GB" w:bidi="en-US"/>
        </w:rPr>
        <w:t xml:space="preserve">the International Brotherhood of Electrical Workers (IBEW) </w:t>
      </w:r>
      <w:r w:rsidRPr="00597788">
        <w:rPr>
          <w:rFonts w:eastAsiaTheme="minorEastAsia"/>
          <w:lang w:val="en-GB" w:bidi="en-US"/>
        </w:rPr>
        <w:t>Local 1007. The increasing safety concerns for EDTI meter readers</w:t>
      </w:r>
      <w:r w:rsidR="00FF724C" w:rsidRPr="00597788">
        <w:rPr>
          <w:rFonts w:eastAsiaTheme="minorEastAsia"/>
          <w:lang w:val="en-GB" w:bidi="en-US"/>
        </w:rPr>
        <w:t>,</w:t>
      </w:r>
      <w:r w:rsidRPr="00597788">
        <w:rPr>
          <w:rFonts w:eastAsiaTheme="minorEastAsia"/>
          <w:lang w:val="en-GB" w:bidi="en-US"/>
        </w:rPr>
        <w:t xml:space="preserve"> who were required to enter customer premises</w:t>
      </w:r>
      <w:r w:rsidR="00FF724C" w:rsidRPr="00597788">
        <w:rPr>
          <w:rFonts w:eastAsiaTheme="minorEastAsia"/>
          <w:lang w:val="en-GB" w:bidi="en-US"/>
        </w:rPr>
        <w:t>,</w:t>
      </w:r>
      <w:r w:rsidRPr="00597788">
        <w:rPr>
          <w:rFonts w:eastAsiaTheme="minorEastAsia"/>
          <w:lang w:val="en-GB" w:bidi="en-US"/>
        </w:rPr>
        <w:t xml:space="preserve"> would continue until all meters could be read remotely. Safety concerns also existed for EDTI meter installers</w:t>
      </w:r>
      <w:r w:rsidR="00FF724C" w:rsidRPr="00597788">
        <w:rPr>
          <w:rFonts w:eastAsiaTheme="minorEastAsia"/>
          <w:lang w:val="en-GB" w:bidi="en-US"/>
        </w:rPr>
        <w:t>,</w:t>
      </w:r>
      <w:r w:rsidRPr="00597788">
        <w:rPr>
          <w:rFonts w:eastAsiaTheme="minorEastAsia"/>
          <w:lang w:val="en-GB" w:bidi="en-US"/>
        </w:rPr>
        <w:t xml:space="preserve"> who were required to enter customer premises to disconnect customers’ electrical services </w:t>
      </w:r>
      <w:r w:rsidR="00FF724C" w:rsidRPr="00597788">
        <w:rPr>
          <w:rFonts w:eastAsiaTheme="minorEastAsia"/>
          <w:lang w:val="en-GB" w:bidi="en-US"/>
        </w:rPr>
        <w:t>because of</w:t>
      </w:r>
      <w:r w:rsidRPr="00597788">
        <w:rPr>
          <w:rFonts w:eastAsiaTheme="minorEastAsia"/>
          <w:lang w:val="en-GB" w:bidi="en-US"/>
        </w:rPr>
        <w:t xml:space="preserve"> non-payment. However, implementing smart meters meant that these types of </w:t>
      </w:r>
      <w:r w:rsidR="00FF724C" w:rsidRPr="00597788">
        <w:rPr>
          <w:rFonts w:eastAsiaTheme="minorEastAsia"/>
          <w:lang w:val="en-GB" w:bidi="en-US"/>
        </w:rPr>
        <w:t>employees</w:t>
      </w:r>
      <w:r w:rsidRPr="00597788">
        <w:rPr>
          <w:rFonts w:eastAsiaTheme="minorEastAsia"/>
          <w:lang w:val="en-GB" w:bidi="en-US"/>
        </w:rPr>
        <w:t xml:space="preserve"> would no longer be required. This change was thus a major concern for EPCOR employees in IBEW</w:t>
      </w:r>
      <w:r w:rsidR="00FF724C" w:rsidRPr="00597788">
        <w:rPr>
          <w:rFonts w:eastAsiaTheme="minorEastAsia"/>
          <w:lang w:val="en-GB" w:bidi="en-US"/>
        </w:rPr>
        <w:t xml:space="preserve"> Local </w:t>
      </w:r>
      <w:r w:rsidRPr="00597788">
        <w:rPr>
          <w:rFonts w:eastAsiaTheme="minorEastAsia"/>
          <w:lang w:val="en-GB" w:bidi="en-US"/>
        </w:rPr>
        <w:t>1007</w:t>
      </w:r>
      <w:r w:rsidR="00FF724C" w:rsidRPr="00597788">
        <w:rPr>
          <w:rFonts w:eastAsiaTheme="minorEastAsia"/>
          <w:lang w:val="en-GB" w:bidi="en-US"/>
        </w:rPr>
        <w:t>,</w:t>
      </w:r>
      <w:r w:rsidRPr="00597788">
        <w:rPr>
          <w:rFonts w:eastAsiaTheme="minorEastAsia"/>
          <w:lang w:val="en-GB" w:bidi="en-US"/>
        </w:rPr>
        <w:t xml:space="preserve"> whose positions would become obsolete, likely resulting in major layoffs.</w:t>
      </w:r>
    </w:p>
    <w:p w14:paraId="60BF4A27" w14:textId="7DF47397" w:rsidR="00B04C2E" w:rsidRPr="00597788" w:rsidRDefault="00B04C2E" w:rsidP="00360100">
      <w:pPr>
        <w:pStyle w:val="Casehead3"/>
        <w:keepNext/>
        <w:outlineLvl w:val="0"/>
        <w:rPr>
          <w:rFonts w:eastAsiaTheme="minorEastAsia"/>
          <w:lang w:val="en-GB" w:bidi="en-US"/>
        </w:rPr>
      </w:pPr>
      <w:r w:rsidRPr="00597788">
        <w:rPr>
          <w:rFonts w:eastAsiaTheme="minorEastAsia"/>
          <w:lang w:val="en-GB" w:bidi="en-US"/>
        </w:rPr>
        <w:lastRenderedPageBreak/>
        <w:t>Shareholder</w:t>
      </w:r>
      <w:r w:rsidR="00FF724C" w:rsidRPr="00597788">
        <w:rPr>
          <w:rFonts w:eastAsiaTheme="minorEastAsia"/>
          <w:lang w:val="en-GB" w:bidi="en-US"/>
        </w:rPr>
        <w:t>—</w:t>
      </w:r>
      <w:r w:rsidRPr="00597788">
        <w:rPr>
          <w:rFonts w:eastAsiaTheme="minorEastAsia"/>
          <w:lang w:val="en-GB" w:bidi="en-US"/>
        </w:rPr>
        <w:t xml:space="preserve">City of Edmonton </w:t>
      </w:r>
    </w:p>
    <w:p w14:paraId="258CA2EB" w14:textId="77777777" w:rsidR="007E4763" w:rsidRPr="00597788" w:rsidRDefault="007E4763" w:rsidP="00C57568">
      <w:pPr>
        <w:pStyle w:val="BodyTextMain"/>
        <w:keepNext/>
        <w:rPr>
          <w:rFonts w:eastAsiaTheme="minorEastAsia"/>
          <w:lang w:val="en-GB" w:bidi="en-US"/>
        </w:rPr>
      </w:pPr>
    </w:p>
    <w:p w14:paraId="1F52E8AA" w14:textId="26A17D27" w:rsidR="00B04C2E" w:rsidRPr="00597788" w:rsidRDefault="00B04C2E" w:rsidP="003B7499">
      <w:pPr>
        <w:pStyle w:val="BodyTextMain"/>
        <w:rPr>
          <w:rFonts w:eastAsiaTheme="minorEastAsia"/>
          <w:lang w:val="en-GB"/>
        </w:rPr>
      </w:pPr>
      <w:r w:rsidRPr="00597788">
        <w:rPr>
          <w:rFonts w:eastAsiaTheme="minorEastAsia"/>
          <w:lang w:val="en-GB"/>
        </w:rPr>
        <w:t xml:space="preserve">As EPCOR’s sole shareholder, </w:t>
      </w:r>
      <w:r w:rsidR="00FF724C" w:rsidRPr="00597788">
        <w:rPr>
          <w:rFonts w:eastAsiaTheme="minorEastAsia"/>
          <w:lang w:val="en-GB"/>
        </w:rPr>
        <w:t>t</w:t>
      </w:r>
      <w:r w:rsidRPr="00597788">
        <w:rPr>
          <w:rFonts w:eastAsiaTheme="minorEastAsia"/>
          <w:lang w:val="en-GB"/>
        </w:rPr>
        <w:t xml:space="preserve">he City of Edmonton was primarily concerned with receiving a return on its investment. And the </w:t>
      </w:r>
      <w:r w:rsidR="00587975" w:rsidRPr="00597788">
        <w:rPr>
          <w:rFonts w:eastAsiaTheme="minorEastAsia"/>
          <w:lang w:val="en-GB"/>
        </w:rPr>
        <w:t>c</w:t>
      </w:r>
      <w:r w:rsidRPr="00597788">
        <w:rPr>
          <w:rFonts w:eastAsiaTheme="minorEastAsia"/>
          <w:lang w:val="en-GB"/>
        </w:rPr>
        <w:t xml:space="preserve">ity wanted, of course, </w:t>
      </w:r>
      <w:r w:rsidR="00FF724C" w:rsidRPr="00597788">
        <w:rPr>
          <w:rFonts w:eastAsiaTheme="minorEastAsia"/>
          <w:lang w:val="en-GB"/>
        </w:rPr>
        <w:t xml:space="preserve">to </w:t>
      </w:r>
      <w:r w:rsidRPr="00597788">
        <w:rPr>
          <w:rFonts w:eastAsiaTheme="minorEastAsia"/>
          <w:lang w:val="en-GB"/>
        </w:rPr>
        <w:t xml:space="preserve">ensure that any new project would benefit the residents of Edmonton. </w:t>
      </w:r>
    </w:p>
    <w:p w14:paraId="4AB48CB0" w14:textId="77777777" w:rsidR="007E4763" w:rsidRPr="00597788" w:rsidRDefault="007E4763" w:rsidP="00CC4AB9">
      <w:pPr>
        <w:pStyle w:val="BodyTextMain"/>
        <w:jc w:val="left"/>
        <w:rPr>
          <w:rFonts w:eastAsiaTheme="minorEastAsia"/>
          <w:lang w:val="en-GB" w:bidi="en-US"/>
        </w:rPr>
      </w:pPr>
    </w:p>
    <w:p w14:paraId="0B8607FE" w14:textId="77777777" w:rsidR="000F5197" w:rsidRPr="00597788" w:rsidRDefault="000F5197" w:rsidP="00CC4AB9">
      <w:pPr>
        <w:pStyle w:val="BodyTextMain"/>
        <w:jc w:val="left"/>
        <w:rPr>
          <w:rFonts w:eastAsiaTheme="minorEastAsia"/>
          <w:lang w:val="en-GB" w:bidi="en-US"/>
        </w:rPr>
      </w:pPr>
    </w:p>
    <w:p w14:paraId="2FED5CC3" w14:textId="227627DD" w:rsidR="00B04C2E" w:rsidRPr="00597788" w:rsidRDefault="00B04C2E" w:rsidP="00360100">
      <w:pPr>
        <w:pStyle w:val="Casehead3"/>
        <w:keepNext/>
        <w:outlineLvl w:val="0"/>
        <w:rPr>
          <w:rFonts w:eastAsiaTheme="minorEastAsia"/>
          <w:lang w:val="en-GB" w:bidi="en-US"/>
        </w:rPr>
      </w:pPr>
      <w:r w:rsidRPr="00597788">
        <w:rPr>
          <w:rFonts w:eastAsiaTheme="minorEastAsia"/>
          <w:lang w:val="en-GB" w:bidi="en-US"/>
        </w:rPr>
        <w:t>Utilities Consumer Advocate</w:t>
      </w:r>
    </w:p>
    <w:p w14:paraId="400C753D" w14:textId="77777777" w:rsidR="007E4763" w:rsidRPr="00597788" w:rsidRDefault="007E4763" w:rsidP="00C57568">
      <w:pPr>
        <w:pStyle w:val="BodyTextMain"/>
        <w:keepNext/>
        <w:rPr>
          <w:rFonts w:eastAsiaTheme="minorEastAsia"/>
          <w:lang w:val="en-GB" w:bidi="en-US"/>
        </w:rPr>
      </w:pPr>
    </w:p>
    <w:p w14:paraId="38FA7B2E" w14:textId="7159689D" w:rsidR="00B04C2E" w:rsidRPr="00597788" w:rsidRDefault="00B04C2E" w:rsidP="00C57568">
      <w:pPr>
        <w:pStyle w:val="BodyTextMain"/>
        <w:keepNext/>
        <w:rPr>
          <w:rFonts w:eastAsiaTheme="minorEastAsia"/>
          <w:lang w:val="en-GB" w:bidi="en-US"/>
        </w:rPr>
      </w:pPr>
      <w:r w:rsidRPr="00597788">
        <w:rPr>
          <w:rFonts w:eastAsiaTheme="minorEastAsia"/>
          <w:lang w:val="en-GB" w:bidi="en-US"/>
        </w:rPr>
        <w:t>The UCA represented the interests of Alberta’s electricity and natural gas consumers. The UCA ensured that consumers were provided with the information, representation</w:t>
      </w:r>
      <w:r w:rsidR="00FF724C" w:rsidRPr="00597788">
        <w:rPr>
          <w:rFonts w:eastAsiaTheme="minorEastAsia"/>
          <w:lang w:val="en-GB" w:bidi="en-US"/>
        </w:rPr>
        <w:t>,</w:t>
      </w:r>
      <w:r w:rsidRPr="00597788">
        <w:rPr>
          <w:rFonts w:eastAsiaTheme="minorEastAsia"/>
          <w:lang w:val="en-GB" w:bidi="en-US"/>
        </w:rPr>
        <w:t xml:space="preserve"> and protection </w:t>
      </w:r>
      <w:r w:rsidR="00FF724C" w:rsidRPr="00597788">
        <w:rPr>
          <w:rFonts w:eastAsiaTheme="minorEastAsia"/>
          <w:lang w:val="en-GB" w:bidi="en-US"/>
        </w:rPr>
        <w:t xml:space="preserve">they </w:t>
      </w:r>
      <w:r w:rsidRPr="00597788">
        <w:rPr>
          <w:rFonts w:eastAsiaTheme="minorEastAsia"/>
          <w:lang w:val="en-GB" w:bidi="en-US"/>
        </w:rPr>
        <w:t>needed to make knowledgeable decisions in Alberta</w:t>
      </w:r>
      <w:r w:rsidR="00FF724C" w:rsidRPr="00597788">
        <w:rPr>
          <w:rFonts w:eastAsiaTheme="minorEastAsia"/>
          <w:lang w:val="en-GB" w:bidi="en-US"/>
        </w:rPr>
        <w:t>’</w:t>
      </w:r>
      <w:r w:rsidRPr="00597788">
        <w:rPr>
          <w:rFonts w:eastAsiaTheme="minorEastAsia"/>
          <w:lang w:val="en-GB" w:bidi="en-US"/>
        </w:rPr>
        <w:t>s deregulated electricity markets. For example, the UCA mediation team helped to resolve consumer complaints with utility companies that consumers were unsuccessful in resolving on their own</w:t>
      </w:r>
      <w:r w:rsidR="00CC4AB9" w:rsidRPr="00597788">
        <w:rPr>
          <w:rFonts w:eastAsiaTheme="minorEastAsia"/>
          <w:lang w:val="en-GB" w:bidi="en-US"/>
        </w:rPr>
        <w:t>.</w:t>
      </w:r>
      <w:r w:rsidRPr="00597788">
        <w:rPr>
          <w:rFonts w:eastAsiaTheme="minorEastAsia"/>
          <w:vertAlign w:val="superscript"/>
          <w:lang w:val="en-GB" w:bidi="en-US"/>
        </w:rPr>
        <w:endnoteReference w:id="28"/>
      </w:r>
    </w:p>
    <w:p w14:paraId="7C545B44" w14:textId="77777777" w:rsidR="00B04C2E" w:rsidRPr="00597788" w:rsidRDefault="00B04C2E" w:rsidP="00B04C2E">
      <w:pPr>
        <w:pStyle w:val="BodyTextMain"/>
        <w:rPr>
          <w:rFonts w:eastAsiaTheme="minorEastAsia"/>
          <w:lang w:val="en-GB" w:bidi="en-US"/>
        </w:rPr>
      </w:pPr>
    </w:p>
    <w:p w14:paraId="4B3E2B73" w14:textId="0E0F3F6E" w:rsidR="00B04C2E" w:rsidRPr="00597788" w:rsidRDefault="00B04C2E" w:rsidP="00B04C2E">
      <w:pPr>
        <w:pStyle w:val="BodyTextMain"/>
        <w:rPr>
          <w:rFonts w:eastAsiaTheme="minorEastAsia"/>
          <w:lang w:val="en-GB" w:bidi="en-US"/>
        </w:rPr>
      </w:pPr>
      <w:r w:rsidRPr="00597788">
        <w:rPr>
          <w:rFonts w:eastAsiaTheme="minorEastAsia"/>
          <w:lang w:val="en-GB" w:bidi="en-US"/>
        </w:rPr>
        <w:t xml:space="preserve">In summary, EDTI needed to understand the effects that smart grid technologies would have on each of these important and varied stakeholders. To gain this understanding, EDTI </w:t>
      </w:r>
      <w:r w:rsidR="00FF724C" w:rsidRPr="00597788">
        <w:rPr>
          <w:rFonts w:eastAsiaTheme="minorEastAsia"/>
          <w:lang w:val="en-GB" w:bidi="en-US"/>
        </w:rPr>
        <w:t>had</w:t>
      </w:r>
      <w:r w:rsidRPr="00597788">
        <w:rPr>
          <w:rFonts w:eastAsiaTheme="minorEastAsia"/>
          <w:lang w:val="en-GB" w:bidi="en-US"/>
        </w:rPr>
        <w:t xml:space="preserve"> to anticipate and consider each stakeholder’s needs and interests. </w:t>
      </w:r>
    </w:p>
    <w:p w14:paraId="2B15BC69" w14:textId="77777777" w:rsidR="007E4763" w:rsidRPr="00597788" w:rsidRDefault="007E4763" w:rsidP="00B04C2E">
      <w:pPr>
        <w:pStyle w:val="BodyTextMain"/>
        <w:rPr>
          <w:rFonts w:eastAsiaTheme="minorEastAsia"/>
          <w:lang w:val="en-GB" w:bidi="en-US"/>
        </w:rPr>
      </w:pPr>
    </w:p>
    <w:p w14:paraId="7BE9D59E" w14:textId="77777777" w:rsidR="007E4763" w:rsidRPr="00597788" w:rsidRDefault="007E4763" w:rsidP="00B04C2E">
      <w:pPr>
        <w:pStyle w:val="BodyTextMain"/>
        <w:rPr>
          <w:rFonts w:eastAsiaTheme="minorEastAsia"/>
          <w:lang w:val="en-GB" w:bidi="en-US"/>
        </w:rPr>
      </w:pPr>
    </w:p>
    <w:p w14:paraId="54B5078E" w14:textId="77777777" w:rsidR="00B04C2E" w:rsidRPr="00597788" w:rsidRDefault="00B04C2E" w:rsidP="00360100">
      <w:pPr>
        <w:pStyle w:val="Casehead2"/>
        <w:outlineLvl w:val="0"/>
        <w:rPr>
          <w:rFonts w:eastAsiaTheme="majorEastAsia"/>
          <w:lang w:val="en-GB" w:bidi="en-US"/>
        </w:rPr>
      </w:pPr>
      <w:r w:rsidRPr="00597788">
        <w:rPr>
          <w:rFonts w:eastAsiaTheme="majorEastAsia"/>
          <w:lang w:val="en-GB" w:bidi="en-US"/>
        </w:rPr>
        <w:t xml:space="preserve">Previous </w:t>
      </w:r>
      <w:r w:rsidRPr="00597788">
        <w:rPr>
          <w:rFonts w:eastAsiaTheme="majorEastAsia"/>
          <w:lang w:val="en-GB"/>
        </w:rPr>
        <w:t>Regulatory</w:t>
      </w:r>
      <w:r w:rsidRPr="00597788">
        <w:rPr>
          <w:rFonts w:eastAsiaTheme="majorEastAsia"/>
          <w:lang w:val="en-GB" w:bidi="en-US"/>
        </w:rPr>
        <w:t xml:space="preserve"> Decisions </w:t>
      </w:r>
    </w:p>
    <w:p w14:paraId="3FEFC7D9" w14:textId="77777777" w:rsidR="007E4763" w:rsidRPr="00597788" w:rsidRDefault="007E4763" w:rsidP="00B04C2E">
      <w:pPr>
        <w:pStyle w:val="BodyTextMain"/>
        <w:rPr>
          <w:rFonts w:eastAsiaTheme="minorEastAsia"/>
          <w:lang w:val="en-GB" w:bidi="en-US"/>
        </w:rPr>
      </w:pPr>
    </w:p>
    <w:p w14:paraId="6CD2B3EF" w14:textId="1C4B15FD" w:rsidR="00B04C2E" w:rsidRPr="00597788" w:rsidRDefault="00B04C2E" w:rsidP="00B04C2E">
      <w:pPr>
        <w:pStyle w:val="BodyTextMain"/>
        <w:rPr>
          <w:rFonts w:eastAsiaTheme="minorEastAsia"/>
          <w:lang w:val="en-GB" w:bidi="en-US"/>
        </w:rPr>
      </w:pPr>
      <w:r w:rsidRPr="00597788">
        <w:rPr>
          <w:rFonts w:eastAsiaTheme="minorEastAsia"/>
          <w:lang w:val="en-GB" w:bidi="en-US"/>
        </w:rPr>
        <w:t>In December 2009, R</w:t>
      </w:r>
      <w:r w:rsidR="00FF724C" w:rsidRPr="00597788">
        <w:rPr>
          <w:rFonts w:eastAsiaTheme="minorEastAsia"/>
          <w:lang w:val="en-GB" w:bidi="en-US"/>
        </w:rPr>
        <w:t>eimer</w:t>
      </w:r>
      <w:r w:rsidRPr="00597788">
        <w:rPr>
          <w:rFonts w:eastAsiaTheme="minorEastAsia"/>
          <w:lang w:val="en-GB" w:bidi="en-US"/>
        </w:rPr>
        <w:t xml:space="preserve"> worked with several other EPCOR departments on an application to the AUC that included a business case for introducing AMI to EPCOR’s portion of the Alberta energy grid. In the application, EDTI provided evidence of several cost, efficiency, staff safety, and environmental benefits.</w:t>
      </w:r>
      <w:r w:rsidR="003B7499" w:rsidRPr="00597788">
        <w:rPr>
          <w:rFonts w:eastAsiaTheme="minorEastAsia"/>
          <w:lang w:val="en-GB" w:bidi="en-US"/>
        </w:rPr>
        <w:t xml:space="preserve"> </w:t>
      </w:r>
      <w:r w:rsidRPr="00597788">
        <w:rPr>
          <w:rFonts w:eastAsiaTheme="minorEastAsia"/>
          <w:lang w:val="en-GB" w:bidi="en-US"/>
        </w:rPr>
        <w:t xml:space="preserve">Specifically, EDTI focused on AMI’s reduced cost of meter operations (a savings of around $2 million per year), the reduction of safety concerns for meter installers and readers required to enter customer premises, and the financial and service benefits to customers. These benefits, however, had to be weighed </w:t>
      </w:r>
      <w:r w:rsidR="00FF724C" w:rsidRPr="00597788">
        <w:rPr>
          <w:rFonts w:eastAsiaTheme="minorEastAsia"/>
          <w:lang w:val="en-GB" w:bidi="en-US"/>
        </w:rPr>
        <w:t>against</w:t>
      </w:r>
      <w:r w:rsidRPr="00597788">
        <w:rPr>
          <w:rFonts w:eastAsiaTheme="minorEastAsia"/>
          <w:lang w:val="en-GB" w:bidi="en-US"/>
        </w:rPr>
        <w:t xml:space="preserve"> the up</w:t>
      </w:r>
      <w:r w:rsidR="00FF724C" w:rsidRPr="00597788">
        <w:rPr>
          <w:rFonts w:eastAsiaTheme="minorEastAsia"/>
          <w:lang w:val="en-GB" w:bidi="en-US"/>
        </w:rPr>
        <w:t>-</w:t>
      </w:r>
      <w:r w:rsidRPr="00597788">
        <w:rPr>
          <w:rFonts w:eastAsiaTheme="minorEastAsia"/>
          <w:lang w:val="en-GB" w:bidi="en-US"/>
        </w:rPr>
        <w:t>front capital expenditure of implementing AMI</w:t>
      </w:r>
      <w:r w:rsidR="00587975" w:rsidRPr="00597788">
        <w:rPr>
          <w:rFonts w:eastAsiaTheme="minorEastAsia"/>
          <w:lang w:val="en-GB" w:bidi="en-US"/>
        </w:rPr>
        <w:t>—</w:t>
      </w:r>
      <w:r w:rsidRPr="00597788">
        <w:rPr>
          <w:rFonts w:eastAsiaTheme="minorEastAsia"/>
          <w:lang w:val="en-GB" w:bidi="en-US"/>
        </w:rPr>
        <w:t xml:space="preserve">a cost of over $70 million. </w:t>
      </w:r>
    </w:p>
    <w:p w14:paraId="6A4DCB70" w14:textId="77777777" w:rsidR="00B04C2E" w:rsidRPr="00597788" w:rsidRDefault="00B04C2E" w:rsidP="00B04C2E">
      <w:pPr>
        <w:pStyle w:val="BodyTextMain"/>
        <w:rPr>
          <w:rFonts w:eastAsiaTheme="minorEastAsia"/>
          <w:lang w:val="en-GB" w:bidi="en-US"/>
        </w:rPr>
      </w:pPr>
    </w:p>
    <w:p w14:paraId="45826C04" w14:textId="53CD84C5" w:rsidR="00B04C2E" w:rsidRPr="00597788" w:rsidRDefault="00B04C2E" w:rsidP="00B04C2E">
      <w:pPr>
        <w:pStyle w:val="BodyTextMain"/>
        <w:rPr>
          <w:rFonts w:eastAsiaTheme="minorEastAsia"/>
          <w:lang w:val="en-GB" w:bidi="en-US"/>
        </w:rPr>
      </w:pPr>
      <w:r w:rsidRPr="00597788">
        <w:rPr>
          <w:rFonts w:eastAsiaTheme="minorEastAsia"/>
          <w:lang w:val="en-GB" w:bidi="en-US"/>
        </w:rPr>
        <w:t>After submission of the application and business case, the D</w:t>
      </w:r>
      <w:r w:rsidR="00FF724C" w:rsidRPr="00597788">
        <w:rPr>
          <w:rFonts w:eastAsiaTheme="minorEastAsia"/>
          <w:lang w:val="en-GB" w:bidi="en-US"/>
        </w:rPr>
        <w:t>O</w:t>
      </w:r>
      <w:r w:rsidRPr="00597788">
        <w:rPr>
          <w:rFonts w:eastAsiaTheme="minorEastAsia"/>
          <w:lang w:val="en-GB" w:bidi="en-US"/>
        </w:rPr>
        <w:t xml:space="preserve">E directed the AUC to hold an inquiry on how </w:t>
      </w:r>
      <w:r w:rsidR="00FF724C" w:rsidRPr="00597788">
        <w:rPr>
          <w:rFonts w:eastAsiaTheme="minorEastAsia"/>
          <w:lang w:val="en-GB" w:bidi="en-US"/>
        </w:rPr>
        <w:t>s</w:t>
      </w:r>
      <w:r w:rsidRPr="00597788">
        <w:rPr>
          <w:rFonts w:eastAsiaTheme="minorEastAsia"/>
          <w:lang w:val="en-GB" w:bidi="en-US"/>
        </w:rPr>
        <w:t xml:space="preserve">mart </w:t>
      </w:r>
      <w:r w:rsidR="00FF724C" w:rsidRPr="00597788">
        <w:rPr>
          <w:rFonts w:eastAsiaTheme="minorEastAsia"/>
          <w:lang w:val="en-GB" w:bidi="en-US"/>
        </w:rPr>
        <w:t>g</w:t>
      </w:r>
      <w:r w:rsidRPr="00597788">
        <w:rPr>
          <w:rFonts w:eastAsiaTheme="minorEastAsia"/>
          <w:lang w:val="en-GB" w:bidi="en-US"/>
        </w:rPr>
        <w:t xml:space="preserve">rid technology could be used in Alberta. On April 20, 2010, the AUC launched its Notice of Inquiry with a report due to the </w:t>
      </w:r>
      <w:r w:rsidR="00587975" w:rsidRPr="00597788">
        <w:rPr>
          <w:rFonts w:eastAsiaTheme="minorEastAsia"/>
          <w:lang w:val="en-GB" w:bidi="en-US"/>
        </w:rPr>
        <w:t xml:space="preserve">Minister </w:t>
      </w:r>
      <w:r w:rsidRPr="00597788">
        <w:rPr>
          <w:rFonts w:eastAsiaTheme="minorEastAsia"/>
          <w:lang w:val="en-GB" w:bidi="en-US"/>
        </w:rPr>
        <w:t>of Energy by December 25, 2010. At the rate hearings for EDTI’s tariff application, R</w:t>
      </w:r>
      <w:r w:rsidR="003C4FCF" w:rsidRPr="00597788">
        <w:rPr>
          <w:rFonts w:eastAsiaTheme="minorEastAsia"/>
          <w:lang w:val="en-GB" w:bidi="en-US"/>
        </w:rPr>
        <w:t>eimer</w:t>
      </w:r>
      <w:r w:rsidRPr="00597788">
        <w:rPr>
          <w:rFonts w:eastAsiaTheme="minorEastAsia"/>
          <w:lang w:val="en-GB" w:bidi="en-US"/>
        </w:rPr>
        <w:t xml:space="preserve"> was questioned for two and a half days on why EDTI should be permitted to move forward with AMI installation. At these hearings, interveners argued that EDTI’s AMI project would not align with the recommendations that had been made in the forthcoming Smart Grid Inquiry report. In addition, </w:t>
      </w:r>
      <w:r w:rsidR="003C4FCF" w:rsidRPr="00597788">
        <w:rPr>
          <w:rFonts w:eastAsiaTheme="minorEastAsia"/>
          <w:lang w:val="en-GB" w:bidi="en-US"/>
        </w:rPr>
        <w:t xml:space="preserve">Alberta’s </w:t>
      </w:r>
      <w:r w:rsidRPr="00597788">
        <w:rPr>
          <w:rFonts w:eastAsiaTheme="minorEastAsia"/>
          <w:lang w:val="en-GB" w:bidi="en-US"/>
        </w:rPr>
        <w:t xml:space="preserve">Rural Electrification Associations lobbied government representatives against the </w:t>
      </w:r>
      <w:r w:rsidR="003C4FCF" w:rsidRPr="00597788">
        <w:rPr>
          <w:rFonts w:eastAsiaTheme="minorEastAsia"/>
          <w:lang w:val="en-GB" w:bidi="en-US"/>
        </w:rPr>
        <w:t>s</w:t>
      </w:r>
      <w:r w:rsidRPr="00597788">
        <w:rPr>
          <w:rFonts w:eastAsiaTheme="minorEastAsia"/>
          <w:lang w:val="en-GB" w:bidi="en-US"/>
        </w:rPr>
        <w:t xml:space="preserve">mart </w:t>
      </w:r>
      <w:r w:rsidR="003C4FCF" w:rsidRPr="00597788">
        <w:rPr>
          <w:rFonts w:eastAsiaTheme="minorEastAsia"/>
          <w:lang w:val="en-GB" w:bidi="en-US"/>
        </w:rPr>
        <w:t>g</w:t>
      </w:r>
      <w:r w:rsidRPr="00597788">
        <w:rPr>
          <w:rFonts w:eastAsiaTheme="minorEastAsia"/>
          <w:lang w:val="en-GB" w:bidi="en-US"/>
        </w:rPr>
        <w:t>rid initiative due to its high costs.</w:t>
      </w:r>
    </w:p>
    <w:p w14:paraId="3776B79C" w14:textId="77777777" w:rsidR="00B04C2E" w:rsidRPr="00597788" w:rsidRDefault="00B04C2E" w:rsidP="00B04C2E">
      <w:pPr>
        <w:pStyle w:val="BodyTextMain"/>
        <w:rPr>
          <w:rFonts w:eastAsiaTheme="minorEastAsia"/>
          <w:lang w:val="en-GB" w:bidi="en-US"/>
        </w:rPr>
      </w:pPr>
      <w:r w:rsidRPr="00597788">
        <w:rPr>
          <w:rFonts w:eastAsiaTheme="minorEastAsia"/>
          <w:lang w:val="en-GB" w:bidi="en-US"/>
        </w:rPr>
        <w:t xml:space="preserve"> </w:t>
      </w:r>
    </w:p>
    <w:p w14:paraId="606EB390" w14:textId="5EB60117" w:rsidR="00B04C2E" w:rsidRPr="00597788" w:rsidRDefault="00B04C2E" w:rsidP="00B04C2E">
      <w:pPr>
        <w:pStyle w:val="BodyTextMain"/>
        <w:rPr>
          <w:rFonts w:eastAsiaTheme="minorEastAsia"/>
          <w:lang w:val="en-GB" w:bidi="en-US"/>
        </w:rPr>
      </w:pPr>
      <w:r w:rsidRPr="00597788">
        <w:rPr>
          <w:rFonts w:eastAsiaTheme="minorEastAsia"/>
          <w:lang w:val="en-GB" w:bidi="en-US"/>
        </w:rPr>
        <w:t xml:space="preserve">On October 28, 2010, the AUC rendered its decision on EDTI’s AMI project, officially denying the application. </w:t>
      </w:r>
      <w:r w:rsidR="003C4FCF" w:rsidRPr="00597788">
        <w:rPr>
          <w:rFonts w:eastAsiaTheme="minorEastAsia"/>
          <w:lang w:val="en-GB" w:bidi="en-US"/>
        </w:rPr>
        <w:t>However, o</w:t>
      </w:r>
      <w:r w:rsidRPr="00597788">
        <w:rPr>
          <w:rFonts w:eastAsiaTheme="minorEastAsia"/>
          <w:lang w:val="en-GB" w:bidi="en-US"/>
        </w:rPr>
        <w:t>n June 1, 2011, the Smart Grid Inquiry report was made public</w:t>
      </w:r>
      <w:r w:rsidR="003C4FCF" w:rsidRPr="00597788">
        <w:rPr>
          <w:rFonts w:eastAsiaTheme="minorEastAsia"/>
          <w:lang w:val="en-GB" w:bidi="en-US"/>
        </w:rPr>
        <w:t>,</w:t>
      </w:r>
      <w:r w:rsidRPr="00597788">
        <w:rPr>
          <w:rFonts w:eastAsiaTheme="minorEastAsia"/>
          <w:lang w:val="en-GB" w:bidi="en-US"/>
        </w:rPr>
        <w:t xml:space="preserve"> present</w:t>
      </w:r>
      <w:r w:rsidR="003C4FCF" w:rsidRPr="00597788">
        <w:rPr>
          <w:rFonts w:eastAsiaTheme="minorEastAsia"/>
          <w:lang w:val="en-GB" w:bidi="en-US"/>
        </w:rPr>
        <w:t>ing</w:t>
      </w:r>
      <w:r w:rsidRPr="00597788">
        <w:rPr>
          <w:rFonts w:eastAsiaTheme="minorEastAsia"/>
          <w:lang w:val="en-GB" w:bidi="en-US"/>
        </w:rPr>
        <w:t xml:space="preserve"> a significant turn of events for EDTI. The cover letter to the report by the </w:t>
      </w:r>
      <w:r w:rsidR="00587975" w:rsidRPr="00597788">
        <w:rPr>
          <w:rFonts w:eastAsiaTheme="minorEastAsia"/>
          <w:lang w:val="en-GB" w:bidi="en-US"/>
        </w:rPr>
        <w:t xml:space="preserve">Minister </w:t>
      </w:r>
      <w:r w:rsidRPr="00597788">
        <w:rPr>
          <w:rFonts w:eastAsiaTheme="minorEastAsia"/>
          <w:lang w:val="en-GB" w:bidi="en-US"/>
        </w:rPr>
        <w:t xml:space="preserve">of Energy stated that, while the </w:t>
      </w:r>
      <w:r w:rsidR="00587975" w:rsidRPr="00597788">
        <w:rPr>
          <w:rFonts w:eastAsiaTheme="minorEastAsia"/>
          <w:lang w:val="en-GB" w:bidi="en-US"/>
        </w:rPr>
        <w:t xml:space="preserve">Department </w:t>
      </w:r>
      <w:r w:rsidRPr="00597788">
        <w:rPr>
          <w:rFonts w:eastAsiaTheme="minorEastAsia"/>
          <w:lang w:val="en-GB" w:bidi="en-US"/>
        </w:rPr>
        <w:t xml:space="preserve">of Energy would not put in place mandatory requirements for smart meters, neither would utilities be precluded from implementing </w:t>
      </w:r>
      <w:r w:rsidR="003C4FCF" w:rsidRPr="00597788">
        <w:rPr>
          <w:rFonts w:eastAsiaTheme="minorEastAsia"/>
          <w:lang w:val="en-GB" w:bidi="en-US"/>
        </w:rPr>
        <w:t>s</w:t>
      </w:r>
      <w:r w:rsidRPr="00597788">
        <w:rPr>
          <w:rFonts w:eastAsiaTheme="minorEastAsia"/>
          <w:lang w:val="en-GB" w:bidi="en-US"/>
        </w:rPr>
        <w:t xml:space="preserve">mart </w:t>
      </w:r>
      <w:r w:rsidR="003C4FCF" w:rsidRPr="00597788">
        <w:rPr>
          <w:rFonts w:eastAsiaTheme="minorEastAsia"/>
          <w:lang w:val="en-GB" w:bidi="en-US"/>
        </w:rPr>
        <w:t>g</w:t>
      </w:r>
      <w:r w:rsidRPr="00597788">
        <w:rPr>
          <w:rFonts w:eastAsiaTheme="minorEastAsia"/>
          <w:lang w:val="en-GB" w:bidi="en-US"/>
        </w:rPr>
        <w:t>rid initiatives on their own accord.</w:t>
      </w:r>
    </w:p>
    <w:p w14:paraId="11EB77A1" w14:textId="77777777" w:rsidR="007E4763" w:rsidRPr="00597788" w:rsidRDefault="007E4763" w:rsidP="00B04C2E">
      <w:pPr>
        <w:pStyle w:val="BodyTextMain"/>
        <w:rPr>
          <w:rFonts w:eastAsiaTheme="minorEastAsia"/>
          <w:lang w:val="en-GB" w:bidi="en-US"/>
        </w:rPr>
      </w:pPr>
    </w:p>
    <w:p w14:paraId="11590693" w14:textId="77777777" w:rsidR="00CC4AB9" w:rsidRPr="00597788" w:rsidRDefault="00CC4AB9" w:rsidP="00B04C2E">
      <w:pPr>
        <w:pStyle w:val="BodyTextMain"/>
        <w:rPr>
          <w:rFonts w:eastAsiaTheme="minorEastAsia"/>
          <w:lang w:val="en-GB" w:bidi="en-US"/>
        </w:rPr>
      </w:pPr>
    </w:p>
    <w:p w14:paraId="1F5DF9E4" w14:textId="77777777" w:rsidR="00B04C2E" w:rsidRPr="00597788" w:rsidRDefault="00B04C2E" w:rsidP="00360100">
      <w:pPr>
        <w:pStyle w:val="Casehead2"/>
        <w:keepNext/>
        <w:outlineLvl w:val="0"/>
        <w:rPr>
          <w:rFonts w:eastAsiaTheme="majorEastAsia"/>
          <w:lang w:val="en-GB"/>
        </w:rPr>
      </w:pPr>
      <w:r w:rsidRPr="00597788">
        <w:rPr>
          <w:rFonts w:eastAsiaTheme="majorEastAsia"/>
          <w:lang w:val="en-GB"/>
        </w:rPr>
        <w:lastRenderedPageBreak/>
        <w:t>Measurement Canada Changes</w:t>
      </w:r>
    </w:p>
    <w:p w14:paraId="7348540D" w14:textId="77777777" w:rsidR="00CC4AB9" w:rsidRPr="00597788" w:rsidRDefault="00CC4AB9" w:rsidP="00C57568">
      <w:pPr>
        <w:pStyle w:val="BodyTextMain"/>
        <w:keepNext/>
        <w:rPr>
          <w:rFonts w:eastAsiaTheme="minorEastAsia"/>
          <w:lang w:val="en-GB" w:bidi="en-US"/>
        </w:rPr>
      </w:pPr>
    </w:p>
    <w:p w14:paraId="38CD67B7" w14:textId="77777777" w:rsidR="00B04C2E" w:rsidRPr="00597788" w:rsidRDefault="00B04C2E" w:rsidP="00C57568">
      <w:pPr>
        <w:pStyle w:val="BodyTextMain"/>
        <w:keepNext/>
        <w:rPr>
          <w:rFonts w:eastAsiaTheme="minorEastAsia"/>
          <w:lang w:val="en-GB" w:bidi="en-US"/>
        </w:rPr>
      </w:pPr>
      <w:r w:rsidRPr="00597788">
        <w:rPr>
          <w:rFonts w:eastAsiaTheme="minorEastAsia"/>
          <w:lang w:val="en-GB" w:bidi="en-US"/>
        </w:rPr>
        <w:t>Measurement Canada regulated every measurement device sold in Canada, including the meters used by EPCOR. It determined what types of meters were legal for use, the lifespan of such use, and the rules by which measurement devices were to be statistically sampled in order to determine their accuracy.</w:t>
      </w:r>
      <w:r w:rsidRPr="00597788">
        <w:rPr>
          <w:rFonts w:eastAsiaTheme="minorEastAsia"/>
          <w:vertAlign w:val="superscript"/>
          <w:lang w:val="en-GB" w:bidi="en-US"/>
        </w:rPr>
        <w:endnoteReference w:id="29"/>
      </w:r>
    </w:p>
    <w:p w14:paraId="3B10AE06" w14:textId="77777777" w:rsidR="00B04C2E" w:rsidRPr="00597788" w:rsidRDefault="00B04C2E" w:rsidP="00B04C2E">
      <w:pPr>
        <w:pStyle w:val="BodyTextMain"/>
        <w:rPr>
          <w:rFonts w:eastAsiaTheme="minorEastAsia"/>
          <w:lang w:val="en-GB" w:bidi="en-US"/>
        </w:rPr>
      </w:pPr>
    </w:p>
    <w:p w14:paraId="09F0EE28" w14:textId="449015C9" w:rsidR="00B04C2E" w:rsidRPr="00597788" w:rsidRDefault="00B04C2E" w:rsidP="00B04C2E">
      <w:pPr>
        <w:pStyle w:val="BodyTextMain"/>
        <w:rPr>
          <w:rFonts w:eastAsiaTheme="minorEastAsia"/>
          <w:lang w:val="en-GB" w:bidi="en-US"/>
        </w:rPr>
      </w:pPr>
      <w:r w:rsidRPr="00597788">
        <w:rPr>
          <w:rFonts w:eastAsiaTheme="minorEastAsia"/>
          <w:lang w:val="en-GB" w:bidi="en-US"/>
        </w:rPr>
        <w:t>In 2010, Measurement Canada announced new regulations for compliance testing and meter replacements.</w:t>
      </w:r>
      <w:r w:rsidRPr="00597788">
        <w:rPr>
          <w:rFonts w:eastAsiaTheme="minorEastAsia"/>
          <w:vertAlign w:val="superscript"/>
          <w:lang w:val="en-GB" w:bidi="en-US"/>
        </w:rPr>
        <w:endnoteReference w:id="30"/>
      </w:r>
      <w:r w:rsidRPr="00597788">
        <w:rPr>
          <w:rFonts w:eastAsiaTheme="minorEastAsia"/>
          <w:lang w:val="en-GB" w:bidi="en-US"/>
        </w:rPr>
        <w:t xml:space="preserve"> Under the new regulations, organizations that performed meter testing (i.e.</w:t>
      </w:r>
      <w:r w:rsidR="003C4FCF" w:rsidRPr="00597788">
        <w:rPr>
          <w:rFonts w:eastAsiaTheme="minorEastAsia"/>
          <w:lang w:val="en-GB" w:bidi="en-US"/>
        </w:rPr>
        <w:t>,</w:t>
      </w:r>
      <w:r w:rsidRPr="00597788">
        <w:rPr>
          <w:rFonts w:eastAsiaTheme="minorEastAsia"/>
          <w:lang w:val="en-GB" w:bidi="en-US"/>
        </w:rPr>
        <w:t xml:space="preserve"> EDTI) were required to conform to new testing rules by January 1, 2014.</w:t>
      </w:r>
      <w:r w:rsidRPr="00597788">
        <w:rPr>
          <w:rFonts w:eastAsiaTheme="minorEastAsia"/>
          <w:vertAlign w:val="superscript"/>
          <w:lang w:val="en-GB" w:bidi="en-US"/>
        </w:rPr>
        <w:endnoteReference w:id="31"/>
      </w:r>
      <w:r w:rsidRPr="00597788">
        <w:rPr>
          <w:rFonts w:eastAsiaTheme="minorEastAsia"/>
          <w:lang w:val="en-GB" w:bidi="en-US"/>
        </w:rPr>
        <w:t xml:space="preserve"> The new specifications increased the sampling number of meters that were required to be pulled from service sites to be tested. The new specifications also reduced the time that meters could remain in service and introduced financial penalties for failed meter tests. This was a significant change from past specifications, which had allowed for re-verification and for meters to be left in service until a group sample test failure occurred. Furthermore, previous specifications </w:t>
      </w:r>
      <w:r w:rsidR="003C4FCF" w:rsidRPr="00597788">
        <w:rPr>
          <w:rFonts w:eastAsiaTheme="minorEastAsia"/>
          <w:lang w:val="en-GB" w:bidi="en-US"/>
        </w:rPr>
        <w:t>had</w:t>
      </w:r>
      <w:r w:rsidRPr="00597788">
        <w:rPr>
          <w:rFonts w:eastAsiaTheme="minorEastAsia"/>
          <w:lang w:val="en-GB" w:bidi="en-US"/>
        </w:rPr>
        <w:t xml:space="preserve"> not carr</w:t>
      </w:r>
      <w:r w:rsidR="003C4FCF" w:rsidRPr="00597788">
        <w:rPr>
          <w:rFonts w:eastAsiaTheme="minorEastAsia"/>
          <w:lang w:val="en-GB" w:bidi="en-US"/>
        </w:rPr>
        <w:t>ied</w:t>
      </w:r>
      <w:r w:rsidRPr="00597788">
        <w:rPr>
          <w:rFonts w:eastAsiaTheme="minorEastAsia"/>
          <w:lang w:val="en-GB" w:bidi="en-US"/>
        </w:rPr>
        <w:t xml:space="preserve"> any financial penalties.</w:t>
      </w:r>
      <w:r w:rsidRPr="00597788">
        <w:rPr>
          <w:rFonts w:eastAsiaTheme="minorEastAsia"/>
          <w:vertAlign w:val="superscript"/>
          <w:lang w:val="en-GB" w:bidi="en-US"/>
        </w:rPr>
        <w:endnoteReference w:id="32"/>
      </w:r>
      <w:r w:rsidRPr="00597788">
        <w:rPr>
          <w:rFonts w:eastAsiaTheme="minorEastAsia"/>
          <w:lang w:val="en-GB" w:bidi="en-US"/>
        </w:rPr>
        <w:t xml:space="preserve"> The regulation changes posed significantly increased costs to EDTI for additional compliance sampling and meter replacement costs. These costs, however, could be avoided with the implementation of smart meters.</w:t>
      </w:r>
    </w:p>
    <w:p w14:paraId="7AED1D10" w14:textId="77777777" w:rsidR="007E4763" w:rsidRPr="00597788" w:rsidRDefault="007E4763" w:rsidP="00B04C2E">
      <w:pPr>
        <w:pStyle w:val="BodyTextMain"/>
        <w:rPr>
          <w:rFonts w:eastAsiaTheme="minorEastAsia"/>
          <w:lang w:val="en-GB" w:bidi="en-US"/>
        </w:rPr>
      </w:pPr>
    </w:p>
    <w:p w14:paraId="7580F947" w14:textId="77777777" w:rsidR="007E4763" w:rsidRPr="00597788" w:rsidRDefault="007E4763" w:rsidP="00B04C2E">
      <w:pPr>
        <w:pStyle w:val="BodyTextMain"/>
        <w:rPr>
          <w:rFonts w:eastAsiaTheme="minorEastAsia"/>
          <w:lang w:val="en-GB" w:bidi="en-US"/>
        </w:rPr>
      </w:pPr>
    </w:p>
    <w:p w14:paraId="6FE80C68" w14:textId="77777777" w:rsidR="00B04C2E" w:rsidRPr="00597788" w:rsidRDefault="00B04C2E" w:rsidP="00360100">
      <w:pPr>
        <w:pStyle w:val="Casehead2"/>
        <w:outlineLvl w:val="0"/>
        <w:rPr>
          <w:rFonts w:eastAsiaTheme="majorEastAsia"/>
          <w:lang w:val="en-GB" w:bidi="en-US"/>
        </w:rPr>
      </w:pPr>
      <w:r w:rsidRPr="00597788">
        <w:rPr>
          <w:rFonts w:eastAsiaTheme="majorEastAsia"/>
          <w:lang w:val="en-GB" w:bidi="en-US"/>
        </w:rPr>
        <w:t>Technological Advancements</w:t>
      </w:r>
    </w:p>
    <w:p w14:paraId="3430D61C" w14:textId="77777777" w:rsidR="007E4763" w:rsidRPr="00597788" w:rsidRDefault="007E4763" w:rsidP="00B04C2E">
      <w:pPr>
        <w:pStyle w:val="BodyTextMain"/>
        <w:rPr>
          <w:rFonts w:eastAsiaTheme="minorEastAsia"/>
          <w:lang w:val="en-GB" w:bidi="en-US"/>
        </w:rPr>
      </w:pPr>
    </w:p>
    <w:p w14:paraId="5092D267" w14:textId="31343F39" w:rsidR="00B04C2E" w:rsidRPr="00597788" w:rsidRDefault="00B04C2E" w:rsidP="00B04C2E">
      <w:pPr>
        <w:pStyle w:val="BodyTextMain"/>
        <w:rPr>
          <w:rFonts w:eastAsiaTheme="minorEastAsia"/>
          <w:spacing w:val="-2"/>
          <w:lang w:val="en-GB" w:bidi="en-US"/>
        </w:rPr>
      </w:pPr>
      <w:r w:rsidRPr="00597788">
        <w:rPr>
          <w:rFonts w:eastAsiaTheme="minorEastAsia"/>
          <w:spacing w:val="-2"/>
          <w:lang w:val="en-GB" w:bidi="en-US"/>
        </w:rPr>
        <w:t xml:space="preserve">Changes in the </w:t>
      </w:r>
      <w:r w:rsidR="003C4FCF" w:rsidRPr="00597788">
        <w:rPr>
          <w:rFonts w:eastAsiaTheme="minorEastAsia"/>
          <w:spacing w:val="-2"/>
          <w:lang w:val="en-GB" w:bidi="en-US"/>
        </w:rPr>
        <w:t>s</w:t>
      </w:r>
      <w:r w:rsidRPr="00597788">
        <w:rPr>
          <w:rFonts w:eastAsiaTheme="minorEastAsia"/>
          <w:spacing w:val="-2"/>
          <w:lang w:val="en-GB" w:bidi="en-US"/>
        </w:rPr>
        <w:t xml:space="preserve">mart </w:t>
      </w:r>
      <w:r w:rsidR="003C4FCF" w:rsidRPr="00597788">
        <w:rPr>
          <w:rFonts w:eastAsiaTheme="minorEastAsia"/>
          <w:spacing w:val="-2"/>
          <w:lang w:val="en-GB" w:bidi="en-US"/>
        </w:rPr>
        <w:t>g</w:t>
      </w:r>
      <w:r w:rsidRPr="00597788">
        <w:rPr>
          <w:rFonts w:eastAsiaTheme="minorEastAsia"/>
          <w:spacing w:val="-2"/>
          <w:lang w:val="en-GB" w:bidi="en-US"/>
        </w:rPr>
        <w:t>rid technology market had taken place since the AUC denied EDTI’s application for AMI in 2010. By 2014, the cost of smart meters had decreased from $150</w:t>
      </w:r>
      <w:r w:rsidR="003C4FCF" w:rsidRPr="00597788">
        <w:rPr>
          <w:rFonts w:eastAsiaTheme="minorEastAsia"/>
          <w:spacing w:val="-2"/>
          <w:lang w:val="en-GB" w:bidi="en-US"/>
        </w:rPr>
        <w:t>–</w:t>
      </w:r>
      <w:r w:rsidRPr="00597788">
        <w:rPr>
          <w:rFonts w:eastAsiaTheme="minorEastAsia"/>
          <w:spacing w:val="-2"/>
          <w:lang w:val="en-GB" w:bidi="en-US"/>
        </w:rPr>
        <w:t xml:space="preserve">$200 per meter to around $100 per meter. Additionally, service disconnect switches were now standard </w:t>
      </w:r>
      <w:r w:rsidR="001C6501" w:rsidRPr="00597788">
        <w:rPr>
          <w:rFonts w:eastAsiaTheme="minorEastAsia"/>
          <w:spacing w:val="-2"/>
          <w:lang w:val="en-GB" w:bidi="en-US"/>
        </w:rPr>
        <w:t>for</w:t>
      </w:r>
      <w:r w:rsidRPr="00597788">
        <w:rPr>
          <w:rFonts w:eastAsiaTheme="minorEastAsia"/>
          <w:spacing w:val="-2"/>
          <w:lang w:val="en-GB" w:bidi="en-US"/>
        </w:rPr>
        <w:t xml:space="preserve"> </w:t>
      </w:r>
      <w:r w:rsidR="003C4FCF" w:rsidRPr="00597788">
        <w:rPr>
          <w:rFonts w:eastAsiaTheme="minorEastAsia"/>
          <w:spacing w:val="-2"/>
          <w:lang w:val="en-GB" w:bidi="en-US"/>
        </w:rPr>
        <w:t>s</w:t>
      </w:r>
      <w:r w:rsidRPr="00597788">
        <w:rPr>
          <w:rFonts w:eastAsiaTheme="minorEastAsia"/>
          <w:spacing w:val="-2"/>
          <w:lang w:val="en-GB" w:bidi="en-US"/>
        </w:rPr>
        <w:t xml:space="preserve">mart </w:t>
      </w:r>
      <w:r w:rsidR="003C4FCF" w:rsidRPr="00597788">
        <w:rPr>
          <w:rFonts w:eastAsiaTheme="minorEastAsia"/>
          <w:spacing w:val="-2"/>
          <w:lang w:val="en-GB" w:bidi="en-US"/>
        </w:rPr>
        <w:t>m</w:t>
      </w:r>
      <w:r w:rsidRPr="00597788">
        <w:rPr>
          <w:rFonts w:eastAsiaTheme="minorEastAsia"/>
          <w:spacing w:val="-2"/>
          <w:lang w:val="en-GB" w:bidi="en-US"/>
        </w:rPr>
        <w:t xml:space="preserve">eters, </w:t>
      </w:r>
      <w:r w:rsidR="001C6501" w:rsidRPr="00597788">
        <w:rPr>
          <w:rFonts w:eastAsiaTheme="minorEastAsia"/>
          <w:spacing w:val="-2"/>
          <w:lang w:val="en-GB" w:bidi="en-US"/>
        </w:rPr>
        <w:t>so</w:t>
      </w:r>
      <w:r w:rsidRPr="00597788">
        <w:rPr>
          <w:rFonts w:eastAsiaTheme="minorEastAsia"/>
          <w:spacing w:val="-2"/>
          <w:lang w:val="en-GB" w:bidi="en-US"/>
        </w:rPr>
        <w:t xml:space="preserve"> an additional $30</w:t>
      </w:r>
      <w:r w:rsidR="003C4FCF" w:rsidRPr="00597788">
        <w:rPr>
          <w:rFonts w:eastAsiaTheme="minorEastAsia"/>
          <w:spacing w:val="-2"/>
          <w:lang w:val="en-GB" w:bidi="en-US"/>
        </w:rPr>
        <w:t>–</w:t>
      </w:r>
      <w:r w:rsidRPr="00597788">
        <w:rPr>
          <w:rFonts w:eastAsiaTheme="minorEastAsia"/>
          <w:spacing w:val="-2"/>
          <w:lang w:val="en-GB" w:bidi="en-US"/>
        </w:rPr>
        <w:t>$50 fee</w:t>
      </w:r>
      <w:r w:rsidR="001C6501" w:rsidRPr="00597788">
        <w:rPr>
          <w:rFonts w:eastAsiaTheme="minorEastAsia"/>
          <w:spacing w:val="-2"/>
          <w:lang w:val="en-GB" w:bidi="en-US"/>
        </w:rPr>
        <w:t xml:space="preserve"> was no longer incurred</w:t>
      </w:r>
      <w:r w:rsidRPr="00597788">
        <w:rPr>
          <w:rFonts w:eastAsiaTheme="minorEastAsia"/>
          <w:spacing w:val="-2"/>
          <w:lang w:val="en-GB" w:bidi="en-US"/>
        </w:rPr>
        <w:t xml:space="preserve">. These changes significantly reduced EDTI’s costs to deploy AMI meters. </w:t>
      </w:r>
    </w:p>
    <w:p w14:paraId="2B9E9847" w14:textId="77777777" w:rsidR="007E4763" w:rsidRPr="00597788" w:rsidRDefault="007E4763" w:rsidP="00B04C2E">
      <w:pPr>
        <w:pStyle w:val="BodyTextMain"/>
        <w:rPr>
          <w:rFonts w:eastAsiaTheme="minorEastAsia"/>
          <w:spacing w:val="-2"/>
          <w:lang w:val="en-GB" w:bidi="en-US"/>
        </w:rPr>
      </w:pPr>
    </w:p>
    <w:p w14:paraId="7E44B3FB" w14:textId="77777777" w:rsidR="007E4763" w:rsidRPr="00597788" w:rsidRDefault="007E4763" w:rsidP="00B04C2E">
      <w:pPr>
        <w:pStyle w:val="BodyTextMain"/>
        <w:rPr>
          <w:rFonts w:eastAsiaTheme="minorEastAsia"/>
          <w:lang w:val="en-GB" w:bidi="en-US"/>
        </w:rPr>
      </w:pPr>
    </w:p>
    <w:p w14:paraId="2CB99C5F" w14:textId="77777777" w:rsidR="00B04C2E" w:rsidRPr="00597788" w:rsidRDefault="00B04C2E" w:rsidP="00360100">
      <w:pPr>
        <w:pStyle w:val="Casehead1"/>
        <w:outlineLvl w:val="0"/>
        <w:rPr>
          <w:rFonts w:eastAsiaTheme="majorEastAsia"/>
          <w:lang w:val="en-GB" w:bidi="en-US"/>
        </w:rPr>
      </w:pPr>
      <w:r w:rsidRPr="00597788">
        <w:rPr>
          <w:rFonts w:eastAsiaTheme="majorEastAsia"/>
          <w:lang w:val="en-GB" w:bidi="en-US"/>
        </w:rPr>
        <w:t>Need for Change</w:t>
      </w:r>
    </w:p>
    <w:p w14:paraId="67B0A979" w14:textId="77777777" w:rsidR="007E4763" w:rsidRPr="00597788" w:rsidRDefault="007E4763" w:rsidP="00B04C2E">
      <w:pPr>
        <w:pStyle w:val="BodyTextMain"/>
        <w:rPr>
          <w:rFonts w:eastAsiaTheme="minorEastAsia"/>
          <w:lang w:val="en-GB" w:bidi="en-US"/>
        </w:rPr>
      </w:pPr>
    </w:p>
    <w:p w14:paraId="7F62734D" w14:textId="10E330CE" w:rsidR="00B04C2E" w:rsidRPr="00597788" w:rsidRDefault="00B04C2E" w:rsidP="00B04C2E">
      <w:pPr>
        <w:pStyle w:val="BodyTextMain"/>
        <w:rPr>
          <w:rFonts w:eastAsiaTheme="minorEastAsia"/>
          <w:lang w:val="en-GB" w:bidi="en-US"/>
        </w:rPr>
      </w:pPr>
      <w:r w:rsidRPr="00597788">
        <w:rPr>
          <w:rFonts w:eastAsiaTheme="minorEastAsia"/>
          <w:lang w:val="en-GB" w:bidi="en-US"/>
        </w:rPr>
        <w:t>After weighing the many possible benefits of moving to smart grid technology, R</w:t>
      </w:r>
      <w:r w:rsidR="001C6501" w:rsidRPr="00597788">
        <w:rPr>
          <w:rFonts w:eastAsiaTheme="minorEastAsia"/>
          <w:lang w:val="en-GB" w:bidi="en-US"/>
        </w:rPr>
        <w:t>eimer</w:t>
      </w:r>
      <w:r w:rsidRPr="00597788">
        <w:rPr>
          <w:rFonts w:eastAsiaTheme="minorEastAsia"/>
          <w:lang w:val="en-GB" w:bidi="en-US"/>
        </w:rPr>
        <w:t xml:space="preserve"> struggl</w:t>
      </w:r>
      <w:r w:rsidR="00CC4AB9" w:rsidRPr="00597788">
        <w:rPr>
          <w:rFonts w:eastAsiaTheme="minorEastAsia"/>
          <w:lang w:val="en-GB" w:bidi="en-US"/>
        </w:rPr>
        <w:t xml:space="preserve">ed with how to proceed. </w:t>
      </w:r>
      <w:r w:rsidR="00BC7466" w:rsidRPr="00597788">
        <w:rPr>
          <w:rFonts w:eastAsiaTheme="minorEastAsia"/>
          <w:lang w:val="en-GB" w:bidi="en-US"/>
        </w:rPr>
        <w:t xml:space="preserve">As </w:t>
      </w:r>
      <w:r w:rsidR="00CC4AB9" w:rsidRPr="00597788">
        <w:rPr>
          <w:rFonts w:eastAsiaTheme="minorEastAsia"/>
          <w:lang w:val="en-GB" w:bidi="en-US"/>
        </w:rPr>
        <w:t>49 per cent</w:t>
      </w:r>
      <w:r w:rsidRPr="00597788">
        <w:rPr>
          <w:rFonts w:eastAsiaTheme="minorEastAsia"/>
          <w:lang w:val="en-GB" w:bidi="en-US"/>
        </w:rPr>
        <w:t xml:space="preserve"> of meters </w:t>
      </w:r>
      <w:r w:rsidR="0086489F" w:rsidRPr="00597788">
        <w:rPr>
          <w:rFonts w:eastAsiaTheme="minorEastAsia"/>
          <w:lang w:val="en-GB" w:bidi="en-US"/>
        </w:rPr>
        <w:t xml:space="preserve">across </w:t>
      </w:r>
      <w:r w:rsidRPr="00597788">
        <w:rPr>
          <w:rFonts w:eastAsiaTheme="minorEastAsia"/>
          <w:lang w:val="en-GB" w:bidi="en-US"/>
        </w:rPr>
        <w:t xml:space="preserve">Canada </w:t>
      </w:r>
      <w:r w:rsidR="00BC7466" w:rsidRPr="00597788">
        <w:rPr>
          <w:rFonts w:eastAsiaTheme="minorEastAsia"/>
          <w:lang w:val="en-GB" w:bidi="en-US"/>
        </w:rPr>
        <w:t xml:space="preserve">were </w:t>
      </w:r>
      <w:r w:rsidR="0086489F" w:rsidRPr="00597788">
        <w:rPr>
          <w:rFonts w:eastAsiaTheme="minorEastAsia"/>
          <w:lang w:val="en-GB" w:bidi="en-US"/>
        </w:rPr>
        <w:t xml:space="preserve">already </w:t>
      </w:r>
      <w:r w:rsidRPr="00597788">
        <w:rPr>
          <w:rFonts w:eastAsiaTheme="minorEastAsia"/>
          <w:lang w:val="en-GB" w:bidi="en-US"/>
        </w:rPr>
        <w:t>AMI meters, R</w:t>
      </w:r>
      <w:r w:rsidR="001C6501" w:rsidRPr="00597788">
        <w:rPr>
          <w:rFonts w:eastAsiaTheme="minorEastAsia"/>
          <w:lang w:val="en-GB" w:bidi="en-US"/>
        </w:rPr>
        <w:t>eimer</w:t>
      </w:r>
      <w:r w:rsidRPr="00597788">
        <w:rPr>
          <w:rFonts w:eastAsiaTheme="minorEastAsia"/>
          <w:lang w:val="en-GB" w:bidi="en-US"/>
        </w:rPr>
        <w:t xml:space="preserve"> could</w:t>
      </w:r>
      <w:r w:rsidR="001C6501" w:rsidRPr="00597788">
        <w:rPr>
          <w:rFonts w:eastAsiaTheme="minorEastAsia"/>
          <w:lang w:val="en-GB" w:bidi="en-US"/>
        </w:rPr>
        <w:t xml:space="preserve"> not</w:t>
      </w:r>
      <w:r w:rsidRPr="00597788">
        <w:rPr>
          <w:rFonts w:eastAsiaTheme="minorEastAsia"/>
          <w:lang w:val="en-GB" w:bidi="en-US"/>
        </w:rPr>
        <w:t xml:space="preserve"> help but feel that EDTI was behind the times. EDTI could continue its current practice of installing AMR meters for new installations and when old meters needed to be replaced</w:t>
      </w:r>
      <w:r w:rsidR="001C6501" w:rsidRPr="00597788">
        <w:rPr>
          <w:rFonts w:eastAsiaTheme="minorEastAsia"/>
          <w:lang w:val="en-GB" w:bidi="en-US"/>
        </w:rPr>
        <w:t>;</w:t>
      </w:r>
      <w:r w:rsidRPr="00597788">
        <w:rPr>
          <w:rFonts w:eastAsiaTheme="minorEastAsia"/>
          <w:lang w:val="en-GB" w:bidi="en-US"/>
        </w:rPr>
        <w:t xml:space="preserve"> </w:t>
      </w:r>
      <w:r w:rsidR="001C6501" w:rsidRPr="00597788">
        <w:rPr>
          <w:rFonts w:eastAsiaTheme="minorEastAsia"/>
          <w:lang w:val="en-GB" w:bidi="en-US"/>
        </w:rPr>
        <w:t>t</w:t>
      </w:r>
      <w:r w:rsidRPr="00597788">
        <w:rPr>
          <w:rFonts w:eastAsiaTheme="minorEastAsia"/>
          <w:lang w:val="en-GB" w:bidi="en-US"/>
        </w:rPr>
        <w:t>his approach would result in the gradual replacement of all non-AMR meters over 20 years. R</w:t>
      </w:r>
      <w:r w:rsidR="001C6501" w:rsidRPr="00597788">
        <w:rPr>
          <w:rFonts w:eastAsiaTheme="minorEastAsia"/>
          <w:lang w:val="en-GB" w:bidi="en-US"/>
        </w:rPr>
        <w:t>eimer</w:t>
      </w:r>
      <w:r w:rsidRPr="00597788">
        <w:rPr>
          <w:rFonts w:eastAsiaTheme="minorEastAsia"/>
          <w:lang w:val="en-GB" w:bidi="en-US"/>
        </w:rPr>
        <w:t xml:space="preserve"> also estimated that within 12</w:t>
      </w:r>
      <w:r w:rsidR="001C6501" w:rsidRPr="00597788">
        <w:rPr>
          <w:rFonts w:eastAsiaTheme="minorEastAsia"/>
          <w:lang w:val="en-GB" w:bidi="en-US"/>
        </w:rPr>
        <w:t>–</w:t>
      </w:r>
      <w:r w:rsidRPr="00597788">
        <w:rPr>
          <w:rFonts w:eastAsiaTheme="minorEastAsia"/>
          <w:lang w:val="en-GB" w:bidi="en-US"/>
        </w:rPr>
        <w:t xml:space="preserve">15 years, EDTI could begin to implement the limited use of drive-by technology where high concentrations of AMR meters could supplant the need for meter readers. Thus, by the end of the 20-year replacement strategy, EDTI would be able to utilize a </w:t>
      </w:r>
      <w:r w:rsidR="001C6501" w:rsidRPr="00597788">
        <w:rPr>
          <w:rFonts w:eastAsiaTheme="minorEastAsia"/>
          <w:lang w:val="en-GB" w:bidi="en-US"/>
        </w:rPr>
        <w:t>full</w:t>
      </w:r>
      <w:r w:rsidRPr="00597788">
        <w:rPr>
          <w:rFonts w:eastAsiaTheme="minorEastAsia"/>
          <w:lang w:val="en-GB" w:bidi="en-US"/>
        </w:rPr>
        <w:t xml:space="preserve"> drive-by solution. </w:t>
      </w:r>
    </w:p>
    <w:p w14:paraId="7EEE43D6" w14:textId="77777777" w:rsidR="00B04C2E" w:rsidRPr="00597788" w:rsidRDefault="00B04C2E" w:rsidP="00B04C2E">
      <w:pPr>
        <w:pStyle w:val="BodyTextMain"/>
        <w:rPr>
          <w:rFonts w:eastAsiaTheme="minorEastAsia"/>
          <w:lang w:val="en-GB" w:bidi="en-US"/>
        </w:rPr>
      </w:pPr>
    </w:p>
    <w:p w14:paraId="15AD541E" w14:textId="526760FD" w:rsidR="00B04C2E" w:rsidRPr="00F23D09" w:rsidRDefault="00B04C2E" w:rsidP="00B04C2E">
      <w:pPr>
        <w:pStyle w:val="BodyTextMain"/>
        <w:rPr>
          <w:rFonts w:eastAsiaTheme="minorEastAsia"/>
          <w:spacing w:val="-2"/>
          <w:lang w:val="en-GB" w:bidi="en-US"/>
        </w:rPr>
      </w:pPr>
      <w:r w:rsidRPr="00F23D09">
        <w:rPr>
          <w:rFonts w:eastAsiaTheme="minorEastAsia"/>
          <w:spacing w:val="-2"/>
          <w:lang w:val="en-GB" w:bidi="en-US"/>
        </w:rPr>
        <w:t xml:space="preserve">Another alternative was for EDTI to undertake a project to replace all non-AMR meters for </w:t>
      </w:r>
      <w:r w:rsidR="00BC7466" w:rsidRPr="00F23D09">
        <w:rPr>
          <w:rFonts w:eastAsiaTheme="minorEastAsia"/>
          <w:spacing w:val="-2"/>
          <w:lang w:val="en-GB" w:bidi="en-US"/>
        </w:rPr>
        <w:t xml:space="preserve">its </w:t>
      </w:r>
      <w:r w:rsidRPr="00F23D09">
        <w:rPr>
          <w:rFonts w:eastAsiaTheme="minorEastAsia"/>
          <w:spacing w:val="-2"/>
          <w:lang w:val="en-GB" w:bidi="en-US"/>
        </w:rPr>
        <w:t xml:space="preserve">customers over three years, allowing a full drive-by solution to be implemented much sooner. Vehicles outfitted with collection devices could drive through </w:t>
      </w:r>
      <w:r w:rsidR="00CA6CA2" w:rsidRPr="00F23D09">
        <w:rPr>
          <w:rFonts w:eastAsiaTheme="minorEastAsia"/>
          <w:spacing w:val="-2"/>
          <w:lang w:val="en-GB" w:bidi="en-US"/>
        </w:rPr>
        <w:t>neighbourhoods</w:t>
      </w:r>
      <w:r w:rsidRPr="00F23D09">
        <w:rPr>
          <w:rFonts w:eastAsiaTheme="minorEastAsia"/>
          <w:spacing w:val="-2"/>
          <w:lang w:val="en-GB" w:bidi="en-US"/>
        </w:rPr>
        <w:t xml:space="preserve"> on a monthly basis to remotely collect meter readings. Alternatively, EDTI could also implement an AMR solution with a </w:t>
      </w:r>
      <w:r w:rsidR="001C6501" w:rsidRPr="00F23D09">
        <w:rPr>
          <w:rFonts w:eastAsiaTheme="minorEastAsia"/>
          <w:spacing w:val="-2"/>
          <w:lang w:val="en-GB" w:bidi="en-US"/>
        </w:rPr>
        <w:t>f</w:t>
      </w:r>
      <w:r w:rsidRPr="00F23D09">
        <w:rPr>
          <w:rFonts w:eastAsiaTheme="minorEastAsia"/>
          <w:spacing w:val="-2"/>
          <w:lang w:val="en-GB" w:bidi="en-US"/>
        </w:rPr>
        <w:t xml:space="preserve">ixed </w:t>
      </w:r>
      <w:r w:rsidR="001C6501" w:rsidRPr="00F23D09">
        <w:rPr>
          <w:rFonts w:eastAsiaTheme="minorEastAsia"/>
          <w:spacing w:val="-2"/>
          <w:lang w:val="en-GB" w:bidi="en-US"/>
        </w:rPr>
        <w:t>n</w:t>
      </w:r>
      <w:r w:rsidRPr="00F23D09">
        <w:rPr>
          <w:rFonts w:eastAsiaTheme="minorEastAsia"/>
          <w:spacing w:val="-2"/>
          <w:lang w:val="en-GB" w:bidi="en-US"/>
        </w:rPr>
        <w:t>etwork</w:t>
      </w:r>
      <w:r w:rsidR="001C6501" w:rsidRPr="00F23D09">
        <w:rPr>
          <w:rFonts w:eastAsiaTheme="minorEastAsia"/>
          <w:spacing w:val="-2"/>
          <w:lang w:val="en-GB" w:bidi="en-US"/>
        </w:rPr>
        <w:t>,</w:t>
      </w:r>
      <w:r w:rsidRPr="00F23D09">
        <w:rPr>
          <w:rFonts w:eastAsiaTheme="minorEastAsia"/>
          <w:spacing w:val="-2"/>
          <w:lang w:val="en-GB" w:bidi="en-US"/>
        </w:rPr>
        <w:t xml:space="preserve"> meaning that remote collector devices could be affixed in strategic locations, transmitting meter readings to the central system. This would eliminate the need for vehicles to drive by homes</w:t>
      </w:r>
      <w:r w:rsidR="001C6501" w:rsidRPr="00F23D09">
        <w:rPr>
          <w:rFonts w:eastAsiaTheme="minorEastAsia"/>
          <w:spacing w:val="-2"/>
          <w:lang w:val="en-GB" w:bidi="en-US"/>
        </w:rPr>
        <w:t>,</w:t>
      </w:r>
      <w:r w:rsidRPr="00F23D09">
        <w:rPr>
          <w:rFonts w:eastAsiaTheme="minorEastAsia"/>
          <w:spacing w:val="-2"/>
          <w:lang w:val="en-GB" w:bidi="en-US"/>
        </w:rPr>
        <w:t xml:space="preserve"> but </w:t>
      </w:r>
      <w:r w:rsidR="00BC7466" w:rsidRPr="00F23D09">
        <w:rPr>
          <w:rFonts w:eastAsiaTheme="minorEastAsia"/>
          <w:spacing w:val="-2"/>
          <w:lang w:val="en-GB" w:bidi="en-US"/>
        </w:rPr>
        <w:t xml:space="preserve">it </w:t>
      </w:r>
      <w:r w:rsidRPr="00F23D09">
        <w:rPr>
          <w:rFonts w:eastAsiaTheme="minorEastAsia"/>
          <w:spacing w:val="-2"/>
          <w:lang w:val="en-GB" w:bidi="en-US"/>
        </w:rPr>
        <w:t xml:space="preserve">would </w:t>
      </w:r>
      <w:r w:rsidR="00BC7466" w:rsidRPr="00F23D09">
        <w:rPr>
          <w:rFonts w:eastAsiaTheme="minorEastAsia"/>
          <w:spacing w:val="-2"/>
          <w:lang w:val="en-GB" w:bidi="en-US"/>
        </w:rPr>
        <w:t xml:space="preserve">require </w:t>
      </w:r>
      <w:r w:rsidRPr="00F23D09">
        <w:rPr>
          <w:rFonts w:eastAsiaTheme="minorEastAsia"/>
          <w:spacing w:val="-2"/>
          <w:lang w:val="en-GB" w:bidi="en-US"/>
        </w:rPr>
        <w:t xml:space="preserve">that EDTI undertake a major project to select a vendor and implement an AMR network system over a period of two years. </w:t>
      </w:r>
    </w:p>
    <w:p w14:paraId="3580C19D" w14:textId="77777777" w:rsidR="00B04C2E" w:rsidRPr="00597788" w:rsidRDefault="00B04C2E" w:rsidP="00B04C2E">
      <w:pPr>
        <w:pStyle w:val="BodyTextMain"/>
        <w:rPr>
          <w:rFonts w:eastAsiaTheme="minorEastAsia"/>
          <w:lang w:val="en-GB" w:bidi="en-US"/>
        </w:rPr>
      </w:pPr>
    </w:p>
    <w:p w14:paraId="04EEE030" w14:textId="6300BE7F" w:rsidR="00607DAA" w:rsidRPr="00597788" w:rsidRDefault="00B04C2E" w:rsidP="00B04C2E">
      <w:pPr>
        <w:pStyle w:val="BodyTextMain"/>
        <w:rPr>
          <w:rFonts w:eastAsiaTheme="minorEastAsia"/>
          <w:lang w:val="en-GB" w:bidi="en-US"/>
        </w:rPr>
      </w:pPr>
      <w:r w:rsidRPr="00597788">
        <w:rPr>
          <w:rFonts w:eastAsiaTheme="minorEastAsia"/>
          <w:lang w:val="en-GB" w:bidi="en-US"/>
        </w:rPr>
        <w:t>Lastly, R</w:t>
      </w:r>
      <w:r w:rsidR="001C6501" w:rsidRPr="00597788">
        <w:rPr>
          <w:rFonts w:eastAsiaTheme="minorEastAsia"/>
          <w:lang w:val="en-GB" w:bidi="en-US"/>
        </w:rPr>
        <w:t>eimer</w:t>
      </w:r>
      <w:r w:rsidRPr="00597788">
        <w:rPr>
          <w:rFonts w:eastAsiaTheme="minorEastAsia"/>
          <w:lang w:val="en-GB" w:bidi="en-US"/>
        </w:rPr>
        <w:t xml:space="preserve"> considered whether a fully integrated AMI solution was the way to go, even though it had been rejected by the </w:t>
      </w:r>
      <w:r w:rsidR="001C6501" w:rsidRPr="00597788">
        <w:rPr>
          <w:rFonts w:eastAsiaTheme="minorEastAsia"/>
          <w:lang w:val="en-GB" w:bidi="en-US"/>
        </w:rPr>
        <w:t>AUC</w:t>
      </w:r>
      <w:r w:rsidRPr="00597788">
        <w:rPr>
          <w:rFonts w:eastAsiaTheme="minorEastAsia"/>
          <w:lang w:val="en-GB" w:bidi="en-US"/>
        </w:rPr>
        <w:t xml:space="preserve"> in 2010. The AMI project still carried the largest capital investment of all </w:t>
      </w:r>
      <w:r w:rsidR="001C6501" w:rsidRPr="00597788">
        <w:rPr>
          <w:rFonts w:eastAsiaTheme="minorEastAsia"/>
          <w:lang w:val="en-GB" w:bidi="en-US"/>
        </w:rPr>
        <w:t>the</w:t>
      </w:r>
      <w:r w:rsidRPr="00597788">
        <w:rPr>
          <w:rFonts w:eastAsiaTheme="minorEastAsia"/>
          <w:lang w:val="en-GB" w:bidi="en-US"/>
        </w:rPr>
        <w:t xml:space="preserve"> alternatives. However, R</w:t>
      </w:r>
      <w:r w:rsidR="00662701" w:rsidRPr="00597788">
        <w:rPr>
          <w:rFonts w:eastAsiaTheme="minorEastAsia"/>
          <w:lang w:val="en-GB" w:bidi="en-US"/>
        </w:rPr>
        <w:t>eimer</w:t>
      </w:r>
      <w:r w:rsidRPr="00597788">
        <w:rPr>
          <w:rFonts w:eastAsiaTheme="minorEastAsia"/>
          <w:lang w:val="en-GB" w:bidi="en-US"/>
        </w:rPr>
        <w:t xml:space="preserve"> believed that AMI was still the most future</w:t>
      </w:r>
      <w:r w:rsidR="00BC7466" w:rsidRPr="00597788">
        <w:rPr>
          <w:rFonts w:eastAsiaTheme="minorEastAsia"/>
          <w:lang w:val="en-GB" w:bidi="en-US"/>
        </w:rPr>
        <w:t xml:space="preserve"> </w:t>
      </w:r>
      <w:r w:rsidRPr="00597788">
        <w:rPr>
          <w:rFonts w:eastAsiaTheme="minorEastAsia"/>
          <w:lang w:val="en-GB" w:bidi="en-US"/>
        </w:rPr>
        <w:t>focused and sustainable option</w:t>
      </w:r>
      <w:r w:rsidR="00BC7466" w:rsidRPr="00597788">
        <w:rPr>
          <w:rFonts w:eastAsiaTheme="minorEastAsia"/>
          <w:lang w:val="en-GB" w:bidi="en-US"/>
        </w:rPr>
        <w:t>,</w:t>
      </w:r>
      <w:r w:rsidRPr="00597788">
        <w:rPr>
          <w:rFonts w:eastAsiaTheme="minorEastAsia"/>
          <w:lang w:val="en-GB" w:bidi="en-US"/>
        </w:rPr>
        <w:t xml:space="preserve"> given the prevalence of AMI across North America and its numerous benefits to the business, consumers</w:t>
      </w:r>
      <w:r w:rsidR="00E0493E" w:rsidRPr="00597788">
        <w:rPr>
          <w:rFonts w:eastAsiaTheme="minorEastAsia"/>
          <w:lang w:val="en-GB" w:bidi="en-US"/>
        </w:rPr>
        <w:t>,</w:t>
      </w:r>
      <w:r w:rsidRPr="00597788">
        <w:rPr>
          <w:rFonts w:eastAsiaTheme="minorEastAsia"/>
          <w:lang w:val="en-GB" w:bidi="en-US"/>
        </w:rPr>
        <w:t xml:space="preserve"> and communities. </w:t>
      </w:r>
    </w:p>
    <w:p w14:paraId="65E3B1AF" w14:textId="2AF5B654" w:rsidR="00CD1F01" w:rsidRPr="00597788" w:rsidRDefault="00B04C2E" w:rsidP="00B04C2E">
      <w:pPr>
        <w:pStyle w:val="BodyTextMain"/>
        <w:rPr>
          <w:rFonts w:eastAsiaTheme="minorEastAsia"/>
          <w:lang w:val="en-GB" w:bidi="en-US"/>
        </w:rPr>
      </w:pPr>
      <w:r w:rsidRPr="00597788">
        <w:rPr>
          <w:rFonts w:eastAsiaTheme="minorEastAsia"/>
          <w:lang w:val="en-GB" w:bidi="en-US"/>
        </w:rPr>
        <w:lastRenderedPageBreak/>
        <w:t>To aid his decision-making process, R</w:t>
      </w:r>
      <w:r w:rsidR="001C6501" w:rsidRPr="00597788">
        <w:rPr>
          <w:rFonts w:eastAsiaTheme="minorEastAsia"/>
          <w:lang w:val="en-GB" w:bidi="en-US"/>
        </w:rPr>
        <w:t>eimer</w:t>
      </w:r>
      <w:r w:rsidRPr="00597788">
        <w:rPr>
          <w:rFonts w:eastAsiaTheme="minorEastAsia"/>
          <w:lang w:val="en-GB" w:bidi="en-US"/>
        </w:rPr>
        <w:t xml:space="preserve"> performed a complex </w:t>
      </w:r>
      <w:r w:rsidR="00607DAA" w:rsidRPr="00597788">
        <w:rPr>
          <w:rFonts w:eastAsiaTheme="minorEastAsia"/>
          <w:lang w:val="en-GB" w:bidi="en-US"/>
        </w:rPr>
        <w:t>financial analysis</w:t>
      </w:r>
      <w:r w:rsidRPr="00597788">
        <w:rPr>
          <w:rFonts w:eastAsiaTheme="minorEastAsia"/>
          <w:lang w:val="en-GB" w:bidi="en-US"/>
        </w:rPr>
        <w:t xml:space="preserve"> for both the cash flow and </w:t>
      </w:r>
      <w:r w:rsidR="001C6501" w:rsidRPr="00597788">
        <w:rPr>
          <w:rFonts w:eastAsiaTheme="minorEastAsia"/>
          <w:lang w:val="en-GB" w:bidi="en-US"/>
        </w:rPr>
        <w:t xml:space="preserve">the </w:t>
      </w:r>
      <w:r w:rsidR="00CD1F01" w:rsidRPr="00597788">
        <w:rPr>
          <w:rFonts w:eastAsiaTheme="minorEastAsia"/>
          <w:lang w:val="en-GB" w:bidi="en-US"/>
        </w:rPr>
        <w:t>costs</w:t>
      </w:r>
      <w:r w:rsidR="00607DAA" w:rsidRPr="00597788">
        <w:rPr>
          <w:rFonts w:eastAsiaTheme="minorEastAsia"/>
          <w:lang w:val="en-GB" w:bidi="en-US"/>
        </w:rPr>
        <w:t xml:space="preserve"> </w:t>
      </w:r>
      <w:r w:rsidRPr="00597788">
        <w:rPr>
          <w:rFonts w:eastAsiaTheme="minorEastAsia"/>
          <w:lang w:val="en-GB" w:bidi="en-US"/>
        </w:rPr>
        <w:t>of each option (</w:t>
      </w:r>
      <w:r w:rsidR="001C6501" w:rsidRPr="00597788">
        <w:rPr>
          <w:rFonts w:eastAsiaTheme="minorEastAsia"/>
          <w:lang w:val="en-GB" w:bidi="en-US"/>
        </w:rPr>
        <w:t xml:space="preserve">see </w:t>
      </w:r>
      <w:r w:rsidRPr="00597788">
        <w:rPr>
          <w:rFonts w:eastAsiaTheme="minorEastAsia"/>
          <w:lang w:val="en-GB" w:bidi="en-US"/>
        </w:rPr>
        <w:t xml:space="preserve">Exhibit 3). </w:t>
      </w:r>
      <w:r w:rsidR="00607DAA" w:rsidRPr="00597788">
        <w:rPr>
          <w:rFonts w:eastAsiaTheme="minorEastAsia"/>
          <w:lang w:val="en-GB" w:bidi="en-US"/>
        </w:rPr>
        <w:t>In the previous application, R</w:t>
      </w:r>
      <w:r w:rsidR="00662701" w:rsidRPr="00597788">
        <w:rPr>
          <w:rFonts w:eastAsiaTheme="minorEastAsia"/>
          <w:lang w:val="en-GB" w:bidi="en-US"/>
        </w:rPr>
        <w:t>eimer</w:t>
      </w:r>
      <w:r w:rsidR="00607DAA" w:rsidRPr="00597788">
        <w:rPr>
          <w:rFonts w:eastAsiaTheme="minorEastAsia"/>
          <w:lang w:val="en-GB" w:bidi="en-US"/>
        </w:rPr>
        <w:t xml:space="preserve"> had only analyzed cash flow and </w:t>
      </w:r>
      <w:r w:rsidR="001C6501" w:rsidRPr="00597788">
        <w:rPr>
          <w:rFonts w:eastAsiaTheme="minorEastAsia"/>
          <w:lang w:val="en-GB" w:bidi="en-US"/>
        </w:rPr>
        <w:t>had</w:t>
      </w:r>
      <w:r w:rsidR="00607DAA" w:rsidRPr="00597788">
        <w:rPr>
          <w:rFonts w:eastAsiaTheme="minorEastAsia"/>
          <w:lang w:val="en-GB" w:bidi="en-US"/>
        </w:rPr>
        <w:t xml:space="preserve"> not account</w:t>
      </w:r>
      <w:r w:rsidR="001C6501" w:rsidRPr="00597788">
        <w:rPr>
          <w:rFonts w:eastAsiaTheme="minorEastAsia"/>
          <w:lang w:val="en-GB" w:bidi="en-US"/>
        </w:rPr>
        <w:t>ed</w:t>
      </w:r>
      <w:r w:rsidR="00607DAA" w:rsidRPr="00597788">
        <w:rPr>
          <w:rFonts w:eastAsiaTheme="minorEastAsia"/>
          <w:lang w:val="en-GB" w:bidi="en-US"/>
        </w:rPr>
        <w:t xml:space="preserve"> for </w:t>
      </w:r>
      <w:r w:rsidR="001C6501" w:rsidRPr="00597788">
        <w:rPr>
          <w:rFonts w:eastAsiaTheme="minorEastAsia"/>
          <w:lang w:val="en-GB" w:bidi="en-US"/>
        </w:rPr>
        <w:t>n</w:t>
      </w:r>
      <w:r w:rsidR="00607DAA" w:rsidRPr="00597788">
        <w:rPr>
          <w:rFonts w:eastAsiaTheme="minorEastAsia"/>
          <w:lang w:val="en-GB" w:bidi="en-US"/>
        </w:rPr>
        <w:t xml:space="preserve">et </w:t>
      </w:r>
      <w:r w:rsidR="001C6501" w:rsidRPr="00597788">
        <w:rPr>
          <w:rFonts w:eastAsiaTheme="minorEastAsia"/>
          <w:lang w:val="en-GB" w:bidi="en-US"/>
        </w:rPr>
        <w:t>p</w:t>
      </w:r>
      <w:r w:rsidR="00607DAA" w:rsidRPr="00597788">
        <w:rPr>
          <w:rFonts w:eastAsiaTheme="minorEastAsia"/>
          <w:lang w:val="en-GB" w:bidi="en-US"/>
        </w:rPr>
        <w:t xml:space="preserve">resent </w:t>
      </w:r>
      <w:r w:rsidR="001C6501" w:rsidRPr="00597788">
        <w:rPr>
          <w:rFonts w:eastAsiaTheme="minorEastAsia"/>
          <w:lang w:val="en-GB" w:bidi="en-US"/>
        </w:rPr>
        <w:t>v</w:t>
      </w:r>
      <w:r w:rsidR="00607DAA" w:rsidRPr="00597788">
        <w:rPr>
          <w:rFonts w:eastAsiaTheme="minorEastAsia"/>
          <w:lang w:val="en-GB" w:bidi="en-US"/>
        </w:rPr>
        <w:t>alue</w:t>
      </w:r>
      <w:r w:rsidR="001C6501" w:rsidRPr="00597788">
        <w:rPr>
          <w:rFonts w:eastAsiaTheme="minorEastAsia"/>
          <w:lang w:val="en-GB" w:bidi="en-US"/>
        </w:rPr>
        <w:t>,</w:t>
      </w:r>
      <w:r w:rsidR="00607DAA" w:rsidRPr="00597788">
        <w:rPr>
          <w:rFonts w:eastAsiaTheme="minorEastAsia"/>
          <w:lang w:val="en-GB" w:bidi="en-US"/>
        </w:rPr>
        <w:t xml:space="preserve"> </w:t>
      </w:r>
      <w:r w:rsidR="001C6501" w:rsidRPr="00597788">
        <w:rPr>
          <w:rFonts w:eastAsiaTheme="minorEastAsia"/>
          <w:lang w:val="en-GB" w:bidi="en-US"/>
        </w:rPr>
        <w:t>which</w:t>
      </w:r>
      <w:r w:rsidR="00607DAA" w:rsidRPr="00597788">
        <w:rPr>
          <w:rFonts w:eastAsiaTheme="minorEastAsia"/>
          <w:lang w:val="en-GB" w:bidi="en-US"/>
        </w:rPr>
        <w:t xml:space="preserve"> </w:t>
      </w:r>
      <w:r w:rsidR="00CD1F01" w:rsidRPr="00597788">
        <w:rPr>
          <w:rFonts w:eastAsiaTheme="minorEastAsia"/>
          <w:lang w:val="en-GB" w:bidi="en-US"/>
        </w:rPr>
        <w:t>factored</w:t>
      </w:r>
      <w:r w:rsidR="001C6501" w:rsidRPr="00597788">
        <w:rPr>
          <w:rFonts w:eastAsiaTheme="minorEastAsia"/>
          <w:lang w:val="en-GB" w:bidi="en-US"/>
        </w:rPr>
        <w:t xml:space="preserve"> in</w:t>
      </w:r>
      <w:r w:rsidR="00CD1F01" w:rsidRPr="00597788">
        <w:rPr>
          <w:rFonts w:eastAsiaTheme="minorEastAsia"/>
          <w:lang w:val="en-GB" w:bidi="en-US"/>
        </w:rPr>
        <w:t xml:space="preserve"> estimated inflation rates. The new financial analysis also considered the long-term financial implications of each option, estimating both cash flow and costs through</w:t>
      </w:r>
      <w:r w:rsidR="001C6501" w:rsidRPr="00597788">
        <w:rPr>
          <w:rFonts w:eastAsiaTheme="minorEastAsia"/>
          <w:lang w:val="en-GB" w:bidi="en-US"/>
        </w:rPr>
        <w:t xml:space="preserve"> to</w:t>
      </w:r>
      <w:r w:rsidR="00CD1F01" w:rsidRPr="00597788">
        <w:rPr>
          <w:rFonts w:eastAsiaTheme="minorEastAsia"/>
          <w:lang w:val="en-GB" w:bidi="en-US"/>
        </w:rPr>
        <w:t xml:space="preserve"> the year 2023. Costs </w:t>
      </w:r>
      <w:r w:rsidR="001C6501" w:rsidRPr="00597788">
        <w:rPr>
          <w:rFonts w:eastAsiaTheme="minorEastAsia"/>
          <w:lang w:val="en-GB" w:bidi="en-US"/>
        </w:rPr>
        <w:t>were</w:t>
      </w:r>
      <w:r w:rsidR="00CD1F01" w:rsidRPr="00597788">
        <w:rPr>
          <w:rFonts w:eastAsiaTheme="minorEastAsia"/>
          <w:lang w:val="en-GB" w:bidi="en-US"/>
        </w:rPr>
        <w:t xml:space="preserve"> particularly important for R</w:t>
      </w:r>
      <w:r w:rsidR="001C6501" w:rsidRPr="00597788">
        <w:rPr>
          <w:rFonts w:eastAsiaTheme="minorEastAsia"/>
          <w:lang w:val="en-GB" w:bidi="en-US"/>
        </w:rPr>
        <w:t>eimer</w:t>
      </w:r>
      <w:r w:rsidR="00CD1F01" w:rsidRPr="00597788">
        <w:rPr>
          <w:rFonts w:eastAsiaTheme="minorEastAsia"/>
          <w:lang w:val="en-GB" w:bidi="en-US"/>
        </w:rPr>
        <w:t xml:space="preserve"> to analyze because they </w:t>
      </w:r>
      <w:r w:rsidR="001C6501" w:rsidRPr="00597788">
        <w:rPr>
          <w:rFonts w:eastAsiaTheme="minorEastAsia"/>
          <w:lang w:val="en-GB" w:bidi="en-US"/>
        </w:rPr>
        <w:t>were</w:t>
      </w:r>
      <w:r w:rsidR="00CD1F01" w:rsidRPr="00597788">
        <w:rPr>
          <w:rFonts w:eastAsiaTheme="minorEastAsia"/>
          <w:lang w:val="en-GB" w:bidi="en-US"/>
        </w:rPr>
        <w:t xml:space="preserve"> directly passed on to customers. Most importantly, the new financial analysis demonstrated the negative impact that </w:t>
      </w:r>
      <w:r w:rsidR="00BD37C1" w:rsidRPr="00597788">
        <w:rPr>
          <w:rFonts w:eastAsiaTheme="minorEastAsia"/>
          <w:lang w:val="en-GB" w:bidi="en-US"/>
        </w:rPr>
        <w:t>the status quo alternative would have on both cash flow and costs</w:t>
      </w:r>
      <w:r w:rsidR="001C6501" w:rsidRPr="00597788">
        <w:rPr>
          <w:rFonts w:eastAsiaTheme="minorEastAsia"/>
          <w:lang w:val="en-GB" w:bidi="en-US"/>
        </w:rPr>
        <w:t>, which was apparent in</w:t>
      </w:r>
      <w:r w:rsidR="00BD37C1" w:rsidRPr="00597788">
        <w:rPr>
          <w:rFonts w:eastAsiaTheme="minorEastAsia"/>
          <w:lang w:val="en-GB" w:bidi="en-US"/>
        </w:rPr>
        <w:t xml:space="preserve"> two main factors. </w:t>
      </w:r>
      <w:r w:rsidR="001C6501" w:rsidRPr="00597788">
        <w:rPr>
          <w:rFonts w:eastAsiaTheme="minorEastAsia"/>
          <w:lang w:val="en-GB" w:bidi="en-US"/>
        </w:rPr>
        <w:t>The f</w:t>
      </w:r>
      <w:r w:rsidR="00BD37C1" w:rsidRPr="00597788">
        <w:rPr>
          <w:rFonts w:eastAsiaTheme="minorEastAsia"/>
          <w:lang w:val="en-GB" w:bidi="en-US"/>
        </w:rPr>
        <w:t xml:space="preserve">irst was the increased costs for compliance sampling and meter replacements to keep EDTI compliant with Measurement Canada’s requirements beginning in 2014. </w:t>
      </w:r>
      <w:r w:rsidR="001C6501" w:rsidRPr="00597788">
        <w:rPr>
          <w:rFonts w:eastAsiaTheme="minorEastAsia"/>
          <w:lang w:val="en-GB" w:bidi="en-US"/>
        </w:rPr>
        <w:t>The s</w:t>
      </w:r>
      <w:r w:rsidR="00BD37C1" w:rsidRPr="00597788">
        <w:rPr>
          <w:rFonts w:eastAsiaTheme="minorEastAsia"/>
          <w:lang w:val="en-GB" w:bidi="en-US"/>
        </w:rPr>
        <w:t>econd</w:t>
      </w:r>
      <w:r w:rsidR="001C6501" w:rsidRPr="00597788">
        <w:rPr>
          <w:rFonts w:eastAsiaTheme="minorEastAsia"/>
          <w:lang w:val="en-GB" w:bidi="en-US"/>
        </w:rPr>
        <w:t xml:space="preserve"> was that</w:t>
      </w:r>
      <w:r w:rsidR="00BD37C1" w:rsidRPr="00597788">
        <w:rPr>
          <w:rFonts w:eastAsiaTheme="minorEastAsia"/>
          <w:lang w:val="en-GB" w:bidi="en-US"/>
        </w:rPr>
        <w:t xml:space="preserve"> customers would not benefit from the lower costs that automation would provide. </w:t>
      </w:r>
    </w:p>
    <w:p w14:paraId="70ACF07C" w14:textId="77777777" w:rsidR="00CD1F01" w:rsidRPr="00597788" w:rsidRDefault="00CD1F01" w:rsidP="00B04C2E">
      <w:pPr>
        <w:pStyle w:val="BodyTextMain"/>
        <w:rPr>
          <w:rFonts w:eastAsiaTheme="minorEastAsia"/>
          <w:lang w:val="en-GB" w:bidi="en-US"/>
        </w:rPr>
      </w:pPr>
    </w:p>
    <w:p w14:paraId="27907F26" w14:textId="6A69CD94" w:rsidR="00B04C2E" w:rsidRPr="00597788" w:rsidRDefault="00B04C2E" w:rsidP="00B04C2E">
      <w:pPr>
        <w:pStyle w:val="BodyTextMain"/>
        <w:rPr>
          <w:rFonts w:eastAsiaTheme="minorEastAsia"/>
          <w:lang w:val="en-GB" w:bidi="en-US"/>
        </w:rPr>
      </w:pPr>
      <w:r w:rsidRPr="00597788">
        <w:rPr>
          <w:rFonts w:eastAsiaTheme="minorEastAsia"/>
          <w:lang w:val="en-GB" w:bidi="en-US"/>
        </w:rPr>
        <w:t>There were clear benefits and drawbacks for each alternative, but R</w:t>
      </w:r>
      <w:r w:rsidR="00DB3F7E" w:rsidRPr="00597788">
        <w:rPr>
          <w:rFonts w:eastAsiaTheme="minorEastAsia"/>
          <w:lang w:val="en-GB" w:bidi="en-US"/>
        </w:rPr>
        <w:t>eimer</w:t>
      </w:r>
      <w:r w:rsidRPr="00597788">
        <w:rPr>
          <w:rFonts w:eastAsiaTheme="minorEastAsia"/>
          <w:lang w:val="en-GB" w:bidi="en-US"/>
        </w:rPr>
        <w:t xml:space="preserve"> had to decide </w:t>
      </w:r>
      <w:r w:rsidR="00DB3F7E" w:rsidRPr="00597788">
        <w:rPr>
          <w:rFonts w:eastAsiaTheme="minorEastAsia"/>
          <w:lang w:val="en-GB" w:bidi="en-US"/>
        </w:rPr>
        <w:t xml:space="preserve">into </w:t>
      </w:r>
      <w:r w:rsidRPr="00597788">
        <w:rPr>
          <w:rFonts w:eastAsiaTheme="minorEastAsia"/>
          <w:lang w:val="en-GB" w:bidi="en-US"/>
        </w:rPr>
        <w:t xml:space="preserve">which of the options he should invest time and effort </w:t>
      </w:r>
      <w:r w:rsidR="00DB3F7E" w:rsidRPr="00597788">
        <w:rPr>
          <w:rFonts w:eastAsiaTheme="minorEastAsia"/>
          <w:lang w:val="en-GB" w:bidi="en-US"/>
        </w:rPr>
        <w:t xml:space="preserve">for </w:t>
      </w:r>
      <w:r w:rsidRPr="00597788">
        <w:rPr>
          <w:rFonts w:eastAsiaTheme="minorEastAsia"/>
          <w:lang w:val="en-GB" w:bidi="en-US"/>
        </w:rPr>
        <w:t>building a business case. Which of the alternatives would be most beneficial for the business and its stakeholders in the long run? What was most likely to be accepted by the stakeholders</w:t>
      </w:r>
      <w:r w:rsidR="00DB3F7E" w:rsidRPr="00597788">
        <w:rPr>
          <w:rFonts w:eastAsiaTheme="minorEastAsia"/>
          <w:lang w:val="en-GB" w:bidi="en-US"/>
        </w:rPr>
        <w:t>,</w:t>
      </w:r>
      <w:r w:rsidRPr="00597788">
        <w:rPr>
          <w:rFonts w:eastAsiaTheme="minorEastAsia"/>
          <w:lang w:val="en-GB" w:bidi="en-US"/>
        </w:rPr>
        <w:t xml:space="preserve"> and how could EDTI facilitate this? What kind of business case would need to be presented to the AUC for a project to be approved?</w:t>
      </w:r>
    </w:p>
    <w:p w14:paraId="6D6AA9D9" w14:textId="2BD56A09" w:rsidR="00C57568" w:rsidRPr="00597788" w:rsidRDefault="00F23D09" w:rsidP="00B04C2E">
      <w:pPr>
        <w:pStyle w:val="BodyTextMain"/>
        <w:rPr>
          <w:rFonts w:eastAsiaTheme="minorEastAsia"/>
          <w:lang w:val="en-GB" w:bidi="en-US"/>
        </w:rPr>
      </w:pPr>
      <w:r w:rsidRPr="00597788">
        <w:rPr>
          <w:rFonts w:ascii="Calibri" w:hAnsi="Calibri"/>
          <w:noProof/>
          <w:szCs w:val="24"/>
        </w:rPr>
        <mc:AlternateContent>
          <mc:Choice Requires="wps">
            <w:drawing>
              <wp:anchor distT="45720" distB="45720" distL="114300" distR="114300" simplePos="0" relativeHeight="251658240" behindDoc="0" locked="0" layoutInCell="1" allowOverlap="1" wp14:anchorId="6E9C0D3E" wp14:editId="34854297">
                <wp:simplePos x="0" y="0"/>
                <wp:positionH relativeFrom="column">
                  <wp:posOffset>530418</wp:posOffset>
                </wp:positionH>
                <wp:positionV relativeFrom="paragraph">
                  <wp:posOffset>135255</wp:posOffset>
                </wp:positionV>
                <wp:extent cx="4648200" cy="4826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482600"/>
                        </a:xfrm>
                        <a:prstGeom prst="rect">
                          <a:avLst/>
                        </a:prstGeom>
                        <a:solidFill>
                          <a:srgbClr val="FFFFFF"/>
                        </a:solidFill>
                        <a:ln w="9525">
                          <a:solidFill>
                            <a:srgbClr val="000000"/>
                          </a:solidFill>
                          <a:miter lim="800000"/>
                          <a:headEnd/>
                          <a:tailEnd/>
                        </a:ln>
                      </wps:spPr>
                      <wps:txbx>
                        <w:txbxContent>
                          <w:p w14:paraId="0CBBD5F8" w14:textId="1815F99A" w:rsidR="00E912A2" w:rsidRPr="00C57568" w:rsidRDefault="00E912A2" w:rsidP="00C57568">
                            <w:pPr>
                              <w:pStyle w:val="Footnote"/>
                              <w:jc w:val="center"/>
                              <w:rPr>
                                <w:lang w:bidi="en-US"/>
                              </w:rPr>
                            </w:pPr>
                            <w:r>
                              <w:rPr>
                                <w:lang w:bidi="en-US"/>
                              </w:rPr>
                              <w:t>The authors</w:t>
                            </w:r>
                            <w:r w:rsidRPr="00C57568">
                              <w:rPr>
                                <w:lang w:bidi="en-US"/>
                              </w:rPr>
                              <w:t xml:space="preserve"> thank the Canadian Centre for Corporate Social Responsibility at the Alberta School of Business</w:t>
                            </w:r>
                            <w:r>
                              <w:rPr>
                                <w:lang w:bidi="en-US"/>
                              </w:rPr>
                              <w:t xml:space="preserve"> and the </w:t>
                            </w:r>
                            <w:r w:rsidRPr="00C57568">
                              <w:rPr>
                                <w:lang w:bidi="en-US"/>
                              </w:rPr>
                              <w:t>University of Alberta</w:t>
                            </w:r>
                            <w:r>
                              <w:rPr>
                                <w:lang w:bidi="en-US"/>
                              </w:rPr>
                              <w:t xml:space="preserve"> Office of Sustainability </w:t>
                            </w:r>
                            <w:r w:rsidRPr="00C57568">
                              <w:rPr>
                                <w:lang w:bidi="en-US"/>
                              </w:rPr>
                              <w:t>for helping to support the development of this case study.</w:t>
                            </w:r>
                          </w:p>
                          <w:p w14:paraId="1D0C446B" w14:textId="77777777" w:rsidR="00E912A2" w:rsidRDefault="00E912A2" w:rsidP="00C575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C0D3E" id="_x0000_t202" coordsize="21600,21600" o:spt="202" path="m,l,21600r21600,l21600,xe">
                <v:stroke joinstyle="miter"/>
                <v:path gradientshapeok="t" o:connecttype="rect"/>
              </v:shapetype>
              <v:shape id="Text Box 2" o:spid="_x0000_s1026" type="#_x0000_t202" style="position:absolute;left:0;text-align:left;margin-left:41.75pt;margin-top:10.65pt;width:366pt;height:3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">
                <v:textbox>
                  <w:txbxContent>
                    <w:p w14:paraId="0CBBD5F8" w14:textId="1815F99A" w:rsidR="00E912A2" w:rsidRPr="00C57568" w:rsidRDefault="00E912A2" w:rsidP="00C57568">
                      <w:pPr>
                        <w:pStyle w:val="Footnote"/>
                        <w:jc w:val="center"/>
                        <w:rPr>
                          <w:lang w:bidi="en-US"/>
                        </w:rPr>
                      </w:pPr>
                      <w:r>
                        <w:rPr>
                          <w:lang w:bidi="en-US"/>
                        </w:rPr>
                        <w:t>The authors</w:t>
                      </w:r>
                      <w:r w:rsidRPr="00C57568">
                        <w:rPr>
                          <w:lang w:bidi="en-US"/>
                        </w:rPr>
                        <w:t xml:space="preserve"> thank the Canadian Centre for Corporate Social Responsibility at the Alberta School of Business</w:t>
                      </w:r>
                      <w:r>
                        <w:rPr>
                          <w:lang w:bidi="en-US"/>
                        </w:rPr>
                        <w:t xml:space="preserve"> and the </w:t>
                      </w:r>
                      <w:r w:rsidRPr="00C57568">
                        <w:rPr>
                          <w:lang w:bidi="en-US"/>
                        </w:rPr>
                        <w:t>University of Alberta</w:t>
                      </w:r>
                      <w:r>
                        <w:rPr>
                          <w:lang w:bidi="en-US"/>
                        </w:rPr>
                        <w:t xml:space="preserve"> Office of Sustainability </w:t>
                      </w:r>
                      <w:r w:rsidRPr="00C57568">
                        <w:rPr>
                          <w:lang w:bidi="en-US"/>
                        </w:rPr>
                        <w:t>for helping to support the development of this case study.</w:t>
                      </w:r>
                    </w:p>
                    <w:p w14:paraId="1D0C446B" w14:textId="77777777" w:rsidR="00E912A2" w:rsidRDefault="00E912A2" w:rsidP="00C57568"/>
                  </w:txbxContent>
                </v:textbox>
                <w10:wrap type="square"/>
              </v:shape>
            </w:pict>
          </mc:Fallback>
        </mc:AlternateContent>
      </w:r>
    </w:p>
    <w:p w14:paraId="3002C9E4" w14:textId="16D2B0CD" w:rsidR="00C57568" w:rsidRPr="00597788" w:rsidRDefault="00C57568" w:rsidP="00B04C2E">
      <w:pPr>
        <w:pStyle w:val="BodyTextMain"/>
        <w:rPr>
          <w:lang w:val="en-GB"/>
        </w:rPr>
      </w:pPr>
    </w:p>
    <w:p w14:paraId="76080492" w14:textId="77777777" w:rsidR="007E4763" w:rsidRPr="00597788" w:rsidRDefault="007E4763">
      <w:pPr>
        <w:spacing w:after="200" w:line="276" w:lineRule="auto"/>
        <w:rPr>
          <w:sz w:val="22"/>
          <w:szCs w:val="22"/>
          <w:lang w:val="en-GB"/>
        </w:rPr>
      </w:pPr>
      <w:r w:rsidRPr="00597788">
        <w:rPr>
          <w:lang w:val="en-GB"/>
        </w:rPr>
        <w:br w:type="page"/>
      </w:r>
    </w:p>
    <w:p w14:paraId="2CA43F97" w14:textId="77777777" w:rsidR="00B04C2E" w:rsidRPr="00597788" w:rsidRDefault="007E4763" w:rsidP="00360100">
      <w:pPr>
        <w:pStyle w:val="ExhibitHeading"/>
        <w:outlineLvl w:val="0"/>
        <w:rPr>
          <w:lang w:val="en-GB"/>
        </w:rPr>
      </w:pPr>
      <w:r w:rsidRPr="00597788">
        <w:rPr>
          <w:lang w:val="en-GB"/>
        </w:rPr>
        <w:lastRenderedPageBreak/>
        <w:t>EXHIBIT 1</w:t>
      </w:r>
      <w:r w:rsidR="004331A6" w:rsidRPr="00597788">
        <w:rPr>
          <w:lang w:val="en-GB"/>
        </w:rPr>
        <w:t>:</w:t>
      </w:r>
      <w:r w:rsidRPr="00597788">
        <w:rPr>
          <w:lang w:val="en-GB"/>
        </w:rPr>
        <w:t xml:space="preserve"> ELECTRICITY SUPPLY CHAIN IN ALBERTA</w:t>
      </w:r>
    </w:p>
    <w:p w14:paraId="3CF98DC5" w14:textId="77777777" w:rsidR="00DC75C1" w:rsidRPr="00597788" w:rsidRDefault="00DC75C1" w:rsidP="00F23D09">
      <w:pPr>
        <w:pStyle w:val="Footnote"/>
        <w:rPr>
          <w:lang w:val="en-GB"/>
        </w:rPr>
      </w:pPr>
    </w:p>
    <w:tbl>
      <w:tblPr>
        <w:tblStyle w:val="TableGrid"/>
        <w:tblW w:w="0" w:type="auto"/>
        <w:tblLook w:val="04A0" w:firstRow="1" w:lastRow="0" w:firstColumn="1" w:lastColumn="0" w:noHBand="0" w:noVBand="1"/>
      </w:tblPr>
      <w:tblGrid>
        <w:gridCol w:w="1870"/>
        <w:gridCol w:w="1870"/>
        <w:gridCol w:w="1870"/>
        <w:gridCol w:w="1870"/>
        <w:gridCol w:w="1870"/>
      </w:tblGrid>
      <w:tr w:rsidR="00DC75C1" w:rsidRPr="00F23D09" w14:paraId="3F1417B4" w14:textId="77777777" w:rsidTr="00DC75C1">
        <w:tc>
          <w:tcPr>
            <w:tcW w:w="1870" w:type="dxa"/>
          </w:tcPr>
          <w:p w14:paraId="1A82F45C" w14:textId="77777777" w:rsidR="00DC75C1" w:rsidRPr="00F23D09" w:rsidRDefault="00DC75C1" w:rsidP="00DC75C1">
            <w:pPr>
              <w:pStyle w:val="ExhibitText"/>
              <w:rPr>
                <w:sz w:val="18"/>
                <w:szCs w:val="18"/>
                <w:lang w:val="en-GB"/>
              </w:rPr>
            </w:pPr>
          </w:p>
        </w:tc>
        <w:tc>
          <w:tcPr>
            <w:tcW w:w="1870" w:type="dxa"/>
            <w:vAlign w:val="center"/>
          </w:tcPr>
          <w:p w14:paraId="2CE52DB7" w14:textId="303B93AB" w:rsidR="00DC75C1" w:rsidRPr="00F23D09" w:rsidRDefault="00DC75C1" w:rsidP="00DC75C1">
            <w:pPr>
              <w:pStyle w:val="ExhibitText"/>
              <w:jc w:val="center"/>
              <w:rPr>
                <w:sz w:val="18"/>
                <w:szCs w:val="18"/>
                <w:lang w:val="en-GB"/>
              </w:rPr>
            </w:pPr>
            <w:r w:rsidRPr="00F23D09">
              <w:rPr>
                <w:sz w:val="18"/>
                <w:szCs w:val="18"/>
                <w:lang w:val="en-GB"/>
              </w:rPr>
              <w:t>Generation</w:t>
            </w:r>
          </w:p>
        </w:tc>
        <w:tc>
          <w:tcPr>
            <w:tcW w:w="1870" w:type="dxa"/>
            <w:vAlign w:val="center"/>
          </w:tcPr>
          <w:p w14:paraId="6F177E9C" w14:textId="789CD6B1" w:rsidR="00DC75C1" w:rsidRPr="00F23D09" w:rsidRDefault="00DC75C1" w:rsidP="00DC75C1">
            <w:pPr>
              <w:pStyle w:val="ExhibitText"/>
              <w:jc w:val="center"/>
              <w:rPr>
                <w:sz w:val="18"/>
                <w:szCs w:val="18"/>
                <w:lang w:val="en-GB"/>
              </w:rPr>
            </w:pPr>
            <w:r w:rsidRPr="00F23D09">
              <w:rPr>
                <w:sz w:val="18"/>
                <w:szCs w:val="18"/>
                <w:lang w:val="en-GB"/>
              </w:rPr>
              <w:t>Transmission</w:t>
            </w:r>
          </w:p>
        </w:tc>
        <w:tc>
          <w:tcPr>
            <w:tcW w:w="1870" w:type="dxa"/>
            <w:vAlign w:val="center"/>
          </w:tcPr>
          <w:p w14:paraId="736126E9" w14:textId="33E540C2" w:rsidR="00DC75C1" w:rsidRPr="00F23D09" w:rsidRDefault="00DC75C1" w:rsidP="00DC75C1">
            <w:pPr>
              <w:pStyle w:val="ExhibitText"/>
              <w:jc w:val="center"/>
              <w:rPr>
                <w:sz w:val="18"/>
                <w:szCs w:val="18"/>
                <w:lang w:val="en-GB"/>
              </w:rPr>
            </w:pPr>
            <w:r w:rsidRPr="00F23D09">
              <w:rPr>
                <w:sz w:val="18"/>
                <w:szCs w:val="18"/>
                <w:lang w:val="en-GB"/>
              </w:rPr>
              <w:t>Distribution</w:t>
            </w:r>
          </w:p>
        </w:tc>
        <w:tc>
          <w:tcPr>
            <w:tcW w:w="1870" w:type="dxa"/>
            <w:vAlign w:val="center"/>
          </w:tcPr>
          <w:p w14:paraId="711EA104" w14:textId="7CF22113" w:rsidR="00DC75C1" w:rsidRPr="00F23D09" w:rsidRDefault="00DC75C1" w:rsidP="00DC75C1">
            <w:pPr>
              <w:pStyle w:val="ExhibitText"/>
              <w:jc w:val="center"/>
              <w:rPr>
                <w:sz w:val="18"/>
                <w:szCs w:val="18"/>
                <w:lang w:val="en-GB"/>
              </w:rPr>
            </w:pPr>
            <w:r w:rsidRPr="00F23D09">
              <w:rPr>
                <w:sz w:val="18"/>
                <w:szCs w:val="18"/>
                <w:lang w:val="en-GB"/>
              </w:rPr>
              <w:t>Retail</w:t>
            </w:r>
          </w:p>
        </w:tc>
      </w:tr>
      <w:tr w:rsidR="00DC75C1" w:rsidRPr="00F23D09" w14:paraId="381AACF0" w14:textId="77777777" w:rsidTr="00DC75C1">
        <w:tc>
          <w:tcPr>
            <w:tcW w:w="1870" w:type="dxa"/>
            <w:vAlign w:val="center"/>
          </w:tcPr>
          <w:p w14:paraId="00DE3AF9" w14:textId="6FEBC47E" w:rsidR="00DC75C1" w:rsidRPr="00F23D09" w:rsidRDefault="00DC75C1" w:rsidP="00DC75C1">
            <w:pPr>
              <w:pStyle w:val="ExhibitText"/>
              <w:jc w:val="left"/>
              <w:rPr>
                <w:sz w:val="18"/>
                <w:szCs w:val="18"/>
                <w:lang w:val="en-GB"/>
              </w:rPr>
            </w:pPr>
            <w:r w:rsidRPr="00F23D09">
              <w:rPr>
                <w:sz w:val="18"/>
                <w:szCs w:val="18"/>
                <w:lang w:val="en-GB"/>
              </w:rPr>
              <w:t>Industry Structure</w:t>
            </w:r>
          </w:p>
        </w:tc>
        <w:tc>
          <w:tcPr>
            <w:tcW w:w="1870" w:type="dxa"/>
            <w:vAlign w:val="center"/>
          </w:tcPr>
          <w:p w14:paraId="6889091E" w14:textId="5D9362D7" w:rsidR="00DC75C1" w:rsidRPr="00F23D09" w:rsidRDefault="00DC75C1" w:rsidP="00DC75C1">
            <w:pPr>
              <w:pStyle w:val="ExhibitText"/>
              <w:jc w:val="center"/>
              <w:rPr>
                <w:sz w:val="18"/>
                <w:szCs w:val="18"/>
                <w:lang w:val="en-GB"/>
              </w:rPr>
            </w:pPr>
            <w:r w:rsidRPr="00F23D09">
              <w:rPr>
                <w:sz w:val="18"/>
                <w:szCs w:val="18"/>
                <w:lang w:val="en-GB"/>
              </w:rPr>
              <w:t>Deregulated</w:t>
            </w:r>
          </w:p>
        </w:tc>
        <w:tc>
          <w:tcPr>
            <w:tcW w:w="1870" w:type="dxa"/>
            <w:vAlign w:val="center"/>
          </w:tcPr>
          <w:p w14:paraId="6C2FB99C" w14:textId="7A43C258" w:rsidR="00DC75C1" w:rsidRPr="00F23D09" w:rsidRDefault="00DC75C1" w:rsidP="00DC75C1">
            <w:pPr>
              <w:pStyle w:val="ExhibitText"/>
              <w:jc w:val="center"/>
              <w:rPr>
                <w:sz w:val="18"/>
                <w:szCs w:val="18"/>
                <w:lang w:val="en-GB"/>
              </w:rPr>
            </w:pPr>
            <w:r w:rsidRPr="00F23D09">
              <w:rPr>
                <w:sz w:val="18"/>
                <w:szCs w:val="18"/>
                <w:lang w:val="en-GB"/>
              </w:rPr>
              <w:t>Regulated</w:t>
            </w:r>
          </w:p>
        </w:tc>
        <w:tc>
          <w:tcPr>
            <w:tcW w:w="1870" w:type="dxa"/>
            <w:vAlign w:val="center"/>
          </w:tcPr>
          <w:p w14:paraId="7DF088AF" w14:textId="1483ADEC" w:rsidR="00DC75C1" w:rsidRPr="00F23D09" w:rsidRDefault="00DC75C1" w:rsidP="00DC75C1">
            <w:pPr>
              <w:pStyle w:val="ExhibitText"/>
              <w:jc w:val="center"/>
              <w:rPr>
                <w:sz w:val="18"/>
                <w:szCs w:val="18"/>
                <w:lang w:val="en-GB"/>
              </w:rPr>
            </w:pPr>
            <w:r w:rsidRPr="00F23D09">
              <w:rPr>
                <w:sz w:val="18"/>
                <w:szCs w:val="18"/>
                <w:lang w:val="en-GB"/>
              </w:rPr>
              <w:t>Regulated</w:t>
            </w:r>
          </w:p>
        </w:tc>
        <w:tc>
          <w:tcPr>
            <w:tcW w:w="1870" w:type="dxa"/>
            <w:vAlign w:val="center"/>
          </w:tcPr>
          <w:p w14:paraId="0FB89AE3" w14:textId="1AB3E544" w:rsidR="00DC75C1" w:rsidRPr="00F23D09" w:rsidRDefault="00DC75C1" w:rsidP="00DC75C1">
            <w:pPr>
              <w:pStyle w:val="ExhibitText"/>
              <w:jc w:val="center"/>
              <w:rPr>
                <w:sz w:val="18"/>
                <w:szCs w:val="18"/>
                <w:lang w:val="en-GB"/>
              </w:rPr>
            </w:pPr>
            <w:r w:rsidRPr="00F23D09">
              <w:rPr>
                <w:sz w:val="18"/>
                <w:szCs w:val="18"/>
                <w:lang w:val="en-GB"/>
              </w:rPr>
              <w:t>Regulated and Deregulated</w:t>
            </w:r>
          </w:p>
        </w:tc>
      </w:tr>
      <w:tr w:rsidR="00DC75C1" w:rsidRPr="00F23D09" w14:paraId="6540C729" w14:textId="77777777" w:rsidTr="00DC75C1">
        <w:tc>
          <w:tcPr>
            <w:tcW w:w="1870" w:type="dxa"/>
            <w:vAlign w:val="center"/>
          </w:tcPr>
          <w:p w14:paraId="72694F0C" w14:textId="42DE19DF" w:rsidR="00DC75C1" w:rsidRPr="00F23D09" w:rsidRDefault="00DC75C1" w:rsidP="00DC75C1">
            <w:pPr>
              <w:pStyle w:val="ExhibitText"/>
              <w:jc w:val="left"/>
              <w:rPr>
                <w:sz w:val="18"/>
                <w:szCs w:val="18"/>
                <w:lang w:val="en-GB"/>
              </w:rPr>
            </w:pPr>
            <w:r w:rsidRPr="00F23D09">
              <w:rPr>
                <w:sz w:val="18"/>
                <w:szCs w:val="18"/>
                <w:lang w:val="en-GB"/>
              </w:rPr>
              <w:t>Regulating and Intervening Bodies</w:t>
            </w:r>
          </w:p>
        </w:tc>
        <w:tc>
          <w:tcPr>
            <w:tcW w:w="3740" w:type="dxa"/>
            <w:gridSpan w:val="2"/>
            <w:vAlign w:val="center"/>
          </w:tcPr>
          <w:p w14:paraId="2F275F40" w14:textId="77777777" w:rsidR="00DC75C1" w:rsidRPr="00F23D09" w:rsidRDefault="00DC75C1" w:rsidP="00DC75C1">
            <w:pPr>
              <w:pStyle w:val="ExhibitText"/>
              <w:jc w:val="center"/>
              <w:rPr>
                <w:sz w:val="18"/>
                <w:szCs w:val="18"/>
                <w:lang w:val="en-GB"/>
              </w:rPr>
            </w:pPr>
            <w:r w:rsidRPr="00F23D09">
              <w:rPr>
                <w:sz w:val="18"/>
                <w:szCs w:val="18"/>
                <w:lang w:val="en-GB"/>
              </w:rPr>
              <w:t>Alberta Electric Systems Operator</w:t>
            </w:r>
          </w:p>
          <w:p w14:paraId="147DF2E5" w14:textId="77777777" w:rsidR="00DC75C1" w:rsidRPr="00F23D09" w:rsidRDefault="00DC75C1" w:rsidP="00DC75C1">
            <w:pPr>
              <w:pStyle w:val="ExhibitText"/>
              <w:jc w:val="center"/>
              <w:rPr>
                <w:sz w:val="18"/>
                <w:szCs w:val="18"/>
                <w:lang w:val="en-GB"/>
              </w:rPr>
            </w:pPr>
            <w:r w:rsidRPr="00F23D09">
              <w:rPr>
                <w:sz w:val="18"/>
                <w:szCs w:val="18"/>
                <w:lang w:val="en-GB"/>
              </w:rPr>
              <w:t>Alberta Utilities Commission</w:t>
            </w:r>
          </w:p>
          <w:p w14:paraId="15B08FAF" w14:textId="77777777" w:rsidR="00DC75C1" w:rsidRPr="00F23D09" w:rsidRDefault="00DC75C1" w:rsidP="00DC75C1">
            <w:pPr>
              <w:pStyle w:val="ExhibitText"/>
              <w:jc w:val="center"/>
              <w:rPr>
                <w:sz w:val="18"/>
                <w:szCs w:val="18"/>
                <w:lang w:val="en-GB"/>
              </w:rPr>
            </w:pPr>
            <w:r w:rsidRPr="00F23D09">
              <w:rPr>
                <w:sz w:val="18"/>
                <w:szCs w:val="18"/>
                <w:lang w:val="en-GB"/>
              </w:rPr>
              <w:t>Market Surveillance Agency</w:t>
            </w:r>
          </w:p>
          <w:p w14:paraId="25065D7F" w14:textId="54B06092" w:rsidR="00DC75C1" w:rsidRPr="00F23D09" w:rsidRDefault="00DC75C1" w:rsidP="00DC75C1">
            <w:pPr>
              <w:pStyle w:val="ExhibitText"/>
              <w:jc w:val="center"/>
              <w:rPr>
                <w:sz w:val="18"/>
                <w:szCs w:val="18"/>
                <w:lang w:val="en-GB"/>
              </w:rPr>
            </w:pPr>
            <w:r w:rsidRPr="00F23D09">
              <w:rPr>
                <w:sz w:val="18"/>
                <w:szCs w:val="18"/>
                <w:lang w:val="en-GB"/>
              </w:rPr>
              <w:t>Department of Energy</w:t>
            </w:r>
          </w:p>
        </w:tc>
        <w:tc>
          <w:tcPr>
            <w:tcW w:w="3740" w:type="dxa"/>
            <w:gridSpan w:val="2"/>
            <w:vAlign w:val="center"/>
          </w:tcPr>
          <w:p w14:paraId="3E738D0B" w14:textId="77777777" w:rsidR="00DC75C1" w:rsidRPr="00F23D09" w:rsidRDefault="00DC75C1" w:rsidP="00DC75C1">
            <w:pPr>
              <w:pStyle w:val="ExhibitText"/>
              <w:jc w:val="center"/>
              <w:rPr>
                <w:sz w:val="18"/>
                <w:szCs w:val="18"/>
                <w:lang w:val="en-GB"/>
              </w:rPr>
            </w:pPr>
            <w:r w:rsidRPr="00F23D09">
              <w:rPr>
                <w:sz w:val="18"/>
                <w:szCs w:val="18"/>
                <w:lang w:val="en-GB"/>
              </w:rPr>
              <w:t>Utilities Consumer Advocate</w:t>
            </w:r>
          </w:p>
          <w:p w14:paraId="70CFD303" w14:textId="2E990041" w:rsidR="00DC75C1" w:rsidRPr="00F23D09" w:rsidRDefault="00DC75C1" w:rsidP="00DC75C1">
            <w:pPr>
              <w:pStyle w:val="ExhibitText"/>
              <w:jc w:val="center"/>
              <w:rPr>
                <w:sz w:val="18"/>
                <w:szCs w:val="18"/>
                <w:lang w:val="en-GB"/>
              </w:rPr>
            </w:pPr>
            <w:r w:rsidRPr="00F23D09">
              <w:rPr>
                <w:sz w:val="18"/>
                <w:szCs w:val="18"/>
                <w:lang w:val="en-GB"/>
              </w:rPr>
              <w:t>Consumers’ Coalition of Alberta</w:t>
            </w:r>
          </w:p>
          <w:p w14:paraId="53E72344" w14:textId="5A659EFF" w:rsidR="00DC75C1" w:rsidRPr="00F23D09" w:rsidRDefault="00DC75C1" w:rsidP="00DC75C1">
            <w:pPr>
              <w:pStyle w:val="ExhibitText"/>
              <w:jc w:val="center"/>
              <w:rPr>
                <w:sz w:val="18"/>
                <w:szCs w:val="18"/>
                <w:lang w:val="en-GB"/>
              </w:rPr>
            </w:pPr>
            <w:r w:rsidRPr="00F23D09">
              <w:rPr>
                <w:sz w:val="18"/>
                <w:szCs w:val="18"/>
                <w:lang w:val="en-GB"/>
              </w:rPr>
              <w:t>City of Edmonton</w:t>
            </w:r>
          </w:p>
        </w:tc>
      </w:tr>
    </w:tbl>
    <w:p w14:paraId="4CC0A1D9" w14:textId="6FDF08E8" w:rsidR="00DC75C1" w:rsidRPr="00597788" w:rsidRDefault="00DC75C1" w:rsidP="00F23D09">
      <w:pPr>
        <w:pStyle w:val="Footnote"/>
        <w:rPr>
          <w:lang w:val="en-GB"/>
        </w:rPr>
      </w:pPr>
    </w:p>
    <w:p w14:paraId="528F5714" w14:textId="75DD11C6" w:rsidR="0086229E" w:rsidRDefault="0086229E" w:rsidP="00360100">
      <w:pPr>
        <w:pStyle w:val="Footnote"/>
        <w:outlineLvl w:val="0"/>
        <w:rPr>
          <w:lang w:val="en-GB"/>
        </w:rPr>
      </w:pPr>
      <w:r w:rsidRPr="00597788">
        <w:rPr>
          <w:lang w:val="en-GB"/>
        </w:rPr>
        <w:t xml:space="preserve">Source: Created </w:t>
      </w:r>
      <w:r w:rsidR="00DB3F7E" w:rsidRPr="00597788">
        <w:rPr>
          <w:lang w:val="en-GB"/>
        </w:rPr>
        <w:t>by the authors using</w:t>
      </w:r>
      <w:r w:rsidRPr="00597788">
        <w:rPr>
          <w:lang w:val="en-GB"/>
        </w:rPr>
        <w:t xml:space="preserve"> data from</w:t>
      </w:r>
      <w:r w:rsidR="00F52E90" w:rsidRPr="00597788">
        <w:rPr>
          <w:lang w:val="en-GB"/>
        </w:rPr>
        <w:t xml:space="preserve"> company documents</w:t>
      </w:r>
      <w:r w:rsidRPr="00597788">
        <w:rPr>
          <w:lang w:val="en-GB"/>
        </w:rPr>
        <w:t>.</w:t>
      </w:r>
    </w:p>
    <w:p w14:paraId="4C08952E" w14:textId="77777777" w:rsidR="00F23D09" w:rsidRDefault="00F23D09" w:rsidP="00360100">
      <w:pPr>
        <w:pStyle w:val="Footnote"/>
        <w:outlineLvl w:val="0"/>
        <w:rPr>
          <w:lang w:val="en-GB"/>
        </w:rPr>
      </w:pPr>
    </w:p>
    <w:p w14:paraId="004FDB5C" w14:textId="77777777" w:rsidR="00F23D09" w:rsidRPr="00597788" w:rsidRDefault="00F23D09" w:rsidP="00360100">
      <w:pPr>
        <w:pStyle w:val="Footnote"/>
        <w:outlineLvl w:val="0"/>
        <w:rPr>
          <w:lang w:val="en-GB"/>
        </w:rPr>
      </w:pPr>
    </w:p>
    <w:p w14:paraId="5CB75479" w14:textId="58D277AD" w:rsidR="0086229E" w:rsidRPr="00597788" w:rsidRDefault="0086229E" w:rsidP="00F23D09">
      <w:pPr>
        <w:pStyle w:val="ExhibitHeading"/>
        <w:keepNext/>
        <w:keepLines/>
        <w:outlineLvl w:val="0"/>
        <w:rPr>
          <w:rFonts w:eastAsiaTheme="minorEastAsia"/>
          <w:sz w:val="22"/>
          <w:lang w:val="en-GB" w:bidi="en-US"/>
        </w:rPr>
      </w:pPr>
      <w:r w:rsidRPr="00597788">
        <w:rPr>
          <w:rFonts w:eastAsiaTheme="majorEastAsia"/>
          <w:bCs/>
          <w:kern w:val="32"/>
          <w:lang w:val="en-GB" w:bidi="en-US"/>
        </w:rPr>
        <w:t>E</w:t>
      </w:r>
      <w:r w:rsidRPr="00597788">
        <w:rPr>
          <w:rFonts w:eastAsiaTheme="minorEastAsia"/>
          <w:lang w:val="en-GB" w:bidi="en-US"/>
        </w:rPr>
        <w:t>XHIBIT 2</w:t>
      </w:r>
      <w:r w:rsidR="004331A6" w:rsidRPr="00597788">
        <w:rPr>
          <w:rFonts w:eastAsiaTheme="minorEastAsia"/>
          <w:lang w:val="en-GB" w:bidi="en-US"/>
        </w:rPr>
        <w:t>:</w:t>
      </w:r>
      <w:r w:rsidRPr="00597788">
        <w:rPr>
          <w:rFonts w:eastAsiaTheme="minorEastAsia"/>
          <w:lang w:val="en-GB" w:bidi="en-US"/>
        </w:rPr>
        <w:t xml:space="preserve"> KEY STAKEHOLDERS</w:t>
      </w:r>
    </w:p>
    <w:p w14:paraId="00309707" w14:textId="77777777" w:rsidR="0086229E" w:rsidRPr="00597788" w:rsidRDefault="0086229E" w:rsidP="00F23D09">
      <w:pPr>
        <w:pStyle w:val="BodyTextMain"/>
        <w:keepNext/>
        <w:keepLines/>
        <w:rPr>
          <w:sz w:val="20"/>
          <w:lang w:val="en-GB"/>
        </w:rPr>
      </w:pPr>
    </w:p>
    <w:tbl>
      <w:tblPr>
        <w:tblStyle w:val="TableGrid2"/>
        <w:tblW w:w="0" w:type="auto"/>
        <w:tblLook w:val="04A0" w:firstRow="1" w:lastRow="0" w:firstColumn="1" w:lastColumn="0" w:noHBand="0" w:noVBand="1"/>
      </w:tblPr>
      <w:tblGrid>
        <w:gridCol w:w="2058"/>
        <w:gridCol w:w="3877"/>
        <w:gridCol w:w="3415"/>
      </w:tblGrid>
      <w:tr w:rsidR="0086229E" w:rsidRPr="00597788" w14:paraId="53C46BCD" w14:textId="77777777" w:rsidTr="004331A6">
        <w:tc>
          <w:tcPr>
            <w:tcW w:w="2058" w:type="dxa"/>
          </w:tcPr>
          <w:p w14:paraId="631E9EB0" w14:textId="77777777" w:rsidR="0086229E" w:rsidRPr="00597788" w:rsidRDefault="0086229E" w:rsidP="00F23D09">
            <w:pPr>
              <w:pStyle w:val="ExhibitText"/>
              <w:keepNext/>
              <w:keepLines/>
              <w:jc w:val="center"/>
              <w:rPr>
                <w:rFonts w:eastAsiaTheme="minorEastAsia"/>
                <w:b/>
                <w:sz w:val="18"/>
                <w:szCs w:val="18"/>
                <w:lang w:val="en-GB"/>
              </w:rPr>
            </w:pPr>
            <w:r w:rsidRPr="00597788">
              <w:rPr>
                <w:rFonts w:eastAsiaTheme="minorEastAsia"/>
                <w:b/>
                <w:sz w:val="18"/>
                <w:szCs w:val="18"/>
                <w:lang w:val="en-GB"/>
              </w:rPr>
              <w:t>Stakeholders</w:t>
            </w:r>
          </w:p>
        </w:tc>
        <w:tc>
          <w:tcPr>
            <w:tcW w:w="3877" w:type="dxa"/>
          </w:tcPr>
          <w:p w14:paraId="28BABA28" w14:textId="77777777" w:rsidR="0086229E" w:rsidRPr="00597788" w:rsidRDefault="0086229E" w:rsidP="00F23D09">
            <w:pPr>
              <w:pStyle w:val="ExhibitText"/>
              <w:keepNext/>
              <w:keepLines/>
              <w:jc w:val="center"/>
              <w:rPr>
                <w:rFonts w:eastAsiaTheme="minorEastAsia"/>
                <w:b/>
                <w:sz w:val="18"/>
                <w:szCs w:val="18"/>
                <w:lang w:val="en-GB"/>
              </w:rPr>
            </w:pPr>
            <w:r w:rsidRPr="00597788">
              <w:rPr>
                <w:rFonts w:eastAsiaTheme="minorEastAsia"/>
                <w:b/>
                <w:sz w:val="18"/>
                <w:szCs w:val="18"/>
                <w:lang w:val="en-GB"/>
              </w:rPr>
              <w:t>Impact on Electricity Operations</w:t>
            </w:r>
          </w:p>
        </w:tc>
        <w:tc>
          <w:tcPr>
            <w:tcW w:w="3415" w:type="dxa"/>
          </w:tcPr>
          <w:p w14:paraId="1E8447D5" w14:textId="77777777" w:rsidR="0086229E" w:rsidRPr="00597788" w:rsidRDefault="0086229E" w:rsidP="00F23D09">
            <w:pPr>
              <w:pStyle w:val="ExhibitText"/>
              <w:keepNext/>
              <w:keepLines/>
              <w:jc w:val="center"/>
              <w:rPr>
                <w:rFonts w:eastAsiaTheme="minorEastAsia"/>
                <w:b/>
                <w:sz w:val="18"/>
                <w:szCs w:val="18"/>
                <w:lang w:val="en-GB"/>
              </w:rPr>
            </w:pPr>
            <w:r w:rsidRPr="00597788">
              <w:rPr>
                <w:rFonts w:eastAsiaTheme="minorEastAsia"/>
                <w:b/>
                <w:sz w:val="18"/>
                <w:szCs w:val="18"/>
                <w:lang w:val="en-GB"/>
              </w:rPr>
              <w:t>Concerns with Smart Grid</w:t>
            </w:r>
          </w:p>
        </w:tc>
      </w:tr>
      <w:tr w:rsidR="0086229E" w:rsidRPr="00597788" w14:paraId="677BB715" w14:textId="77777777" w:rsidTr="004331A6">
        <w:tc>
          <w:tcPr>
            <w:tcW w:w="2058" w:type="dxa"/>
          </w:tcPr>
          <w:p w14:paraId="316884DF" w14:textId="718B0506" w:rsidR="0086229E" w:rsidRPr="00597788" w:rsidRDefault="0086229E" w:rsidP="00F23D09">
            <w:pPr>
              <w:pStyle w:val="ExhibitText"/>
              <w:keepNext/>
              <w:keepLines/>
              <w:jc w:val="left"/>
              <w:rPr>
                <w:rFonts w:eastAsiaTheme="minorEastAsia"/>
                <w:sz w:val="18"/>
                <w:szCs w:val="18"/>
                <w:lang w:val="en-GB"/>
              </w:rPr>
            </w:pPr>
            <w:r w:rsidRPr="00597788">
              <w:rPr>
                <w:rFonts w:eastAsiaTheme="minorEastAsia"/>
                <w:sz w:val="18"/>
                <w:szCs w:val="18"/>
                <w:lang w:val="en-GB"/>
              </w:rPr>
              <w:t>Alberta Policy Maker (Department of Energy)</w:t>
            </w:r>
          </w:p>
        </w:tc>
        <w:tc>
          <w:tcPr>
            <w:tcW w:w="3877" w:type="dxa"/>
          </w:tcPr>
          <w:p w14:paraId="11BE19FC" w14:textId="786201B4" w:rsidR="0086229E" w:rsidRPr="00597788" w:rsidRDefault="0086229E" w:rsidP="00EE680D">
            <w:pPr>
              <w:pStyle w:val="ExhibitText"/>
              <w:keepNext/>
              <w:keepLines/>
              <w:numPr>
                <w:ilvl w:val="0"/>
                <w:numId w:val="45"/>
              </w:numPr>
              <w:jc w:val="left"/>
              <w:rPr>
                <w:rFonts w:eastAsiaTheme="minorEastAsia"/>
                <w:sz w:val="18"/>
                <w:szCs w:val="18"/>
                <w:lang w:val="en-GB"/>
              </w:rPr>
            </w:pPr>
            <w:r w:rsidRPr="00597788">
              <w:rPr>
                <w:rFonts w:eastAsiaTheme="minorEastAsia"/>
                <w:sz w:val="18"/>
                <w:szCs w:val="18"/>
                <w:lang w:val="en-GB"/>
              </w:rPr>
              <w:t>The governmental policy maker for Alberta’s energy matters</w:t>
            </w:r>
            <w:r w:rsidR="008D52AE" w:rsidRPr="00597788">
              <w:rPr>
                <w:rFonts w:eastAsiaTheme="minorEastAsia"/>
                <w:sz w:val="18"/>
                <w:szCs w:val="18"/>
                <w:lang w:val="en-GB"/>
              </w:rPr>
              <w:t>: s</w:t>
            </w:r>
            <w:r w:rsidRPr="00597788">
              <w:rPr>
                <w:rFonts w:eastAsiaTheme="minorEastAsia"/>
                <w:sz w:val="18"/>
                <w:szCs w:val="18"/>
                <w:lang w:val="en-GB"/>
              </w:rPr>
              <w:t xml:space="preserve">mart </w:t>
            </w:r>
            <w:r w:rsidR="00C86EAB" w:rsidRPr="00597788">
              <w:rPr>
                <w:rFonts w:eastAsiaTheme="minorEastAsia"/>
                <w:sz w:val="18"/>
                <w:szCs w:val="18"/>
                <w:lang w:val="en-GB"/>
              </w:rPr>
              <w:t>g</w:t>
            </w:r>
            <w:r w:rsidRPr="00597788">
              <w:rPr>
                <w:rFonts w:eastAsiaTheme="minorEastAsia"/>
                <w:sz w:val="18"/>
                <w:szCs w:val="18"/>
                <w:lang w:val="en-GB"/>
              </w:rPr>
              <w:t>rid technologies heavily affect Alberta's energy focus.</w:t>
            </w:r>
          </w:p>
        </w:tc>
        <w:tc>
          <w:tcPr>
            <w:tcW w:w="3415" w:type="dxa"/>
          </w:tcPr>
          <w:p w14:paraId="44F78A26" w14:textId="4B6F9EE7" w:rsidR="0086229E" w:rsidRPr="00597788" w:rsidRDefault="00C86EAB" w:rsidP="00EE680D">
            <w:pPr>
              <w:pStyle w:val="ExhibitText"/>
              <w:keepNext/>
              <w:numPr>
                <w:ilvl w:val="0"/>
                <w:numId w:val="43"/>
              </w:numPr>
              <w:jc w:val="left"/>
              <w:rPr>
                <w:rFonts w:eastAsiaTheme="minorEastAsia"/>
                <w:i/>
                <w:sz w:val="18"/>
                <w:szCs w:val="18"/>
                <w:lang w:val="en-GB"/>
              </w:rPr>
            </w:pPr>
            <w:r w:rsidRPr="00597788">
              <w:rPr>
                <w:rFonts w:eastAsiaTheme="minorEastAsia"/>
                <w:sz w:val="18"/>
                <w:szCs w:val="18"/>
                <w:lang w:val="en-GB"/>
              </w:rPr>
              <w:t>Effects</w:t>
            </w:r>
            <w:r w:rsidR="0086229E" w:rsidRPr="00597788">
              <w:rPr>
                <w:rFonts w:eastAsiaTheme="minorEastAsia"/>
                <w:sz w:val="18"/>
                <w:szCs w:val="18"/>
                <w:lang w:val="en-GB"/>
              </w:rPr>
              <w:t xml:space="preserve"> on customers from the transition</w:t>
            </w:r>
          </w:p>
        </w:tc>
      </w:tr>
      <w:tr w:rsidR="0086229E" w:rsidRPr="00597788" w14:paraId="677C5478" w14:textId="77777777" w:rsidTr="004331A6">
        <w:tc>
          <w:tcPr>
            <w:tcW w:w="2058" w:type="dxa"/>
          </w:tcPr>
          <w:p w14:paraId="102B9452" w14:textId="506918F8" w:rsidR="0086229E" w:rsidRPr="00597788" w:rsidRDefault="0086229E" w:rsidP="00F23D09">
            <w:pPr>
              <w:pStyle w:val="ExhibitText"/>
              <w:keepNext/>
              <w:keepLines/>
              <w:jc w:val="left"/>
              <w:rPr>
                <w:rFonts w:eastAsiaTheme="minorEastAsia"/>
                <w:sz w:val="18"/>
                <w:szCs w:val="18"/>
                <w:lang w:val="en-GB"/>
              </w:rPr>
            </w:pPr>
            <w:r w:rsidRPr="00597788">
              <w:rPr>
                <w:rFonts w:eastAsiaTheme="minorEastAsia"/>
                <w:sz w:val="18"/>
                <w:szCs w:val="18"/>
                <w:lang w:val="en-GB"/>
              </w:rPr>
              <w:t>Alberta Regulator (Alberta Utilities Commission)</w:t>
            </w:r>
          </w:p>
        </w:tc>
        <w:tc>
          <w:tcPr>
            <w:tcW w:w="3877" w:type="dxa"/>
          </w:tcPr>
          <w:p w14:paraId="72E5D2A5" w14:textId="741A971E" w:rsidR="0086229E" w:rsidRPr="00597788" w:rsidRDefault="0086229E" w:rsidP="00EE680D">
            <w:pPr>
              <w:pStyle w:val="ExhibitText"/>
              <w:keepNext/>
              <w:keepLines/>
              <w:numPr>
                <w:ilvl w:val="0"/>
                <w:numId w:val="45"/>
              </w:numPr>
              <w:jc w:val="left"/>
              <w:rPr>
                <w:rFonts w:eastAsiaTheme="minorEastAsia"/>
                <w:sz w:val="18"/>
                <w:szCs w:val="18"/>
                <w:lang w:val="en-GB"/>
              </w:rPr>
            </w:pPr>
            <w:r w:rsidRPr="00597788">
              <w:rPr>
                <w:rFonts w:eastAsiaTheme="minorEastAsia"/>
                <w:sz w:val="18"/>
                <w:szCs w:val="18"/>
                <w:lang w:val="en-GB"/>
              </w:rPr>
              <w:t>Alberta’s independent utility regulator controls the utilities sector, natural gas, and energy markets in order to protect social, economic</w:t>
            </w:r>
            <w:r w:rsidR="00C86EAB" w:rsidRPr="00597788">
              <w:rPr>
                <w:rFonts w:eastAsiaTheme="minorEastAsia"/>
                <w:sz w:val="18"/>
                <w:szCs w:val="18"/>
                <w:lang w:val="en-GB"/>
              </w:rPr>
              <w:t>,</w:t>
            </w:r>
            <w:r w:rsidRPr="00597788">
              <w:rPr>
                <w:rFonts w:eastAsiaTheme="minorEastAsia"/>
                <w:sz w:val="18"/>
                <w:szCs w:val="18"/>
                <w:lang w:val="en-GB"/>
              </w:rPr>
              <w:t xml:space="preserve"> and environmental concerns.</w:t>
            </w:r>
          </w:p>
        </w:tc>
        <w:tc>
          <w:tcPr>
            <w:tcW w:w="3415" w:type="dxa"/>
          </w:tcPr>
          <w:p w14:paraId="75CF015E" w14:textId="77777777" w:rsidR="0086229E" w:rsidRPr="00597788" w:rsidRDefault="0086229E" w:rsidP="00EE680D">
            <w:pPr>
              <w:pStyle w:val="ExhibitText"/>
              <w:keepNext/>
              <w:keepLines/>
              <w:numPr>
                <w:ilvl w:val="0"/>
                <w:numId w:val="43"/>
              </w:numPr>
              <w:jc w:val="left"/>
              <w:rPr>
                <w:rFonts w:eastAsiaTheme="minorEastAsia"/>
                <w:sz w:val="18"/>
                <w:szCs w:val="18"/>
                <w:lang w:val="en-GB"/>
              </w:rPr>
            </w:pPr>
            <w:r w:rsidRPr="00597788">
              <w:rPr>
                <w:rFonts w:eastAsiaTheme="minorEastAsia"/>
                <w:sz w:val="18"/>
                <w:szCs w:val="18"/>
                <w:lang w:val="en-GB"/>
              </w:rPr>
              <w:t>Is this program of benefit to customers?</w:t>
            </w:r>
          </w:p>
          <w:p w14:paraId="2174760D" w14:textId="08AC6250" w:rsidR="0086229E" w:rsidRPr="00597788" w:rsidRDefault="0086229E" w:rsidP="00EE680D">
            <w:pPr>
              <w:pStyle w:val="ExhibitText"/>
              <w:keepNext/>
              <w:keepLines/>
              <w:numPr>
                <w:ilvl w:val="0"/>
                <w:numId w:val="43"/>
              </w:numPr>
              <w:jc w:val="left"/>
              <w:rPr>
                <w:rFonts w:eastAsiaTheme="minorEastAsia"/>
                <w:sz w:val="18"/>
                <w:szCs w:val="18"/>
                <w:lang w:val="en-GB"/>
              </w:rPr>
            </w:pPr>
            <w:r w:rsidRPr="00597788">
              <w:rPr>
                <w:rFonts w:eastAsiaTheme="minorEastAsia"/>
                <w:sz w:val="18"/>
                <w:szCs w:val="18"/>
                <w:lang w:val="en-GB"/>
              </w:rPr>
              <w:t xml:space="preserve">What is the </w:t>
            </w:r>
            <w:r w:rsidR="00C86EAB" w:rsidRPr="00597788">
              <w:rPr>
                <w:rFonts w:eastAsiaTheme="minorEastAsia"/>
                <w:sz w:val="18"/>
                <w:szCs w:val="18"/>
                <w:lang w:val="en-GB"/>
              </w:rPr>
              <w:t>n</w:t>
            </w:r>
            <w:r w:rsidRPr="00597788">
              <w:rPr>
                <w:rFonts w:eastAsiaTheme="minorEastAsia"/>
                <w:sz w:val="18"/>
                <w:szCs w:val="18"/>
                <w:lang w:val="en-GB"/>
              </w:rPr>
              <w:t xml:space="preserve">et </w:t>
            </w:r>
            <w:r w:rsidR="00C86EAB" w:rsidRPr="00597788">
              <w:rPr>
                <w:rFonts w:eastAsiaTheme="minorEastAsia"/>
                <w:sz w:val="18"/>
                <w:szCs w:val="18"/>
                <w:lang w:val="en-GB"/>
              </w:rPr>
              <w:t>p</w:t>
            </w:r>
            <w:r w:rsidRPr="00597788">
              <w:rPr>
                <w:rFonts w:eastAsiaTheme="minorEastAsia"/>
                <w:sz w:val="18"/>
                <w:szCs w:val="18"/>
                <w:lang w:val="en-GB"/>
              </w:rPr>
              <w:t xml:space="preserve">resent </w:t>
            </w:r>
            <w:r w:rsidR="00C86EAB" w:rsidRPr="00597788">
              <w:rPr>
                <w:rFonts w:eastAsiaTheme="minorEastAsia"/>
                <w:sz w:val="18"/>
                <w:szCs w:val="18"/>
                <w:lang w:val="en-GB"/>
              </w:rPr>
              <w:t>v</w:t>
            </w:r>
            <w:r w:rsidRPr="00597788">
              <w:rPr>
                <w:rFonts w:eastAsiaTheme="minorEastAsia"/>
                <w:sz w:val="18"/>
                <w:szCs w:val="18"/>
                <w:lang w:val="en-GB"/>
              </w:rPr>
              <w:t>alue of a new smart grid project?</w:t>
            </w:r>
          </w:p>
          <w:p w14:paraId="0BE190CA" w14:textId="77777777" w:rsidR="0086229E" w:rsidRPr="00597788" w:rsidRDefault="0086229E" w:rsidP="00EE680D">
            <w:pPr>
              <w:pStyle w:val="ExhibitText"/>
              <w:keepNext/>
              <w:keepLines/>
              <w:numPr>
                <w:ilvl w:val="0"/>
                <w:numId w:val="43"/>
              </w:numPr>
              <w:jc w:val="left"/>
              <w:rPr>
                <w:rFonts w:eastAsiaTheme="minorEastAsia"/>
                <w:sz w:val="18"/>
                <w:szCs w:val="18"/>
                <w:lang w:val="en-GB"/>
              </w:rPr>
            </w:pPr>
            <w:r w:rsidRPr="00597788">
              <w:rPr>
                <w:rFonts w:eastAsiaTheme="minorEastAsia"/>
                <w:sz w:val="18"/>
                <w:szCs w:val="18"/>
                <w:lang w:val="en-GB"/>
              </w:rPr>
              <w:t>How/when will these costs be recovered?</w:t>
            </w:r>
          </w:p>
        </w:tc>
      </w:tr>
      <w:tr w:rsidR="0086229E" w:rsidRPr="00597788" w14:paraId="4E1BBE88" w14:textId="77777777" w:rsidTr="004331A6">
        <w:tc>
          <w:tcPr>
            <w:tcW w:w="2058" w:type="dxa"/>
          </w:tcPr>
          <w:p w14:paraId="27C17D8D" w14:textId="77777777" w:rsidR="0086229E" w:rsidRPr="00597788" w:rsidRDefault="0086229E" w:rsidP="00F23D09">
            <w:pPr>
              <w:pStyle w:val="ExhibitText"/>
              <w:keepNext/>
              <w:keepLines/>
              <w:jc w:val="left"/>
              <w:rPr>
                <w:rFonts w:eastAsiaTheme="minorEastAsia"/>
                <w:sz w:val="18"/>
                <w:szCs w:val="18"/>
                <w:lang w:val="en-GB"/>
              </w:rPr>
            </w:pPr>
            <w:r w:rsidRPr="00597788">
              <w:rPr>
                <w:rFonts w:eastAsiaTheme="minorEastAsia"/>
                <w:sz w:val="18"/>
                <w:szCs w:val="18"/>
                <w:lang w:val="en-GB"/>
              </w:rPr>
              <w:t>Customers</w:t>
            </w:r>
          </w:p>
        </w:tc>
        <w:tc>
          <w:tcPr>
            <w:tcW w:w="3877" w:type="dxa"/>
          </w:tcPr>
          <w:p w14:paraId="44FA4AA9" w14:textId="0C605025" w:rsidR="0086229E" w:rsidRPr="00597788" w:rsidRDefault="0086229E" w:rsidP="00EE680D">
            <w:pPr>
              <w:pStyle w:val="ExhibitText"/>
              <w:keepNext/>
              <w:keepLines/>
              <w:numPr>
                <w:ilvl w:val="0"/>
                <w:numId w:val="45"/>
              </w:numPr>
              <w:jc w:val="left"/>
              <w:rPr>
                <w:rFonts w:eastAsiaTheme="minorEastAsia"/>
                <w:sz w:val="18"/>
                <w:szCs w:val="18"/>
                <w:lang w:val="en-GB"/>
              </w:rPr>
            </w:pPr>
            <w:r w:rsidRPr="00597788">
              <w:rPr>
                <w:rFonts w:eastAsiaTheme="minorEastAsia"/>
                <w:sz w:val="18"/>
                <w:szCs w:val="18"/>
                <w:lang w:val="en-GB"/>
              </w:rPr>
              <w:t>The cost of capital investments in infrastructure will be included in the delivery charge on customers’ bills</w:t>
            </w:r>
            <w:r w:rsidR="00C86EAB" w:rsidRPr="00597788">
              <w:rPr>
                <w:rFonts w:eastAsiaTheme="minorEastAsia"/>
                <w:sz w:val="18"/>
                <w:szCs w:val="18"/>
                <w:lang w:val="en-GB"/>
              </w:rPr>
              <w:t>.</w:t>
            </w:r>
          </w:p>
        </w:tc>
        <w:tc>
          <w:tcPr>
            <w:tcW w:w="3415" w:type="dxa"/>
          </w:tcPr>
          <w:p w14:paraId="510F1753" w14:textId="0F3A7B9D" w:rsidR="0086229E" w:rsidRPr="00597788" w:rsidRDefault="0086229E" w:rsidP="00EE680D">
            <w:pPr>
              <w:pStyle w:val="ExhibitText"/>
              <w:keepNext/>
              <w:numPr>
                <w:ilvl w:val="0"/>
                <w:numId w:val="43"/>
              </w:numPr>
              <w:jc w:val="left"/>
              <w:rPr>
                <w:rFonts w:eastAsiaTheme="minorEastAsia"/>
                <w:sz w:val="18"/>
                <w:szCs w:val="18"/>
                <w:lang w:val="en-GB"/>
              </w:rPr>
            </w:pPr>
            <w:r w:rsidRPr="00597788">
              <w:rPr>
                <w:rFonts w:eastAsiaTheme="minorEastAsia"/>
                <w:sz w:val="18"/>
                <w:szCs w:val="18"/>
                <w:lang w:val="en-GB"/>
              </w:rPr>
              <w:t xml:space="preserve">Health </w:t>
            </w:r>
            <w:r w:rsidR="00BC7466" w:rsidRPr="00597788">
              <w:rPr>
                <w:rFonts w:eastAsiaTheme="minorEastAsia"/>
                <w:sz w:val="18"/>
                <w:szCs w:val="18"/>
                <w:lang w:val="en-GB"/>
              </w:rPr>
              <w:t>and s</w:t>
            </w:r>
            <w:r w:rsidRPr="00597788">
              <w:rPr>
                <w:rFonts w:eastAsiaTheme="minorEastAsia"/>
                <w:sz w:val="18"/>
                <w:szCs w:val="18"/>
                <w:lang w:val="en-GB"/>
              </w:rPr>
              <w:t>afety</w:t>
            </w:r>
            <w:r w:rsidR="00BC7466" w:rsidRPr="00597788">
              <w:rPr>
                <w:rFonts w:eastAsiaTheme="minorEastAsia"/>
                <w:sz w:val="18"/>
                <w:szCs w:val="18"/>
                <w:lang w:val="en-GB"/>
              </w:rPr>
              <w:t xml:space="preserve"> concerns related to</w:t>
            </w:r>
            <w:r w:rsidRPr="00597788">
              <w:rPr>
                <w:rFonts w:eastAsiaTheme="minorEastAsia"/>
                <w:sz w:val="18"/>
                <w:szCs w:val="18"/>
                <w:lang w:val="en-GB"/>
              </w:rPr>
              <w:t xml:space="preserve"> AMI</w:t>
            </w:r>
          </w:p>
          <w:p w14:paraId="4AFEB480" w14:textId="3B65A54A" w:rsidR="0086229E" w:rsidRPr="00597788" w:rsidRDefault="0086229E" w:rsidP="00EE680D">
            <w:pPr>
              <w:pStyle w:val="ExhibitText"/>
              <w:keepNext/>
              <w:numPr>
                <w:ilvl w:val="0"/>
                <w:numId w:val="43"/>
              </w:numPr>
              <w:jc w:val="left"/>
              <w:rPr>
                <w:rFonts w:eastAsiaTheme="minorEastAsia"/>
                <w:sz w:val="18"/>
                <w:szCs w:val="18"/>
                <w:lang w:val="en-GB"/>
              </w:rPr>
            </w:pPr>
            <w:r w:rsidRPr="00597788">
              <w:rPr>
                <w:rFonts w:eastAsiaTheme="minorEastAsia"/>
                <w:sz w:val="18"/>
                <w:szCs w:val="18"/>
                <w:lang w:val="en-GB"/>
              </w:rPr>
              <w:t xml:space="preserve">Radio </w:t>
            </w:r>
            <w:r w:rsidR="00C86EAB" w:rsidRPr="00597788">
              <w:rPr>
                <w:rFonts w:eastAsiaTheme="minorEastAsia"/>
                <w:sz w:val="18"/>
                <w:szCs w:val="18"/>
                <w:lang w:val="en-GB"/>
              </w:rPr>
              <w:t>f</w:t>
            </w:r>
            <w:r w:rsidRPr="00597788">
              <w:rPr>
                <w:rFonts w:eastAsiaTheme="minorEastAsia"/>
                <w:sz w:val="18"/>
                <w:szCs w:val="18"/>
                <w:lang w:val="en-GB"/>
              </w:rPr>
              <w:t xml:space="preserve">requency </w:t>
            </w:r>
            <w:r w:rsidR="00C86EAB" w:rsidRPr="00597788">
              <w:rPr>
                <w:rFonts w:eastAsiaTheme="minorEastAsia"/>
                <w:sz w:val="18"/>
                <w:szCs w:val="18"/>
                <w:lang w:val="en-GB"/>
              </w:rPr>
              <w:t>r</w:t>
            </w:r>
            <w:r w:rsidRPr="00597788">
              <w:rPr>
                <w:rFonts w:eastAsiaTheme="minorEastAsia"/>
                <w:sz w:val="18"/>
                <w:szCs w:val="18"/>
                <w:lang w:val="en-GB"/>
              </w:rPr>
              <w:t>adiation</w:t>
            </w:r>
          </w:p>
          <w:p w14:paraId="285F7B2D" w14:textId="45D8AD62" w:rsidR="0086229E" w:rsidRPr="00597788" w:rsidRDefault="0086229E" w:rsidP="00EE680D">
            <w:pPr>
              <w:pStyle w:val="ExhibitText"/>
              <w:keepNext/>
              <w:numPr>
                <w:ilvl w:val="0"/>
                <w:numId w:val="43"/>
              </w:numPr>
              <w:jc w:val="left"/>
              <w:rPr>
                <w:rFonts w:eastAsiaTheme="minorEastAsia"/>
                <w:sz w:val="18"/>
                <w:szCs w:val="18"/>
                <w:lang w:val="en-GB"/>
              </w:rPr>
            </w:pPr>
            <w:r w:rsidRPr="00597788">
              <w:rPr>
                <w:rFonts w:eastAsiaTheme="minorEastAsia"/>
                <w:sz w:val="18"/>
                <w:szCs w:val="18"/>
                <w:lang w:val="en-GB"/>
              </w:rPr>
              <w:t xml:space="preserve">Meter </w:t>
            </w:r>
            <w:r w:rsidR="00C86EAB" w:rsidRPr="00597788">
              <w:rPr>
                <w:rFonts w:eastAsiaTheme="minorEastAsia"/>
                <w:sz w:val="18"/>
                <w:szCs w:val="18"/>
                <w:lang w:val="en-GB"/>
              </w:rPr>
              <w:t>f</w:t>
            </w:r>
            <w:r w:rsidRPr="00597788">
              <w:rPr>
                <w:rFonts w:eastAsiaTheme="minorEastAsia"/>
                <w:sz w:val="18"/>
                <w:szCs w:val="18"/>
                <w:lang w:val="en-GB"/>
              </w:rPr>
              <w:t>ires</w:t>
            </w:r>
          </w:p>
          <w:p w14:paraId="72053DAB" w14:textId="3630FE7B" w:rsidR="0086229E" w:rsidRPr="00597788" w:rsidRDefault="0086229E" w:rsidP="00EE680D">
            <w:pPr>
              <w:pStyle w:val="ExhibitText"/>
              <w:keepNext/>
              <w:numPr>
                <w:ilvl w:val="0"/>
                <w:numId w:val="43"/>
              </w:numPr>
              <w:jc w:val="left"/>
              <w:rPr>
                <w:rFonts w:eastAsiaTheme="minorEastAsia"/>
                <w:sz w:val="18"/>
                <w:szCs w:val="18"/>
                <w:lang w:val="en-GB"/>
              </w:rPr>
            </w:pPr>
            <w:r w:rsidRPr="00597788">
              <w:rPr>
                <w:rFonts w:eastAsiaTheme="minorEastAsia"/>
                <w:sz w:val="18"/>
                <w:szCs w:val="18"/>
                <w:lang w:val="en-GB"/>
              </w:rPr>
              <w:t xml:space="preserve">Security &amp; </w:t>
            </w:r>
            <w:r w:rsidR="00C86EAB" w:rsidRPr="00597788">
              <w:rPr>
                <w:rFonts w:eastAsiaTheme="minorEastAsia"/>
                <w:sz w:val="18"/>
                <w:szCs w:val="18"/>
                <w:lang w:val="en-GB"/>
              </w:rPr>
              <w:t>p</w:t>
            </w:r>
            <w:r w:rsidRPr="00597788">
              <w:rPr>
                <w:rFonts w:eastAsiaTheme="minorEastAsia"/>
                <w:sz w:val="18"/>
                <w:szCs w:val="18"/>
                <w:lang w:val="en-GB"/>
              </w:rPr>
              <w:t>rivacy of personal information</w:t>
            </w:r>
          </w:p>
        </w:tc>
      </w:tr>
      <w:tr w:rsidR="0086229E" w:rsidRPr="00597788" w14:paraId="4B765FA2" w14:textId="77777777" w:rsidTr="00BC1ACC">
        <w:trPr>
          <w:trHeight w:val="1106"/>
        </w:trPr>
        <w:tc>
          <w:tcPr>
            <w:tcW w:w="2058" w:type="dxa"/>
          </w:tcPr>
          <w:p w14:paraId="19695986" w14:textId="6F38B2DB" w:rsidR="0086229E" w:rsidRPr="00597788" w:rsidRDefault="0086229E" w:rsidP="00F23D09">
            <w:pPr>
              <w:pStyle w:val="ExhibitText"/>
              <w:keepNext/>
              <w:keepLines/>
              <w:jc w:val="left"/>
              <w:rPr>
                <w:rFonts w:eastAsiaTheme="minorEastAsia"/>
                <w:sz w:val="18"/>
                <w:szCs w:val="18"/>
                <w:lang w:val="en-GB"/>
              </w:rPr>
            </w:pPr>
            <w:r w:rsidRPr="00597788">
              <w:rPr>
                <w:rFonts w:eastAsiaTheme="minorEastAsia"/>
                <w:sz w:val="18"/>
                <w:szCs w:val="18"/>
                <w:lang w:val="en-GB"/>
              </w:rPr>
              <w:t>EPCOR</w:t>
            </w:r>
            <w:r w:rsidR="0029268F" w:rsidRPr="00597788">
              <w:rPr>
                <w:rFonts w:eastAsiaTheme="minorEastAsia"/>
                <w:sz w:val="18"/>
                <w:szCs w:val="18"/>
                <w:lang w:val="en-GB"/>
              </w:rPr>
              <w:t xml:space="preserve"> Utilities Inc.</w:t>
            </w:r>
            <w:r w:rsidR="007D5F8B" w:rsidRPr="00597788">
              <w:rPr>
                <w:rFonts w:eastAsiaTheme="minorEastAsia"/>
                <w:sz w:val="18"/>
                <w:szCs w:val="18"/>
                <w:lang w:val="en-GB"/>
              </w:rPr>
              <w:t xml:space="preserve"> </w:t>
            </w:r>
            <w:r w:rsidRPr="00597788">
              <w:rPr>
                <w:rFonts w:eastAsiaTheme="minorEastAsia"/>
                <w:sz w:val="18"/>
                <w:szCs w:val="18"/>
                <w:lang w:val="en-GB"/>
              </w:rPr>
              <w:t>Employees</w:t>
            </w:r>
          </w:p>
        </w:tc>
        <w:tc>
          <w:tcPr>
            <w:tcW w:w="3877" w:type="dxa"/>
          </w:tcPr>
          <w:p w14:paraId="799C35A7" w14:textId="51A4E889" w:rsidR="0086229E" w:rsidRPr="00597788" w:rsidRDefault="0086229E" w:rsidP="00EE680D">
            <w:pPr>
              <w:pStyle w:val="ExhibitText"/>
              <w:keepNext/>
              <w:keepLines/>
              <w:numPr>
                <w:ilvl w:val="0"/>
                <w:numId w:val="45"/>
              </w:numPr>
              <w:jc w:val="left"/>
              <w:rPr>
                <w:rFonts w:eastAsiaTheme="minorEastAsia"/>
                <w:sz w:val="18"/>
                <w:szCs w:val="18"/>
                <w:lang w:val="en-GB"/>
              </w:rPr>
            </w:pPr>
            <w:r w:rsidRPr="00597788">
              <w:rPr>
                <w:rFonts w:eastAsiaTheme="minorEastAsia"/>
                <w:sz w:val="18"/>
                <w:szCs w:val="18"/>
                <w:lang w:val="en-GB"/>
              </w:rPr>
              <w:t>EPCOR</w:t>
            </w:r>
            <w:r w:rsidR="007D5F8B" w:rsidRPr="00597788">
              <w:rPr>
                <w:rFonts w:eastAsiaTheme="minorEastAsia"/>
                <w:sz w:val="18"/>
                <w:szCs w:val="18"/>
                <w:lang w:val="en-GB"/>
              </w:rPr>
              <w:t xml:space="preserve"> Utilities Inc.</w:t>
            </w:r>
            <w:r w:rsidRPr="00597788">
              <w:rPr>
                <w:rFonts w:eastAsiaTheme="minorEastAsia"/>
                <w:sz w:val="18"/>
                <w:szCs w:val="18"/>
                <w:lang w:val="en-GB"/>
              </w:rPr>
              <w:t xml:space="preserve">’s employees </w:t>
            </w:r>
            <w:r w:rsidR="008D52AE" w:rsidRPr="00597788">
              <w:rPr>
                <w:rFonts w:eastAsiaTheme="minorEastAsia"/>
                <w:sz w:val="18"/>
                <w:szCs w:val="18"/>
                <w:lang w:val="en-GB"/>
              </w:rPr>
              <w:t xml:space="preserve">who </w:t>
            </w:r>
            <w:r w:rsidRPr="00597788">
              <w:rPr>
                <w:rFonts w:eastAsiaTheme="minorEastAsia"/>
                <w:sz w:val="18"/>
                <w:szCs w:val="18"/>
                <w:lang w:val="en-GB"/>
              </w:rPr>
              <w:t>would be affected by changes to meter reading are members of IBEW</w:t>
            </w:r>
            <w:r w:rsidR="00C86EAB" w:rsidRPr="00597788">
              <w:rPr>
                <w:rFonts w:eastAsiaTheme="minorEastAsia"/>
                <w:sz w:val="18"/>
                <w:szCs w:val="18"/>
                <w:lang w:val="en-GB"/>
              </w:rPr>
              <w:t xml:space="preserve"> Local </w:t>
            </w:r>
            <w:r w:rsidRPr="00597788">
              <w:rPr>
                <w:rFonts w:eastAsiaTheme="minorEastAsia"/>
                <w:sz w:val="18"/>
                <w:szCs w:val="18"/>
                <w:lang w:val="en-GB"/>
              </w:rPr>
              <w:t>1007</w:t>
            </w:r>
            <w:r w:rsidR="00C86EAB" w:rsidRPr="00597788">
              <w:rPr>
                <w:rFonts w:eastAsiaTheme="minorEastAsia"/>
                <w:sz w:val="18"/>
                <w:szCs w:val="18"/>
                <w:lang w:val="en-GB"/>
              </w:rPr>
              <w:t>—m</w:t>
            </w:r>
            <w:r w:rsidRPr="00597788">
              <w:rPr>
                <w:rFonts w:eastAsiaTheme="minorEastAsia"/>
                <w:sz w:val="18"/>
                <w:szCs w:val="18"/>
                <w:lang w:val="en-GB"/>
              </w:rPr>
              <w:t xml:space="preserve">eter </w:t>
            </w:r>
            <w:r w:rsidR="00C86EAB" w:rsidRPr="00597788">
              <w:rPr>
                <w:rFonts w:eastAsiaTheme="minorEastAsia"/>
                <w:sz w:val="18"/>
                <w:szCs w:val="18"/>
                <w:lang w:val="en-GB"/>
              </w:rPr>
              <w:t>r</w:t>
            </w:r>
            <w:r w:rsidRPr="00597788">
              <w:rPr>
                <w:rFonts w:eastAsiaTheme="minorEastAsia"/>
                <w:sz w:val="18"/>
                <w:szCs w:val="18"/>
                <w:lang w:val="en-GB"/>
              </w:rPr>
              <w:t>eaders.</w:t>
            </w:r>
          </w:p>
        </w:tc>
        <w:tc>
          <w:tcPr>
            <w:tcW w:w="3415" w:type="dxa"/>
          </w:tcPr>
          <w:p w14:paraId="78C34EE9" w14:textId="555C2EA4" w:rsidR="0086229E" w:rsidRPr="00597788" w:rsidRDefault="0086229E" w:rsidP="00EE680D">
            <w:pPr>
              <w:pStyle w:val="ExhibitText"/>
              <w:keepNext/>
              <w:numPr>
                <w:ilvl w:val="0"/>
                <w:numId w:val="43"/>
              </w:numPr>
              <w:jc w:val="left"/>
              <w:rPr>
                <w:rFonts w:eastAsiaTheme="minorEastAsia"/>
                <w:sz w:val="18"/>
                <w:szCs w:val="18"/>
                <w:lang w:val="en-GB"/>
              </w:rPr>
            </w:pPr>
            <w:r w:rsidRPr="00597788">
              <w:rPr>
                <w:rFonts w:eastAsiaTheme="minorEastAsia"/>
                <w:sz w:val="18"/>
                <w:szCs w:val="18"/>
                <w:lang w:val="en-GB"/>
              </w:rPr>
              <w:t>Current state: safety concerns for meter readers</w:t>
            </w:r>
            <w:r w:rsidR="00C86EAB" w:rsidRPr="00597788">
              <w:rPr>
                <w:rFonts w:eastAsiaTheme="minorEastAsia"/>
                <w:sz w:val="18"/>
                <w:szCs w:val="18"/>
                <w:lang w:val="en-GB"/>
              </w:rPr>
              <w:t xml:space="preserve"> who have</w:t>
            </w:r>
            <w:r w:rsidRPr="00597788">
              <w:rPr>
                <w:rFonts w:eastAsiaTheme="minorEastAsia"/>
                <w:sz w:val="18"/>
                <w:szCs w:val="18"/>
                <w:lang w:val="en-GB"/>
              </w:rPr>
              <w:t xml:space="preserve"> to enter customer premises</w:t>
            </w:r>
          </w:p>
          <w:p w14:paraId="77B73B99" w14:textId="396D4393" w:rsidR="0086229E" w:rsidRPr="00597788" w:rsidRDefault="00C86EAB" w:rsidP="00EE680D">
            <w:pPr>
              <w:pStyle w:val="ExhibitText"/>
              <w:keepNext/>
              <w:numPr>
                <w:ilvl w:val="0"/>
                <w:numId w:val="43"/>
              </w:numPr>
              <w:jc w:val="left"/>
              <w:rPr>
                <w:rFonts w:eastAsiaTheme="minorEastAsia"/>
                <w:sz w:val="18"/>
                <w:szCs w:val="18"/>
                <w:lang w:val="en-GB"/>
              </w:rPr>
            </w:pPr>
            <w:r w:rsidRPr="00597788">
              <w:rPr>
                <w:rFonts w:eastAsiaTheme="minorEastAsia"/>
                <w:sz w:val="18"/>
                <w:szCs w:val="18"/>
                <w:lang w:val="en-GB"/>
              </w:rPr>
              <w:t xml:space="preserve">With </w:t>
            </w:r>
            <w:r w:rsidR="0086229E" w:rsidRPr="00597788">
              <w:rPr>
                <w:rFonts w:eastAsiaTheme="minorEastAsia"/>
                <w:sz w:val="18"/>
                <w:szCs w:val="18"/>
                <w:lang w:val="en-GB"/>
              </w:rPr>
              <w:t xml:space="preserve">AMR or AMI </w:t>
            </w:r>
            <w:r w:rsidRPr="00597788">
              <w:rPr>
                <w:rFonts w:eastAsiaTheme="minorEastAsia"/>
                <w:sz w:val="18"/>
                <w:szCs w:val="18"/>
                <w:lang w:val="en-GB"/>
              </w:rPr>
              <w:t>i</w:t>
            </w:r>
            <w:r w:rsidR="0086229E" w:rsidRPr="00597788">
              <w:rPr>
                <w:rFonts w:eastAsiaTheme="minorEastAsia"/>
                <w:sz w:val="18"/>
                <w:szCs w:val="18"/>
                <w:lang w:val="en-GB"/>
              </w:rPr>
              <w:t>mplement</w:t>
            </w:r>
            <w:r w:rsidRPr="00597788">
              <w:rPr>
                <w:rFonts w:eastAsiaTheme="minorEastAsia"/>
                <w:sz w:val="18"/>
                <w:szCs w:val="18"/>
                <w:lang w:val="en-GB"/>
              </w:rPr>
              <w:t>ation</w:t>
            </w:r>
            <w:r w:rsidR="0086229E" w:rsidRPr="00597788">
              <w:rPr>
                <w:rFonts w:eastAsiaTheme="minorEastAsia"/>
                <w:sz w:val="18"/>
                <w:szCs w:val="18"/>
                <w:lang w:val="en-GB"/>
              </w:rPr>
              <w:t xml:space="preserve">: </w:t>
            </w:r>
            <w:r w:rsidRPr="00597788">
              <w:rPr>
                <w:rFonts w:eastAsiaTheme="minorEastAsia"/>
                <w:sz w:val="18"/>
                <w:szCs w:val="18"/>
                <w:lang w:val="en-GB"/>
              </w:rPr>
              <w:t xml:space="preserve">do </w:t>
            </w:r>
            <w:r w:rsidR="0086229E" w:rsidRPr="00597788">
              <w:rPr>
                <w:rFonts w:eastAsiaTheme="minorEastAsia"/>
                <w:sz w:val="18"/>
                <w:szCs w:val="18"/>
                <w:lang w:val="en-GB"/>
              </w:rPr>
              <w:t xml:space="preserve">meter reader positions become obsolete? </w:t>
            </w:r>
          </w:p>
        </w:tc>
      </w:tr>
      <w:tr w:rsidR="0086229E" w:rsidRPr="00597788" w14:paraId="30173619" w14:textId="77777777" w:rsidTr="004331A6">
        <w:tc>
          <w:tcPr>
            <w:tcW w:w="2058" w:type="dxa"/>
          </w:tcPr>
          <w:p w14:paraId="173F97DB" w14:textId="35900C2C" w:rsidR="0086229E" w:rsidRPr="00597788" w:rsidRDefault="0086229E" w:rsidP="00F23D09">
            <w:pPr>
              <w:pStyle w:val="ExhibitText"/>
              <w:keepNext/>
              <w:keepLines/>
              <w:jc w:val="left"/>
              <w:rPr>
                <w:rFonts w:eastAsiaTheme="minorEastAsia"/>
                <w:sz w:val="18"/>
                <w:szCs w:val="18"/>
                <w:lang w:val="en-GB"/>
              </w:rPr>
            </w:pPr>
            <w:r w:rsidRPr="00597788">
              <w:rPr>
                <w:rFonts w:eastAsiaTheme="minorEastAsia"/>
                <w:sz w:val="18"/>
                <w:szCs w:val="18"/>
                <w:lang w:val="en-GB"/>
              </w:rPr>
              <w:t>Independent System Operator (</w:t>
            </w:r>
            <w:r w:rsidR="00C86EAB" w:rsidRPr="00597788">
              <w:rPr>
                <w:rFonts w:eastAsiaTheme="minorEastAsia"/>
                <w:sz w:val="18"/>
                <w:szCs w:val="18"/>
                <w:lang w:val="en-GB"/>
              </w:rPr>
              <w:t xml:space="preserve">the </w:t>
            </w:r>
            <w:r w:rsidRPr="00597788">
              <w:rPr>
                <w:rFonts w:eastAsiaTheme="minorEastAsia"/>
                <w:sz w:val="18"/>
                <w:szCs w:val="18"/>
                <w:lang w:val="en-GB"/>
              </w:rPr>
              <w:t>Alberta Electric System Operator)</w:t>
            </w:r>
          </w:p>
        </w:tc>
        <w:tc>
          <w:tcPr>
            <w:tcW w:w="3877" w:type="dxa"/>
          </w:tcPr>
          <w:p w14:paraId="7DB16367" w14:textId="7A5F5014" w:rsidR="0086229E" w:rsidRPr="00597788" w:rsidRDefault="00C86EAB" w:rsidP="00EE680D">
            <w:pPr>
              <w:pStyle w:val="ExhibitText"/>
              <w:keepNext/>
              <w:keepLines/>
              <w:numPr>
                <w:ilvl w:val="0"/>
                <w:numId w:val="45"/>
              </w:numPr>
              <w:jc w:val="left"/>
              <w:rPr>
                <w:rFonts w:eastAsiaTheme="minorEastAsia"/>
                <w:sz w:val="18"/>
                <w:szCs w:val="18"/>
                <w:lang w:val="en-GB"/>
              </w:rPr>
            </w:pPr>
            <w:r w:rsidRPr="00597788">
              <w:rPr>
                <w:rFonts w:eastAsiaTheme="minorEastAsia"/>
                <w:sz w:val="18"/>
                <w:szCs w:val="18"/>
                <w:lang w:val="en-GB"/>
              </w:rPr>
              <w:t xml:space="preserve">The </w:t>
            </w:r>
            <w:r w:rsidR="0086229E" w:rsidRPr="00597788">
              <w:rPr>
                <w:rFonts w:eastAsiaTheme="minorEastAsia"/>
                <w:sz w:val="18"/>
                <w:szCs w:val="18"/>
                <w:lang w:val="en-GB"/>
              </w:rPr>
              <w:t>A</w:t>
            </w:r>
            <w:r w:rsidRPr="00597788">
              <w:rPr>
                <w:rFonts w:eastAsiaTheme="minorEastAsia"/>
                <w:sz w:val="18"/>
                <w:szCs w:val="18"/>
                <w:lang w:val="en-GB"/>
              </w:rPr>
              <w:t xml:space="preserve">lberta </w:t>
            </w:r>
            <w:r w:rsidR="0086229E" w:rsidRPr="00597788">
              <w:rPr>
                <w:rFonts w:eastAsiaTheme="minorEastAsia"/>
                <w:sz w:val="18"/>
                <w:szCs w:val="18"/>
                <w:lang w:val="en-GB"/>
              </w:rPr>
              <w:t>E</w:t>
            </w:r>
            <w:r w:rsidRPr="00597788">
              <w:rPr>
                <w:rFonts w:eastAsiaTheme="minorEastAsia"/>
                <w:sz w:val="18"/>
                <w:szCs w:val="18"/>
                <w:lang w:val="en-GB"/>
              </w:rPr>
              <w:t xml:space="preserve">lectric </w:t>
            </w:r>
            <w:r w:rsidR="0086229E" w:rsidRPr="00597788">
              <w:rPr>
                <w:rFonts w:eastAsiaTheme="minorEastAsia"/>
                <w:sz w:val="18"/>
                <w:szCs w:val="18"/>
                <w:lang w:val="en-GB"/>
              </w:rPr>
              <w:t>S</w:t>
            </w:r>
            <w:r w:rsidRPr="00597788">
              <w:rPr>
                <w:rFonts w:eastAsiaTheme="minorEastAsia"/>
                <w:sz w:val="18"/>
                <w:szCs w:val="18"/>
                <w:lang w:val="en-GB"/>
              </w:rPr>
              <w:t xml:space="preserve">ystem </w:t>
            </w:r>
            <w:r w:rsidR="0086229E" w:rsidRPr="00597788">
              <w:rPr>
                <w:rFonts w:eastAsiaTheme="minorEastAsia"/>
                <w:sz w:val="18"/>
                <w:szCs w:val="18"/>
                <w:lang w:val="en-GB"/>
              </w:rPr>
              <w:t>O</w:t>
            </w:r>
            <w:r w:rsidRPr="00597788">
              <w:rPr>
                <w:rFonts w:eastAsiaTheme="minorEastAsia"/>
                <w:sz w:val="18"/>
                <w:szCs w:val="18"/>
                <w:lang w:val="en-GB"/>
              </w:rPr>
              <w:t>perator</w:t>
            </w:r>
            <w:r w:rsidR="0086229E" w:rsidRPr="00597788">
              <w:rPr>
                <w:rFonts w:eastAsiaTheme="minorEastAsia"/>
                <w:sz w:val="18"/>
                <w:szCs w:val="18"/>
                <w:lang w:val="en-GB"/>
              </w:rPr>
              <w:t xml:space="preserve"> is focused on promoting a fair, efficient</w:t>
            </w:r>
            <w:r w:rsidRPr="00597788">
              <w:rPr>
                <w:rFonts w:eastAsiaTheme="minorEastAsia"/>
                <w:sz w:val="18"/>
                <w:szCs w:val="18"/>
                <w:lang w:val="en-GB"/>
              </w:rPr>
              <w:t>,</w:t>
            </w:r>
            <w:r w:rsidR="0086229E" w:rsidRPr="00597788">
              <w:rPr>
                <w:rFonts w:eastAsiaTheme="minorEastAsia"/>
                <w:sz w:val="18"/>
                <w:szCs w:val="18"/>
                <w:lang w:val="en-GB"/>
              </w:rPr>
              <w:t xml:space="preserve"> and openly competitive market for electricity. </w:t>
            </w:r>
          </w:p>
        </w:tc>
        <w:tc>
          <w:tcPr>
            <w:tcW w:w="3415" w:type="dxa"/>
          </w:tcPr>
          <w:p w14:paraId="193F6520" w14:textId="62FDED78" w:rsidR="0086229E" w:rsidRPr="00597788" w:rsidRDefault="0086229E" w:rsidP="00EE680D">
            <w:pPr>
              <w:pStyle w:val="ExhibitText"/>
              <w:keepNext/>
              <w:numPr>
                <w:ilvl w:val="0"/>
                <w:numId w:val="43"/>
              </w:numPr>
              <w:jc w:val="left"/>
              <w:rPr>
                <w:rFonts w:eastAsiaTheme="minorEastAsia"/>
                <w:sz w:val="18"/>
                <w:szCs w:val="18"/>
                <w:lang w:val="en-GB"/>
              </w:rPr>
            </w:pPr>
            <w:r w:rsidRPr="00597788">
              <w:rPr>
                <w:rFonts w:eastAsiaTheme="minorEastAsia"/>
                <w:sz w:val="18"/>
                <w:szCs w:val="18"/>
                <w:lang w:val="en-GB"/>
              </w:rPr>
              <w:t>A predictable and sustainable electricity market</w:t>
            </w:r>
          </w:p>
        </w:tc>
      </w:tr>
      <w:tr w:rsidR="004331A6" w:rsidRPr="00597788" w14:paraId="731F6BBB" w14:textId="77777777" w:rsidTr="004331A6">
        <w:tc>
          <w:tcPr>
            <w:tcW w:w="2058" w:type="dxa"/>
          </w:tcPr>
          <w:p w14:paraId="3947C49A" w14:textId="384FB33A" w:rsidR="004331A6" w:rsidRPr="00597788" w:rsidRDefault="004331A6" w:rsidP="00F23D09">
            <w:pPr>
              <w:pStyle w:val="ExhibitText"/>
              <w:keepNext/>
              <w:keepLines/>
              <w:jc w:val="left"/>
              <w:rPr>
                <w:rFonts w:eastAsiaTheme="minorEastAsia"/>
                <w:sz w:val="18"/>
                <w:szCs w:val="18"/>
                <w:lang w:val="en-GB"/>
              </w:rPr>
            </w:pPr>
            <w:r w:rsidRPr="00597788">
              <w:rPr>
                <w:rFonts w:eastAsiaTheme="minorEastAsia"/>
                <w:sz w:val="18"/>
                <w:szCs w:val="18"/>
                <w:lang w:val="en-GB"/>
              </w:rPr>
              <w:t xml:space="preserve">Market Surveillance Administrator </w:t>
            </w:r>
          </w:p>
        </w:tc>
        <w:tc>
          <w:tcPr>
            <w:tcW w:w="3877" w:type="dxa"/>
          </w:tcPr>
          <w:p w14:paraId="114E2768" w14:textId="47774371" w:rsidR="004331A6" w:rsidRPr="00597788" w:rsidRDefault="008D52AE" w:rsidP="00EE680D">
            <w:pPr>
              <w:pStyle w:val="ExhibitText"/>
              <w:keepNext/>
              <w:keepLines/>
              <w:numPr>
                <w:ilvl w:val="0"/>
                <w:numId w:val="45"/>
              </w:numPr>
              <w:jc w:val="left"/>
              <w:rPr>
                <w:rFonts w:eastAsiaTheme="minorEastAsia"/>
                <w:sz w:val="18"/>
                <w:szCs w:val="18"/>
                <w:lang w:val="en-GB"/>
              </w:rPr>
            </w:pPr>
            <w:r w:rsidRPr="00597788">
              <w:rPr>
                <w:rFonts w:eastAsiaTheme="minorEastAsia"/>
                <w:sz w:val="18"/>
                <w:szCs w:val="18"/>
                <w:lang w:val="en-GB"/>
              </w:rPr>
              <w:t xml:space="preserve">The </w:t>
            </w:r>
            <w:r w:rsidR="004331A6" w:rsidRPr="00597788">
              <w:rPr>
                <w:rFonts w:eastAsiaTheme="minorEastAsia"/>
                <w:sz w:val="18"/>
                <w:szCs w:val="18"/>
                <w:lang w:val="en-GB"/>
              </w:rPr>
              <w:t>M</w:t>
            </w:r>
            <w:r w:rsidR="007D5F8B" w:rsidRPr="00597788">
              <w:rPr>
                <w:rFonts w:eastAsiaTheme="minorEastAsia"/>
                <w:sz w:val="18"/>
                <w:szCs w:val="18"/>
                <w:lang w:val="en-GB"/>
              </w:rPr>
              <w:t xml:space="preserve">arket </w:t>
            </w:r>
            <w:r w:rsidR="004331A6" w:rsidRPr="00597788">
              <w:rPr>
                <w:rFonts w:eastAsiaTheme="minorEastAsia"/>
                <w:sz w:val="18"/>
                <w:szCs w:val="18"/>
                <w:lang w:val="en-GB"/>
              </w:rPr>
              <w:t>S</w:t>
            </w:r>
            <w:r w:rsidR="007D5F8B" w:rsidRPr="00597788">
              <w:rPr>
                <w:rFonts w:eastAsiaTheme="minorEastAsia"/>
                <w:sz w:val="18"/>
                <w:szCs w:val="18"/>
                <w:lang w:val="en-GB"/>
              </w:rPr>
              <w:t xml:space="preserve">urveillance </w:t>
            </w:r>
            <w:r w:rsidR="004331A6" w:rsidRPr="00597788">
              <w:rPr>
                <w:rFonts w:eastAsiaTheme="minorEastAsia"/>
                <w:sz w:val="18"/>
                <w:szCs w:val="18"/>
                <w:lang w:val="en-GB"/>
              </w:rPr>
              <w:t>A</w:t>
            </w:r>
            <w:r w:rsidR="007D5F8B" w:rsidRPr="00597788">
              <w:rPr>
                <w:rFonts w:eastAsiaTheme="minorEastAsia"/>
                <w:sz w:val="18"/>
                <w:szCs w:val="18"/>
                <w:lang w:val="en-GB"/>
              </w:rPr>
              <w:t>dministrator</w:t>
            </w:r>
            <w:r w:rsidR="004331A6" w:rsidRPr="00597788">
              <w:rPr>
                <w:rFonts w:eastAsiaTheme="minorEastAsia"/>
                <w:sz w:val="18"/>
                <w:szCs w:val="18"/>
                <w:lang w:val="en-GB"/>
              </w:rPr>
              <w:t xml:space="preserve"> monitors Alberta</w:t>
            </w:r>
            <w:r w:rsidR="007D5F8B" w:rsidRPr="00597788">
              <w:rPr>
                <w:rFonts w:eastAsiaTheme="minorEastAsia"/>
                <w:sz w:val="18"/>
                <w:szCs w:val="18"/>
                <w:lang w:val="en-GB"/>
              </w:rPr>
              <w:t>’</w:t>
            </w:r>
            <w:r w:rsidR="004331A6" w:rsidRPr="00597788">
              <w:rPr>
                <w:rFonts w:eastAsiaTheme="minorEastAsia"/>
                <w:sz w:val="18"/>
                <w:szCs w:val="18"/>
                <w:lang w:val="en-GB"/>
              </w:rPr>
              <w:t xml:space="preserve">s electricity </w:t>
            </w:r>
            <w:r w:rsidR="007D5F8B" w:rsidRPr="00597788">
              <w:rPr>
                <w:rFonts w:eastAsiaTheme="minorEastAsia"/>
                <w:sz w:val="18"/>
                <w:szCs w:val="18"/>
                <w:lang w:val="en-GB"/>
              </w:rPr>
              <w:t>and</w:t>
            </w:r>
            <w:r w:rsidR="004331A6" w:rsidRPr="00597788">
              <w:rPr>
                <w:rFonts w:eastAsiaTheme="minorEastAsia"/>
                <w:sz w:val="18"/>
                <w:szCs w:val="18"/>
                <w:lang w:val="en-GB"/>
              </w:rPr>
              <w:t xml:space="preserve"> retail natural gas markets to ensure proper, fair</w:t>
            </w:r>
            <w:r w:rsidR="007D5F8B" w:rsidRPr="00597788">
              <w:rPr>
                <w:rFonts w:eastAsiaTheme="minorEastAsia"/>
                <w:sz w:val="18"/>
                <w:szCs w:val="18"/>
                <w:lang w:val="en-GB"/>
              </w:rPr>
              <w:t>,</w:t>
            </w:r>
            <w:r w:rsidR="004331A6" w:rsidRPr="00597788">
              <w:rPr>
                <w:rFonts w:eastAsiaTheme="minorEastAsia"/>
                <w:sz w:val="18"/>
                <w:szCs w:val="18"/>
                <w:lang w:val="en-GB"/>
              </w:rPr>
              <w:t xml:space="preserve"> and efficient operations.</w:t>
            </w:r>
          </w:p>
        </w:tc>
        <w:tc>
          <w:tcPr>
            <w:tcW w:w="3415" w:type="dxa"/>
          </w:tcPr>
          <w:p w14:paraId="7E4A83FD" w14:textId="0F970F5C" w:rsidR="004331A6" w:rsidRPr="00597788" w:rsidRDefault="004331A6" w:rsidP="00EE680D">
            <w:pPr>
              <w:pStyle w:val="ExhibitText"/>
              <w:numPr>
                <w:ilvl w:val="0"/>
                <w:numId w:val="43"/>
              </w:numPr>
              <w:jc w:val="left"/>
              <w:rPr>
                <w:rFonts w:eastAsiaTheme="minorEastAsia"/>
                <w:sz w:val="18"/>
                <w:szCs w:val="18"/>
                <w:lang w:val="en-GB"/>
              </w:rPr>
            </w:pPr>
            <w:r w:rsidRPr="00597788">
              <w:rPr>
                <w:rFonts w:eastAsiaTheme="minorEastAsia"/>
                <w:sz w:val="18"/>
                <w:szCs w:val="18"/>
                <w:lang w:val="en-GB"/>
              </w:rPr>
              <w:t>Efficient operations</w:t>
            </w:r>
          </w:p>
          <w:p w14:paraId="0BB67E7E" w14:textId="77777777" w:rsidR="004331A6" w:rsidRPr="00597788" w:rsidRDefault="004331A6" w:rsidP="00F23D09">
            <w:pPr>
              <w:pStyle w:val="ExhibitText"/>
              <w:keepNext/>
              <w:keepLines/>
              <w:jc w:val="left"/>
              <w:rPr>
                <w:rFonts w:eastAsiaTheme="minorEastAsia"/>
                <w:sz w:val="18"/>
                <w:szCs w:val="18"/>
                <w:lang w:val="en-GB"/>
              </w:rPr>
            </w:pPr>
          </w:p>
        </w:tc>
      </w:tr>
      <w:tr w:rsidR="004331A6" w:rsidRPr="00597788" w14:paraId="7C664ED1" w14:textId="77777777" w:rsidTr="004331A6">
        <w:tc>
          <w:tcPr>
            <w:tcW w:w="2058" w:type="dxa"/>
          </w:tcPr>
          <w:p w14:paraId="1774DB79" w14:textId="77777777" w:rsidR="004331A6" w:rsidRPr="00597788" w:rsidRDefault="004331A6" w:rsidP="00F23D09">
            <w:pPr>
              <w:pStyle w:val="ExhibitText"/>
              <w:keepNext/>
              <w:keepLines/>
              <w:jc w:val="left"/>
              <w:rPr>
                <w:rFonts w:eastAsiaTheme="minorEastAsia"/>
                <w:sz w:val="18"/>
                <w:szCs w:val="18"/>
                <w:lang w:val="en-GB"/>
              </w:rPr>
            </w:pPr>
            <w:r w:rsidRPr="00597788">
              <w:rPr>
                <w:rFonts w:eastAsiaTheme="minorEastAsia"/>
                <w:sz w:val="18"/>
                <w:szCs w:val="18"/>
                <w:lang w:val="en-GB"/>
              </w:rPr>
              <w:t>Shareholder (City of Edmonton)</w:t>
            </w:r>
          </w:p>
        </w:tc>
        <w:tc>
          <w:tcPr>
            <w:tcW w:w="3877" w:type="dxa"/>
          </w:tcPr>
          <w:p w14:paraId="79147237" w14:textId="6A245631" w:rsidR="004331A6" w:rsidRPr="00597788" w:rsidRDefault="004331A6" w:rsidP="00EE680D">
            <w:pPr>
              <w:pStyle w:val="ExhibitText"/>
              <w:keepNext/>
              <w:keepLines/>
              <w:numPr>
                <w:ilvl w:val="0"/>
                <w:numId w:val="45"/>
              </w:numPr>
              <w:jc w:val="left"/>
              <w:rPr>
                <w:rFonts w:eastAsiaTheme="minorEastAsia"/>
                <w:sz w:val="18"/>
                <w:szCs w:val="18"/>
                <w:lang w:val="en-GB"/>
              </w:rPr>
            </w:pPr>
            <w:r w:rsidRPr="00597788">
              <w:rPr>
                <w:rFonts w:eastAsiaTheme="minorEastAsia"/>
                <w:sz w:val="18"/>
                <w:szCs w:val="18"/>
                <w:lang w:val="en-GB"/>
              </w:rPr>
              <w:t>The City of Edmonton is EPCOR Utilities Inc.</w:t>
            </w:r>
            <w:r w:rsidR="007D5F8B" w:rsidRPr="00597788">
              <w:rPr>
                <w:rFonts w:eastAsiaTheme="minorEastAsia"/>
                <w:sz w:val="18"/>
                <w:szCs w:val="18"/>
                <w:lang w:val="en-GB"/>
              </w:rPr>
              <w:t>’</w:t>
            </w:r>
            <w:r w:rsidRPr="00597788">
              <w:rPr>
                <w:rFonts w:eastAsiaTheme="minorEastAsia"/>
                <w:sz w:val="18"/>
                <w:szCs w:val="18"/>
                <w:lang w:val="en-GB"/>
              </w:rPr>
              <w:t xml:space="preserve">s sole shareholder. </w:t>
            </w:r>
          </w:p>
        </w:tc>
        <w:tc>
          <w:tcPr>
            <w:tcW w:w="3415" w:type="dxa"/>
          </w:tcPr>
          <w:p w14:paraId="206EB034" w14:textId="56152589" w:rsidR="004331A6" w:rsidRPr="00597788" w:rsidRDefault="004331A6" w:rsidP="00EE680D">
            <w:pPr>
              <w:pStyle w:val="ExhibitText"/>
              <w:numPr>
                <w:ilvl w:val="0"/>
                <w:numId w:val="43"/>
              </w:numPr>
              <w:jc w:val="left"/>
              <w:rPr>
                <w:rFonts w:eastAsiaTheme="minorEastAsia"/>
                <w:sz w:val="18"/>
                <w:szCs w:val="18"/>
                <w:lang w:val="en-GB"/>
              </w:rPr>
            </w:pPr>
            <w:r w:rsidRPr="00597788">
              <w:rPr>
                <w:rFonts w:eastAsiaTheme="minorEastAsia"/>
                <w:sz w:val="18"/>
                <w:szCs w:val="18"/>
                <w:lang w:val="en-GB"/>
              </w:rPr>
              <w:t>Return on investment</w:t>
            </w:r>
          </w:p>
          <w:p w14:paraId="516A770F" w14:textId="3CBD0C7E" w:rsidR="004331A6" w:rsidRPr="00597788" w:rsidRDefault="004331A6" w:rsidP="00EE680D">
            <w:pPr>
              <w:pStyle w:val="ExhibitText"/>
              <w:numPr>
                <w:ilvl w:val="0"/>
                <w:numId w:val="43"/>
              </w:numPr>
              <w:jc w:val="left"/>
              <w:rPr>
                <w:rFonts w:eastAsiaTheme="minorEastAsia"/>
                <w:sz w:val="18"/>
                <w:szCs w:val="18"/>
                <w:lang w:val="en-GB"/>
              </w:rPr>
            </w:pPr>
            <w:r w:rsidRPr="00597788">
              <w:rPr>
                <w:rFonts w:eastAsiaTheme="minorEastAsia"/>
                <w:sz w:val="18"/>
                <w:szCs w:val="18"/>
                <w:lang w:val="en-GB"/>
              </w:rPr>
              <w:t>What benefits will residents of Edmonton see?</w:t>
            </w:r>
          </w:p>
        </w:tc>
      </w:tr>
      <w:tr w:rsidR="004331A6" w:rsidRPr="00597788" w14:paraId="0C330892" w14:textId="77777777" w:rsidTr="004331A6">
        <w:tc>
          <w:tcPr>
            <w:tcW w:w="2058" w:type="dxa"/>
          </w:tcPr>
          <w:p w14:paraId="7BEA95FE" w14:textId="0F0B74AA" w:rsidR="004331A6" w:rsidRPr="00597788" w:rsidRDefault="004331A6" w:rsidP="00F23D09">
            <w:pPr>
              <w:pStyle w:val="ExhibitText"/>
              <w:keepNext/>
              <w:keepLines/>
              <w:jc w:val="left"/>
              <w:rPr>
                <w:rFonts w:eastAsiaTheme="minorEastAsia"/>
                <w:sz w:val="18"/>
                <w:szCs w:val="18"/>
                <w:lang w:val="en-GB"/>
              </w:rPr>
            </w:pPr>
            <w:r w:rsidRPr="00597788">
              <w:rPr>
                <w:rFonts w:eastAsiaTheme="minorEastAsia"/>
                <w:sz w:val="18"/>
                <w:szCs w:val="18"/>
                <w:lang w:val="en-GB"/>
              </w:rPr>
              <w:t>Utilities Consumer Advocate</w:t>
            </w:r>
          </w:p>
          <w:p w14:paraId="71892B07" w14:textId="77777777" w:rsidR="004331A6" w:rsidRPr="00597788" w:rsidRDefault="004331A6" w:rsidP="00F23D09">
            <w:pPr>
              <w:pStyle w:val="ExhibitText"/>
              <w:keepNext/>
              <w:keepLines/>
              <w:jc w:val="left"/>
              <w:rPr>
                <w:rFonts w:eastAsiaTheme="minorEastAsia"/>
                <w:sz w:val="18"/>
                <w:szCs w:val="18"/>
                <w:lang w:val="en-GB"/>
              </w:rPr>
            </w:pPr>
          </w:p>
        </w:tc>
        <w:tc>
          <w:tcPr>
            <w:tcW w:w="3877" w:type="dxa"/>
          </w:tcPr>
          <w:p w14:paraId="3644B231" w14:textId="45874F96" w:rsidR="004331A6" w:rsidRPr="00597788" w:rsidRDefault="007D5F8B" w:rsidP="00EE680D">
            <w:pPr>
              <w:pStyle w:val="ExhibitText"/>
              <w:keepNext/>
              <w:keepLines/>
              <w:numPr>
                <w:ilvl w:val="0"/>
                <w:numId w:val="45"/>
              </w:numPr>
              <w:jc w:val="left"/>
              <w:rPr>
                <w:rFonts w:eastAsiaTheme="minorEastAsia"/>
                <w:sz w:val="18"/>
                <w:szCs w:val="18"/>
                <w:lang w:val="en-GB"/>
              </w:rPr>
            </w:pPr>
            <w:r w:rsidRPr="00597788">
              <w:rPr>
                <w:rFonts w:eastAsiaTheme="minorEastAsia"/>
                <w:sz w:val="18"/>
                <w:szCs w:val="18"/>
                <w:lang w:val="en-GB"/>
              </w:rPr>
              <w:t>The Utilities Consumer Advocate r</w:t>
            </w:r>
            <w:r w:rsidR="004331A6" w:rsidRPr="00597788">
              <w:rPr>
                <w:rFonts w:eastAsiaTheme="minorEastAsia"/>
                <w:sz w:val="18"/>
                <w:szCs w:val="18"/>
                <w:lang w:val="en-GB"/>
              </w:rPr>
              <w:t>epresents the interests of Alberta’s electricity and natural gas consumers</w:t>
            </w:r>
            <w:r w:rsidR="0072213B" w:rsidRPr="00597788">
              <w:rPr>
                <w:rFonts w:eastAsiaTheme="minorEastAsia"/>
                <w:sz w:val="18"/>
                <w:szCs w:val="18"/>
                <w:lang w:val="en-GB"/>
              </w:rPr>
              <w:t>.</w:t>
            </w:r>
          </w:p>
        </w:tc>
        <w:tc>
          <w:tcPr>
            <w:tcW w:w="3415" w:type="dxa"/>
          </w:tcPr>
          <w:p w14:paraId="0474C504" w14:textId="631C23AB" w:rsidR="004331A6" w:rsidRPr="00597788" w:rsidRDefault="0072213B" w:rsidP="00EE680D">
            <w:pPr>
              <w:pStyle w:val="ExhibitText"/>
              <w:numPr>
                <w:ilvl w:val="0"/>
                <w:numId w:val="43"/>
              </w:numPr>
              <w:jc w:val="left"/>
              <w:rPr>
                <w:rFonts w:eastAsiaTheme="minorEastAsia"/>
                <w:sz w:val="18"/>
                <w:szCs w:val="18"/>
                <w:lang w:val="en-GB"/>
              </w:rPr>
            </w:pPr>
            <w:r w:rsidRPr="00597788">
              <w:rPr>
                <w:rFonts w:eastAsiaTheme="minorEastAsia"/>
                <w:sz w:val="18"/>
                <w:szCs w:val="18"/>
                <w:lang w:val="en-GB"/>
              </w:rPr>
              <w:t>Ensuring c</w:t>
            </w:r>
            <w:r w:rsidR="004331A6" w:rsidRPr="00597788">
              <w:rPr>
                <w:rFonts w:eastAsiaTheme="minorEastAsia"/>
                <w:sz w:val="18"/>
                <w:szCs w:val="18"/>
                <w:lang w:val="en-GB"/>
              </w:rPr>
              <w:t>onsumers benefit from the project</w:t>
            </w:r>
          </w:p>
          <w:p w14:paraId="0EB6DB4F" w14:textId="65E732CF" w:rsidR="004331A6" w:rsidRPr="00597788" w:rsidRDefault="0072213B" w:rsidP="00EE680D">
            <w:pPr>
              <w:pStyle w:val="ExhibitText"/>
              <w:numPr>
                <w:ilvl w:val="0"/>
                <w:numId w:val="43"/>
              </w:numPr>
              <w:jc w:val="left"/>
              <w:rPr>
                <w:rFonts w:eastAsiaTheme="minorEastAsia"/>
                <w:sz w:val="18"/>
                <w:szCs w:val="18"/>
                <w:lang w:val="en-GB"/>
              </w:rPr>
            </w:pPr>
            <w:r w:rsidRPr="00597788">
              <w:rPr>
                <w:rFonts w:eastAsiaTheme="minorEastAsia"/>
                <w:sz w:val="18"/>
                <w:szCs w:val="18"/>
                <w:lang w:val="en-GB"/>
              </w:rPr>
              <w:t>Ensuring c</w:t>
            </w:r>
            <w:r w:rsidR="004331A6" w:rsidRPr="00597788">
              <w:rPr>
                <w:rFonts w:eastAsiaTheme="minorEastAsia"/>
                <w:sz w:val="18"/>
                <w:szCs w:val="18"/>
                <w:lang w:val="en-GB"/>
              </w:rPr>
              <w:t>ustomer concerns are addressed</w:t>
            </w:r>
          </w:p>
          <w:p w14:paraId="180829A9" w14:textId="7EF885BF" w:rsidR="004331A6" w:rsidRPr="00597788" w:rsidRDefault="0072213B" w:rsidP="00EE680D">
            <w:pPr>
              <w:pStyle w:val="ExhibitText"/>
              <w:numPr>
                <w:ilvl w:val="0"/>
                <w:numId w:val="43"/>
              </w:numPr>
              <w:jc w:val="left"/>
              <w:rPr>
                <w:rFonts w:eastAsiaTheme="minorEastAsia"/>
                <w:sz w:val="18"/>
                <w:szCs w:val="18"/>
                <w:lang w:val="en-GB"/>
              </w:rPr>
            </w:pPr>
            <w:r w:rsidRPr="00597788">
              <w:rPr>
                <w:rFonts w:eastAsiaTheme="minorEastAsia"/>
                <w:sz w:val="18"/>
                <w:szCs w:val="18"/>
                <w:lang w:val="en-GB"/>
              </w:rPr>
              <w:t>Ensuring that a</w:t>
            </w:r>
            <w:r w:rsidR="004331A6" w:rsidRPr="00597788">
              <w:rPr>
                <w:rFonts w:eastAsiaTheme="minorEastAsia"/>
                <w:sz w:val="18"/>
                <w:szCs w:val="18"/>
                <w:lang w:val="en-GB"/>
              </w:rPr>
              <w:t>ny costs added are fair</w:t>
            </w:r>
          </w:p>
        </w:tc>
      </w:tr>
    </w:tbl>
    <w:p w14:paraId="1CDC8A27" w14:textId="77777777" w:rsidR="0086229E" w:rsidRPr="00597788" w:rsidRDefault="0086229E" w:rsidP="00F23D09">
      <w:pPr>
        <w:pStyle w:val="Footnote"/>
        <w:keepNext/>
        <w:keepLines/>
        <w:rPr>
          <w:lang w:val="en-GB"/>
        </w:rPr>
      </w:pPr>
    </w:p>
    <w:p w14:paraId="585B8E19" w14:textId="34ED1086" w:rsidR="00E912A2" w:rsidRPr="00597788" w:rsidRDefault="0029268F" w:rsidP="00F23D09">
      <w:pPr>
        <w:pStyle w:val="Footnote"/>
        <w:keepNext/>
        <w:keepLines/>
        <w:rPr>
          <w:rFonts w:eastAsiaTheme="minorEastAsia"/>
          <w:lang w:val="en-GB"/>
        </w:rPr>
      </w:pPr>
      <w:r w:rsidRPr="00597788">
        <w:rPr>
          <w:spacing w:val="-4"/>
          <w:lang w:val="en-GB"/>
        </w:rPr>
        <w:t xml:space="preserve">Note: </w:t>
      </w:r>
      <w:r w:rsidR="00C86EAB" w:rsidRPr="00597788">
        <w:rPr>
          <w:spacing w:val="-4"/>
          <w:lang w:val="en-GB"/>
        </w:rPr>
        <w:t xml:space="preserve">IBEW = International Brotherhood of Electrical Workers; </w:t>
      </w:r>
      <w:r w:rsidRPr="00597788">
        <w:rPr>
          <w:spacing w:val="-4"/>
          <w:lang w:val="en-GB"/>
        </w:rPr>
        <w:t xml:space="preserve">AMI = </w:t>
      </w:r>
      <w:r w:rsidR="00C86EAB" w:rsidRPr="00597788">
        <w:rPr>
          <w:spacing w:val="-4"/>
          <w:lang w:val="en-GB"/>
        </w:rPr>
        <w:t>advanced</w:t>
      </w:r>
      <w:r w:rsidRPr="00597788">
        <w:rPr>
          <w:spacing w:val="-4"/>
          <w:lang w:val="en-GB"/>
        </w:rPr>
        <w:t xml:space="preserve"> meter</w:t>
      </w:r>
      <w:r w:rsidR="00C86EAB" w:rsidRPr="00597788">
        <w:rPr>
          <w:spacing w:val="-4"/>
          <w:lang w:val="en-GB"/>
        </w:rPr>
        <w:t>ing</w:t>
      </w:r>
      <w:r w:rsidRPr="00597788">
        <w:rPr>
          <w:spacing w:val="-4"/>
          <w:lang w:val="en-GB"/>
        </w:rPr>
        <w:t xml:space="preserve"> infrastructure; AMR = a</w:t>
      </w:r>
      <w:r w:rsidR="00C86EAB" w:rsidRPr="00597788">
        <w:rPr>
          <w:spacing w:val="-4"/>
          <w:lang w:val="en-GB"/>
        </w:rPr>
        <w:t>utomatic</w:t>
      </w:r>
      <w:r w:rsidRPr="00597788">
        <w:rPr>
          <w:spacing w:val="-4"/>
          <w:lang w:val="en-GB"/>
        </w:rPr>
        <w:t xml:space="preserve"> meter reading</w:t>
      </w:r>
      <w:r w:rsidR="008D52AE" w:rsidRPr="00597788">
        <w:rPr>
          <w:spacing w:val="-4"/>
          <w:lang w:val="en-GB"/>
        </w:rPr>
        <w:t>.</w:t>
      </w:r>
      <w:r w:rsidR="00F23D09">
        <w:rPr>
          <w:spacing w:val="-4"/>
          <w:lang w:val="en-GB"/>
        </w:rPr>
        <w:t xml:space="preserve"> </w:t>
      </w:r>
      <w:r w:rsidR="0086229E" w:rsidRPr="00597788">
        <w:rPr>
          <w:lang w:val="en-GB"/>
        </w:rPr>
        <w:t xml:space="preserve">Source: </w:t>
      </w:r>
      <w:r w:rsidR="0086229E" w:rsidRPr="00597788">
        <w:rPr>
          <w:rFonts w:eastAsiaTheme="minorEastAsia"/>
          <w:lang w:val="en-GB"/>
        </w:rPr>
        <w:t xml:space="preserve">Created by the authors with data from </w:t>
      </w:r>
      <w:r w:rsidR="0072213B" w:rsidRPr="00597788">
        <w:rPr>
          <w:rFonts w:eastAsiaTheme="minorEastAsia"/>
          <w:lang w:val="en-GB"/>
        </w:rPr>
        <w:t>company documents.</w:t>
      </w:r>
    </w:p>
    <w:p w14:paraId="16DEB601" w14:textId="77777777" w:rsidR="00E912A2" w:rsidRPr="00597788" w:rsidRDefault="00E912A2" w:rsidP="00F23D09">
      <w:pPr>
        <w:pStyle w:val="ExhibitHeading"/>
        <w:widowControl w:val="0"/>
        <w:rPr>
          <w:rFonts w:eastAsiaTheme="minorEastAsia"/>
          <w:lang w:val="en-GB"/>
        </w:rPr>
      </w:pPr>
    </w:p>
    <w:p w14:paraId="1F57BC2F" w14:textId="727B37C1" w:rsidR="0086229E" w:rsidRDefault="0086229E" w:rsidP="00F23D09">
      <w:pPr>
        <w:pStyle w:val="ExhibitHeading"/>
        <w:keepNext/>
        <w:keepLines/>
        <w:rPr>
          <w:rFonts w:eastAsiaTheme="majorEastAsia"/>
          <w:lang w:val="en-GB" w:bidi="en-US"/>
        </w:rPr>
      </w:pPr>
      <w:r w:rsidRPr="00597788">
        <w:rPr>
          <w:rFonts w:eastAsiaTheme="majorEastAsia"/>
          <w:lang w:val="en-GB" w:bidi="en-US"/>
        </w:rPr>
        <w:lastRenderedPageBreak/>
        <w:t>EXHIBIT 3</w:t>
      </w:r>
      <w:r w:rsidR="004331A6" w:rsidRPr="00597788">
        <w:rPr>
          <w:rFonts w:eastAsiaTheme="majorEastAsia"/>
          <w:lang w:val="en-GB" w:bidi="en-US"/>
        </w:rPr>
        <w:t xml:space="preserve">: </w:t>
      </w:r>
      <w:r w:rsidR="00CD1F01" w:rsidRPr="00597788">
        <w:rPr>
          <w:rFonts w:eastAsiaTheme="majorEastAsia"/>
          <w:lang w:val="en-GB" w:bidi="en-US"/>
        </w:rPr>
        <w:t xml:space="preserve">analysis summary of </w:t>
      </w:r>
      <w:r w:rsidR="00607DAA" w:rsidRPr="00597788">
        <w:rPr>
          <w:rFonts w:eastAsiaTheme="majorEastAsia"/>
          <w:lang w:val="en-GB" w:bidi="en-US"/>
        </w:rPr>
        <w:t xml:space="preserve">long-term </w:t>
      </w:r>
      <w:r w:rsidR="00595A92" w:rsidRPr="00597788">
        <w:rPr>
          <w:rFonts w:eastAsiaTheme="majorEastAsia"/>
          <w:lang w:val="en-GB" w:bidi="en-US"/>
        </w:rPr>
        <w:t xml:space="preserve">cash flow and </w:t>
      </w:r>
      <w:r w:rsidR="00CD1F01" w:rsidRPr="00597788">
        <w:rPr>
          <w:rFonts w:eastAsiaTheme="majorEastAsia"/>
          <w:lang w:val="en-GB" w:bidi="en-US"/>
        </w:rPr>
        <w:t>Costs</w:t>
      </w:r>
      <w:r w:rsidR="00595A92" w:rsidRPr="00597788">
        <w:rPr>
          <w:rFonts w:eastAsiaTheme="majorEastAsia"/>
          <w:lang w:val="en-GB" w:bidi="en-US"/>
        </w:rPr>
        <w:t xml:space="preserve"> </w:t>
      </w:r>
      <w:r w:rsidR="00CD1F01" w:rsidRPr="00597788">
        <w:rPr>
          <w:rFonts w:eastAsiaTheme="majorEastAsia"/>
          <w:lang w:val="en-GB" w:bidi="en-US"/>
        </w:rPr>
        <w:t>for each alternative</w:t>
      </w:r>
    </w:p>
    <w:p w14:paraId="20911394" w14:textId="77777777" w:rsidR="00EE680D" w:rsidRPr="00597788" w:rsidRDefault="00EE680D" w:rsidP="00F23D09">
      <w:pPr>
        <w:pStyle w:val="ExhibitHeading"/>
        <w:keepNext/>
        <w:keepLines/>
        <w:rPr>
          <w:rFonts w:eastAsiaTheme="majorEastAsia"/>
          <w:lang w:val="en-GB" w:bidi="en-US"/>
        </w:rPr>
      </w:pPr>
    </w:p>
    <w:tbl>
      <w:tblPr>
        <w:tblStyle w:val="TableGrid3"/>
        <w:tblW w:w="9270" w:type="dxa"/>
        <w:tblInd w:w="85" w:type="dxa"/>
        <w:tblLook w:val="04A0" w:firstRow="1" w:lastRow="0" w:firstColumn="1" w:lastColumn="0" w:noHBand="0" w:noVBand="1"/>
      </w:tblPr>
      <w:tblGrid>
        <w:gridCol w:w="1679"/>
        <w:gridCol w:w="2461"/>
        <w:gridCol w:w="2610"/>
        <w:gridCol w:w="1485"/>
        <w:gridCol w:w="1035"/>
      </w:tblGrid>
      <w:tr w:rsidR="00CD1F01" w:rsidRPr="00597788" w14:paraId="4EA4DFA7" w14:textId="77777777" w:rsidTr="00FA5541">
        <w:trPr>
          <w:trHeight w:val="152"/>
        </w:trPr>
        <w:tc>
          <w:tcPr>
            <w:tcW w:w="1679" w:type="dxa"/>
            <w:vAlign w:val="center"/>
            <w:hideMark/>
          </w:tcPr>
          <w:p w14:paraId="03DB0D40" w14:textId="77777777" w:rsidR="00FD01F9" w:rsidRPr="00597788" w:rsidRDefault="00FD01F9" w:rsidP="00FA5541">
            <w:pPr>
              <w:pStyle w:val="ExhibitText"/>
              <w:keepNext/>
              <w:keepLines/>
              <w:jc w:val="left"/>
              <w:rPr>
                <w:rFonts w:eastAsiaTheme="minorEastAsia"/>
                <w:b/>
                <w:sz w:val="18"/>
                <w:szCs w:val="18"/>
                <w:lang w:val="en-GB"/>
              </w:rPr>
            </w:pPr>
            <w:r w:rsidRPr="00597788">
              <w:rPr>
                <w:rFonts w:eastAsiaTheme="minorEastAsia"/>
                <w:b/>
                <w:sz w:val="18"/>
                <w:szCs w:val="18"/>
                <w:lang w:val="en-GB"/>
              </w:rPr>
              <w:t>Alternative</w:t>
            </w:r>
          </w:p>
        </w:tc>
        <w:tc>
          <w:tcPr>
            <w:tcW w:w="2461" w:type="dxa"/>
            <w:vAlign w:val="center"/>
          </w:tcPr>
          <w:p w14:paraId="7AACA81B" w14:textId="31765966" w:rsidR="00FD01F9" w:rsidRPr="00597788" w:rsidRDefault="00FD01F9" w:rsidP="00F23D09">
            <w:pPr>
              <w:pStyle w:val="ExhibitText"/>
              <w:keepNext/>
              <w:keepLines/>
              <w:jc w:val="center"/>
              <w:rPr>
                <w:rFonts w:eastAsiaTheme="minorEastAsia"/>
                <w:b/>
                <w:sz w:val="18"/>
                <w:szCs w:val="18"/>
                <w:lang w:val="en-GB"/>
              </w:rPr>
            </w:pPr>
            <w:r w:rsidRPr="00597788">
              <w:rPr>
                <w:rFonts w:eastAsiaTheme="minorEastAsia"/>
                <w:b/>
                <w:sz w:val="18"/>
                <w:szCs w:val="18"/>
                <w:lang w:val="en-GB"/>
              </w:rPr>
              <w:t>Benefits</w:t>
            </w:r>
          </w:p>
        </w:tc>
        <w:tc>
          <w:tcPr>
            <w:tcW w:w="2610" w:type="dxa"/>
            <w:vAlign w:val="center"/>
          </w:tcPr>
          <w:p w14:paraId="41E9FF0B" w14:textId="7A7E4A13" w:rsidR="00FD01F9" w:rsidRPr="00597788" w:rsidRDefault="00FD01F9" w:rsidP="00F23D09">
            <w:pPr>
              <w:pStyle w:val="ExhibitText"/>
              <w:keepNext/>
              <w:keepLines/>
              <w:jc w:val="center"/>
              <w:rPr>
                <w:rFonts w:eastAsiaTheme="minorEastAsia"/>
                <w:b/>
                <w:sz w:val="18"/>
                <w:szCs w:val="18"/>
                <w:lang w:val="en-GB"/>
              </w:rPr>
            </w:pPr>
            <w:r w:rsidRPr="00597788">
              <w:rPr>
                <w:rFonts w:eastAsiaTheme="minorEastAsia"/>
                <w:b/>
                <w:sz w:val="18"/>
                <w:szCs w:val="18"/>
                <w:lang w:val="en-GB"/>
              </w:rPr>
              <w:t>Drawbacks</w:t>
            </w:r>
          </w:p>
        </w:tc>
        <w:tc>
          <w:tcPr>
            <w:tcW w:w="1485" w:type="dxa"/>
            <w:vAlign w:val="center"/>
            <w:hideMark/>
          </w:tcPr>
          <w:p w14:paraId="45625CD5" w14:textId="5C22840F" w:rsidR="00607DAA" w:rsidRPr="00597788" w:rsidRDefault="00FD01F9" w:rsidP="00F23D09">
            <w:pPr>
              <w:pStyle w:val="ExhibitText"/>
              <w:keepNext/>
              <w:keepLines/>
              <w:jc w:val="center"/>
              <w:rPr>
                <w:rFonts w:eastAsiaTheme="minorEastAsia"/>
                <w:b/>
                <w:sz w:val="18"/>
                <w:szCs w:val="18"/>
                <w:lang w:val="en-GB"/>
              </w:rPr>
            </w:pPr>
            <w:r w:rsidRPr="00597788">
              <w:rPr>
                <w:rFonts w:eastAsiaTheme="minorEastAsia"/>
                <w:b/>
                <w:sz w:val="18"/>
                <w:szCs w:val="18"/>
                <w:lang w:val="en-GB"/>
              </w:rPr>
              <w:t xml:space="preserve">Net </w:t>
            </w:r>
            <w:r w:rsidR="00595A92" w:rsidRPr="00597788">
              <w:rPr>
                <w:rFonts w:eastAsiaTheme="minorEastAsia"/>
                <w:b/>
                <w:sz w:val="18"/>
                <w:szCs w:val="18"/>
                <w:lang w:val="en-GB"/>
              </w:rPr>
              <w:t>C</w:t>
            </w:r>
            <w:r w:rsidRPr="00597788">
              <w:rPr>
                <w:rFonts w:eastAsiaTheme="minorEastAsia"/>
                <w:b/>
                <w:sz w:val="18"/>
                <w:szCs w:val="18"/>
                <w:lang w:val="en-GB"/>
              </w:rPr>
              <w:t xml:space="preserve">ash </w:t>
            </w:r>
            <w:r w:rsidR="00595A92" w:rsidRPr="00597788">
              <w:rPr>
                <w:rFonts w:eastAsiaTheme="minorEastAsia"/>
                <w:b/>
                <w:sz w:val="18"/>
                <w:szCs w:val="18"/>
                <w:lang w:val="en-GB"/>
              </w:rPr>
              <w:t>F</w:t>
            </w:r>
            <w:r w:rsidRPr="00597788">
              <w:rPr>
                <w:rFonts w:eastAsiaTheme="minorEastAsia"/>
                <w:b/>
                <w:sz w:val="18"/>
                <w:szCs w:val="18"/>
                <w:lang w:val="en-GB"/>
              </w:rPr>
              <w:t>low</w:t>
            </w:r>
          </w:p>
          <w:p w14:paraId="0598103E" w14:textId="4C340E45" w:rsidR="00FD01F9" w:rsidRPr="00597788" w:rsidRDefault="00607DAA" w:rsidP="00F23D09">
            <w:pPr>
              <w:pStyle w:val="ExhibitText"/>
              <w:keepNext/>
              <w:keepLines/>
              <w:jc w:val="center"/>
              <w:rPr>
                <w:rFonts w:eastAsiaTheme="minorEastAsia"/>
                <w:b/>
                <w:sz w:val="18"/>
                <w:szCs w:val="18"/>
                <w:lang w:val="en-GB"/>
              </w:rPr>
            </w:pPr>
            <w:r w:rsidRPr="00597788">
              <w:rPr>
                <w:rFonts w:eastAsiaTheme="minorEastAsia"/>
                <w:b/>
                <w:sz w:val="18"/>
                <w:szCs w:val="18"/>
                <w:lang w:val="en-GB"/>
              </w:rPr>
              <w:t>(</w:t>
            </w:r>
            <w:r w:rsidR="0072213B" w:rsidRPr="00597788">
              <w:rPr>
                <w:rFonts w:eastAsiaTheme="minorEastAsia"/>
                <w:b/>
                <w:sz w:val="18"/>
                <w:szCs w:val="18"/>
                <w:lang w:val="en-GB"/>
              </w:rPr>
              <w:t>$CA m</w:t>
            </w:r>
            <w:r w:rsidRPr="00597788">
              <w:rPr>
                <w:rFonts w:eastAsiaTheme="minorEastAsia"/>
                <w:b/>
                <w:sz w:val="18"/>
                <w:szCs w:val="18"/>
                <w:lang w:val="en-GB"/>
              </w:rPr>
              <w:t>illions)</w:t>
            </w:r>
          </w:p>
        </w:tc>
        <w:tc>
          <w:tcPr>
            <w:tcW w:w="1035" w:type="dxa"/>
            <w:vAlign w:val="center"/>
            <w:hideMark/>
          </w:tcPr>
          <w:p w14:paraId="23C28887" w14:textId="00B7296E" w:rsidR="00607DAA" w:rsidRPr="00597788" w:rsidRDefault="00CD1F01" w:rsidP="00F23D09">
            <w:pPr>
              <w:pStyle w:val="ExhibitText"/>
              <w:keepNext/>
              <w:keepLines/>
              <w:jc w:val="center"/>
              <w:rPr>
                <w:rFonts w:eastAsiaTheme="minorEastAsia"/>
                <w:b/>
                <w:sz w:val="18"/>
                <w:szCs w:val="18"/>
                <w:lang w:val="en-GB"/>
              </w:rPr>
            </w:pPr>
            <w:r w:rsidRPr="00597788">
              <w:rPr>
                <w:rFonts w:eastAsiaTheme="minorEastAsia"/>
                <w:b/>
                <w:sz w:val="18"/>
                <w:szCs w:val="18"/>
                <w:lang w:val="en-GB"/>
              </w:rPr>
              <w:t>Costs</w:t>
            </w:r>
          </w:p>
          <w:p w14:paraId="35B3D2A5" w14:textId="04144C28" w:rsidR="00FD01F9" w:rsidRPr="00597788" w:rsidRDefault="00607DAA" w:rsidP="00F23D09">
            <w:pPr>
              <w:pStyle w:val="ExhibitText"/>
              <w:keepNext/>
              <w:keepLines/>
              <w:jc w:val="center"/>
              <w:rPr>
                <w:rFonts w:eastAsiaTheme="minorEastAsia"/>
                <w:b/>
                <w:sz w:val="18"/>
                <w:szCs w:val="18"/>
                <w:lang w:val="en-GB"/>
              </w:rPr>
            </w:pPr>
            <w:r w:rsidRPr="00597788">
              <w:rPr>
                <w:rFonts w:eastAsiaTheme="minorEastAsia"/>
                <w:b/>
                <w:sz w:val="18"/>
                <w:szCs w:val="18"/>
                <w:lang w:val="en-GB"/>
              </w:rPr>
              <w:t>(</w:t>
            </w:r>
            <w:r w:rsidR="0072213B" w:rsidRPr="00597788">
              <w:rPr>
                <w:rFonts w:eastAsiaTheme="minorEastAsia"/>
                <w:b/>
                <w:sz w:val="18"/>
                <w:szCs w:val="18"/>
                <w:lang w:val="en-GB"/>
              </w:rPr>
              <w:t>$CA m</w:t>
            </w:r>
            <w:r w:rsidRPr="00597788">
              <w:rPr>
                <w:rFonts w:eastAsiaTheme="minorEastAsia"/>
                <w:b/>
                <w:sz w:val="18"/>
                <w:szCs w:val="18"/>
                <w:lang w:val="en-GB"/>
              </w:rPr>
              <w:t>illions)</w:t>
            </w:r>
          </w:p>
        </w:tc>
      </w:tr>
      <w:tr w:rsidR="00CD1F01" w:rsidRPr="00597788" w14:paraId="2CDDDF48" w14:textId="77777777" w:rsidTr="00FA5541">
        <w:trPr>
          <w:trHeight w:val="60"/>
        </w:trPr>
        <w:tc>
          <w:tcPr>
            <w:tcW w:w="1679" w:type="dxa"/>
            <w:hideMark/>
          </w:tcPr>
          <w:p w14:paraId="2624F019" w14:textId="19BA3AE7" w:rsidR="00FD01F9" w:rsidRPr="00597788" w:rsidRDefault="00FD01F9" w:rsidP="00FA5541">
            <w:pPr>
              <w:pStyle w:val="ExhibitText"/>
              <w:keepNext/>
              <w:keepLines/>
              <w:jc w:val="left"/>
              <w:rPr>
                <w:rFonts w:eastAsiaTheme="minorEastAsia"/>
                <w:sz w:val="18"/>
                <w:szCs w:val="18"/>
                <w:lang w:val="en-GB"/>
              </w:rPr>
            </w:pPr>
            <w:r w:rsidRPr="00597788">
              <w:rPr>
                <w:rFonts w:eastAsiaTheme="minorEastAsia"/>
                <w:sz w:val="18"/>
                <w:szCs w:val="18"/>
                <w:lang w:val="en-GB"/>
              </w:rPr>
              <w:t>Alternative 1</w:t>
            </w:r>
            <w:r w:rsidR="0072213B" w:rsidRPr="00597788">
              <w:rPr>
                <w:rFonts w:eastAsiaTheme="minorEastAsia"/>
                <w:sz w:val="18"/>
                <w:szCs w:val="18"/>
                <w:lang w:val="en-GB"/>
              </w:rPr>
              <w:t>:</w:t>
            </w:r>
            <w:r w:rsidRPr="00597788">
              <w:rPr>
                <w:rFonts w:eastAsiaTheme="minorEastAsia"/>
                <w:sz w:val="18"/>
                <w:szCs w:val="18"/>
                <w:lang w:val="en-GB"/>
              </w:rPr>
              <w:t xml:space="preserve"> Status Quo </w:t>
            </w:r>
          </w:p>
        </w:tc>
        <w:tc>
          <w:tcPr>
            <w:tcW w:w="2461" w:type="dxa"/>
          </w:tcPr>
          <w:p w14:paraId="162EF06A" w14:textId="6A0C04D1" w:rsidR="00FD01F9" w:rsidRPr="00597788" w:rsidRDefault="00FD01F9" w:rsidP="00EE680D">
            <w:pPr>
              <w:pStyle w:val="ExhibitText"/>
              <w:keepNext/>
              <w:keepLines/>
              <w:numPr>
                <w:ilvl w:val="0"/>
                <w:numId w:val="44"/>
              </w:numPr>
              <w:rPr>
                <w:rFonts w:eastAsiaTheme="minorEastAsia"/>
                <w:sz w:val="18"/>
                <w:szCs w:val="18"/>
                <w:lang w:val="en-GB"/>
              </w:rPr>
            </w:pPr>
            <w:r w:rsidRPr="00597788">
              <w:rPr>
                <w:rFonts w:eastAsiaTheme="minorEastAsia"/>
                <w:sz w:val="18"/>
                <w:szCs w:val="18"/>
                <w:lang w:val="en-GB"/>
              </w:rPr>
              <w:t xml:space="preserve">No capital investment </w:t>
            </w:r>
            <w:r w:rsidR="00E912A2" w:rsidRPr="00597788">
              <w:rPr>
                <w:rFonts w:eastAsiaTheme="minorEastAsia"/>
                <w:sz w:val="18"/>
                <w:szCs w:val="18"/>
                <w:lang w:val="en-GB"/>
              </w:rPr>
              <w:t>is required.</w:t>
            </w:r>
          </w:p>
        </w:tc>
        <w:tc>
          <w:tcPr>
            <w:tcW w:w="2610" w:type="dxa"/>
          </w:tcPr>
          <w:p w14:paraId="59F0D5C8" w14:textId="3A4AE003" w:rsidR="00FD01F9" w:rsidRPr="00597788" w:rsidRDefault="00FD01F9" w:rsidP="00EE680D">
            <w:pPr>
              <w:pStyle w:val="ExhibitText"/>
              <w:keepNext/>
              <w:keepLines/>
              <w:numPr>
                <w:ilvl w:val="0"/>
                <w:numId w:val="44"/>
              </w:numPr>
              <w:rPr>
                <w:rFonts w:eastAsiaTheme="minorEastAsia"/>
                <w:sz w:val="18"/>
                <w:szCs w:val="18"/>
                <w:lang w:val="en-GB"/>
              </w:rPr>
            </w:pPr>
            <w:r w:rsidRPr="00597788">
              <w:rPr>
                <w:rFonts w:eastAsiaTheme="minorEastAsia"/>
                <w:sz w:val="18"/>
                <w:szCs w:val="18"/>
                <w:lang w:val="en-GB"/>
              </w:rPr>
              <w:t xml:space="preserve">Manual meter reading </w:t>
            </w:r>
            <w:r w:rsidR="00E912A2" w:rsidRPr="00597788">
              <w:rPr>
                <w:rFonts w:eastAsiaTheme="minorEastAsia"/>
                <w:sz w:val="18"/>
                <w:szCs w:val="18"/>
                <w:lang w:val="en-GB"/>
              </w:rPr>
              <w:t xml:space="preserve">is </w:t>
            </w:r>
            <w:r w:rsidRPr="00597788">
              <w:rPr>
                <w:rFonts w:eastAsiaTheme="minorEastAsia"/>
                <w:sz w:val="18"/>
                <w:szCs w:val="18"/>
                <w:lang w:val="en-GB"/>
              </w:rPr>
              <w:t>required until all meters replaced with AMR (approx</w:t>
            </w:r>
            <w:r w:rsidR="0072213B" w:rsidRPr="00597788">
              <w:rPr>
                <w:rFonts w:eastAsiaTheme="minorEastAsia"/>
                <w:sz w:val="18"/>
                <w:szCs w:val="18"/>
                <w:lang w:val="en-GB"/>
              </w:rPr>
              <w:t>imately</w:t>
            </w:r>
            <w:r w:rsidRPr="00597788">
              <w:rPr>
                <w:rFonts w:eastAsiaTheme="minorEastAsia"/>
                <w:sz w:val="18"/>
                <w:szCs w:val="18"/>
                <w:lang w:val="en-GB"/>
              </w:rPr>
              <w:t xml:space="preserve"> 20 y</w:t>
            </w:r>
            <w:r w:rsidR="0072213B" w:rsidRPr="00597788">
              <w:rPr>
                <w:rFonts w:eastAsiaTheme="minorEastAsia"/>
                <w:sz w:val="18"/>
                <w:szCs w:val="18"/>
                <w:lang w:val="en-GB"/>
              </w:rPr>
              <w:t>ea</w:t>
            </w:r>
            <w:r w:rsidRPr="00597788">
              <w:rPr>
                <w:rFonts w:eastAsiaTheme="minorEastAsia"/>
                <w:sz w:val="18"/>
                <w:szCs w:val="18"/>
                <w:lang w:val="en-GB"/>
              </w:rPr>
              <w:t>rs)</w:t>
            </w:r>
            <w:r w:rsidR="00E912A2" w:rsidRPr="00597788">
              <w:rPr>
                <w:rFonts w:eastAsiaTheme="minorEastAsia"/>
                <w:sz w:val="18"/>
                <w:szCs w:val="18"/>
                <w:lang w:val="en-GB"/>
              </w:rPr>
              <w:t>.</w:t>
            </w:r>
          </w:p>
        </w:tc>
        <w:tc>
          <w:tcPr>
            <w:tcW w:w="1485" w:type="dxa"/>
            <w:vAlign w:val="center"/>
            <w:hideMark/>
          </w:tcPr>
          <w:p w14:paraId="721BAE2B" w14:textId="5B5CF17F" w:rsidR="00FD01F9" w:rsidRPr="00597788" w:rsidRDefault="00E912A2" w:rsidP="00F23D09">
            <w:pPr>
              <w:pStyle w:val="ExhibitText"/>
              <w:keepNext/>
              <w:keepLines/>
              <w:jc w:val="right"/>
              <w:rPr>
                <w:rFonts w:eastAsiaTheme="minorEastAsia"/>
                <w:sz w:val="18"/>
                <w:szCs w:val="18"/>
                <w:lang w:val="en-GB"/>
              </w:rPr>
            </w:pPr>
            <w:r w:rsidRPr="00597788">
              <w:rPr>
                <w:rFonts w:eastAsiaTheme="minorEastAsia"/>
                <w:sz w:val="18"/>
                <w:szCs w:val="18"/>
                <w:lang w:val="en-GB"/>
              </w:rPr>
              <w:t>−</w:t>
            </w:r>
            <w:r w:rsidR="00FD01F9" w:rsidRPr="00597788">
              <w:rPr>
                <w:rFonts w:eastAsiaTheme="minorEastAsia"/>
                <w:sz w:val="18"/>
                <w:szCs w:val="18"/>
                <w:lang w:val="en-GB"/>
              </w:rPr>
              <w:t>26.36</w:t>
            </w:r>
          </w:p>
        </w:tc>
        <w:tc>
          <w:tcPr>
            <w:tcW w:w="1035" w:type="dxa"/>
            <w:vAlign w:val="center"/>
            <w:hideMark/>
          </w:tcPr>
          <w:p w14:paraId="2AF5A594" w14:textId="60817FEC" w:rsidR="00FD01F9" w:rsidRPr="00597788" w:rsidRDefault="00FD01F9" w:rsidP="00F23D09">
            <w:pPr>
              <w:pStyle w:val="ExhibitText"/>
              <w:keepNext/>
              <w:keepLines/>
              <w:jc w:val="right"/>
              <w:rPr>
                <w:rFonts w:eastAsiaTheme="minorEastAsia"/>
                <w:sz w:val="18"/>
                <w:szCs w:val="18"/>
                <w:lang w:val="en-GB"/>
              </w:rPr>
            </w:pPr>
            <w:r w:rsidRPr="00597788">
              <w:rPr>
                <w:rFonts w:eastAsiaTheme="minorEastAsia"/>
                <w:sz w:val="18"/>
                <w:szCs w:val="18"/>
                <w:lang w:val="en-GB"/>
              </w:rPr>
              <w:t>21.85</w:t>
            </w:r>
          </w:p>
        </w:tc>
      </w:tr>
      <w:tr w:rsidR="00CD1F01" w:rsidRPr="00597788" w14:paraId="39164785" w14:textId="77777777" w:rsidTr="00FA5541">
        <w:trPr>
          <w:trHeight w:val="60"/>
        </w:trPr>
        <w:tc>
          <w:tcPr>
            <w:tcW w:w="1679" w:type="dxa"/>
            <w:hideMark/>
          </w:tcPr>
          <w:p w14:paraId="56CB8FB1" w14:textId="3A9B7C71" w:rsidR="00FD01F9" w:rsidRPr="00597788" w:rsidRDefault="00FD01F9" w:rsidP="00FA5541">
            <w:pPr>
              <w:pStyle w:val="ExhibitText"/>
              <w:keepNext/>
              <w:keepLines/>
              <w:jc w:val="left"/>
              <w:rPr>
                <w:rFonts w:eastAsiaTheme="minorEastAsia"/>
                <w:sz w:val="18"/>
                <w:szCs w:val="18"/>
                <w:lang w:val="en-GB"/>
              </w:rPr>
            </w:pPr>
            <w:r w:rsidRPr="00597788">
              <w:rPr>
                <w:rFonts w:eastAsiaTheme="minorEastAsia"/>
                <w:sz w:val="18"/>
                <w:szCs w:val="18"/>
                <w:lang w:val="en-GB"/>
              </w:rPr>
              <w:t>Alternative 2</w:t>
            </w:r>
            <w:r w:rsidR="0072213B" w:rsidRPr="00597788">
              <w:rPr>
                <w:rFonts w:eastAsiaTheme="minorEastAsia"/>
                <w:sz w:val="18"/>
                <w:szCs w:val="18"/>
                <w:lang w:val="en-GB"/>
              </w:rPr>
              <w:t>:</w:t>
            </w:r>
            <w:r w:rsidRPr="00597788">
              <w:rPr>
                <w:rFonts w:eastAsiaTheme="minorEastAsia"/>
                <w:sz w:val="18"/>
                <w:szCs w:val="18"/>
                <w:lang w:val="en-GB"/>
              </w:rPr>
              <w:t xml:space="preserve"> AMR </w:t>
            </w:r>
            <w:r w:rsidR="00595A92" w:rsidRPr="00597788">
              <w:rPr>
                <w:rFonts w:eastAsiaTheme="minorEastAsia"/>
                <w:sz w:val="18"/>
                <w:szCs w:val="18"/>
                <w:lang w:val="en-GB"/>
              </w:rPr>
              <w:t>(</w:t>
            </w:r>
            <w:r w:rsidRPr="00597788">
              <w:rPr>
                <w:rFonts w:eastAsiaTheme="minorEastAsia"/>
                <w:sz w:val="18"/>
                <w:szCs w:val="18"/>
                <w:lang w:val="en-GB"/>
              </w:rPr>
              <w:t>Drive</w:t>
            </w:r>
            <w:r w:rsidR="00595A92" w:rsidRPr="00597788">
              <w:rPr>
                <w:rFonts w:eastAsiaTheme="minorEastAsia"/>
                <w:sz w:val="18"/>
                <w:szCs w:val="18"/>
                <w:lang w:val="en-GB"/>
              </w:rPr>
              <w:t>-</w:t>
            </w:r>
            <w:r w:rsidR="00E912A2" w:rsidRPr="00597788">
              <w:rPr>
                <w:rFonts w:eastAsiaTheme="minorEastAsia"/>
                <w:sz w:val="18"/>
                <w:szCs w:val="18"/>
                <w:lang w:val="en-GB"/>
              </w:rPr>
              <w:t xml:space="preserve">By </w:t>
            </w:r>
            <w:r w:rsidR="00CD1F01" w:rsidRPr="00597788">
              <w:rPr>
                <w:rFonts w:eastAsiaTheme="minorEastAsia"/>
                <w:sz w:val="18"/>
                <w:szCs w:val="18"/>
                <w:lang w:val="en-GB"/>
              </w:rPr>
              <w:t>R</w:t>
            </w:r>
            <w:r w:rsidR="00595A92" w:rsidRPr="00597788">
              <w:rPr>
                <w:rFonts w:eastAsiaTheme="minorEastAsia"/>
                <w:sz w:val="18"/>
                <w:szCs w:val="18"/>
                <w:lang w:val="en-GB"/>
              </w:rPr>
              <w:t>eading)</w:t>
            </w:r>
            <w:r w:rsidRPr="00597788">
              <w:rPr>
                <w:rFonts w:eastAsiaTheme="minorEastAsia"/>
                <w:sz w:val="18"/>
                <w:szCs w:val="18"/>
                <w:lang w:val="en-GB"/>
              </w:rPr>
              <w:t xml:space="preserve"> </w:t>
            </w:r>
          </w:p>
        </w:tc>
        <w:tc>
          <w:tcPr>
            <w:tcW w:w="2461" w:type="dxa"/>
          </w:tcPr>
          <w:p w14:paraId="54F98380" w14:textId="6A21C141" w:rsidR="00FD01F9" w:rsidRPr="00597788" w:rsidRDefault="00FD01F9" w:rsidP="00EE680D">
            <w:pPr>
              <w:pStyle w:val="ExhibitText"/>
              <w:keepNext/>
              <w:keepLines/>
              <w:numPr>
                <w:ilvl w:val="0"/>
                <w:numId w:val="44"/>
              </w:numPr>
              <w:rPr>
                <w:rFonts w:eastAsiaTheme="minorEastAsia"/>
                <w:sz w:val="18"/>
                <w:szCs w:val="18"/>
                <w:lang w:val="en-GB"/>
              </w:rPr>
            </w:pPr>
            <w:r w:rsidRPr="00597788">
              <w:rPr>
                <w:rFonts w:eastAsiaTheme="minorEastAsia"/>
                <w:sz w:val="18"/>
                <w:szCs w:val="18"/>
                <w:lang w:val="en-GB"/>
              </w:rPr>
              <w:t xml:space="preserve">Drive-by reading </w:t>
            </w:r>
            <w:r w:rsidR="00627DA5" w:rsidRPr="00597788">
              <w:rPr>
                <w:rFonts w:eastAsiaTheme="minorEastAsia"/>
                <w:sz w:val="18"/>
                <w:szCs w:val="18"/>
                <w:lang w:val="en-GB"/>
              </w:rPr>
              <w:t>replaces manual reading</w:t>
            </w:r>
            <w:r w:rsidR="00E912A2" w:rsidRPr="00597788">
              <w:rPr>
                <w:rFonts w:eastAsiaTheme="minorEastAsia"/>
                <w:sz w:val="18"/>
                <w:szCs w:val="18"/>
                <w:lang w:val="en-GB"/>
              </w:rPr>
              <w:t>.</w:t>
            </w:r>
          </w:p>
        </w:tc>
        <w:tc>
          <w:tcPr>
            <w:tcW w:w="2610" w:type="dxa"/>
          </w:tcPr>
          <w:p w14:paraId="2E6D7D0B" w14:textId="15516E4F" w:rsidR="00FD01F9" w:rsidRPr="00597788" w:rsidRDefault="00FD01F9" w:rsidP="00EE680D">
            <w:pPr>
              <w:pStyle w:val="ExhibitText"/>
              <w:keepNext/>
              <w:keepLines/>
              <w:numPr>
                <w:ilvl w:val="0"/>
                <w:numId w:val="44"/>
              </w:numPr>
              <w:rPr>
                <w:rFonts w:eastAsiaTheme="minorEastAsia"/>
                <w:sz w:val="18"/>
                <w:szCs w:val="18"/>
                <w:lang w:val="en-GB"/>
              </w:rPr>
            </w:pPr>
            <w:r w:rsidRPr="00597788">
              <w:rPr>
                <w:rFonts w:eastAsiaTheme="minorEastAsia"/>
                <w:sz w:val="18"/>
                <w:szCs w:val="18"/>
                <w:lang w:val="en-GB"/>
              </w:rPr>
              <w:t xml:space="preserve">Capital investment </w:t>
            </w:r>
            <w:r w:rsidR="00E912A2" w:rsidRPr="00597788">
              <w:rPr>
                <w:rFonts w:eastAsiaTheme="minorEastAsia"/>
                <w:sz w:val="18"/>
                <w:szCs w:val="18"/>
                <w:lang w:val="en-GB"/>
              </w:rPr>
              <w:t xml:space="preserve">is </w:t>
            </w:r>
            <w:r w:rsidRPr="00597788">
              <w:rPr>
                <w:rFonts w:eastAsiaTheme="minorEastAsia"/>
                <w:sz w:val="18"/>
                <w:szCs w:val="18"/>
                <w:lang w:val="en-GB"/>
              </w:rPr>
              <w:t>required</w:t>
            </w:r>
            <w:r w:rsidR="00E912A2" w:rsidRPr="00597788">
              <w:rPr>
                <w:rFonts w:eastAsiaTheme="minorEastAsia"/>
                <w:sz w:val="18"/>
                <w:szCs w:val="18"/>
                <w:lang w:val="en-GB"/>
              </w:rPr>
              <w:t>.</w:t>
            </w:r>
          </w:p>
          <w:p w14:paraId="2EEF95BF" w14:textId="039C5BAA" w:rsidR="00FD01F9" w:rsidRPr="00597788" w:rsidRDefault="00FD01F9" w:rsidP="00EE680D">
            <w:pPr>
              <w:pStyle w:val="ExhibitText"/>
              <w:keepNext/>
              <w:keepLines/>
              <w:numPr>
                <w:ilvl w:val="0"/>
                <w:numId w:val="44"/>
              </w:numPr>
              <w:rPr>
                <w:rFonts w:eastAsiaTheme="minorEastAsia"/>
                <w:sz w:val="18"/>
                <w:szCs w:val="18"/>
                <w:lang w:val="en-GB"/>
              </w:rPr>
            </w:pPr>
            <w:r w:rsidRPr="00597788">
              <w:rPr>
                <w:rFonts w:eastAsiaTheme="minorEastAsia"/>
                <w:sz w:val="18"/>
                <w:szCs w:val="18"/>
                <w:lang w:val="en-GB"/>
              </w:rPr>
              <w:t xml:space="preserve">Vehicle fleet </w:t>
            </w:r>
            <w:r w:rsidR="00E912A2" w:rsidRPr="00597788">
              <w:rPr>
                <w:rFonts w:eastAsiaTheme="minorEastAsia"/>
                <w:sz w:val="18"/>
                <w:szCs w:val="18"/>
                <w:lang w:val="en-GB"/>
              </w:rPr>
              <w:t xml:space="preserve">is </w:t>
            </w:r>
            <w:r w:rsidR="00595A92" w:rsidRPr="00597788">
              <w:rPr>
                <w:rFonts w:eastAsiaTheme="minorEastAsia"/>
                <w:sz w:val="18"/>
                <w:szCs w:val="18"/>
                <w:lang w:val="en-GB"/>
              </w:rPr>
              <w:t xml:space="preserve">still </w:t>
            </w:r>
            <w:r w:rsidRPr="00597788">
              <w:rPr>
                <w:rFonts w:eastAsiaTheme="minorEastAsia"/>
                <w:sz w:val="18"/>
                <w:szCs w:val="18"/>
                <w:lang w:val="en-GB"/>
              </w:rPr>
              <w:t>required</w:t>
            </w:r>
            <w:r w:rsidR="00E912A2" w:rsidRPr="00597788">
              <w:rPr>
                <w:rFonts w:eastAsiaTheme="minorEastAsia"/>
                <w:sz w:val="18"/>
                <w:szCs w:val="18"/>
                <w:lang w:val="en-GB"/>
              </w:rPr>
              <w:t>.</w:t>
            </w:r>
          </w:p>
        </w:tc>
        <w:tc>
          <w:tcPr>
            <w:tcW w:w="1485" w:type="dxa"/>
            <w:vAlign w:val="center"/>
            <w:hideMark/>
          </w:tcPr>
          <w:p w14:paraId="5A545E87" w14:textId="07464C73" w:rsidR="00FD01F9" w:rsidRPr="00597788" w:rsidRDefault="00FD01F9" w:rsidP="00F23D09">
            <w:pPr>
              <w:pStyle w:val="ExhibitText"/>
              <w:keepNext/>
              <w:keepLines/>
              <w:jc w:val="right"/>
              <w:rPr>
                <w:rFonts w:eastAsiaTheme="minorEastAsia"/>
                <w:sz w:val="18"/>
                <w:szCs w:val="18"/>
                <w:lang w:val="en-GB"/>
              </w:rPr>
            </w:pPr>
            <w:r w:rsidRPr="00597788">
              <w:rPr>
                <w:rFonts w:eastAsiaTheme="minorEastAsia"/>
                <w:sz w:val="18"/>
                <w:szCs w:val="18"/>
                <w:lang w:val="en-GB"/>
              </w:rPr>
              <w:t>30.01</w:t>
            </w:r>
          </w:p>
        </w:tc>
        <w:tc>
          <w:tcPr>
            <w:tcW w:w="1035" w:type="dxa"/>
            <w:vAlign w:val="center"/>
            <w:hideMark/>
          </w:tcPr>
          <w:p w14:paraId="71BB4A17" w14:textId="301AE57D" w:rsidR="00FD01F9" w:rsidRPr="00597788" w:rsidRDefault="00E912A2" w:rsidP="00F23D09">
            <w:pPr>
              <w:pStyle w:val="ExhibitText"/>
              <w:keepNext/>
              <w:keepLines/>
              <w:jc w:val="right"/>
              <w:rPr>
                <w:rFonts w:eastAsiaTheme="minorEastAsia"/>
                <w:sz w:val="18"/>
                <w:szCs w:val="18"/>
                <w:lang w:val="en-GB"/>
              </w:rPr>
            </w:pPr>
            <w:r w:rsidRPr="00597788">
              <w:rPr>
                <w:rFonts w:eastAsiaTheme="minorEastAsia"/>
                <w:sz w:val="18"/>
                <w:szCs w:val="18"/>
                <w:lang w:val="en-GB"/>
              </w:rPr>
              <w:t>−</w:t>
            </w:r>
            <w:r w:rsidR="00FD01F9" w:rsidRPr="00597788">
              <w:rPr>
                <w:rFonts w:eastAsiaTheme="minorEastAsia"/>
                <w:sz w:val="18"/>
                <w:szCs w:val="18"/>
                <w:lang w:val="en-GB"/>
              </w:rPr>
              <w:t>26.88</w:t>
            </w:r>
          </w:p>
        </w:tc>
      </w:tr>
      <w:tr w:rsidR="00CD1F01" w:rsidRPr="00597788" w14:paraId="7AEECE70" w14:textId="77777777" w:rsidTr="00FA5541">
        <w:trPr>
          <w:trHeight w:val="60"/>
        </w:trPr>
        <w:tc>
          <w:tcPr>
            <w:tcW w:w="1679" w:type="dxa"/>
            <w:hideMark/>
          </w:tcPr>
          <w:p w14:paraId="26C29A33" w14:textId="6DDA454F" w:rsidR="00FD01F9" w:rsidRPr="00597788" w:rsidRDefault="00FD01F9" w:rsidP="00FA5541">
            <w:pPr>
              <w:pStyle w:val="ExhibitText"/>
              <w:keepNext/>
              <w:keepLines/>
              <w:jc w:val="left"/>
              <w:rPr>
                <w:rFonts w:eastAsiaTheme="minorEastAsia"/>
                <w:sz w:val="18"/>
                <w:szCs w:val="18"/>
                <w:lang w:val="en-GB"/>
              </w:rPr>
            </w:pPr>
            <w:r w:rsidRPr="00597788">
              <w:rPr>
                <w:rFonts w:eastAsiaTheme="minorEastAsia"/>
                <w:sz w:val="18"/>
                <w:szCs w:val="18"/>
                <w:lang w:val="en-GB"/>
              </w:rPr>
              <w:t>Alternative 3</w:t>
            </w:r>
            <w:r w:rsidR="0072213B" w:rsidRPr="00597788">
              <w:rPr>
                <w:rFonts w:eastAsiaTheme="minorEastAsia"/>
                <w:sz w:val="18"/>
                <w:szCs w:val="18"/>
                <w:lang w:val="en-GB"/>
              </w:rPr>
              <w:t>:</w:t>
            </w:r>
            <w:r w:rsidRPr="00597788">
              <w:rPr>
                <w:rFonts w:eastAsiaTheme="minorEastAsia"/>
                <w:sz w:val="18"/>
                <w:szCs w:val="18"/>
                <w:lang w:val="en-GB"/>
              </w:rPr>
              <w:t xml:space="preserve"> AMR </w:t>
            </w:r>
            <w:r w:rsidR="00595A92" w:rsidRPr="00597788">
              <w:rPr>
                <w:rFonts w:eastAsiaTheme="minorEastAsia"/>
                <w:sz w:val="18"/>
                <w:szCs w:val="18"/>
                <w:lang w:val="en-GB"/>
              </w:rPr>
              <w:t>(</w:t>
            </w:r>
            <w:r w:rsidRPr="00597788">
              <w:rPr>
                <w:rFonts w:eastAsiaTheme="minorEastAsia"/>
                <w:sz w:val="18"/>
                <w:szCs w:val="18"/>
                <w:lang w:val="en-GB"/>
              </w:rPr>
              <w:t>Fixed Network</w:t>
            </w:r>
            <w:r w:rsidR="00CD1F01" w:rsidRPr="00597788">
              <w:rPr>
                <w:rFonts w:eastAsiaTheme="minorEastAsia"/>
                <w:sz w:val="18"/>
                <w:szCs w:val="18"/>
                <w:lang w:val="en-GB"/>
              </w:rPr>
              <w:t>: Automated R</w:t>
            </w:r>
            <w:r w:rsidR="00595A92" w:rsidRPr="00597788">
              <w:rPr>
                <w:rFonts w:eastAsiaTheme="minorEastAsia"/>
                <w:sz w:val="18"/>
                <w:szCs w:val="18"/>
                <w:lang w:val="en-GB"/>
              </w:rPr>
              <w:t>eading)</w:t>
            </w:r>
          </w:p>
        </w:tc>
        <w:tc>
          <w:tcPr>
            <w:tcW w:w="2461" w:type="dxa"/>
          </w:tcPr>
          <w:p w14:paraId="0F22227A" w14:textId="1F32EA10" w:rsidR="00FD01F9" w:rsidRPr="00597788" w:rsidRDefault="00E912A2" w:rsidP="00EE680D">
            <w:pPr>
              <w:pStyle w:val="ExhibitText"/>
              <w:keepNext/>
              <w:keepLines/>
              <w:numPr>
                <w:ilvl w:val="0"/>
                <w:numId w:val="44"/>
              </w:numPr>
              <w:rPr>
                <w:rFonts w:eastAsiaTheme="minorEastAsia"/>
                <w:sz w:val="18"/>
                <w:szCs w:val="18"/>
                <w:lang w:val="en-GB"/>
              </w:rPr>
            </w:pPr>
            <w:r w:rsidRPr="00597788">
              <w:rPr>
                <w:rFonts w:eastAsiaTheme="minorEastAsia"/>
                <w:sz w:val="18"/>
                <w:szCs w:val="18"/>
                <w:lang w:val="en-GB"/>
              </w:rPr>
              <w:t xml:space="preserve">Meter reading is automated. </w:t>
            </w:r>
          </w:p>
          <w:p w14:paraId="65C18DC7" w14:textId="7F4A3D4D" w:rsidR="00627DA5" w:rsidRPr="00597788" w:rsidRDefault="00E912A2" w:rsidP="00EE680D">
            <w:pPr>
              <w:pStyle w:val="ExhibitText"/>
              <w:keepNext/>
              <w:keepLines/>
              <w:numPr>
                <w:ilvl w:val="0"/>
                <w:numId w:val="44"/>
              </w:numPr>
              <w:rPr>
                <w:rFonts w:eastAsiaTheme="minorEastAsia"/>
                <w:sz w:val="18"/>
                <w:szCs w:val="18"/>
                <w:lang w:val="en-GB"/>
              </w:rPr>
            </w:pPr>
            <w:r w:rsidRPr="00597788">
              <w:rPr>
                <w:rFonts w:eastAsiaTheme="minorEastAsia"/>
                <w:sz w:val="18"/>
                <w:szCs w:val="18"/>
                <w:lang w:val="en-GB"/>
              </w:rPr>
              <w:t>Allows m</w:t>
            </w:r>
            <w:r w:rsidR="00627DA5" w:rsidRPr="00597788">
              <w:rPr>
                <w:rFonts w:eastAsiaTheme="minorEastAsia"/>
                <w:sz w:val="18"/>
                <w:szCs w:val="18"/>
                <w:lang w:val="en-GB"/>
              </w:rPr>
              <w:t>eter and line status and diagnostics</w:t>
            </w:r>
            <w:r w:rsidRPr="00597788">
              <w:rPr>
                <w:rFonts w:eastAsiaTheme="minorEastAsia"/>
                <w:sz w:val="18"/>
                <w:szCs w:val="18"/>
                <w:lang w:val="en-GB"/>
              </w:rPr>
              <w:t>.</w:t>
            </w:r>
            <w:r w:rsidR="00627DA5" w:rsidRPr="00597788">
              <w:rPr>
                <w:rFonts w:eastAsiaTheme="minorEastAsia"/>
                <w:sz w:val="18"/>
                <w:szCs w:val="18"/>
                <w:lang w:val="en-GB"/>
              </w:rPr>
              <w:t xml:space="preserve"> </w:t>
            </w:r>
          </w:p>
        </w:tc>
        <w:tc>
          <w:tcPr>
            <w:tcW w:w="2610" w:type="dxa"/>
          </w:tcPr>
          <w:p w14:paraId="02B8C89B" w14:textId="4A9AB23B" w:rsidR="00FD01F9" w:rsidRPr="00597788" w:rsidRDefault="00FD01F9" w:rsidP="00EE680D">
            <w:pPr>
              <w:pStyle w:val="ExhibitText"/>
              <w:keepNext/>
              <w:keepLines/>
              <w:numPr>
                <w:ilvl w:val="0"/>
                <w:numId w:val="44"/>
              </w:numPr>
              <w:rPr>
                <w:rFonts w:eastAsiaTheme="minorEastAsia"/>
                <w:sz w:val="18"/>
                <w:szCs w:val="18"/>
                <w:lang w:val="en-GB"/>
              </w:rPr>
            </w:pPr>
            <w:r w:rsidRPr="00597788">
              <w:rPr>
                <w:rFonts w:eastAsiaTheme="minorEastAsia"/>
                <w:sz w:val="18"/>
                <w:szCs w:val="18"/>
                <w:lang w:val="en-GB"/>
              </w:rPr>
              <w:t xml:space="preserve">Capital investment </w:t>
            </w:r>
            <w:r w:rsidR="00E912A2" w:rsidRPr="00597788">
              <w:rPr>
                <w:rFonts w:eastAsiaTheme="minorEastAsia"/>
                <w:sz w:val="18"/>
                <w:szCs w:val="18"/>
                <w:lang w:val="en-GB"/>
              </w:rPr>
              <w:t xml:space="preserve">is </w:t>
            </w:r>
            <w:r w:rsidRPr="00597788">
              <w:rPr>
                <w:rFonts w:eastAsiaTheme="minorEastAsia"/>
                <w:sz w:val="18"/>
                <w:szCs w:val="18"/>
                <w:lang w:val="en-GB"/>
              </w:rPr>
              <w:t>required</w:t>
            </w:r>
            <w:r w:rsidR="00E912A2" w:rsidRPr="00597788">
              <w:rPr>
                <w:rFonts w:eastAsiaTheme="minorEastAsia"/>
                <w:sz w:val="18"/>
                <w:szCs w:val="18"/>
                <w:lang w:val="en-GB"/>
              </w:rPr>
              <w:t>.</w:t>
            </w:r>
          </w:p>
        </w:tc>
        <w:tc>
          <w:tcPr>
            <w:tcW w:w="1485" w:type="dxa"/>
            <w:vAlign w:val="center"/>
            <w:hideMark/>
          </w:tcPr>
          <w:p w14:paraId="12A26B0D" w14:textId="38507C2E" w:rsidR="00FD01F9" w:rsidRPr="00597788" w:rsidRDefault="00FD01F9" w:rsidP="00F23D09">
            <w:pPr>
              <w:pStyle w:val="ExhibitText"/>
              <w:keepNext/>
              <w:keepLines/>
              <w:jc w:val="right"/>
              <w:rPr>
                <w:rFonts w:eastAsiaTheme="minorEastAsia"/>
                <w:sz w:val="18"/>
                <w:szCs w:val="18"/>
                <w:lang w:val="en-GB"/>
              </w:rPr>
            </w:pPr>
            <w:r w:rsidRPr="00597788">
              <w:rPr>
                <w:rFonts w:eastAsiaTheme="minorEastAsia"/>
                <w:sz w:val="18"/>
                <w:szCs w:val="18"/>
                <w:lang w:val="en-GB"/>
              </w:rPr>
              <w:t>32.50</w:t>
            </w:r>
          </w:p>
        </w:tc>
        <w:tc>
          <w:tcPr>
            <w:tcW w:w="1035" w:type="dxa"/>
            <w:vAlign w:val="center"/>
            <w:hideMark/>
          </w:tcPr>
          <w:p w14:paraId="7BF18100" w14:textId="5C3F6656" w:rsidR="00FD01F9" w:rsidRPr="00597788" w:rsidRDefault="00E912A2" w:rsidP="00F23D09">
            <w:pPr>
              <w:pStyle w:val="ExhibitText"/>
              <w:keepNext/>
              <w:keepLines/>
              <w:jc w:val="right"/>
              <w:rPr>
                <w:rFonts w:eastAsiaTheme="minorEastAsia"/>
                <w:sz w:val="18"/>
                <w:szCs w:val="18"/>
                <w:lang w:val="en-GB"/>
              </w:rPr>
            </w:pPr>
            <w:r w:rsidRPr="00597788">
              <w:rPr>
                <w:rFonts w:eastAsiaTheme="minorEastAsia"/>
                <w:sz w:val="18"/>
                <w:szCs w:val="18"/>
                <w:lang w:val="en-GB"/>
              </w:rPr>
              <w:t>−</w:t>
            </w:r>
            <w:r w:rsidR="00FD01F9" w:rsidRPr="00597788">
              <w:rPr>
                <w:rFonts w:eastAsiaTheme="minorEastAsia"/>
                <w:sz w:val="18"/>
                <w:szCs w:val="18"/>
                <w:lang w:val="en-GB"/>
              </w:rPr>
              <w:t>28.50</w:t>
            </w:r>
          </w:p>
        </w:tc>
      </w:tr>
      <w:tr w:rsidR="00CD1F01" w:rsidRPr="00597788" w14:paraId="13F020C2" w14:textId="77777777" w:rsidTr="00FA5541">
        <w:trPr>
          <w:trHeight w:val="60"/>
        </w:trPr>
        <w:tc>
          <w:tcPr>
            <w:tcW w:w="1679" w:type="dxa"/>
            <w:hideMark/>
          </w:tcPr>
          <w:p w14:paraId="36729F31" w14:textId="69A1DFA8" w:rsidR="00FD01F9" w:rsidRPr="00597788" w:rsidRDefault="00FD01F9" w:rsidP="00FA5541">
            <w:pPr>
              <w:pStyle w:val="ExhibitText"/>
              <w:keepNext/>
              <w:keepLines/>
              <w:jc w:val="left"/>
              <w:rPr>
                <w:rFonts w:eastAsiaTheme="minorEastAsia"/>
                <w:sz w:val="18"/>
                <w:szCs w:val="18"/>
                <w:lang w:val="en-GB"/>
              </w:rPr>
            </w:pPr>
            <w:r w:rsidRPr="00597788">
              <w:rPr>
                <w:rFonts w:eastAsiaTheme="minorEastAsia"/>
                <w:sz w:val="18"/>
                <w:szCs w:val="18"/>
                <w:lang w:val="en-GB"/>
              </w:rPr>
              <w:t>Alternative 4</w:t>
            </w:r>
            <w:r w:rsidR="0072213B" w:rsidRPr="00597788">
              <w:rPr>
                <w:rFonts w:eastAsiaTheme="minorEastAsia"/>
                <w:sz w:val="18"/>
                <w:szCs w:val="18"/>
                <w:lang w:val="en-GB"/>
              </w:rPr>
              <w:t>:</w:t>
            </w:r>
            <w:r w:rsidRPr="00597788">
              <w:rPr>
                <w:rFonts w:eastAsiaTheme="minorEastAsia"/>
                <w:sz w:val="18"/>
                <w:szCs w:val="18"/>
                <w:lang w:val="en-GB"/>
              </w:rPr>
              <w:t xml:space="preserve"> AMI </w:t>
            </w:r>
          </w:p>
        </w:tc>
        <w:tc>
          <w:tcPr>
            <w:tcW w:w="2461" w:type="dxa"/>
          </w:tcPr>
          <w:p w14:paraId="6936F72F" w14:textId="0745D01B" w:rsidR="00627DA5" w:rsidRPr="00597788" w:rsidRDefault="00E912A2" w:rsidP="00EE680D">
            <w:pPr>
              <w:pStyle w:val="ExhibitText"/>
              <w:keepNext/>
              <w:keepLines/>
              <w:numPr>
                <w:ilvl w:val="0"/>
                <w:numId w:val="44"/>
              </w:numPr>
              <w:rPr>
                <w:rFonts w:eastAsiaTheme="minorEastAsia"/>
                <w:sz w:val="18"/>
                <w:szCs w:val="18"/>
                <w:lang w:val="en-GB"/>
              </w:rPr>
            </w:pPr>
            <w:r w:rsidRPr="00597788">
              <w:rPr>
                <w:rFonts w:eastAsiaTheme="minorEastAsia"/>
                <w:sz w:val="18"/>
                <w:szCs w:val="18"/>
                <w:lang w:val="en-GB"/>
              </w:rPr>
              <w:t>Provides t</w:t>
            </w:r>
            <w:r w:rsidR="00FD01F9" w:rsidRPr="00597788">
              <w:rPr>
                <w:rFonts w:eastAsiaTheme="minorEastAsia"/>
                <w:sz w:val="18"/>
                <w:szCs w:val="18"/>
                <w:lang w:val="en-GB"/>
              </w:rPr>
              <w:t>wo-way communication</w:t>
            </w:r>
            <w:r w:rsidRPr="00597788">
              <w:rPr>
                <w:rFonts w:eastAsiaTheme="minorEastAsia"/>
                <w:sz w:val="18"/>
                <w:szCs w:val="18"/>
                <w:lang w:val="en-GB"/>
              </w:rPr>
              <w:t>.</w:t>
            </w:r>
            <w:r w:rsidR="00FD01F9" w:rsidRPr="00597788">
              <w:rPr>
                <w:rFonts w:eastAsiaTheme="minorEastAsia"/>
                <w:sz w:val="18"/>
                <w:szCs w:val="18"/>
                <w:lang w:val="en-GB"/>
              </w:rPr>
              <w:t xml:space="preserve"> </w:t>
            </w:r>
          </w:p>
          <w:p w14:paraId="524DE9B9" w14:textId="1C4D4DA3" w:rsidR="00627DA5" w:rsidRPr="00597788" w:rsidRDefault="00E912A2" w:rsidP="00EE680D">
            <w:pPr>
              <w:pStyle w:val="ExhibitText"/>
              <w:keepNext/>
              <w:keepLines/>
              <w:numPr>
                <w:ilvl w:val="0"/>
                <w:numId w:val="44"/>
              </w:numPr>
              <w:rPr>
                <w:rFonts w:eastAsiaTheme="minorEastAsia"/>
                <w:sz w:val="18"/>
                <w:szCs w:val="18"/>
                <w:lang w:val="en-GB"/>
              </w:rPr>
            </w:pPr>
            <w:r w:rsidRPr="00597788">
              <w:rPr>
                <w:rFonts w:eastAsiaTheme="minorEastAsia"/>
                <w:sz w:val="18"/>
                <w:szCs w:val="18"/>
                <w:lang w:val="en-GB"/>
              </w:rPr>
              <w:t xml:space="preserve">Allows for remote </w:t>
            </w:r>
            <w:r w:rsidR="00627DA5" w:rsidRPr="00597788">
              <w:rPr>
                <w:rFonts w:eastAsiaTheme="minorEastAsia"/>
                <w:sz w:val="18"/>
                <w:szCs w:val="18"/>
                <w:lang w:val="en-GB"/>
              </w:rPr>
              <w:t>r</w:t>
            </w:r>
            <w:r w:rsidR="00FD01F9" w:rsidRPr="00597788">
              <w:rPr>
                <w:rFonts w:eastAsiaTheme="minorEastAsia"/>
                <w:sz w:val="18"/>
                <w:szCs w:val="18"/>
                <w:lang w:val="en-GB"/>
              </w:rPr>
              <w:t>epair of system malfunctions (i.e.</w:t>
            </w:r>
            <w:r w:rsidR="0072213B" w:rsidRPr="00597788">
              <w:rPr>
                <w:rFonts w:eastAsiaTheme="minorEastAsia"/>
                <w:sz w:val="18"/>
                <w:szCs w:val="18"/>
                <w:lang w:val="en-GB"/>
              </w:rPr>
              <w:t>,</w:t>
            </w:r>
            <w:r w:rsidR="00FD01F9" w:rsidRPr="00597788">
              <w:rPr>
                <w:rFonts w:eastAsiaTheme="minorEastAsia"/>
                <w:sz w:val="18"/>
                <w:szCs w:val="18"/>
                <w:lang w:val="en-GB"/>
              </w:rPr>
              <w:t xml:space="preserve"> outages)</w:t>
            </w:r>
            <w:r w:rsidRPr="00597788">
              <w:rPr>
                <w:rFonts w:eastAsiaTheme="minorEastAsia"/>
                <w:sz w:val="18"/>
                <w:szCs w:val="18"/>
                <w:lang w:val="en-GB"/>
              </w:rPr>
              <w:t>.</w:t>
            </w:r>
          </w:p>
          <w:p w14:paraId="19E273D8" w14:textId="3C7A9899" w:rsidR="00627DA5" w:rsidRPr="00597788" w:rsidRDefault="00E912A2" w:rsidP="00EE680D">
            <w:pPr>
              <w:pStyle w:val="ExhibitText"/>
              <w:keepNext/>
              <w:keepLines/>
              <w:numPr>
                <w:ilvl w:val="0"/>
                <w:numId w:val="44"/>
              </w:numPr>
              <w:rPr>
                <w:rFonts w:eastAsiaTheme="minorEastAsia"/>
                <w:sz w:val="18"/>
                <w:szCs w:val="18"/>
                <w:lang w:val="en-GB"/>
              </w:rPr>
            </w:pPr>
            <w:r w:rsidRPr="00597788">
              <w:rPr>
                <w:rFonts w:eastAsiaTheme="minorEastAsia"/>
                <w:sz w:val="18"/>
                <w:szCs w:val="18"/>
                <w:lang w:val="en-GB"/>
              </w:rPr>
              <w:t xml:space="preserve">Allows for more </w:t>
            </w:r>
            <w:r w:rsidR="00FD01F9" w:rsidRPr="00597788">
              <w:rPr>
                <w:rFonts w:eastAsiaTheme="minorEastAsia"/>
                <w:sz w:val="18"/>
                <w:szCs w:val="18"/>
                <w:lang w:val="en-GB"/>
              </w:rPr>
              <w:t xml:space="preserve">accurate </w:t>
            </w:r>
            <w:r w:rsidR="00627DA5" w:rsidRPr="00597788">
              <w:rPr>
                <w:rFonts w:eastAsiaTheme="minorEastAsia"/>
                <w:sz w:val="18"/>
                <w:szCs w:val="18"/>
                <w:lang w:val="en-GB"/>
              </w:rPr>
              <w:t>and flexible billing</w:t>
            </w:r>
            <w:r w:rsidRPr="00597788">
              <w:rPr>
                <w:rFonts w:eastAsiaTheme="minorEastAsia"/>
                <w:sz w:val="18"/>
                <w:szCs w:val="18"/>
                <w:lang w:val="en-GB"/>
              </w:rPr>
              <w:t>.</w:t>
            </w:r>
          </w:p>
          <w:p w14:paraId="5038E357" w14:textId="2A25E62E" w:rsidR="00FD01F9" w:rsidRPr="00597788" w:rsidRDefault="00E912A2" w:rsidP="00EE680D">
            <w:pPr>
              <w:pStyle w:val="ExhibitText"/>
              <w:keepNext/>
              <w:keepLines/>
              <w:numPr>
                <w:ilvl w:val="0"/>
                <w:numId w:val="44"/>
              </w:numPr>
              <w:rPr>
                <w:rFonts w:eastAsiaTheme="minorEastAsia"/>
                <w:sz w:val="18"/>
                <w:szCs w:val="18"/>
                <w:lang w:val="en-GB"/>
              </w:rPr>
            </w:pPr>
            <w:r w:rsidRPr="00597788">
              <w:rPr>
                <w:rFonts w:eastAsiaTheme="minorEastAsia"/>
                <w:sz w:val="18"/>
                <w:szCs w:val="18"/>
                <w:lang w:val="en-GB"/>
              </w:rPr>
              <w:t xml:space="preserve">Allows for more </w:t>
            </w:r>
            <w:r w:rsidR="00FD01F9" w:rsidRPr="00597788">
              <w:rPr>
                <w:rFonts w:eastAsiaTheme="minorEastAsia"/>
                <w:sz w:val="18"/>
                <w:szCs w:val="18"/>
                <w:lang w:val="en-GB"/>
              </w:rPr>
              <w:t>efficient energy usage</w:t>
            </w:r>
            <w:r w:rsidRPr="00597788">
              <w:rPr>
                <w:rFonts w:eastAsiaTheme="minorEastAsia"/>
                <w:sz w:val="18"/>
                <w:szCs w:val="18"/>
                <w:lang w:val="en-GB"/>
              </w:rPr>
              <w:t>.</w:t>
            </w:r>
          </w:p>
        </w:tc>
        <w:tc>
          <w:tcPr>
            <w:tcW w:w="2610" w:type="dxa"/>
          </w:tcPr>
          <w:p w14:paraId="1381ED6E" w14:textId="40832516" w:rsidR="00FD01F9" w:rsidRPr="00597788" w:rsidRDefault="00FD01F9" w:rsidP="00EE680D">
            <w:pPr>
              <w:pStyle w:val="ExhibitText"/>
              <w:keepNext/>
              <w:keepLines/>
              <w:numPr>
                <w:ilvl w:val="0"/>
                <w:numId w:val="44"/>
              </w:numPr>
              <w:rPr>
                <w:rFonts w:eastAsiaTheme="minorEastAsia"/>
                <w:sz w:val="18"/>
                <w:szCs w:val="18"/>
                <w:lang w:val="en-GB"/>
              </w:rPr>
            </w:pPr>
            <w:r w:rsidRPr="00597788">
              <w:rPr>
                <w:rFonts w:eastAsiaTheme="minorEastAsia"/>
                <w:sz w:val="18"/>
                <w:szCs w:val="18"/>
                <w:lang w:val="en-GB"/>
              </w:rPr>
              <w:t xml:space="preserve">Large capital investment </w:t>
            </w:r>
            <w:r w:rsidR="00E912A2" w:rsidRPr="00597788">
              <w:rPr>
                <w:rFonts w:eastAsiaTheme="minorEastAsia"/>
                <w:sz w:val="18"/>
                <w:szCs w:val="18"/>
                <w:lang w:val="en-GB"/>
              </w:rPr>
              <w:t xml:space="preserve">is </w:t>
            </w:r>
            <w:r w:rsidRPr="00597788">
              <w:rPr>
                <w:rFonts w:eastAsiaTheme="minorEastAsia"/>
                <w:sz w:val="18"/>
                <w:szCs w:val="18"/>
                <w:lang w:val="en-GB"/>
              </w:rPr>
              <w:t>required</w:t>
            </w:r>
            <w:r w:rsidR="00E912A2" w:rsidRPr="00597788">
              <w:rPr>
                <w:rFonts w:eastAsiaTheme="minorEastAsia"/>
                <w:sz w:val="18"/>
                <w:szCs w:val="18"/>
                <w:lang w:val="en-GB"/>
              </w:rPr>
              <w:t>.</w:t>
            </w:r>
          </w:p>
        </w:tc>
        <w:tc>
          <w:tcPr>
            <w:tcW w:w="1485" w:type="dxa"/>
            <w:vAlign w:val="center"/>
            <w:hideMark/>
          </w:tcPr>
          <w:p w14:paraId="6651E20E" w14:textId="05F49843" w:rsidR="00FD01F9" w:rsidRPr="00597788" w:rsidRDefault="00FD01F9" w:rsidP="00F23D09">
            <w:pPr>
              <w:pStyle w:val="ExhibitText"/>
              <w:keepNext/>
              <w:keepLines/>
              <w:jc w:val="right"/>
              <w:rPr>
                <w:rFonts w:eastAsiaTheme="minorEastAsia"/>
                <w:sz w:val="18"/>
                <w:szCs w:val="18"/>
                <w:lang w:val="en-GB"/>
              </w:rPr>
            </w:pPr>
            <w:r w:rsidRPr="00597788">
              <w:rPr>
                <w:rFonts w:eastAsiaTheme="minorEastAsia"/>
                <w:sz w:val="18"/>
                <w:szCs w:val="18"/>
                <w:lang w:val="en-GB"/>
              </w:rPr>
              <w:t>36.11</w:t>
            </w:r>
          </w:p>
        </w:tc>
        <w:tc>
          <w:tcPr>
            <w:tcW w:w="1035" w:type="dxa"/>
            <w:vAlign w:val="center"/>
            <w:hideMark/>
          </w:tcPr>
          <w:p w14:paraId="6E5A2952" w14:textId="08EF92FB" w:rsidR="00FD01F9" w:rsidRPr="00597788" w:rsidRDefault="00E912A2" w:rsidP="00F23D09">
            <w:pPr>
              <w:pStyle w:val="ExhibitText"/>
              <w:keepNext/>
              <w:keepLines/>
              <w:jc w:val="right"/>
              <w:rPr>
                <w:rFonts w:eastAsiaTheme="minorEastAsia"/>
                <w:sz w:val="18"/>
                <w:szCs w:val="18"/>
                <w:lang w:val="en-GB"/>
              </w:rPr>
            </w:pPr>
            <w:r w:rsidRPr="00597788">
              <w:rPr>
                <w:rFonts w:eastAsiaTheme="minorEastAsia"/>
                <w:sz w:val="18"/>
                <w:szCs w:val="18"/>
                <w:lang w:val="en-GB"/>
              </w:rPr>
              <w:t>−</w:t>
            </w:r>
            <w:r w:rsidR="00FD01F9" w:rsidRPr="00597788">
              <w:rPr>
                <w:rFonts w:eastAsiaTheme="minorEastAsia"/>
                <w:sz w:val="18"/>
                <w:szCs w:val="18"/>
                <w:lang w:val="en-GB"/>
              </w:rPr>
              <w:t>33.67</w:t>
            </w:r>
          </w:p>
        </w:tc>
      </w:tr>
    </w:tbl>
    <w:p w14:paraId="7E257097" w14:textId="1F82DD11" w:rsidR="0086229E" w:rsidRPr="00597788" w:rsidRDefault="0086229E" w:rsidP="00F23D09">
      <w:pPr>
        <w:pStyle w:val="Footnote"/>
        <w:rPr>
          <w:lang w:val="en-GB"/>
        </w:rPr>
      </w:pPr>
    </w:p>
    <w:p w14:paraId="396844DE" w14:textId="02328EBE" w:rsidR="0072213B" w:rsidRPr="00597788" w:rsidRDefault="0072213B" w:rsidP="00F23D09">
      <w:pPr>
        <w:pStyle w:val="Footnote"/>
        <w:keepNext/>
        <w:keepLines/>
        <w:jc w:val="left"/>
        <w:outlineLvl w:val="0"/>
        <w:rPr>
          <w:lang w:val="en-GB"/>
        </w:rPr>
      </w:pPr>
      <w:r w:rsidRPr="00597788">
        <w:rPr>
          <w:lang w:val="en-GB"/>
        </w:rPr>
        <w:t>Note: AMI = advanced metering infrastructure; AMR = automatic meter reading</w:t>
      </w:r>
      <w:r w:rsidR="00E912A2" w:rsidRPr="00597788">
        <w:rPr>
          <w:lang w:val="en-GB"/>
        </w:rPr>
        <w:t>.</w:t>
      </w:r>
    </w:p>
    <w:p w14:paraId="7D5D40F2" w14:textId="44F479C8" w:rsidR="0086229E" w:rsidRPr="00597788" w:rsidRDefault="0086229E" w:rsidP="00F23D09">
      <w:pPr>
        <w:pStyle w:val="Footnote"/>
        <w:keepNext/>
        <w:keepLines/>
        <w:rPr>
          <w:rFonts w:eastAsiaTheme="minorEastAsia"/>
          <w:shd w:val="clear" w:color="auto" w:fill="FFFFFF"/>
          <w:lang w:val="en-GB" w:bidi="en-US"/>
        </w:rPr>
      </w:pPr>
      <w:r w:rsidRPr="00597788">
        <w:rPr>
          <w:lang w:val="en-GB"/>
        </w:rPr>
        <w:t xml:space="preserve">Source: </w:t>
      </w:r>
      <w:r w:rsidRPr="00597788">
        <w:rPr>
          <w:rFonts w:eastAsiaTheme="minorEastAsia"/>
          <w:lang w:val="en-GB" w:bidi="en-US"/>
        </w:rPr>
        <w:t xml:space="preserve">Created by the authors </w:t>
      </w:r>
      <w:r w:rsidR="0072213B" w:rsidRPr="00597788">
        <w:rPr>
          <w:rFonts w:eastAsiaTheme="minorEastAsia"/>
          <w:lang w:val="en-GB" w:bidi="en-US"/>
        </w:rPr>
        <w:t>using</w:t>
      </w:r>
      <w:r w:rsidRPr="00597788">
        <w:rPr>
          <w:rFonts w:eastAsiaTheme="minorEastAsia"/>
          <w:lang w:val="en-GB" w:bidi="en-US"/>
        </w:rPr>
        <w:t xml:space="preserve"> data from EPCOR Distribution &amp; Transmission Inc.</w:t>
      </w:r>
      <w:r w:rsidR="0072213B" w:rsidRPr="00597788">
        <w:rPr>
          <w:rFonts w:eastAsiaTheme="minorEastAsia"/>
          <w:lang w:val="en-GB" w:bidi="en-US"/>
        </w:rPr>
        <w:t>,</w:t>
      </w:r>
      <w:r w:rsidRPr="00597788">
        <w:rPr>
          <w:rFonts w:eastAsiaTheme="minorEastAsia"/>
          <w:lang w:val="en-GB" w:bidi="en-US"/>
        </w:rPr>
        <w:t xml:space="preserve"> </w:t>
      </w:r>
      <w:r w:rsidRPr="00F23D09">
        <w:rPr>
          <w:rFonts w:eastAsiaTheme="minorEastAsia"/>
          <w:i/>
          <w:shd w:val="clear" w:color="auto" w:fill="FFFFFF"/>
          <w:lang w:val="en-GB" w:bidi="en-US"/>
        </w:rPr>
        <w:t>Capital Business Case and Engineering Study, Distribution Capital Tracker: Advanced Metering Infrastructure, Appendix A-19</w:t>
      </w:r>
      <w:r w:rsidR="0072213B" w:rsidRPr="00597788">
        <w:rPr>
          <w:rFonts w:eastAsiaTheme="minorEastAsia"/>
          <w:shd w:val="clear" w:color="auto" w:fill="FFFFFF"/>
          <w:lang w:val="en-GB" w:bidi="en-US"/>
        </w:rPr>
        <w:t>,</w:t>
      </w:r>
      <w:r w:rsidRPr="00597788">
        <w:rPr>
          <w:rFonts w:eastAsiaTheme="minorEastAsia"/>
          <w:shd w:val="clear" w:color="auto" w:fill="FFFFFF"/>
          <w:lang w:val="en-GB" w:bidi="en-US"/>
        </w:rPr>
        <w:t xml:space="preserve"> Feb</w:t>
      </w:r>
      <w:r w:rsidR="0072213B" w:rsidRPr="00597788">
        <w:rPr>
          <w:rFonts w:eastAsiaTheme="minorEastAsia"/>
          <w:shd w:val="clear" w:color="auto" w:fill="FFFFFF"/>
          <w:lang w:val="en-GB" w:bidi="en-US"/>
        </w:rPr>
        <w:t>ruary 28,</w:t>
      </w:r>
      <w:r w:rsidRPr="00597788">
        <w:rPr>
          <w:rFonts w:eastAsiaTheme="minorEastAsia"/>
          <w:shd w:val="clear" w:color="auto" w:fill="FFFFFF"/>
          <w:lang w:val="en-GB" w:bidi="en-US"/>
        </w:rPr>
        <w:t xml:space="preserve"> 2014</w:t>
      </w:r>
      <w:r w:rsidR="0072213B" w:rsidRPr="00597788">
        <w:rPr>
          <w:rFonts w:eastAsiaTheme="minorEastAsia"/>
          <w:shd w:val="clear" w:color="auto" w:fill="FFFFFF"/>
          <w:lang w:val="en-GB" w:bidi="en-US"/>
        </w:rPr>
        <w:t>,</w:t>
      </w:r>
      <w:r w:rsidRPr="00597788">
        <w:rPr>
          <w:rFonts w:eastAsiaTheme="minorEastAsia"/>
          <w:shd w:val="clear" w:color="auto" w:fill="FFFFFF"/>
          <w:lang w:val="en-GB" w:bidi="en-US"/>
        </w:rPr>
        <w:t xml:space="preserve"> 41.</w:t>
      </w:r>
    </w:p>
    <w:p w14:paraId="7D9179EC" w14:textId="77777777" w:rsidR="0086229E" w:rsidRPr="00597788" w:rsidRDefault="0086229E">
      <w:pPr>
        <w:spacing w:after="200" w:line="276" w:lineRule="auto"/>
        <w:rPr>
          <w:sz w:val="22"/>
          <w:szCs w:val="22"/>
          <w:lang w:val="en-GB"/>
        </w:rPr>
      </w:pPr>
      <w:r w:rsidRPr="00597788">
        <w:rPr>
          <w:lang w:val="en-GB"/>
        </w:rPr>
        <w:br w:type="page"/>
      </w:r>
    </w:p>
    <w:p w14:paraId="50FF563C" w14:textId="1C251D38" w:rsidR="0086229E" w:rsidRPr="00597788" w:rsidRDefault="0086229E" w:rsidP="00360100">
      <w:pPr>
        <w:pStyle w:val="Casehead1"/>
        <w:outlineLvl w:val="0"/>
        <w:rPr>
          <w:lang w:val="en-GB"/>
        </w:rPr>
      </w:pPr>
      <w:r w:rsidRPr="00597788">
        <w:rPr>
          <w:lang w:val="en-GB"/>
        </w:rPr>
        <w:lastRenderedPageBreak/>
        <w:t>EndNote</w:t>
      </w:r>
      <w:r w:rsidR="00500869" w:rsidRPr="00597788">
        <w:rPr>
          <w:lang w:val="en-GB"/>
        </w:rPr>
        <w:t>s</w:t>
      </w:r>
    </w:p>
    <w:sectPr w:rsidR="0086229E" w:rsidRPr="00597788"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9AE32" w16cid:durableId="1EA7D4AC"/>
  <w16cid:commentId w16cid:paraId="485AD281" w16cid:durableId="1EA7D4AD"/>
  <w16cid:commentId w16cid:paraId="1810016F" w16cid:durableId="1EA7D4AE"/>
  <w16cid:commentId w16cid:paraId="156AA6BF" w16cid:durableId="1EA7D4AF"/>
  <w16cid:commentId w16cid:paraId="6E9539B4" w16cid:durableId="1EA7D4B0"/>
  <w16cid:commentId w16cid:paraId="76B2E71D" w16cid:durableId="1EA7D4B1"/>
  <w16cid:commentId w16cid:paraId="122DACE6" w16cid:durableId="1EA7D4B2"/>
  <w16cid:commentId w16cid:paraId="324FCB19" w16cid:durableId="1EA7D4B3"/>
  <w16cid:commentId w16cid:paraId="7E61654F" w16cid:durableId="1EA7D4B4"/>
  <w16cid:commentId w16cid:paraId="1BD1B3D7" w16cid:durableId="1EA7D4B5"/>
  <w16cid:commentId w16cid:paraId="41D1DA98" w16cid:durableId="1EA7D4B6"/>
  <w16cid:commentId w16cid:paraId="40C6BC64" w16cid:durableId="1EA7D4B7"/>
  <w16cid:commentId w16cid:paraId="6CB640CD" w16cid:durableId="1EA7D4B8"/>
  <w16cid:commentId w16cid:paraId="5409A851" w16cid:durableId="1EA7D4B9"/>
  <w16cid:commentId w16cid:paraId="620889F0" w16cid:durableId="1EA7D4BA"/>
  <w16cid:commentId w16cid:paraId="29264483" w16cid:durableId="1EA7D4BB"/>
  <w16cid:commentId w16cid:paraId="0ADD6330" w16cid:durableId="1EA7D4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7C3DC" w14:textId="77777777" w:rsidR="00202563" w:rsidRDefault="00202563" w:rsidP="00D75295">
      <w:r>
        <w:separator/>
      </w:r>
    </w:p>
  </w:endnote>
  <w:endnote w:type="continuationSeparator" w:id="0">
    <w:p w14:paraId="51FAABCD" w14:textId="77777777" w:rsidR="00202563" w:rsidRDefault="00202563" w:rsidP="00D75295">
      <w:r>
        <w:continuationSeparator/>
      </w:r>
    </w:p>
  </w:endnote>
  <w:endnote w:id="1">
    <w:p w14:paraId="089D8DD6" w14:textId="11E2C364" w:rsidR="00E912A2" w:rsidRPr="000F5197" w:rsidRDefault="00E912A2" w:rsidP="008618F0">
      <w:pPr>
        <w:pStyle w:val="Footnote"/>
      </w:pPr>
      <w:r w:rsidRPr="00BC1ACC">
        <w:rPr>
          <w:rStyle w:val="EndnoteReference"/>
        </w:rPr>
        <w:endnoteRef/>
      </w:r>
      <w:r w:rsidRPr="00BC1ACC">
        <w:rPr>
          <w:rStyle w:val="EndnoteReference"/>
          <w:vertAlign w:val="baseline"/>
        </w:rPr>
        <w:t xml:space="preserve"> </w:t>
      </w:r>
      <w:r w:rsidRPr="00DC75C1">
        <w:t>“</w:t>
      </w:r>
      <w:r w:rsidRPr="00BC1ACC">
        <w:t xml:space="preserve">North American Industry Classification System (NAICS) 1997 – Enterprises – Annual Series,” Statistics Canada, accessed </w:t>
      </w:r>
      <w:r>
        <w:t>May 17</w:t>
      </w:r>
      <w:r w:rsidRPr="00BC1ACC">
        <w:t>, 201</w:t>
      </w:r>
      <w:r>
        <w:t>8</w:t>
      </w:r>
      <w:r w:rsidRPr="00BC1ACC">
        <w:t xml:space="preserve">, </w:t>
      </w:r>
      <w:r w:rsidRPr="008618F0">
        <w:t>www23.statcan.gc.ca/imdb/p3VD.pl?Function=getVD&amp;TVD=95294</w:t>
      </w:r>
      <w:r>
        <w:t>.</w:t>
      </w:r>
    </w:p>
  </w:endnote>
  <w:endnote w:id="2">
    <w:p w14:paraId="6F106AE1" w14:textId="6527B7DE" w:rsidR="00F23D09" w:rsidRDefault="00E912A2" w:rsidP="00BC1ACC">
      <w:pPr>
        <w:pStyle w:val="Footnote"/>
        <w:rPr>
          <w:spacing w:val="-4"/>
        </w:rPr>
      </w:pPr>
      <w:r w:rsidRPr="000F5197">
        <w:rPr>
          <w:rStyle w:val="EndnoteReference"/>
        </w:rPr>
        <w:endnoteRef/>
      </w:r>
      <w:r w:rsidRPr="000F5197">
        <w:rPr>
          <w:rStyle w:val="EndnoteReference"/>
          <w:vertAlign w:val="baseline"/>
        </w:rPr>
        <w:t xml:space="preserve"> </w:t>
      </w:r>
      <w:r w:rsidR="00BC7466">
        <w:t xml:space="preserve">Ericsson, </w:t>
      </w:r>
      <w:r w:rsidRPr="00F23D09">
        <w:rPr>
          <w:rStyle w:val="EndnoteReference"/>
          <w:i/>
          <w:spacing w:val="-4"/>
          <w:vertAlign w:val="baseline"/>
        </w:rPr>
        <w:t>Transforming Industries: Energy and Utilities</w:t>
      </w:r>
      <w:r w:rsidRPr="003070FC">
        <w:rPr>
          <w:spacing w:val="-4"/>
        </w:rPr>
        <w:t>,</w:t>
      </w:r>
      <w:r w:rsidRPr="003070FC">
        <w:rPr>
          <w:rStyle w:val="EndnoteReference"/>
          <w:spacing w:val="-4"/>
          <w:vertAlign w:val="baseline"/>
        </w:rPr>
        <w:t xml:space="preserve"> </w:t>
      </w:r>
      <w:r w:rsidR="00BC7466">
        <w:rPr>
          <w:rStyle w:val="EndnoteReference"/>
          <w:spacing w:val="-4"/>
          <w:vertAlign w:val="baseline"/>
        </w:rPr>
        <w:t>2014</w:t>
      </w:r>
      <w:r w:rsidRPr="003070FC">
        <w:rPr>
          <w:spacing w:val="-4"/>
        </w:rPr>
        <w:t>, a</w:t>
      </w:r>
      <w:r w:rsidRPr="003070FC">
        <w:rPr>
          <w:rStyle w:val="EndnoteReference"/>
          <w:spacing w:val="-4"/>
          <w:vertAlign w:val="baseline"/>
        </w:rPr>
        <w:t xml:space="preserve">ccessed </w:t>
      </w:r>
      <w:r w:rsidR="00BC7466">
        <w:rPr>
          <w:spacing w:val="-4"/>
        </w:rPr>
        <w:t>July 17, 2018</w:t>
      </w:r>
      <w:r w:rsidRPr="003070FC">
        <w:rPr>
          <w:spacing w:val="-4"/>
        </w:rPr>
        <w:t xml:space="preserve">, </w:t>
      </w:r>
      <w:r w:rsidR="00F23D09" w:rsidRPr="00F23D09">
        <w:rPr>
          <w:spacing w:val="-4"/>
        </w:rPr>
        <w:t>www.ericsson.com/</w:t>
      </w:r>
      <w:r w:rsidR="00BC7466" w:rsidRPr="00BC7466">
        <w:rPr>
          <w:spacing w:val="-4"/>
        </w:rPr>
        <w:t>assets/local/news/2014/</w:t>
      </w:r>
    </w:p>
    <w:p w14:paraId="1F570EB4" w14:textId="63E1233C" w:rsidR="00E912A2" w:rsidRPr="000F5197" w:rsidRDefault="00BC7466" w:rsidP="00BC1ACC">
      <w:pPr>
        <w:pStyle w:val="Footnote"/>
      </w:pPr>
      <w:r w:rsidRPr="00BC7466">
        <w:rPr>
          <w:spacing w:val="-4"/>
        </w:rPr>
        <w:t>10/gtwp-op-transforming-industries-aw-print.pdf</w:t>
      </w:r>
      <w:r w:rsidR="00F23D09">
        <w:rPr>
          <w:spacing w:val="-4"/>
        </w:rPr>
        <w:t>.</w:t>
      </w:r>
    </w:p>
  </w:endnote>
  <w:endnote w:id="3">
    <w:p w14:paraId="69DBDF90" w14:textId="77777777" w:rsidR="00E912A2" w:rsidRPr="000F5197" w:rsidRDefault="00E912A2" w:rsidP="00BC1ACC">
      <w:pPr>
        <w:pStyle w:val="Footnote"/>
      </w:pPr>
      <w:r w:rsidRPr="000F5197">
        <w:rPr>
          <w:rStyle w:val="EndnoteReference"/>
        </w:rPr>
        <w:endnoteRef/>
      </w:r>
      <w:r w:rsidRPr="000F5197">
        <w:t xml:space="preserve"> </w:t>
      </w:r>
      <w:r w:rsidRPr="000F5197">
        <w:rPr>
          <w:rStyle w:val="EndnoteReference"/>
          <w:vertAlign w:val="baseline"/>
        </w:rPr>
        <w:t>I</w:t>
      </w:r>
      <w:r w:rsidRPr="000F5197">
        <w:t>bid.</w:t>
      </w:r>
    </w:p>
  </w:endnote>
  <w:endnote w:id="4">
    <w:p w14:paraId="331C7ECA" w14:textId="4C09679E" w:rsidR="00E912A2" w:rsidRPr="000F5197" w:rsidRDefault="00E912A2" w:rsidP="00BC1ACC">
      <w:pPr>
        <w:pStyle w:val="Footnote"/>
      </w:pPr>
      <w:r w:rsidRPr="000F5197">
        <w:rPr>
          <w:rFonts w:eastAsiaTheme="minorEastAsia"/>
          <w:vertAlign w:val="superscript"/>
          <w:lang w:bidi="en-US"/>
        </w:rPr>
        <w:endnoteRef/>
      </w:r>
      <w:r w:rsidRPr="000F5197">
        <w:rPr>
          <w:rFonts w:eastAsiaTheme="minorEastAsia"/>
          <w:lang w:bidi="en-US"/>
        </w:rPr>
        <w:t xml:space="preserve"> </w:t>
      </w:r>
      <w:r w:rsidR="001B1452" w:rsidRPr="000F5197">
        <w:t>Canadian Electricity Association</w:t>
      </w:r>
      <w:r w:rsidR="001B1452">
        <w:t>,</w:t>
      </w:r>
      <w:r w:rsidR="001B1452" w:rsidRPr="000F5197">
        <w:t xml:space="preserve"> </w:t>
      </w:r>
      <w:r w:rsidRPr="00F23D09">
        <w:rPr>
          <w:i/>
        </w:rPr>
        <w:t>Electric Utility Innovation</w:t>
      </w:r>
      <w:r w:rsidR="001B1452" w:rsidRPr="00F23D09">
        <w:rPr>
          <w:i/>
        </w:rPr>
        <w:t>: Toward Vision 2050</w:t>
      </w:r>
      <w:r w:rsidR="001B1452">
        <w:t>,</w:t>
      </w:r>
      <w:r w:rsidRPr="000F5197">
        <w:t xml:space="preserve"> </w:t>
      </w:r>
      <w:r w:rsidR="001B1452">
        <w:t>2015, a</w:t>
      </w:r>
      <w:r w:rsidRPr="000F5197">
        <w:t xml:space="preserve">ccessed </w:t>
      </w:r>
      <w:r>
        <w:t>May 17</w:t>
      </w:r>
      <w:r w:rsidRPr="00BC1ACC">
        <w:t>, 201</w:t>
      </w:r>
      <w:r>
        <w:t xml:space="preserve">8, </w:t>
      </w:r>
      <w:r w:rsidRPr="008618F0">
        <w:t>https://electricity.ca/wp-content/uploads/2015/02/ElectricUtilityInnovation.pdf</w:t>
      </w:r>
      <w:r>
        <w:t>.</w:t>
      </w:r>
    </w:p>
  </w:endnote>
  <w:endnote w:id="5">
    <w:p w14:paraId="6738DF4D" w14:textId="1FD8F636" w:rsidR="00E912A2" w:rsidRPr="000F5197" w:rsidRDefault="00E912A2" w:rsidP="00BC1ACC">
      <w:pPr>
        <w:pStyle w:val="Footnote"/>
      </w:pPr>
      <w:r w:rsidRPr="000F5197">
        <w:rPr>
          <w:vertAlign w:val="superscript"/>
        </w:rPr>
        <w:endnoteRef/>
      </w:r>
      <w:r w:rsidRPr="000F5197">
        <w:t xml:space="preserve"> “</w:t>
      </w:r>
      <w:r w:rsidR="001B1452">
        <w:t>Annual Electricity Data</w:t>
      </w:r>
      <w:r>
        <w:t>,</w:t>
      </w:r>
      <w:r w:rsidRPr="000F5197">
        <w:t xml:space="preserve">” Alberta Utilities Commission, accessed </w:t>
      </w:r>
      <w:r>
        <w:t>May 17</w:t>
      </w:r>
      <w:r w:rsidRPr="00BC1ACC">
        <w:t>, 201</w:t>
      </w:r>
      <w:r>
        <w:t xml:space="preserve">8, </w:t>
      </w:r>
      <w:r w:rsidRPr="008618F0">
        <w:t>www.auc.ab.ca/pages/annual-electricity-data.aspx</w:t>
      </w:r>
      <w:r>
        <w:t>.</w:t>
      </w:r>
      <w:hyperlink r:id="rId1"/>
    </w:p>
  </w:endnote>
  <w:endnote w:id="6">
    <w:p w14:paraId="0BDB7799" w14:textId="7C3BD6E7" w:rsidR="00E912A2" w:rsidRPr="000F5197" w:rsidRDefault="00E912A2" w:rsidP="00BC1ACC">
      <w:pPr>
        <w:pStyle w:val="Footnote"/>
      </w:pPr>
      <w:r w:rsidRPr="000F5197">
        <w:rPr>
          <w:vertAlign w:val="superscript"/>
        </w:rPr>
        <w:endnoteRef/>
      </w:r>
      <w:r w:rsidRPr="000F5197">
        <w:t xml:space="preserve"> Ibid.</w:t>
      </w:r>
      <w:r>
        <w:t xml:space="preserve"> </w:t>
      </w:r>
      <w:hyperlink r:id="rId2"/>
    </w:p>
  </w:endnote>
  <w:endnote w:id="7">
    <w:p w14:paraId="7D87EE43" w14:textId="4017CAE2" w:rsidR="00E912A2" w:rsidRPr="000F5197" w:rsidRDefault="00E912A2" w:rsidP="00BC1ACC">
      <w:pPr>
        <w:pStyle w:val="Footnote"/>
      </w:pPr>
      <w:r w:rsidRPr="000F5197">
        <w:rPr>
          <w:vertAlign w:val="superscript"/>
        </w:rPr>
        <w:endnoteRef/>
      </w:r>
      <w:r w:rsidRPr="000F5197">
        <w:t xml:space="preserve"> Ibid.</w:t>
      </w:r>
      <w:r>
        <w:t xml:space="preserve"> </w:t>
      </w:r>
      <w:hyperlink r:id="rId3"/>
    </w:p>
  </w:endnote>
  <w:endnote w:id="8">
    <w:p w14:paraId="59FEEB28" w14:textId="5DB10637" w:rsidR="00E912A2" w:rsidRPr="000F5197" w:rsidRDefault="00E912A2" w:rsidP="00BC1ACC">
      <w:pPr>
        <w:pStyle w:val="Footnote"/>
      </w:pPr>
      <w:r w:rsidRPr="000F5197">
        <w:rPr>
          <w:vertAlign w:val="superscript"/>
        </w:rPr>
        <w:endnoteRef/>
      </w:r>
      <w:r w:rsidRPr="000F5197">
        <w:t xml:space="preserve"> </w:t>
      </w:r>
      <w:r>
        <w:t>Province</w:t>
      </w:r>
      <w:r w:rsidRPr="000F5197">
        <w:rPr>
          <w:noProof/>
        </w:rPr>
        <w:t xml:space="preserve"> of Alberta</w:t>
      </w:r>
      <w:r>
        <w:rPr>
          <w:noProof/>
        </w:rPr>
        <w:t>,</w:t>
      </w:r>
      <w:r w:rsidRPr="000F5197">
        <w:rPr>
          <w:noProof/>
        </w:rPr>
        <w:t xml:space="preserve"> </w:t>
      </w:r>
      <w:r w:rsidRPr="00BC1ACC">
        <w:rPr>
          <w:i/>
          <w:noProof/>
        </w:rPr>
        <w:t>Electric Utilities Act</w:t>
      </w:r>
      <w:r>
        <w:rPr>
          <w:noProof/>
        </w:rPr>
        <w:t>,</w:t>
      </w:r>
      <w:r w:rsidRPr="000F5197">
        <w:rPr>
          <w:noProof/>
        </w:rPr>
        <w:t xml:space="preserve"> </w:t>
      </w:r>
      <w:r>
        <w:rPr>
          <w:noProof/>
        </w:rPr>
        <w:t xml:space="preserve">Statutes of Alberta, </w:t>
      </w:r>
      <w:r w:rsidRPr="000F5197">
        <w:rPr>
          <w:noProof/>
        </w:rPr>
        <w:t>2003, accessed Feb</w:t>
      </w:r>
      <w:r>
        <w:rPr>
          <w:noProof/>
        </w:rPr>
        <w:t>ruary 27, 20</w:t>
      </w:r>
      <w:r w:rsidRPr="000F5197">
        <w:rPr>
          <w:noProof/>
        </w:rPr>
        <w:t>16, www.qp.alberta.ca/documents/Acts/E05P1.pdf</w:t>
      </w:r>
      <w:r>
        <w:rPr>
          <w:noProof/>
        </w:rPr>
        <w:t>.</w:t>
      </w:r>
    </w:p>
  </w:endnote>
  <w:endnote w:id="9">
    <w:p w14:paraId="701BD87F" w14:textId="31D1D92C" w:rsidR="00E912A2" w:rsidRPr="000F5197" w:rsidRDefault="00E912A2" w:rsidP="00BC1ACC">
      <w:pPr>
        <w:pStyle w:val="Footnote"/>
        <w:rPr>
          <w:noProof/>
        </w:rPr>
      </w:pPr>
      <w:r w:rsidRPr="000F5197">
        <w:rPr>
          <w:vertAlign w:val="superscript"/>
        </w:rPr>
        <w:endnoteRef/>
      </w:r>
      <w:r w:rsidRPr="000F5197">
        <w:t xml:space="preserve"> </w:t>
      </w:r>
      <w:r>
        <w:t>Province</w:t>
      </w:r>
      <w:r w:rsidRPr="000F5197">
        <w:rPr>
          <w:noProof/>
        </w:rPr>
        <w:t xml:space="preserve"> of Alberta</w:t>
      </w:r>
      <w:r>
        <w:rPr>
          <w:noProof/>
        </w:rPr>
        <w:t>,</w:t>
      </w:r>
      <w:r w:rsidRPr="000F5197">
        <w:rPr>
          <w:noProof/>
        </w:rPr>
        <w:t xml:space="preserve"> </w:t>
      </w:r>
      <w:r w:rsidRPr="00BC1ACC">
        <w:rPr>
          <w:i/>
          <w:noProof/>
        </w:rPr>
        <w:t>Alberta Utilities Commission Act</w:t>
      </w:r>
      <w:r>
        <w:rPr>
          <w:noProof/>
        </w:rPr>
        <w:t>,</w:t>
      </w:r>
      <w:r w:rsidRPr="000F5197">
        <w:rPr>
          <w:noProof/>
        </w:rPr>
        <w:t xml:space="preserve"> </w:t>
      </w:r>
      <w:r>
        <w:rPr>
          <w:noProof/>
        </w:rPr>
        <w:t>Statutes of Alberta, 2007, a</w:t>
      </w:r>
      <w:r w:rsidRPr="000F5197">
        <w:rPr>
          <w:noProof/>
        </w:rPr>
        <w:t>ccessed Feb</w:t>
      </w:r>
      <w:r>
        <w:rPr>
          <w:noProof/>
        </w:rPr>
        <w:t>ruary 27, 20</w:t>
      </w:r>
      <w:r w:rsidRPr="000F5197">
        <w:rPr>
          <w:noProof/>
        </w:rPr>
        <w:t>16</w:t>
      </w:r>
      <w:r>
        <w:rPr>
          <w:noProof/>
        </w:rPr>
        <w:t>,</w:t>
      </w:r>
      <w:r w:rsidRPr="000F5197">
        <w:rPr>
          <w:noProof/>
        </w:rPr>
        <w:t xml:space="preserve"> </w:t>
      </w:r>
      <w:r>
        <w:rPr>
          <w:noProof/>
        </w:rPr>
        <w:t>w</w:t>
      </w:r>
      <w:r w:rsidRPr="000F5197">
        <w:rPr>
          <w:noProof/>
        </w:rPr>
        <w:t>ww.qp.alberta.ca/documents/Acts/A37P2.pdf</w:t>
      </w:r>
      <w:r>
        <w:rPr>
          <w:noProof/>
        </w:rPr>
        <w:t>.</w:t>
      </w:r>
    </w:p>
  </w:endnote>
  <w:endnote w:id="10">
    <w:p w14:paraId="7401F2C2" w14:textId="49EFD39F" w:rsidR="00E912A2" w:rsidRPr="000F5197" w:rsidRDefault="00E912A2" w:rsidP="00BC1ACC">
      <w:pPr>
        <w:pStyle w:val="Footnote"/>
      </w:pPr>
      <w:r w:rsidRPr="000F5197">
        <w:rPr>
          <w:vertAlign w:val="superscript"/>
        </w:rPr>
        <w:endnoteRef/>
      </w:r>
      <w:r w:rsidRPr="000F5197">
        <w:t xml:space="preserve"> “Guide to Understanding Alberta’s Electricity Market</w:t>
      </w:r>
      <w:r>
        <w:t>,</w:t>
      </w:r>
      <w:r w:rsidRPr="000F5197">
        <w:t>” Alberta Electric System Operator, accessed Feb</w:t>
      </w:r>
      <w:r>
        <w:t>ruary 27,</w:t>
      </w:r>
      <w:r w:rsidRPr="000F5197">
        <w:t xml:space="preserve"> </w:t>
      </w:r>
      <w:r>
        <w:t>20</w:t>
      </w:r>
      <w:r w:rsidRPr="000F5197">
        <w:t>16, www.aeso.ca/29864.html</w:t>
      </w:r>
      <w:r>
        <w:t>.</w:t>
      </w:r>
    </w:p>
  </w:endnote>
  <w:endnote w:id="11">
    <w:p w14:paraId="4C32669C" w14:textId="4318B3F9" w:rsidR="00E912A2" w:rsidRPr="000F5197" w:rsidRDefault="00E912A2" w:rsidP="00BC1ACC">
      <w:pPr>
        <w:pStyle w:val="Footnote"/>
      </w:pPr>
      <w:r w:rsidRPr="00BC1ACC">
        <w:rPr>
          <w:vertAlign w:val="superscript"/>
        </w:rPr>
        <w:endnoteRef/>
      </w:r>
      <w:r w:rsidRPr="00BC1ACC">
        <w:rPr>
          <w:vertAlign w:val="superscript"/>
        </w:rPr>
        <w:t xml:space="preserve"> </w:t>
      </w:r>
      <w:r w:rsidRPr="000F5197">
        <w:rPr>
          <w:noProof/>
        </w:rPr>
        <w:t>“</w:t>
      </w:r>
      <w:r>
        <w:rPr>
          <w:noProof/>
        </w:rPr>
        <w:t>Regulatory Role</w:t>
      </w:r>
      <w:r w:rsidR="001B1452">
        <w:rPr>
          <w:noProof/>
        </w:rPr>
        <w:t>,</w:t>
      </w:r>
      <w:r>
        <w:rPr>
          <w:noProof/>
        </w:rPr>
        <w:t>”</w:t>
      </w:r>
      <w:r w:rsidRPr="000F5197">
        <w:rPr>
          <w:noProof/>
        </w:rPr>
        <w:t xml:space="preserve"> </w:t>
      </w:r>
      <w:r w:rsidR="001B1452">
        <w:rPr>
          <w:noProof/>
        </w:rPr>
        <w:t xml:space="preserve">Utilities Consumer Advocate, </w:t>
      </w:r>
      <w:r w:rsidRPr="000F5197">
        <w:rPr>
          <w:noProof/>
        </w:rPr>
        <w:t xml:space="preserve">accessed </w:t>
      </w:r>
      <w:r>
        <w:t>May 17</w:t>
      </w:r>
      <w:r w:rsidRPr="00BC1ACC">
        <w:t>, 201</w:t>
      </w:r>
      <w:r>
        <w:t xml:space="preserve">8, </w:t>
      </w:r>
      <w:r w:rsidRPr="0056715F">
        <w:rPr>
          <w:noProof/>
        </w:rPr>
        <w:t>https://ucahelps.alberta.ca/regulatory-role.aspx</w:t>
      </w:r>
      <w:r>
        <w:rPr>
          <w:noProof/>
        </w:rPr>
        <w:t>.</w:t>
      </w:r>
    </w:p>
  </w:endnote>
  <w:endnote w:id="12">
    <w:p w14:paraId="7E15951B" w14:textId="22CB67B5" w:rsidR="00E912A2" w:rsidRPr="00DC75C1" w:rsidRDefault="00E912A2" w:rsidP="00BC1ACC">
      <w:pPr>
        <w:pStyle w:val="Footnote"/>
        <w:rPr>
          <w:noProof/>
          <w:lang w:val="en-CA"/>
        </w:rPr>
      </w:pPr>
      <w:r w:rsidRPr="000F5197">
        <w:rPr>
          <w:vertAlign w:val="superscript"/>
        </w:rPr>
        <w:endnoteRef/>
      </w:r>
      <w:r w:rsidRPr="000F5197">
        <w:t xml:space="preserve"> </w:t>
      </w:r>
      <w:r w:rsidRPr="000F5197">
        <w:rPr>
          <w:noProof/>
        </w:rPr>
        <w:t>“</w:t>
      </w:r>
      <w:r w:rsidRPr="0056715F">
        <w:rPr>
          <w:noProof/>
          <w:lang w:val="en-CA"/>
        </w:rPr>
        <w:t xml:space="preserve">Guide to </w:t>
      </w:r>
      <w:r>
        <w:rPr>
          <w:noProof/>
          <w:lang w:val="en-CA"/>
        </w:rPr>
        <w:t>U</w:t>
      </w:r>
      <w:r w:rsidRPr="0056715F">
        <w:rPr>
          <w:noProof/>
          <w:lang w:val="en-CA"/>
        </w:rPr>
        <w:t>nderstand</w:t>
      </w:r>
      <w:r>
        <w:rPr>
          <w:noProof/>
          <w:lang w:val="en-CA"/>
        </w:rPr>
        <w:t>ing Alberta’s Electricity Market,” op. cit.</w:t>
      </w:r>
    </w:p>
  </w:endnote>
  <w:endnote w:id="13">
    <w:p w14:paraId="1D06387A" w14:textId="11FC2D2C" w:rsidR="00E912A2" w:rsidRPr="001E74CE" w:rsidRDefault="00E912A2" w:rsidP="00BC1ACC">
      <w:pPr>
        <w:pStyle w:val="Footnote"/>
      </w:pPr>
      <w:r w:rsidRPr="00BC1ACC">
        <w:rPr>
          <w:rStyle w:val="EndnoteReference"/>
        </w:rPr>
        <w:endnoteRef/>
      </w:r>
      <w:r w:rsidRPr="00977F43">
        <w:t xml:space="preserve"> </w:t>
      </w:r>
      <w:r>
        <w:rPr>
          <w:noProof/>
        </w:rPr>
        <w:t>Ibid.</w:t>
      </w:r>
    </w:p>
  </w:endnote>
  <w:endnote w:id="14">
    <w:p w14:paraId="3B3B6480" w14:textId="7989EEBD" w:rsidR="00E912A2" w:rsidRPr="000F5197" w:rsidRDefault="00E912A2" w:rsidP="00BC1ACC">
      <w:pPr>
        <w:pStyle w:val="Footnote"/>
      </w:pPr>
      <w:r w:rsidRPr="00BC1ACC">
        <w:rPr>
          <w:vertAlign w:val="superscript"/>
        </w:rPr>
        <w:endnoteRef/>
      </w:r>
      <w:r w:rsidRPr="000F5197">
        <w:t xml:space="preserve"> </w:t>
      </w:r>
      <w:r w:rsidRPr="000F5197">
        <w:rPr>
          <w:noProof/>
        </w:rPr>
        <w:t>“</w:t>
      </w:r>
      <w:r>
        <w:rPr>
          <w:noProof/>
        </w:rPr>
        <w:t>Mission Statement,</w:t>
      </w:r>
      <w:r w:rsidRPr="000F5197">
        <w:rPr>
          <w:noProof/>
        </w:rPr>
        <w:t>” Alberta Utilities Commission</w:t>
      </w:r>
      <w:r>
        <w:rPr>
          <w:noProof/>
        </w:rPr>
        <w:t xml:space="preserve">, </w:t>
      </w:r>
      <w:r w:rsidRPr="000F5197">
        <w:rPr>
          <w:noProof/>
        </w:rPr>
        <w:t xml:space="preserve">accessed </w:t>
      </w:r>
      <w:r>
        <w:rPr>
          <w:noProof/>
        </w:rPr>
        <w:t>May 17, 2018</w:t>
      </w:r>
      <w:r w:rsidRPr="000F5197">
        <w:rPr>
          <w:noProof/>
        </w:rPr>
        <w:t>,</w:t>
      </w:r>
      <w:r>
        <w:rPr>
          <w:noProof/>
        </w:rPr>
        <w:t xml:space="preserve"> </w:t>
      </w:r>
      <w:r w:rsidRPr="00F22BE5">
        <w:t>www.auc.ab.ca/pages/mission-statement.aspx</w:t>
      </w:r>
      <w:r>
        <w:t>.</w:t>
      </w:r>
    </w:p>
  </w:endnote>
  <w:endnote w:id="15">
    <w:p w14:paraId="4AE3EFB6" w14:textId="72B1F85D" w:rsidR="00E912A2" w:rsidRPr="00BC1ACC" w:rsidRDefault="00E912A2" w:rsidP="00BC1ACC">
      <w:pPr>
        <w:pStyle w:val="Footnote"/>
        <w:rPr>
          <w:lang w:val="en-CA"/>
        </w:rPr>
      </w:pPr>
      <w:r>
        <w:rPr>
          <w:rStyle w:val="EndnoteReference"/>
        </w:rPr>
        <w:endnoteRef/>
      </w:r>
      <w:r>
        <w:t xml:space="preserve"> </w:t>
      </w:r>
      <w:r>
        <w:rPr>
          <w:lang w:val="en-CA"/>
        </w:rPr>
        <w:t>All dollar amounts are in Canadian dollars.</w:t>
      </w:r>
    </w:p>
  </w:endnote>
  <w:endnote w:id="16">
    <w:p w14:paraId="1FA4A9F1" w14:textId="573BAC55" w:rsidR="00E912A2" w:rsidRPr="00316DDB" w:rsidRDefault="00E912A2" w:rsidP="00BC1ACC">
      <w:pPr>
        <w:pStyle w:val="Footnote"/>
      </w:pPr>
      <w:r w:rsidRPr="00316DDB">
        <w:rPr>
          <w:vertAlign w:val="superscript"/>
        </w:rPr>
        <w:endnoteRef/>
      </w:r>
      <w:r w:rsidRPr="00316DDB">
        <w:t xml:space="preserve"> Jennifer Hiscoc</w:t>
      </w:r>
      <w:r>
        <w:t xml:space="preserve">k and David </w:t>
      </w:r>
      <w:r w:rsidRPr="00316DDB">
        <w:t>Beauvais</w:t>
      </w:r>
      <w:r>
        <w:t>,</w:t>
      </w:r>
      <w:r w:rsidRPr="00316DDB">
        <w:t xml:space="preserve"> </w:t>
      </w:r>
      <w:r w:rsidR="001B1452">
        <w:t xml:space="preserve">eds., </w:t>
      </w:r>
      <w:r w:rsidRPr="00F23D09">
        <w:rPr>
          <w:i/>
        </w:rPr>
        <w:t>Smart Grid in Canada</w:t>
      </w:r>
      <w:r w:rsidR="001B1452" w:rsidRPr="00F23D09">
        <w:rPr>
          <w:i/>
        </w:rPr>
        <w:t>:</w:t>
      </w:r>
      <w:r w:rsidRPr="00F23D09">
        <w:rPr>
          <w:i/>
        </w:rPr>
        <w:t xml:space="preserve"> 2012</w:t>
      </w:r>
      <w:r w:rsidR="001B1452" w:rsidRPr="00F23D09">
        <w:rPr>
          <w:i/>
        </w:rPr>
        <w:t>–</w:t>
      </w:r>
      <w:r w:rsidRPr="00F23D09">
        <w:rPr>
          <w:i/>
        </w:rPr>
        <w:t>2013</w:t>
      </w:r>
      <w:r>
        <w:t>,</w:t>
      </w:r>
      <w:r w:rsidRPr="00316DDB">
        <w:t xml:space="preserve"> Report #2013-171 RP-ANU 411-SGPLAN </w:t>
      </w:r>
      <w:r w:rsidR="001B1452">
        <w:t>(</w:t>
      </w:r>
      <w:r w:rsidRPr="00316DDB">
        <w:t>Natural Resources Canada</w:t>
      </w:r>
      <w:r>
        <w:t>,</w:t>
      </w:r>
      <w:r w:rsidRPr="00316DDB">
        <w:t xml:space="preserve"> </w:t>
      </w:r>
      <w:r>
        <w:t xml:space="preserve">October </w:t>
      </w:r>
      <w:r w:rsidRPr="00316DDB">
        <w:t>2013</w:t>
      </w:r>
      <w:r w:rsidR="001B1452">
        <w:t>)</w:t>
      </w:r>
      <w:r>
        <w:t>, a</w:t>
      </w:r>
      <w:r w:rsidRPr="00316DDB">
        <w:t>ccessed Feb</w:t>
      </w:r>
      <w:r>
        <w:t>ruary 27, 20</w:t>
      </w:r>
      <w:r w:rsidRPr="00316DDB">
        <w:t>16</w:t>
      </w:r>
      <w:r>
        <w:t>,</w:t>
      </w:r>
      <w:r w:rsidRPr="00316DDB">
        <w:t xml:space="preserve"> </w:t>
      </w:r>
      <w:r w:rsidRPr="00BC1ACC">
        <w:t>www.nrcan.gc.ca/</w:t>
      </w:r>
      <w:r w:rsidRPr="00316DDB">
        <w:t>sites/</w:t>
      </w:r>
      <w:r w:rsidRPr="00BC1ACC">
        <w:t>www.nrcan.gc.ca/</w:t>
      </w:r>
      <w:r w:rsidRPr="00316DDB">
        <w:t>files/canmetenergy/files/pubs/smart-grid-annual-report-2012-2013-eng.pdf</w:t>
      </w:r>
      <w:r>
        <w:t>.</w:t>
      </w:r>
    </w:p>
  </w:endnote>
  <w:endnote w:id="17">
    <w:p w14:paraId="0B183DE6" w14:textId="22C40988" w:rsidR="00E912A2" w:rsidRPr="00316DDB" w:rsidRDefault="00E912A2" w:rsidP="00BC1ACC">
      <w:pPr>
        <w:pStyle w:val="Footnote"/>
      </w:pPr>
      <w:r w:rsidRPr="00BC1ACC">
        <w:rPr>
          <w:vertAlign w:val="superscript"/>
        </w:rPr>
        <w:endnoteRef/>
      </w:r>
      <w:r w:rsidRPr="00316DDB">
        <w:t xml:space="preserve"> EPCOR Distribution &amp; Transmission Inc.</w:t>
      </w:r>
      <w:r>
        <w:t>,</w:t>
      </w:r>
      <w:r w:rsidRPr="00316DDB">
        <w:t xml:space="preserve"> </w:t>
      </w:r>
      <w:r w:rsidRPr="00F23D09">
        <w:rPr>
          <w:rFonts w:eastAsiaTheme="minorEastAsia"/>
          <w:i/>
          <w:shd w:val="clear" w:color="auto" w:fill="FFFFFF"/>
          <w:lang w:bidi="en-US"/>
        </w:rPr>
        <w:t>Capital Business Case and Engineering Study, Distribution Capital Tracker: Advanced Metering Infrastructure, Appendix A-19</w:t>
      </w:r>
      <w:r>
        <w:rPr>
          <w:rFonts w:eastAsiaTheme="minorEastAsia"/>
          <w:shd w:val="clear" w:color="auto" w:fill="FFFFFF"/>
          <w:lang w:bidi="en-US"/>
        </w:rPr>
        <w:t>,</w:t>
      </w:r>
      <w:r w:rsidRPr="0086229E">
        <w:rPr>
          <w:rFonts w:eastAsiaTheme="minorEastAsia"/>
          <w:shd w:val="clear" w:color="auto" w:fill="FFFFFF"/>
          <w:lang w:bidi="en-US"/>
        </w:rPr>
        <w:t xml:space="preserve"> Feb</w:t>
      </w:r>
      <w:r>
        <w:rPr>
          <w:rFonts w:eastAsiaTheme="minorEastAsia"/>
          <w:shd w:val="clear" w:color="auto" w:fill="FFFFFF"/>
          <w:lang w:bidi="en-US"/>
        </w:rPr>
        <w:t>ruary 28,</w:t>
      </w:r>
      <w:r w:rsidRPr="0086229E">
        <w:rPr>
          <w:rFonts w:eastAsiaTheme="minorEastAsia"/>
          <w:shd w:val="clear" w:color="auto" w:fill="FFFFFF"/>
          <w:lang w:bidi="en-US"/>
        </w:rPr>
        <w:t xml:space="preserve"> 2014</w:t>
      </w:r>
      <w:r>
        <w:rPr>
          <w:rFonts w:eastAsiaTheme="minorEastAsia"/>
          <w:shd w:val="clear" w:color="auto" w:fill="FFFFFF"/>
          <w:lang w:bidi="en-US"/>
        </w:rPr>
        <w:t>,</w:t>
      </w:r>
      <w:r w:rsidRPr="0086229E">
        <w:rPr>
          <w:rFonts w:eastAsiaTheme="minorEastAsia"/>
          <w:shd w:val="clear" w:color="auto" w:fill="FFFFFF"/>
          <w:lang w:bidi="en-US"/>
        </w:rPr>
        <w:t xml:space="preserve"> </w:t>
      </w:r>
      <w:r>
        <w:rPr>
          <w:rFonts w:eastAsiaTheme="minorEastAsia"/>
          <w:shd w:val="clear" w:color="auto" w:fill="FFFFFF"/>
          <w:lang w:bidi="en-US"/>
        </w:rPr>
        <w:t>6</w:t>
      </w:r>
      <w:r>
        <w:t>.</w:t>
      </w:r>
    </w:p>
  </w:endnote>
  <w:endnote w:id="18">
    <w:p w14:paraId="25A97450" w14:textId="77777777" w:rsidR="00E912A2" w:rsidRPr="000F5197" w:rsidRDefault="00E912A2" w:rsidP="00BC1ACC">
      <w:pPr>
        <w:pStyle w:val="Footnote"/>
      </w:pPr>
      <w:r w:rsidRPr="000F5197">
        <w:rPr>
          <w:vertAlign w:val="superscript"/>
        </w:rPr>
        <w:endnoteRef/>
      </w:r>
      <w:r w:rsidRPr="000F5197">
        <w:t xml:space="preserve"> Ibid.</w:t>
      </w:r>
    </w:p>
  </w:endnote>
  <w:endnote w:id="19">
    <w:p w14:paraId="0D148261" w14:textId="631B3A73" w:rsidR="00E912A2" w:rsidRPr="000F5197" w:rsidRDefault="00E912A2" w:rsidP="00BC1ACC">
      <w:pPr>
        <w:pStyle w:val="Footnote"/>
      </w:pPr>
      <w:r w:rsidRPr="000F5197">
        <w:rPr>
          <w:vertAlign w:val="superscript"/>
        </w:rPr>
        <w:endnoteRef/>
      </w:r>
      <w:r w:rsidRPr="000F5197">
        <w:t xml:space="preserve"> </w:t>
      </w:r>
      <w:r>
        <w:t xml:space="preserve">Northern Alberta Development Council, </w:t>
      </w:r>
      <w:r w:rsidRPr="00F23D09">
        <w:t>“Electric Power Generation Options for Northern Alberta’s Municipalities, Organizations and Residents</w:t>
      </w:r>
      <w:r>
        <w:t>,</w:t>
      </w:r>
      <w:r w:rsidRPr="000F5197">
        <w:t>”</w:t>
      </w:r>
      <w:r>
        <w:t xml:space="preserve"> Forte Business Solutions Ltd., March 31, 2010,</w:t>
      </w:r>
      <w:r w:rsidRPr="000F5197">
        <w:t xml:space="preserve"> accessed Feb</w:t>
      </w:r>
      <w:r>
        <w:t>ruary 13,</w:t>
      </w:r>
      <w:r w:rsidRPr="000F5197">
        <w:t xml:space="preserve"> </w:t>
      </w:r>
      <w:r>
        <w:t>20</w:t>
      </w:r>
      <w:r w:rsidRPr="000F5197">
        <w:t>16, www.nadc.gov.ab.ca/Docs/electric-generation.pdf</w:t>
      </w:r>
      <w:r>
        <w:t>.</w:t>
      </w:r>
    </w:p>
  </w:endnote>
  <w:endnote w:id="20">
    <w:p w14:paraId="41B1E4A1" w14:textId="77777777" w:rsidR="00E912A2" w:rsidRPr="000F5197" w:rsidRDefault="00E912A2" w:rsidP="00BC1ACC">
      <w:pPr>
        <w:pStyle w:val="Footnote"/>
      </w:pPr>
      <w:r w:rsidRPr="000F5197">
        <w:rPr>
          <w:vertAlign w:val="superscript"/>
        </w:rPr>
        <w:endnoteRef/>
      </w:r>
      <w:r w:rsidRPr="000F5197">
        <w:t xml:space="preserve"> Ibid.</w:t>
      </w:r>
    </w:p>
  </w:endnote>
  <w:endnote w:id="21">
    <w:p w14:paraId="7777F260" w14:textId="00651464" w:rsidR="00E912A2" w:rsidRPr="000F5197" w:rsidRDefault="00E912A2" w:rsidP="00BC1ACC">
      <w:pPr>
        <w:pStyle w:val="Footnote"/>
      </w:pPr>
      <w:r w:rsidRPr="000F5197">
        <w:rPr>
          <w:vertAlign w:val="superscript"/>
        </w:rPr>
        <w:endnoteRef/>
      </w:r>
      <w:r w:rsidRPr="000F5197">
        <w:t xml:space="preserve"> EPCOR Distribution &amp; Transmission Inc.</w:t>
      </w:r>
      <w:r>
        <w:t>,</w:t>
      </w:r>
      <w:r w:rsidRPr="000F5197">
        <w:t xml:space="preserve"> </w:t>
      </w:r>
      <w:r>
        <w:t>op. cit.</w:t>
      </w:r>
    </w:p>
  </w:endnote>
  <w:endnote w:id="22">
    <w:p w14:paraId="426B1732" w14:textId="77ABE62A" w:rsidR="00E912A2" w:rsidRPr="00BC1ACC" w:rsidRDefault="00E912A2" w:rsidP="00BC1ACC">
      <w:pPr>
        <w:pStyle w:val="Footnote"/>
        <w:rPr>
          <w:spacing w:val="-2"/>
        </w:rPr>
      </w:pPr>
      <w:r w:rsidRPr="00BC1ACC">
        <w:rPr>
          <w:spacing w:val="-2"/>
          <w:vertAlign w:val="superscript"/>
        </w:rPr>
        <w:endnoteRef/>
      </w:r>
      <w:r w:rsidRPr="00BC1ACC">
        <w:rPr>
          <w:spacing w:val="-2"/>
        </w:rPr>
        <w:t xml:space="preserve"> Frank Mannarino, “Distribution &amp; Transmission Environmental Statement,” EPCOR, accessed Ma</w:t>
      </w:r>
      <w:r>
        <w:rPr>
          <w:spacing w:val="-2"/>
        </w:rPr>
        <w:t>y</w:t>
      </w:r>
      <w:r w:rsidRPr="00BC1ACC">
        <w:rPr>
          <w:spacing w:val="-2"/>
        </w:rPr>
        <w:t xml:space="preserve"> </w:t>
      </w:r>
      <w:r>
        <w:rPr>
          <w:spacing w:val="-2"/>
        </w:rPr>
        <w:t>17</w:t>
      </w:r>
      <w:r w:rsidRPr="00BC1ACC">
        <w:rPr>
          <w:spacing w:val="-2"/>
        </w:rPr>
        <w:t>, 201</w:t>
      </w:r>
      <w:r>
        <w:rPr>
          <w:spacing w:val="-2"/>
        </w:rPr>
        <w:t>8</w:t>
      </w:r>
      <w:r w:rsidRPr="00BC1ACC">
        <w:rPr>
          <w:spacing w:val="-2"/>
        </w:rPr>
        <w:t xml:space="preserve">, </w:t>
      </w:r>
      <w:r w:rsidRPr="00F22BE5">
        <w:rPr>
          <w:spacing w:val="-2"/>
        </w:rPr>
        <w:t>www.epcor.com/about/who-we-are/Documents/EPCOR-distribution-transmission-environmental-statement.pdf</w:t>
      </w:r>
      <w:r>
        <w:rPr>
          <w:spacing w:val="-2"/>
        </w:rPr>
        <w:t>.</w:t>
      </w:r>
    </w:p>
  </w:endnote>
  <w:endnote w:id="23">
    <w:p w14:paraId="5814E211" w14:textId="7EDC1574" w:rsidR="00E912A2" w:rsidRPr="00316DDB" w:rsidRDefault="00E912A2" w:rsidP="00BC1ACC">
      <w:pPr>
        <w:pStyle w:val="Footnote"/>
      </w:pPr>
      <w:r w:rsidRPr="00316DDB">
        <w:rPr>
          <w:vertAlign w:val="superscript"/>
        </w:rPr>
        <w:endnoteRef/>
      </w:r>
      <w:r w:rsidRPr="00316DDB">
        <w:t xml:space="preserve"> “Code of Conduct</w:t>
      </w:r>
      <w:r>
        <w:t>,</w:t>
      </w:r>
      <w:r w:rsidRPr="00316DDB">
        <w:t>” EPCOR</w:t>
      </w:r>
      <w:r>
        <w:t>,</w:t>
      </w:r>
      <w:r w:rsidRPr="00316DDB">
        <w:t xml:space="preserve"> </w:t>
      </w:r>
      <w:r>
        <w:t>a</w:t>
      </w:r>
      <w:r w:rsidRPr="00316DDB">
        <w:t>ccessed Ma</w:t>
      </w:r>
      <w:r>
        <w:t>y 17,</w:t>
      </w:r>
      <w:r w:rsidRPr="00316DDB">
        <w:t xml:space="preserve"> </w:t>
      </w:r>
      <w:r>
        <w:t>20</w:t>
      </w:r>
      <w:r w:rsidRPr="00316DDB">
        <w:t>1</w:t>
      </w:r>
      <w:r>
        <w:t xml:space="preserve">8, </w:t>
      </w:r>
      <w:r w:rsidRPr="00A251A4">
        <w:t>www.epcor.com/products-services/power/Pages/code-of-conduct.aspx</w:t>
      </w:r>
      <w:r>
        <w:t>.</w:t>
      </w:r>
    </w:p>
  </w:endnote>
  <w:endnote w:id="24">
    <w:p w14:paraId="69AB42C4" w14:textId="29B6AE82" w:rsidR="00E912A2" w:rsidRPr="007C2473" w:rsidRDefault="00E912A2" w:rsidP="00BC1ACC">
      <w:pPr>
        <w:pStyle w:val="Footnote"/>
      </w:pPr>
      <w:r w:rsidRPr="00316DDB">
        <w:rPr>
          <w:vertAlign w:val="superscript"/>
        </w:rPr>
        <w:endnoteRef/>
      </w:r>
      <w:r w:rsidRPr="00316DDB">
        <w:t xml:space="preserve"> </w:t>
      </w:r>
      <w:r w:rsidR="00384996">
        <w:t xml:space="preserve">AccountAbility, </w:t>
      </w:r>
      <w:r w:rsidRPr="00F23D09">
        <w:rPr>
          <w:i/>
        </w:rPr>
        <w:t>Stakeholder Engagement Standard 2011</w:t>
      </w:r>
      <w:r>
        <w:t>, a</w:t>
      </w:r>
      <w:r w:rsidRPr="00316DDB">
        <w:t xml:space="preserve">ccessed </w:t>
      </w:r>
      <w:r>
        <w:t>May 17, 20</w:t>
      </w:r>
      <w:r w:rsidRPr="00316DDB">
        <w:t>1</w:t>
      </w:r>
      <w:r>
        <w:t>8,</w:t>
      </w:r>
      <w:r w:rsidRPr="00316DDB">
        <w:t xml:space="preserve"> </w:t>
      </w:r>
      <w:r w:rsidRPr="00BC40B2">
        <w:t>https://drive.google.com/file/d/0BwU82A_-zhEFTEdNcFBiZXhOVUk/view</w:t>
      </w:r>
      <w:r>
        <w:t>.</w:t>
      </w:r>
    </w:p>
  </w:endnote>
  <w:endnote w:id="25">
    <w:p w14:paraId="78A8C970" w14:textId="43593D6E" w:rsidR="00EE680D" w:rsidRPr="00EE680D" w:rsidRDefault="00E912A2" w:rsidP="00BC1ACC">
      <w:pPr>
        <w:pStyle w:val="Footnote"/>
        <w:rPr>
          <w:spacing w:val="-4"/>
        </w:rPr>
      </w:pPr>
      <w:r w:rsidRPr="001C6501">
        <w:rPr>
          <w:vertAlign w:val="superscript"/>
        </w:rPr>
        <w:endnoteRef/>
      </w:r>
      <w:r w:rsidRPr="00BC1ACC">
        <w:rPr>
          <w:vertAlign w:val="superscript"/>
        </w:rPr>
        <w:t xml:space="preserve"> </w:t>
      </w:r>
      <w:r w:rsidRPr="00EE680D">
        <w:rPr>
          <w:spacing w:val="-4"/>
        </w:rPr>
        <w:t xml:space="preserve">Government of Alberta, </w:t>
      </w:r>
      <w:r w:rsidRPr="00EE680D">
        <w:rPr>
          <w:i/>
          <w:spacing w:val="-4"/>
        </w:rPr>
        <w:t>Launching Alberta’s Energy Future</w:t>
      </w:r>
      <w:r w:rsidR="00384996" w:rsidRPr="00EE680D">
        <w:rPr>
          <w:i/>
          <w:spacing w:val="-4"/>
        </w:rPr>
        <w:t>:</w:t>
      </w:r>
      <w:r w:rsidRPr="00EE680D">
        <w:rPr>
          <w:i/>
          <w:spacing w:val="-4"/>
        </w:rPr>
        <w:t xml:space="preserve"> Provincial Energy Strategy</w:t>
      </w:r>
      <w:r w:rsidRPr="00EE680D">
        <w:rPr>
          <w:spacing w:val="-4"/>
        </w:rPr>
        <w:t xml:space="preserve">, </w:t>
      </w:r>
      <w:r w:rsidR="00384996" w:rsidRPr="00EE680D">
        <w:rPr>
          <w:spacing w:val="-4"/>
        </w:rPr>
        <w:t xml:space="preserve">2008, </w:t>
      </w:r>
      <w:r w:rsidRPr="00EE680D">
        <w:rPr>
          <w:spacing w:val="-4"/>
        </w:rPr>
        <w:t xml:space="preserve">accessed May 17, 2018, </w:t>
      </w:r>
      <w:r w:rsidR="00EE680D" w:rsidRPr="00EE680D">
        <w:rPr>
          <w:spacing w:val="-4"/>
        </w:rPr>
        <w:t>https://open.alberta.ca/dataset/6f220382-b4ae-43f8-b3f9-7c1230e6700e/resource/e7c2f3d2-7e0d-4774-a463-c54c5450a04e/</w:t>
      </w:r>
    </w:p>
    <w:p w14:paraId="64C98A9F" w14:textId="7E44C21F" w:rsidR="00E912A2" w:rsidRPr="007C2473" w:rsidRDefault="00E912A2" w:rsidP="00BC1ACC">
      <w:pPr>
        <w:pStyle w:val="Footnote"/>
      </w:pPr>
      <w:r w:rsidRPr="002C5CD0">
        <w:t>download/4256197-2009-launching-albertas-energy-future-provincial-enregy-strategy-2009-08-27.pdf</w:t>
      </w:r>
      <w:r>
        <w:t xml:space="preserve">. </w:t>
      </w:r>
    </w:p>
  </w:endnote>
  <w:endnote w:id="26">
    <w:p w14:paraId="4E35623E" w14:textId="0BD15BFC" w:rsidR="00E912A2" w:rsidRPr="00316DDB" w:rsidRDefault="00E912A2" w:rsidP="00BC1ACC">
      <w:pPr>
        <w:pStyle w:val="Footnote"/>
      </w:pPr>
      <w:r w:rsidRPr="00316DDB">
        <w:rPr>
          <w:vertAlign w:val="superscript"/>
        </w:rPr>
        <w:endnoteRef/>
      </w:r>
      <w:r w:rsidRPr="00316DDB">
        <w:t xml:space="preserve"> </w:t>
      </w:r>
      <w:r>
        <w:t xml:space="preserve">Kevin B. Jones and David Zoppo, “Legal and Regulatory Issues,” in </w:t>
      </w:r>
      <w:r w:rsidRPr="00BC1ACC">
        <w:rPr>
          <w:i/>
        </w:rPr>
        <w:t>A Smarter, Greener Grid: Forging Environmental Progress through Smart Energy Policies and Technologies</w:t>
      </w:r>
      <w:r w:rsidRPr="00316DDB">
        <w:t xml:space="preserve"> </w:t>
      </w:r>
      <w:r>
        <w:t xml:space="preserve">(Ipswich, MA: </w:t>
      </w:r>
      <w:r w:rsidRPr="00316DDB">
        <w:t xml:space="preserve">EBSCO Publishing, </w:t>
      </w:r>
      <w:r>
        <w:t xml:space="preserve">2014): </w:t>
      </w:r>
      <w:r w:rsidRPr="00316DDB">
        <w:t>23</w:t>
      </w:r>
      <w:r>
        <w:t>–</w:t>
      </w:r>
      <w:r w:rsidRPr="00316DDB">
        <w:t>42.</w:t>
      </w:r>
    </w:p>
  </w:endnote>
  <w:endnote w:id="27">
    <w:p w14:paraId="2D14CCB0" w14:textId="3283B216" w:rsidR="00E912A2" w:rsidRPr="00316DDB" w:rsidRDefault="00E912A2" w:rsidP="00BC1ACC">
      <w:pPr>
        <w:pStyle w:val="Footnote"/>
      </w:pPr>
      <w:r w:rsidRPr="00316DDB">
        <w:rPr>
          <w:vertAlign w:val="superscript"/>
        </w:rPr>
        <w:endnoteRef/>
      </w:r>
      <w:r w:rsidRPr="00316DDB">
        <w:t xml:space="preserve"> “Smart Meter Fires and Explosions</w:t>
      </w:r>
      <w:r>
        <w:t>,</w:t>
      </w:r>
      <w:r w:rsidRPr="00316DDB">
        <w:t>” EMF Safety Network</w:t>
      </w:r>
      <w:r>
        <w:t>,</w:t>
      </w:r>
      <w:r w:rsidRPr="00316DDB">
        <w:t xml:space="preserve"> </w:t>
      </w:r>
      <w:r>
        <w:t>a</w:t>
      </w:r>
      <w:r w:rsidRPr="00316DDB">
        <w:t>ccessed Feb</w:t>
      </w:r>
      <w:r>
        <w:t>ruary 27,</w:t>
      </w:r>
      <w:r w:rsidRPr="00316DDB">
        <w:t xml:space="preserve"> </w:t>
      </w:r>
      <w:r>
        <w:t>20</w:t>
      </w:r>
      <w:r w:rsidRPr="00316DDB">
        <w:t>16</w:t>
      </w:r>
      <w:r>
        <w:t xml:space="preserve">, </w:t>
      </w:r>
      <w:r w:rsidRPr="00316DDB">
        <w:t>http://emfsafetynetwork.org/smart-meters/smart-meter-fires-and-explosions/</w:t>
      </w:r>
      <w:r>
        <w:t>.</w:t>
      </w:r>
    </w:p>
  </w:endnote>
  <w:endnote w:id="28">
    <w:p w14:paraId="3D665543" w14:textId="4D9A69E7" w:rsidR="00E912A2" w:rsidRPr="00316DDB" w:rsidRDefault="00E912A2" w:rsidP="00BC1ACC">
      <w:pPr>
        <w:pStyle w:val="Footnote"/>
      </w:pPr>
      <w:r w:rsidRPr="00316DDB">
        <w:rPr>
          <w:vertAlign w:val="superscript"/>
        </w:rPr>
        <w:endnoteRef/>
      </w:r>
      <w:r w:rsidRPr="00316DDB">
        <w:t xml:space="preserve"> </w:t>
      </w:r>
      <w:r>
        <w:t>“About Us,”</w:t>
      </w:r>
      <w:r w:rsidRPr="00316DDB">
        <w:t xml:space="preserve"> </w:t>
      </w:r>
      <w:r w:rsidR="00384996" w:rsidRPr="00316DDB">
        <w:t>Utilities Consumer Advocate</w:t>
      </w:r>
      <w:r w:rsidR="00384996">
        <w:t xml:space="preserve">, </w:t>
      </w:r>
      <w:r>
        <w:t>a</w:t>
      </w:r>
      <w:r w:rsidRPr="00316DDB">
        <w:t>ccessed Feb</w:t>
      </w:r>
      <w:r>
        <w:t>ruary 27,</w:t>
      </w:r>
      <w:r w:rsidRPr="00316DDB">
        <w:t xml:space="preserve"> </w:t>
      </w:r>
      <w:r>
        <w:t>20</w:t>
      </w:r>
      <w:r w:rsidRPr="00316DDB">
        <w:t>16</w:t>
      </w:r>
      <w:r>
        <w:t xml:space="preserve">, </w:t>
      </w:r>
      <w:hyperlink r:id="rId4">
        <w:r w:rsidRPr="00316DDB">
          <w:t>http://ucahelps.alberta.ca/about.aspx</w:t>
        </w:r>
      </w:hyperlink>
      <w:r>
        <w:t>.</w:t>
      </w:r>
      <w:r w:rsidRPr="00316DDB">
        <w:t xml:space="preserve"> </w:t>
      </w:r>
    </w:p>
  </w:endnote>
  <w:endnote w:id="29">
    <w:p w14:paraId="0298E6F1" w14:textId="00A65A79" w:rsidR="00E912A2" w:rsidRPr="00316DDB" w:rsidRDefault="00E912A2" w:rsidP="00BC1ACC">
      <w:pPr>
        <w:pStyle w:val="Footnote"/>
      </w:pPr>
      <w:r w:rsidRPr="00BC1ACC">
        <w:rPr>
          <w:vertAlign w:val="superscript"/>
        </w:rPr>
        <w:endnoteRef/>
      </w:r>
      <w:r w:rsidRPr="00316DDB">
        <w:t xml:space="preserve"> Government of Canada</w:t>
      </w:r>
      <w:r>
        <w:t>,</w:t>
      </w:r>
      <w:r w:rsidRPr="00316DDB">
        <w:t xml:space="preserve"> “Measurement Canada</w:t>
      </w:r>
      <w:r>
        <w:t>,</w:t>
      </w:r>
      <w:r w:rsidRPr="00316DDB">
        <w:t>” Innovation, Science and Economic Development Canada</w:t>
      </w:r>
      <w:r>
        <w:t>, a</w:t>
      </w:r>
      <w:r w:rsidRPr="00316DDB">
        <w:t>ccessed Apr</w:t>
      </w:r>
      <w:r>
        <w:t>il 3,</w:t>
      </w:r>
      <w:r w:rsidRPr="00316DDB">
        <w:t xml:space="preserve"> </w:t>
      </w:r>
      <w:r>
        <w:t>20</w:t>
      </w:r>
      <w:r w:rsidRPr="00316DDB">
        <w:t>16</w:t>
      </w:r>
      <w:r>
        <w:t xml:space="preserve">, </w:t>
      </w:r>
      <w:r w:rsidRPr="00316DDB">
        <w:t>www.ic.gc.ca/eic/site/mc-mc.nsf/eng/h_lm00013.html</w:t>
      </w:r>
      <w:r>
        <w:t>.</w:t>
      </w:r>
    </w:p>
  </w:endnote>
  <w:endnote w:id="30">
    <w:p w14:paraId="3EE066AB" w14:textId="77777777" w:rsidR="00E912A2" w:rsidRPr="00316DDB" w:rsidRDefault="00E912A2" w:rsidP="00BC1ACC">
      <w:pPr>
        <w:pStyle w:val="Footnote"/>
        <w:rPr>
          <w:lang w:val="en-CA"/>
        </w:rPr>
      </w:pPr>
      <w:r w:rsidRPr="00BC1ACC">
        <w:rPr>
          <w:vertAlign w:val="superscript"/>
        </w:rPr>
        <w:endnoteRef/>
      </w:r>
      <w:r w:rsidRPr="00316DDB">
        <w:t xml:space="preserve"> </w:t>
      </w:r>
      <w:r>
        <w:t>Ibid.</w:t>
      </w:r>
    </w:p>
  </w:endnote>
  <w:endnote w:id="31">
    <w:p w14:paraId="536E9C38" w14:textId="48B63518" w:rsidR="00E912A2" w:rsidRPr="00316DDB" w:rsidRDefault="00E912A2" w:rsidP="00BC1ACC">
      <w:pPr>
        <w:pStyle w:val="Footnote"/>
      </w:pPr>
      <w:r w:rsidRPr="00BC1ACC">
        <w:rPr>
          <w:vertAlign w:val="superscript"/>
        </w:rPr>
        <w:endnoteRef/>
      </w:r>
      <w:r w:rsidRPr="00316DDB">
        <w:t xml:space="preserve"> EPCOR Distribution &amp; Transmission Inc.</w:t>
      </w:r>
      <w:r>
        <w:t>,</w:t>
      </w:r>
      <w:r w:rsidRPr="00316DDB">
        <w:t xml:space="preserve"> </w:t>
      </w:r>
      <w:r>
        <w:t>op. cit., 6</w:t>
      </w:r>
    </w:p>
  </w:endnote>
  <w:endnote w:id="32">
    <w:p w14:paraId="2AA4807C" w14:textId="2D19C3E3" w:rsidR="00E912A2" w:rsidRPr="00316DDB" w:rsidRDefault="00E912A2" w:rsidP="00BC1ACC">
      <w:pPr>
        <w:pStyle w:val="Footnote"/>
      </w:pPr>
      <w:r w:rsidRPr="00BC1ACC">
        <w:rPr>
          <w:vertAlign w:val="superscript"/>
        </w:rPr>
        <w:endnoteRef/>
      </w:r>
      <w:r w:rsidRPr="00316DDB">
        <w:t xml:space="preserve"> EPCOR Distribution &amp; Transmission Inc.</w:t>
      </w:r>
      <w:r>
        <w:t>,</w:t>
      </w:r>
      <w:r w:rsidRPr="00316DDB">
        <w:t xml:space="preserve"> </w:t>
      </w:r>
      <w:r>
        <w:t>op. cit., 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3B9F0" w14:textId="77777777" w:rsidR="00202563" w:rsidRDefault="00202563" w:rsidP="00D75295">
      <w:r>
        <w:separator/>
      </w:r>
    </w:p>
  </w:footnote>
  <w:footnote w:type="continuationSeparator" w:id="0">
    <w:p w14:paraId="468E2818" w14:textId="77777777" w:rsidR="00202563" w:rsidRDefault="00202563"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5A35A" w14:textId="2F40FFAF" w:rsidR="00E912A2" w:rsidRDefault="00E912A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B4ED2">
      <w:rPr>
        <w:rFonts w:ascii="Arial" w:hAnsi="Arial"/>
        <w:b/>
        <w:noProof/>
      </w:rPr>
      <w:t>12</w:t>
    </w:r>
    <w:r>
      <w:rPr>
        <w:rFonts w:ascii="Arial" w:hAnsi="Arial"/>
        <w:b/>
      </w:rPr>
      <w:fldChar w:fldCharType="end"/>
    </w:r>
    <w:r>
      <w:rPr>
        <w:rFonts w:ascii="Arial" w:hAnsi="Arial"/>
        <w:b/>
      </w:rPr>
      <w:tab/>
    </w:r>
    <w:r w:rsidR="00BF2FBA">
      <w:rPr>
        <w:rFonts w:ascii="Arial" w:hAnsi="Arial"/>
        <w:b/>
      </w:rPr>
      <w:t>9B18M109</w:t>
    </w:r>
  </w:p>
  <w:p w14:paraId="70E8AFEC" w14:textId="77777777" w:rsidR="00E912A2" w:rsidRPr="00C92CC4" w:rsidRDefault="00E912A2">
    <w:pPr>
      <w:pStyle w:val="Header"/>
      <w:rPr>
        <w:sz w:val="18"/>
        <w:szCs w:val="18"/>
      </w:rPr>
    </w:pPr>
  </w:p>
  <w:p w14:paraId="29B1F73B" w14:textId="77777777" w:rsidR="00E912A2" w:rsidRPr="00C92CC4" w:rsidRDefault="00E912A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F5A4C"/>
    <w:multiLevelType w:val="multilevel"/>
    <w:tmpl w:val="B706E6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04B53FDE"/>
    <w:multiLevelType w:val="hybridMultilevel"/>
    <w:tmpl w:val="E8243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2A60EB"/>
    <w:multiLevelType w:val="hybridMultilevel"/>
    <w:tmpl w:val="E5AEC27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4D7040"/>
    <w:multiLevelType w:val="multilevel"/>
    <w:tmpl w:val="1E38C0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882C82"/>
    <w:multiLevelType w:val="hybridMultilevel"/>
    <w:tmpl w:val="72E8A442"/>
    <w:lvl w:ilvl="0" w:tplc="11568ACA">
      <w:start w:val="1"/>
      <w:numFmt w:val="bullet"/>
      <w:lvlText w:val="•"/>
      <w:lvlJc w:val="left"/>
      <w:pPr>
        <w:tabs>
          <w:tab w:val="num" w:pos="720"/>
        </w:tabs>
        <w:ind w:left="720" w:hanging="360"/>
      </w:pPr>
      <w:rPr>
        <w:rFonts w:ascii="Arial" w:hAnsi="Arial" w:hint="default"/>
      </w:rPr>
    </w:lvl>
    <w:lvl w:ilvl="1" w:tplc="F7D2C082" w:tentative="1">
      <w:start w:val="1"/>
      <w:numFmt w:val="bullet"/>
      <w:lvlText w:val="•"/>
      <w:lvlJc w:val="left"/>
      <w:pPr>
        <w:tabs>
          <w:tab w:val="num" w:pos="1440"/>
        </w:tabs>
        <w:ind w:left="1440" w:hanging="360"/>
      </w:pPr>
      <w:rPr>
        <w:rFonts w:ascii="Arial" w:hAnsi="Arial" w:hint="default"/>
      </w:rPr>
    </w:lvl>
    <w:lvl w:ilvl="2" w:tplc="EBA0DEDE" w:tentative="1">
      <w:start w:val="1"/>
      <w:numFmt w:val="bullet"/>
      <w:lvlText w:val="•"/>
      <w:lvlJc w:val="left"/>
      <w:pPr>
        <w:tabs>
          <w:tab w:val="num" w:pos="2160"/>
        </w:tabs>
        <w:ind w:left="2160" w:hanging="360"/>
      </w:pPr>
      <w:rPr>
        <w:rFonts w:ascii="Arial" w:hAnsi="Arial" w:hint="default"/>
      </w:rPr>
    </w:lvl>
    <w:lvl w:ilvl="3" w:tplc="87962552" w:tentative="1">
      <w:start w:val="1"/>
      <w:numFmt w:val="bullet"/>
      <w:lvlText w:val="•"/>
      <w:lvlJc w:val="left"/>
      <w:pPr>
        <w:tabs>
          <w:tab w:val="num" w:pos="2880"/>
        </w:tabs>
        <w:ind w:left="2880" w:hanging="360"/>
      </w:pPr>
      <w:rPr>
        <w:rFonts w:ascii="Arial" w:hAnsi="Arial" w:hint="default"/>
      </w:rPr>
    </w:lvl>
    <w:lvl w:ilvl="4" w:tplc="3A6A55E6" w:tentative="1">
      <w:start w:val="1"/>
      <w:numFmt w:val="bullet"/>
      <w:lvlText w:val="•"/>
      <w:lvlJc w:val="left"/>
      <w:pPr>
        <w:tabs>
          <w:tab w:val="num" w:pos="3600"/>
        </w:tabs>
        <w:ind w:left="3600" w:hanging="360"/>
      </w:pPr>
      <w:rPr>
        <w:rFonts w:ascii="Arial" w:hAnsi="Arial" w:hint="default"/>
      </w:rPr>
    </w:lvl>
    <w:lvl w:ilvl="5" w:tplc="AF0866FC" w:tentative="1">
      <w:start w:val="1"/>
      <w:numFmt w:val="bullet"/>
      <w:lvlText w:val="•"/>
      <w:lvlJc w:val="left"/>
      <w:pPr>
        <w:tabs>
          <w:tab w:val="num" w:pos="4320"/>
        </w:tabs>
        <w:ind w:left="4320" w:hanging="360"/>
      </w:pPr>
      <w:rPr>
        <w:rFonts w:ascii="Arial" w:hAnsi="Arial" w:hint="default"/>
      </w:rPr>
    </w:lvl>
    <w:lvl w:ilvl="6" w:tplc="325C5768" w:tentative="1">
      <w:start w:val="1"/>
      <w:numFmt w:val="bullet"/>
      <w:lvlText w:val="•"/>
      <w:lvlJc w:val="left"/>
      <w:pPr>
        <w:tabs>
          <w:tab w:val="num" w:pos="5040"/>
        </w:tabs>
        <w:ind w:left="5040" w:hanging="360"/>
      </w:pPr>
      <w:rPr>
        <w:rFonts w:ascii="Arial" w:hAnsi="Arial" w:hint="default"/>
      </w:rPr>
    </w:lvl>
    <w:lvl w:ilvl="7" w:tplc="C21C586C" w:tentative="1">
      <w:start w:val="1"/>
      <w:numFmt w:val="bullet"/>
      <w:lvlText w:val="•"/>
      <w:lvlJc w:val="left"/>
      <w:pPr>
        <w:tabs>
          <w:tab w:val="num" w:pos="5760"/>
        </w:tabs>
        <w:ind w:left="5760" w:hanging="360"/>
      </w:pPr>
      <w:rPr>
        <w:rFonts w:ascii="Arial" w:hAnsi="Arial" w:hint="default"/>
      </w:rPr>
    </w:lvl>
    <w:lvl w:ilvl="8" w:tplc="A10CE7F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2124628"/>
    <w:multiLevelType w:val="multilevel"/>
    <w:tmpl w:val="5134A4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155651"/>
    <w:multiLevelType w:val="hybridMultilevel"/>
    <w:tmpl w:val="73004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68F3C36"/>
    <w:multiLevelType w:val="hybridMultilevel"/>
    <w:tmpl w:val="56E86D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AF17435"/>
    <w:multiLevelType w:val="multilevel"/>
    <w:tmpl w:val="B2B681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2C41D12"/>
    <w:multiLevelType w:val="multilevel"/>
    <w:tmpl w:val="FF1679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4B80E13"/>
    <w:multiLevelType w:val="hybridMultilevel"/>
    <w:tmpl w:val="55B8C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0" w15:restartNumberingAfterBreak="0">
    <w:nsid w:val="4BAB1446"/>
    <w:multiLevelType w:val="hybridMultilevel"/>
    <w:tmpl w:val="0EBEE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2140E7"/>
    <w:multiLevelType w:val="multilevel"/>
    <w:tmpl w:val="2C9CEA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15:restartNumberingAfterBreak="0">
    <w:nsid w:val="51951673"/>
    <w:multiLevelType w:val="hybridMultilevel"/>
    <w:tmpl w:val="01AA5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6D323A2"/>
    <w:multiLevelType w:val="multilevel"/>
    <w:tmpl w:val="4D7E46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15:restartNumberingAfterBreak="0">
    <w:nsid w:val="57255EF4"/>
    <w:multiLevelType w:val="multilevel"/>
    <w:tmpl w:val="F5681E4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7"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8"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9" w15:restartNumberingAfterBreak="0">
    <w:nsid w:val="6DDF567F"/>
    <w:multiLevelType w:val="multilevel"/>
    <w:tmpl w:val="26F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843CA3"/>
    <w:multiLevelType w:val="multilevel"/>
    <w:tmpl w:val="164806D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9"/>
  </w:num>
  <w:num w:numId="13">
    <w:abstractNumId w:val="15"/>
  </w:num>
  <w:num w:numId="14">
    <w:abstractNumId w:val="33"/>
  </w:num>
  <w:num w:numId="15">
    <w:abstractNumId w:val="36"/>
  </w:num>
  <w:num w:numId="16">
    <w:abstractNumId w:val="37"/>
  </w:num>
  <w:num w:numId="17">
    <w:abstractNumId w:val="21"/>
  </w:num>
  <w:num w:numId="18">
    <w:abstractNumId w:val="38"/>
  </w:num>
  <w:num w:numId="19">
    <w:abstractNumId w:val="14"/>
  </w:num>
  <w:num w:numId="20">
    <w:abstractNumId w:val="13"/>
  </w:num>
  <w:num w:numId="21">
    <w:abstractNumId w:val="41"/>
  </w:num>
  <w:num w:numId="22">
    <w:abstractNumId w:val="27"/>
  </w:num>
  <w:num w:numId="23">
    <w:abstractNumId w:val="4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9"/>
  </w:num>
  <w:num w:numId="27">
    <w:abstractNumId w:val="25"/>
  </w:num>
  <w:num w:numId="28">
    <w:abstractNumId w:val="34"/>
  </w:num>
  <w:num w:numId="29">
    <w:abstractNumId w:val="10"/>
  </w:num>
  <w:num w:numId="30">
    <w:abstractNumId w:val="24"/>
  </w:num>
  <w:num w:numId="31">
    <w:abstractNumId w:val="16"/>
  </w:num>
  <w:num w:numId="32">
    <w:abstractNumId w:val="35"/>
  </w:num>
  <w:num w:numId="33">
    <w:abstractNumId w:val="40"/>
  </w:num>
  <w:num w:numId="34">
    <w:abstractNumId w:val="31"/>
  </w:num>
  <w:num w:numId="35">
    <w:abstractNumId w:val="26"/>
  </w:num>
  <w:num w:numId="36">
    <w:abstractNumId w:val="12"/>
  </w:num>
  <w:num w:numId="37">
    <w:abstractNumId w:val="18"/>
  </w:num>
  <w:num w:numId="38">
    <w:abstractNumId w:val="28"/>
  </w:num>
  <w:num w:numId="39">
    <w:abstractNumId w:val="23"/>
  </w:num>
  <w:num w:numId="40">
    <w:abstractNumId w:val="39"/>
  </w:num>
  <w:num w:numId="41">
    <w:abstractNumId w:val="20"/>
  </w:num>
  <w:num w:numId="42">
    <w:abstractNumId w:val="11"/>
  </w:num>
  <w:num w:numId="43">
    <w:abstractNumId w:val="30"/>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5C1"/>
    <w:rsid w:val="00013360"/>
    <w:rsid w:val="00013C69"/>
    <w:rsid w:val="000216CE"/>
    <w:rsid w:val="00025DC7"/>
    <w:rsid w:val="00026486"/>
    <w:rsid w:val="00044ECC"/>
    <w:rsid w:val="00051B42"/>
    <w:rsid w:val="000531D3"/>
    <w:rsid w:val="0005646B"/>
    <w:rsid w:val="00072D5D"/>
    <w:rsid w:val="00075F71"/>
    <w:rsid w:val="0008102D"/>
    <w:rsid w:val="0009266C"/>
    <w:rsid w:val="00094C0E"/>
    <w:rsid w:val="000F0C22"/>
    <w:rsid w:val="000F5197"/>
    <w:rsid w:val="000F6B09"/>
    <w:rsid w:val="000F6FDC"/>
    <w:rsid w:val="00101ABE"/>
    <w:rsid w:val="00104567"/>
    <w:rsid w:val="0012732D"/>
    <w:rsid w:val="00136BE9"/>
    <w:rsid w:val="00154FC9"/>
    <w:rsid w:val="00157D5C"/>
    <w:rsid w:val="001746DE"/>
    <w:rsid w:val="00186D4A"/>
    <w:rsid w:val="001878C4"/>
    <w:rsid w:val="0019241A"/>
    <w:rsid w:val="001A5335"/>
    <w:rsid w:val="001A752D"/>
    <w:rsid w:val="001B1452"/>
    <w:rsid w:val="001C1F03"/>
    <w:rsid w:val="001C6501"/>
    <w:rsid w:val="001E74CE"/>
    <w:rsid w:val="001F04D7"/>
    <w:rsid w:val="00202563"/>
    <w:rsid w:val="00203AA1"/>
    <w:rsid w:val="00213E98"/>
    <w:rsid w:val="00216C6F"/>
    <w:rsid w:val="00234D71"/>
    <w:rsid w:val="00271866"/>
    <w:rsid w:val="0029268F"/>
    <w:rsid w:val="002B07F6"/>
    <w:rsid w:val="002B4ED2"/>
    <w:rsid w:val="002C2C04"/>
    <w:rsid w:val="002C4A3E"/>
    <w:rsid w:val="002C5CD0"/>
    <w:rsid w:val="002C5DDF"/>
    <w:rsid w:val="002E32F0"/>
    <w:rsid w:val="002F460C"/>
    <w:rsid w:val="002F48D6"/>
    <w:rsid w:val="003070FC"/>
    <w:rsid w:val="00336F19"/>
    <w:rsid w:val="00340767"/>
    <w:rsid w:val="00343565"/>
    <w:rsid w:val="00354899"/>
    <w:rsid w:val="00355FD6"/>
    <w:rsid w:val="00360100"/>
    <w:rsid w:val="00361C8E"/>
    <w:rsid w:val="00364A5C"/>
    <w:rsid w:val="00373FB1"/>
    <w:rsid w:val="00384996"/>
    <w:rsid w:val="00386732"/>
    <w:rsid w:val="003B0755"/>
    <w:rsid w:val="003B30D8"/>
    <w:rsid w:val="003B7499"/>
    <w:rsid w:val="003B7EF2"/>
    <w:rsid w:val="003C3FA4"/>
    <w:rsid w:val="003C4FCF"/>
    <w:rsid w:val="003E6927"/>
    <w:rsid w:val="003F2B0C"/>
    <w:rsid w:val="004221E4"/>
    <w:rsid w:val="004331A6"/>
    <w:rsid w:val="00471088"/>
    <w:rsid w:val="00483AF9"/>
    <w:rsid w:val="004B1CCB"/>
    <w:rsid w:val="004D73A5"/>
    <w:rsid w:val="00500869"/>
    <w:rsid w:val="00516A05"/>
    <w:rsid w:val="00521D98"/>
    <w:rsid w:val="00532CF5"/>
    <w:rsid w:val="005528CB"/>
    <w:rsid w:val="00566771"/>
    <w:rsid w:val="0056715F"/>
    <w:rsid w:val="00581E2E"/>
    <w:rsid w:val="00584F15"/>
    <w:rsid w:val="00587975"/>
    <w:rsid w:val="00595A92"/>
    <w:rsid w:val="00597788"/>
    <w:rsid w:val="005D161E"/>
    <w:rsid w:val="005D6960"/>
    <w:rsid w:val="00605A27"/>
    <w:rsid w:val="00607DAA"/>
    <w:rsid w:val="006163F7"/>
    <w:rsid w:val="00627DA5"/>
    <w:rsid w:val="00652606"/>
    <w:rsid w:val="00662701"/>
    <w:rsid w:val="00682754"/>
    <w:rsid w:val="00686829"/>
    <w:rsid w:val="00690E95"/>
    <w:rsid w:val="006A2C77"/>
    <w:rsid w:val="006A58A9"/>
    <w:rsid w:val="006A606D"/>
    <w:rsid w:val="006B7F7A"/>
    <w:rsid w:val="006C0371"/>
    <w:rsid w:val="006C08B6"/>
    <w:rsid w:val="006C0B1A"/>
    <w:rsid w:val="006C4384"/>
    <w:rsid w:val="006C6065"/>
    <w:rsid w:val="006C7F9F"/>
    <w:rsid w:val="006D2041"/>
    <w:rsid w:val="006E2F6D"/>
    <w:rsid w:val="006E58F6"/>
    <w:rsid w:val="006E62B0"/>
    <w:rsid w:val="006E77E1"/>
    <w:rsid w:val="006F131D"/>
    <w:rsid w:val="007155E6"/>
    <w:rsid w:val="0072213B"/>
    <w:rsid w:val="00732A3A"/>
    <w:rsid w:val="00752BCD"/>
    <w:rsid w:val="00766DA1"/>
    <w:rsid w:val="00773EBC"/>
    <w:rsid w:val="00785A46"/>
    <w:rsid w:val="007866A6"/>
    <w:rsid w:val="007A130D"/>
    <w:rsid w:val="007B34DF"/>
    <w:rsid w:val="007C2473"/>
    <w:rsid w:val="007C4BDF"/>
    <w:rsid w:val="007D4102"/>
    <w:rsid w:val="007D5F8B"/>
    <w:rsid w:val="007E4763"/>
    <w:rsid w:val="007E5921"/>
    <w:rsid w:val="007F51FC"/>
    <w:rsid w:val="008017E6"/>
    <w:rsid w:val="00821FFC"/>
    <w:rsid w:val="008260C7"/>
    <w:rsid w:val="008271CA"/>
    <w:rsid w:val="00840C8C"/>
    <w:rsid w:val="008467D5"/>
    <w:rsid w:val="00856D9F"/>
    <w:rsid w:val="008575B3"/>
    <w:rsid w:val="008618F0"/>
    <w:rsid w:val="0086229E"/>
    <w:rsid w:val="0086489F"/>
    <w:rsid w:val="00866F6D"/>
    <w:rsid w:val="00872F64"/>
    <w:rsid w:val="008A4DC4"/>
    <w:rsid w:val="008B3863"/>
    <w:rsid w:val="008D52AE"/>
    <w:rsid w:val="008F0981"/>
    <w:rsid w:val="00905EDF"/>
    <w:rsid w:val="009067A4"/>
    <w:rsid w:val="0090722E"/>
    <w:rsid w:val="009179DB"/>
    <w:rsid w:val="009340DB"/>
    <w:rsid w:val="00961986"/>
    <w:rsid w:val="00972498"/>
    <w:rsid w:val="00974CC6"/>
    <w:rsid w:val="00976AD4"/>
    <w:rsid w:val="00977F43"/>
    <w:rsid w:val="00997AE0"/>
    <w:rsid w:val="009A312F"/>
    <w:rsid w:val="009A5348"/>
    <w:rsid w:val="009A67BB"/>
    <w:rsid w:val="009C76D5"/>
    <w:rsid w:val="009D210F"/>
    <w:rsid w:val="009F60CB"/>
    <w:rsid w:val="009F7AA4"/>
    <w:rsid w:val="00A16C7F"/>
    <w:rsid w:val="00A251A4"/>
    <w:rsid w:val="00A559DB"/>
    <w:rsid w:val="00A619A1"/>
    <w:rsid w:val="00AB27A8"/>
    <w:rsid w:val="00AC020C"/>
    <w:rsid w:val="00AC5DC7"/>
    <w:rsid w:val="00AF35FC"/>
    <w:rsid w:val="00B03639"/>
    <w:rsid w:val="00B04C2E"/>
    <w:rsid w:val="00B0652A"/>
    <w:rsid w:val="00B25273"/>
    <w:rsid w:val="00B3757D"/>
    <w:rsid w:val="00B40020"/>
    <w:rsid w:val="00B40937"/>
    <w:rsid w:val="00B423EF"/>
    <w:rsid w:val="00B43BDC"/>
    <w:rsid w:val="00B449D7"/>
    <w:rsid w:val="00B453DE"/>
    <w:rsid w:val="00B4742F"/>
    <w:rsid w:val="00B713CB"/>
    <w:rsid w:val="00B74387"/>
    <w:rsid w:val="00B827B9"/>
    <w:rsid w:val="00B901F9"/>
    <w:rsid w:val="00BC1ACC"/>
    <w:rsid w:val="00BC40B2"/>
    <w:rsid w:val="00BC7466"/>
    <w:rsid w:val="00BD37C1"/>
    <w:rsid w:val="00BD6EFB"/>
    <w:rsid w:val="00BE78DB"/>
    <w:rsid w:val="00BF2FBA"/>
    <w:rsid w:val="00C15BE2"/>
    <w:rsid w:val="00C22219"/>
    <w:rsid w:val="00C3447F"/>
    <w:rsid w:val="00C57568"/>
    <w:rsid w:val="00C63378"/>
    <w:rsid w:val="00C81491"/>
    <w:rsid w:val="00C81676"/>
    <w:rsid w:val="00C86EAB"/>
    <w:rsid w:val="00C92CC4"/>
    <w:rsid w:val="00CA0AFB"/>
    <w:rsid w:val="00CA2CE1"/>
    <w:rsid w:val="00CA3976"/>
    <w:rsid w:val="00CA6CA2"/>
    <w:rsid w:val="00CA757B"/>
    <w:rsid w:val="00CB629F"/>
    <w:rsid w:val="00CC1787"/>
    <w:rsid w:val="00CC182C"/>
    <w:rsid w:val="00CC4AB9"/>
    <w:rsid w:val="00CD0824"/>
    <w:rsid w:val="00CD1F01"/>
    <w:rsid w:val="00CD2908"/>
    <w:rsid w:val="00CE2436"/>
    <w:rsid w:val="00D03A82"/>
    <w:rsid w:val="00D129C2"/>
    <w:rsid w:val="00D15344"/>
    <w:rsid w:val="00D31BEC"/>
    <w:rsid w:val="00D4077E"/>
    <w:rsid w:val="00D54C93"/>
    <w:rsid w:val="00D63150"/>
    <w:rsid w:val="00D64A32"/>
    <w:rsid w:val="00D64EFC"/>
    <w:rsid w:val="00D75295"/>
    <w:rsid w:val="00D76CE9"/>
    <w:rsid w:val="00D8015D"/>
    <w:rsid w:val="00D873A1"/>
    <w:rsid w:val="00D97F12"/>
    <w:rsid w:val="00DB3F7E"/>
    <w:rsid w:val="00DB42E7"/>
    <w:rsid w:val="00DC4474"/>
    <w:rsid w:val="00DC75C1"/>
    <w:rsid w:val="00DF32C2"/>
    <w:rsid w:val="00E0493E"/>
    <w:rsid w:val="00E471A7"/>
    <w:rsid w:val="00E635CF"/>
    <w:rsid w:val="00E709A6"/>
    <w:rsid w:val="00E743D3"/>
    <w:rsid w:val="00E76BC1"/>
    <w:rsid w:val="00E912A2"/>
    <w:rsid w:val="00EB5410"/>
    <w:rsid w:val="00EC6E0A"/>
    <w:rsid w:val="00ED4E18"/>
    <w:rsid w:val="00EE1F37"/>
    <w:rsid w:val="00EE680D"/>
    <w:rsid w:val="00F0159C"/>
    <w:rsid w:val="00F105B7"/>
    <w:rsid w:val="00F17A21"/>
    <w:rsid w:val="00F22BE5"/>
    <w:rsid w:val="00F23D09"/>
    <w:rsid w:val="00F3304C"/>
    <w:rsid w:val="00F50E91"/>
    <w:rsid w:val="00F52E90"/>
    <w:rsid w:val="00F57D29"/>
    <w:rsid w:val="00F92A99"/>
    <w:rsid w:val="00F96201"/>
    <w:rsid w:val="00FA5541"/>
    <w:rsid w:val="00FC30E9"/>
    <w:rsid w:val="00FD01F9"/>
    <w:rsid w:val="00FD0B18"/>
    <w:rsid w:val="00FD0F82"/>
    <w:rsid w:val="00FD53AA"/>
    <w:rsid w:val="00FE714F"/>
    <w:rsid w:val="00FF7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4C4A08C"/>
  <w15:docId w15:val="{1C8E5C85-6C19-7D4E-8567-35B6656E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04C2E"/>
    <w:pPr>
      <w:keepNext/>
      <w:spacing w:before="240" w:after="60"/>
      <w:outlineLvl w:val="0"/>
    </w:pPr>
    <w:rPr>
      <w:rFonts w:ascii="Arial" w:eastAsiaTheme="majorEastAsia" w:hAnsi="Arial" w:cs="Arial"/>
      <w:b/>
      <w:bCs/>
      <w:caps/>
      <w:kern w:val="32"/>
      <w:szCs w:val="32"/>
      <w:lang w:bidi="en-US"/>
    </w:rPr>
  </w:style>
  <w:style w:type="paragraph" w:styleId="Heading2">
    <w:name w:val="heading 2"/>
    <w:basedOn w:val="Normal"/>
    <w:next w:val="Normal"/>
    <w:link w:val="Heading2Char"/>
    <w:uiPriority w:val="9"/>
    <w:unhideWhenUsed/>
    <w:qFormat/>
    <w:rsid w:val="00B04C2E"/>
    <w:pPr>
      <w:keepNext/>
      <w:spacing w:before="240" w:after="60"/>
      <w:outlineLvl w:val="1"/>
    </w:pPr>
    <w:rPr>
      <w:rFonts w:ascii="Arial" w:eastAsiaTheme="majorEastAsia" w:hAnsi="Arial" w:cs="Arial"/>
      <w:b/>
      <w:bCs/>
      <w:iCs/>
      <w:szCs w:val="28"/>
      <w:lang w:bidi="en-US"/>
    </w:rPr>
  </w:style>
  <w:style w:type="paragraph" w:styleId="Heading3">
    <w:name w:val="heading 3"/>
    <w:basedOn w:val="Normal"/>
    <w:next w:val="Normal"/>
    <w:link w:val="Heading3Char"/>
    <w:uiPriority w:val="9"/>
    <w:unhideWhenUsed/>
    <w:qFormat/>
    <w:rsid w:val="00B04C2E"/>
    <w:pPr>
      <w:keepNext/>
      <w:spacing w:before="240" w:after="60"/>
      <w:outlineLvl w:val="2"/>
    </w:pPr>
    <w:rPr>
      <w:rFonts w:asciiTheme="majorHAnsi" w:eastAsiaTheme="majorEastAsia" w:hAnsiTheme="majorHAnsi" w:cs="Cambria"/>
      <w:b/>
      <w:bCs/>
      <w:sz w:val="26"/>
      <w:szCs w:val="26"/>
      <w:lang w:bidi="en-US"/>
    </w:rPr>
  </w:style>
  <w:style w:type="paragraph" w:styleId="Heading4">
    <w:name w:val="heading 4"/>
    <w:basedOn w:val="Normal"/>
    <w:next w:val="Normal"/>
    <w:link w:val="Heading4Char"/>
    <w:uiPriority w:val="9"/>
    <w:unhideWhenUsed/>
    <w:qFormat/>
    <w:rsid w:val="00B04C2E"/>
    <w:pPr>
      <w:keepNext/>
      <w:spacing w:before="240" w:after="60"/>
      <w:outlineLvl w:val="3"/>
    </w:pPr>
    <w:rPr>
      <w:rFonts w:eastAsiaTheme="minorEastAsia"/>
      <w:b/>
      <w:bCs/>
      <w:sz w:val="28"/>
      <w:szCs w:val="28"/>
      <w:lang w:bidi="en-US"/>
    </w:rPr>
  </w:style>
  <w:style w:type="paragraph" w:styleId="Heading5">
    <w:name w:val="heading 5"/>
    <w:basedOn w:val="Normal"/>
    <w:next w:val="Normal"/>
    <w:link w:val="Heading5Char"/>
    <w:uiPriority w:val="9"/>
    <w:unhideWhenUsed/>
    <w:qFormat/>
    <w:rsid w:val="00B04C2E"/>
    <w:pPr>
      <w:spacing w:before="240" w:after="60"/>
      <w:outlineLvl w:val="4"/>
    </w:pPr>
    <w:rPr>
      <w:rFonts w:eastAsiaTheme="minorEastAsia"/>
      <w:b/>
      <w:bCs/>
      <w:i/>
      <w:iCs/>
      <w:sz w:val="26"/>
      <w:szCs w:val="26"/>
      <w:lang w:bidi="en-US"/>
    </w:rPr>
  </w:style>
  <w:style w:type="paragraph" w:styleId="Heading6">
    <w:name w:val="heading 6"/>
    <w:basedOn w:val="Normal"/>
    <w:next w:val="Normal"/>
    <w:link w:val="Heading6Char"/>
    <w:uiPriority w:val="9"/>
    <w:unhideWhenUsed/>
    <w:qFormat/>
    <w:rsid w:val="00B04C2E"/>
    <w:pPr>
      <w:spacing w:before="240" w:after="60"/>
      <w:outlineLvl w:val="5"/>
    </w:pPr>
    <w:rPr>
      <w:rFonts w:eastAsiaTheme="minorEastAsia"/>
      <w:b/>
      <w:bCs/>
      <w:sz w:val="22"/>
      <w:szCs w:val="22"/>
      <w:lang w:bidi="en-US"/>
    </w:rPr>
  </w:style>
  <w:style w:type="paragraph" w:styleId="Heading7">
    <w:name w:val="heading 7"/>
    <w:basedOn w:val="Normal"/>
    <w:next w:val="Normal"/>
    <w:link w:val="Heading7Char"/>
    <w:uiPriority w:val="9"/>
    <w:semiHidden/>
    <w:unhideWhenUsed/>
    <w:qFormat/>
    <w:rsid w:val="00B04C2E"/>
    <w:pPr>
      <w:spacing w:before="240" w:after="60"/>
      <w:outlineLvl w:val="6"/>
    </w:pPr>
    <w:rPr>
      <w:rFonts w:eastAsiaTheme="minorEastAsia"/>
      <w:sz w:val="22"/>
      <w:szCs w:val="24"/>
      <w:lang w:bidi="en-US"/>
    </w:rPr>
  </w:style>
  <w:style w:type="paragraph" w:styleId="Heading8">
    <w:name w:val="heading 8"/>
    <w:basedOn w:val="Normal"/>
    <w:next w:val="Normal"/>
    <w:link w:val="Heading8Char"/>
    <w:uiPriority w:val="9"/>
    <w:semiHidden/>
    <w:unhideWhenUsed/>
    <w:qFormat/>
    <w:rsid w:val="00B04C2E"/>
    <w:pPr>
      <w:spacing w:before="240" w:after="60"/>
      <w:outlineLvl w:val="7"/>
    </w:pPr>
    <w:rPr>
      <w:rFonts w:eastAsiaTheme="minorEastAsia"/>
      <w:i/>
      <w:iCs/>
      <w:sz w:val="22"/>
      <w:szCs w:val="24"/>
      <w:lang w:bidi="en-US"/>
    </w:rPr>
  </w:style>
  <w:style w:type="paragraph" w:styleId="Heading9">
    <w:name w:val="heading 9"/>
    <w:basedOn w:val="Normal"/>
    <w:next w:val="Normal"/>
    <w:link w:val="Heading9Char"/>
    <w:uiPriority w:val="9"/>
    <w:semiHidden/>
    <w:unhideWhenUsed/>
    <w:qFormat/>
    <w:rsid w:val="00B04C2E"/>
    <w:pPr>
      <w:spacing w:before="240" w:after="60"/>
      <w:outlineLvl w:val="8"/>
    </w:pPr>
    <w:rPr>
      <w:rFonts w:asciiTheme="majorHAnsi" w:eastAsiaTheme="majorEastAsia" w:hAnsiTheme="majorHAns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1Char">
    <w:name w:val="Heading 1 Char"/>
    <w:basedOn w:val="DefaultParagraphFont"/>
    <w:link w:val="Heading1"/>
    <w:uiPriority w:val="9"/>
    <w:rsid w:val="00B04C2E"/>
    <w:rPr>
      <w:rFonts w:ascii="Arial" w:eastAsiaTheme="majorEastAsia" w:hAnsi="Arial" w:cs="Arial"/>
      <w:b/>
      <w:bCs/>
      <w:caps/>
      <w:kern w:val="32"/>
      <w:sz w:val="20"/>
      <w:szCs w:val="32"/>
      <w:lang w:bidi="en-US"/>
    </w:rPr>
  </w:style>
  <w:style w:type="character" w:customStyle="1" w:styleId="Heading2Char">
    <w:name w:val="Heading 2 Char"/>
    <w:basedOn w:val="DefaultParagraphFont"/>
    <w:link w:val="Heading2"/>
    <w:uiPriority w:val="9"/>
    <w:rsid w:val="00B04C2E"/>
    <w:rPr>
      <w:rFonts w:ascii="Arial" w:eastAsiaTheme="majorEastAsia" w:hAnsi="Arial" w:cs="Arial"/>
      <w:b/>
      <w:bCs/>
      <w:iCs/>
      <w:sz w:val="20"/>
      <w:szCs w:val="28"/>
      <w:lang w:bidi="en-US"/>
    </w:rPr>
  </w:style>
  <w:style w:type="character" w:customStyle="1" w:styleId="Heading3Char">
    <w:name w:val="Heading 3 Char"/>
    <w:basedOn w:val="DefaultParagraphFont"/>
    <w:link w:val="Heading3"/>
    <w:uiPriority w:val="9"/>
    <w:rsid w:val="00B04C2E"/>
    <w:rPr>
      <w:rFonts w:asciiTheme="majorHAnsi" w:eastAsiaTheme="majorEastAsia" w:hAnsiTheme="majorHAnsi" w:cs="Cambria"/>
      <w:b/>
      <w:bCs/>
      <w:sz w:val="26"/>
      <w:szCs w:val="26"/>
      <w:lang w:bidi="en-US"/>
    </w:rPr>
  </w:style>
  <w:style w:type="character" w:customStyle="1" w:styleId="Heading4Char">
    <w:name w:val="Heading 4 Char"/>
    <w:basedOn w:val="DefaultParagraphFont"/>
    <w:link w:val="Heading4"/>
    <w:uiPriority w:val="9"/>
    <w:rsid w:val="00B04C2E"/>
    <w:rPr>
      <w:rFonts w:ascii="Times New Roman" w:eastAsiaTheme="minorEastAsia" w:hAnsi="Times New Roman" w:cs="Times New Roman"/>
      <w:b/>
      <w:bCs/>
      <w:sz w:val="28"/>
      <w:szCs w:val="28"/>
      <w:lang w:bidi="en-US"/>
    </w:rPr>
  </w:style>
  <w:style w:type="character" w:customStyle="1" w:styleId="Heading5Char">
    <w:name w:val="Heading 5 Char"/>
    <w:basedOn w:val="DefaultParagraphFont"/>
    <w:link w:val="Heading5"/>
    <w:uiPriority w:val="9"/>
    <w:rsid w:val="00B04C2E"/>
    <w:rPr>
      <w:rFonts w:ascii="Times New Roman" w:eastAsiaTheme="minorEastAsia" w:hAnsi="Times New Roman" w:cs="Times New Roman"/>
      <w:b/>
      <w:bCs/>
      <w:i/>
      <w:iCs/>
      <w:sz w:val="26"/>
      <w:szCs w:val="26"/>
      <w:lang w:bidi="en-US"/>
    </w:rPr>
  </w:style>
  <w:style w:type="character" w:customStyle="1" w:styleId="Heading6Char">
    <w:name w:val="Heading 6 Char"/>
    <w:basedOn w:val="DefaultParagraphFont"/>
    <w:link w:val="Heading6"/>
    <w:uiPriority w:val="9"/>
    <w:rsid w:val="00B04C2E"/>
    <w:rPr>
      <w:rFonts w:ascii="Times New Roman" w:eastAsiaTheme="minorEastAsia" w:hAnsi="Times New Roman" w:cs="Times New Roman"/>
      <w:b/>
      <w:bCs/>
      <w:lang w:bidi="en-US"/>
    </w:rPr>
  </w:style>
  <w:style w:type="character" w:customStyle="1" w:styleId="Heading7Char">
    <w:name w:val="Heading 7 Char"/>
    <w:basedOn w:val="DefaultParagraphFont"/>
    <w:link w:val="Heading7"/>
    <w:uiPriority w:val="9"/>
    <w:semiHidden/>
    <w:rsid w:val="00B04C2E"/>
    <w:rPr>
      <w:rFonts w:ascii="Times New Roman" w:eastAsiaTheme="minorEastAsia" w:hAnsi="Times New Roman" w:cs="Times New Roman"/>
      <w:szCs w:val="24"/>
      <w:lang w:bidi="en-US"/>
    </w:rPr>
  </w:style>
  <w:style w:type="character" w:customStyle="1" w:styleId="Heading8Char">
    <w:name w:val="Heading 8 Char"/>
    <w:basedOn w:val="DefaultParagraphFont"/>
    <w:link w:val="Heading8"/>
    <w:uiPriority w:val="9"/>
    <w:semiHidden/>
    <w:rsid w:val="00B04C2E"/>
    <w:rPr>
      <w:rFonts w:ascii="Times New Roman" w:eastAsiaTheme="minorEastAsia" w:hAnsi="Times New Roman" w:cs="Times New Roman"/>
      <w:i/>
      <w:iCs/>
      <w:szCs w:val="24"/>
      <w:lang w:bidi="en-US"/>
    </w:rPr>
  </w:style>
  <w:style w:type="character" w:customStyle="1" w:styleId="Heading9Char">
    <w:name w:val="Heading 9 Char"/>
    <w:basedOn w:val="DefaultParagraphFont"/>
    <w:link w:val="Heading9"/>
    <w:uiPriority w:val="9"/>
    <w:semiHidden/>
    <w:rsid w:val="00B04C2E"/>
    <w:rPr>
      <w:rFonts w:asciiTheme="majorHAnsi" w:eastAsiaTheme="majorEastAsia" w:hAnsiTheme="majorHAnsi" w:cs="Times New Roman"/>
      <w:lang w:bidi="en-US"/>
    </w:rPr>
  </w:style>
  <w:style w:type="numbering" w:customStyle="1" w:styleId="NoList2">
    <w:name w:val="No List2"/>
    <w:next w:val="NoList"/>
    <w:uiPriority w:val="99"/>
    <w:semiHidden/>
    <w:unhideWhenUsed/>
    <w:rsid w:val="00B04C2E"/>
  </w:style>
  <w:style w:type="paragraph" w:customStyle="1" w:styleId="Normal1">
    <w:name w:val="Normal1"/>
    <w:rsid w:val="00B04C2E"/>
    <w:rPr>
      <w:rFonts w:eastAsiaTheme="minorEastAsia" w:cs="Times New Roman"/>
      <w:lang w:bidi="en-US"/>
    </w:rPr>
  </w:style>
  <w:style w:type="paragraph" w:styleId="Title">
    <w:name w:val="Title"/>
    <w:basedOn w:val="Normal"/>
    <w:next w:val="Normal"/>
    <w:link w:val="TitleChar"/>
    <w:uiPriority w:val="10"/>
    <w:qFormat/>
    <w:rsid w:val="00B04C2E"/>
    <w:pPr>
      <w:spacing w:before="240" w:after="60"/>
      <w:jc w:val="center"/>
      <w:outlineLvl w:val="0"/>
    </w:pPr>
    <w:rPr>
      <w:rFonts w:asciiTheme="majorHAnsi" w:eastAsiaTheme="majorEastAsia" w:hAnsiTheme="majorHAnsi" w:cs="Cambria"/>
      <w:b/>
      <w:bCs/>
      <w:kern w:val="28"/>
      <w:sz w:val="32"/>
      <w:szCs w:val="32"/>
      <w:lang w:bidi="en-US"/>
    </w:rPr>
  </w:style>
  <w:style w:type="character" w:customStyle="1" w:styleId="TitleChar">
    <w:name w:val="Title Char"/>
    <w:basedOn w:val="DefaultParagraphFont"/>
    <w:link w:val="Title"/>
    <w:uiPriority w:val="10"/>
    <w:rsid w:val="00B04C2E"/>
    <w:rPr>
      <w:rFonts w:asciiTheme="majorHAnsi" w:eastAsiaTheme="majorEastAsia" w:hAnsiTheme="majorHAnsi" w:cs="Cambria"/>
      <w:b/>
      <w:bCs/>
      <w:kern w:val="28"/>
      <w:sz w:val="32"/>
      <w:szCs w:val="32"/>
      <w:lang w:bidi="en-US"/>
    </w:rPr>
  </w:style>
  <w:style w:type="paragraph" w:styleId="Subtitle">
    <w:name w:val="Subtitle"/>
    <w:basedOn w:val="Normal"/>
    <w:next w:val="Normal"/>
    <w:link w:val="SubtitleChar"/>
    <w:uiPriority w:val="11"/>
    <w:qFormat/>
    <w:rsid w:val="00B04C2E"/>
    <w:pPr>
      <w:spacing w:after="60"/>
      <w:jc w:val="center"/>
      <w:outlineLvl w:val="1"/>
    </w:pPr>
    <w:rPr>
      <w:rFonts w:asciiTheme="majorHAnsi" w:eastAsiaTheme="majorEastAsia" w:hAnsiTheme="majorHAnsi" w:cs="Cambria"/>
      <w:sz w:val="22"/>
      <w:szCs w:val="24"/>
      <w:lang w:bidi="en-US"/>
    </w:rPr>
  </w:style>
  <w:style w:type="character" w:customStyle="1" w:styleId="SubtitleChar">
    <w:name w:val="Subtitle Char"/>
    <w:basedOn w:val="DefaultParagraphFont"/>
    <w:link w:val="Subtitle"/>
    <w:uiPriority w:val="11"/>
    <w:rsid w:val="00B04C2E"/>
    <w:rPr>
      <w:rFonts w:asciiTheme="majorHAnsi" w:eastAsiaTheme="majorEastAsia" w:hAnsiTheme="majorHAnsi" w:cs="Cambria"/>
      <w:szCs w:val="24"/>
      <w:lang w:bidi="en-US"/>
    </w:rPr>
  </w:style>
  <w:style w:type="table" w:customStyle="1" w:styleId="TableGrid1">
    <w:name w:val="Table Grid1"/>
    <w:basedOn w:val="TableNormal"/>
    <w:next w:val="TableGrid"/>
    <w:uiPriority w:val="59"/>
    <w:rsid w:val="00B04C2E"/>
    <w:rPr>
      <w:rFonts w:eastAsiaTheme="minorEastAsia" w:cs="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rsid w:val="00B04C2E"/>
    <w:rPr>
      <w:rFonts w:eastAsiaTheme="minorEastAsia" w:cs="Times New Roman"/>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basedOn w:val="Normal"/>
    <w:uiPriority w:val="1"/>
    <w:qFormat/>
    <w:rsid w:val="00B04C2E"/>
    <w:rPr>
      <w:rFonts w:eastAsiaTheme="minorEastAsia"/>
      <w:sz w:val="22"/>
      <w:szCs w:val="32"/>
      <w:lang w:bidi="en-US"/>
    </w:rPr>
  </w:style>
  <w:style w:type="paragraph" w:styleId="Quote">
    <w:name w:val="Quote"/>
    <w:basedOn w:val="Normal"/>
    <w:next w:val="Normal"/>
    <w:link w:val="QuoteChar"/>
    <w:uiPriority w:val="29"/>
    <w:qFormat/>
    <w:rsid w:val="00B04C2E"/>
    <w:rPr>
      <w:rFonts w:eastAsiaTheme="minorEastAsia"/>
      <w:i/>
      <w:sz w:val="22"/>
      <w:szCs w:val="24"/>
      <w:lang w:bidi="en-US"/>
    </w:rPr>
  </w:style>
  <w:style w:type="character" w:customStyle="1" w:styleId="QuoteChar">
    <w:name w:val="Quote Char"/>
    <w:basedOn w:val="DefaultParagraphFont"/>
    <w:link w:val="Quote"/>
    <w:uiPriority w:val="29"/>
    <w:rsid w:val="00B04C2E"/>
    <w:rPr>
      <w:rFonts w:ascii="Times New Roman" w:eastAsiaTheme="minorEastAsia" w:hAnsi="Times New Roman" w:cs="Times New Roman"/>
      <w:i/>
      <w:szCs w:val="24"/>
      <w:lang w:bidi="en-US"/>
    </w:rPr>
  </w:style>
  <w:style w:type="paragraph" w:styleId="IntenseQuote">
    <w:name w:val="Intense Quote"/>
    <w:basedOn w:val="Normal"/>
    <w:next w:val="Normal"/>
    <w:link w:val="IntenseQuoteChar"/>
    <w:uiPriority w:val="30"/>
    <w:qFormat/>
    <w:rsid w:val="00B04C2E"/>
    <w:pPr>
      <w:ind w:left="720" w:right="720"/>
    </w:pPr>
    <w:rPr>
      <w:rFonts w:eastAsiaTheme="minorEastAsia"/>
      <w:b/>
      <w:i/>
      <w:sz w:val="22"/>
      <w:szCs w:val="22"/>
      <w:lang w:bidi="en-US"/>
    </w:rPr>
  </w:style>
  <w:style w:type="character" w:customStyle="1" w:styleId="IntenseQuoteChar">
    <w:name w:val="Intense Quote Char"/>
    <w:basedOn w:val="DefaultParagraphFont"/>
    <w:link w:val="IntenseQuote"/>
    <w:uiPriority w:val="30"/>
    <w:rsid w:val="00B04C2E"/>
    <w:rPr>
      <w:rFonts w:ascii="Times New Roman" w:eastAsiaTheme="minorEastAsia" w:hAnsi="Times New Roman" w:cs="Times New Roman"/>
      <w:b/>
      <w:i/>
      <w:lang w:bidi="en-US"/>
    </w:rPr>
  </w:style>
  <w:style w:type="character" w:styleId="SubtleEmphasis">
    <w:name w:val="Subtle Emphasis"/>
    <w:uiPriority w:val="19"/>
    <w:qFormat/>
    <w:rsid w:val="00B04C2E"/>
    <w:rPr>
      <w:i/>
      <w:color w:val="5A5A5A" w:themeColor="text1" w:themeTint="A5"/>
    </w:rPr>
  </w:style>
  <w:style w:type="character" w:styleId="IntenseEmphasis">
    <w:name w:val="Intense Emphasis"/>
    <w:basedOn w:val="DefaultParagraphFont"/>
    <w:uiPriority w:val="21"/>
    <w:qFormat/>
    <w:rsid w:val="00B04C2E"/>
    <w:rPr>
      <w:b/>
      <w:i/>
      <w:sz w:val="24"/>
      <w:szCs w:val="24"/>
      <w:u w:val="single"/>
    </w:rPr>
  </w:style>
  <w:style w:type="character" w:styleId="SubtleReference">
    <w:name w:val="Subtle Reference"/>
    <w:basedOn w:val="DefaultParagraphFont"/>
    <w:uiPriority w:val="31"/>
    <w:qFormat/>
    <w:rsid w:val="00B04C2E"/>
    <w:rPr>
      <w:sz w:val="24"/>
      <w:szCs w:val="24"/>
      <w:u w:val="single"/>
    </w:rPr>
  </w:style>
  <w:style w:type="character" w:styleId="IntenseReference">
    <w:name w:val="Intense Reference"/>
    <w:basedOn w:val="DefaultParagraphFont"/>
    <w:uiPriority w:val="32"/>
    <w:qFormat/>
    <w:rsid w:val="00B04C2E"/>
    <w:rPr>
      <w:b/>
      <w:sz w:val="24"/>
      <w:u w:val="single"/>
    </w:rPr>
  </w:style>
  <w:style w:type="character" w:styleId="BookTitle">
    <w:name w:val="Book Title"/>
    <w:basedOn w:val="DefaultParagraphFont"/>
    <w:uiPriority w:val="33"/>
    <w:qFormat/>
    <w:rsid w:val="00B04C2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04C2E"/>
    <w:pPr>
      <w:outlineLvl w:val="9"/>
    </w:pPr>
    <w:rPr>
      <w:rFonts w:cs="Times New Roman"/>
    </w:rPr>
  </w:style>
  <w:style w:type="table" w:customStyle="1" w:styleId="TableGrid2">
    <w:name w:val="Table Grid2"/>
    <w:basedOn w:val="TableNormal"/>
    <w:next w:val="TableGrid"/>
    <w:uiPriority w:val="59"/>
    <w:rsid w:val="0086229E"/>
    <w:rPr>
      <w:rFonts w:eastAsiaTheme="minorEastAsia" w:cs="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6229E"/>
    <w:rPr>
      <w:rFonts w:eastAsiaTheme="minorEastAsia" w:cs="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33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85236">
      <w:bodyDiv w:val="1"/>
      <w:marLeft w:val="0"/>
      <w:marRight w:val="0"/>
      <w:marTop w:val="0"/>
      <w:marBottom w:val="0"/>
      <w:divBdr>
        <w:top w:val="none" w:sz="0" w:space="0" w:color="auto"/>
        <w:left w:val="none" w:sz="0" w:space="0" w:color="auto"/>
        <w:bottom w:val="none" w:sz="0" w:space="0" w:color="auto"/>
        <w:right w:val="none" w:sz="0" w:space="0" w:color="auto"/>
      </w:divBdr>
    </w:div>
    <w:div w:id="867252817">
      <w:bodyDiv w:val="1"/>
      <w:marLeft w:val="0"/>
      <w:marRight w:val="0"/>
      <w:marTop w:val="0"/>
      <w:marBottom w:val="0"/>
      <w:divBdr>
        <w:top w:val="none" w:sz="0" w:space="0" w:color="auto"/>
        <w:left w:val="none" w:sz="0" w:space="0" w:color="auto"/>
        <w:bottom w:val="none" w:sz="0" w:space="0" w:color="auto"/>
        <w:right w:val="none" w:sz="0" w:space="0" w:color="auto"/>
      </w:divBdr>
    </w:div>
    <w:div w:id="119068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www.google.com/url?q=http://www.auc.ab.ca/market-oversight/albertas-energy-market/Pages/default.aspx&amp;sa=D&amp;ust=1457572194966000&amp;usg=AFQjCNEMGbAdcNs_BZKQvYcqOV63-cBM5w" TargetMode="External"/><Relationship Id="rId2" Type="http://schemas.openxmlformats.org/officeDocument/2006/relationships/hyperlink" Target="https://www.google.com/url?q=http://www.auc.ab.ca/market-oversight/albertas-energy-market/Pages/default.aspx&amp;sa=D&amp;ust=1457572194966000&amp;usg=AFQjCNEMGbAdcNs_BZKQvYcqOV63-cBM5w" TargetMode="External"/><Relationship Id="rId1" Type="http://schemas.openxmlformats.org/officeDocument/2006/relationships/hyperlink" Target="https://www.google.com/url?q=http://www.auc.ab.ca/market-oversight/albertas-energy-market/Pages/default.aspx&amp;sa=D&amp;ust=1457572194966000&amp;usg=AFQjCNEMGbAdcNs_BZKQvYcqOV63-cBM5w" TargetMode="External"/><Relationship Id="rId4" Type="http://schemas.openxmlformats.org/officeDocument/2006/relationships/hyperlink" Target="http://ucahelps.alberta.ca/abou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3066529-A4FF-4222-B1A9-148F626A3B4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4022F67-FC3E-4DCB-8662-4E2A845E5EB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3EED9-3550-4A7A-8588-3BFD01849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5041</Words>
  <Characters>28735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6</cp:revision>
  <cp:lastPrinted>2018-08-13T18:28:00Z</cp:lastPrinted>
  <dcterms:created xsi:type="dcterms:W3CDTF">2018-07-26T13:22:00Z</dcterms:created>
  <dcterms:modified xsi:type="dcterms:W3CDTF">2018-08-13T18:30:00Z</dcterms:modified>
</cp:coreProperties>
</file>