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516ED9"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516ED9" w:rsidP="00F105B7">
      <w:pPr>
        <w:pStyle w:val="ProductNumber"/>
      </w:pPr>
      <w:r>
        <w:t>9B18M110</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516ED9" w:rsidP="00013360">
      <w:pPr>
        <w:pStyle w:val="CaseTitle"/>
        <w:spacing w:after="0" w:line="240" w:lineRule="auto"/>
        <w:rPr>
          <w:sz w:val="20"/>
          <w:szCs w:val="20"/>
        </w:rPr>
      </w:pPr>
      <w:r>
        <w:rPr>
          <w:rFonts w:eastAsia="Times New Roman"/>
          <w:szCs w:val="20"/>
        </w:rPr>
        <w:t>tvo: leading transformational change (a)</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516ED9" w:rsidP="00627C63">
      <w:pPr>
        <w:pStyle w:val="StyleCopyrightStatementAfter0ptBottomSinglesolidline1"/>
      </w:pPr>
      <w:r>
        <w:t>R. Chandrasekhar</w:t>
      </w:r>
      <w:r w:rsidR="00F94C30" w:rsidRPr="00F94C30">
        <w:t xml:space="preserve"> </w:t>
      </w:r>
      <w:r w:rsidR="004B632F" w:rsidRPr="00104567">
        <w:t>wrote this</w:t>
      </w:r>
      <w:r w:rsidR="004B632F">
        <w:t xml:space="preserve"> </w:t>
      </w:r>
      <w:r w:rsidR="00152682">
        <w:t>case</w:t>
      </w:r>
      <w:r w:rsidR="004B632F">
        <w:t xml:space="preserve"> </w:t>
      </w:r>
      <w:r>
        <w:t xml:space="preserve">under the supervision of Professors Gerard Seijts and Jean-Louis Schaan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516ED9">
        <w:t>18</w:t>
      </w:r>
      <w:r>
        <w:t>, Ivey Business School Foundation</w:t>
      </w:r>
      <w:r>
        <w:tab/>
        <w:t>Version: 20</w:t>
      </w:r>
      <w:r w:rsidR="00516ED9">
        <w:t>18</w:t>
      </w:r>
      <w:r>
        <w:t>-</w:t>
      </w:r>
      <w:r w:rsidR="006F505F">
        <w:t>11</w:t>
      </w:r>
      <w:r>
        <w:t>-</w:t>
      </w:r>
      <w:r w:rsidR="00516ED9">
        <w:t>2</w:t>
      </w:r>
      <w:r w:rsidR="006F505F">
        <w:t>1</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516ED9" w:rsidRPr="00881D14" w:rsidRDefault="00516ED9" w:rsidP="00E01834">
      <w:pPr>
        <w:pStyle w:val="BodyTextMain"/>
        <w:rPr>
          <w:lang w:val="en-GB"/>
        </w:rPr>
      </w:pPr>
      <w:r w:rsidRPr="00881D14">
        <w:rPr>
          <w:lang w:val="en-GB"/>
        </w:rPr>
        <w:t>I</w:t>
      </w:r>
      <w:r>
        <w:rPr>
          <w:lang w:val="en-GB"/>
        </w:rPr>
        <w:t>n</w:t>
      </w:r>
      <w:r w:rsidRPr="00881D14">
        <w:rPr>
          <w:lang w:val="en-GB"/>
        </w:rPr>
        <w:t xml:space="preserve"> July 2013</w:t>
      </w:r>
      <w:r>
        <w:rPr>
          <w:lang w:val="en-GB"/>
        </w:rPr>
        <w:t>,</w:t>
      </w:r>
      <w:r w:rsidRPr="00881D14">
        <w:rPr>
          <w:lang w:val="en-GB"/>
        </w:rPr>
        <w:t xml:space="preserve"> Lisa de Wilde was reviewing </w:t>
      </w:r>
      <w:r>
        <w:rPr>
          <w:lang w:val="en-GB"/>
        </w:rPr>
        <w:t>a</w:t>
      </w:r>
      <w:r w:rsidRPr="00881D14">
        <w:rPr>
          <w:lang w:val="en-GB"/>
        </w:rPr>
        <w:t xml:space="preserve"> report that just landed on her desk</w:t>
      </w:r>
      <w:r>
        <w:rPr>
          <w:lang w:val="en-GB"/>
        </w:rPr>
        <w:t>. The report had been prepared by consultants hired by de Wilde, the</w:t>
      </w:r>
      <w:r w:rsidRPr="00881D14">
        <w:rPr>
          <w:lang w:val="en-GB"/>
        </w:rPr>
        <w:t xml:space="preserve"> chief executive officer</w:t>
      </w:r>
      <w:r>
        <w:rPr>
          <w:lang w:val="en-GB"/>
        </w:rPr>
        <w:t xml:space="preserve"> (CEO) of </w:t>
      </w:r>
      <w:proofErr w:type="spellStart"/>
      <w:r>
        <w:rPr>
          <w:lang w:val="en-GB"/>
        </w:rPr>
        <w:t>TVOntario</w:t>
      </w:r>
      <w:proofErr w:type="spellEnd"/>
      <w:r w:rsidRPr="00881D14">
        <w:rPr>
          <w:lang w:val="en-GB"/>
        </w:rPr>
        <w:t xml:space="preserve"> </w:t>
      </w:r>
      <w:r>
        <w:rPr>
          <w:lang w:val="en-GB"/>
        </w:rPr>
        <w:t>(</w:t>
      </w:r>
      <w:r w:rsidRPr="00881D14">
        <w:rPr>
          <w:lang w:val="en-GB"/>
        </w:rPr>
        <w:t>TVO</w:t>
      </w:r>
      <w:r>
        <w:rPr>
          <w:lang w:val="en-GB"/>
        </w:rPr>
        <w:t>)</w:t>
      </w:r>
      <w:r w:rsidRPr="00881D14">
        <w:rPr>
          <w:lang w:val="en-GB"/>
        </w:rPr>
        <w:t xml:space="preserve">, an educational media organization under the aegis of the </w:t>
      </w:r>
      <w:r>
        <w:rPr>
          <w:lang w:val="en-GB"/>
        </w:rPr>
        <w:t xml:space="preserve">Ontario </w:t>
      </w:r>
      <w:r w:rsidRPr="00881D14">
        <w:rPr>
          <w:lang w:val="en-GB"/>
        </w:rPr>
        <w:t>Ministry of Education</w:t>
      </w:r>
      <w:r>
        <w:rPr>
          <w:lang w:val="en-GB"/>
        </w:rPr>
        <w:t>,</w:t>
      </w:r>
      <w:r w:rsidRPr="00881D14">
        <w:rPr>
          <w:lang w:val="en-GB"/>
        </w:rPr>
        <w:t xml:space="preserve"> in Canada. The </w:t>
      </w:r>
      <w:r>
        <w:rPr>
          <w:lang w:val="en-GB"/>
        </w:rPr>
        <w:t>consultants</w:t>
      </w:r>
      <w:r w:rsidRPr="00881D14">
        <w:rPr>
          <w:lang w:val="en-GB"/>
        </w:rPr>
        <w:t xml:space="preserve"> had outlined a five-year strategic plan aimed at igniting growth in </w:t>
      </w:r>
      <w:r>
        <w:rPr>
          <w:lang w:val="en-GB"/>
        </w:rPr>
        <w:t>TVO</w:t>
      </w:r>
      <w:r w:rsidRPr="00881D14">
        <w:rPr>
          <w:lang w:val="en-GB"/>
        </w:rPr>
        <w:t xml:space="preserve">’s revenues. </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TVO was originally created in 1970</w:t>
      </w:r>
      <w:r>
        <w:rPr>
          <w:lang w:val="en-GB"/>
        </w:rPr>
        <w:t>,</w:t>
      </w:r>
      <w:r w:rsidRPr="00881D14">
        <w:rPr>
          <w:lang w:val="en-GB"/>
        </w:rPr>
        <w:t xml:space="preserve"> as the technological extension of the public education system</w:t>
      </w:r>
      <w:r>
        <w:rPr>
          <w:lang w:val="en-GB"/>
        </w:rPr>
        <w:t>,</w:t>
      </w:r>
      <w:r w:rsidRPr="00881D14">
        <w:rPr>
          <w:lang w:val="en-GB"/>
        </w:rPr>
        <w:t xml:space="preserve"> at a time when technology meant television. TVO’s mandate was rooted in supporting the ministry’s social role of providing education—a crucial public good—to Ontarians</w:t>
      </w:r>
      <w:r>
        <w:rPr>
          <w:lang w:val="en-GB"/>
        </w:rPr>
        <w:t xml:space="preserve"> of all ages</w:t>
      </w:r>
      <w:r w:rsidRPr="00881D14">
        <w:rPr>
          <w:lang w:val="en-GB"/>
        </w:rPr>
        <w:t>. Over time, the mandate was broadened to include current affairs, documentary</w:t>
      </w:r>
      <w:r>
        <w:rPr>
          <w:lang w:val="en-GB"/>
        </w:rPr>
        <w:t>,</w:t>
      </w:r>
      <w:r w:rsidRPr="00881D14">
        <w:rPr>
          <w:lang w:val="en-GB"/>
        </w:rPr>
        <w:t xml:space="preserve"> and drama programming. But unlike its private-sector peers in the television industry wh</w:t>
      </w:r>
      <w:r>
        <w:rPr>
          <w:lang w:val="en-GB"/>
        </w:rPr>
        <w:t>o</w:t>
      </w:r>
      <w:r w:rsidRPr="00881D14">
        <w:rPr>
          <w:lang w:val="en-GB"/>
        </w:rPr>
        <w:t xml:space="preserve"> relied on commercial advertisements as a source of revenue, TVO depended on annual grants from the ministry of education to the extent of 66 per cent of its annual expenditure. For the rest, it relied on donors and on its own revenue-generating programs. </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At the end of the 2012/13 broadcast year</w:t>
      </w:r>
      <w:r>
        <w:rPr>
          <w:lang w:val="en-GB"/>
        </w:rPr>
        <w:t>,</w:t>
      </w:r>
      <w:r w:rsidRPr="00881D14">
        <w:rPr>
          <w:lang w:val="en-GB"/>
        </w:rPr>
        <w:t xml:space="preserve"> TVO reached 83 per cent of Ontarians</w:t>
      </w:r>
      <w:r>
        <w:rPr>
          <w:lang w:val="en-GB"/>
        </w:rPr>
        <w:t>.</w:t>
      </w:r>
      <w:r w:rsidRPr="00881D14">
        <w:rPr>
          <w:lang w:val="en-GB"/>
        </w:rPr>
        <w:t xml:space="preserve"> </w:t>
      </w:r>
      <w:r>
        <w:rPr>
          <w:lang w:val="en-GB"/>
        </w:rPr>
        <w:t>H</w:t>
      </w:r>
      <w:r w:rsidRPr="00881D14">
        <w:rPr>
          <w:lang w:val="en-GB"/>
        </w:rPr>
        <w:t xml:space="preserve">owever, new data showed </w:t>
      </w:r>
      <w:r w:rsidR="00072274">
        <w:rPr>
          <w:lang w:val="en-GB"/>
        </w:rPr>
        <w:t xml:space="preserve">that </w:t>
      </w:r>
      <w:r w:rsidRPr="00881D14">
        <w:rPr>
          <w:lang w:val="en-GB"/>
        </w:rPr>
        <w:t>early adopters to Internet video were beginning to watch as much as 45 per cent of their television through non-traditional channels.</w:t>
      </w:r>
      <w:r>
        <w:rPr>
          <w:lang w:val="en-GB"/>
        </w:rPr>
        <w:t xml:space="preserve"> </w:t>
      </w:r>
      <w:r w:rsidRPr="00881D14">
        <w:rPr>
          <w:lang w:val="en-GB"/>
        </w:rPr>
        <w:t>The</w:t>
      </w:r>
      <w:r>
        <w:rPr>
          <w:lang w:val="en-GB"/>
        </w:rPr>
        <w:t xml:space="preserve">se findings and other market conditions suggested </w:t>
      </w:r>
      <w:r w:rsidRPr="00881D14">
        <w:rPr>
          <w:lang w:val="en-GB"/>
        </w:rPr>
        <w:t xml:space="preserve">three triggers for developing a five-year strategic plan. </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The first trigger was th</w:t>
      </w:r>
      <w:r>
        <w:rPr>
          <w:lang w:val="en-GB"/>
        </w:rPr>
        <w:t>e fact</w:t>
      </w:r>
      <w:r w:rsidRPr="00881D14">
        <w:rPr>
          <w:lang w:val="en-GB"/>
        </w:rPr>
        <w:t xml:space="preserve"> that if TVO could properly harness technology advances, it could strengthen its value proposition. Like</w:t>
      </w:r>
      <w:r>
        <w:rPr>
          <w:lang w:val="en-GB"/>
        </w:rPr>
        <w:t xml:space="preserve"> in</w:t>
      </w:r>
      <w:r w:rsidRPr="00881D14">
        <w:rPr>
          <w:lang w:val="en-GB"/>
        </w:rPr>
        <w:t xml:space="preserve"> many industries, technological advances were causing massive disruption. For TVO</w:t>
      </w:r>
      <w:r>
        <w:rPr>
          <w:lang w:val="en-GB"/>
        </w:rPr>
        <w:t>,</w:t>
      </w:r>
      <w:r w:rsidRPr="00881D14">
        <w:rPr>
          <w:lang w:val="en-GB"/>
        </w:rPr>
        <w:t xml:space="preserve"> this </w:t>
      </w:r>
      <w:r>
        <w:rPr>
          <w:lang w:val="en-GB"/>
        </w:rPr>
        <w:t xml:space="preserve">disruption was </w:t>
      </w:r>
      <w:r w:rsidRPr="00881D14">
        <w:rPr>
          <w:lang w:val="en-GB"/>
        </w:rPr>
        <w:t>manifested in learning</w:t>
      </w:r>
      <w:r>
        <w:rPr>
          <w:lang w:val="en-GB"/>
        </w:rPr>
        <w:t>. N</w:t>
      </w:r>
      <w:r w:rsidRPr="00881D14">
        <w:rPr>
          <w:lang w:val="en-GB"/>
        </w:rPr>
        <w:t xml:space="preserve">ew openings </w:t>
      </w:r>
      <w:r>
        <w:rPr>
          <w:lang w:val="en-GB"/>
        </w:rPr>
        <w:t xml:space="preserve">were emerging </w:t>
      </w:r>
      <w:r w:rsidRPr="00881D14">
        <w:rPr>
          <w:lang w:val="en-GB"/>
        </w:rPr>
        <w:t xml:space="preserve">around technology in the classroom and media, especially </w:t>
      </w:r>
      <w:r>
        <w:rPr>
          <w:lang w:val="en-GB"/>
        </w:rPr>
        <w:t xml:space="preserve">in </w:t>
      </w:r>
      <w:r w:rsidRPr="00881D14">
        <w:rPr>
          <w:lang w:val="en-GB"/>
        </w:rPr>
        <w:t>journalism, which was being reshaped by social media and collapsing advertising-based business models.</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 xml:space="preserve">The second </w:t>
      </w:r>
      <w:r>
        <w:rPr>
          <w:lang w:val="en-GB"/>
        </w:rPr>
        <w:t xml:space="preserve">trigger </w:t>
      </w:r>
      <w:r w:rsidRPr="00881D14">
        <w:rPr>
          <w:lang w:val="en-GB"/>
        </w:rPr>
        <w:t xml:space="preserve">was a change in official policy, announced in March 2012, pertaining to government grants to public agencies. The provincial government had </w:t>
      </w:r>
      <w:r>
        <w:rPr>
          <w:lang w:val="en-GB"/>
        </w:rPr>
        <w:t>announced</w:t>
      </w:r>
      <w:r w:rsidRPr="00881D14">
        <w:rPr>
          <w:lang w:val="en-GB"/>
        </w:rPr>
        <w:t xml:space="preserve"> that TVO, like other public agencies, should reduce its dependence on government grants. The reduction had become necessary because the provincial government’s annual budget had shown a deficit of </w:t>
      </w:r>
      <w:r>
        <w:rPr>
          <w:lang w:val="en-GB"/>
        </w:rPr>
        <w:t>CA</w:t>
      </w:r>
      <w:r w:rsidRPr="00881D14">
        <w:rPr>
          <w:lang w:val="en-GB"/>
        </w:rPr>
        <w:t>$15.3 billion</w:t>
      </w:r>
      <w:r>
        <w:rPr>
          <w:rStyle w:val="FootnoteReference"/>
          <w:color w:val="000000"/>
          <w:lang w:val="en-GB"/>
        </w:rPr>
        <w:footnoteReference w:id="1"/>
      </w:r>
      <w:r w:rsidRPr="00881D14">
        <w:rPr>
          <w:lang w:val="en-GB"/>
        </w:rPr>
        <w:t xml:space="preserve"> for the year ending March 2012. The deficit for the year ending March 2013 had also been forecast to prevail at the </w:t>
      </w:r>
      <w:r w:rsidRPr="00881D14">
        <w:rPr>
          <w:lang w:val="en-GB"/>
        </w:rPr>
        <w:lastRenderedPageBreak/>
        <w:t>same level.</w:t>
      </w:r>
      <w:r w:rsidRPr="00881D14">
        <w:rPr>
          <w:vertAlign w:val="superscript"/>
          <w:lang w:val="en-GB"/>
        </w:rPr>
        <w:footnoteReference w:id="2"/>
      </w:r>
      <w:r w:rsidRPr="00881D14">
        <w:rPr>
          <w:lang w:val="en-GB"/>
        </w:rPr>
        <w:t xml:space="preserve"> Since pruning the deficit had become a priority for the government, there would be no increases in funding for TVO and, starting in 2014, TVO would see a cutback of over </w:t>
      </w:r>
      <w:r>
        <w:rPr>
          <w:lang w:val="en-GB"/>
        </w:rPr>
        <w:t>5</w:t>
      </w:r>
      <w:r w:rsidRPr="00881D14">
        <w:rPr>
          <w:lang w:val="en-GB"/>
        </w:rPr>
        <w:t xml:space="preserve"> per cent in its annual grant. </w:t>
      </w:r>
      <w:proofErr w:type="gramStart"/>
      <w:r w:rsidRPr="00881D14">
        <w:rPr>
          <w:lang w:val="en-GB"/>
        </w:rPr>
        <w:t>In contrast to 2011</w:t>
      </w:r>
      <w:r>
        <w:rPr>
          <w:lang w:val="en-GB"/>
        </w:rPr>
        <w:t>,</w:t>
      </w:r>
      <w:r w:rsidRPr="00881D14">
        <w:rPr>
          <w:lang w:val="en-GB"/>
        </w:rPr>
        <w:t xml:space="preserve"> when the </w:t>
      </w:r>
      <w:r>
        <w:rPr>
          <w:lang w:val="en-GB"/>
        </w:rPr>
        <w:t>m</w:t>
      </w:r>
      <w:r w:rsidRPr="00881D14">
        <w:rPr>
          <w:lang w:val="en-GB"/>
        </w:rPr>
        <w:t xml:space="preserve">inistry of </w:t>
      </w:r>
      <w:r>
        <w:rPr>
          <w:lang w:val="en-GB"/>
        </w:rPr>
        <w:t>e</w:t>
      </w:r>
      <w:r w:rsidRPr="00881D14">
        <w:rPr>
          <w:lang w:val="en-GB"/>
        </w:rPr>
        <w:t>ducation had enhanced its annual grant to TVO by 16.2 per cent (from $37.6 million to $43.4 million), the grant would come down in 2014 by 7.8 per cent (from $43.4 million to $40.0 million).</w:t>
      </w:r>
      <w:proofErr w:type="gramEnd"/>
      <w:r w:rsidRPr="00881D14">
        <w:rPr>
          <w:vertAlign w:val="superscript"/>
          <w:lang w:val="en-GB"/>
        </w:rPr>
        <w:footnoteReference w:id="3"/>
      </w:r>
      <w:r w:rsidRPr="00881D14">
        <w:rPr>
          <w:lang w:val="en-GB"/>
        </w:rPr>
        <w:t xml:space="preserve"> </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 xml:space="preserve">The third trigger was </w:t>
      </w:r>
      <w:r>
        <w:rPr>
          <w:lang w:val="en-GB"/>
        </w:rPr>
        <w:t xml:space="preserve">the fact </w:t>
      </w:r>
      <w:r w:rsidRPr="00881D14">
        <w:rPr>
          <w:lang w:val="en-GB"/>
        </w:rPr>
        <w:t xml:space="preserve">that the net revenue from donors (individual and corporate) was declining—from $3.21 million in 2009 to $1.95 million in 2013. The need for self-generated revenues was urgent. It had placed TVO on the offensive. </w:t>
      </w:r>
    </w:p>
    <w:p w:rsidR="00516ED9" w:rsidRPr="00881D14" w:rsidRDefault="00516ED9" w:rsidP="00E01834">
      <w:pPr>
        <w:pStyle w:val="BodyTextMain"/>
        <w:rPr>
          <w:lang w:val="en-GB"/>
        </w:rPr>
      </w:pPr>
    </w:p>
    <w:p w:rsidR="00516ED9" w:rsidRPr="00792E66" w:rsidRDefault="00516ED9" w:rsidP="00E01834">
      <w:pPr>
        <w:pStyle w:val="BodyTextMain"/>
        <w:rPr>
          <w:spacing w:val="-2"/>
          <w:lang w:val="en-GB"/>
        </w:rPr>
      </w:pPr>
      <w:r w:rsidRPr="00792E66">
        <w:rPr>
          <w:spacing w:val="-2"/>
          <w:lang w:val="en-GB"/>
        </w:rPr>
        <w:t>Together, these three triggers provided the burning platform for the organizational transformation at TVO.</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 xml:space="preserve">In accordance with the new imperatives, TVO had already </w:t>
      </w:r>
      <w:r>
        <w:rPr>
          <w:lang w:val="en-GB"/>
        </w:rPr>
        <w:t>made</w:t>
      </w:r>
      <w:r w:rsidRPr="00881D14">
        <w:rPr>
          <w:lang w:val="en-GB"/>
        </w:rPr>
        <w:t xml:space="preserve"> tough calls in the short</w:t>
      </w:r>
      <w:r>
        <w:rPr>
          <w:lang w:val="en-GB"/>
        </w:rPr>
        <w:t xml:space="preserve"> </w:t>
      </w:r>
      <w:r w:rsidRPr="00881D14">
        <w:rPr>
          <w:lang w:val="en-GB"/>
        </w:rPr>
        <w:t>term that created pain for different employee groups. For example, it reduced its operating expenditure by 5 per cent of the provincial operating grant. It discontinued three legacy programs—</w:t>
      </w:r>
      <w:proofErr w:type="gramStart"/>
      <w:r w:rsidRPr="00714C94">
        <w:rPr>
          <w:i/>
          <w:lang w:val="en-GB"/>
        </w:rPr>
        <w:t>Big</w:t>
      </w:r>
      <w:proofErr w:type="gramEnd"/>
      <w:r w:rsidRPr="00714C94">
        <w:rPr>
          <w:i/>
          <w:lang w:val="en-GB"/>
        </w:rPr>
        <w:t xml:space="preserve"> Ideas</w:t>
      </w:r>
      <w:r w:rsidRPr="00881D14">
        <w:rPr>
          <w:lang w:val="en-GB"/>
        </w:rPr>
        <w:t xml:space="preserve">, which focused on contemporary intellectual culture; </w:t>
      </w:r>
      <w:r w:rsidRPr="00714C94">
        <w:rPr>
          <w:i/>
          <w:lang w:val="en-GB"/>
        </w:rPr>
        <w:t>Saturday Night at the Movies</w:t>
      </w:r>
      <w:r w:rsidRPr="00881D14">
        <w:rPr>
          <w:lang w:val="en-GB"/>
        </w:rPr>
        <w:t xml:space="preserve">, a weekly feature; and </w:t>
      </w:r>
      <w:r w:rsidRPr="00714C94">
        <w:rPr>
          <w:i/>
          <w:lang w:val="en-GB"/>
        </w:rPr>
        <w:t>In Conversation with Allan Gregg</w:t>
      </w:r>
      <w:r w:rsidRPr="00881D14">
        <w:rPr>
          <w:lang w:val="en-GB"/>
        </w:rPr>
        <w:t>, a weekly interview</w:t>
      </w:r>
      <w:r>
        <w:rPr>
          <w:lang w:val="en-GB"/>
        </w:rPr>
        <w:t xml:space="preserve"> series</w:t>
      </w:r>
      <w:r w:rsidRPr="00881D14">
        <w:rPr>
          <w:lang w:val="en-GB"/>
        </w:rPr>
        <w:t xml:space="preserve"> </w:t>
      </w:r>
      <w:r>
        <w:rPr>
          <w:lang w:val="en-GB"/>
        </w:rPr>
        <w:t xml:space="preserve">that aired </w:t>
      </w:r>
      <w:r w:rsidRPr="00881D14">
        <w:rPr>
          <w:lang w:val="en-GB"/>
        </w:rPr>
        <w:t xml:space="preserve">on Fridays with authors and artists. </w:t>
      </w:r>
      <w:r>
        <w:rPr>
          <w:lang w:val="en-GB"/>
        </w:rPr>
        <w:t>TVO</w:t>
      </w:r>
      <w:r w:rsidRPr="00881D14">
        <w:rPr>
          <w:lang w:val="en-GB"/>
        </w:rPr>
        <w:t xml:space="preserve"> </w:t>
      </w:r>
      <w:r>
        <w:rPr>
          <w:lang w:val="en-GB"/>
        </w:rPr>
        <w:t xml:space="preserve">also </w:t>
      </w:r>
      <w:r w:rsidRPr="00881D14">
        <w:rPr>
          <w:lang w:val="en-GB"/>
        </w:rPr>
        <w:t>closed its Ottawa bureau</w:t>
      </w:r>
      <w:r>
        <w:rPr>
          <w:lang w:val="en-GB"/>
        </w:rPr>
        <w:t xml:space="preserve"> and</w:t>
      </w:r>
      <w:r w:rsidRPr="00881D14">
        <w:rPr>
          <w:lang w:val="en-GB"/>
        </w:rPr>
        <w:t xml:space="preserve"> announced that it would let go 35 employees—nearly 10 per cent of its total workforce—by March 2014</w:t>
      </w:r>
      <w:r>
        <w:rPr>
          <w:lang w:val="en-GB"/>
        </w:rPr>
        <w:t>,</w:t>
      </w:r>
      <w:r w:rsidRPr="00881D14">
        <w:rPr>
          <w:lang w:val="en-GB"/>
        </w:rPr>
        <w:t xml:space="preserve"> when the financial year would end. </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 xml:space="preserve">For the long term, de Wilde had to develop a strategy that would enhance TVO’s financial sustainability by increasing self-generated revenues and take it into a new growth orbit. That was </w:t>
      </w:r>
      <w:r>
        <w:rPr>
          <w:lang w:val="en-GB"/>
        </w:rPr>
        <w:t>her reason for hiring</w:t>
      </w:r>
      <w:r w:rsidRPr="00881D14">
        <w:rPr>
          <w:lang w:val="en-GB"/>
        </w:rPr>
        <w:t xml:space="preserve"> consultants in February 2013</w:t>
      </w:r>
      <w:r>
        <w:rPr>
          <w:lang w:val="en-GB"/>
        </w:rPr>
        <w:t>, as she explained</w:t>
      </w:r>
      <w:r w:rsidRPr="00881D14">
        <w:rPr>
          <w:lang w:val="en-GB"/>
        </w:rPr>
        <w:t>:</w:t>
      </w:r>
    </w:p>
    <w:p w:rsidR="00516ED9" w:rsidRPr="00881D14" w:rsidRDefault="00516ED9" w:rsidP="00E01834">
      <w:pPr>
        <w:pStyle w:val="BodyTextMain"/>
        <w:rPr>
          <w:lang w:val="en-GB"/>
        </w:rPr>
      </w:pPr>
    </w:p>
    <w:p w:rsidR="00516ED9" w:rsidRPr="00E01834" w:rsidRDefault="00516ED9" w:rsidP="00E01834">
      <w:pPr>
        <w:pStyle w:val="BodyTextMain"/>
        <w:ind w:left="720"/>
        <w:rPr>
          <w:lang w:val="en-GB"/>
        </w:rPr>
      </w:pPr>
      <w:r w:rsidRPr="00E01834">
        <w:rPr>
          <w:lang w:val="en-GB"/>
        </w:rPr>
        <w:t>There is a sense of urgency in moving forward. We must fundamentally transform ourselves as an organization. We have been good, traditionally, at educational broadcasting, journalism, kids programming series, and documentaries. For decades, we have been a “nice to have” television channel. We should now take action to position ourselves as a “must have” educational and journalistic service for Ontario citizens. The big picture I have is to enlarge our audience, hitherto outside the classroom, to those inside the classroom. Our programs should be more focused and their content should be rigorous. I envision a cultural change for the organization: We have to get out into the open and prove our value. And, yes, we should think about metrics. Accountability is crucial.</w:t>
      </w:r>
    </w:p>
    <w:p w:rsidR="00516ED9" w:rsidRPr="00881D14" w:rsidRDefault="00516ED9" w:rsidP="00E01834">
      <w:pPr>
        <w:pStyle w:val="BodyTextMain"/>
        <w:rPr>
          <w:lang w:val="en-GB"/>
        </w:rPr>
      </w:pPr>
    </w:p>
    <w:p w:rsidR="00516ED9" w:rsidRPr="00881D14" w:rsidRDefault="00516ED9" w:rsidP="00E01834">
      <w:pPr>
        <w:pStyle w:val="BodyTextMain"/>
        <w:rPr>
          <w:color w:val="000000"/>
          <w:lang w:val="en-GB"/>
        </w:rPr>
      </w:pPr>
      <w:r>
        <w:rPr>
          <w:color w:val="000000"/>
          <w:lang w:val="en-GB"/>
        </w:rPr>
        <w:t xml:space="preserve">The brief </w:t>
      </w:r>
      <w:r w:rsidRPr="00881D14">
        <w:rPr>
          <w:color w:val="000000"/>
          <w:lang w:val="en-GB"/>
        </w:rPr>
        <w:t xml:space="preserve">de Wilde </w:t>
      </w:r>
      <w:r>
        <w:rPr>
          <w:color w:val="000000"/>
          <w:lang w:val="en-GB"/>
        </w:rPr>
        <w:t>delivered</w:t>
      </w:r>
      <w:r w:rsidRPr="00881D14">
        <w:rPr>
          <w:color w:val="000000"/>
          <w:lang w:val="en-GB"/>
        </w:rPr>
        <w:t xml:space="preserve"> to the consultancy firm </w:t>
      </w:r>
      <w:r>
        <w:rPr>
          <w:color w:val="000000"/>
          <w:lang w:val="en-GB"/>
        </w:rPr>
        <w:t>asked for</w:t>
      </w:r>
      <w:r w:rsidRPr="00881D14">
        <w:rPr>
          <w:color w:val="000000"/>
          <w:lang w:val="en-GB"/>
        </w:rPr>
        <w:t xml:space="preserve"> a strategic plan that would deliver four specific objectives: re-envision TVO around technology in the classroom; make TVO financially sound; empower TVO employees to generate value; and create greater impact for Ontarians. </w:t>
      </w:r>
    </w:p>
    <w:p w:rsidR="00516ED9" w:rsidRPr="00881D14" w:rsidRDefault="00516ED9" w:rsidP="00E01834">
      <w:pPr>
        <w:pStyle w:val="BodyTextMain"/>
        <w:rPr>
          <w:color w:val="000000"/>
          <w:lang w:val="en-GB"/>
        </w:rPr>
      </w:pPr>
    </w:p>
    <w:p w:rsidR="00516ED9" w:rsidRPr="00881D14" w:rsidRDefault="00516ED9" w:rsidP="00E01834">
      <w:pPr>
        <w:pStyle w:val="BodyTextMain"/>
        <w:rPr>
          <w:color w:val="000000"/>
          <w:lang w:val="en-GB"/>
        </w:rPr>
      </w:pPr>
    </w:p>
    <w:p w:rsidR="00516ED9" w:rsidRPr="00881D14" w:rsidRDefault="00516ED9" w:rsidP="00516ED9">
      <w:pPr>
        <w:pStyle w:val="Casehead1"/>
        <w:rPr>
          <w:lang w:val="en-GB"/>
        </w:rPr>
      </w:pPr>
      <w:r w:rsidRPr="00881D14">
        <w:rPr>
          <w:lang w:val="en-GB"/>
        </w:rPr>
        <w:t>LISA DE WILDE</w:t>
      </w:r>
    </w:p>
    <w:p w:rsidR="00516ED9" w:rsidRPr="00881D14" w:rsidRDefault="00516ED9" w:rsidP="00E01834">
      <w:pPr>
        <w:pStyle w:val="BodyTextMain"/>
        <w:rPr>
          <w:lang w:val="en-GB"/>
        </w:rPr>
      </w:pPr>
    </w:p>
    <w:p w:rsidR="00516ED9" w:rsidRDefault="00516ED9" w:rsidP="00E01834">
      <w:pPr>
        <w:pStyle w:val="BodyTextMain"/>
        <w:rPr>
          <w:lang w:val="en-GB"/>
        </w:rPr>
      </w:pPr>
      <w:r>
        <w:rPr>
          <w:lang w:val="en-GB"/>
        </w:rPr>
        <w:t>I</w:t>
      </w:r>
      <w:r w:rsidRPr="00881D14">
        <w:rPr>
          <w:lang w:val="en-GB"/>
        </w:rPr>
        <w:t>n September 2005</w:t>
      </w:r>
      <w:r>
        <w:rPr>
          <w:lang w:val="en-GB"/>
        </w:rPr>
        <w:t xml:space="preserve">, </w:t>
      </w:r>
      <w:r w:rsidRPr="00881D14">
        <w:rPr>
          <w:lang w:val="en-GB"/>
        </w:rPr>
        <w:t>de Wilde joined TVO as CEO</w:t>
      </w:r>
      <w:r>
        <w:rPr>
          <w:lang w:val="en-GB"/>
        </w:rPr>
        <w:t>,</w:t>
      </w:r>
      <w:r w:rsidRPr="00881D14">
        <w:rPr>
          <w:lang w:val="en-GB"/>
        </w:rPr>
        <w:t xml:space="preserve"> when the role</w:t>
      </w:r>
      <w:r>
        <w:rPr>
          <w:lang w:val="en-GB"/>
        </w:rPr>
        <w:t>s</w:t>
      </w:r>
      <w:r w:rsidRPr="00881D14">
        <w:rPr>
          <w:lang w:val="en-GB"/>
        </w:rPr>
        <w:t xml:space="preserve"> of chair of the board and CEO, </w:t>
      </w:r>
      <w:r>
        <w:rPr>
          <w:lang w:val="en-GB"/>
        </w:rPr>
        <w:t xml:space="preserve">which had been </w:t>
      </w:r>
      <w:r w:rsidRPr="00881D14">
        <w:rPr>
          <w:lang w:val="en-GB"/>
        </w:rPr>
        <w:t xml:space="preserve">combined since </w:t>
      </w:r>
      <w:r>
        <w:rPr>
          <w:lang w:val="en-GB"/>
        </w:rPr>
        <w:t xml:space="preserve">TVO’s </w:t>
      </w:r>
      <w:r w:rsidRPr="00881D14">
        <w:rPr>
          <w:lang w:val="en-GB"/>
        </w:rPr>
        <w:t>inception, w</w:t>
      </w:r>
      <w:r>
        <w:rPr>
          <w:lang w:val="en-GB"/>
        </w:rPr>
        <w:t>ere</w:t>
      </w:r>
      <w:r w:rsidRPr="00881D14">
        <w:rPr>
          <w:lang w:val="en-GB"/>
        </w:rPr>
        <w:t xml:space="preserve"> separated. Prior to joining TVO, </w:t>
      </w:r>
      <w:r>
        <w:rPr>
          <w:lang w:val="en-GB"/>
        </w:rPr>
        <w:t>de Wilde</w:t>
      </w:r>
      <w:r w:rsidRPr="00881D14">
        <w:rPr>
          <w:lang w:val="en-GB"/>
        </w:rPr>
        <w:t xml:space="preserve"> was president and CEO of Astral Television Networks, a subsidiary of Astral Media Inc., which was the largest </w:t>
      </w:r>
      <w:r w:rsidRPr="00881D14">
        <w:rPr>
          <w:lang w:val="en-GB"/>
        </w:rPr>
        <w:lastRenderedPageBreak/>
        <w:t>broadcaster in Canada with 84 radio stations in eight provinces. It was also a major player in premium and specialty television at the time</w:t>
      </w:r>
      <w:r>
        <w:rPr>
          <w:lang w:val="en-GB"/>
        </w:rPr>
        <w:t xml:space="preserve">, until its sale to </w:t>
      </w:r>
      <w:r w:rsidRPr="00881D14">
        <w:rPr>
          <w:lang w:val="en-GB"/>
        </w:rPr>
        <w:t xml:space="preserve">Bell Canada Enterprises Inc. </w:t>
      </w:r>
      <w:r>
        <w:rPr>
          <w:lang w:val="en-GB"/>
        </w:rPr>
        <w:t>in June 2013</w:t>
      </w:r>
      <w:r w:rsidRPr="00881D14">
        <w:rPr>
          <w:lang w:val="en-GB"/>
        </w:rPr>
        <w:t xml:space="preserve">. </w:t>
      </w:r>
    </w:p>
    <w:p w:rsidR="00516ED9" w:rsidRDefault="00516ED9" w:rsidP="00E01834">
      <w:pPr>
        <w:pStyle w:val="BodyTextMain"/>
        <w:rPr>
          <w:lang w:val="en-GB"/>
        </w:rPr>
      </w:pPr>
    </w:p>
    <w:p w:rsidR="00516ED9" w:rsidRPr="00881D14" w:rsidRDefault="00516ED9" w:rsidP="00E01834">
      <w:pPr>
        <w:pStyle w:val="BodyTextMain"/>
        <w:rPr>
          <w:lang w:val="en-GB"/>
        </w:rPr>
      </w:pPr>
      <w:r>
        <w:rPr>
          <w:lang w:val="en-GB"/>
        </w:rPr>
        <w:t>With</w:t>
      </w:r>
      <w:r w:rsidRPr="00881D14">
        <w:rPr>
          <w:lang w:val="en-GB"/>
        </w:rPr>
        <w:t xml:space="preserve"> </w:t>
      </w:r>
      <w:r>
        <w:rPr>
          <w:lang w:val="en-GB"/>
        </w:rPr>
        <w:t>b</w:t>
      </w:r>
      <w:r w:rsidRPr="00881D14">
        <w:rPr>
          <w:lang w:val="en-GB"/>
        </w:rPr>
        <w:t>achelor</w:t>
      </w:r>
      <w:r>
        <w:rPr>
          <w:lang w:val="en-GB"/>
        </w:rPr>
        <w:t>’s degrees in</w:t>
      </w:r>
      <w:r w:rsidRPr="00881D14">
        <w:rPr>
          <w:lang w:val="en-GB"/>
        </w:rPr>
        <w:t xml:space="preserve"> </w:t>
      </w:r>
      <w:r>
        <w:rPr>
          <w:lang w:val="en-GB"/>
        </w:rPr>
        <w:t>a</w:t>
      </w:r>
      <w:r w:rsidRPr="00881D14">
        <w:rPr>
          <w:lang w:val="en-GB"/>
        </w:rPr>
        <w:t xml:space="preserve">rts and </w:t>
      </w:r>
      <w:r>
        <w:rPr>
          <w:lang w:val="en-GB"/>
        </w:rPr>
        <w:t>l</w:t>
      </w:r>
      <w:r w:rsidRPr="00881D14">
        <w:rPr>
          <w:lang w:val="en-GB"/>
        </w:rPr>
        <w:t>aw from McGill University</w:t>
      </w:r>
      <w:r>
        <w:rPr>
          <w:lang w:val="en-GB"/>
        </w:rPr>
        <w:t>, de Wilde had worked as a</w:t>
      </w:r>
      <w:r w:rsidRPr="00881D14">
        <w:rPr>
          <w:lang w:val="en-GB"/>
        </w:rPr>
        <w:t xml:space="preserve"> lawyer for seven years</w:t>
      </w:r>
      <w:r>
        <w:rPr>
          <w:lang w:val="en-GB"/>
        </w:rPr>
        <w:t xml:space="preserve"> </w:t>
      </w:r>
      <w:r w:rsidRPr="00881D14">
        <w:rPr>
          <w:lang w:val="en-GB"/>
        </w:rPr>
        <w:t>with the Canadian Radio-television and Telecommunications Commission, the industry regulator</w:t>
      </w:r>
      <w:r>
        <w:rPr>
          <w:lang w:val="en-GB"/>
        </w:rPr>
        <w:t>,</w:t>
      </w:r>
      <w:r w:rsidRPr="00881D14">
        <w:rPr>
          <w:lang w:val="en-GB"/>
        </w:rPr>
        <w:t xml:space="preserve"> before moving into the corporate sector. </w:t>
      </w:r>
      <w:r>
        <w:rPr>
          <w:lang w:val="en-GB"/>
        </w:rPr>
        <w:t>Upon joining</w:t>
      </w:r>
      <w:r w:rsidRPr="00881D14">
        <w:rPr>
          <w:lang w:val="en-GB"/>
        </w:rPr>
        <w:t xml:space="preserve"> TVO, de Wilde was </w:t>
      </w:r>
      <w:r>
        <w:rPr>
          <w:lang w:val="en-GB"/>
        </w:rPr>
        <w:t xml:space="preserve">thereby </w:t>
      </w:r>
      <w:r w:rsidRPr="00881D14">
        <w:rPr>
          <w:lang w:val="en-GB"/>
        </w:rPr>
        <w:t>armed with a 360-degree view of the Canadian broadcasting industry.</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The first thing that struck de Wilde was that TVO had no digital infrastructure</w:t>
      </w:r>
      <w:r>
        <w:rPr>
          <w:lang w:val="en-GB"/>
        </w:rPr>
        <w:t>,</w:t>
      </w:r>
      <w:r w:rsidRPr="00881D14">
        <w:rPr>
          <w:lang w:val="en-GB"/>
        </w:rPr>
        <w:t xml:space="preserve"> which was essential </w:t>
      </w:r>
      <w:r>
        <w:rPr>
          <w:lang w:val="en-GB"/>
        </w:rPr>
        <w:t>for</w:t>
      </w:r>
      <w:r w:rsidRPr="00881D14">
        <w:rPr>
          <w:lang w:val="en-GB"/>
        </w:rPr>
        <w:t xml:space="preserve"> operat</w:t>
      </w:r>
      <w:r>
        <w:rPr>
          <w:lang w:val="en-GB"/>
        </w:rPr>
        <w:t>ing</w:t>
      </w:r>
      <w:r w:rsidRPr="00881D14">
        <w:rPr>
          <w:lang w:val="en-GB"/>
        </w:rPr>
        <w:t xml:space="preserve"> in an increasingly digital world. TVO had been an </w:t>
      </w:r>
      <w:proofErr w:type="spellStart"/>
      <w:r w:rsidRPr="00881D14">
        <w:rPr>
          <w:lang w:val="en-GB"/>
        </w:rPr>
        <w:t>analog</w:t>
      </w:r>
      <w:proofErr w:type="spellEnd"/>
      <w:r w:rsidRPr="00881D14">
        <w:rPr>
          <w:lang w:val="en-GB"/>
        </w:rPr>
        <w:t xml:space="preserve"> broadcaster for over four decades. Analog broadcasting was characterized by </w:t>
      </w:r>
      <w:r>
        <w:rPr>
          <w:lang w:val="en-GB"/>
        </w:rPr>
        <w:t xml:space="preserve">the </w:t>
      </w:r>
      <w:r w:rsidRPr="00881D14">
        <w:rPr>
          <w:lang w:val="en-GB"/>
        </w:rPr>
        <w:t xml:space="preserve">transmission of audio and video signals through airwaves (such as radio broadcasting) </w:t>
      </w:r>
      <w:r>
        <w:rPr>
          <w:lang w:val="en-GB"/>
        </w:rPr>
        <w:t>result</w:t>
      </w:r>
      <w:r w:rsidRPr="00881D14">
        <w:rPr>
          <w:lang w:val="en-GB"/>
        </w:rPr>
        <w:t xml:space="preserve">ing </w:t>
      </w:r>
      <w:r>
        <w:rPr>
          <w:lang w:val="en-GB"/>
        </w:rPr>
        <w:t>in</w:t>
      </w:r>
      <w:r w:rsidRPr="00881D14">
        <w:rPr>
          <w:lang w:val="en-GB"/>
        </w:rPr>
        <w:t xml:space="preserve"> low-quality sound and picture. Within four years, de Wilde had taken TVO into the digital world, making over $10 million </w:t>
      </w:r>
      <w:r>
        <w:rPr>
          <w:lang w:val="en-GB"/>
        </w:rPr>
        <w:t xml:space="preserve">in </w:t>
      </w:r>
      <w:r w:rsidRPr="00881D14">
        <w:rPr>
          <w:lang w:val="en-GB"/>
        </w:rPr>
        <w:t>investment</w:t>
      </w:r>
      <w:r>
        <w:rPr>
          <w:lang w:val="en-GB"/>
        </w:rPr>
        <w:t xml:space="preserve">s during that period, thanks in part to a </w:t>
      </w:r>
      <w:r w:rsidRPr="00881D14">
        <w:rPr>
          <w:lang w:val="en-GB"/>
        </w:rPr>
        <w:t xml:space="preserve">one-time special </w:t>
      </w:r>
      <w:r>
        <w:rPr>
          <w:lang w:val="en-GB"/>
        </w:rPr>
        <w:t>c</w:t>
      </w:r>
      <w:r w:rsidRPr="00881D14">
        <w:rPr>
          <w:lang w:val="en-GB"/>
        </w:rPr>
        <w:t>ap</w:t>
      </w:r>
      <w:r>
        <w:rPr>
          <w:lang w:val="en-GB"/>
        </w:rPr>
        <w:t xml:space="preserve">ital </w:t>
      </w:r>
      <w:r w:rsidRPr="00881D14">
        <w:rPr>
          <w:lang w:val="en-GB"/>
        </w:rPr>
        <w:t>ex</w:t>
      </w:r>
      <w:r>
        <w:rPr>
          <w:lang w:val="en-GB"/>
        </w:rPr>
        <w:t>penditure</w:t>
      </w:r>
      <w:r w:rsidRPr="00881D14">
        <w:rPr>
          <w:lang w:val="en-GB"/>
        </w:rPr>
        <w:t xml:space="preserve"> funding</w:t>
      </w:r>
      <w:r>
        <w:rPr>
          <w:lang w:val="en-GB"/>
        </w:rPr>
        <w:t>, to</w:t>
      </w:r>
      <w:r w:rsidRPr="00881D14">
        <w:rPr>
          <w:lang w:val="en-GB"/>
        </w:rPr>
        <w:t xml:space="preserve"> build an end-to-end digital content production and management workflow. In August 2012</w:t>
      </w:r>
      <w:r>
        <w:rPr>
          <w:lang w:val="en-GB"/>
        </w:rPr>
        <w:t>,</w:t>
      </w:r>
      <w:r w:rsidRPr="00881D14">
        <w:rPr>
          <w:lang w:val="en-GB"/>
        </w:rPr>
        <w:t xml:space="preserve"> TVO switched fully to digital transmission</w:t>
      </w:r>
      <w:r>
        <w:rPr>
          <w:lang w:val="en-GB"/>
        </w:rPr>
        <w:t>, along with its peers in the Canadian television broadcasting industry</w:t>
      </w:r>
      <w:r w:rsidRPr="00881D14">
        <w:rPr>
          <w:lang w:val="en-GB"/>
        </w:rPr>
        <w:t>.</w:t>
      </w:r>
      <w:r w:rsidRPr="00881D14">
        <w:rPr>
          <w:vertAlign w:val="superscript"/>
          <w:lang w:val="en-GB"/>
        </w:rPr>
        <w:footnoteReference w:id="4"/>
      </w:r>
      <w:r w:rsidRPr="00881D14">
        <w:rPr>
          <w:lang w:val="en-GB"/>
        </w:rPr>
        <w:t xml:space="preserve">  </w:t>
      </w:r>
    </w:p>
    <w:p w:rsidR="00516ED9" w:rsidRPr="00881D14" w:rsidRDefault="00516ED9" w:rsidP="00E01834">
      <w:pPr>
        <w:pStyle w:val="BodyTextMain"/>
        <w:rPr>
          <w:lang w:val="en-GB"/>
        </w:rPr>
      </w:pPr>
    </w:p>
    <w:p w:rsidR="00516ED9" w:rsidRDefault="00516ED9" w:rsidP="00E01834">
      <w:pPr>
        <w:pStyle w:val="BodyTextMain"/>
        <w:rPr>
          <w:lang w:val="en-GB"/>
        </w:rPr>
      </w:pPr>
      <w:r w:rsidRPr="00881D14">
        <w:rPr>
          <w:lang w:val="en-GB"/>
        </w:rPr>
        <w:t>Digital broadcasting was characterized by high-quality sound and picture</w:t>
      </w:r>
      <w:r>
        <w:rPr>
          <w:lang w:val="en-GB"/>
        </w:rPr>
        <w:t>. A</w:t>
      </w:r>
      <w:r w:rsidRPr="00881D14">
        <w:rPr>
          <w:lang w:val="en-GB"/>
        </w:rPr>
        <w:t xml:space="preserve">udio and video signals were transmitted through electromagnetic media (like micro waves). </w:t>
      </w:r>
      <w:proofErr w:type="gramStart"/>
      <w:r w:rsidRPr="00881D14">
        <w:rPr>
          <w:lang w:val="en-GB"/>
        </w:rPr>
        <w:t xml:space="preserve">Going digital </w:t>
      </w:r>
      <w:r>
        <w:rPr>
          <w:lang w:val="en-GB"/>
        </w:rPr>
        <w:t xml:space="preserve">also </w:t>
      </w:r>
      <w:r w:rsidRPr="00881D14">
        <w:rPr>
          <w:lang w:val="en-GB"/>
        </w:rPr>
        <w:t xml:space="preserve">meant lower distribution </w:t>
      </w:r>
      <w:r>
        <w:rPr>
          <w:lang w:val="en-GB"/>
        </w:rPr>
        <w:t xml:space="preserve">costs </w:t>
      </w:r>
      <w:r w:rsidRPr="00881D14">
        <w:rPr>
          <w:lang w:val="en-GB"/>
        </w:rPr>
        <w:t>and higher economies of scale for TVO</w:t>
      </w:r>
      <w:r>
        <w:rPr>
          <w:lang w:val="en-GB"/>
        </w:rPr>
        <w:t>.</w:t>
      </w:r>
      <w:proofErr w:type="gramEnd"/>
      <w:r>
        <w:rPr>
          <w:lang w:val="en-GB"/>
        </w:rPr>
        <w:t xml:space="preserve"> I</w:t>
      </w:r>
      <w:r w:rsidRPr="00881D14">
        <w:rPr>
          <w:lang w:val="en-GB"/>
        </w:rPr>
        <w:t xml:space="preserve">t could </w:t>
      </w:r>
      <w:r>
        <w:rPr>
          <w:lang w:val="en-GB"/>
        </w:rPr>
        <w:t>finally</w:t>
      </w:r>
      <w:r w:rsidRPr="00881D14">
        <w:rPr>
          <w:lang w:val="en-GB"/>
        </w:rPr>
        <w:t xml:space="preserve"> create content and manage it</w:t>
      </w:r>
      <w:r>
        <w:rPr>
          <w:lang w:val="en-GB"/>
        </w:rPr>
        <w:t>,</w:t>
      </w:r>
      <w:r w:rsidRPr="00881D14">
        <w:rPr>
          <w:lang w:val="en-GB"/>
        </w:rPr>
        <w:t xml:space="preserve"> all in </w:t>
      </w:r>
      <w:r>
        <w:rPr>
          <w:lang w:val="en-GB"/>
        </w:rPr>
        <w:t xml:space="preserve">a </w:t>
      </w:r>
      <w:r w:rsidRPr="00881D14">
        <w:rPr>
          <w:lang w:val="en-GB"/>
        </w:rPr>
        <w:t>digital</w:t>
      </w:r>
      <w:r>
        <w:rPr>
          <w:lang w:val="en-GB"/>
        </w:rPr>
        <w:t xml:space="preserve"> format</w:t>
      </w:r>
      <w:r w:rsidRPr="00881D14">
        <w:rPr>
          <w:lang w:val="en-GB"/>
        </w:rPr>
        <w:t>. Simultaneously, de Wilde also ensured that TVO was focused on developing more public education programs. Th</w:t>
      </w:r>
      <w:r>
        <w:rPr>
          <w:lang w:val="en-GB"/>
        </w:rPr>
        <w:t>is</w:t>
      </w:r>
      <w:r w:rsidRPr="00881D14">
        <w:rPr>
          <w:lang w:val="en-GB"/>
        </w:rPr>
        <w:t xml:space="preserve"> focus </w:t>
      </w:r>
      <w:r>
        <w:rPr>
          <w:lang w:val="en-GB"/>
        </w:rPr>
        <w:t xml:space="preserve">was in </w:t>
      </w:r>
      <w:r w:rsidRPr="00881D14">
        <w:rPr>
          <w:lang w:val="en-GB"/>
        </w:rPr>
        <w:t>contrast</w:t>
      </w:r>
      <w:r>
        <w:rPr>
          <w:lang w:val="en-GB"/>
        </w:rPr>
        <w:t xml:space="preserve"> to</w:t>
      </w:r>
      <w:r w:rsidRPr="00881D14">
        <w:rPr>
          <w:lang w:val="en-GB"/>
        </w:rPr>
        <w:t xml:space="preserve"> the pursuit of local news and entertainment programs by other television channels. </w:t>
      </w:r>
    </w:p>
    <w:p w:rsidR="00516ED9"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TVO was driven by addressing market failure</w:t>
      </w:r>
      <w:r>
        <w:rPr>
          <w:lang w:val="en-GB"/>
        </w:rPr>
        <w:t>—</w:t>
      </w:r>
      <w:r w:rsidRPr="00881D14">
        <w:rPr>
          <w:lang w:val="en-GB"/>
        </w:rPr>
        <w:t xml:space="preserve">providing services that </w:t>
      </w:r>
      <w:r>
        <w:rPr>
          <w:lang w:val="en-GB"/>
        </w:rPr>
        <w:t>we</w:t>
      </w:r>
      <w:r w:rsidRPr="00881D14">
        <w:rPr>
          <w:lang w:val="en-GB"/>
        </w:rPr>
        <w:t>re essential to a prosperous and democratic society but n</w:t>
      </w:r>
      <w:r>
        <w:rPr>
          <w:lang w:val="en-GB"/>
        </w:rPr>
        <w:t>o</w:t>
      </w:r>
      <w:r w:rsidRPr="00881D14">
        <w:rPr>
          <w:lang w:val="en-GB"/>
        </w:rPr>
        <w:t xml:space="preserve">t sustainable as </w:t>
      </w:r>
      <w:r>
        <w:rPr>
          <w:lang w:val="en-GB"/>
        </w:rPr>
        <w:t xml:space="preserve">a </w:t>
      </w:r>
      <w:r w:rsidRPr="00881D14">
        <w:rPr>
          <w:lang w:val="en-GB"/>
        </w:rPr>
        <w:t xml:space="preserve">private sector business model. This gave TVO </w:t>
      </w:r>
      <w:proofErr w:type="gramStart"/>
      <w:r w:rsidRPr="00881D14">
        <w:rPr>
          <w:lang w:val="en-GB"/>
        </w:rPr>
        <w:t>a purity</w:t>
      </w:r>
      <w:proofErr w:type="gramEnd"/>
      <w:r w:rsidRPr="00881D14">
        <w:rPr>
          <w:lang w:val="en-GB"/>
        </w:rPr>
        <w:t>-of-mission</w:t>
      </w:r>
      <w:r>
        <w:rPr>
          <w:lang w:val="en-GB"/>
        </w:rPr>
        <w:t>.</w:t>
      </w:r>
      <w:r w:rsidRPr="00881D14">
        <w:rPr>
          <w:lang w:val="en-GB"/>
        </w:rPr>
        <w:t xml:space="preserve"> </w:t>
      </w:r>
      <w:r>
        <w:rPr>
          <w:lang w:val="en-GB"/>
        </w:rPr>
        <w:t>Its children</w:t>
      </w:r>
      <w:r w:rsidR="00072274">
        <w:rPr>
          <w:lang w:val="en-GB"/>
        </w:rPr>
        <w:t>’s</w:t>
      </w:r>
      <w:r w:rsidRPr="00881D14">
        <w:rPr>
          <w:lang w:val="en-GB"/>
        </w:rPr>
        <w:t xml:space="preserve"> programming, journalism</w:t>
      </w:r>
      <w:r>
        <w:rPr>
          <w:lang w:val="en-GB"/>
        </w:rPr>
        <w:t>,</w:t>
      </w:r>
      <w:r w:rsidRPr="00881D14">
        <w:rPr>
          <w:lang w:val="en-GB"/>
        </w:rPr>
        <w:t xml:space="preserve"> and documentaries all answered to the highest standards of education and journalism, </w:t>
      </w:r>
      <w:r>
        <w:rPr>
          <w:lang w:val="en-GB"/>
        </w:rPr>
        <w:t xml:space="preserve">while </w:t>
      </w:r>
      <w:r w:rsidRPr="00881D14">
        <w:rPr>
          <w:lang w:val="en-GB"/>
        </w:rPr>
        <w:t xml:space="preserve">not selling advertising. TVO’s businesses </w:t>
      </w:r>
      <w:r>
        <w:rPr>
          <w:lang w:val="en-GB"/>
        </w:rPr>
        <w:t>comprised</w:t>
      </w:r>
      <w:r w:rsidRPr="00881D14">
        <w:rPr>
          <w:lang w:val="en-GB"/>
        </w:rPr>
        <w:t xml:space="preserve"> two </w:t>
      </w:r>
      <w:r>
        <w:rPr>
          <w:lang w:val="en-GB"/>
        </w:rPr>
        <w:t>main areas.</w:t>
      </w:r>
      <w:r w:rsidRPr="00881D14">
        <w:rPr>
          <w:lang w:val="en-GB"/>
        </w:rPr>
        <w:t xml:space="preserve"> </w:t>
      </w:r>
      <w:r>
        <w:rPr>
          <w:lang w:val="en-GB"/>
        </w:rPr>
        <w:t xml:space="preserve">The first area was </w:t>
      </w:r>
      <w:r w:rsidRPr="00881D14">
        <w:rPr>
          <w:lang w:val="en-GB"/>
        </w:rPr>
        <w:t>responsible for television and media</w:t>
      </w:r>
      <w:r>
        <w:rPr>
          <w:lang w:val="en-GB"/>
        </w:rPr>
        <w:t xml:space="preserve">, and included </w:t>
      </w:r>
      <w:r w:rsidRPr="00881D14">
        <w:rPr>
          <w:lang w:val="en-GB"/>
        </w:rPr>
        <w:t xml:space="preserve">current affairs, documentaries, </w:t>
      </w:r>
      <w:r>
        <w:rPr>
          <w:lang w:val="en-GB"/>
        </w:rPr>
        <w:t>and children</w:t>
      </w:r>
      <w:r w:rsidRPr="00881D14">
        <w:rPr>
          <w:lang w:val="en-GB"/>
        </w:rPr>
        <w:t xml:space="preserve"> and parent program</w:t>
      </w:r>
      <w:r>
        <w:rPr>
          <w:lang w:val="en-GB"/>
        </w:rPr>
        <w:t>ming.</w:t>
      </w:r>
      <w:r w:rsidRPr="00881D14">
        <w:rPr>
          <w:lang w:val="en-GB"/>
        </w:rPr>
        <w:t xml:space="preserve"> </w:t>
      </w:r>
      <w:r>
        <w:rPr>
          <w:lang w:val="en-GB"/>
        </w:rPr>
        <w:t xml:space="preserve">The second area was </w:t>
      </w:r>
      <w:r w:rsidRPr="00881D14">
        <w:rPr>
          <w:lang w:val="en-GB"/>
        </w:rPr>
        <w:t>responsible for educational services</w:t>
      </w:r>
      <w:r>
        <w:rPr>
          <w:lang w:val="en-GB"/>
        </w:rPr>
        <w:t>,</w:t>
      </w:r>
      <w:r w:rsidRPr="00881D14">
        <w:rPr>
          <w:lang w:val="en-GB"/>
        </w:rPr>
        <w:t xml:space="preserve"> </w:t>
      </w:r>
      <w:r>
        <w:rPr>
          <w:lang w:val="en-GB"/>
        </w:rPr>
        <w:t xml:space="preserve">such as the </w:t>
      </w:r>
      <w:r w:rsidRPr="00881D14">
        <w:rPr>
          <w:lang w:val="en-GB"/>
        </w:rPr>
        <w:t>Independent Learning Centre</w:t>
      </w:r>
      <w:r>
        <w:rPr>
          <w:lang w:val="en-GB"/>
        </w:rPr>
        <w:t xml:space="preserve"> (ILC</w:t>
      </w:r>
      <w:r w:rsidRPr="00881D14">
        <w:rPr>
          <w:lang w:val="en-GB"/>
        </w:rPr>
        <w:t>)</w:t>
      </w:r>
      <w:r>
        <w:rPr>
          <w:lang w:val="en-GB"/>
        </w:rPr>
        <w:t>,</w:t>
      </w:r>
      <w:r w:rsidRPr="00881D14">
        <w:rPr>
          <w:lang w:val="en-GB"/>
        </w:rPr>
        <w:t xml:space="preserve"> and support for learners</w:t>
      </w:r>
      <w:r>
        <w:rPr>
          <w:lang w:val="en-GB"/>
        </w:rPr>
        <w:t>,</w:t>
      </w:r>
      <w:r w:rsidRPr="00881D14">
        <w:rPr>
          <w:lang w:val="en-GB"/>
        </w:rPr>
        <w:t xml:space="preserve"> </w:t>
      </w:r>
      <w:r>
        <w:rPr>
          <w:lang w:val="en-GB"/>
        </w:rPr>
        <w:t xml:space="preserve">such as the </w:t>
      </w:r>
      <w:r w:rsidRPr="00881D14">
        <w:rPr>
          <w:lang w:val="en-GB"/>
        </w:rPr>
        <w:t>Homework Help</w:t>
      </w:r>
      <w:r>
        <w:rPr>
          <w:lang w:val="en-GB"/>
        </w:rPr>
        <w:t xml:space="preserve"> program</w:t>
      </w:r>
      <w:r w:rsidRPr="00881D14">
        <w:rPr>
          <w:lang w:val="en-GB"/>
        </w:rPr>
        <w:t>.</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Pr>
          <w:lang w:val="en-GB"/>
        </w:rPr>
        <w:t>Commenting</w:t>
      </w:r>
      <w:r w:rsidRPr="00881D14">
        <w:rPr>
          <w:lang w:val="en-GB"/>
        </w:rPr>
        <w:t xml:space="preserve"> on her personal style of leadership</w:t>
      </w:r>
      <w:r>
        <w:rPr>
          <w:lang w:val="en-GB"/>
        </w:rPr>
        <w:t>, de Wilde explained her focus</w:t>
      </w:r>
      <w:r w:rsidRPr="00881D14">
        <w:rPr>
          <w:lang w:val="en-GB"/>
        </w:rPr>
        <w:t>:</w:t>
      </w:r>
    </w:p>
    <w:p w:rsidR="00516ED9" w:rsidRPr="00881D14" w:rsidRDefault="00516ED9" w:rsidP="00E01834">
      <w:pPr>
        <w:pStyle w:val="BodyTextMain"/>
        <w:rPr>
          <w:lang w:val="en-GB"/>
        </w:rPr>
      </w:pPr>
    </w:p>
    <w:p w:rsidR="00516ED9" w:rsidRPr="00881D14" w:rsidRDefault="00516ED9" w:rsidP="00E01834">
      <w:pPr>
        <w:pStyle w:val="BodyTextMain"/>
        <w:ind w:left="720"/>
        <w:rPr>
          <w:lang w:val="en-GB"/>
        </w:rPr>
      </w:pPr>
      <w:r w:rsidRPr="00881D14">
        <w:rPr>
          <w:lang w:val="en-GB"/>
        </w:rPr>
        <w:t>Leadership is all about providing clarity of purpose, giving people reasons to believe that they are making a difference and just letting them do it their way, while making sure that, by and large, they stay the course. At a personal level, I work hard, am driven, and do well in an environment marked by high level of complexity and change. That’s why I like my role at TVO. I’m critical, of myself and I am always asking: “What could have been done better?” or “How can I fine-tune what has been done?” I am also resilient, always optimizing and course correcting. I also have a high sense of urgency. Tomorrow is too late for me. I like the puzzle of figuring things out. I</w:t>
      </w:r>
      <w:r>
        <w:rPr>
          <w:lang w:val="en-GB"/>
        </w:rPr>
        <w:t>’</w:t>
      </w:r>
      <w:r w:rsidRPr="00881D14">
        <w:rPr>
          <w:lang w:val="en-GB"/>
        </w:rPr>
        <w:t>m not a technologist</w:t>
      </w:r>
      <w:r>
        <w:rPr>
          <w:lang w:val="en-GB"/>
        </w:rPr>
        <w:t>,</w:t>
      </w:r>
      <w:r w:rsidRPr="00881D14">
        <w:rPr>
          <w:lang w:val="en-GB"/>
        </w:rPr>
        <w:t xml:space="preserve"> but I get satisfaction from leveraging technology for the common good. What we are doing at TVO is important.</w:t>
      </w:r>
    </w:p>
    <w:p w:rsidR="00516ED9" w:rsidRPr="00881D14" w:rsidRDefault="00516ED9" w:rsidP="00E01834">
      <w:pPr>
        <w:pStyle w:val="BodyTextMain"/>
        <w:rPr>
          <w:lang w:val="en-GB"/>
        </w:rPr>
      </w:pPr>
    </w:p>
    <w:p w:rsidR="00516ED9" w:rsidRDefault="00516ED9" w:rsidP="00E01834">
      <w:pPr>
        <w:pStyle w:val="BodyTextMain"/>
        <w:rPr>
          <w:lang w:val="en-GB"/>
        </w:rPr>
      </w:pPr>
      <w:r w:rsidRPr="00881D14">
        <w:rPr>
          <w:lang w:val="en-GB"/>
        </w:rPr>
        <w:t>TVO was in the mid</w:t>
      </w:r>
      <w:r>
        <w:rPr>
          <w:lang w:val="en-GB"/>
        </w:rPr>
        <w:t>st</w:t>
      </w:r>
      <w:r w:rsidRPr="00881D14">
        <w:rPr>
          <w:lang w:val="en-GB"/>
        </w:rPr>
        <w:t xml:space="preserve"> of introducing further innovations in its program</w:t>
      </w:r>
      <w:r>
        <w:rPr>
          <w:lang w:val="en-GB"/>
        </w:rPr>
        <w:t>m</w:t>
      </w:r>
      <w:r w:rsidRPr="00881D14">
        <w:rPr>
          <w:lang w:val="en-GB"/>
        </w:rPr>
        <w:t>ing when de Wilde had a burning platform on her hands.</w:t>
      </w:r>
    </w:p>
    <w:p w:rsidR="00792E66" w:rsidRPr="00881D14" w:rsidRDefault="00792E66" w:rsidP="00E01834">
      <w:pPr>
        <w:pStyle w:val="BodyTextMain"/>
        <w:rPr>
          <w:lang w:val="en-GB"/>
        </w:rPr>
      </w:pPr>
    </w:p>
    <w:p w:rsidR="00516ED9" w:rsidRPr="00881D14" w:rsidRDefault="00516ED9" w:rsidP="00516ED9">
      <w:pPr>
        <w:pStyle w:val="Casehead1"/>
        <w:rPr>
          <w:lang w:val="en-GB"/>
        </w:rPr>
      </w:pPr>
      <w:r w:rsidRPr="00881D14">
        <w:rPr>
          <w:lang w:val="en-GB"/>
        </w:rPr>
        <w:lastRenderedPageBreak/>
        <w:t xml:space="preserve">CANADIAN BROADCASTING INDUSTRY </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The Canadian broadcasting industry had revenues of $17.1 billion in 2013 (</w:t>
      </w:r>
      <w:r>
        <w:rPr>
          <w:lang w:val="en-GB"/>
        </w:rPr>
        <w:t>se</w:t>
      </w:r>
      <w:r w:rsidRPr="00881D14">
        <w:rPr>
          <w:lang w:val="en-GB"/>
        </w:rPr>
        <w:t>e</w:t>
      </w:r>
      <w:r>
        <w:rPr>
          <w:lang w:val="en-GB"/>
        </w:rPr>
        <w:t xml:space="preserve"> E</w:t>
      </w:r>
      <w:r w:rsidRPr="00881D14">
        <w:rPr>
          <w:lang w:val="en-GB"/>
        </w:rPr>
        <w:t xml:space="preserve">xhibit 1). </w:t>
      </w:r>
      <w:r>
        <w:rPr>
          <w:lang w:val="en-GB"/>
        </w:rPr>
        <w:t>The industry consisted of</w:t>
      </w:r>
      <w:r w:rsidRPr="00881D14">
        <w:rPr>
          <w:lang w:val="en-GB"/>
        </w:rPr>
        <w:t xml:space="preserve"> three segments: radio</w:t>
      </w:r>
      <w:r>
        <w:rPr>
          <w:lang w:val="en-GB"/>
        </w:rPr>
        <w:t>, which</w:t>
      </w:r>
      <w:r w:rsidRPr="00881D14">
        <w:rPr>
          <w:lang w:val="en-GB"/>
        </w:rPr>
        <w:t xml:space="preserve"> generated 9 per cent of revenues</w:t>
      </w:r>
      <w:r>
        <w:rPr>
          <w:lang w:val="en-GB"/>
        </w:rPr>
        <w:t>;</w:t>
      </w:r>
      <w:r w:rsidRPr="00881D14">
        <w:rPr>
          <w:lang w:val="en-GB"/>
        </w:rPr>
        <w:t xml:space="preserve"> television</w:t>
      </w:r>
      <w:r>
        <w:rPr>
          <w:lang w:val="en-GB"/>
        </w:rPr>
        <w:t>, which</w:t>
      </w:r>
      <w:r w:rsidRPr="00881D14">
        <w:rPr>
          <w:lang w:val="en-GB"/>
        </w:rPr>
        <w:t xml:space="preserve"> generated 38 per cent</w:t>
      </w:r>
      <w:r>
        <w:rPr>
          <w:lang w:val="en-GB"/>
        </w:rPr>
        <w:t xml:space="preserve"> of revenues;</w:t>
      </w:r>
      <w:r w:rsidRPr="00881D14">
        <w:rPr>
          <w:lang w:val="en-GB"/>
        </w:rPr>
        <w:t xml:space="preserve"> and broadcasting distribution undertakings (BDU)</w:t>
      </w:r>
      <w:r>
        <w:rPr>
          <w:lang w:val="en-GB"/>
        </w:rPr>
        <w:t>,</w:t>
      </w:r>
      <w:r w:rsidRPr="00881D14">
        <w:rPr>
          <w:lang w:val="en-GB"/>
        </w:rPr>
        <w:t xml:space="preserve"> </w:t>
      </w:r>
      <w:r>
        <w:rPr>
          <w:lang w:val="en-GB"/>
        </w:rPr>
        <w:t xml:space="preserve">which </w:t>
      </w:r>
      <w:r w:rsidRPr="00881D14">
        <w:rPr>
          <w:lang w:val="en-GB"/>
        </w:rPr>
        <w:t>generated 53 per cent</w:t>
      </w:r>
      <w:r>
        <w:rPr>
          <w:lang w:val="en-GB"/>
        </w:rPr>
        <w:t xml:space="preserve"> of revenues</w:t>
      </w:r>
      <w:r w:rsidRPr="00881D14">
        <w:rPr>
          <w:lang w:val="en-GB"/>
        </w:rPr>
        <w:t xml:space="preserve">. The five largest </w:t>
      </w:r>
      <w:r>
        <w:rPr>
          <w:lang w:val="en-GB"/>
        </w:rPr>
        <w:t xml:space="preserve">radio </w:t>
      </w:r>
      <w:r w:rsidRPr="00881D14">
        <w:rPr>
          <w:lang w:val="en-GB"/>
        </w:rPr>
        <w:t>companies</w:t>
      </w:r>
      <w:r>
        <w:rPr>
          <w:lang w:val="en-GB"/>
        </w:rPr>
        <w:t xml:space="preserve"> </w:t>
      </w:r>
      <w:r w:rsidRPr="00881D14">
        <w:rPr>
          <w:lang w:val="en-GB"/>
        </w:rPr>
        <w:t>held over 68 per cent of th</w:t>
      </w:r>
      <w:r>
        <w:rPr>
          <w:lang w:val="en-GB"/>
        </w:rPr>
        <w:t>at</w:t>
      </w:r>
      <w:r w:rsidRPr="00881D14">
        <w:rPr>
          <w:lang w:val="en-GB"/>
        </w:rPr>
        <w:t xml:space="preserve"> segment</w:t>
      </w:r>
      <w:r>
        <w:rPr>
          <w:lang w:val="en-GB"/>
        </w:rPr>
        <w:t xml:space="preserve">, and consisted of </w:t>
      </w:r>
      <w:r w:rsidRPr="00881D14">
        <w:rPr>
          <w:lang w:val="en-GB"/>
        </w:rPr>
        <w:t>BCE, Corus Entertainment (Corus), Rogers Communications Inc. (Rogers), Newfoundland Capital Corporation</w:t>
      </w:r>
      <w:r>
        <w:rPr>
          <w:lang w:val="en-GB"/>
        </w:rPr>
        <w:t>,</w:t>
      </w:r>
      <w:r w:rsidRPr="00881D14">
        <w:rPr>
          <w:lang w:val="en-GB"/>
        </w:rPr>
        <w:t xml:space="preserve"> and </w:t>
      </w:r>
      <w:proofErr w:type="spellStart"/>
      <w:r w:rsidRPr="00881D14">
        <w:rPr>
          <w:lang w:val="en-GB"/>
        </w:rPr>
        <w:t>Cogeco</w:t>
      </w:r>
      <w:proofErr w:type="spellEnd"/>
      <w:r w:rsidRPr="00881D14">
        <w:rPr>
          <w:lang w:val="en-GB"/>
        </w:rPr>
        <w:t xml:space="preserve"> Connexion (</w:t>
      </w:r>
      <w:proofErr w:type="spellStart"/>
      <w:r w:rsidRPr="00881D14">
        <w:rPr>
          <w:lang w:val="en-GB"/>
        </w:rPr>
        <w:t>Cogeco</w:t>
      </w:r>
      <w:proofErr w:type="spellEnd"/>
      <w:r w:rsidRPr="00881D14">
        <w:rPr>
          <w:lang w:val="en-GB"/>
        </w:rPr>
        <w:t xml:space="preserve">). Similarly, the five largest </w:t>
      </w:r>
      <w:r>
        <w:rPr>
          <w:lang w:val="en-GB"/>
        </w:rPr>
        <w:t xml:space="preserve">television </w:t>
      </w:r>
      <w:r w:rsidRPr="00881D14">
        <w:rPr>
          <w:lang w:val="en-GB"/>
        </w:rPr>
        <w:t>broadcasters</w:t>
      </w:r>
      <w:r>
        <w:rPr>
          <w:lang w:val="en-GB"/>
        </w:rPr>
        <w:t xml:space="preserve"> </w:t>
      </w:r>
      <w:r w:rsidRPr="00881D14">
        <w:rPr>
          <w:lang w:val="en-GB"/>
        </w:rPr>
        <w:t>held 74 per cent of th</w:t>
      </w:r>
      <w:r>
        <w:rPr>
          <w:lang w:val="en-GB"/>
        </w:rPr>
        <w:t xml:space="preserve">at </w:t>
      </w:r>
      <w:r w:rsidRPr="00881D14">
        <w:rPr>
          <w:lang w:val="en-GB"/>
        </w:rPr>
        <w:t>segment</w:t>
      </w:r>
      <w:r>
        <w:rPr>
          <w:lang w:val="en-GB"/>
        </w:rPr>
        <w:t xml:space="preserve">, and consisted of </w:t>
      </w:r>
      <w:r w:rsidRPr="00881D14">
        <w:rPr>
          <w:lang w:val="en-GB"/>
        </w:rPr>
        <w:t>BCE, Shaw Communications Inc. (Shaw), Rogers, Corus, and Quebecor Inc. Also, the five largest distributors</w:t>
      </w:r>
      <w:r>
        <w:rPr>
          <w:lang w:val="en-GB"/>
        </w:rPr>
        <w:t xml:space="preserve"> </w:t>
      </w:r>
      <w:r w:rsidRPr="00881D14">
        <w:rPr>
          <w:lang w:val="en-GB"/>
        </w:rPr>
        <w:t xml:space="preserve">held 86 per cent of the BDU </w:t>
      </w:r>
      <w:r>
        <w:rPr>
          <w:lang w:val="en-GB"/>
        </w:rPr>
        <w:t xml:space="preserve">segment, and consisted of </w:t>
      </w:r>
      <w:r w:rsidRPr="00881D14">
        <w:rPr>
          <w:lang w:val="en-GB"/>
        </w:rPr>
        <w:t xml:space="preserve">BCE, </w:t>
      </w:r>
      <w:proofErr w:type="spellStart"/>
      <w:r w:rsidRPr="00881D14">
        <w:rPr>
          <w:lang w:val="en-GB"/>
        </w:rPr>
        <w:t>Cogeco</w:t>
      </w:r>
      <w:proofErr w:type="spellEnd"/>
      <w:r w:rsidRPr="00881D14">
        <w:rPr>
          <w:lang w:val="en-GB"/>
        </w:rPr>
        <w:t xml:space="preserve">, Rogers, Shaw, and </w:t>
      </w:r>
      <w:proofErr w:type="spellStart"/>
      <w:r w:rsidRPr="00881D14">
        <w:rPr>
          <w:lang w:val="en-GB"/>
        </w:rPr>
        <w:t>Vidéotron</w:t>
      </w:r>
      <w:proofErr w:type="spellEnd"/>
      <w:r w:rsidRPr="00881D14">
        <w:rPr>
          <w:lang w:val="en-GB"/>
        </w:rPr>
        <w:t>.</w:t>
      </w:r>
      <w:r w:rsidR="00072274">
        <w:rPr>
          <w:rStyle w:val="FootnoteReference"/>
          <w:lang w:val="en-GB"/>
        </w:rPr>
        <w:footnoteReference w:id="5"/>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The television broadcasting segment (including cable</w:t>
      </w:r>
      <w:r>
        <w:rPr>
          <w:lang w:val="en-GB"/>
        </w:rPr>
        <w:t>,</w:t>
      </w:r>
      <w:r w:rsidRPr="00881D14">
        <w:rPr>
          <w:lang w:val="en-GB"/>
        </w:rPr>
        <w:t xml:space="preserve"> specialty services</w:t>
      </w:r>
      <w:r>
        <w:rPr>
          <w:lang w:val="en-GB"/>
        </w:rPr>
        <w:t>,</w:t>
      </w:r>
      <w:r w:rsidRPr="00881D14">
        <w:rPr>
          <w:lang w:val="en-GB"/>
        </w:rPr>
        <w:t xml:space="preserve"> and pay </w:t>
      </w:r>
      <w:r>
        <w:rPr>
          <w:lang w:val="en-GB"/>
        </w:rPr>
        <w:t>television</w:t>
      </w:r>
      <w:r w:rsidRPr="00881D14">
        <w:rPr>
          <w:lang w:val="en-GB"/>
        </w:rPr>
        <w:t>) consisted of enterprises that largely acquired program</w:t>
      </w:r>
      <w:r>
        <w:rPr>
          <w:lang w:val="en-GB"/>
        </w:rPr>
        <w:t>m</w:t>
      </w:r>
      <w:r w:rsidRPr="00881D14">
        <w:rPr>
          <w:lang w:val="en-GB"/>
        </w:rPr>
        <w:t>ing from foreign markets, licensed programming from Canadian independent producers</w:t>
      </w:r>
      <w:r>
        <w:rPr>
          <w:lang w:val="en-GB"/>
        </w:rPr>
        <w:t>,</w:t>
      </w:r>
      <w:r w:rsidRPr="00881D14">
        <w:rPr>
          <w:lang w:val="en-GB"/>
        </w:rPr>
        <w:t xml:space="preserve"> created some in-house programming (mostly news)</w:t>
      </w:r>
      <w:r>
        <w:rPr>
          <w:lang w:val="en-GB"/>
        </w:rPr>
        <w:t>,</w:t>
      </w:r>
      <w:r w:rsidRPr="00881D14">
        <w:rPr>
          <w:lang w:val="en-GB"/>
        </w:rPr>
        <w:t xml:space="preserve"> and delivered it to viewers. </w:t>
      </w:r>
      <w:r>
        <w:rPr>
          <w:lang w:val="en-GB"/>
        </w:rPr>
        <w:t>The segment</w:t>
      </w:r>
      <w:r w:rsidRPr="00881D14">
        <w:rPr>
          <w:lang w:val="en-GB"/>
        </w:rPr>
        <w:t xml:space="preserve"> employed about 60,000 people. Canadians had access to over 700 cable channels. Approximately 12 million Canadian homes had a cable or satellite television subscription</w:t>
      </w:r>
      <w:r>
        <w:rPr>
          <w:lang w:val="en-GB"/>
        </w:rPr>
        <w:t>.</w:t>
      </w:r>
      <w:r w:rsidRPr="00881D14">
        <w:rPr>
          <w:lang w:val="en-GB"/>
        </w:rPr>
        <w:t xml:space="preserve"> TVO was delivered into every one of these homes in Ontario. One in three Canadians watched television over the Internet through services such as Netflix</w:t>
      </w:r>
      <w:r w:rsidR="00072274">
        <w:rPr>
          <w:lang w:val="en-GB"/>
        </w:rPr>
        <w:t xml:space="preserve"> Inc.</w:t>
      </w:r>
      <w:r w:rsidRPr="00881D14">
        <w:rPr>
          <w:lang w:val="en-GB"/>
        </w:rPr>
        <w:t xml:space="preserve"> In 2013, one in 20 Canadians watched Internet television on a tablet or smartphone.</w:t>
      </w:r>
      <w:r w:rsidRPr="00881D14">
        <w:rPr>
          <w:vertAlign w:val="superscript"/>
          <w:lang w:val="en-GB"/>
        </w:rPr>
        <w:footnoteReference w:id="6"/>
      </w:r>
      <w:r w:rsidRPr="00881D14">
        <w:rPr>
          <w:lang w:val="en-GB"/>
        </w:rPr>
        <w:t xml:space="preserve"> Kids were adapting to these technologies at a rapid pace.</w:t>
      </w:r>
    </w:p>
    <w:p w:rsidR="00516ED9" w:rsidRPr="00881D14" w:rsidRDefault="00516ED9" w:rsidP="00E01834">
      <w:pPr>
        <w:pStyle w:val="BodyTextMain"/>
        <w:rPr>
          <w:lang w:val="en-GB"/>
        </w:rPr>
      </w:pPr>
    </w:p>
    <w:p w:rsidR="00516ED9" w:rsidRPr="00F11AE4" w:rsidRDefault="00516ED9" w:rsidP="00E01834">
      <w:pPr>
        <w:pStyle w:val="BodyTextMain"/>
        <w:rPr>
          <w:spacing w:val="-2"/>
          <w:lang w:val="en-GB"/>
        </w:rPr>
      </w:pPr>
      <w:r w:rsidRPr="00F11AE4">
        <w:rPr>
          <w:spacing w:val="-2"/>
          <w:lang w:val="en-GB"/>
        </w:rPr>
        <w:t>The Canadian broadcasting industry had undergone a transformation over the previous 30 years through the rise of cable channels, which drew viewership away from conventional television channels (i.e., over-the-air broadcasting). Although consumers continued to seek television programming, the industry was facing disruption on an even greater scale, brought on by the rise of global streaming services such as Netflix and Amazon. Consumption was shifting to new platforms, particularly among the young. Since the industry had long operated under a distinct territorial market for Canadian rights, the shift to a global market was potentially catastrophic, given Canada’s small domestic market. Clearly, the Canadian broadcasting industry would soon be engaged in an existential fight for survival. Disruption was also causing similar ripples in the advertising industry, a key source of revenue for the television industry. Change was also present in the regulatory framework that had long supported the Canadian broadcasting industry.</w:t>
      </w:r>
    </w:p>
    <w:p w:rsidR="00516ED9" w:rsidRPr="00881D14" w:rsidRDefault="00516ED9" w:rsidP="00E01834">
      <w:pPr>
        <w:pStyle w:val="BodyTextMain"/>
        <w:rPr>
          <w:lang w:val="en-GB"/>
        </w:rPr>
      </w:pPr>
    </w:p>
    <w:p w:rsidR="00516ED9" w:rsidRPr="00881D14" w:rsidRDefault="00516ED9" w:rsidP="00E01834">
      <w:pPr>
        <w:pStyle w:val="BodyTextMain"/>
        <w:rPr>
          <w:lang w:val="en-GB"/>
        </w:rPr>
      </w:pPr>
    </w:p>
    <w:p w:rsidR="00516ED9" w:rsidRPr="00881D14" w:rsidRDefault="00516ED9" w:rsidP="00516ED9">
      <w:pPr>
        <w:pStyle w:val="Casehead1"/>
        <w:rPr>
          <w:lang w:val="en-GB"/>
        </w:rPr>
      </w:pPr>
      <w:r w:rsidRPr="00881D14">
        <w:rPr>
          <w:lang w:val="en-GB"/>
        </w:rPr>
        <w:t>ONTARIO EDUCATION SECTOR</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The education space in Ontario was also experiencing a period of disruption. The changing job market brought on by globalization, technology</w:t>
      </w:r>
      <w:r>
        <w:rPr>
          <w:lang w:val="en-GB"/>
        </w:rPr>
        <w:t>,</w:t>
      </w:r>
      <w:r w:rsidRPr="00881D14">
        <w:rPr>
          <w:lang w:val="en-GB"/>
        </w:rPr>
        <w:t xml:space="preserve"> and the knowledge economy was driving a focus on 21</w:t>
      </w:r>
      <w:r w:rsidRPr="0043778A">
        <w:rPr>
          <w:lang w:val="en-GB"/>
        </w:rPr>
        <w:t>st</w:t>
      </w:r>
      <w:r>
        <w:rPr>
          <w:lang w:val="en-GB"/>
        </w:rPr>
        <w:t>-</w:t>
      </w:r>
      <w:r w:rsidRPr="00881D14">
        <w:rPr>
          <w:lang w:val="en-GB"/>
        </w:rPr>
        <w:t xml:space="preserve">century learning competencies to equip students for the </w:t>
      </w:r>
      <w:r>
        <w:rPr>
          <w:lang w:val="en-GB"/>
        </w:rPr>
        <w:t xml:space="preserve">current and future </w:t>
      </w:r>
      <w:r w:rsidRPr="00881D14">
        <w:rPr>
          <w:lang w:val="en-GB"/>
        </w:rPr>
        <w:t>job market. There were also advances in pedagogy</w:t>
      </w:r>
      <w:r>
        <w:rPr>
          <w:lang w:val="en-GB"/>
        </w:rPr>
        <w:t>.</w:t>
      </w:r>
      <w:r w:rsidRPr="00881D14">
        <w:rPr>
          <w:lang w:val="en-GB"/>
        </w:rPr>
        <w:t xml:space="preserve"> </w:t>
      </w:r>
      <w:r>
        <w:rPr>
          <w:lang w:val="en-GB"/>
        </w:rPr>
        <w:t>D</w:t>
      </w:r>
      <w:r w:rsidRPr="00881D14">
        <w:rPr>
          <w:lang w:val="en-GB"/>
        </w:rPr>
        <w:t xml:space="preserve">ifferentiated learning and student supports </w:t>
      </w:r>
      <w:r>
        <w:rPr>
          <w:lang w:val="en-GB"/>
        </w:rPr>
        <w:t>were</w:t>
      </w:r>
      <w:r w:rsidRPr="00881D14">
        <w:rPr>
          <w:lang w:val="en-GB"/>
        </w:rPr>
        <w:t xml:space="preserve"> moving away from </w:t>
      </w:r>
      <w:r>
        <w:rPr>
          <w:lang w:val="en-GB"/>
        </w:rPr>
        <w:t>traditional generic models to customized</w:t>
      </w:r>
      <w:r w:rsidRPr="00881D14">
        <w:rPr>
          <w:lang w:val="en-GB"/>
        </w:rPr>
        <w:t xml:space="preserve"> approaches. Silicon Valley</w:t>
      </w:r>
      <w:r>
        <w:rPr>
          <w:lang w:val="en-GB"/>
        </w:rPr>
        <w:t>’s</w:t>
      </w:r>
      <w:r w:rsidRPr="00881D14">
        <w:rPr>
          <w:lang w:val="en-GB"/>
        </w:rPr>
        <w:t xml:space="preserve"> obsess</w:t>
      </w:r>
      <w:r>
        <w:rPr>
          <w:lang w:val="en-GB"/>
        </w:rPr>
        <w:t>ion</w:t>
      </w:r>
      <w:r w:rsidRPr="00881D14">
        <w:rPr>
          <w:lang w:val="en-GB"/>
        </w:rPr>
        <w:t xml:space="preserve"> with </w:t>
      </w:r>
      <w:r>
        <w:rPr>
          <w:lang w:val="en-GB"/>
        </w:rPr>
        <w:t>the</w:t>
      </w:r>
      <w:r w:rsidRPr="00881D14">
        <w:rPr>
          <w:lang w:val="en-GB"/>
        </w:rPr>
        <w:t xml:space="preserve"> </w:t>
      </w:r>
      <w:r>
        <w:rPr>
          <w:lang w:val="en-GB"/>
        </w:rPr>
        <w:t>so-</w:t>
      </w:r>
      <w:r w:rsidRPr="00881D14">
        <w:rPr>
          <w:lang w:val="en-GB"/>
        </w:rPr>
        <w:t>called “edut</w:t>
      </w:r>
      <w:r>
        <w:rPr>
          <w:lang w:val="en-GB"/>
        </w:rPr>
        <w:t>ainment</w:t>
      </w:r>
      <w:r w:rsidRPr="00881D14">
        <w:rPr>
          <w:lang w:val="en-GB"/>
        </w:rPr>
        <w:t>”</w:t>
      </w:r>
      <w:r>
        <w:rPr>
          <w:lang w:val="en-GB"/>
        </w:rPr>
        <w:t xml:space="preserve"> segment</w:t>
      </w:r>
      <w:r w:rsidRPr="00881D14">
        <w:rPr>
          <w:lang w:val="en-GB"/>
        </w:rPr>
        <w:t xml:space="preserve"> </w:t>
      </w:r>
      <w:r>
        <w:rPr>
          <w:lang w:val="en-GB"/>
        </w:rPr>
        <w:t xml:space="preserve">resulted </w:t>
      </w:r>
      <w:r w:rsidRPr="00881D14">
        <w:rPr>
          <w:lang w:val="en-GB"/>
        </w:rPr>
        <w:t xml:space="preserve">in </w:t>
      </w:r>
      <w:r>
        <w:rPr>
          <w:lang w:val="en-GB"/>
        </w:rPr>
        <w:t xml:space="preserve">the flow of </w:t>
      </w:r>
      <w:r w:rsidRPr="00881D14">
        <w:rPr>
          <w:lang w:val="en-GB"/>
        </w:rPr>
        <w:t>investment</w:t>
      </w:r>
      <w:r>
        <w:rPr>
          <w:lang w:val="en-GB"/>
        </w:rPr>
        <w:t xml:space="preserve"> moving</w:t>
      </w:r>
      <w:r w:rsidRPr="00881D14">
        <w:rPr>
          <w:lang w:val="en-GB"/>
        </w:rPr>
        <w:t xml:space="preserve"> to</w:t>
      </w:r>
      <w:r>
        <w:rPr>
          <w:lang w:val="en-GB"/>
        </w:rPr>
        <w:t>ward</w:t>
      </w:r>
      <w:r w:rsidRPr="00881D14">
        <w:rPr>
          <w:lang w:val="en-GB"/>
        </w:rPr>
        <w:t xml:space="preserve"> education-based start</w:t>
      </w:r>
      <w:r>
        <w:rPr>
          <w:lang w:val="en-GB"/>
        </w:rPr>
        <w:t>-</w:t>
      </w:r>
      <w:r w:rsidRPr="00881D14">
        <w:rPr>
          <w:lang w:val="en-GB"/>
        </w:rPr>
        <w:t xml:space="preserve">ups. It was like the early days of the web or mobile. The Ontario Ministry of Education was </w:t>
      </w:r>
      <w:r>
        <w:rPr>
          <w:lang w:val="en-GB"/>
        </w:rPr>
        <w:t>attempting to</w:t>
      </w:r>
      <w:r w:rsidRPr="00881D14">
        <w:rPr>
          <w:lang w:val="en-GB"/>
        </w:rPr>
        <w:t xml:space="preserve"> crystaliz</w:t>
      </w:r>
      <w:r>
        <w:rPr>
          <w:lang w:val="en-GB"/>
        </w:rPr>
        <w:t>e</w:t>
      </w:r>
      <w:r w:rsidRPr="00881D14">
        <w:rPr>
          <w:lang w:val="en-GB"/>
        </w:rPr>
        <w:t xml:space="preserve"> all of this</w:t>
      </w:r>
      <w:r>
        <w:rPr>
          <w:lang w:val="en-GB"/>
        </w:rPr>
        <w:t xml:space="preserve"> change</w:t>
      </w:r>
      <w:r w:rsidRPr="00881D14">
        <w:rPr>
          <w:lang w:val="en-GB"/>
        </w:rPr>
        <w:t xml:space="preserve"> in a strategy it called Achieving Excellence</w:t>
      </w:r>
      <w:r>
        <w:rPr>
          <w:lang w:val="en-GB"/>
        </w:rPr>
        <w:t>, which</w:t>
      </w:r>
      <w:r w:rsidRPr="00881D14">
        <w:rPr>
          <w:lang w:val="en-GB"/>
        </w:rPr>
        <w:t xml:space="preserve"> made the opportunity implied by TVO’s new strategic direction of technology in the classroom all the more germane.  </w:t>
      </w:r>
    </w:p>
    <w:p w:rsidR="00516ED9" w:rsidRPr="00881D14" w:rsidRDefault="00516ED9" w:rsidP="00E01834">
      <w:pPr>
        <w:pStyle w:val="BodyTextMain"/>
        <w:rPr>
          <w:lang w:val="en-GB"/>
        </w:rPr>
      </w:pPr>
    </w:p>
    <w:p w:rsidR="00516ED9" w:rsidRPr="00881D14" w:rsidRDefault="00516ED9" w:rsidP="00E01834">
      <w:pPr>
        <w:pStyle w:val="BodyTextMain"/>
        <w:rPr>
          <w:lang w:val="en-GB"/>
        </w:rPr>
      </w:pPr>
    </w:p>
    <w:p w:rsidR="00516ED9" w:rsidRPr="00881D14" w:rsidRDefault="00516ED9" w:rsidP="00516ED9">
      <w:pPr>
        <w:pStyle w:val="Casehead1"/>
        <w:rPr>
          <w:lang w:val="en-GB"/>
        </w:rPr>
      </w:pPr>
      <w:r w:rsidRPr="00881D14">
        <w:rPr>
          <w:lang w:val="en-GB"/>
        </w:rPr>
        <w:lastRenderedPageBreak/>
        <w:t>TVO COMPANY BACKGROUND</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TVO was set up in June 1970 by the provincial government of Ontario with a mandate to leverage the technology of television, which was new at the time, to support public education. It had revenues of $66.97 million for the year ending March 2013 (see Exhibit 2). Unlike the Canadian Broadcasting Corporation</w:t>
      </w:r>
      <w:r>
        <w:rPr>
          <w:lang w:val="en-GB"/>
        </w:rPr>
        <w:t>,</w:t>
      </w:r>
      <w:r w:rsidRPr="00881D14">
        <w:rPr>
          <w:lang w:val="en-GB"/>
        </w:rPr>
        <w:t xml:space="preserve"> which</w:t>
      </w:r>
      <w:r>
        <w:rPr>
          <w:lang w:val="en-GB"/>
        </w:rPr>
        <w:t xml:space="preserve"> was</w:t>
      </w:r>
      <w:r w:rsidRPr="00881D14">
        <w:rPr>
          <w:lang w:val="en-GB"/>
        </w:rPr>
        <w:t xml:space="preserve"> started as a radio network by the federal government in 1936</w:t>
      </w:r>
      <w:r>
        <w:rPr>
          <w:lang w:val="en-GB"/>
        </w:rPr>
        <w:t xml:space="preserve"> and</w:t>
      </w:r>
      <w:r w:rsidRPr="00881D14">
        <w:rPr>
          <w:lang w:val="en-GB"/>
        </w:rPr>
        <w:t xml:space="preserve"> carried commercials as a source of revenue, TVO derived its funding </w:t>
      </w:r>
      <w:r>
        <w:rPr>
          <w:lang w:val="en-GB"/>
        </w:rPr>
        <w:t xml:space="preserve">solely </w:t>
      </w:r>
      <w:r w:rsidRPr="00881D14">
        <w:rPr>
          <w:lang w:val="en-GB"/>
        </w:rPr>
        <w:t>from government grants and individual donors</w:t>
      </w:r>
      <w:r>
        <w:rPr>
          <w:lang w:val="en-GB"/>
        </w:rPr>
        <w:t xml:space="preserve"> or </w:t>
      </w:r>
      <w:r w:rsidRPr="00881D14">
        <w:rPr>
          <w:lang w:val="en-GB"/>
        </w:rPr>
        <w:t>sponsors. It</w:t>
      </w:r>
      <w:r>
        <w:rPr>
          <w:lang w:val="en-GB"/>
        </w:rPr>
        <w:t>s</w:t>
      </w:r>
      <w:r w:rsidRPr="00881D14">
        <w:rPr>
          <w:lang w:val="en-GB"/>
        </w:rPr>
        <w:t xml:space="preserve"> advertisement-free model of progra</w:t>
      </w:r>
      <w:r>
        <w:rPr>
          <w:lang w:val="en-GB"/>
        </w:rPr>
        <w:t>m</w:t>
      </w:r>
      <w:r w:rsidRPr="00881D14">
        <w:rPr>
          <w:lang w:val="en-GB"/>
        </w:rPr>
        <w:t xml:space="preserve">ming and distribution of content </w:t>
      </w:r>
      <w:r>
        <w:rPr>
          <w:lang w:val="en-GB"/>
        </w:rPr>
        <w:t xml:space="preserve">was </w:t>
      </w:r>
      <w:r w:rsidRPr="00881D14">
        <w:rPr>
          <w:lang w:val="en-GB"/>
        </w:rPr>
        <w:t xml:space="preserve">similar to the Public Broadcasting Service (PBS) in the United States. Founded in 1969 as a non-profit, PBS </w:t>
      </w:r>
      <w:r>
        <w:rPr>
          <w:lang w:val="en-GB"/>
        </w:rPr>
        <w:t>referred to itself as</w:t>
      </w:r>
      <w:r w:rsidRPr="00881D14">
        <w:rPr>
          <w:lang w:val="en-GB"/>
        </w:rPr>
        <w:t xml:space="preserve"> “America’s largest classroom.” </w:t>
      </w:r>
      <w:r>
        <w:rPr>
          <w:lang w:val="en-GB"/>
        </w:rPr>
        <w:t>PBS</w:t>
      </w:r>
      <w:r w:rsidRPr="00881D14">
        <w:rPr>
          <w:lang w:val="en-GB"/>
        </w:rPr>
        <w:t xml:space="preserve"> program</w:t>
      </w:r>
      <w:r>
        <w:rPr>
          <w:lang w:val="en-GB"/>
        </w:rPr>
        <w:t>m</w:t>
      </w:r>
      <w:r w:rsidRPr="00881D14">
        <w:rPr>
          <w:lang w:val="en-GB"/>
        </w:rPr>
        <w:t>ing was watched by 82 per cent of all U.S. television households</w:t>
      </w:r>
      <w:r>
        <w:rPr>
          <w:lang w:val="en-GB"/>
        </w:rPr>
        <w:t>, and the</w:t>
      </w:r>
      <w:r w:rsidRPr="00881D14">
        <w:rPr>
          <w:lang w:val="en-GB"/>
        </w:rPr>
        <w:t xml:space="preserve"> broadcaster </w:t>
      </w:r>
      <w:r>
        <w:rPr>
          <w:lang w:val="en-GB"/>
        </w:rPr>
        <w:t xml:space="preserve">claimed to </w:t>
      </w:r>
      <w:r w:rsidRPr="00881D14">
        <w:rPr>
          <w:lang w:val="en-GB"/>
        </w:rPr>
        <w:t>treat its audience as citizens, not simply consumers.</w:t>
      </w:r>
      <w:r w:rsidRPr="00881D14">
        <w:rPr>
          <w:vertAlign w:val="superscript"/>
          <w:lang w:val="en-GB"/>
        </w:rPr>
        <w:footnoteReference w:id="7"/>
      </w:r>
      <w:r w:rsidRPr="00881D14">
        <w:rPr>
          <w:lang w:val="en-GB"/>
        </w:rPr>
        <w:t xml:space="preserve"> The TVO prototype was </w:t>
      </w:r>
      <w:r>
        <w:rPr>
          <w:lang w:val="en-GB"/>
        </w:rPr>
        <w:t xml:space="preserve">later </w:t>
      </w:r>
      <w:r w:rsidRPr="00881D14">
        <w:rPr>
          <w:lang w:val="en-GB"/>
        </w:rPr>
        <w:t xml:space="preserve">emulated by provincial educational broadcasters Knowledge Network in British Columbia, and </w:t>
      </w:r>
      <w:proofErr w:type="spellStart"/>
      <w:r w:rsidRPr="00881D14">
        <w:rPr>
          <w:lang w:val="en-GB"/>
        </w:rPr>
        <w:t>Télévision</w:t>
      </w:r>
      <w:proofErr w:type="spellEnd"/>
      <w:r w:rsidRPr="00881D14">
        <w:rPr>
          <w:lang w:val="en-GB"/>
        </w:rPr>
        <w:t xml:space="preserve"> </w:t>
      </w:r>
      <w:proofErr w:type="spellStart"/>
      <w:r w:rsidRPr="00881D14">
        <w:rPr>
          <w:lang w:val="en-GB"/>
        </w:rPr>
        <w:t>française</w:t>
      </w:r>
      <w:proofErr w:type="spellEnd"/>
      <w:r w:rsidRPr="00881D14">
        <w:rPr>
          <w:lang w:val="en-GB"/>
        </w:rPr>
        <w:t xml:space="preserve"> de </w:t>
      </w:r>
      <w:proofErr w:type="spellStart"/>
      <w:r w:rsidRPr="00881D14">
        <w:rPr>
          <w:lang w:val="en-GB"/>
        </w:rPr>
        <w:t>l</w:t>
      </w:r>
      <w:r>
        <w:rPr>
          <w:lang w:val="en-GB"/>
        </w:rPr>
        <w:t>’</w:t>
      </w:r>
      <w:r w:rsidRPr="00881D14">
        <w:rPr>
          <w:lang w:val="en-GB"/>
        </w:rPr>
        <w:t>Ontario</w:t>
      </w:r>
      <w:proofErr w:type="spellEnd"/>
      <w:r>
        <w:rPr>
          <w:lang w:val="en-GB"/>
        </w:rPr>
        <w:t>,</w:t>
      </w:r>
      <w:r w:rsidRPr="00881D14">
        <w:rPr>
          <w:lang w:val="en-GB"/>
        </w:rPr>
        <w:t xml:space="preserve"> the French language network in Ontario. </w:t>
      </w:r>
      <w:r>
        <w:rPr>
          <w:lang w:val="en-GB"/>
        </w:rPr>
        <w:t>The PBS or TVO model</w:t>
      </w:r>
      <w:r w:rsidRPr="00881D14">
        <w:rPr>
          <w:lang w:val="en-GB"/>
        </w:rPr>
        <w:t xml:space="preserve"> gave </w:t>
      </w:r>
      <w:r>
        <w:rPr>
          <w:lang w:val="en-GB"/>
        </w:rPr>
        <w:t>broadcasters</w:t>
      </w:r>
      <w:r w:rsidRPr="00881D14">
        <w:rPr>
          <w:lang w:val="en-GB"/>
        </w:rPr>
        <w:t xml:space="preserve"> freedom to develop content without being influenced by advertisers. </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 xml:space="preserve">TVO’s vision was to “empower people to be engaged citizens of Ontario through educational media.” Its mission was to serve as “Ontario’s public educational media organization and a trusted source of interactive educational content that informs, inspires, and stimulates curiosity and thought.” Toward this end, it organized its products and services into 13 offerings aimed at specific audience segments (see Exhibit 3). </w:t>
      </w:r>
      <w:r>
        <w:rPr>
          <w:lang w:val="en-GB"/>
        </w:rPr>
        <w:t>The largest of</w:t>
      </w:r>
      <w:r w:rsidRPr="00881D14">
        <w:rPr>
          <w:lang w:val="en-GB"/>
        </w:rPr>
        <w:t xml:space="preserve"> these</w:t>
      </w:r>
      <w:r>
        <w:rPr>
          <w:lang w:val="en-GB"/>
        </w:rPr>
        <w:t xml:space="preserve"> sections were</w:t>
      </w:r>
      <w:r w:rsidRPr="00881D14">
        <w:rPr>
          <w:lang w:val="en-GB"/>
        </w:rPr>
        <w:t xml:space="preserve"> </w:t>
      </w:r>
      <w:r>
        <w:rPr>
          <w:lang w:val="en-GB"/>
        </w:rPr>
        <w:t xml:space="preserve">children </w:t>
      </w:r>
      <w:r w:rsidRPr="00881D14">
        <w:rPr>
          <w:lang w:val="en-GB"/>
        </w:rPr>
        <w:t xml:space="preserve">and online </w:t>
      </w:r>
      <w:r>
        <w:rPr>
          <w:lang w:val="en-GB"/>
        </w:rPr>
        <w:t xml:space="preserve">programming, with a budget of about </w:t>
      </w:r>
      <w:r w:rsidRPr="00881D14">
        <w:rPr>
          <w:lang w:val="en-GB"/>
        </w:rPr>
        <w:t>30 per cent</w:t>
      </w:r>
      <w:r>
        <w:rPr>
          <w:lang w:val="en-GB"/>
        </w:rPr>
        <w:t>,</w:t>
      </w:r>
      <w:r w:rsidRPr="00881D14">
        <w:rPr>
          <w:lang w:val="en-GB"/>
        </w:rPr>
        <w:t xml:space="preserve"> and </w:t>
      </w:r>
      <w:r>
        <w:rPr>
          <w:lang w:val="en-GB"/>
        </w:rPr>
        <w:t>t</w:t>
      </w:r>
      <w:r w:rsidRPr="00881D14">
        <w:rPr>
          <w:lang w:val="en-GB"/>
        </w:rPr>
        <w:t xml:space="preserve">he </w:t>
      </w:r>
      <w:r w:rsidRPr="005904AC">
        <w:rPr>
          <w:lang w:val="en-GB"/>
        </w:rPr>
        <w:t>ILC</w:t>
      </w:r>
      <w:r>
        <w:rPr>
          <w:lang w:val="en-GB"/>
        </w:rPr>
        <w:t xml:space="preserve"> with about </w:t>
      </w:r>
      <w:r w:rsidRPr="00881D14">
        <w:rPr>
          <w:lang w:val="en-GB"/>
        </w:rPr>
        <w:t xml:space="preserve">22 per cent. This was followed by </w:t>
      </w:r>
      <w:r>
        <w:rPr>
          <w:lang w:val="en-GB"/>
        </w:rPr>
        <w:t>d</w:t>
      </w:r>
      <w:r w:rsidRPr="00881D14">
        <w:rPr>
          <w:lang w:val="en-GB"/>
        </w:rPr>
        <w:t xml:space="preserve">ocumentaries and </w:t>
      </w:r>
      <w:r>
        <w:rPr>
          <w:lang w:val="en-GB"/>
        </w:rPr>
        <w:t>p</w:t>
      </w:r>
      <w:r w:rsidRPr="00881D14">
        <w:rPr>
          <w:lang w:val="en-GB"/>
        </w:rPr>
        <w:t>rime</w:t>
      </w:r>
      <w:r>
        <w:rPr>
          <w:lang w:val="en-GB"/>
        </w:rPr>
        <w:t xml:space="preserve"> t</w:t>
      </w:r>
      <w:r w:rsidRPr="00881D14">
        <w:rPr>
          <w:lang w:val="en-GB"/>
        </w:rPr>
        <w:t xml:space="preserve">ime </w:t>
      </w:r>
      <w:r>
        <w:rPr>
          <w:lang w:val="en-GB"/>
        </w:rPr>
        <w:t>p</w:t>
      </w:r>
      <w:r w:rsidRPr="00881D14">
        <w:rPr>
          <w:lang w:val="en-GB"/>
        </w:rPr>
        <w:t>rogramming</w:t>
      </w:r>
      <w:r>
        <w:rPr>
          <w:lang w:val="en-GB"/>
        </w:rPr>
        <w:t>,</w:t>
      </w:r>
      <w:r w:rsidRPr="00881D14">
        <w:rPr>
          <w:lang w:val="en-GB"/>
        </w:rPr>
        <w:t xml:space="preserve"> </w:t>
      </w:r>
      <w:r>
        <w:rPr>
          <w:lang w:val="en-GB"/>
        </w:rPr>
        <w:t xml:space="preserve">with approximately </w:t>
      </w:r>
      <w:r w:rsidRPr="00881D14">
        <w:rPr>
          <w:lang w:val="en-GB"/>
        </w:rPr>
        <w:t>18 per cent</w:t>
      </w:r>
      <w:r>
        <w:rPr>
          <w:lang w:val="en-GB"/>
        </w:rPr>
        <w:t xml:space="preserve"> of budget. C</w:t>
      </w:r>
      <w:r w:rsidRPr="00881D14">
        <w:rPr>
          <w:lang w:val="en-GB"/>
        </w:rPr>
        <w:t xml:space="preserve">urrent </w:t>
      </w:r>
      <w:r>
        <w:rPr>
          <w:lang w:val="en-GB"/>
        </w:rPr>
        <w:t>a</w:t>
      </w:r>
      <w:r w:rsidRPr="00881D14">
        <w:rPr>
          <w:lang w:val="en-GB"/>
        </w:rPr>
        <w:t>ffairs</w:t>
      </w:r>
      <w:r>
        <w:rPr>
          <w:lang w:val="en-GB"/>
        </w:rPr>
        <w:t xml:space="preserve"> programs,</w:t>
      </w:r>
      <w:r w:rsidRPr="00881D14">
        <w:rPr>
          <w:lang w:val="en-GB"/>
        </w:rPr>
        <w:t xml:space="preserve"> including </w:t>
      </w:r>
      <w:r w:rsidRPr="00407FDA">
        <w:rPr>
          <w:i/>
          <w:lang w:val="en-GB"/>
        </w:rPr>
        <w:t>The Agenda</w:t>
      </w:r>
      <w:r>
        <w:rPr>
          <w:i/>
          <w:lang w:val="en-GB"/>
        </w:rPr>
        <w:t>,</w:t>
      </w:r>
      <w:r w:rsidRPr="00881D14">
        <w:rPr>
          <w:lang w:val="en-GB"/>
        </w:rPr>
        <w:t xml:space="preserve"> </w:t>
      </w:r>
      <w:r>
        <w:rPr>
          <w:lang w:val="en-GB"/>
        </w:rPr>
        <w:t xml:space="preserve">had a budget of about </w:t>
      </w:r>
      <w:r w:rsidRPr="00881D14">
        <w:rPr>
          <w:lang w:val="en-GB"/>
        </w:rPr>
        <w:t>16 per cent</w:t>
      </w:r>
      <w:r>
        <w:rPr>
          <w:lang w:val="en-GB"/>
        </w:rPr>
        <w:t>,</w:t>
      </w:r>
      <w:r w:rsidRPr="00881D14">
        <w:rPr>
          <w:lang w:val="en-GB"/>
        </w:rPr>
        <w:t xml:space="preserve"> and </w:t>
      </w:r>
      <w:r>
        <w:rPr>
          <w:lang w:val="en-GB"/>
        </w:rPr>
        <w:t xml:space="preserve">the </w:t>
      </w:r>
      <w:r w:rsidRPr="00BA4B96">
        <w:rPr>
          <w:lang w:val="en-GB"/>
        </w:rPr>
        <w:t>Homework Help</w:t>
      </w:r>
      <w:r w:rsidRPr="00881D14">
        <w:rPr>
          <w:lang w:val="en-GB"/>
        </w:rPr>
        <w:t xml:space="preserve"> </w:t>
      </w:r>
      <w:r>
        <w:rPr>
          <w:lang w:val="en-GB"/>
        </w:rPr>
        <w:t xml:space="preserve">program’s budget was about </w:t>
      </w:r>
      <w:r w:rsidRPr="00881D14">
        <w:rPr>
          <w:lang w:val="en-GB"/>
        </w:rPr>
        <w:t>14 per cent.</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 xml:space="preserve">TVO had triggered the financing of </w:t>
      </w:r>
      <w:r>
        <w:rPr>
          <w:lang w:val="en-GB"/>
        </w:rPr>
        <w:t>children</w:t>
      </w:r>
      <w:r w:rsidRPr="00881D14">
        <w:rPr>
          <w:lang w:val="en-GB"/>
        </w:rPr>
        <w:t xml:space="preserve"> and documentary programs from independent producers in the province of Ontario</w:t>
      </w:r>
      <w:r>
        <w:rPr>
          <w:lang w:val="en-GB"/>
        </w:rPr>
        <w:t>,</w:t>
      </w:r>
      <w:r w:rsidRPr="00881D14">
        <w:rPr>
          <w:lang w:val="en-GB"/>
        </w:rPr>
        <w:t xml:space="preserve"> valued at $25 million in total production budgets each year</w:t>
      </w:r>
      <w:r>
        <w:rPr>
          <w:lang w:val="en-GB"/>
        </w:rPr>
        <w:t>,</w:t>
      </w:r>
      <w:r w:rsidRPr="00881D14">
        <w:rPr>
          <w:lang w:val="en-GB"/>
        </w:rPr>
        <w:t xml:space="preserve"> leveraging tax credits and C</w:t>
      </w:r>
      <w:r>
        <w:rPr>
          <w:lang w:val="en-GB"/>
        </w:rPr>
        <w:t xml:space="preserve">anada </w:t>
      </w:r>
      <w:r w:rsidRPr="00881D14">
        <w:rPr>
          <w:lang w:val="en-GB"/>
        </w:rPr>
        <w:t>M</w:t>
      </w:r>
      <w:r>
        <w:rPr>
          <w:lang w:val="en-GB"/>
        </w:rPr>
        <w:t xml:space="preserve">edia </w:t>
      </w:r>
      <w:r w:rsidRPr="00881D14">
        <w:rPr>
          <w:lang w:val="en-GB"/>
        </w:rPr>
        <w:t>F</w:t>
      </w:r>
      <w:r>
        <w:rPr>
          <w:lang w:val="en-GB"/>
        </w:rPr>
        <w:t>und</w:t>
      </w:r>
      <w:r w:rsidRPr="00881D14">
        <w:rPr>
          <w:lang w:val="en-GB"/>
        </w:rPr>
        <w:t xml:space="preserve"> grants. The producers had, in turn, generated more than 300 industry jobs.</w:t>
      </w:r>
      <w:r w:rsidRPr="00881D14">
        <w:rPr>
          <w:vertAlign w:val="superscript"/>
          <w:lang w:val="en-GB"/>
        </w:rPr>
        <w:footnoteReference w:id="8"/>
      </w:r>
      <w:r w:rsidRPr="00881D14">
        <w:rPr>
          <w:lang w:val="en-GB"/>
        </w:rPr>
        <w:t xml:space="preserve"> The channel commissioned more original point-of-view documentaries than any other Canadian broadcaster. Its content generated over 17 million video streams and downloads in 2013.</w:t>
      </w:r>
      <w:r w:rsidRPr="00881D14">
        <w:rPr>
          <w:vertAlign w:val="superscript"/>
          <w:lang w:val="en-GB"/>
        </w:rPr>
        <w:footnoteReference w:id="9"/>
      </w:r>
      <w:r w:rsidRPr="00881D14">
        <w:rPr>
          <w:lang w:val="en-GB"/>
        </w:rPr>
        <w:t xml:space="preserve"> </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407FDA">
        <w:rPr>
          <w:i/>
          <w:lang w:val="en-GB"/>
        </w:rPr>
        <w:t>The Agenda</w:t>
      </w:r>
      <w:r>
        <w:rPr>
          <w:i/>
          <w:lang w:val="en-GB"/>
        </w:rPr>
        <w:t>,</w:t>
      </w:r>
      <w:r w:rsidRPr="00881D14">
        <w:rPr>
          <w:lang w:val="en-GB"/>
        </w:rPr>
        <w:t xml:space="preserve"> </w:t>
      </w:r>
      <w:r>
        <w:rPr>
          <w:lang w:val="en-GB"/>
        </w:rPr>
        <w:t>hosted by</w:t>
      </w:r>
      <w:r w:rsidRPr="00881D14">
        <w:rPr>
          <w:lang w:val="en-GB"/>
        </w:rPr>
        <w:t xml:space="preserve"> Steve </w:t>
      </w:r>
      <w:proofErr w:type="spellStart"/>
      <w:r w:rsidRPr="00881D14">
        <w:rPr>
          <w:lang w:val="en-GB"/>
        </w:rPr>
        <w:t>Paikin</w:t>
      </w:r>
      <w:proofErr w:type="spellEnd"/>
      <w:r w:rsidRPr="00881D14">
        <w:rPr>
          <w:lang w:val="en-GB"/>
        </w:rPr>
        <w:t xml:space="preserve">, </w:t>
      </w:r>
      <w:r>
        <w:rPr>
          <w:lang w:val="en-GB"/>
        </w:rPr>
        <w:t xml:space="preserve">was </w:t>
      </w:r>
      <w:r w:rsidRPr="00881D14">
        <w:rPr>
          <w:lang w:val="en-GB"/>
        </w:rPr>
        <w:t xml:space="preserve">one of </w:t>
      </w:r>
      <w:r>
        <w:rPr>
          <w:lang w:val="en-GB"/>
        </w:rPr>
        <w:t>TVO’s most</w:t>
      </w:r>
      <w:r w:rsidRPr="00881D14">
        <w:rPr>
          <w:lang w:val="en-GB"/>
        </w:rPr>
        <w:t xml:space="preserve"> popular programs</w:t>
      </w:r>
      <w:r>
        <w:rPr>
          <w:lang w:val="en-GB"/>
        </w:rPr>
        <w:t>.</w:t>
      </w:r>
      <w:r w:rsidRPr="00881D14">
        <w:rPr>
          <w:lang w:val="en-GB"/>
        </w:rPr>
        <w:t xml:space="preserve"> </w:t>
      </w:r>
      <w:r>
        <w:rPr>
          <w:lang w:val="en-GB"/>
        </w:rPr>
        <w:t xml:space="preserve">It </w:t>
      </w:r>
      <w:r w:rsidRPr="00881D14">
        <w:rPr>
          <w:lang w:val="en-GB"/>
        </w:rPr>
        <w:t>was known for its in</w:t>
      </w:r>
      <w:r>
        <w:rPr>
          <w:lang w:val="en-GB"/>
        </w:rPr>
        <w:t>-</w:t>
      </w:r>
      <w:r w:rsidRPr="00881D14">
        <w:rPr>
          <w:lang w:val="en-GB"/>
        </w:rPr>
        <w:t xml:space="preserve">depth current affairs analysis. It ranked </w:t>
      </w:r>
      <w:r>
        <w:rPr>
          <w:lang w:val="en-GB"/>
        </w:rPr>
        <w:t>first among</w:t>
      </w:r>
      <w:r w:rsidRPr="00881D14">
        <w:rPr>
          <w:lang w:val="en-GB"/>
        </w:rPr>
        <w:t xml:space="preserve"> Ontarians for news and current affairs broadcasts in its timeslot of 8</w:t>
      </w:r>
      <w:r>
        <w:rPr>
          <w:lang w:val="en-GB"/>
        </w:rPr>
        <w:t>:00</w:t>
      </w:r>
      <w:r w:rsidRPr="00881D14">
        <w:rPr>
          <w:lang w:val="en-GB"/>
        </w:rPr>
        <w:t xml:space="preserve"> p</w:t>
      </w:r>
      <w:r>
        <w:rPr>
          <w:lang w:val="en-GB"/>
        </w:rPr>
        <w:t>.</w:t>
      </w:r>
      <w:r w:rsidRPr="00881D14">
        <w:rPr>
          <w:lang w:val="en-GB"/>
        </w:rPr>
        <w:t>m</w:t>
      </w:r>
      <w:r>
        <w:rPr>
          <w:lang w:val="en-GB"/>
        </w:rPr>
        <w:t>.</w:t>
      </w:r>
      <w:r w:rsidRPr="00881D14">
        <w:rPr>
          <w:lang w:val="en-GB"/>
        </w:rPr>
        <w:t xml:space="preserve"> on weekdays. It received 2.2 million downloads</w:t>
      </w:r>
      <w:r w:rsidR="00E454ED">
        <w:rPr>
          <w:lang w:val="en-GB"/>
        </w:rPr>
        <w:t xml:space="preserve">, </w:t>
      </w:r>
      <w:r w:rsidRPr="00881D14">
        <w:rPr>
          <w:lang w:val="en-GB"/>
        </w:rPr>
        <w:t xml:space="preserve">streams or podcasts in 2012, with the microsite receiving more than </w:t>
      </w:r>
      <w:r>
        <w:rPr>
          <w:lang w:val="en-GB"/>
        </w:rPr>
        <w:t>1</w:t>
      </w:r>
      <w:r w:rsidRPr="00881D14">
        <w:rPr>
          <w:lang w:val="en-GB"/>
        </w:rPr>
        <w:t xml:space="preserve"> million page views.</w:t>
      </w:r>
      <w:r w:rsidRPr="00881D14">
        <w:rPr>
          <w:vertAlign w:val="superscript"/>
          <w:lang w:val="en-GB"/>
        </w:rPr>
        <w:footnoteReference w:id="10"/>
      </w:r>
      <w:r w:rsidRPr="00881D14">
        <w:rPr>
          <w:lang w:val="en-GB"/>
        </w:rPr>
        <w:t xml:space="preserve"> </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Pr>
          <w:lang w:val="en-GB"/>
        </w:rPr>
        <w:t>In describing</w:t>
      </w:r>
      <w:r w:rsidRPr="00881D14">
        <w:rPr>
          <w:lang w:val="en-GB"/>
        </w:rPr>
        <w:t xml:space="preserve"> the TVO audience</w:t>
      </w:r>
      <w:r>
        <w:rPr>
          <w:lang w:val="en-GB"/>
        </w:rPr>
        <w:t xml:space="preserve"> for its current affairs programming, de Wilde expressed some concerns</w:t>
      </w:r>
      <w:r w:rsidRPr="00881D14">
        <w:rPr>
          <w:lang w:val="en-GB"/>
        </w:rPr>
        <w:t>:</w:t>
      </w:r>
    </w:p>
    <w:p w:rsidR="00516ED9" w:rsidRPr="00881D14" w:rsidRDefault="00516ED9" w:rsidP="00E01834">
      <w:pPr>
        <w:pStyle w:val="BodyTextMain"/>
        <w:rPr>
          <w:lang w:val="en-GB"/>
        </w:rPr>
      </w:pPr>
    </w:p>
    <w:p w:rsidR="00516ED9" w:rsidRPr="00881D14" w:rsidRDefault="00516ED9" w:rsidP="00E01834">
      <w:pPr>
        <w:pStyle w:val="BodyTextMain"/>
        <w:ind w:left="720"/>
        <w:rPr>
          <w:lang w:val="en-GB"/>
        </w:rPr>
      </w:pPr>
      <w:r w:rsidRPr="00881D14">
        <w:rPr>
          <w:lang w:val="en-GB"/>
        </w:rPr>
        <w:t>The typical customer for our current affairs TV programming is older</w:t>
      </w:r>
      <w:r>
        <w:rPr>
          <w:lang w:val="en-GB"/>
        </w:rPr>
        <w:t>,</w:t>
      </w:r>
      <w:r w:rsidRPr="00881D14">
        <w:rPr>
          <w:lang w:val="en-GB"/>
        </w:rPr>
        <w:t xml:space="preserve"> at 55+ years. One of our challenges is to drive a younger audience, aged 35</w:t>
      </w:r>
      <w:r>
        <w:rPr>
          <w:lang w:val="en-GB"/>
        </w:rPr>
        <w:t>–</w:t>
      </w:r>
      <w:r w:rsidRPr="00881D14">
        <w:rPr>
          <w:lang w:val="en-GB"/>
        </w:rPr>
        <w:t>54, to our programming and making content accessible in smaller pieces in a bid to engage a younger audience. A major attribute of the younger audience is its demand for short</w:t>
      </w:r>
      <w:r>
        <w:rPr>
          <w:lang w:val="en-GB"/>
        </w:rPr>
        <w:t>-</w:t>
      </w:r>
      <w:r w:rsidRPr="00881D14">
        <w:rPr>
          <w:lang w:val="en-GB"/>
        </w:rPr>
        <w:t xml:space="preserve">form content. That attribute defines what we should do. </w:t>
      </w:r>
    </w:p>
    <w:p w:rsidR="00516ED9" w:rsidRDefault="00516ED9" w:rsidP="00516ED9">
      <w:pPr>
        <w:pStyle w:val="Casehead1"/>
        <w:rPr>
          <w:sz w:val="22"/>
          <w:szCs w:val="22"/>
          <w:lang w:val="en-GB"/>
        </w:rPr>
      </w:pPr>
      <w:r w:rsidRPr="00881D14">
        <w:rPr>
          <w:lang w:val="en-GB"/>
        </w:rPr>
        <w:lastRenderedPageBreak/>
        <w:t xml:space="preserve">TVO </w:t>
      </w:r>
      <w:r>
        <w:rPr>
          <w:lang w:val="en-GB"/>
        </w:rPr>
        <w:t>Programming</w:t>
      </w:r>
    </w:p>
    <w:p w:rsidR="00516ED9" w:rsidRDefault="00516ED9" w:rsidP="00E01834">
      <w:pPr>
        <w:pStyle w:val="BodyTextMain"/>
        <w:rPr>
          <w:lang w:val="en-GB"/>
        </w:rPr>
      </w:pPr>
    </w:p>
    <w:p w:rsidR="00516ED9" w:rsidRDefault="00516ED9" w:rsidP="00516ED9">
      <w:pPr>
        <w:pStyle w:val="Casehead2"/>
      </w:pPr>
      <w:r w:rsidRPr="00407FDA">
        <w:t>Independent Learning Centre</w:t>
      </w:r>
    </w:p>
    <w:p w:rsidR="00516ED9" w:rsidRPr="00407FDA" w:rsidRDefault="00516ED9" w:rsidP="00E01834">
      <w:pPr>
        <w:pStyle w:val="BodyTextMain"/>
        <w:rPr>
          <w:lang w:val="en-GB"/>
        </w:rPr>
      </w:pPr>
    </w:p>
    <w:p w:rsidR="00516ED9" w:rsidRPr="00881D14" w:rsidRDefault="00516ED9" w:rsidP="00E01834">
      <w:pPr>
        <w:pStyle w:val="BodyTextMain"/>
        <w:rPr>
          <w:lang w:val="en-GB"/>
        </w:rPr>
      </w:pPr>
      <w:r>
        <w:rPr>
          <w:lang w:val="en-GB"/>
        </w:rPr>
        <w:t>The I</w:t>
      </w:r>
      <w:r w:rsidRPr="00881D14">
        <w:rPr>
          <w:lang w:val="en-GB"/>
        </w:rPr>
        <w:t xml:space="preserve">LC </w:t>
      </w:r>
      <w:r>
        <w:rPr>
          <w:lang w:val="en-GB"/>
        </w:rPr>
        <w:t>was</w:t>
      </w:r>
      <w:r w:rsidRPr="00881D14">
        <w:rPr>
          <w:lang w:val="en-GB"/>
        </w:rPr>
        <w:t xml:space="preserve"> founded in 1926</w:t>
      </w:r>
      <w:r>
        <w:rPr>
          <w:lang w:val="en-GB"/>
        </w:rPr>
        <w:t>,</w:t>
      </w:r>
      <w:r w:rsidRPr="00881D14">
        <w:rPr>
          <w:lang w:val="en-GB"/>
        </w:rPr>
        <w:t xml:space="preserve"> when the Ontario Department of Education established a correspondence courses program to provide elementary education for children living in isolated areas of northern Ontario. It was transferred in April 2002 to TVO. Its students consisted of three categories: those seeking to earn secondary school credits and gain an Ontario Secondary School Diploma; those getting their high school equivalency credentials by writing the General Educational Development </w:t>
      </w:r>
      <w:r>
        <w:rPr>
          <w:lang w:val="en-GB"/>
        </w:rPr>
        <w:t>t</w:t>
      </w:r>
      <w:r w:rsidRPr="00881D14">
        <w:rPr>
          <w:lang w:val="en-GB"/>
        </w:rPr>
        <w:t xml:space="preserve">ests; and those seeking to upgrade their skills for employment, apprenticeship, or post-secondary entry. </w:t>
      </w:r>
      <w:r>
        <w:rPr>
          <w:lang w:val="en-GB"/>
        </w:rPr>
        <w:t xml:space="preserve">The </w:t>
      </w:r>
      <w:r w:rsidRPr="00881D14">
        <w:rPr>
          <w:lang w:val="en-GB"/>
        </w:rPr>
        <w:t>ILC not only offered its courses directly to students in the province of Ontario</w:t>
      </w:r>
      <w:r>
        <w:rPr>
          <w:lang w:val="en-GB"/>
        </w:rPr>
        <w:t>,</w:t>
      </w:r>
      <w:r w:rsidRPr="00881D14">
        <w:rPr>
          <w:lang w:val="en-GB"/>
        </w:rPr>
        <w:t xml:space="preserve"> </w:t>
      </w:r>
      <w:r>
        <w:rPr>
          <w:lang w:val="en-GB"/>
        </w:rPr>
        <w:t>i</w:t>
      </w:r>
      <w:r w:rsidRPr="00881D14">
        <w:rPr>
          <w:lang w:val="en-GB"/>
        </w:rPr>
        <w:t xml:space="preserve">t also made them available as credit courses to other educational institutions in the province for a fee. </w:t>
      </w:r>
    </w:p>
    <w:p w:rsidR="00516ED9" w:rsidRPr="00881D14" w:rsidRDefault="00516ED9" w:rsidP="00E01834">
      <w:pPr>
        <w:pStyle w:val="BodyTextMain"/>
        <w:rPr>
          <w:lang w:val="en-GB"/>
        </w:rPr>
      </w:pPr>
    </w:p>
    <w:p w:rsidR="00516ED9" w:rsidRPr="00E01834" w:rsidRDefault="00516ED9" w:rsidP="00E01834">
      <w:pPr>
        <w:pStyle w:val="BodyTextMain"/>
        <w:rPr>
          <w:spacing w:val="-2"/>
          <w:lang w:val="en-GB"/>
        </w:rPr>
      </w:pPr>
      <w:r w:rsidRPr="00E01834">
        <w:rPr>
          <w:spacing w:val="-2"/>
          <w:lang w:val="en-GB"/>
        </w:rPr>
        <w:t>The ILC had a continuous intake, with more than 20,000 students at any time. Its highest demand courses were senior-level English, chemistry, biology, mathematics, and physics. Students were drawn to the ILC because it offered a flexible self-learning model, enabling them to study where, how, and when they wanted.</w:t>
      </w:r>
    </w:p>
    <w:p w:rsidR="00516ED9" w:rsidRDefault="00516ED9" w:rsidP="00E01834">
      <w:pPr>
        <w:pStyle w:val="BodyTextMain"/>
        <w:rPr>
          <w:lang w:val="en-GB"/>
        </w:rPr>
      </w:pPr>
    </w:p>
    <w:p w:rsidR="00516ED9" w:rsidRPr="00881D14" w:rsidRDefault="00516ED9" w:rsidP="00E01834">
      <w:pPr>
        <w:pStyle w:val="BodyTextMain"/>
        <w:rPr>
          <w:lang w:val="en-GB"/>
        </w:rPr>
      </w:pPr>
    </w:p>
    <w:p w:rsidR="00516ED9" w:rsidRPr="00407FDA" w:rsidRDefault="00516ED9" w:rsidP="00516ED9">
      <w:pPr>
        <w:pStyle w:val="Casehead2"/>
      </w:pPr>
      <w:r w:rsidRPr="00407FDA">
        <w:t>Homework Help</w:t>
      </w:r>
    </w:p>
    <w:p w:rsidR="00516ED9" w:rsidRDefault="00516ED9" w:rsidP="00E01834">
      <w:pPr>
        <w:pStyle w:val="BodyTextMain"/>
        <w:rPr>
          <w:lang w:val="en-GB"/>
        </w:rPr>
      </w:pPr>
    </w:p>
    <w:p w:rsidR="00516ED9" w:rsidRPr="00881D14" w:rsidRDefault="00516ED9" w:rsidP="00E01834">
      <w:pPr>
        <w:pStyle w:val="BodyTextMain"/>
        <w:rPr>
          <w:lang w:val="en-GB"/>
        </w:rPr>
      </w:pPr>
      <w:r>
        <w:rPr>
          <w:lang w:val="en-GB"/>
        </w:rPr>
        <w:t xml:space="preserve">The </w:t>
      </w:r>
      <w:r w:rsidRPr="00881D14">
        <w:rPr>
          <w:lang w:val="en-GB"/>
        </w:rPr>
        <w:t xml:space="preserve">Homework Help </w:t>
      </w:r>
      <w:r>
        <w:rPr>
          <w:lang w:val="en-GB"/>
        </w:rPr>
        <w:t xml:space="preserve">program </w:t>
      </w:r>
      <w:r w:rsidRPr="00881D14">
        <w:rPr>
          <w:lang w:val="en-GB"/>
        </w:rPr>
        <w:t>was a free and personalized online resource in mathematics for students in grades 7 to 10, with live, one-on-one tutoring provided by Ontario-certified teachers. It was started in 2009 as a pilot in one school district but had since grown province-wide. One of its attractions was that its past sessions provided a library of math resources for students</w:t>
      </w:r>
      <w:r>
        <w:rPr>
          <w:lang w:val="en-GB"/>
        </w:rPr>
        <w:t>,</w:t>
      </w:r>
      <w:r w:rsidRPr="00881D14">
        <w:rPr>
          <w:lang w:val="en-GB"/>
        </w:rPr>
        <w:t xml:space="preserve"> </w:t>
      </w:r>
      <w:r>
        <w:rPr>
          <w:lang w:val="en-GB"/>
        </w:rPr>
        <w:t xml:space="preserve">available </w:t>
      </w:r>
      <w:r w:rsidRPr="00881D14">
        <w:rPr>
          <w:lang w:val="en-GB"/>
        </w:rPr>
        <w:t>on</w:t>
      </w:r>
      <w:r>
        <w:rPr>
          <w:lang w:val="en-GB"/>
        </w:rPr>
        <w:t>-</w:t>
      </w:r>
      <w:r w:rsidRPr="00881D14">
        <w:rPr>
          <w:lang w:val="en-GB"/>
        </w:rPr>
        <w:t xml:space="preserve">demand </w:t>
      </w:r>
      <w:r>
        <w:rPr>
          <w:lang w:val="en-GB"/>
        </w:rPr>
        <w:t>around the clock</w:t>
      </w:r>
      <w:r w:rsidRPr="00881D14">
        <w:rPr>
          <w:lang w:val="en-GB"/>
        </w:rPr>
        <w:t xml:space="preserve"> as well as in the classrooms.</w:t>
      </w:r>
    </w:p>
    <w:p w:rsidR="00516ED9" w:rsidRPr="00881D14" w:rsidRDefault="00516ED9" w:rsidP="00E01834">
      <w:pPr>
        <w:pStyle w:val="BodyTextMain"/>
        <w:rPr>
          <w:lang w:val="en-GB"/>
        </w:rPr>
      </w:pPr>
    </w:p>
    <w:p w:rsidR="00516ED9" w:rsidRDefault="00516ED9" w:rsidP="00E01834">
      <w:pPr>
        <w:pStyle w:val="BodyTextMain"/>
        <w:rPr>
          <w:u w:val="single"/>
          <w:lang w:val="en-GB"/>
        </w:rPr>
      </w:pPr>
    </w:p>
    <w:p w:rsidR="00516ED9" w:rsidRPr="00407FDA" w:rsidRDefault="00516ED9" w:rsidP="00516ED9">
      <w:pPr>
        <w:pStyle w:val="Casehead2"/>
      </w:pPr>
      <w:proofErr w:type="spellStart"/>
      <w:r w:rsidRPr="00407FDA">
        <w:t>TVO</w:t>
      </w:r>
      <w:r>
        <w:t>K</w:t>
      </w:r>
      <w:r w:rsidRPr="00407FDA">
        <w:t>ids</w:t>
      </w:r>
      <w:proofErr w:type="spellEnd"/>
    </w:p>
    <w:p w:rsidR="00516ED9" w:rsidRDefault="00516ED9" w:rsidP="00E01834">
      <w:pPr>
        <w:pStyle w:val="BodyTextMain"/>
        <w:rPr>
          <w:lang w:val="en-GB"/>
        </w:rPr>
      </w:pPr>
    </w:p>
    <w:p w:rsidR="00516ED9" w:rsidRPr="00881D14" w:rsidRDefault="00516ED9" w:rsidP="00E01834">
      <w:pPr>
        <w:pStyle w:val="BodyTextMain"/>
        <w:rPr>
          <w:lang w:val="en-GB"/>
        </w:rPr>
      </w:pPr>
      <w:proofErr w:type="spellStart"/>
      <w:r w:rsidRPr="00881D14">
        <w:rPr>
          <w:lang w:val="en-GB"/>
        </w:rPr>
        <w:t>TVO</w:t>
      </w:r>
      <w:r>
        <w:rPr>
          <w:lang w:val="en-GB"/>
        </w:rPr>
        <w:t>K</w:t>
      </w:r>
      <w:r w:rsidRPr="00881D14">
        <w:rPr>
          <w:lang w:val="en-GB"/>
        </w:rPr>
        <w:t>ids</w:t>
      </w:r>
      <w:proofErr w:type="spellEnd"/>
      <w:r w:rsidRPr="00881D14">
        <w:rPr>
          <w:lang w:val="en-GB"/>
        </w:rPr>
        <w:t xml:space="preserve"> was aimed at preparing young children (ages 2 to 11) for both school and life. It showed them ways of doing well in school, enhancing their social competencies</w:t>
      </w:r>
      <w:r>
        <w:rPr>
          <w:lang w:val="en-GB"/>
        </w:rPr>
        <w:t>,</w:t>
      </w:r>
      <w:r w:rsidRPr="00881D14">
        <w:rPr>
          <w:lang w:val="en-GB"/>
        </w:rPr>
        <w:t xml:space="preserve"> and </w:t>
      </w:r>
      <w:r>
        <w:rPr>
          <w:lang w:val="en-GB"/>
        </w:rPr>
        <w:t xml:space="preserve">of </w:t>
      </w:r>
      <w:r w:rsidRPr="00881D14">
        <w:rPr>
          <w:lang w:val="en-GB"/>
        </w:rPr>
        <w:t>acquiring skills required to succeed beyond school years. Its programs</w:t>
      </w:r>
      <w:r>
        <w:rPr>
          <w:lang w:val="en-GB"/>
        </w:rPr>
        <w:t>, including</w:t>
      </w:r>
      <w:r w:rsidRPr="00881D14">
        <w:rPr>
          <w:lang w:val="en-GB"/>
        </w:rPr>
        <w:t xml:space="preserve"> </w:t>
      </w:r>
      <w:r w:rsidRPr="00407FDA">
        <w:rPr>
          <w:i/>
          <w:lang w:val="en-GB"/>
        </w:rPr>
        <w:t>Odd Squad</w:t>
      </w:r>
      <w:r w:rsidRPr="00881D14">
        <w:rPr>
          <w:lang w:val="en-GB"/>
        </w:rPr>
        <w:t xml:space="preserve">, </w:t>
      </w:r>
      <w:r w:rsidRPr="00407FDA">
        <w:rPr>
          <w:i/>
          <w:lang w:val="en-GB"/>
        </w:rPr>
        <w:t>Hi Opie</w:t>
      </w:r>
      <w:proofErr w:type="gramStart"/>
      <w:r w:rsidRPr="00407FDA">
        <w:rPr>
          <w:i/>
          <w:lang w:val="en-GB"/>
        </w:rPr>
        <w:t>!</w:t>
      </w:r>
      <w:r>
        <w:rPr>
          <w:i/>
          <w:lang w:val="en-GB"/>
        </w:rPr>
        <w:t>,</w:t>
      </w:r>
      <w:proofErr w:type="gramEnd"/>
      <w:r w:rsidRPr="00881D14">
        <w:rPr>
          <w:lang w:val="en-GB"/>
        </w:rPr>
        <w:t xml:space="preserve"> and </w:t>
      </w:r>
      <w:r w:rsidRPr="00407FDA">
        <w:rPr>
          <w:i/>
          <w:lang w:val="en-GB"/>
        </w:rPr>
        <w:t>Annedroids</w:t>
      </w:r>
      <w:r>
        <w:rPr>
          <w:i/>
          <w:lang w:val="en-GB"/>
        </w:rPr>
        <w:t>,</w:t>
      </w:r>
      <w:r w:rsidRPr="00881D14">
        <w:rPr>
          <w:lang w:val="en-GB"/>
        </w:rPr>
        <w:t xml:space="preserve"> were known to ignite a child’s love of learning. They were available on-demand, on the platform of a parent’s choice—desktop, tablet</w:t>
      </w:r>
      <w:r>
        <w:rPr>
          <w:lang w:val="en-GB"/>
        </w:rPr>
        <w:t>,</w:t>
      </w:r>
      <w:r w:rsidRPr="00881D14">
        <w:rPr>
          <w:lang w:val="en-GB"/>
        </w:rPr>
        <w:t xml:space="preserve"> or mobile—and at the time of their choosing. Its strategy was to focus outside the classroom.</w:t>
      </w:r>
    </w:p>
    <w:p w:rsidR="00516ED9" w:rsidRPr="00881D14" w:rsidRDefault="00516ED9" w:rsidP="00E01834">
      <w:pPr>
        <w:pStyle w:val="BodyTextMain"/>
        <w:rPr>
          <w:color w:val="000000"/>
          <w:lang w:val="en-GB"/>
        </w:rPr>
      </w:pPr>
    </w:p>
    <w:p w:rsidR="00516ED9" w:rsidRPr="00881D14" w:rsidRDefault="00516ED9" w:rsidP="00E01834">
      <w:pPr>
        <w:pStyle w:val="BodyTextMain"/>
        <w:rPr>
          <w:color w:val="000000"/>
          <w:lang w:val="en-GB"/>
        </w:rPr>
      </w:pPr>
      <w:r w:rsidRPr="00881D14">
        <w:rPr>
          <w:color w:val="000000"/>
          <w:lang w:val="en-GB"/>
        </w:rPr>
        <w:t xml:space="preserve">Research conducted by the Ontario Institute for Studies in Education showed that </w:t>
      </w:r>
      <w:proofErr w:type="spellStart"/>
      <w:r w:rsidRPr="00881D14">
        <w:rPr>
          <w:color w:val="000000"/>
          <w:lang w:val="en-GB"/>
        </w:rPr>
        <w:t>TVO</w:t>
      </w:r>
      <w:r>
        <w:rPr>
          <w:color w:val="000000"/>
          <w:lang w:val="en-GB"/>
        </w:rPr>
        <w:t>K</w:t>
      </w:r>
      <w:r w:rsidRPr="00881D14">
        <w:rPr>
          <w:color w:val="000000"/>
          <w:lang w:val="en-GB"/>
        </w:rPr>
        <w:t>ids</w:t>
      </w:r>
      <w:proofErr w:type="spellEnd"/>
      <w:r w:rsidRPr="00881D14">
        <w:rPr>
          <w:color w:val="000000"/>
          <w:lang w:val="en-GB"/>
        </w:rPr>
        <w:t xml:space="preserve"> offered more educational app</w:t>
      </w:r>
      <w:r>
        <w:rPr>
          <w:color w:val="000000"/>
          <w:lang w:val="en-GB"/>
        </w:rPr>
        <w:t>lication</w:t>
      </w:r>
      <w:r w:rsidRPr="00881D14">
        <w:rPr>
          <w:color w:val="000000"/>
          <w:lang w:val="en-GB"/>
        </w:rPr>
        <w:t>s than any other Canadian broadcaster</w:t>
      </w:r>
      <w:r>
        <w:rPr>
          <w:color w:val="000000"/>
          <w:lang w:val="en-GB"/>
        </w:rPr>
        <w:t>,</w:t>
      </w:r>
      <w:r w:rsidRPr="00881D14">
        <w:rPr>
          <w:color w:val="000000"/>
          <w:lang w:val="en-GB"/>
        </w:rPr>
        <w:t xml:space="preserve"> and that its digital resources improved literacy and numeracy skills among the target audience. </w:t>
      </w:r>
    </w:p>
    <w:p w:rsidR="00516ED9" w:rsidRPr="00881D14" w:rsidRDefault="00516ED9" w:rsidP="00E01834">
      <w:pPr>
        <w:pStyle w:val="BodyTextMain"/>
        <w:rPr>
          <w:color w:val="000000"/>
          <w:lang w:val="en-GB"/>
        </w:rPr>
      </w:pPr>
    </w:p>
    <w:p w:rsidR="00516ED9" w:rsidRPr="00881D14" w:rsidRDefault="00516ED9" w:rsidP="00E01834">
      <w:pPr>
        <w:pStyle w:val="BodyTextMain"/>
        <w:rPr>
          <w:color w:val="000000"/>
          <w:lang w:val="en-GB"/>
        </w:rPr>
      </w:pPr>
      <w:r w:rsidRPr="00881D14">
        <w:rPr>
          <w:color w:val="000000"/>
          <w:lang w:val="en-GB"/>
        </w:rPr>
        <w:t>TVO was poised to play an important role at the intersection of technology, Ontario curriculum</w:t>
      </w:r>
      <w:r>
        <w:rPr>
          <w:color w:val="000000"/>
          <w:lang w:val="en-GB"/>
        </w:rPr>
        <w:t>,</w:t>
      </w:r>
      <w:r w:rsidRPr="00881D14">
        <w:rPr>
          <w:color w:val="000000"/>
          <w:lang w:val="en-GB"/>
        </w:rPr>
        <w:t xml:space="preserve"> and pedagogy. Its educational mandate had two components that gave it an edge: sparking an interest among children in science and mathematics</w:t>
      </w:r>
      <w:r>
        <w:rPr>
          <w:color w:val="000000"/>
          <w:lang w:val="en-GB"/>
        </w:rPr>
        <w:t>,</w:t>
      </w:r>
      <w:r w:rsidRPr="00881D14">
        <w:rPr>
          <w:color w:val="000000"/>
          <w:lang w:val="en-GB"/>
        </w:rPr>
        <w:t xml:space="preserve"> so that they could go on to seek careers that would help drive the Canadian economy; and providing high quality educational experiences. Its biggest strengths were in educational media (exemplified by </w:t>
      </w:r>
      <w:proofErr w:type="spellStart"/>
      <w:r w:rsidRPr="00881D14">
        <w:rPr>
          <w:color w:val="000000"/>
          <w:lang w:val="en-GB"/>
        </w:rPr>
        <w:t>TVO</w:t>
      </w:r>
      <w:r>
        <w:rPr>
          <w:color w:val="000000"/>
          <w:lang w:val="en-GB"/>
        </w:rPr>
        <w:t>K</w:t>
      </w:r>
      <w:r w:rsidRPr="00881D14">
        <w:rPr>
          <w:color w:val="000000"/>
          <w:lang w:val="en-GB"/>
        </w:rPr>
        <w:t>ids</w:t>
      </w:r>
      <w:proofErr w:type="spellEnd"/>
      <w:r w:rsidRPr="00881D14">
        <w:rPr>
          <w:color w:val="000000"/>
          <w:lang w:val="en-GB"/>
        </w:rPr>
        <w:t xml:space="preserve"> and ILC) and current affairs (exemplified by </w:t>
      </w:r>
      <w:r w:rsidRPr="00407FDA">
        <w:rPr>
          <w:i/>
          <w:color w:val="000000"/>
          <w:lang w:val="en-GB"/>
        </w:rPr>
        <w:t>The Agenda</w:t>
      </w:r>
      <w:r w:rsidRPr="00881D14">
        <w:rPr>
          <w:color w:val="000000"/>
          <w:lang w:val="en-GB"/>
        </w:rPr>
        <w:t xml:space="preserve">). </w:t>
      </w:r>
    </w:p>
    <w:p w:rsidR="00516ED9" w:rsidRPr="00881D14" w:rsidRDefault="00516ED9" w:rsidP="00E01834">
      <w:pPr>
        <w:pStyle w:val="BodyTextMain"/>
        <w:rPr>
          <w:color w:val="000000"/>
          <w:lang w:val="en-GB"/>
        </w:rPr>
      </w:pPr>
    </w:p>
    <w:p w:rsidR="00516ED9" w:rsidRPr="00881D14" w:rsidRDefault="00516ED9" w:rsidP="00E01834">
      <w:pPr>
        <w:pStyle w:val="BodyTextMain"/>
        <w:rPr>
          <w:color w:val="000000"/>
          <w:lang w:val="en-GB"/>
        </w:rPr>
      </w:pPr>
      <w:r>
        <w:rPr>
          <w:color w:val="000000"/>
          <w:lang w:val="en-GB"/>
        </w:rPr>
        <w:t>According to</w:t>
      </w:r>
      <w:r w:rsidRPr="00881D14">
        <w:rPr>
          <w:color w:val="000000"/>
          <w:lang w:val="en-GB"/>
        </w:rPr>
        <w:t xml:space="preserve"> de Wilde</w:t>
      </w:r>
      <w:r>
        <w:rPr>
          <w:color w:val="000000"/>
          <w:lang w:val="en-GB"/>
        </w:rPr>
        <w:t>, these programs offered a great opportunity</w:t>
      </w:r>
      <w:r w:rsidRPr="00881D14">
        <w:rPr>
          <w:color w:val="000000"/>
          <w:lang w:val="en-GB"/>
        </w:rPr>
        <w:t>:</w:t>
      </w:r>
    </w:p>
    <w:p w:rsidR="00516ED9" w:rsidRPr="00881D14" w:rsidRDefault="00516ED9" w:rsidP="00E01834">
      <w:pPr>
        <w:pStyle w:val="BodyTextMain"/>
        <w:rPr>
          <w:color w:val="000000"/>
          <w:lang w:val="en-GB"/>
        </w:rPr>
      </w:pPr>
    </w:p>
    <w:p w:rsidR="00516ED9" w:rsidRPr="00881D14" w:rsidRDefault="00516ED9" w:rsidP="00E01834">
      <w:pPr>
        <w:pStyle w:val="BodyTextMain"/>
        <w:ind w:left="720"/>
        <w:rPr>
          <w:color w:val="000000"/>
          <w:lang w:val="en-GB"/>
        </w:rPr>
      </w:pPr>
      <w:r w:rsidRPr="00881D14">
        <w:rPr>
          <w:color w:val="000000"/>
          <w:lang w:val="en-GB"/>
        </w:rPr>
        <w:t xml:space="preserve">Revenues in an organization like TVO </w:t>
      </w:r>
      <w:r w:rsidRPr="00881D14">
        <w:rPr>
          <w:bdr w:val="none" w:sz="0" w:space="0" w:color="auto" w:frame="1"/>
          <w:lang w:val="en-GB"/>
        </w:rPr>
        <w:t xml:space="preserve">have to be the caboose on the train. So, instead of wondering, “How do we make a buck from our TV programs?” we will ask: “What assets in our </w:t>
      </w:r>
      <w:r w:rsidRPr="00881D14">
        <w:rPr>
          <w:bdr w:val="none" w:sz="0" w:space="0" w:color="auto" w:frame="1"/>
          <w:lang w:val="en-GB"/>
        </w:rPr>
        <w:lastRenderedPageBreak/>
        <w:t xml:space="preserve">current portfolio can we monetize?” For example, we have high school credit courses. If we can figure out a way to get permission from the </w:t>
      </w:r>
      <w:r>
        <w:rPr>
          <w:bdr w:val="none" w:sz="0" w:space="0" w:color="auto" w:frame="1"/>
          <w:lang w:val="en-GB"/>
        </w:rPr>
        <w:t>m</w:t>
      </w:r>
      <w:r w:rsidRPr="00881D14">
        <w:rPr>
          <w:bdr w:val="none" w:sz="0" w:space="0" w:color="auto" w:frame="1"/>
          <w:lang w:val="en-GB"/>
        </w:rPr>
        <w:t xml:space="preserve">inistry of </w:t>
      </w:r>
      <w:r>
        <w:rPr>
          <w:bdr w:val="none" w:sz="0" w:space="0" w:color="auto" w:frame="1"/>
          <w:lang w:val="en-GB"/>
        </w:rPr>
        <w:t>e</w:t>
      </w:r>
      <w:r w:rsidRPr="00881D14">
        <w:rPr>
          <w:bdr w:val="none" w:sz="0" w:space="0" w:color="auto" w:frame="1"/>
          <w:lang w:val="en-GB"/>
        </w:rPr>
        <w:t xml:space="preserve">ducation to not only provide the courses but also offer diplomas, they could become valuable revenue generating assets. We can also take them to educational markets beyond Canada. It is a huge opportunity.  </w:t>
      </w:r>
    </w:p>
    <w:p w:rsidR="00516ED9" w:rsidRPr="00E01834" w:rsidRDefault="00516ED9" w:rsidP="00E01834">
      <w:pPr>
        <w:pStyle w:val="BodyTextMain"/>
      </w:pPr>
    </w:p>
    <w:p w:rsidR="00516ED9" w:rsidRPr="00E01834" w:rsidRDefault="00516ED9" w:rsidP="00E01834">
      <w:pPr>
        <w:pStyle w:val="BodyTextMain"/>
      </w:pPr>
    </w:p>
    <w:p w:rsidR="00516ED9" w:rsidRPr="00881D14" w:rsidRDefault="00516ED9" w:rsidP="00516ED9">
      <w:pPr>
        <w:pStyle w:val="Casehead1"/>
        <w:rPr>
          <w:lang w:val="en-GB"/>
        </w:rPr>
      </w:pPr>
      <w:r w:rsidRPr="00881D14">
        <w:rPr>
          <w:lang w:val="en-GB"/>
        </w:rPr>
        <w:t xml:space="preserve">ISSUES BEFORE DE WILDE </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The report f</w:t>
      </w:r>
      <w:r>
        <w:rPr>
          <w:lang w:val="en-GB"/>
        </w:rPr>
        <w:t>rom</w:t>
      </w:r>
      <w:r w:rsidRPr="00881D14">
        <w:rPr>
          <w:lang w:val="en-GB"/>
        </w:rPr>
        <w:t xml:space="preserve"> the consultancy firm, currently before de Wilde, had been preceded by extensive groundwork on the part of the firm over a period of six months. The consultants had carried out one-on-one interviews with TVO board directors, run a workshop with members of its executive management committee, conducted an organization</w:t>
      </w:r>
      <w:r>
        <w:rPr>
          <w:lang w:val="en-GB"/>
        </w:rPr>
        <w:t>-</w:t>
      </w:r>
      <w:r w:rsidRPr="00881D14">
        <w:rPr>
          <w:lang w:val="en-GB"/>
        </w:rPr>
        <w:t>wide employee survey, held interactions with key stakeholders</w:t>
      </w:r>
      <w:r>
        <w:rPr>
          <w:lang w:val="en-GB"/>
        </w:rPr>
        <w:t>,</w:t>
      </w:r>
      <w:r w:rsidRPr="00881D14">
        <w:rPr>
          <w:lang w:val="en-GB"/>
        </w:rPr>
        <w:t xml:space="preserve"> and reviewed the prevailing best practices in digital education. </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 xml:space="preserve">The firm had suggested a combination of three strategic directions for TVO. First, TVO should </w:t>
      </w:r>
      <w:r w:rsidRPr="00881D14">
        <w:rPr>
          <w:rFonts w:eastAsia="Calibri"/>
          <w:lang w:val="en-GB" w:eastAsia="en-CA"/>
        </w:rPr>
        <w:t>grow its role as Ontario’s delivery and innovation partner for digital education inside the classroom, outside the classroom</w:t>
      </w:r>
      <w:r>
        <w:rPr>
          <w:rFonts w:eastAsia="Calibri"/>
          <w:lang w:val="en-GB" w:eastAsia="en-CA"/>
        </w:rPr>
        <w:t>,</w:t>
      </w:r>
      <w:r w:rsidRPr="00881D14">
        <w:rPr>
          <w:rFonts w:eastAsia="Calibri"/>
          <w:lang w:val="en-GB" w:eastAsia="en-CA"/>
        </w:rPr>
        <w:t xml:space="preserve"> and abroad</w:t>
      </w:r>
      <w:r>
        <w:rPr>
          <w:rFonts w:eastAsia="Calibri"/>
          <w:lang w:val="en-GB" w:eastAsia="en-CA"/>
        </w:rPr>
        <w:t>. S</w:t>
      </w:r>
      <w:r w:rsidRPr="00881D14">
        <w:rPr>
          <w:rFonts w:eastAsia="Calibri"/>
          <w:lang w:val="en-GB" w:eastAsia="en-CA"/>
        </w:rPr>
        <w:t>econd, TVO should leverage its brand of in-depth current affairs from an Ontario perspective to increase overall citizen engagement</w:t>
      </w:r>
      <w:r>
        <w:rPr>
          <w:rFonts w:eastAsia="Calibri"/>
          <w:lang w:val="en-GB" w:eastAsia="en-CA"/>
        </w:rPr>
        <w:t>. T</w:t>
      </w:r>
      <w:r w:rsidRPr="00881D14">
        <w:rPr>
          <w:rFonts w:eastAsia="Calibri"/>
          <w:lang w:val="en-GB" w:eastAsia="en-CA"/>
        </w:rPr>
        <w:t xml:space="preserve">hird, TVO should empower its employees to deliver its strategy and to thrive in an organization embracing continual change. </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It meant that TVO should scale back its television focus and pivot towards education by going inside the classrooms</w:t>
      </w:r>
      <w:r>
        <w:rPr>
          <w:lang w:val="en-GB"/>
        </w:rPr>
        <w:t>,</w:t>
      </w:r>
      <w:r w:rsidRPr="00881D14">
        <w:rPr>
          <w:lang w:val="en-GB"/>
        </w:rPr>
        <w:t xml:space="preserve"> rather than stay</w:t>
      </w:r>
      <w:r>
        <w:rPr>
          <w:lang w:val="en-GB"/>
        </w:rPr>
        <w:t>ing</w:t>
      </w:r>
      <w:r w:rsidRPr="00881D14">
        <w:rPr>
          <w:lang w:val="en-GB"/>
        </w:rPr>
        <w:t xml:space="preserve"> outside. The firm also suggested that TVO should begin to address the needs of </w:t>
      </w:r>
      <w:r>
        <w:rPr>
          <w:lang w:val="en-GB"/>
        </w:rPr>
        <w:t xml:space="preserve">other government </w:t>
      </w:r>
      <w:r w:rsidRPr="00881D14">
        <w:rPr>
          <w:lang w:val="en-GB"/>
        </w:rPr>
        <w:t>ministries</w:t>
      </w:r>
      <w:r>
        <w:rPr>
          <w:lang w:val="en-GB"/>
        </w:rPr>
        <w:t>, in addition to the ministry</w:t>
      </w:r>
      <w:r w:rsidRPr="00881D14">
        <w:rPr>
          <w:lang w:val="en-GB"/>
        </w:rPr>
        <w:t xml:space="preserve"> of education</w:t>
      </w:r>
      <w:r>
        <w:rPr>
          <w:lang w:val="en-GB"/>
        </w:rPr>
        <w:t>,</w:t>
      </w:r>
      <w:r w:rsidRPr="00881D14">
        <w:rPr>
          <w:lang w:val="en-GB"/>
        </w:rPr>
        <w:t xml:space="preserve"> so that all digital education initiatives in the province could be consolidated under its fold. Th</w:t>
      </w:r>
      <w:r>
        <w:rPr>
          <w:lang w:val="en-GB"/>
        </w:rPr>
        <w:t>is</w:t>
      </w:r>
      <w:r w:rsidRPr="00881D14">
        <w:rPr>
          <w:lang w:val="en-GB"/>
        </w:rPr>
        <w:t xml:space="preserve"> included the </w:t>
      </w:r>
      <w:r>
        <w:rPr>
          <w:lang w:val="en-GB"/>
        </w:rPr>
        <w:t xml:space="preserve">Ontario </w:t>
      </w:r>
      <w:r w:rsidRPr="00881D14">
        <w:rPr>
          <w:lang w:val="en-GB"/>
        </w:rPr>
        <w:t>Ministry of Training Colleges and Universities</w:t>
      </w:r>
      <w:r>
        <w:rPr>
          <w:lang w:val="en-GB"/>
        </w:rPr>
        <w:t>,</w:t>
      </w:r>
      <w:r w:rsidRPr="00881D14">
        <w:rPr>
          <w:lang w:val="en-GB"/>
        </w:rPr>
        <w:t xml:space="preserve"> which was providing funding for third parties to deliver digital education programs; the </w:t>
      </w:r>
      <w:r>
        <w:rPr>
          <w:lang w:val="en-GB"/>
        </w:rPr>
        <w:t>Ontario M</w:t>
      </w:r>
      <w:r w:rsidRPr="00881D14">
        <w:rPr>
          <w:lang w:val="en-GB"/>
        </w:rPr>
        <w:t xml:space="preserve">inistry of </w:t>
      </w:r>
      <w:r>
        <w:rPr>
          <w:lang w:val="en-GB"/>
        </w:rPr>
        <w:t>R</w:t>
      </w:r>
      <w:r w:rsidRPr="00881D14">
        <w:rPr>
          <w:lang w:val="en-GB"/>
        </w:rPr>
        <w:t xml:space="preserve">esearch and </w:t>
      </w:r>
      <w:r>
        <w:rPr>
          <w:lang w:val="en-GB"/>
        </w:rPr>
        <w:t>I</w:t>
      </w:r>
      <w:r w:rsidRPr="00881D14">
        <w:rPr>
          <w:lang w:val="en-GB"/>
        </w:rPr>
        <w:t>nnovation</w:t>
      </w:r>
      <w:r>
        <w:rPr>
          <w:lang w:val="en-GB"/>
        </w:rPr>
        <w:t>,</w:t>
      </w:r>
      <w:r w:rsidRPr="00881D14">
        <w:rPr>
          <w:lang w:val="en-GB"/>
        </w:rPr>
        <w:t xml:space="preserve"> which was investing in programs </w:t>
      </w:r>
      <w:r>
        <w:rPr>
          <w:lang w:val="en-GB"/>
        </w:rPr>
        <w:t>such as the</w:t>
      </w:r>
      <w:r w:rsidRPr="00881D14">
        <w:rPr>
          <w:lang w:val="en-GB"/>
        </w:rPr>
        <w:t xml:space="preserve"> Ontario Centr</w:t>
      </w:r>
      <w:r>
        <w:rPr>
          <w:lang w:val="en-GB"/>
        </w:rPr>
        <w:t>es</w:t>
      </w:r>
      <w:r w:rsidRPr="00881D14">
        <w:rPr>
          <w:lang w:val="en-GB"/>
        </w:rPr>
        <w:t xml:space="preserve"> of Excellence; and the </w:t>
      </w:r>
      <w:r>
        <w:rPr>
          <w:lang w:val="en-GB"/>
        </w:rPr>
        <w:t>Ontario M</w:t>
      </w:r>
      <w:r w:rsidRPr="00881D14">
        <w:rPr>
          <w:lang w:val="en-GB"/>
        </w:rPr>
        <w:t xml:space="preserve">inistry of </w:t>
      </w:r>
      <w:r>
        <w:rPr>
          <w:lang w:val="en-GB"/>
        </w:rPr>
        <w:t>C</w:t>
      </w:r>
      <w:r w:rsidRPr="00881D14">
        <w:rPr>
          <w:lang w:val="en-GB"/>
        </w:rPr>
        <w:t xml:space="preserve">itizenship and </w:t>
      </w:r>
      <w:r>
        <w:rPr>
          <w:lang w:val="en-GB"/>
        </w:rPr>
        <w:t>I</w:t>
      </w:r>
      <w:r w:rsidRPr="00881D14">
        <w:rPr>
          <w:lang w:val="en-GB"/>
        </w:rPr>
        <w:t>mmigration</w:t>
      </w:r>
      <w:r>
        <w:rPr>
          <w:lang w:val="en-GB"/>
        </w:rPr>
        <w:t>,</w:t>
      </w:r>
      <w:r w:rsidRPr="00881D14">
        <w:rPr>
          <w:lang w:val="en-GB"/>
        </w:rPr>
        <w:t xml:space="preserve"> which was financing various settlement services.</w:t>
      </w:r>
      <w:r w:rsidRPr="00881D14">
        <w:rPr>
          <w:vertAlign w:val="superscript"/>
          <w:lang w:val="en-GB"/>
        </w:rPr>
        <w:footnoteReference w:id="11"/>
      </w:r>
      <w:r w:rsidRPr="00881D14">
        <w:rPr>
          <w:lang w:val="en-GB"/>
        </w:rPr>
        <w:t xml:space="preserve"> </w:t>
      </w:r>
    </w:p>
    <w:p w:rsidR="00516ED9" w:rsidRPr="00881D14" w:rsidRDefault="00516ED9" w:rsidP="00E01834">
      <w:pPr>
        <w:pStyle w:val="BodyTextMain"/>
        <w:rPr>
          <w:lang w:val="en-GB"/>
        </w:rPr>
      </w:pPr>
    </w:p>
    <w:p w:rsidR="00516ED9" w:rsidRPr="00881D14" w:rsidRDefault="00516ED9" w:rsidP="00E01834">
      <w:pPr>
        <w:pStyle w:val="BodyTextMain"/>
        <w:rPr>
          <w:lang w:val="en-GB"/>
        </w:rPr>
      </w:pPr>
      <w:r w:rsidRPr="00881D14">
        <w:rPr>
          <w:lang w:val="en-GB"/>
        </w:rPr>
        <w:t xml:space="preserve">As part of executing the strategy, de Wilde had to take a fresh look at the products and services TVO </w:t>
      </w:r>
      <w:r>
        <w:rPr>
          <w:lang w:val="en-GB"/>
        </w:rPr>
        <w:t xml:space="preserve">provided </w:t>
      </w:r>
      <w:r w:rsidRPr="00881D14">
        <w:rPr>
          <w:lang w:val="en-GB"/>
        </w:rPr>
        <w:t xml:space="preserve">and decide which of these </w:t>
      </w:r>
      <w:r>
        <w:rPr>
          <w:lang w:val="en-GB"/>
        </w:rPr>
        <w:t>to</w:t>
      </w:r>
      <w:r w:rsidRPr="00881D14">
        <w:rPr>
          <w:lang w:val="en-GB"/>
        </w:rPr>
        <w:t xml:space="preserve"> hold on to, which </w:t>
      </w:r>
      <w:r>
        <w:rPr>
          <w:lang w:val="en-GB"/>
        </w:rPr>
        <w:t>to</w:t>
      </w:r>
      <w:r w:rsidRPr="00881D14">
        <w:rPr>
          <w:lang w:val="en-GB"/>
        </w:rPr>
        <w:t xml:space="preserve"> discontinue, which </w:t>
      </w:r>
      <w:r>
        <w:rPr>
          <w:lang w:val="en-GB"/>
        </w:rPr>
        <w:t>to</w:t>
      </w:r>
      <w:r w:rsidRPr="00881D14">
        <w:rPr>
          <w:lang w:val="en-GB"/>
        </w:rPr>
        <w:t xml:space="preserve"> monetize, and which </w:t>
      </w:r>
      <w:r>
        <w:rPr>
          <w:lang w:val="en-GB"/>
        </w:rPr>
        <w:t>to</w:t>
      </w:r>
      <w:r w:rsidRPr="00881D14">
        <w:rPr>
          <w:lang w:val="en-GB"/>
        </w:rPr>
        <w:t xml:space="preserve"> grow. The call would be critical to the larger decision about allocating scarce resources. </w:t>
      </w:r>
      <w:r>
        <w:rPr>
          <w:lang w:val="en-GB"/>
        </w:rPr>
        <w:t>However, t</w:t>
      </w:r>
      <w:r w:rsidRPr="00881D14">
        <w:rPr>
          <w:lang w:val="en-GB"/>
        </w:rPr>
        <w:t>he concept of product management, involving autonomy and decentralization, was new to TVO.</w:t>
      </w:r>
    </w:p>
    <w:p w:rsidR="00516ED9" w:rsidRPr="00881D14" w:rsidRDefault="00516ED9" w:rsidP="00E01834">
      <w:pPr>
        <w:pStyle w:val="BodyTextMain"/>
        <w:rPr>
          <w:lang w:val="en-GB"/>
        </w:rPr>
      </w:pPr>
    </w:p>
    <w:p w:rsidR="00516ED9" w:rsidRDefault="006F505F" w:rsidP="00E01834">
      <w:pPr>
        <w:pStyle w:val="BodyTextMain"/>
        <w:rPr>
          <w:lang w:val="en-GB"/>
        </w:rPr>
      </w:pPr>
      <w:r>
        <w:rPr>
          <w:noProof/>
          <w:lang w:val="en-GB" w:eastAsia="en-GB"/>
        </w:rPr>
        <mc:AlternateContent>
          <mc:Choice Requires="wps">
            <w:drawing>
              <wp:anchor distT="0" distB="0" distL="114300" distR="114300" simplePos="0" relativeHeight="251659264" behindDoc="0" locked="0" layoutInCell="1" allowOverlap="1" wp14:anchorId="1CE063C2" wp14:editId="675FDB4C">
                <wp:simplePos x="0" y="0"/>
                <wp:positionH relativeFrom="margin">
                  <wp:posOffset>196215</wp:posOffset>
                </wp:positionH>
                <wp:positionV relativeFrom="paragraph">
                  <wp:posOffset>43815</wp:posOffset>
                </wp:positionV>
                <wp:extent cx="5600700" cy="403860"/>
                <wp:effectExtent l="0" t="0" r="19050" b="1524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038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F505F" w:rsidRPr="0099083B" w:rsidRDefault="006F505F" w:rsidP="006F505F">
                            <w:pPr>
                              <w:rPr>
                                <w:rFonts w:ascii="Arial" w:hAnsi="Arial"/>
                                <w:sz w:val="18"/>
                                <w:szCs w:val="18"/>
                              </w:rPr>
                            </w:pPr>
                            <w:bookmarkStart w:id="0" w:name="_GoBack"/>
                            <w:r w:rsidRPr="0099083B">
                              <w:rPr>
                                <w:rFonts w:ascii="Arial" w:hAnsi="Arial"/>
                                <w:sz w:val="18"/>
                                <w:szCs w:val="18"/>
                              </w:rPr>
                              <w:t xml:space="preserve">The Ivey Business School and the Ian O. </w:t>
                            </w:r>
                            <w:proofErr w:type="spellStart"/>
                            <w:r w:rsidRPr="0099083B">
                              <w:rPr>
                                <w:rFonts w:ascii="Arial" w:hAnsi="Arial"/>
                                <w:sz w:val="18"/>
                                <w:szCs w:val="18"/>
                              </w:rPr>
                              <w:t>Ihnatowycz</w:t>
                            </w:r>
                            <w:proofErr w:type="spellEnd"/>
                            <w:r w:rsidRPr="0099083B">
                              <w:rPr>
                                <w:rFonts w:ascii="Arial" w:hAnsi="Arial"/>
                                <w:sz w:val="18"/>
                                <w:szCs w:val="18"/>
                              </w:rPr>
                              <w:t xml:space="preserve"> Institute for Leadership gratefully acknowledges the generous support of Bill and Kathleen </w:t>
                            </w:r>
                            <w:proofErr w:type="spellStart"/>
                            <w:r w:rsidRPr="0099083B">
                              <w:rPr>
                                <w:rFonts w:ascii="Arial" w:hAnsi="Arial"/>
                                <w:sz w:val="18"/>
                                <w:szCs w:val="18"/>
                              </w:rPr>
                              <w:t>Troost</w:t>
                            </w:r>
                            <w:proofErr w:type="spellEnd"/>
                            <w:r w:rsidRPr="0099083B">
                              <w:rPr>
                                <w:rFonts w:ascii="Arial" w:hAnsi="Arial"/>
                                <w:sz w:val="18"/>
                                <w:szCs w:val="18"/>
                              </w:rPr>
                              <w:t xml:space="preserve"> in the development of this case.</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45pt;margin-top:3.45pt;width:441pt;height:3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" filled="f">
                <v:textbox>
                  <w:txbxContent>
                    <w:p w:rsidR="006F505F" w:rsidRPr="0099083B" w:rsidRDefault="006F505F" w:rsidP="006F505F">
                      <w:pPr>
                        <w:rPr>
                          <w:rFonts w:ascii="Arial" w:hAnsi="Arial"/>
                          <w:sz w:val="18"/>
                          <w:szCs w:val="18"/>
                        </w:rPr>
                      </w:pPr>
                      <w:bookmarkStart w:id="1" w:name="_GoBack"/>
                      <w:r w:rsidRPr="0099083B">
                        <w:rPr>
                          <w:rFonts w:ascii="Arial" w:hAnsi="Arial"/>
                          <w:sz w:val="18"/>
                          <w:szCs w:val="18"/>
                        </w:rPr>
                        <w:t xml:space="preserve">The Ivey Business School and the Ian O. </w:t>
                      </w:r>
                      <w:proofErr w:type="spellStart"/>
                      <w:r w:rsidRPr="0099083B">
                        <w:rPr>
                          <w:rFonts w:ascii="Arial" w:hAnsi="Arial"/>
                          <w:sz w:val="18"/>
                          <w:szCs w:val="18"/>
                        </w:rPr>
                        <w:t>Ihnatowycz</w:t>
                      </w:r>
                      <w:proofErr w:type="spellEnd"/>
                      <w:r w:rsidRPr="0099083B">
                        <w:rPr>
                          <w:rFonts w:ascii="Arial" w:hAnsi="Arial"/>
                          <w:sz w:val="18"/>
                          <w:szCs w:val="18"/>
                        </w:rPr>
                        <w:t xml:space="preserve"> Institute for Leadership gratefully acknowledges the generous support of Bill and Kathleen </w:t>
                      </w:r>
                      <w:proofErr w:type="spellStart"/>
                      <w:r w:rsidRPr="0099083B">
                        <w:rPr>
                          <w:rFonts w:ascii="Arial" w:hAnsi="Arial"/>
                          <w:sz w:val="18"/>
                          <w:szCs w:val="18"/>
                        </w:rPr>
                        <w:t>Troost</w:t>
                      </w:r>
                      <w:proofErr w:type="spellEnd"/>
                      <w:r w:rsidRPr="0099083B">
                        <w:rPr>
                          <w:rFonts w:ascii="Arial" w:hAnsi="Arial"/>
                          <w:sz w:val="18"/>
                          <w:szCs w:val="18"/>
                        </w:rPr>
                        <w:t xml:space="preserve"> in the development of this case.</w:t>
                      </w:r>
                      <w:bookmarkEnd w:id="1"/>
                    </w:p>
                  </w:txbxContent>
                </v:textbox>
                <w10:wrap anchorx="margin"/>
              </v:shape>
            </w:pict>
          </mc:Fallback>
        </mc:AlternateContent>
      </w:r>
    </w:p>
    <w:p w:rsidR="006F505F" w:rsidRDefault="006F505F" w:rsidP="00E01834">
      <w:pPr>
        <w:pStyle w:val="BodyTextMain"/>
        <w:rPr>
          <w:lang w:val="en-GB"/>
        </w:rPr>
      </w:pPr>
    </w:p>
    <w:p w:rsidR="006F505F" w:rsidRDefault="006F505F" w:rsidP="00E01834">
      <w:pPr>
        <w:pStyle w:val="BodyTextMain"/>
        <w:rPr>
          <w:lang w:val="en-GB"/>
        </w:rPr>
      </w:pPr>
    </w:p>
    <w:p w:rsidR="006F505F" w:rsidRDefault="006F505F" w:rsidP="00E01834">
      <w:pPr>
        <w:pStyle w:val="BodyTextMain"/>
        <w:rPr>
          <w:lang w:val="en-GB"/>
        </w:rPr>
      </w:pPr>
    </w:p>
    <w:p w:rsidR="006F505F" w:rsidRPr="00881D14" w:rsidRDefault="006F505F" w:rsidP="00E01834">
      <w:pPr>
        <w:pStyle w:val="BodyTextMain"/>
        <w:rPr>
          <w:lang w:val="en-GB"/>
        </w:rPr>
      </w:pPr>
    </w:p>
    <w:p w:rsidR="00516ED9" w:rsidRPr="00881D14" w:rsidRDefault="00516ED9" w:rsidP="00516ED9">
      <w:pPr>
        <w:pStyle w:val="Casehead1"/>
        <w:jc w:val="center"/>
        <w:rPr>
          <w:lang w:val="en-GB"/>
        </w:rPr>
      </w:pPr>
      <w:r w:rsidRPr="00881D14">
        <w:rPr>
          <w:lang w:val="en-GB"/>
        </w:rPr>
        <w:br w:type="page"/>
      </w:r>
      <w:r w:rsidRPr="00881D14">
        <w:rPr>
          <w:lang w:val="en-GB"/>
        </w:rPr>
        <w:lastRenderedPageBreak/>
        <w:t>Exhibit 1: CANADIAN BROADCASTING INDUSTRY REVENUES 2009</w:t>
      </w:r>
      <w:r>
        <w:rPr>
          <w:lang w:val="en-GB"/>
        </w:rPr>
        <w:t>–</w:t>
      </w:r>
      <w:r w:rsidRPr="00881D14">
        <w:rPr>
          <w:lang w:val="en-GB"/>
        </w:rPr>
        <w:t xml:space="preserve">2013 (in </w:t>
      </w:r>
      <w:r>
        <w:rPr>
          <w:lang w:val="en-GB"/>
        </w:rPr>
        <w:t xml:space="preserve">CA$ </w:t>
      </w:r>
      <w:r w:rsidRPr="00881D14">
        <w:rPr>
          <w:lang w:val="en-GB"/>
        </w:rPr>
        <w:t>million)</w:t>
      </w:r>
    </w:p>
    <w:p w:rsidR="00516ED9" w:rsidRPr="00881D14" w:rsidRDefault="00516ED9" w:rsidP="00516ED9">
      <w:pPr>
        <w:pStyle w:val="BodyTextMain"/>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1"/>
        <w:gridCol w:w="2429"/>
        <w:gridCol w:w="1102"/>
        <w:gridCol w:w="1102"/>
        <w:gridCol w:w="1102"/>
        <w:gridCol w:w="1102"/>
        <w:gridCol w:w="1102"/>
      </w:tblGrid>
      <w:tr w:rsidR="00516ED9" w:rsidRPr="00407FDA" w:rsidTr="00F11AE4">
        <w:trPr>
          <w:jc w:val="center"/>
        </w:trPr>
        <w:tc>
          <w:tcPr>
            <w:tcW w:w="1411" w:type="dxa"/>
            <w:shd w:val="clear" w:color="auto" w:fill="auto"/>
          </w:tcPr>
          <w:p w:rsidR="00516ED9" w:rsidRPr="00407FDA" w:rsidRDefault="00516ED9" w:rsidP="00F11AE4">
            <w:pPr>
              <w:jc w:val="center"/>
              <w:rPr>
                <w:rFonts w:ascii="Arial" w:hAnsi="Arial" w:cs="Arial"/>
                <w:b/>
                <w:lang w:val="en-GB"/>
              </w:rPr>
            </w:pPr>
            <w:r w:rsidRPr="00407FDA">
              <w:rPr>
                <w:rFonts w:ascii="Arial" w:hAnsi="Arial" w:cs="Arial"/>
                <w:b/>
                <w:lang w:val="en-GB"/>
              </w:rPr>
              <w:t>Segment</w:t>
            </w:r>
          </w:p>
        </w:tc>
        <w:tc>
          <w:tcPr>
            <w:tcW w:w="2429" w:type="dxa"/>
            <w:shd w:val="clear" w:color="auto" w:fill="auto"/>
          </w:tcPr>
          <w:p w:rsidR="00516ED9" w:rsidRPr="00407FDA" w:rsidRDefault="00516ED9" w:rsidP="00F11AE4">
            <w:pPr>
              <w:jc w:val="center"/>
              <w:rPr>
                <w:rFonts w:ascii="Arial" w:hAnsi="Arial" w:cs="Arial"/>
                <w:b/>
                <w:lang w:val="en-GB"/>
              </w:rPr>
            </w:pPr>
            <w:r w:rsidRPr="00407FDA">
              <w:rPr>
                <w:rFonts w:ascii="Arial" w:hAnsi="Arial" w:cs="Arial"/>
                <w:b/>
                <w:lang w:val="en-GB"/>
              </w:rPr>
              <w:t>Sub-segment</w:t>
            </w:r>
          </w:p>
        </w:tc>
        <w:tc>
          <w:tcPr>
            <w:tcW w:w="1102" w:type="dxa"/>
            <w:shd w:val="clear" w:color="auto" w:fill="auto"/>
          </w:tcPr>
          <w:p w:rsidR="00516ED9" w:rsidRPr="00407FDA" w:rsidRDefault="00516ED9" w:rsidP="00F11AE4">
            <w:pPr>
              <w:jc w:val="center"/>
              <w:rPr>
                <w:rFonts w:ascii="Arial" w:hAnsi="Arial" w:cs="Arial"/>
                <w:b/>
                <w:lang w:val="en-GB"/>
              </w:rPr>
            </w:pPr>
            <w:r w:rsidRPr="00407FDA">
              <w:rPr>
                <w:rFonts w:ascii="Arial" w:hAnsi="Arial" w:cs="Arial"/>
                <w:b/>
                <w:lang w:val="en-GB"/>
              </w:rPr>
              <w:t>2009</w:t>
            </w:r>
          </w:p>
        </w:tc>
        <w:tc>
          <w:tcPr>
            <w:tcW w:w="1102" w:type="dxa"/>
            <w:shd w:val="clear" w:color="auto" w:fill="auto"/>
          </w:tcPr>
          <w:p w:rsidR="00516ED9" w:rsidRPr="00407FDA" w:rsidRDefault="00516ED9" w:rsidP="00F11AE4">
            <w:pPr>
              <w:jc w:val="center"/>
              <w:rPr>
                <w:rFonts w:ascii="Arial" w:hAnsi="Arial" w:cs="Arial"/>
                <w:b/>
                <w:lang w:val="en-GB"/>
              </w:rPr>
            </w:pPr>
            <w:r w:rsidRPr="00407FDA">
              <w:rPr>
                <w:rFonts w:ascii="Arial" w:hAnsi="Arial" w:cs="Arial"/>
                <w:b/>
                <w:lang w:val="en-GB"/>
              </w:rPr>
              <w:t>2010</w:t>
            </w:r>
          </w:p>
        </w:tc>
        <w:tc>
          <w:tcPr>
            <w:tcW w:w="1102" w:type="dxa"/>
            <w:shd w:val="clear" w:color="auto" w:fill="auto"/>
          </w:tcPr>
          <w:p w:rsidR="00516ED9" w:rsidRPr="00407FDA" w:rsidRDefault="00516ED9" w:rsidP="00F11AE4">
            <w:pPr>
              <w:jc w:val="center"/>
              <w:rPr>
                <w:rFonts w:ascii="Arial" w:hAnsi="Arial" w:cs="Arial"/>
                <w:b/>
                <w:lang w:val="en-GB"/>
              </w:rPr>
            </w:pPr>
            <w:r w:rsidRPr="00407FDA">
              <w:rPr>
                <w:rFonts w:ascii="Arial" w:hAnsi="Arial" w:cs="Arial"/>
                <w:b/>
                <w:lang w:val="en-GB"/>
              </w:rPr>
              <w:t>2011</w:t>
            </w:r>
          </w:p>
        </w:tc>
        <w:tc>
          <w:tcPr>
            <w:tcW w:w="1102" w:type="dxa"/>
            <w:shd w:val="clear" w:color="auto" w:fill="auto"/>
          </w:tcPr>
          <w:p w:rsidR="00516ED9" w:rsidRPr="00407FDA" w:rsidRDefault="00516ED9" w:rsidP="00F11AE4">
            <w:pPr>
              <w:jc w:val="center"/>
              <w:rPr>
                <w:rFonts w:ascii="Arial" w:hAnsi="Arial" w:cs="Arial"/>
                <w:b/>
                <w:lang w:val="en-GB"/>
              </w:rPr>
            </w:pPr>
            <w:r w:rsidRPr="00407FDA">
              <w:rPr>
                <w:rFonts w:ascii="Arial" w:hAnsi="Arial" w:cs="Arial"/>
                <w:b/>
                <w:lang w:val="en-GB"/>
              </w:rPr>
              <w:t>2012</w:t>
            </w:r>
          </w:p>
        </w:tc>
        <w:tc>
          <w:tcPr>
            <w:tcW w:w="1102" w:type="dxa"/>
            <w:shd w:val="clear" w:color="auto" w:fill="auto"/>
          </w:tcPr>
          <w:p w:rsidR="00516ED9" w:rsidRPr="00407FDA" w:rsidRDefault="00516ED9" w:rsidP="00F11AE4">
            <w:pPr>
              <w:jc w:val="center"/>
              <w:rPr>
                <w:rFonts w:ascii="Arial" w:hAnsi="Arial" w:cs="Arial"/>
                <w:b/>
                <w:lang w:val="en-GB"/>
              </w:rPr>
            </w:pPr>
            <w:r w:rsidRPr="00407FDA">
              <w:rPr>
                <w:rFonts w:ascii="Arial" w:hAnsi="Arial" w:cs="Arial"/>
                <w:b/>
                <w:lang w:val="en-GB"/>
              </w:rPr>
              <w:t>2013</w:t>
            </w:r>
          </w:p>
        </w:tc>
      </w:tr>
      <w:tr w:rsidR="00516ED9" w:rsidRPr="00881D14" w:rsidTr="00F11AE4">
        <w:trPr>
          <w:jc w:val="center"/>
        </w:trPr>
        <w:tc>
          <w:tcPr>
            <w:tcW w:w="1411" w:type="dxa"/>
            <w:vMerge w:val="restart"/>
            <w:shd w:val="clear" w:color="auto" w:fill="auto"/>
          </w:tcPr>
          <w:p w:rsidR="00516ED9" w:rsidRPr="00881D14" w:rsidRDefault="00516ED9" w:rsidP="00F11AE4">
            <w:pPr>
              <w:jc w:val="both"/>
              <w:rPr>
                <w:rFonts w:ascii="Arial" w:hAnsi="Arial" w:cs="Arial"/>
                <w:lang w:val="en-GB"/>
              </w:rPr>
            </w:pPr>
          </w:p>
          <w:p w:rsidR="00516ED9" w:rsidRPr="00881D14" w:rsidRDefault="00516ED9" w:rsidP="00F11AE4">
            <w:pPr>
              <w:jc w:val="both"/>
              <w:rPr>
                <w:rFonts w:ascii="Arial" w:hAnsi="Arial" w:cs="Arial"/>
                <w:lang w:val="en-GB"/>
              </w:rPr>
            </w:pPr>
            <w:r w:rsidRPr="00881D14">
              <w:rPr>
                <w:rFonts w:ascii="Arial" w:hAnsi="Arial" w:cs="Arial"/>
                <w:lang w:val="en-GB"/>
              </w:rPr>
              <w:t>Radio</w:t>
            </w:r>
          </w:p>
        </w:tc>
        <w:tc>
          <w:tcPr>
            <w:tcW w:w="2429" w:type="dxa"/>
            <w:shd w:val="clear" w:color="auto" w:fill="auto"/>
          </w:tcPr>
          <w:p w:rsidR="00516ED9" w:rsidRPr="00881D14" w:rsidRDefault="00516ED9" w:rsidP="00F11AE4">
            <w:pPr>
              <w:jc w:val="both"/>
              <w:rPr>
                <w:rFonts w:ascii="Arial" w:hAnsi="Arial" w:cs="Arial"/>
                <w:lang w:val="en-GB"/>
              </w:rPr>
            </w:pPr>
            <w:r w:rsidRPr="00881D14">
              <w:rPr>
                <w:rFonts w:ascii="Arial" w:hAnsi="Arial" w:cs="Arial"/>
                <w:lang w:val="en-GB"/>
              </w:rPr>
              <w:t>AM</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306</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307</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311</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306</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295</w:t>
            </w:r>
          </w:p>
        </w:tc>
      </w:tr>
      <w:tr w:rsidR="00516ED9" w:rsidRPr="00881D14" w:rsidTr="00F11AE4">
        <w:trPr>
          <w:jc w:val="center"/>
        </w:trPr>
        <w:tc>
          <w:tcPr>
            <w:tcW w:w="1411" w:type="dxa"/>
            <w:vMerge/>
            <w:shd w:val="clear" w:color="auto" w:fill="auto"/>
          </w:tcPr>
          <w:p w:rsidR="00516ED9" w:rsidRPr="00881D14" w:rsidRDefault="00516ED9" w:rsidP="00F11AE4">
            <w:pPr>
              <w:jc w:val="both"/>
              <w:rPr>
                <w:rFonts w:ascii="Arial" w:hAnsi="Arial" w:cs="Arial"/>
                <w:lang w:val="en-GB"/>
              </w:rPr>
            </w:pPr>
          </w:p>
        </w:tc>
        <w:tc>
          <w:tcPr>
            <w:tcW w:w="2429" w:type="dxa"/>
            <w:shd w:val="clear" w:color="auto" w:fill="auto"/>
          </w:tcPr>
          <w:p w:rsidR="00516ED9" w:rsidRPr="00881D14" w:rsidRDefault="00516ED9" w:rsidP="00F11AE4">
            <w:pPr>
              <w:jc w:val="both"/>
              <w:rPr>
                <w:rFonts w:ascii="Arial" w:hAnsi="Arial" w:cs="Arial"/>
                <w:lang w:val="en-GB"/>
              </w:rPr>
            </w:pPr>
            <w:r w:rsidRPr="00881D14">
              <w:rPr>
                <w:rFonts w:ascii="Arial" w:hAnsi="Arial" w:cs="Arial"/>
                <w:lang w:val="en-GB"/>
              </w:rPr>
              <w:t>FM</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1,202</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1,245</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1,302</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1,314</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1,328</w:t>
            </w:r>
          </w:p>
        </w:tc>
      </w:tr>
      <w:tr w:rsidR="00516ED9" w:rsidRPr="00881D14" w:rsidTr="00F11AE4">
        <w:trPr>
          <w:jc w:val="center"/>
        </w:trPr>
        <w:tc>
          <w:tcPr>
            <w:tcW w:w="1411" w:type="dxa"/>
            <w:vMerge/>
            <w:shd w:val="clear" w:color="auto" w:fill="auto"/>
          </w:tcPr>
          <w:p w:rsidR="00516ED9" w:rsidRPr="00881D14" w:rsidRDefault="00516ED9" w:rsidP="00F11AE4">
            <w:pPr>
              <w:jc w:val="both"/>
              <w:rPr>
                <w:rFonts w:ascii="Arial" w:hAnsi="Arial" w:cs="Arial"/>
                <w:lang w:val="en-GB"/>
              </w:rPr>
            </w:pPr>
          </w:p>
        </w:tc>
        <w:tc>
          <w:tcPr>
            <w:tcW w:w="2429" w:type="dxa"/>
            <w:shd w:val="clear" w:color="auto" w:fill="auto"/>
          </w:tcPr>
          <w:p w:rsidR="00516ED9" w:rsidRPr="00881D14" w:rsidRDefault="00516ED9" w:rsidP="00F11AE4">
            <w:pPr>
              <w:jc w:val="both"/>
              <w:rPr>
                <w:rFonts w:ascii="Arial" w:hAnsi="Arial" w:cs="Arial"/>
                <w:lang w:val="en-GB"/>
              </w:rPr>
            </w:pPr>
            <w:r w:rsidRPr="00881D14">
              <w:rPr>
                <w:rFonts w:ascii="Arial" w:hAnsi="Arial" w:cs="Arial"/>
                <w:lang w:val="en-GB"/>
              </w:rPr>
              <w:t>Sub</w:t>
            </w:r>
            <w:r>
              <w:rPr>
                <w:rFonts w:ascii="Arial" w:hAnsi="Arial" w:cs="Arial"/>
                <w:lang w:val="en-GB"/>
              </w:rPr>
              <w:t>t</w:t>
            </w:r>
            <w:r w:rsidRPr="00881D14">
              <w:rPr>
                <w:rFonts w:ascii="Arial" w:hAnsi="Arial" w:cs="Arial"/>
                <w:lang w:val="en-GB"/>
              </w:rPr>
              <w:t>otal</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1,508</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1,552</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1,613</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1,620</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1,623</w:t>
            </w:r>
          </w:p>
        </w:tc>
      </w:tr>
      <w:tr w:rsidR="00516ED9" w:rsidRPr="00881D14" w:rsidTr="00F11AE4">
        <w:trPr>
          <w:jc w:val="center"/>
        </w:trPr>
        <w:tc>
          <w:tcPr>
            <w:tcW w:w="1411" w:type="dxa"/>
            <w:vMerge w:val="restart"/>
            <w:shd w:val="clear" w:color="auto" w:fill="auto"/>
          </w:tcPr>
          <w:p w:rsidR="00516ED9" w:rsidRPr="00881D14" w:rsidRDefault="00516ED9" w:rsidP="00F11AE4">
            <w:pPr>
              <w:jc w:val="both"/>
              <w:rPr>
                <w:rFonts w:ascii="Arial" w:hAnsi="Arial" w:cs="Arial"/>
                <w:lang w:val="en-GB"/>
              </w:rPr>
            </w:pPr>
          </w:p>
          <w:p w:rsidR="00516ED9" w:rsidRPr="00881D14" w:rsidRDefault="00516ED9" w:rsidP="00F11AE4">
            <w:pPr>
              <w:jc w:val="both"/>
              <w:rPr>
                <w:rFonts w:ascii="Arial" w:hAnsi="Arial" w:cs="Arial"/>
                <w:lang w:val="en-GB"/>
              </w:rPr>
            </w:pPr>
            <w:r w:rsidRPr="00881D14">
              <w:rPr>
                <w:rFonts w:ascii="Arial" w:hAnsi="Arial" w:cs="Arial"/>
                <w:lang w:val="en-GB"/>
              </w:rPr>
              <w:t>TV</w:t>
            </w:r>
          </w:p>
        </w:tc>
        <w:tc>
          <w:tcPr>
            <w:tcW w:w="2429" w:type="dxa"/>
            <w:shd w:val="clear" w:color="auto" w:fill="auto"/>
          </w:tcPr>
          <w:p w:rsidR="00516ED9" w:rsidRPr="00881D14" w:rsidRDefault="00516ED9" w:rsidP="00F11AE4">
            <w:pPr>
              <w:jc w:val="both"/>
              <w:rPr>
                <w:rFonts w:ascii="Arial" w:hAnsi="Arial" w:cs="Arial"/>
                <w:lang w:val="en-GB"/>
              </w:rPr>
            </w:pPr>
            <w:r w:rsidRPr="00881D14">
              <w:rPr>
                <w:rFonts w:ascii="Arial" w:hAnsi="Arial" w:cs="Arial"/>
                <w:lang w:val="en-GB"/>
              </w:rPr>
              <w:t xml:space="preserve">CBC </w:t>
            </w:r>
            <w:r>
              <w:rPr>
                <w:rFonts w:ascii="Arial" w:hAnsi="Arial" w:cs="Arial"/>
                <w:lang w:val="en-GB"/>
              </w:rPr>
              <w:t>c</w:t>
            </w:r>
            <w:r w:rsidRPr="00881D14">
              <w:rPr>
                <w:rFonts w:ascii="Arial" w:hAnsi="Arial" w:cs="Arial"/>
                <w:lang w:val="en-GB"/>
              </w:rPr>
              <w:t>onventional TV</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392</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450</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500</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508</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464</w:t>
            </w:r>
          </w:p>
        </w:tc>
      </w:tr>
      <w:tr w:rsidR="00516ED9" w:rsidRPr="00881D14" w:rsidTr="00F11AE4">
        <w:trPr>
          <w:jc w:val="center"/>
        </w:trPr>
        <w:tc>
          <w:tcPr>
            <w:tcW w:w="1411" w:type="dxa"/>
            <w:vMerge/>
            <w:shd w:val="clear" w:color="auto" w:fill="auto"/>
          </w:tcPr>
          <w:p w:rsidR="00516ED9" w:rsidRPr="00881D14" w:rsidRDefault="00516ED9" w:rsidP="00F11AE4">
            <w:pPr>
              <w:jc w:val="both"/>
              <w:rPr>
                <w:rFonts w:ascii="Arial" w:hAnsi="Arial" w:cs="Arial"/>
                <w:lang w:val="en-GB"/>
              </w:rPr>
            </w:pPr>
          </w:p>
        </w:tc>
        <w:tc>
          <w:tcPr>
            <w:tcW w:w="2429" w:type="dxa"/>
            <w:shd w:val="clear" w:color="auto" w:fill="auto"/>
          </w:tcPr>
          <w:p w:rsidR="00516ED9" w:rsidRPr="00881D14" w:rsidRDefault="00516ED9" w:rsidP="00F11AE4">
            <w:pPr>
              <w:jc w:val="both"/>
              <w:rPr>
                <w:rFonts w:ascii="Arial" w:hAnsi="Arial" w:cs="Arial"/>
                <w:lang w:val="en-GB"/>
              </w:rPr>
            </w:pPr>
            <w:r w:rsidRPr="00881D14">
              <w:rPr>
                <w:rFonts w:ascii="Arial" w:hAnsi="Arial" w:cs="Arial"/>
                <w:lang w:val="en-GB"/>
              </w:rPr>
              <w:t xml:space="preserve">Private </w:t>
            </w:r>
            <w:r>
              <w:rPr>
                <w:rFonts w:ascii="Arial" w:hAnsi="Arial" w:cs="Arial"/>
                <w:lang w:val="en-GB"/>
              </w:rPr>
              <w:t>c</w:t>
            </w:r>
            <w:r w:rsidRPr="00881D14">
              <w:rPr>
                <w:rFonts w:ascii="Arial" w:hAnsi="Arial" w:cs="Arial"/>
                <w:lang w:val="en-GB"/>
              </w:rPr>
              <w:t>onventional TV</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1,971</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2,142</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2,144</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2,038</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1,944</w:t>
            </w:r>
          </w:p>
        </w:tc>
      </w:tr>
      <w:tr w:rsidR="00516ED9" w:rsidRPr="00881D14" w:rsidTr="00F11AE4">
        <w:trPr>
          <w:jc w:val="center"/>
        </w:trPr>
        <w:tc>
          <w:tcPr>
            <w:tcW w:w="1411" w:type="dxa"/>
            <w:vMerge/>
            <w:shd w:val="clear" w:color="auto" w:fill="auto"/>
          </w:tcPr>
          <w:p w:rsidR="00516ED9" w:rsidRPr="00881D14" w:rsidRDefault="00516ED9" w:rsidP="00F11AE4">
            <w:pPr>
              <w:jc w:val="both"/>
              <w:rPr>
                <w:rFonts w:ascii="Arial" w:hAnsi="Arial" w:cs="Arial"/>
                <w:lang w:val="en-GB"/>
              </w:rPr>
            </w:pPr>
          </w:p>
        </w:tc>
        <w:tc>
          <w:tcPr>
            <w:tcW w:w="2429" w:type="dxa"/>
            <w:shd w:val="clear" w:color="auto" w:fill="auto"/>
          </w:tcPr>
          <w:p w:rsidR="00516ED9" w:rsidRPr="00881D14" w:rsidRDefault="00516ED9" w:rsidP="00F11AE4">
            <w:pPr>
              <w:jc w:val="both"/>
              <w:rPr>
                <w:rFonts w:ascii="Arial" w:hAnsi="Arial" w:cs="Arial"/>
                <w:lang w:val="en-GB"/>
              </w:rPr>
            </w:pPr>
            <w:r w:rsidRPr="00881D14">
              <w:rPr>
                <w:rFonts w:ascii="Arial" w:hAnsi="Arial" w:cs="Arial"/>
                <w:lang w:val="en-GB"/>
              </w:rPr>
              <w:t>Pay</w:t>
            </w:r>
            <w:r>
              <w:rPr>
                <w:rFonts w:ascii="Arial" w:hAnsi="Arial" w:cs="Arial"/>
                <w:lang w:val="en-GB"/>
              </w:rPr>
              <w:t>-</w:t>
            </w:r>
            <w:r w:rsidRPr="00881D14">
              <w:rPr>
                <w:rFonts w:ascii="Arial" w:hAnsi="Arial" w:cs="Arial"/>
                <w:lang w:val="en-GB"/>
              </w:rPr>
              <w:t>per</w:t>
            </w:r>
            <w:r>
              <w:rPr>
                <w:rFonts w:ascii="Arial" w:hAnsi="Arial" w:cs="Arial"/>
                <w:lang w:val="en-GB"/>
              </w:rPr>
              <w:t>-</w:t>
            </w:r>
            <w:r w:rsidRPr="00881D14">
              <w:rPr>
                <w:rFonts w:ascii="Arial" w:hAnsi="Arial" w:cs="Arial"/>
                <w:lang w:val="en-GB"/>
              </w:rPr>
              <w:t>view and others</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3,121</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3,475</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3,748</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3,968</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4,091</w:t>
            </w:r>
          </w:p>
        </w:tc>
      </w:tr>
      <w:tr w:rsidR="00516ED9" w:rsidRPr="00881D14" w:rsidTr="00F11AE4">
        <w:trPr>
          <w:jc w:val="center"/>
        </w:trPr>
        <w:tc>
          <w:tcPr>
            <w:tcW w:w="1411" w:type="dxa"/>
            <w:vMerge/>
            <w:shd w:val="clear" w:color="auto" w:fill="auto"/>
          </w:tcPr>
          <w:p w:rsidR="00516ED9" w:rsidRPr="00881D14" w:rsidRDefault="00516ED9" w:rsidP="00F11AE4">
            <w:pPr>
              <w:jc w:val="both"/>
              <w:rPr>
                <w:rFonts w:ascii="Arial" w:hAnsi="Arial" w:cs="Arial"/>
                <w:lang w:val="en-GB"/>
              </w:rPr>
            </w:pPr>
          </w:p>
        </w:tc>
        <w:tc>
          <w:tcPr>
            <w:tcW w:w="2429" w:type="dxa"/>
            <w:shd w:val="clear" w:color="auto" w:fill="auto"/>
          </w:tcPr>
          <w:p w:rsidR="00516ED9" w:rsidRPr="00881D14" w:rsidRDefault="00516ED9" w:rsidP="00F11AE4">
            <w:pPr>
              <w:jc w:val="both"/>
              <w:rPr>
                <w:rFonts w:ascii="Arial" w:hAnsi="Arial" w:cs="Arial"/>
                <w:lang w:val="en-GB"/>
              </w:rPr>
            </w:pPr>
            <w:r w:rsidRPr="00881D14">
              <w:rPr>
                <w:rFonts w:ascii="Arial" w:hAnsi="Arial" w:cs="Arial"/>
                <w:lang w:val="en-GB"/>
              </w:rPr>
              <w:t>Sub</w:t>
            </w:r>
            <w:r>
              <w:rPr>
                <w:rFonts w:ascii="Arial" w:hAnsi="Arial" w:cs="Arial"/>
                <w:lang w:val="en-GB"/>
              </w:rPr>
              <w:t>t</w:t>
            </w:r>
            <w:r w:rsidRPr="00881D14">
              <w:rPr>
                <w:rFonts w:ascii="Arial" w:hAnsi="Arial" w:cs="Arial"/>
                <w:lang w:val="en-GB"/>
              </w:rPr>
              <w:t>otal</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5,484</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6,067</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6,392</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6,514</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6,499</w:t>
            </w:r>
          </w:p>
        </w:tc>
      </w:tr>
      <w:tr w:rsidR="00516ED9" w:rsidRPr="00881D14" w:rsidTr="00F11AE4">
        <w:trPr>
          <w:jc w:val="center"/>
        </w:trPr>
        <w:tc>
          <w:tcPr>
            <w:tcW w:w="1411" w:type="dxa"/>
            <w:vMerge w:val="restart"/>
            <w:shd w:val="clear" w:color="auto" w:fill="auto"/>
          </w:tcPr>
          <w:p w:rsidR="00516ED9" w:rsidRPr="00881D14" w:rsidRDefault="00516ED9" w:rsidP="00F11AE4">
            <w:pPr>
              <w:jc w:val="both"/>
              <w:rPr>
                <w:rFonts w:ascii="Arial" w:hAnsi="Arial" w:cs="Arial"/>
                <w:lang w:val="en-GB"/>
              </w:rPr>
            </w:pPr>
            <w:r w:rsidRPr="00881D14">
              <w:rPr>
                <w:rFonts w:ascii="Arial" w:hAnsi="Arial" w:cs="Arial"/>
                <w:lang w:val="en-GB"/>
              </w:rPr>
              <w:t>Broadcasting Distribution Undertakings</w:t>
            </w:r>
          </w:p>
          <w:p w:rsidR="00516ED9" w:rsidRPr="00881D14" w:rsidRDefault="00516ED9" w:rsidP="00F11AE4">
            <w:pPr>
              <w:jc w:val="both"/>
              <w:rPr>
                <w:rFonts w:ascii="Arial" w:hAnsi="Arial" w:cs="Arial"/>
                <w:lang w:val="en-GB"/>
              </w:rPr>
            </w:pPr>
            <w:r w:rsidRPr="00881D14">
              <w:rPr>
                <w:rFonts w:ascii="Arial" w:hAnsi="Arial" w:cs="Arial"/>
                <w:lang w:val="en-GB"/>
              </w:rPr>
              <w:t>(BDU)</w:t>
            </w:r>
          </w:p>
        </w:tc>
        <w:tc>
          <w:tcPr>
            <w:tcW w:w="2429" w:type="dxa"/>
            <w:shd w:val="clear" w:color="auto" w:fill="auto"/>
          </w:tcPr>
          <w:p w:rsidR="00516ED9" w:rsidRPr="00881D14" w:rsidRDefault="00516ED9" w:rsidP="00F11AE4">
            <w:pPr>
              <w:jc w:val="both"/>
              <w:rPr>
                <w:rFonts w:ascii="Arial" w:hAnsi="Arial" w:cs="Arial"/>
                <w:lang w:val="en-GB"/>
              </w:rPr>
            </w:pPr>
            <w:r w:rsidRPr="00881D14">
              <w:rPr>
                <w:rFonts w:ascii="Arial" w:hAnsi="Arial" w:cs="Arial"/>
                <w:lang w:val="en-GB"/>
              </w:rPr>
              <w:t>Cable and IPTV</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5,123</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5,610</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5,927</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6,068</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6,321</w:t>
            </w:r>
          </w:p>
        </w:tc>
      </w:tr>
      <w:tr w:rsidR="00516ED9" w:rsidRPr="00881D14" w:rsidTr="00F11AE4">
        <w:trPr>
          <w:jc w:val="center"/>
        </w:trPr>
        <w:tc>
          <w:tcPr>
            <w:tcW w:w="1411" w:type="dxa"/>
            <w:vMerge/>
            <w:shd w:val="clear" w:color="auto" w:fill="auto"/>
          </w:tcPr>
          <w:p w:rsidR="00516ED9" w:rsidRPr="00881D14" w:rsidRDefault="00516ED9" w:rsidP="00F11AE4">
            <w:pPr>
              <w:jc w:val="both"/>
              <w:rPr>
                <w:rFonts w:ascii="Arial" w:hAnsi="Arial" w:cs="Arial"/>
                <w:lang w:val="en-GB"/>
              </w:rPr>
            </w:pPr>
          </w:p>
        </w:tc>
        <w:tc>
          <w:tcPr>
            <w:tcW w:w="2429" w:type="dxa"/>
            <w:shd w:val="clear" w:color="auto" w:fill="auto"/>
          </w:tcPr>
          <w:p w:rsidR="00516ED9" w:rsidRPr="00881D14" w:rsidRDefault="00516ED9" w:rsidP="00F11AE4">
            <w:pPr>
              <w:jc w:val="both"/>
              <w:rPr>
                <w:rFonts w:ascii="Arial" w:hAnsi="Arial" w:cs="Arial"/>
                <w:lang w:val="en-GB"/>
              </w:rPr>
            </w:pPr>
            <w:r w:rsidRPr="00881D14">
              <w:rPr>
                <w:rFonts w:ascii="Arial" w:hAnsi="Arial" w:cs="Arial"/>
                <w:lang w:val="en-GB"/>
              </w:rPr>
              <w:t>DTH/MDS undertakings</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2,196</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2,385</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2,532</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2,492</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2,472</w:t>
            </w:r>
          </w:p>
        </w:tc>
      </w:tr>
      <w:tr w:rsidR="00516ED9" w:rsidRPr="00881D14" w:rsidTr="00F11AE4">
        <w:trPr>
          <w:jc w:val="center"/>
        </w:trPr>
        <w:tc>
          <w:tcPr>
            <w:tcW w:w="1411" w:type="dxa"/>
            <w:vMerge/>
            <w:shd w:val="clear" w:color="auto" w:fill="auto"/>
          </w:tcPr>
          <w:p w:rsidR="00516ED9" w:rsidRPr="00881D14" w:rsidRDefault="00516ED9" w:rsidP="00F11AE4">
            <w:pPr>
              <w:jc w:val="both"/>
              <w:rPr>
                <w:rFonts w:ascii="Arial" w:hAnsi="Arial" w:cs="Arial"/>
                <w:lang w:val="en-GB"/>
              </w:rPr>
            </w:pPr>
          </w:p>
        </w:tc>
        <w:tc>
          <w:tcPr>
            <w:tcW w:w="2429" w:type="dxa"/>
            <w:shd w:val="clear" w:color="auto" w:fill="auto"/>
          </w:tcPr>
          <w:p w:rsidR="00516ED9" w:rsidRPr="00881D14" w:rsidRDefault="00516ED9" w:rsidP="00F11AE4">
            <w:pPr>
              <w:jc w:val="both"/>
              <w:rPr>
                <w:rFonts w:ascii="Arial" w:hAnsi="Arial" w:cs="Arial"/>
                <w:lang w:val="en-GB"/>
              </w:rPr>
            </w:pPr>
            <w:r w:rsidRPr="00881D14">
              <w:rPr>
                <w:rFonts w:ascii="Arial" w:hAnsi="Arial" w:cs="Arial"/>
                <w:lang w:val="en-GB"/>
              </w:rPr>
              <w:t>Non-reporting BDUs</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123</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134</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127</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196</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196</w:t>
            </w:r>
          </w:p>
        </w:tc>
      </w:tr>
      <w:tr w:rsidR="00516ED9" w:rsidRPr="00881D14" w:rsidTr="00F11AE4">
        <w:trPr>
          <w:jc w:val="center"/>
        </w:trPr>
        <w:tc>
          <w:tcPr>
            <w:tcW w:w="1411" w:type="dxa"/>
            <w:vMerge/>
            <w:shd w:val="clear" w:color="auto" w:fill="auto"/>
          </w:tcPr>
          <w:p w:rsidR="00516ED9" w:rsidRPr="00881D14" w:rsidRDefault="00516ED9" w:rsidP="00F11AE4">
            <w:pPr>
              <w:jc w:val="both"/>
              <w:rPr>
                <w:rFonts w:ascii="Arial" w:hAnsi="Arial" w:cs="Arial"/>
                <w:lang w:val="en-GB"/>
              </w:rPr>
            </w:pPr>
          </w:p>
        </w:tc>
        <w:tc>
          <w:tcPr>
            <w:tcW w:w="2429" w:type="dxa"/>
            <w:shd w:val="clear" w:color="auto" w:fill="auto"/>
          </w:tcPr>
          <w:p w:rsidR="00516ED9" w:rsidRPr="00881D14" w:rsidRDefault="00516ED9" w:rsidP="00F11AE4">
            <w:pPr>
              <w:jc w:val="both"/>
              <w:rPr>
                <w:rFonts w:ascii="Arial" w:hAnsi="Arial" w:cs="Arial"/>
                <w:lang w:val="en-GB"/>
              </w:rPr>
            </w:pPr>
            <w:r w:rsidRPr="00881D14">
              <w:rPr>
                <w:rFonts w:ascii="Arial" w:hAnsi="Arial" w:cs="Arial"/>
                <w:lang w:val="en-GB"/>
              </w:rPr>
              <w:t>Sub</w:t>
            </w:r>
            <w:r>
              <w:rPr>
                <w:rFonts w:ascii="Arial" w:hAnsi="Arial" w:cs="Arial"/>
                <w:lang w:val="en-GB"/>
              </w:rPr>
              <w:t>t</w:t>
            </w:r>
            <w:r w:rsidRPr="00881D14">
              <w:rPr>
                <w:rFonts w:ascii="Arial" w:hAnsi="Arial" w:cs="Arial"/>
                <w:lang w:val="en-GB"/>
              </w:rPr>
              <w:t>otal</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7,441</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8,130</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8,586</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8,757</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8,990</w:t>
            </w:r>
          </w:p>
        </w:tc>
      </w:tr>
      <w:tr w:rsidR="00516ED9" w:rsidRPr="00881D14" w:rsidTr="00F11AE4">
        <w:trPr>
          <w:jc w:val="center"/>
        </w:trPr>
        <w:tc>
          <w:tcPr>
            <w:tcW w:w="3840" w:type="dxa"/>
            <w:gridSpan w:val="2"/>
            <w:shd w:val="clear" w:color="auto" w:fill="auto"/>
          </w:tcPr>
          <w:p w:rsidR="00516ED9" w:rsidRPr="00881D14" w:rsidRDefault="00516ED9" w:rsidP="00F11AE4">
            <w:pPr>
              <w:jc w:val="both"/>
              <w:rPr>
                <w:rFonts w:ascii="Arial" w:hAnsi="Arial" w:cs="Arial"/>
                <w:lang w:val="en-GB"/>
              </w:rPr>
            </w:pPr>
            <w:r w:rsidRPr="00881D14">
              <w:rPr>
                <w:rFonts w:ascii="Arial" w:hAnsi="Arial" w:cs="Arial"/>
                <w:lang w:val="en-GB"/>
              </w:rPr>
              <w:t>Total</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14,432</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15,749</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16,591</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16,891</w:t>
            </w:r>
          </w:p>
        </w:tc>
        <w:tc>
          <w:tcPr>
            <w:tcW w:w="1102" w:type="dxa"/>
            <w:shd w:val="clear" w:color="auto" w:fill="auto"/>
          </w:tcPr>
          <w:p w:rsidR="00516ED9" w:rsidRPr="00881D14" w:rsidRDefault="00516ED9" w:rsidP="00F11AE4">
            <w:pPr>
              <w:jc w:val="right"/>
              <w:rPr>
                <w:rFonts w:ascii="Arial" w:hAnsi="Arial" w:cs="Arial"/>
                <w:lang w:val="en-GB"/>
              </w:rPr>
            </w:pPr>
            <w:r w:rsidRPr="00881D14">
              <w:rPr>
                <w:rFonts w:ascii="Arial" w:hAnsi="Arial" w:cs="Arial"/>
                <w:lang w:val="en-GB"/>
              </w:rPr>
              <w:t>17,111</w:t>
            </w:r>
          </w:p>
        </w:tc>
      </w:tr>
    </w:tbl>
    <w:p w:rsidR="00516ED9" w:rsidRPr="00881D14" w:rsidRDefault="00516ED9" w:rsidP="00516ED9">
      <w:pPr>
        <w:pStyle w:val="FootnoteText1"/>
        <w:rPr>
          <w:lang w:val="en-GB"/>
        </w:rPr>
      </w:pPr>
    </w:p>
    <w:p w:rsidR="00516ED9" w:rsidRDefault="00516ED9" w:rsidP="00516ED9">
      <w:pPr>
        <w:pStyle w:val="FootnoteText1"/>
        <w:rPr>
          <w:lang w:val="en-GB"/>
        </w:rPr>
      </w:pPr>
      <w:r>
        <w:rPr>
          <w:lang w:val="en-GB"/>
        </w:rPr>
        <w:t xml:space="preserve">Note: TV = television; CBC = Canadian Broadcasting Corporation; IPTV = </w:t>
      </w:r>
      <w:r w:rsidRPr="007B37EB">
        <w:rPr>
          <w:lang w:val="en-GB"/>
        </w:rPr>
        <w:t>Internet Protocol television</w:t>
      </w:r>
      <w:r>
        <w:rPr>
          <w:lang w:val="en-GB"/>
        </w:rPr>
        <w:t xml:space="preserve">; DTH = </w:t>
      </w:r>
      <w:r w:rsidRPr="007B37EB">
        <w:rPr>
          <w:lang w:val="en-GB"/>
        </w:rPr>
        <w:t>direct-to-home</w:t>
      </w:r>
      <w:r>
        <w:rPr>
          <w:lang w:val="en-GB"/>
        </w:rPr>
        <w:t>;</w:t>
      </w:r>
      <w:r w:rsidRPr="007B37EB">
        <w:rPr>
          <w:lang w:val="en-GB"/>
        </w:rPr>
        <w:t xml:space="preserve"> </w:t>
      </w:r>
      <w:r>
        <w:rPr>
          <w:lang w:val="en-GB"/>
        </w:rPr>
        <w:t>MDS =</w:t>
      </w:r>
      <w:r w:rsidRPr="007B37EB">
        <w:rPr>
          <w:lang w:val="en-GB"/>
        </w:rPr>
        <w:t xml:space="preserve"> multipoint distribution system </w:t>
      </w:r>
    </w:p>
    <w:p w:rsidR="00516ED9" w:rsidRPr="00516ED9" w:rsidRDefault="00516ED9" w:rsidP="00516ED9">
      <w:pPr>
        <w:pStyle w:val="FootnoteText1"/>
        <w:rPr>
          <w:spacing w:val="-2"/>
          <w:lang w:val="en-GB"/>
        </w:rPr>
      </w:pPr>
      <w:r w:rsidRPr="00516ED9">
        <w:rPr>
          <w:spacing w:val="-2"/>
          <w:lang w:val="en-GB"/>
        </w:rPr>
        <w:t>Source: “Communications Monitoring Report 2014: Broadcasting System,”</w:t>
      </w:r>
      <w:r w:rsidRPr="00516ED9">
        <w:rPr>
          <w:spacing w:val="-2"/>
        </w:rPr>
        <w:t xml:space="preserve"> Canadian Radio-television and Telecommunications Commission, accessed September 1</w:t>
      </w:r>
      <w:r w:rsidRPr="00516ED9">
        <w:rPr>
          <w:spacing w:val="-2"/>
          <w:lang w:val="en-CA"/>
        </w:rPr>
        <w:t>0</w:t>
      </w:r>
      <w:r w:rsidRPr="00516ED9">
        <w:rPr>
          <w:spacing w:val="-2"/>
        </w:rPr>
        <w:t xml:space="preserve">, 2016, </w:t>
      </w:r>
      <w:r w:rsidRPr="00516ED9">
        <w:rPr>
          <w:spacing w:val="-2"/>
          <w:lang w:val="en-GB"/>
        </w:rPr>
        <w:t>www.crtc.gc.ca/eng/publications/reports/PolicyMonitoring/2014/cmr4.htm.</w:t>
      </w:r>
    </w:p>
    <w:p w:rsidR="00516ED9" w:rsidRPr="00881D14" w:rsidRDefault="00516ED9" w:rsidP="00516ED9">
      <w:pPr>
        <w:pStyle w:val="BodyTextMain"/>
        <w:rPr>
          <w:lang w:val="en-GB"/>
        </w:rPr>
      </w:pPr>
    </w:p>
    <w:p w:rsidR="00516ED9" w:rsidRPr="00881D14" w:rsidRDefault="00516ED9" w:rsidP="00516ED9">
      <w:pPr>
        <w:pStyle w:val="BodyTextMain"/>
        <w:rPr>
          <w:lang w:val="en-GB"/>
        </w:rPr>
      </w:pPr>
    </w:p>
    <w:p w:rsidR="00516ED9" w:rsidRPr="00881D14" w:rsidRDefault="00516ED9" w:rsidP="00516ED9">
      <w:pPr>
        <w:pStyle w:val="Casehead1"/>
        <w:jc w:val="center"/>
        <w:rPr>
          <w:lang w:val="en-GB"/>
        </w:rPr>
      </w:pPr>
      <w:r w:rsidRPr="00881D14">
        <w:rPr>
          <w:lang w:val="en-GB"/>
        </w:rPr>
        <w:t xml:space="preserve">Exhibit 2: TVO INCOME </w:t>
      </w:r>
      <w:r>
        <w:rPr>
          <w:lang w:val="en-GB"/>
        </w:rPr>
        <w:t>and</w:t>
      </w:r>
      <w:r w:rsidRPr="00881D14">
        <w:rPr>
          <w:lang w:val="en-GB"/>
        </w:rPr>
        <w:t xml:space="preserve"> EXPENDITURE STATEMENT (in </w:t>
      </w:r>
      <w:r>
        <w:rPr>
          <w:lang w:val="en-GB"/>
        </w:rPr>
        <w:t xml:space="preserve">CA$ </w:t>
      </w:r>
      <w:r w:rsidRPr="00881D14">
        <w:rPr>
          <w:lang w:val="en-GB"/>
        </w:rPr>
        <w:t>million)</w:t>
      </w:r>
    </w:p>
    <w:p w:rsidR="00516ED9" w:rsidRPr="00881D14" w:rsidRDefault="00516ED9" w:rsidP="00516ED9">
      <w:pPr>
        <w:jc w:val="both"/>
        <w:rPr>
          <w:color w:val="000000"/>
          <w:sz w:val="22"/>
          <w:szCs w:val="22"/>
          <w:lang w:val="en-GB"/>
        </w:rPr>
      </w:pPr>
    </w:p>
    <w:tbl>
      <w:tblPr>
        <w:tblW w:w="9464" w:type="dxa"/>
        <w:jc w:val="cente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992"/>
        <w:gridCol w:w="1134"/>
        <w:gridCol w:w="992"/>
        <w:gridCol w:w="1134"/>
        <w:gridCol w:w="993"/>
      </w:tblGrid>
      <w:tr w:rsidR="00516ED9" w:rsidRPr="00E454ED" w:rsidTr="00E01834">
        <w:trPr>
          <w:jc w:val="center"/>
        </w:trPr>
        <w:tc>
          <w:tcPr>
            <w:tcW w:w="4219" w:type="dxa"/>
            <w:shd w:val="clear" w:color="auto" w:fill="auto"/>
          </w:tcPr>
          <w:p w:rsidR="00516ED9" w:rsidRPr="00E454ED" w:rsidRDefault="00516ED9" w:rsidP="00F11AE4">
            <w:pPr>
              <w:jc w:val="both"/>
              <w:rPr>
                <w:rFonts w:ascii="Arial" w:hAnsi="Arial" w:cs="Arial"/>
                <w:color w:val="000000"/>
                <w:lang w:val="en-GB"/>
              </w:rPr>
            </w:pPr>
          </w:p>
        </w:tc>
        <w:tc>
          <w:tcPr>
            <w:tcW w:w="992" w:type="dxa"/>
          </w:tcPr>
          <w:p w:rsidR="00516ED9" w:rsidRPr="00E454ED" w:rsidRDefault="00516ED9" w:rsidP="00F11AE4">
            <w:pPr>
              <w:jc w:val="center"/>
              <w:rPr>
                <w:rFonts w:ascii="Arial" w:hAnsi="Arial" w:cs="Arial"/>
                <w:b/>
                <w:color w:val="000000"/>
                <w:lang w:val="en-GB"/>
              </w:rPr>
            </w:pPr>
            <w:r w:rsidRPr="00E454ED">
              <w:rPr>
                <w:rFonts w:ascii="Arial" w:hAnsi="Arial" w:cs="Arial"/>
                <w:b/>
                <w:color w:val="000000"/>
                <w:lang w:val="en-GB"/>
              </w:rPr>
              <w:t>2009</w:t>
            </w:r>
          </w:p>
        </w:tc>
        <w:tc>
          <w:tcPr>
            <w:tcW w:w="1134" w:type="dxa"/>
          </w:tcPr>
          <w:p w:rsidR="00516ED9" w:rsidRPr="00E454ED" w:rsidRDefault="00516ED9" w:rsidP="00F11AE4">
            <w:pPr>
              <w:jc w:val="center"/>
              <w:rPr>
                <w:rFonts w:ascii="Arial" w:hAnsi="Arial" w:cs="Arial"/>
                <w:b/>
                <w:color w:val="000000"/>
                <w:lang w:val="en-GB"/>
              </w:rPr>
            </w:pPr>
            <w:r w:rsidRPr="00E454ED">
              <w:rPr>
                <w:rFonts w:ascii="Arial" w:hAnsi="Arial" w:cs="Arial"/>
                <w:b/>
                <w:color w:val="000000"/>
                <w:lang w:val="en-GB"/>
              </w:rPr>
              <w:t>2010</w:t>
            </w:r>
          </w:p>
        </w:tc>
        <w:tc>
          <w:tcPr>
            <w:tcW w:w="992" w:type="dxa"/>
          </w:tcPr>
          <w:p w:rsidR="00516ED9" w:rsidRPr="00E454ED" w:rsidRDefault="00516ED9" w:rsidP="00F11AE4">
            <w:pPr>
              <w:jc w:val="center"/>
              <w:rPr>
                <w:rFonts w:ascii="Arial" w:hAnsi="Arial" w:cs="Arial"/>
                <w:b/>
                <w:color w:val="000000"/>
                <w:lang w:val="en-GB"/>
              </w:rPr>
            </w:pPr>
            <w:r w:rsidRPr="00E454ED">
              <w:rPr>
                <w:rFonts w:ascii="Arial" w:hAnsi="Arial" w:cs="Arial"/>
                <w:b/>
                <w:color w:val="000000"/>
                <w:lang w:val="en-GB"/>
              </w:rPr>
              <w:t>2011</w:t>
            </w:r>
          </w:p>
        </w:tc>
        <w:tc>
          <w:tcPr>
            <w:tcW w:w="1134" w:type="dxa"/>
          </w:tcPr>
          <w:p w:rsidR="00516ED9" w:rsidRPr="00E454ED" w:rsidRDefault="00516ED9" w:rsidP="00F11AE4">
            <w:pPr>
              <w:jc w:val="center"/>
              <w:rPr>
                <w:rFonts w:ascii="Arial" w:hAnsi="Arial" w:cs="Arial"/>
                <w:b/>
                <w:color w:val="000000"/>
                <w:lang w:val="en-GB"/>
              </w:rPr>
            </w:pPr>
            <w:r w:rsidRPr="00E454ED">
              <w:rPr>
                <w:rFonts w:ascii="Arial" w:hAnsi="Arial" w:cs="Arial"/>
                <w:b/>
                <w:color w:val="000000"/>
                <w:lang w:val="en-GB"/>
              </w:rPr>
              <w:t>2012</w:t>
            </w:r>
          </w:p>
        </w:tc>
        <w:tc>
          <w:tcPr>
            <w:tcW w:w="993" w:type="dxa"/>
            <w:shd w:val="clear" w:color="auto" w:fill="auto"/>
          </w:tcPr>
          <w:p w:rsidR="00516ED9" w:rsidRPr="00E454ED" w:rsidRDefault="00516ED9" w:rsidP="00F11AE4">
            <w:pPr>
              <w:jc w:val="center"/>
              <w:rPr>
                <w:rFonts w:ascii="Arial" w:hAnsi="Arial" w:cs="Arial"/>
                <w:b/>
                <w:color w:val="000000"/>
                <w:lang w:val="en-GB"/>
              </w:rPr>
            </w:pPr>
            <w:r w:rsidRPr="00E454ED">
              <w:rPr>
                <w:rFonts w:ascii="Arial" w:hAnsi="Arial" w:cs="Arial"/>
                <w:b/>
                <w:color w:val="000000"/>
                <w:lang w:val="en-GB"/>
              </w:rPr>
              <w:t>2013</w:t>
            </w:r>
          </w:p>
        </w:tc>
      </w:tr>
      <w:tr w:rsidR="00516ED9" w:rsidRPr="00E454ED" w:rsidTr="00E01834">
        <w:trPr>
          <w:jc w:val="center"/>
        </w:trPr>
        <w:tc>
          <w:tcPr>
            <w:tcW w:w="4219" w:type="dxa"/>
            <w:shd w:val="clear" w:color="auto" w:fill="auto"/>
          </w:tcPr>
          <w:p w:rsidR="00516ED9" w:rsidRPr="00E454ED" w:rsidRDefault="00516ED9" w:rsidP="00F11AE4">
            <w:pPr>
              <w:jc w:val="both"/>
              <w:rPr>
                <w:rFonts w:ascii="Arial" w:hAnsi="Arial" w:cs="Arial"/>
                <w:b/>
                <w:color w:val="000000"/>
                <w:lang w:val="en-GB"/>
              </w:rPr>
            </w:pPr>
            <w:r w:rsidRPr="00E454ED">
              <w:rPr>
                <w:rFonts w:ascii="Arial" w:hAnsi="Arial" w:cs="Arial"/>
                <w:b/>
                <w:color w:val="000000"/>
                <w:lang w:val="en-GB"/>
              </w:rPr>
              <w:t>Revenues</w:t>
            </w:r>
          </w:p>
          <w:p w:rsidR="00516ED9" w:rsidRPr="00E454ED" w:rsidRDefault="00516ED9" w:rsidP="00F11AE4">
            <w:pPr>
              <w:jc w:val="both"/>
              <w:rPr>
                <w:rFonts w:ascii="Arial" w:hAnsi="Arial" w:cs="Arial"/>
                <w:color w:val="000000"/>
                <w:lang w:val="en-GB"/>
              </w:rPr>
            </w:pPr>
            <w:r w:rsidRPr="00E454ED">
              <w:rPr>
                <w:rFonts w:ascii="Arial" w:hAnsi="Arial" w:cs="Arial"/>
                <w:color w:val="000000"/>
                <w:lang w:val="en-GB"/>
              </w:rPr>
              <w:t>Government operating grants</w:t>
            </w:r>
          </w:p>
          <w:p w:rsidR="00516ED9" w:rsidRPr="00E454ED" w:rsidRDefault="00516ED9" w:rsidP="00F11AE4">
            <w:pPr>
              <w:jc w:val="both"/>
              <w:rPr>
                <w:rFonts w:ascii="Arial" w:hAnsi="Arial" w:cs="Arial"/>
                <w:color w:val="000000"/>
                <w:lang w:val="en-GB"/>
              </w:rPr>
            </w:pPr>
            <w:r w:rsidRPr="00E454ED">
              <w:rPr>
                <w:rFonts w:ascii="Arial" w:hAnsi="Arial" w:cs="Arial"/>
                <w:color w:val="000000"/>
                <w:lang w:val="en-GB"/>
              </w:rPr>
              <w:t>Independent Learning Centre</w:t>
            </w:r>
          </w:p>
          <w:p w:rsidR="00516ED9" w:rsidRPr="00E454ED" w:rsidRDefault="00516ED9" w:rsidP="00F11AE4">
            <w:pPr>
              <w:jc w:val="both"/>
              <w:rPr>
                <w:rFonts w:ascii="Arial" w:hAnsi="Arial" w:cs="Arial"/>
                <w:color w:val="000000"/>
                <w:lang w:val="en-GB"/>
              </w:rPr>
            </w:pPr>
            <w:r w:rsidRPr="00E454ED">
              <w:rPr>
                <w:rFonts w:ascii="Arial" w:hAnsi="Arial" w:cs="Arial"/>
                <w:color w:val="000000"/>
                <w:lang w:val="en-GB"/>
              </w:rPr>
              <w:t>Self-generated revenue</w:t>
            </w:r>
          </w:p>
          <w:p w:rsidR="00516ED9" w:rsidRPr="00E454ED" w:rsidRDefault="00516ED9" w:rsidP="00F11AE4">
            <w:pPr>
              <w:jc w:val="both"/>
              <w:rPr>
                <w:rFonts w:ascii="Arial" w:hAnsi="Arial" w:cs="Arial"/>
                <w:color w:val="000000"/>
                <w:lang w:val="en-GB"/>
              </w:rPr>
            </w:pPr>
            <w:r w:rsidRPr="00E454ED">
              <w:rPr>
                <w:rFonts w:ascii="Arial" w:hAnsi="Arial" w:cs="Arial"/>
                <w:color w:val="000000"/>
                <w:lang w:val="en-GB"/>
              </w:rPr>
              <w:t>Government and corporate project funding</w:t>
            </w:r>
          </w:p>
          <w:p w:rsidR="00516ED9" w:rsidRPr="00E454ED" w:rsidRDefault="00516ED9" w:rsidP="00F11AE4">
            <w:pPr>
              <w:jc w:val="both"/>
              <w:rPr>
                <w:rFonts w:ascii="Arial" w:hAnsi="Arial" w:cs="Arial"/>
                <w:color w:val="000000"/>
                <w:lang w:val="en-GB"/>
              </w:rPr>
            </w:pPr>
            <w:r w:rsidRPr="00E454ED">
              <w:rPr>
                <w:rFonts w:ascii="Arial" w:hAnsi="Arial" w:cs="Arial"/>
                <w:color w:val="000000"/>
                <w:lang w:val="en-GB"/>
              </w:rPr>
              <w:t>Amortization of deferred capital contributions</w:t>
            </w:r>
          </w:p>
        </w:tc>
        <w:tc>
          <w:tcPr>
            <w:tcW w:w="992" w:type="dxa"/>
          </w:tcPr>
          <w:p w:rsidR="00516ED9" w:rsidRPr="00E454ED" w:rsidRDefault="00516ED9" w:rsidP="00F11AE4">
            <w:pPr>
              <w:jc w:val="right"/>
              <w:rPr>
                <w:rFonts w:ascii="Arial" w:hAnsi="Arial" w:cs="Arial"/>
                <w:color w:val="000000"/>
                <w:lang w:val="en-GB"/>
              </w:rPr>
            </w:pP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38,887</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9,068</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9,563</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2,867</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2,625</w:t>
            </w:r>
          </w:p>
          <w:p w:rsidR="00516ED9" w:rsidRPr="00E454ED" w:rsidRDefault="00516ED9" w:rsidP="00F11AE4">
            <w:pPr>
              <w:jc w:val="right"/>
              <w:rPr>
                <w:rFonts w:ascii="Arial" w:hAnsi="Arial" w:cs="Arial"/>
                <w:b/>
                <w:color w:val="000000"/>
                <w:lang w:val="en-GB"/>
              </w:rPr>
            </w:pPr>
            <w:r w:rsidRPr="00E454ED">
              <w:rPr>
                <w:rFonts w:ascii="Arial" w:hAnsi="Arial" w:cs="Arial"/>
                <w:b/>
                <w:color w:val="000000"/>
                <w:lang w:val="en-GB"/>
              </w:rPr>
              <w:t>63,010</w:t>
            </w:r>
          </w:p>
        </w:tc>
        <w:tc>
          <w:tcPr>
            <w:tcW w:w="1134" w:type="dxa"/>
            <w:shd w:val="clear" w:color="auto" w:fill="auto"/>
          </w:tcPr>
          <w:p w:rsidR="00516ED9" w:rsidRPr="00E454ED" w:rsidRDefault="00516ED9" w:rsidP="00F11AE4">
            <w:pPr>
              <w:jc w:val="right"/>
              <w:rPr>
                <w:rFonts w:ascii="Arial" w:hAnsi="Arial" w:cs="Arial"/>
                <w:color w:val="000000"/>
                <w:lang w:val="en-GB"/>
              </w:rPr>
            </w:pP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37,640</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9,984</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7,419</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1,879</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2,633</w:t>
            </w:r>
          </w:p>
          <w:p w:rsidR="00516ED9" w:rsidRPr="00E454ED" w:rsidRDefault="00516ED9" w:rsidP="00F11AE4">
            <w:pPr>
              <w:jc w:val="right"/>
              <w:rPr>
                <w:rFonts w:ascii="Arial" w:hAnsi="Arial" w:cs="Arial"/>
                <w:b/>
                <w:color w:val="000000"/>
                <w:lang w:val="en-GB"/>
              </w:rPr>
            </w:pPr>
            <w:r w:rsidRPr="00E454ED">
              <w:rPr>
                <w:rFonts w:ascii="Arial" w:hAnsi="Arial" w:cs="Arial"/>
                <w:b/>
                <w:color w:val="000000"/>
                <w:lang w:val="en-GB"/>
              </w:rPr>
              <w:t>59,555</w:t>
            </w:r>
          </w:p>
        </w:tc>
        <w:tc>
          <w:tcPr>
            <w:tcW w:w="992" w:type="dxa"/>
            <w:shd w:val="clear" w:color="auto" w:fill="auto"/>
          </w:tcPr>
          <w:p w:rsidR="00516ED9" w:rsidRPr="00E454ED" w:rsidRDefault="00516ED9" w:rsidP="00F11AE4">
            <w:pPr>
              <w:jc w:val="right"/>
              <w:rPr>
                <w:rFonts w:ascii="Arial" w:hAnsi="Arial" w:cs="Arial"/>
                <w:color w:val="000000"/>
                <w:lang w:val="en-GB"/>
              </w:rPr>
            </w:pP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43,376</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11,040</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7,290</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534</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2,266</w:t>
            </w:r>
          </w:p>
          <w:p w:rsidR="00516ED9" w:rsidRPr="00E454ED" w:rsidRDefault="00516ED9" w:rsidP="00F11AE4">
            <w:pPr>
              <w:jc w:val="right"/>
              <w:rPr>
                <w:rFonts w:ascii="Arial" w:hAnsi="Arial" w:cs="Arial"/>
                <w:b/>
                <w:color w:val="000000"/>
                <w:lang w:val="en-GB"/>
              </w:rPr>
            </w:pPr>
            <w:r w:rsidRPr="00E454ED">
              <w:rPr>
                <w:rFonts w:ascii="Arial" w:hAnsi="Arial" w:cs="Arial"/>
                <w:b/>
                <w:color w:val="000000"/>
                <w:lang w:val="en-GB"/>
              </w:rPr>
              <w:t>64,506</w:t>
            </w:r>
          </w:p>
        </w:tc>
        <w:tc>
          <w:tcPr>
            <w:tcW w:w="1134" w:type="dxa"/>
            <w:shd w:val="clear" w:color="auto" w:fill="auto"/>
          </w:tcPr>
          <w:p w:rsidR="00516ED9" w:rsidRPr="00E454ED" w:rsidRDefault="00516ED9" w:rsidP="00F11AE4">
            <w:pPr>
              <w:jc w:val="right"/>
              <w:rPr>
                <w:rFonts w:ascii="Arial" w:hAnsi="Arial" w:cs="Arial"/>
                <w:color w:val="000000"/>
                <w:lang w:val="en-GB"/>
              </w:rPr>
            </w:pP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42,908</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12,143</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7,529</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105</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1,999</w:t>
            </w:r>
          </w:p>
          <w:p w:rsidR="00516ED9" w:rsidRPr="00E454ED" w:rsidRDefault="00516ED9" w:rsidP="00F11AE4">
            <w:pPr>
              <w:jc w:val="right"/>
              <w:rPr>
                <w:rFonts w:ascii="Arial" w:hAnsi="Arial" w:cs="Arial"/>
                <w:b/>
                <w:color w:val="000000"/>
                <w:lang w:val="en-GB"/>
              </w:rPr>
            </w:pPr>
            <w:r w:rsidRPr="00E454ED">
              <w:rPr>
                <w:rFonts w:ascii="Arial" w:hAnsi="Arial" w:cs="Arial"/>
                <w:b/>
                <w:color w:val="000000"/>
                <w:lang w:val="en-GB"/>
              </w:rPr>
              <w:t>64,684</w:t>
            </w:r>
          </w:p>
        </w:tc>
        <w:tc>
          <w:tcPr>
            <w:tcW w:w="993" w:type="dxa"/>
            <w:shd w:val="clear" w:color="auto" w:fill="auto"/>
          </w:tcPr>
          <w:p w:rsidR="00516ED9" w:rsidRPr="00E454ED" w:rsidRDefault="00516ED9" w:rsidP="00F11AE4">
            <w:pPr>
              <w:jc w:val="right"/>
              <w:rPr>
                <w:rFonts w:ascii="Arial" w:hAnsi="Arial" w:cs="Arial"/>
                <w:color w:val="000000"/>
                <w:lang w:val="en-GB"/>
              </w:rPr>
            </w:pP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43,069</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12,964</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7,443</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905</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2,526</w:t>
            </w:r>
          </w:p>
          <w:p w:rsidR="00516ED9" w:rsidRPr="00E454ED" w:rsidRDefault="00516ED9" w:rsidP="00F11AE4">
            <w:pPr>
              <w:jc w:val="right"/>
              <w:rPr>
                <w:rFonts w:ascii="Arial" w:hAnsi="Arial" w:cs="Arial"/>
                <w:b/>
                <w:color w:val="000000"/>
                <w:lang w:val="en-GB"/>
              </w:rPr>
            </w:pPr>
            <w:r w:rsidRPr="00E454ED">
              <w:rPr>
                <w:rFonts w:ascii="Arial" w:hAnsi="Arial" w:cs="Arial"/>
                <w:b/>
                <w:color w:val="000000"/>
                <w:lang w:val="en-GB"/>
              </w:rPr>
              <w:t>66,907</w:t>
            </w:r>
          </w:p>
        </w:tc>
      </w:tr>
      <w:tr w:rsidR="00516ED9" w:rsidRPr="00E454ED" w:rsidTr="00E01834">
        <w:trPr>
          <w:jc w:val="center"/>
        </w:trPr>
        <w:tc>
          <w:tcPr>
            <w:tcW w:w="4219" w:type="dxa"/>
            <w:shd w:val="clear" w:color="auto" w:fill="auto"/>
          </w:tcPr>
          <w:p w:rsidR="00516ED9" w:rsidRPr="00E454ED" w:rsidRDefault="00516ED9" w:rsidP="00F11AE4">
            <w:pPr>
              <w:jc w:val="both"/>
              <w:rPr>
                <w:rFonts w:ascii="Arial" w:hAnsi="Arial" w:cs="Arial"/>
                <w:b/>
                <w:color w:val="000000"/>
                <w:lang w:val="en-GB"/>
              </w:rPr>
            </w:pPr>
            <w:r w:rsidRPr="00E454ED">
              <w:rPr>
                <w:rFonts w:ascii="Arial" w:hAnsi="Arial" w:cs="Arial"/>
                <w:b/>
                <w:color w:val="000000"/>
                <w:lang w:val="en-GB"/>
              </w:rPr>
              <w:t>Expenses</w:t>
            </w:r>
          </w:p>
          <w:p w:rsidR="00516ED9" w:rsidRPr="00E454ED" w:rsidRDefault="00516ED9" w:rsidP="00F11AE4">
            <w:pPr>
              <w:jc w:val="both"/>
              <w:rPr>
                <w:rFonts w:ascii="Arial" w:hAnsi="Arial" w:cs="Arial"/>
                <w:color w:val="000000"/>
                <w:lang w:val="en-GB"/>
              </w:rPr>
            </w:pPr>
            <w:r w:rsidRPr="00E454ED">
              <w:rPr>
                <w:rFonts w:ascii="Arial" w:hAnsi="Arial" w:cs="Arial"/>
                <w:color w:val="000000"/>
                <w:lang w:val="en-GB"/>
              </w:rPr>
              <w:t>Content and programming</w:t>
            </w:r>
          </w:p>
          <w:p w:rsidR="00516ED9" w:rsidRPr="00E454ED" w:rsidRDefault="00516ED9" w:rsidP="00F11AE4">
            <w:pPr>
              <w:jc w:val="both"/>
              <w:rPr>
                <w:rFonts w:ascii="Arial" w:hAnsi="Arial" w:cs="Arial"/>
                <w:color w:val="000000"/>
                <w:lang w:val="en-GB"/>
              </w:rPr>
            </w:pPr>
            <w:r w:rsidRPr="00E454ED">
              <w:rPr>
                <w:rFonts w:ascii="Arial" w:hAnsi="Arial" w:cs="Arial"/>
                <w:color w:val="000000"/>
                <w:lang w:val="en-GB"/>
              </w:rPr>
              <w:t>Technical and production support services</w:t>
            </w:r>
          </w:p>
          <w:p w:rsidR="00516ED9" w:rsidRPr="00E454ED" w:rsidRDefault="00516ED9" w:rsidP="00F11AE4">
            <w:pPr>
              <w:jc w:val="both"/>
              <w:rPr>
                <w:rFonts w:ascii="Arial" w:hAnsi="Arial" w:cs="Arial"/>
                <w:color w:val="000000"/>
                <w:lang w:val="en-GB"/>
              </w:rPr>
            </w:pPr>
            <w:r w:rsidRPr="00E454ED">
              <w:rPr>
                <w:rFonts w:ascii="Arial" w:hAnsi="Arial" w:cs="Arial"/>
                <w:color w:val="000000"/>
                <w:lang w:val="en-GB"/>
              </w:rPr>
              <w:t>Independent Learning Centre</w:t>
            </w:r>
          </w:p>
          <w:p w:rsidR="00516ED9" w:rsidRPr="00E454ED" w:rsidRDefault="00516ED9" w:rsidP="00F11AE4">
            <w:pPr>
              <w:jc w:val="both"/>
              <w:rPr>
                <w:rFonts w:ascii="Arial" w:hAnsi="Arial" w:cs="Arial"/>
                <w:color w:val="000000"/>
                <w:lang w:val="en-GB"/>
              </w:rPr>
            </w:pPr>
            <w:r w:rsidRPr="00E454ED">
              <w:rPr>
                <w:rFonts w:ascii="Arial" w:hAnsi="Arial" w:cs="Arial"/>
                <w:color w:val="000000"/>
                <w:lang w:val="en-GB"/>
              </w:rPr>
              <w:t>Management and general expenses</w:t>
            </w:r>
          </w:p>
          <w:p w:rsidR="00516ED9" w:rsidRPr="00E454ED" w:rsidRDefault="00516ED9" w:rsidP="00F11AE4">
            <w:pPr>
              <w:jc w:val="both"/>
              <w:rPr>
                <w:rFonts w:ascii="Arial" w:hAnsi="Arial" w:cs="Arial"/>
                <w:color w:val="000000"/>
                <w:lang w:val="en-GB"/>
              </w:rPr>
            </w:pPr>
            <w:r w:rsidRPr="00E454ED">
              <w:rPr>
                <w:rFonts w:ascii="Arial" w:hAnsi="Arial" w:cs="Arial"/>
                <w:color w:val="000000"/>
                <w:lang w:val="en-GB"/>
              </w:rPr>
              <w:t>Cost of self-generated revenue</w:t>
            </w:r>
          </w:p>
          <w:p w:rsidR="00516ED9" w:rsidRPr="00E454ED" w:rsidRDefault="00516ED9" w:rsidP="00F11AE4">
            <w:pPr>
              <w:jc w:val="both"/>
              <w:rPr>
                <w:rFonts w:ascii="Arial" w:hAnsi="Arial" w:cs="Arial"/>
                <w:color w:val="000000"/>
                <w:lang w:val="en-GB"/>
              </w:rPr>
            </w:pPr>
            <w:r w:rsidRPr="00E454ED">
              <w:rPr>
                <w:rFonts w:ascii="Arial" w:hAnsi="Arial" w:cs="Arial"/>
                <w:color w:val="000000"/>
                <w:lang w:val="en-GB"/>
              </w:rPr>
              <w:t xml:space="preserve">Amortization of capital assets </w:t>
            </w:r>
          </w:p>
          <w:p w:rsidR="00516ED9" w:rsidRPr="00E454ED" w:rsidRDefault="00516ED9" w:rsidP="00F11AE4">
            <w:pPr>
              <w:jc w:val="both"/>
              <w:rPr>
                <w:rFonts w:ascii="Arial" w:hAnsi="Arial" w:cs="Arial"/>
                <w:color w:val="000000"/>
                <w:lang w:val="en-GB"/>
              </w:rPr>
            </w:pPr>
            <w:r w:rsidRPr="00E454ED">
              <w:rPr>
                <w:rFonts w:ascii="Arial" w:hAnsi="Arial" w:cs="Arial"/>
                <w:color w:val="000000"/>
                <w:lang w:val="en-GB"/>
              </w:rPr>
              <w:t>Employee future benefits</w:t>
            </w:r>
          </w:p>
        </w:tc>
        <w:tc>
          <w:tcPr>
            <w:tcW w:w="992" w:type="dxa"/>
            <w:shd w:val="clear" w:color="auto" w:fill="auto"/>
          </w:tcPr>
          <w:p w:rsidR="00516ED9" w:rsidRPr="00E454ED" w:rsidRDefault="00516ED9" w:rsidP="00F11AE4">
            <w:pPr>
              <w:jc w:val="right"/>
              <w:rPr>
                <w:rFonts w:ascii="Arial" w:hAnsi="Arial" w:cs="Arial"/>
                <w:color w:val="000000"/>
                <w:lang w:val="en-GB"/>
              </w:rPr>
            </w:pP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25,397</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12,726</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8,803</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6,200</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2,847</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5,228</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2,018</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63,219</w:t>
            </w:r>
          </w:p>
        </w:tc>
        <w:tc>
          <w:tcPr>
            <w:tcW w:w="1134" w:type="dxa"/>
            <w:shd w:val="clear" w:color="auto" w:fill="auto"/>
          </w:tcPr>
          <w:p w:rsidR="00516ED9" w:rsidRPr="00E454ED" w:rsidRDefault="00516ED9" w:rsidP="00F11AE4">
            <w:pPr>
              <w:jc w:val="right"/>
              <w:rPr>
                <w:rFonts w:ascii="Arial" w:hAnsi="Arial" w:cs="Arial"/>
                <w:color w:val="000000"/>
                <w:lang w:val="en-GB"/>
              </w:rPr>
            </w:pP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26,260</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13,452</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9,513</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6,001</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2,454</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5,195</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2,223</w:t>
            </w:r>
          </w:p>
          <w:p w:rsidR="00516ED9" w:rsidRPr="00E454ED" w:rsidRDefault="00516ED9" w:rsidP="00F11AE4">
            <w:pPr>
              <w:jc w:val="right"/>
              <w:rPr>
                <w:rFonts w:ascii="Arial" w:hAnsi="Arial" w:cs="Arial"/>
                <w:b/>
                <w:color w:val="000000"/>
                <w:lang w:val="en-GB"/>
              </w:rPr>
            </w:pPr>
            <w:r w:rsidRPr="00E454ED">
              <w:rPr>
                <w:rFonts w:ascii="Arial" w:hAnsi="Arial" w:cs="Arial"/>
                <w:b/>
                <w:color w:val="000000"/>
                <w:lang w:val="en-GB"/>
              </w:rPr>
              <w:t>65,098</w:t>
            </w:r>
          </w:p>
        </w:tc>
        <w:tc>
          <w:tcPr>
            <w:tcW w:w="992" w:type="dxa"/>
            <w:shd w:val="clear" w:color="auto" w:fill="auto"/>
          </w:tcPr>
          <w:p w:rsidR="00516ED9" w:rsidRPr="00E454ED" w:rsidRDefault="00516ED9" w:rsidP="00F11AE4">
            <w:pPr>
              <w:jc w:val="right"/>
              <w:rPr>
                <w:rFonts w:ascii="Arial" w:hAnsi="Arial" w:cs="Arial"/>
                <w:color w:val="000000"/>
                <w:lang w:val="en-GB"/>
              </w:rPr>
            </w:pP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25,949</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12,883</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10,113</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5,652</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2,803</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4,723</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2,274</w:t>
            </w:r>
          </w:p>
          <w:p w:rsidR="00516ED9" w:rsidRPr="00E454ED" w:rsidRDefault="00516ED9" w:rsidP="00F11AE4">
            <w:pPr>
              <w:jc w:val="right"/>
              <w:rPr>
                <w:rFonts w:ascii="Arial" w:hAnsi="Arial" w:cs="Arial"/>
                <w:b/>
                <w:color w:val="000000"/>
                <w:lang w:val="en-GB"/>
              </w:rPr>
            </w:pPr>
            <w:r w:rsidRPr="00E454ED">
              <w:rPr>
                <w:rFonts w:ascii="Arial" w:hAnsi="Arial" w:cs="Arial"/>
                <w:b/>
                <w:color w:val="000000"/>
                <w:lang w:val="en-GB"/>
              </w:rPr>
              <w:t>64,397</w:t>
            </w:r>
          </w:p>
        </w:tc>
        <w:tc>
          <w:tcPr>
            <w:tcW w:w="1134" w:type="dxa"/>
            <w:shd w:val="clear" w:color="auto" w:fill="auto"/>
          </w:tcPr>
          <w:p w:rsidR="00516ED9" w:rsidRPr="00E454ED" w:rsidRDefault="00516ED9" w:rsidP="00F11AE4">
            <w:pPr>
              <w:jc w:val="right"/>
              <w:rPr>
                <w:rFonts w:ascii="Arial" w:hAnsi="Arial" w:cs="Arial"/>
                <w:color w:val="000000"/>
                <w:lang w:val="en-GB"/>
              </w:rPr>
            </w:pP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24,150</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12,913</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11,024</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5,850</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2,947</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4,873</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4,075</w:t>
            </w:r>
          </w:p>
          <w:p w:rsidR="00516ED9" w:rsidRPr="00E454ED" w:rsidRDefault="00516ED9" w:rsidP="00F11AE4">
            <w:pPr>
              <w:jc w:val="right"/>
              <w:rPr>
                <w:rFonts w:ascii="Arial" w:hAnsi="Arial" w:cs="Arial"/>
                <w:b/>
                <w:color w:val="000000"/>
                <w:lang w:val="en-GB"/>
              </w:rPr>
            </w:pPr>
            <w:r w:rsidRPr="00E454ED">
              <w:rPr>
                <w:rFonts w:ascii="Arial" w:hAnsi="Arial" w:cs="Arial"/>
                <w:b/>
                <w:color w:val="000000"/>
                <w:lang w:val="en-GB"/>
              </w:rPr>
              <w:t>65,832</w:t>
            </w:r>
          </w:p>
        </w:tc>
        <w:tc>
          <w:tcPr>
            <w:tcW w:w="993" w:type="dxa"/>
            <w:shd w:val="clear" w:color="auto" w:fill="auto"/>
          </w:tcPr>
          <w:p w:rsidR="00516ED9" w:rsidRPr="00E454ED" w:rsidRDefault="00516ED9" w:rsidP="00F11AE4">
            <w:pPr>
              <w:jc w:val="right"/>
              <w:rPr>
                <w:rFonts w:ascii="Arial" w:hAnsi="Arial" w:cs="Arial"/>
                <w:color w:val="000000"/>
                <w:lang w:val="en-GB"/>
              </w:rPr>
            </w:pP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23,634</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13,762</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11,548</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6,905</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3,152</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3,482</w:t>
            </w:r>
          </w:p>
          <w:p w:rsidR="00516ED9" w:rsidRPr="00E454ED" w:rsidRDefault="00516ED9" w:rsidP="00F11AE4">
            <w:pPr>
              <w:jc w:val="right"/>
              <w:rPr>
                <w:rFonts w:ascii="Arial" w:hAnsi="Arial" w:cs="Arial"/>
                <w:color w:val="000000"/>
                <w:lang w:val="en-GB"/>
              </w:rPr>
            </w:pPr>
            <w:r w:rsidRPr="00E454ED">
              <w:rPr>
                <w:rFonts w:ascii="Arial" w:hAnsi="Arial" w:cs="Arial"/>
                <w:color w:val="000000"/>
                <w:lang w:val="en-GB"/>
              </w:rPr>
              <w:t>4,316</w:t>
            </w:r>
          </w:p>
          <w:p w:rsidR="00516ED9" w:rsidRPr="00E454ED" w:rsidRDefault="00516ED9" w:rsidP="00F11AE4">
            <w:pPr>
              <w:jc w:val="right"/>
              <w:rPr>
                <w:rFonts w:ascii="Arial" w:hAnsi="Arial" w:cs="Arial"/>
                <w:b/>
                <w:color w:val="000000"/>
                <w:lang w:val="en-GB"/>
              </w:rPr>
            </w:pPr>
            <w:r w:rsidRPr="00E454ED">
              <w:rPr>
                <w:rFonts w:ascii="Arial" w:hAnsi="Arial" w:cs="Arial"/>
                <w:b/>
                <w:color w:val="000000"/>
                <w:lang w:val="en-GB"/>
              </w:rPr>
              <w:t>66,799</w:t>
            </w:r>
          </w:p>
        </w:tc>
      </w:tr>
      <w:tr w:rsidR="00516ED9" w:rsidRPr="00E454ED" w:rsidTr="00E01834">
        <w:trPr>
          <w:jc w:val="center"/>
        </w:trPr>
        <w:tc>
          <w:tcPr>
            <w:tcW w:w="4219" w:type="dxa"/>
            <w:shd w:val="clear" w:color="auto" w:fill="auto"/>
          </w:tcPr>
          <w:p w:rsidR="00516ED9" w:rsidRPr="00E454ED" w:rsidRDefault="00516ED9" w:rsidP="00F11AE4">
            <w:pPr>
              <w:jc w:val="both"/>
              <w:rPr>
                <w:rFonts w:ascii="Arial" w:hAnsi="Arial" w:cs="Arial"/>
                <w:b/>
                <w:color w:val="000000"/>
                <w:lang w:val="en-GB"/>
              </w:rPr>
            </w:pPr>
            <w:r w:rsidRPr="00E454ED">
              <w:rPr>
                <w:rFonts w:ascii="Arial" w:hAnsi="Arial" w:cs="Arial"/>
                <w:b/>
                <w:color w:val="000000"/>
                <w:lang w:val="en-GB"/>
              </w:rPr>
              <w:t>Profit/(Loss)</w:t>
            </w:r>
          </w:p>
        </w:tc>
        <w:tc>
          <w:tcPr>
            <w:tcW w:w="992" w:type="dxa"/>
          </w:tcPr>
          <w:p w:rsidR="00516ED9" w:rsidRPr="00E454ED" w:rsidRDefault="00516ED9" w:rsidP="00F11AE4">
            <w:pPr>
              <w:jc w:val="right"/>
              <w:rPr>
                <w:rFonts w:ascii="Arial" w:hAnsi="Arial" w:cs="Arial"/>
                <w:b/>
                <w:color w:val="000000"/>
                <w:lang w:val="en-GB"/>
              </w:rPr>
            </w:pPr>
            <w:r w:rsidRPr="00E454ED">
              <w:rPr>
                <w:rFonts w:ascii="Arial" w:hAnsi="Arial" w:cs="Arial"/>
                <w:b/>
                <w:color w:val="000000"/>
                <w:lang w:val="en-GB"/>
              </w:rPr>
              <w:t>(209)</w:t>
            </w:r>
          </w:p>
        </w:tc>
        <w:tc>
          <w:tcPr>
            <w:tcW w:w="1134" w:type="dxa"/>
            <w:shd w:val="clear" w:color="auto" w:fill="auto"/>
          </w:tcPr>
          <w:p w:rsidR="00516ED9" w:rsidRPr="00E454ED" w:rsidRDefault="00516ED9" w:rsidP="00F11AE4">
            <w:pPr>
              <w:jc w:val="right"/>
              <w:rPr>
                <w:rFonts w:ascii="Arial" w:hAnsi="Arial" w:cs="Arial"/>
                <w:b/>
                <w:color w:val="000000"/>
                <w:lang w:val="en-GB"/>
              </w:rPr>
            </w:pPr>
            <w:r w:rsidRPr="00E454ED">
              <w:rPr>
                <w:rFonts w:ascii="Arial" w:hAnsi="Arial" w:cs="Arial"/>
                <w:b/>
                <w:color w:val="000000"/>
                <w:lang w:val="en-GB"/>
              </w:rPr>
              <w:t>(5,543)</w:t>
            </w:r>
          </w:p>
        </w:tc>
        <w:tc>
          <w:tcPr>
            <w:tcW w:w="992" w:type="dxa"/>
            <w:shd w:val="clear" w:color="auto" w:fill="auto"/>
          </w:tcPr>
          <w:p w:rsidR="00516ED9" w:rsidRPr="00E454ED" w:rsidRDefault="00516ED9" w:rsidP="00F11AE4">
            <w:pPr>
              <w:jc w:val="right"/>
              <w:rPr>
                <w:rFonts w:ascii="Arial" w:hAnsi="Arial" w:cs="Arial"/>
                <w:b/>
                <w:color w:val="000000"/>
                <w:lang w:val="en-GB"/>
              </w:rPr>
            </w:pPr>
            <w:r w:rsidRPr="00E454ED">
              <w:rPr>
                <w:rFonts w:ascii="Arial" w:hAnsi="Arial" w:cs="Arial"/>
                <w:b/>
                <w:color w:val="000000"/>
                <w:lang w:val="en-GB"/>
              </w:rPr>
              <w:t>109</w:t>
            </w:r>
          </w:p>
        </w:tc>
        <w:tc>
          <w:tcPr>
            <w:tcW w:w="1134" w:type="dxa"/>
            <w:shd w:val="clear" w:color="auto" w:fill="auto"/>
          </w:tcPr>
          <w:p w:rsidR="00516ED9" w:rsidRPr="00E454ED" w:rsidRDefault="00516ED9" w:rsidP="00F11AE4">
            <w:pPr>
              <w:jc w:val="right"/>
              <w:rPr>
                <w:rFonts w:ascii="Arial" w:hAnsi="Arial" w:cs="Arial"/>
                <w:b/>
                <w:color w:val="000000"/>
                <w:lang w:val="en-GB"/>
              </w:rPr>
            </w:pPr>
            <w:r w:rsidRPr="00E454ED">
              <w:rPr>
                <w:rFonts w:ascii="Arial" w:hAnsi="Arial" w:cs="Arial"/>
                <w:b/>
                <w:color w:val="000000"/>
                <w:lang w:val="en-GB"/>
              </w:rPr>
              <w:t>(1,148)</w:t>
            </w:r>
          </w:p>
        </w:tc>
        <w:tc>
          <w:tcPr>
            <w:tcW w:w="993" w:type="dxa"/>
            <w:shd w:val="clear" w:color="auto" w:fill="auto"/>
          </w:tcPr>
          <w:p w:rsidR="00516ED9" w:rsidRPr="00E454ED" w:rsidRDefault="00516ED9" w:rsidP="00F11AE4">
            <w:pPr>
              <w:jc w:val="right"/>
              <w:rPr>
                <w:rFonts w:ascii="Arial" w:hAnsi="Arial" w:cs="Arial"/>
                <w:b/>
                <w:color w:val="000000"/>
                <w:lang w:val="en-GB"/>
              </w:rPr>
            </w:pPr>
            <w:r w:rsidRPr="00E454ED">
              <w:rPr>
                <w:rFonts w:ascii="Arial" w:hAnsi="Arial" w:cs="Arial"/>
                <w:b/>
                <w:color w:val="000000"/>
                <w:lang w:val="en-GB"/>
              </w:rPr>
              <w:t>108</w:t>
            </w:r>
          </w:p>
        </w:tc>
      </w:tr>
    </w:tbl>
    <w:p w:rsidR="00516ED9" w:rsidRPr="00881D14" w:rsidRDefault="00516ED9" w:rsidP="00516ED9">
      <w:pPr>
        <w:pStyle w:val="FootnoteText1"/>
        <w:rPr>
          <w:lang w:val="en-GB"/>
        </w:rPr>
      </w:pPr>
    </w:p>
    <w:p w:rsidR="00516ED9" w:rsidRDefault="00516ED9" w:rsidP="00516ED9">
      <w:pPr>
        <w:pStyle w:val="FootnoteText1"/>
        <w:rPr>
          <w:lang w:val="en-GB"/>
        </w:rPr>
      </w:pPr>
      <w:r w:rsidRPr="00881D14">
        <w:rPr>
          <w:lang w:val="en-GB"/>
        </w:rPr>
        <w:t xml:space="preserve">Source: </w:t>
      </w:r>
      <w:r>
        <w:rPr>
          <w:lang w:val="en-GB"/>
        </w:rPr>
        <w:t xml:space="preserve">Compiled by the authors using the following sources: </w:t>
      </w:r>
      <w:r w:rsidRPr="007A44CD">
        <w:t>TVO</w:t>
      </w:r>
      <w:r>
        <w:t>,</w:t>
      </w:r>
      <w:r w:rsidRPr="007A44CD">
        <w:t xml:space="preserve"> </w:t>
      </w:r>
      <w:r>
        <w:t xml:space="preserve">Ontario Education Communications Authority, </w:t>
      </w:r>
      <w:r w:rsidRPr="00047126">
        <w:rPr>
          <w:i/>
        </w:rPr>
        <w:t>Annual Report 20</w:t>
      </w:r>
      <w:r>
        <w:rPr>
          <w:i/>
        </w:rPr>
        <w:t>09</w:t>
      </w:r>
      <w:r w:rsidRPr="00047126">
        <w:rPr>
          <w:i/>
        </w:rPr>
        <w:t>–</w:t>
      </w:r>
      <w:r>
        <w:rPr>
          <w:i/>
        </w:rPr>
        <w:t>1</w:t>
      </w:r>
      <w:r w:rsidRPr="00047126">
        <w:rPr>
          <w:i/>
        </w:rPr>
        <w:t>0</w:t>
      </w:r>
      <w:r>
        <w:t xml:space="preserve">, accessed December 20, 2017, </w:t>
      </w:r>
      <w:r w:rsidRPr="00516ED9">
        <w:rPr>
          <w:lang w:val="en-GB"/>
        </w:rPr>
        <w:t>https://docs.google.com/viewer?url=https%3A%2F%2Ftvo.org%2Fsites%2</w:t>
      </w:r>
    </w:p>
    <w:p w:rsidR="00516ED9" w:rsidRPr="00881D14" w:rsidRDefault="00516ED9" w:rsidP="00516ED9">
      <w:pPr>
        <w:pStyle w:val="FootnoteText1"/>
        <w:rPr>
          <w:lang w:val="en-GB"/>
        </w:rPr>
      </w:pPr>
      <w:r w:rsidRPr="009D2FF2">
        <w:rPr>
          <w:lang w:val="en-GB"/>
        </w:rPr>
        <w:t>Fdefault%2Ffiles%2Fmedia-library%2FAbout-TVO%2FAnnual-Reports%2FTVO_AR_09_10_English.pdf</w:t>
      </w:r>
      <w:r>
        <w:rPr>
          <w:lang w:val="en-GB"/>
        </w:rPr>
        <w:t xml:space="preserve">; </w:t>
      </w:r>
      <w:r w:rsidRPr="007A44CD">
        <w:t>TVO</w:t>
      </w:r>
      <w:r>
        <w:t>,</w:t>
      </w:r>
      <w:r w:rsidRPr="007A44CD">
        <w:t xml:space="preserve"> </w:t>
      </w:r>
      <w:r>
        <w:t xml:space="preserve">Ontario Education Communications Authority, </w:t>
      </w:r>
      <w:r w:rsidRPr="00047126">
        <w:rPr>
          <w:i/>
        </w:rPr>
        <w:t>Annual Report 2011–201</w:t>
      </w:r>
      <w:r>
        <w:rPr>
          <w:i/>
        </w:rPr>
        <w:t>2</w:t>
      </w:r>
      <w:r>
        <w:t xml:space="preserve">, accessed December 20, 2017, </w:t>
      </w:r>
      <w:r w:rsidRPr="00712E11">
        <w:t>https://tvo.org/sites/default/files/media-library/About-TVO/Annual-Reports/TVO-Annual-Report-2011-12-English.pdf</w:t>
      </w:r>
      <w:r>
        <w:t xml:space="preserve">; </w:t>
      </w:r>
      <w:r w:rsidRPr="007A44CD">
        <w:t>TVO</w:t>
      </w:r>
      <w:r>
        <w:t>,</w:t>
      </w:r>
      <w:r w:rsidRPr="007A44CD">
        <w:t xml:space="preserve"> </w:t>
      </w:r>
      <w:r>
        <w:t xml:space="preserve">Ontario Education Communications Authority, </w:t>
      </w:r>
      <w:r w:rsidRPr="00047126">
        <w:rPr>
          <w:i/>
        </w:rPr>
        <w:t>Annual Report 201</w:t>
      </w:r>
      <w:r>
        <w:rPr>
          <w:i/>
        </w:rPr>
        <w:t>3</w:t>
      </w:r>
      <w:r w:rsidRPr="00047126">
        <w:rPr>
          <w:i/>
        </w:rPr>
        <w:t>–201</w:t>
      </w:r>
      <w:r>
        <w:rPr>
          <w:i/>
        </w:rPr>
        <w:t>4</w:t>
      </w:r>
      <w:r>
        <w:t xml:space="preserve">, accessed December 20, 2017, </w:t>
      </w:r>
      <w:r w:rsidRPr="009D2FF2">
        <w:t>https://tvo.org/sites/default/files/media-library/About-TVO/Annual-Reports/TVO_AnnualReport_2013-14_English_AODA.pdf</w:t>
      </w:r>
      <w:r>
        <w:t>.</w:t>
      </w:r>
    </w:p>
    <w:p w:rsidR="00516ED9" w:rsidRPr="00881D14" w:rsidRDefault="00516ED9" w:rsidP="00516ED9">
      <w:pPr>
        <w:pStyle w:val="BodyTextMain"/>
        <w:rPr>
          <w:lang w:val="en-GB"/>
        </w:rPr>
      </w:pPr>
    </w:p>
    <w:p w:rsidR="00516ED9" w:rsidRPr="00881D14" w:rsidRDefault="00516ED9" w:rsidP="00516ED9">
      <w:pPr>
        <w:pStyle w:val="Casehead1"/>
        <w:jc w:val="center"/>
        <w:rPr>
          <w:lang w:val="en-GB"/>
        </w:rPr>
      </w:pPr>
      <w:r w:rsidRPr="00881D14">
        <w:rPr>
          <w:i/>
          <w:lang w:val="en-GB"/>
        </w:rPr>
        <w:br w:type="page"/>
      </w:r>
      <w:r w:rsidRPr="00881D14">
        <w:rPr>
          <w:lang w:val="en-GB"/>
        </w:rPr>
        <w:lastRenderedPageBreak/>
        <w:t>Exhibit 3: TVO—PRODUCTS AND SERVICES</w:t>
      </w:r>
    </w:p>
    <w:p w:rsidR="00516ED9" w:rsidRPr="00881D14" w:rsidRDefault="00516ED9" w:rsidP="00516ED9">
      <w:pPr>
        <w:jc w:val="both"/>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8"/>
        <w:gridCol w:w="1863"/>
        <w:gridCol w:w="2763"/>
        <w:gridCol w:w="3118"/>
      </w:tblGrid>
      <w:tr w:rsidR="00516ED9" w:rsidRPr="00C34BCD" w:rsidTr="00C34BCD">
        <w:trPr>
          <w:jc w:val="center"/>
        </w:trPr>
        <w:tc>
          <w:tcPr>
            <w:tcW w:w="1408" w:type="dxa"/>
            <w:shd w:val="clear" w:color="auto" w:fill="auto"/>
          </w:tcPr>
          <w:p w:rsidR="00516ED9" w:rsidRPr="00C34BCD" w:rsidRDefault="00516ED9" w:rsidP="00F11AE4">
            <w:pPr>
              <w:jc w:val="center"/>
              <w:rPr>
                <w:rFonts w:ascii="Arial" w:hAnsi="Arial" w:cs="Arial"/>
                <w:b/>
                <w:sz w:val="19"/>
                <w:szCs w:val="19"/>
                <w:lang w:val="en-GB"/>
              </w:rPr>
            </w:pPr>
            <w:r w:rsidRPr="00C34BCD">
              <w:rPr>
                <w:rFonts w:ascii="Arial" w:hAnsi="Arial" w:cs="Arial"/>
                <w:b/>
                <w:sz w:val="19"/>
                <w:szCs w:val="19"/>
                <w:lang w:val="en-GB"/>
              </w:rPr>
              <w:t>Mandate</w:t>
            </w:r>
          </w:p>
        </w:tc>
        <w:tc>
          <w:tcPr>
            <w:tcW w:w="1863" w:type="dxa"/>
            <w:shd w:val="clear" w:color="auto" w:fill="auto"/>
          </w:tcPr>
          <w:p w:rsidR="00516ED9" w:rsidRPr="00C34BCD" w:rsidRDefault="00516ED9" w:rsidP="00F11AE4">
            <w:pPr>
              <w:jc w:val="center"/>
              <w:rPr>
                <w:rFonts w:ascii="Arial" w:hAnsi="Arial" w:cs="Arial"/>
                <w:b/>
                <w:sz w:val="19"/>
                <w:szCs w:val="19"/>
                <w:lang w:val="en-GB"/>
              </w:rPr>
            </w:pPr>
            <w:r w:rsidRPr="00C34BCD">
              <w:rPr>
                <w:rFonts w:ascii="Arial" w:hAnsi="Arial" w:cs="Arial"/>
                <w:b/>
                <w:sz w:val="19"/>
                <w:szCs w:val="19"/>
                <w:lang w:val="en-GB"/>
              </w:rPr>
              <w:t>Areas of Activity</w:t>
            </w:r>
          </w:p>
        </w:tc>
        <w:tc>
          <w:tcPr>
            <w:tcW w:w="2763" w:type="dxa"/>
            <w:shd w:val="clear" w:color="auto" w:fill="auto"/>
          </w:tcPr>
          <w:p w:rsidR="00516ED9" w:rsidRPr="00C34BCD" w:rsidRDefault="00516ED9" w:rsidP="00F11AE4">
            <w:pPr>
              <w:jc w:val="center"/>
              <w:rPr>
                <w:rFonts w:ascii="Arial" w:hAnsi="Arial" w:cs="Arial"/>
                <w:b/>
                <w:sz w:val="19"/>
                <w:szCs w:val="19"/>
                <w:lang w:val="en-GB"/>
              </w:rPr>
            </w:pPr>
            <w:r w:rsidRPr="00C34BCD">
              <w:rPr>
                <w:rFonts w:ascii="Arial" w:hAnsi="Arial" w:cs="Arial"/>
                <w:b/>
                <w:sz w:val="19"/>
                <w:szCs w:val="19"/>
                <w:lang w:val="en-GB"/>
              </w:rPr>
              <w:t>Products and Services</w:t>
            </w:r>
          </w:p>
        </w:tc>
        <w:tc>
          <w:tcPr>
            <w:tcW w:w="3118" w:type="dxa"/>
            <w:shd w:val="clear" w:color="auto" w:fill="auto"/>
          </w:tcPr>
          <w:p w:rsidR="00516ED9" w:rsidRPr="00C34BCD" w:rsidRDefault="00516ED9" w:rsidP="00F11AE4">
            <w:pPr>
              <w:jc w:val="center"/>
              <w:rPr>
                <w:rFonts w:ascii="Arial" w:hAnsi="Arial" w:cs="Arial"/>
                <w:b/>
                <w:sz w:val="19"/>
                <w:szCs w:val="19"/>
                <w:lang w:val="en-GB"/>
              </w:rPr>
            </w:pPr>
            <w:r w:rsidRPr="00C34BCD">
              <w:rPr>
                <w:rFonts w:ascii="Arial" w:hAnsi="Arial" w:cs="Arial"/>
                <w:b/>
                <w:sz w:val="19"/>
                <w:szCs w:val="19"/>
                <w:lang w:val="en-GB"/>
              </w:rPr>
              <w:t>Delivery Targets</w:t>
            </w:r>
          </w:p>
        </w:tc>
      </w:tr>
      <w:tr w:rsidR="00516ED9" w:rsidRPr="00C34BCD" w:rsidTr="00C34BCD">
        <w:trPr>
          <w:jc w:val="center"/>
        </w:trPr>
        <w:tc>
          <w:tcPr>
            <w:tcW w:w="1408" w:type="dxa"/>
            <w:vMerge w:val="restart"/>
            <w:shd w:val="clear" w:color="auto" w:fill="auto"/>
          </w:tcPr>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r w:rsidRPr="00C34BCD">
              <w:rPr>
                <w:rFonts w:ascii="Arial" w:hAnsi="Arial" w:cs="Arial"/>
                <w:sz w:val="19"/>
                <w:szCs w:val="19"/>
                <w:lang w:val="en-GB"/>
              </w:rPr>
              <w:t>K–12 Education</w:t>
            </w:r>
          </w:p>
        </w:tc>
        <w:tc>
          <w:tcPr>
            <w:tcW w:w="1863" w:type="dxa"/>
            <w:vMerge w:val="restart"/>
            <w:shd w:val="clear" w:color="auto" w:fill="auto"/>
          </w:tcPr>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r w:rsidRPr="00C34BCD">
              <w:rPr>
                <w:rFonts w:ascii="Arial" w:hAnsi="Arial" w:cs="Arial"/>
                <w:sz w:val="19"/>
                <w:szCs w:val="19"/>
                <w:lang w:val="en-GB"/>
              </w:rPr>
              <w:t>Curriculum Complimentary</w:t>
            </w:r>
          </w:p>
        </w:tc>
        <w:tc>
          <w:tcPr>
            <w:tcW w:w="2763" w:type="dxa"/>
            <w:shd w:val="clear" w:color="auto" w:fill="auto"/>
          </w:tcPr>
          <w:p w:rsidR="00516ED9" w:rsidRPr="00C34BCD" w:rsidRDefault="00516ED9" w:rsidP="00C34BCD">
            <w:pPr>
              <w:rPr>
                <w:rFonts w:ascii="Arial" w:hAnsi="Arial" w:cs="Arial"/>
                <w:sz w:val="19"/>
                <w:szCs w:val="19"/>
                <w:lang w:val="en-GB"/>
              </w:rPr>
            </w:pPr>
          </w:p>
          <w:p w:rsidR="00516ED9" w:rsidRPr="00C34BCD" w:rsidRDefault="00516ED9" w:rsidP="00C34BCD">
            <w:pPr>
              <w:rPr>
                <w:rFonts w:ascii="Arial" w:hAnsi="Arial" w:cs="Arial"/>
                <w:sz w:val="19"/>
                <w:szCs w:val="19"/>
                <w:lang w:val="en-GB"/>
              </w:rPr>
            </w:pPr>
            <w:r w:rsidRPr="00C34BCD">
              <w:rPr>
                <w:rFonts w:ascii="Arial" w:hAnsi="Arial" w:cs="Arial"/>
                <w:sz w:val="19"/>
                <w:szCs w:val="19"/>
                <w:lang w:val="en-GB"/>
              </w:rPr>
              <w:t>Daytime educational programming</w:t>
            </w:r>
          </w:p>
        </w:tc>
        <w:tc>
          <w:tcPr>
            <w:tcW w:w="3118" w:type="dxa"/>
            <w:shd w:val="clear" w:color="auto" w:fill="auto"/>
          </w:tcPr>
          <w:p w:rsidR="00516ED9" w:rsidRPr="00C34BCD" w:rsidRDefault="00516ED9" w:rsidP="00F11AE4">
            <w:pPr>
              <w:numPr>
                <w:ilvl w:val="0"/>
                <w:numId w:val="9"/>
              </w:numPr>
              <w:ind w:left="216" w:hanging="216"/>
              <w:jc w:val="both"/>
              <w:rPr>
                <w:rFonts w:ascii="Arial" w:hAnsi="Arial" w:cs="Arial"/>
                <w:sz w:val="19"/>
                <w:szCs w:val="19"/>
                <w:lang w:val="en-GB"/>
              </w:rPr>
            </w:pPr>
            <w:r w:rsidRPr="00C34BCD">
              <w:rPr>
                <w:rFonts w:ascii="Arial" w:hAnsi="Arial" w:cs="Arial"/>
                <w:sz w:val="19"/>
                <w:szCs w:val="19"/>
                <w:lang w:val="en-GB"/>
              </w:rPr>
              <w:t>Programming targeted at children</w:t>
            </w:r>
          </w:p>
          <w:p w:rsidR="00516ED9" w:rsidRPr="00C34BCD" w:rsidRDefault="00516ED9" w:rsidP="00F11AE4">
            <w:pPr>
              <w:numPr>
                <w:ilvl w:val="0"/>
                <w:numId w:val="9"/>
              </w:numPr>
              <w:ind w:left="216" w:hanging="216"/>
              <w:jc w:val="both"/>
              <w:rPr>
                <w:rFonts w:ascii="Arial" w:hAnsi="Arial" w:cs="Arial"/>
                <w:sz w:val="19"/>
                <w:szCs w:val="19"/>
                <w:lang w:val="en-GB"/>
              </w:rPr>
            </w:pPr>
            <w:r w:rsidRPr="00C34BCD">
              <w:rPr>
                <w:rFonts w:ascii="Arial" w:hAnsi="Arial" w:cs="Arial"/>
                <w:sz w:val="19"/>
                <w:szCs w:val="19"/>
                <w:lang w:val="en-GB"/>
              </w:rPr>
              <w:t>Pre-school and after-school segments</w:t>
            </w:r>
          </w:p>
        </w:tc>
      </w:tr>
      <w:tr w:rsidR="00516ED9" w:rsidRPr="00C34BCD" w:rsidTr="00C34BCD">
        <w:trPr>
          <w:jc w:val="center"/>
        </w:trPr>
        <w:tc>
          <w:tcPr>
            <w:tcW w:w="1408" w:type="dxa"/>
            <w:vMerge/>
            <w:shd w:val="clear" w:color="auto" w:fill="auto"/>
          </w:tcPr>
          <w:p w:rsidR="00516ED9" w:rsidRPr="00C34BCD" w:rsidRDefault="00516ED9" w:rsidP="00F11AE4">
            <w:pPr>
              <w:jc w:val="both"/>
              <w:rPr>
                <w:rFonts w:ascii="Arial" w:hAnsi="Arial" w:cs="Arial"/>
                <w:sz w:val="19"/>
                <w:szCs w:val="19"/>
                <w:lang w:val="en-GB"/>
              </w:rPr>
            </w:pPr>
          </w:p>
        </w:tc>
        <w:tc>
          <w:tcPr>
            <w:tcW w:w="1863" w:type="dxa"/>
            <w:vMerge/>
            <w:shd w:val="clear" w:color="auto" w:fill="auto"/>
          </w:tcPr>
          <w:p w:rsidR="00516ED9" w:rsidRPr="00C34BCD" w:rsidRDefault="00516ED9" w:rsidP="00F11AE4">
            <w:pPr>
              <w:jc w:val="both"/>
              <w:rPr>
                <w:rFonts w:ascii="Arial" w:hAnsi="Arial" w:cs="Arial"/>
                <w:sz w:val="19"/>
                <w:szCs w:val="19"/>
                <w:lang w:val="en-GB"/>
              </w:rPr>
            </w:pPr>
          </w:p>
        </w:tc>
        <w:tc>
          <w:tcPr>
            <w:tcW w:w="2763" w:type="dxa"/>
            <w:shd w:val="clear" w:color="auto" w:fill="auto"/>
          </w:tcPr>
          <w:p w:rsidR="00516ED9" w:rsidRPr="00C34BCD" w:rsidRDefault="00516ED9" w:rsidP="00C34BCD">
            <w:pPr>
              <w:rPr>
                <w:rFonts w:ascii="Arial" w:hAnsi="Arial" w:cs="Arial"/>
                <w:sz w:val="19"/>
                <w:szCs w:val="19"/>
                <w:lang w:val="en-GB"/>
              </w:rPr>
            </w:pPr>
            <w:r w:rsidRPr="00C34BCD">
              <w:rPr>
                <w:rFonts w:ascii="Arial" w:hAnsi="Arial" w:cs="Arial"/>
                <w:sz w:val="19"/>
                <w:szCs w:val="19"/>
                <w:lang w:val="en-GB"/>
              </w:rPr>
              <w:t>Online</w:t>
            </w:r>
          </w:p>
        </w:tc>
        <w:tc>
          <w:tcPr>
            <w:tcW w:w="3118" w:type="dxa"/>
            <w:shd w:val="clear" w:color="auto" w:fill="auto"/>
          </w:tcPr>
          <w:p w:rsidR="00516ED9" w:rsidRPr="00C34BCD" w:rsidRDefault="00516ED9" w:rsidP="00F11AE4">
            <w:pPr>
              <w:numPr>
                <w:ilvl w:val="0"/>
                <w:numId w:val="11"/>
              </w:numPr>
              <w:ind w:left="216" w:hanging="216"/>
              <w:jc w:val="both"/>
              <w:rPr>
                <w:rFonts w:ascii="Arial" w:hAnsi="Arial" w:cs="Arial"/>
                <w:sz w:val="19"/>
                <w:szCs w:val="19"/>
                <w:lang w:val="en-GB"/>
              </w:rPr>
            </w:pPr>
            <w:r w:rsidRPr="00C34BCD">
              <w:rPr>
                <w:rFonts w:ascii="Arial" w:hAnsi="Arial" w:cs="Arial"/>
                <w:sz w:val="19"/>
                <w:szCs w:val="19"/>
                <w:lang w:val="en-GB"/>
              </w:rPr>
              <w:t>Programs posted online</w:t>
            </w:r>
          </w:p>
        </w:tc>
      </w:tr>
      <w:tr w:rsidR="00516ED9" w:rsidRPr="00C34BCD" w:rsidTr="00C34BCD">
        <w:trPr>
          <w:trHeight w:val="512"/>
          <w:jc w:val="center"/>
        </w:trPr>
        <w:tc>
          <w:tcPr>
            <w:tcW w:w="1408" w:type="dxa"/>
            <w:vMerge/>
            <w:shd w:val="clear" w:color="auto" w:fill="auto"/>
          </w:tcPr>
          <w:p w:rsidR="00516ED9" w:rsidRPr="00C34BCD" w:rsidRDefault="00516ED9" w:rsidP="00F11AE4">
            <w:pPr>
              <w:jc w:val="both"/>
              <w:rPr>
                <w:rFonts w:ascii="Arial" w:hAnsi="Arial" w:cs="Arial"/>
                <w:sz w:val="19"/>
                <w:szCs w:val="19"/>
                <w:lang w:val="en-GB"/>
              </w:rPr>
            </w:pPr>
          </w:p>
        </w:tc>
        <w:tc>
          <w:tcPr>
            <w:tcW w:w="1863" w:type="dxa"/>
            <w:vMerge/>
            <w:shd w:val="clear" w:color="auto" w:fill="auto"/>
          </w:tcPr>
          <w:p w:rsidR="00516ED9" w:rsidRPr="00C34BCD" w:rsidRDefault="00516ED9" w:rsidP="00F11AE4">
            <w:pPr>
              <w:jc w:val="both"/>
              <w:rPr>
                <w:rFonts w:ascii="Arial" w:hAnsi="Arial" w:cs="Arial"/>
                <w:sz w:val="19"/>
                <w:szCs w:val="19"/>
                <w:lang w:val="en-GB"/>
              </w:rPr>
            </w:pPr>
          </w:p>
        </w:tc>
        <w:tc>
          <w:tcPr>
            <w:tcW w:w="2763" w:type="dxa"/>
            <w:shd w:val="clear" w:color="auto" w:fill="auto"/>
          </w:tcPr>
          <w:p w:rsidR="00516ED9" w:rsidRPr="00C34BCD" w:rsidRDefault="00516ED9" w:rsidP="00C34BCD">
            <w:pPr>
              <w:rPr>
                <w:rFonts w:ascii="Arial" w:hAnsi="Arial" w:cs="Arial"/>
                <w:sz w:val="19"/>
                <w:szCs w:val="19"/>
                <w:lang w:val="en-GB"/>
              </w:rPr>
            </w:pPr>
            <w:proofErr w:type="spellStart"/>
            <w:r w:rsidRPr="00C34BCD">
              <w:rPr>
                <w:rFonts w:ascii="Arial" w:hAnsi="Arial" w:cs="Arial"/>
                <w:sz w:val="19"/>
                <w:szCs w:val="19"/>
                <w:lang w:val="en-GB"/>
              </w:rPr>
              <w:t>TVOKids</w:t>
            </w:r>
            <w:proofErr w:type="spellEnd"/>
            <w:r w:rsidRPr="00C34BCD">
              <w:rPr>
                <w:rFonts w:ascii="Arial" w:hAnsi="Arial" w:cs="Arial"/>
                <w:sz w:val="19"/>
                <w:szCs w:val="19"/>
                <w:lang w:val="en-GB"/>
              </w:rPr>
              <w:t xml:space="preserve"> educational material</w:t>
            </w:r>
          </w:p>
        </w:tc>
        <w:tc>
          <w:tcPr>
            <w:tcW w:w="3118" w:type="dxa"/>
            <w:shd w:val="clear" w:color="auto" w:fill="auto"/>
          </w:tcPr>
          <w:p w:rsidR="00516ED9" w:rsidRPr="00C34BCD" w:rsidRDefault="00516ED9" w:rsidP="00F11AE4">
            <w:pPr>
              <w:numPr>
                <w:ilvl w:val="0"/>
                <w:numId w:val="12"/>
              </w:numPr>
              <w:ind w:left="216" w:hanging="216"/>
              <w:jc w:val="both"/>
              <w:rPr>
                <w:rFonts w:ascii="Arial" w:hAnsi="Arial" w:cs="Arial"/>
                <w:sz w:val="19"/>
                <w:szCs w:val="19"/>
                <w:lang w:val="en-GB"/>
              </w:rPr>
            </w:pPr>
            <w:r w:rsidRPr="00C34BCD">
              <w:rPr>
                <w:rFonts w:ascii="Arial" w:hAnsi="Arial" w:cs="Arial"/>
                <w:sz w:val="19"/>
                <w:szCs w:val="19"/>
                <w:lang w:val="en-GB"/>
              </w:rPr>
              <w:t>Education driven applications: videos and print materials</w:t>
            </w:r>
          </w:p>
        </w:tc>
      </w:tr>
      <w:tr w:rsidR="00516ED9" w:rsidRPr="00C34BCD" w:rsidTr="00E454ED">
        <w:trPr>
          <w:trHeight w:val="233"/>
          <w:jc w:val="center"/>
        </w:trPr>
        <w:tc>
          <w:tcPr>
            <w:tcW w:w="1408" w:type="dxa"/>
            <w:vMerge/>
            <w:shd w:val="clear" w:color="auto" w:fill="auto"/>
          </w:tcPr>
          <w:p w:rsidR="00516ED9" w:rsidRPr="00C34BCD" w:rsidRDefault="00516ED9" w:rsidP="00F11AE4">
            <w:pPr>
              <w:jc w:val="both"/>
              <w:rPr>
                <w:rFonts w:ascii="Arial" w:hAnsi="Arial" w:cs="Arial"/>
                <w:sz w:val="19"/>
                <w:szCs w:val="19"/>
                <w:lang w:val="en-GB"/>
              </w:rPr>
            </w:pPr>
          </w:p>
        </w:tc>
        <w:tc>
          <w:tcPr>
            <w:tcW w:w="1863" w:type="dxa"/>
            <w:vMerge w:val="restart"/>
            <w:shd w:val="clear" w:color="auto" w:fill="auto"/>
            <w:vAlign w:val="center"/>
          </w:tcPr>
          <w:p w:rsidR="00516ED9" w:rsidRPr="00C34BCD" w:rsidRDefault="00516ED9" w:rsidP="00E454ED">
            <w:pPr>
              <w:rPr>
                <w:rFonts w:ascii="Arial" w:hAnsi="Arial" w:cs="Arial"/>
                <w:sz w:val="19"/>
                <w:szCs w:val="19"/>
                <w:lang w:val="en-GB"/>
              </w:rPr>
            </w:pPr>
            <w:r w:rsidRPr="00C34BCD">
              <w:rPr>
                <w:rFonts w:ascii="Arial" w:hAnsi="Arial" w:cs="Arial"/>
                <w:sz w:val="19"/>
                <w:szCs w:val="19"/>
                <w:lang w:val="en-GB"/>
              </w:rPr>
              <w:t>Curriculum Supplementary</w:t>
            </w:r>
          </w:p>
        </w:tc>
        <w:tc>
          <w:tcPr>
            <w:tcW w:w="2763" w:type="dxa"/>
            <w:shd w:val="clear" w:color="auto" w:fill="auto"/>
          </w:tcPr>
          <w:p w:rsidR="00516ED9" w:rsidRPr="00C34BCD" w:rsidRDefault="00516ED9" w:rsidP="00C34BCD">
            <w:pPr>
              <w:rPr>
                <w:rFonts w:ascii="Arial" w:hAnsi="Arial" w:cs="Arial"/>
                <w:sz w:val="19"/>
                <w:szCs w:val="19"/>
                <w:lang w:val="en-GB"/>
              </w:rPr>
            </w:pPr>
            <w:r w:rsidRPr="00C34BCD">
              <w:rPr>
                <w:rFonts w:ascii="Arial" w:hAnsi="Arial" w:cs="Arial"/>
                <w:sz w:val="19"/>
                <w:szCs w:val="19"/>
                <w:lang w:val="en-GB"/>
              </w:rPr>
              <w:t>Homework Help</w:t>
            </w:r>
          </w:p>
        </w:tc>
        <w:tc>
          <w:tcPr>
            <w:tcW w:w="3118" w:type="dxa"/>
            <w:shd w:val="clear" w:color="auto" w:fill="auto"/>
          </w:tcPr>
          <w:p w:rsidR="00516ED9" w:rsidRPr="00C34BCD" w:rsidRDefault="00516ED9" w:rsidP="00F11AE4">
            <w:pPr>
              <w:numPr>
                <w:ilvl w:val="0"/>
                <w:numId w:val="13"/>
              </w:numPr>
              <w:ind w:left="216" w:hanging="216"/>
              <w:jc w:val="both"/>
              <w:rPr>
                <w:rFonts w:ascii="Arial" w:hAnsi="Arial" w:cs="Arial"/>
                <w:sz w:val="19"/>
                <w:szCs w:val="19"/>
                <w:lang w:val="en-GB"/>
              </w:rPr>
            </w:pPr>
            <w:r w:rsidRPr="00C34BCD">
              <w:rPr>
                <w:rFonts w:ascii="Arial" w:hAnsi="Arial" w:cs="Arial"/>
                <w:sz w:val="19"/>
                <w:szCs w:val="19"/>
                <w:lang w:val="en-GB"/>
              </w:rPr>
              <w:t>Online tutoring platform</w:t>
            </w:r>
          </w:p>
        </w:tc>
      </w:tr>
      <w:tr w:rsidR="00516ED9" w:rsidRPr="00C34BCD" w:rsidTr="00E454ED">
        <w:trPr>
          <w:trHeight w:val="232"/>
          <w:jc w:val="center"/>
        </w:trPr>
        <w:tc>
          <w:tcPr>
            <w:tcW w:w="1408" w:type="dxa"/>
            <w:vMerge/>
            <w:shd w:val="clear" w:color="auto" w:fill="auto"/>
          </w:tcPr>
          <w:p w:rsidR="00516ED9" w:rsidRPr="00C34BCD" w:rsidRDefault="00516ED9" w:rsidP="00F11AE4">
            <w:pPr>
              <w:jc w:val="both"/>
              <w:rPr>
                <w:rFonts w:ascii="Arial" w:hAnsi="Arial" w:cs="Arial"/>
                <w:sz w:val="19"/>
                <w:szCs w:val="19"/>
                <w:lang w:val="en-GB"/>
              </w:rPr>
            </w:pPr>
          </w:p>
        </w:tc>
        <w:tc>
          <w:tcPr>
            <w:tcW w:w="1863" w:type="dxa"/>
            <w:vMerge/>
            <w:shd w:val="clear" w:color="auto" w:fill="auto"/>
          </w:tcPr>
          <w:p w:rsidR="00516ED9" w:rsidRPr="00C34BCD" w:rsidRDefault="00516ED9" w:rsidP="00F11AE4">
            <w:pPr>
              <w:jc w:val="both"/>
              <w:rPr>
                <w:rFonts w:ascii="Arial" w:hAnsi="Arial" w:cs="Arial"/>
                <w:sz w:val="19"/>
                <w:szCs w:val="19"/>
                <w:lang w:val="en-GB"/>
              </w:rPr>
            </w:pPr>
          </w:p>
        </w:tc>
        <w:tc>
          <w:tcPr>
            <w:tcW w:w="2763" w:type="dxa"/>
            <w:shd w:val="clear" w:color="auto" w:fill="auto"/>
            <w:vAlign w:val="center"/>
          </w:tcPr>
          <w:p w:rsidR="00516ED9" w:rsidRPr="00C34BCD" w:rsidRDefault="00516ED9" w:rsidP="00E454ED">
            <w:pPr>
              <w:rPr>
                <w:rFonts w:ascii="Arial" w:hAnsi="Arial" w:cs="Arial"/>
                <w:sz w:val="19"/>
                <w:szCs w:val="19"/>
                <w:lang w:val="en-GB"/>
              </w:rPr>
            </w:pPr>
            <w:r w:rsidRPr="00C34BCD">
              <w:rPr>
                <w:rFonts w:ascii="Arial" w:hAnsi="Arial" w:cs="Arial"/>
                <w:sz w:val="19"/>
                <w:szCs w:val="19"/>
                <w:lang w:val="en-GB"/>
              </w:rPr>
              <w:t>Independent Learning Centre</w:t>
            </w:r>
          </w:p>
        </w:tc>
        <w:tc>
          <w:tcPr>
            <w:tcW w:w="3118" w:type="dxa"/>
            <w:shd w:val="clear" w:color="auto" w:fill="auto"/>
          </w:tcPr>
          <w:p w:rsidR="00516ED9" w:rsidRPr="00C34BCD" w:rsidRDefault="00516ED9" w:rsidP="00F11AE4">
            <w:pPr>
              <w:numPr>
                <w:ilvl w:val="0"/>
                <w:numId w:val="14"/>
              </w:numPr>
              <w:ind w:left="216" w:hanging="216"/>
              <w:jc w:val="both"/>
              <w:rPr>
                <w:rFonts w:ascii="Arial" w:hAnsi="Arial" w:cs="Arial"/>
                <w:sz w:val="19"/>
                <w:szCs w:val="19"/>
                <w:lang w:val="en-GB"/>
              </w:rPr>
            </w:pPr>
            <w:r w:rsidRPr="00C34BCD">
              <w:rPr>
                <w:rFonts w:ascii="Arial" w:hAnsi="Arial" w:cs="Arial"/>
                <w:sz w:val="19"/>
                <w:szCs w:val="19"/>
                <w:lang w:val="en-GB"/>
              </w:rPr>
              <w:t>Online, print, in-person, and phone-enabled program</w:t>
            </w:r>
          </w:p>
        </w:tc>
      </w:tr>
      <w:tr w:rsidR="00516ED9" w:rsidRPr="00C34BCD" w:rsidTr="00C34BCD">
        <w:trPr>
          <w:jc w:val="center"/>
        </w:trPr>
        <w:tc>
          <w:tcPr>
            <w:tcW w:w="1408" w:type="dxa"/>
            <w:vMerge/>
            <w:shd w:val="clear" w:color="auto" w:fill="auto"/>
          </w:tcPr>
          <w:p w:rsidR="00516ED9" w:rsidRPr="00C34BCD" w:rsidRDefault="00516ED9" w:rsidP="00F11AE4">
            <w:pPr>
              <w:jc w:val="both"/>
              <w:rPr>
                <w:rFonts w:ascii="Arial" w:hAnsi="Arial" w:cs="Arial"/>
                <w:sz w:val="19"/>
                <w:szCs w:val="19"/>
                <w:lang w:val="en-GB"/>
              </w:rPr>
            </w:pPr>
          </w:p>
        </w:tc>
        <w:tc>
          <w:tcPr>
            <w:tcW w:w="1863" w:type="dxa"/>
            <w:vMerge w:val="restart"/>
            <w:shd w:val="clear" w:color="auto" w:fill="auto"/>
          </w:tcPr>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r w:rsidRPr="00C34BCD">
              <w:rPr>
                <w:rFonts w:ascii="Arial" w:hAnsi="Arial" w:cs="Arial"/>
                <w:sz w:val="19"/>
                <w:szCs w:val="19"/>
                <w:lang w:val="en-GB"/>
              </w:rPr>
              <w:t>Adult Support</w:t>
            </w:r>
          </w:p>
        </w:tc>
        <w:tc>
          <w:tcPr>
            <w:tcW w:w="2763" w:type="dxa"/>
            <w:shd w:val="clear" w:color="auto" w:fill="auto"/>
          </w:tcPr>
          <w:p w:rsidR="00516ED9" w:rsidRPr="00C34BCD" w:rsidRDefault="00516ED9" w:rsidP="00C34BCD">
            <w:pPr>
              <w:rPr>
                <w:rFonts w:ascii="Arial" w:hAnsi="Arial" w:cs="Arial"/>
                <w:sz w:val="19"/>
                <w:szCs w:val="19"/>
                <w:lang w:val="en-GB"/>
              </w:rPr>
            </w:pPr>
            <w:r w:rsidRPr="00C34BCD">
              <w:rPr>
                <w:rFonts w:ascii="Arial" w:hAnsi="Arial" w:cs="Arial"/>
                <w:sz w:val="19"/>
                <w:szCs w:val="19"/>
                <w:lang w:val="en-GB"/>
              </w:rPr>
              <w:t>Parenting support</w:t>
            </w:r>
          </w:p>
        </w:tc>
        <w:tc>
          <w:tcPr>
            <w:tcW w:w="3118" w:type="dxa"/>
            <w:shd w:val="clear" w:color="auto" w:fill="auto"/>
          </w:tcPr>
          <w:p w:rsidR="00516ED9" w:rsidRPr="00C34BCD" w:rsidRDefault="00516ED9" w:rsidP="00F11AE4">
            <w:pPr>
              <w:numPr>
                <w:ilvl w:val="0"/>
                <w:numId w:val="15"/>
              </w:numPr>
              <w:ind w:left="216" w:hanging="216"/>
              <w:jc w:val="both"/>
              <w:rPr>
                <w:rFonts w:ascii="Arial" w:hAnsi="Arial" w:cs="Arial"/>
                <w:sz w:val="19"/>
                <w:szCs w:val="19"/>
                <w:lang w:val="en-GB"/>
              </w:rPr>
            </w:pPr>
            <w:r w:rsidRPr="00C34BCD">
              <w:rPr>
                <w:rFonts w:ascii="Arial" w:hAnsi="Arial" w:cs="Arial"/>
                <w:sz w:val="19"/>
                <w:szCs w:val="19"/>
                <w:lang w:val="en-GB"/>
              </w:rPr>
              <w:t>Online articles</w:t>
            </w:r>
          </w:p>
        </w:tc>
      </w:tr>
      <w:tr w:rsidR="00516ED9" w:rsidRPr="00C34BCD" w:rsidTr="00E454ED">
        <w:trPr>
          <w:jc w:val="center"/>
        </w:trPr>
        <w:tc>
          <w:tcPr>
            <w:tcW w:w="1408" w:type="dxa"/>
            <w:vMerge/>
            <w:shd w:val="clear" w:color="auto" w:fill="auto"/>
          </w:tcPr>
          <w:p w:rsidR="00516ED9" w:rsidRPr="00C34BCD" w:rsidRDefault="00516ED9" w:rsidP="00F11AE4">
            <w:pPr>
              <w:jc w:val="both"/>
              <w:rPr>
                <w:rFonts w:ascii="Arial" w:hAnsi="Arial" w:cs="Arial"/>
                <w:sz w:val="19"/>
                <w:szCs w:val="19"/>
                <w:lang w:val="en-GB"/>
              </w:rPr>
            </w:pPr>
          </w:p>
        </w:tc>
        <w:tc>
          <w:tcPr>
            <w:tcW w:w="1863" w:type="dxa"/>
            <w:vMerge/>
            <w:shd w:val="clear" w:color="auto" w:fill="auto"/>
          </w:tcPr>
          <w:p w:rsidR="00516ED9" w:rsidRPr="00C34BCD" w:rsidRDefault="00516ED9" w:rsidP="00F11AE4">
            <w:pPr>
              <w:jc w:val="both"/>
              <w:rPr>
                <w:rFonts w:ascii="Arial" w:hAnsi="Arial" w:cs="Arial"/>
                <w:sz w:val="19"/>
                <w:szCs w:val="19"/>
                <w:lang w:val="en-GB"/>
              </w:rPr>
            </w:pPr>
          </w:p>
        </w:tc>
        <w:tc>
          <w:tcPr>
            <w:tcW w:w="2763" w:type="dxa"/>
            <w:shd w:val="clear" w:color="auto" w:fill="auto"/>
            <w:vAlign w:val="center"/>
          </w:tcPr>
          <w:p w:rsidR="00516ED9" w:rsidRPr="00C34BCD" w:rsidRDefault="00516ED9" w:rsidP="00E454ED">
            <w:pPr>
              <w:rPr>
                <w:rFonts w:ascii="Arial" w:hAnsi="Arial" w:cs="Arial"/>
                <w:sz w:val="19"/>
                <w:szCs w:val="19"/>
                <w:lang w:val="en-GB"/>
              </w:rPr>
            </w:pPr>
            <w:r w:rsidRPr="00C34BCD">
              <w:rPr>
                <w:rFonts w:ascii="Arial" w:hAnsi="Arial" w:cs="Arial"/>
                <w:sz w:val="19"/>
                <w:szCs w:val="19"/>
                <w:lang w:val="en-GB"/>
              </w:rPr>
              <w:t>Teacher support</w:t>
            </w:r>
          </w:p>
        </w:tc>
        <w:tc>
          <w:tcPr>
            <w:tcW w:w="3118" w:type="dxa"/>
            <w:shd w:val="clear" w:color="auto" w:fill="auto"/>
          </w:tcPr>
          <w:p w:rsidR="00516ED9" w:rsidRPr="00C34BCD" w:rsidRDefault="00516ED9" w:rsidP="00F11AE4">
            <w:pPr>
              <w:numPr>
                <w:ilvl w:val="0"/>
                <w:numId w:val="16"/>
              </w:numPr>
              <w:ind w:left="216" w:hanging="216"/>
              <w:jc w:val="both"/>
              <w:rPr>
                <w:rFonts w:ascii="Arial" w:hAnsi="Arial" w:cs="Arial"/>
                <w:sz w:val="19"/>
                <w:szCs w:val="19"/>
                <w:lang w:val="en-GB"/>
              </w:rPr>
            </w:pPr>
            <w:r w:rsidRPr="00C34BCD">
              <w:rPr>
                <w:rFonts w:ascii="Arial" w:hAnsi="Arial" w:cs="Arial"/>
                <w:sz w:val="19"/>
                <w:szCs w:val="19"/>
                <w:lang w:val="en-GB"/>
              </w:rPr>
              <w:t>Lesson plans distributed online using smartphones</w:t>
            </w:r>
          </w:p>
        </w:tc>
      </w:tr>
      <w:tr w:rsidR="00516ED9" w:rsidRPr="00C34BCD" w:rsidTr="00C34BCD">
        <w:trPr>
          <w:jc w:val="center"/>
        </w:trPr>
        <w:tc>
          <w:tcPr>
            <w:tcW w:w="1408" w:type="dxa"/>
            <w:vMerge w:val="restart"/>
            <w:shd w:val="clear" w:color="auto" w:fill="auto"/>
          </w:tcPr>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r w:rsidRPr="00C34BCD">
              <w:rPr>
                <w:rFonts w:ascii="Arial" w:hAnsi="Arial" w:cs="Arial"/>
                <w:sz w:val="19"/>
                <w:szCs w:val="19"/>
                <w:lang w:val="en-GB"/>
              </w:rPr>
              <w:t>Citizen</w:t>
            </w:r>
          </w:p>
          <w:p w:rsidR="00516ED9" w:rsidRPr="00C34BCD" w:rsidRDefault="00516ED9" w:rsidP="00F11AE4">
            <w:pPr>
              <w:jc w:val="both"/>
              <w:rPr>
                <w:rFonts w:ascii="Arial" w:hAnsi="Arial" w:cs="Arial"/>
                <w:sz w:val="19"/>
                <w:szCs w:val="19"/>
                <w:lang w:val="en-GB"/>
              </w:rPr>
            </w:pPr>
            <w:r w:rsidRPr="00C34BCD">
              <w:rPr>
                <w:rFonts w:ascii="Arial" w:hAnsi="Arial" w:cs="Arial"/>
                <w:sz w:val="19"/>
                <w:szCs w:val="19"/>
                <w:lang w:val="en-GB"/>
              </w:rPr>
              <w:t>Engagement</w:t>
            </w:r>
          </w:p>
        </w:tc>
        <w:tc>
          <w:tcPr>
            <w:tcW w:w="1863" w:type="dxa"/>
            <w:vMerge w:val="restart"/>
            <w:shd w:val="clear" w:color="auto" w:fill="auto"/>
          </w:tcPr>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r w:rsidRPr="00C34BCD">
              <w:rPr>
                <w:rFonts w:ascii="Arial" w:hAnsi="Arial" w:cs="Arial"/>
                <w:sz w:val="19"/>
                <w:szCs w:val="19"/>
                <w:lang w:val="en-GB"/>
              </w:rPr>
              <w:t>Current Affairs</w:t>
            </w:r>
          </w:p>
        </w:tc>
        <w:tc>
          <w:tcPr>
            <w:tcW w:w="2763" w:type="dxa"/>
            <w:shd w:val="clear" w:color="auto" w:fill="auto"/>
          </w:tcPr>
          <w:p w:rsidR="00516ED9" w:rsidRPr="00C34BCD" w:rsidRDefault="00516ED9" w:rsidP="00C34BCD">
            <w:pPr>
              <w:rPr>
                <w:rFonts w:ascii="Arial" w:hAnsi="Arial" w:cs="Arial"/>
                <w:i/>
                <w:sz w:val="19"/>
                <w:szCs w:val="19"/>
                <w:lang w:val="en-GB"/>
              </w:rPr>
            </w:pPr>
            <w:r w:rsidRPr="00C34BCD">
              <w:rPr>
                <w:rFonts w:ascii="Arial" w:hAnsi="Arial" w:cs="Arial"/>
                <w:i/>
                <w:sz w:val="19"/>
                <w:szCs w:val="19"/>
                <w:lang w:val="en-GB"/>
              </w:rPr>
              <w:t>The Agenda</w:t>
            </w:r>
          </w:p>
        </w:tc>
        <w:tc>
          <w:tcPr>
            <w:tcW w:w="3118" w:type="dxa"/>
            <w:shd w:val="clear" w:color="auto" w:fill="auto"/>
          </w:tcPr>
          <w:p w:rsidR="00516ED9" w:rsidRPr="00C34BCD" w:rsidRDefault="00516ED9" w:rsidP="00F11AE4">
            <w:pPr>
              <w:numPr>
                <w:ilvl w:val="0"/>
                <w:numId w:val="17"/>
              </w:numPr>
              <w:ind w:left="216" w:hanging="216"/>
              <w:jc w:val="both"/>
              <w:rPr>
                <w:rFonts w:ascii="Arial" w:hAnsi="Arial" w:cs="Arial"/>
                <w:sz w:val="19"/>
                <w:szCs w:val="19"/>
                <w:lang w:val="en-GB"/>
              </w:rPr>
            </w:pPr>
            <w:r w:rsidRPr="00C34BCD">
              <w:rPr>
                <w:rFonts w:ascii="Arial" w:hAnsi="Arial" w:cs="Arial"/>
                <w:sz w:val="19"/>
                <w:szCs w:val="19"/>
                <w:lang w:val="en-GB"/>
              </w:rPr>
              <w:t>Current affairs program</w:t>
            </w:r>
          </w:p>
        </w:tc>
      </w:tr>
      <w:tr w:rsidR="00516ED9" w:rsidRPr="00C34BCD" w:rsidTr="00E454ED">
        <w:trPr>
          <w:jc w:val="center"/>
        </w:trPr>
        <w:tc>
          <w:tcPr>
            <w:tcW w:w="1408" w:type="dxa"/>
            <w:vMerge/>
            <w:shd w:val="clear" w:color="auto" w:fill="auto"/>
          </w:tcPr>
          <w:p w:rsidR="00516ED9" w:rsidRPr="00C34BCD" w:rsidRDefault="00516ED9" w:rsidP="00F11AE4">
            <w:pPr>
              <w:jc w:val="both"/>
              <w:rPr>
                <w:rFonts w:ascii="Arial" w:hAnsi="Arial" w:cs="Arial"/>
                <w:sz w:val="19"/>
                <w:szCs w:val="19"/>
                <w:lang w:val="en-GB"/>
              </w:rPr>
            </w:pPr>
          </w:p>
        </w:tc>
        <w:tc>
          <w:tcPr>
            <w:tcW w:w="1863" w:type="dxa"/>
            <w:vMerge/>
            <w:shd w:val="clear" w:color="auto" w:fill="auto"/>
          </w:tcPr>
          <w:p w:rsidR="00516ED9" w:rsidRPr="00C34BCD" w:rsidRDefault="00516ED9" w:rsidP="00F11AE4">
            <w:pPr>
              <w:jc w:val="both"/>
              <w:rPr>
                <w:rFonts w:ascii="Arial" w:hAnsi="Arial" w:cs="Arial"/>
                <w:sz w:val="19"/>
                <w:szCs w:val="19"/>
                <w:lang w:val="en-GB"/>
              </w:rPr>
            </w:pPr>
          </w:p>
        </w:tc>
        <w:tc>
          <w:tcPr>
            <w:tcW w:w="2763" w:type="dxa"/>
            <w:shd w:val="clear" w:color="auto" w:fill="auto"/>
            <w:vAlign w:val="center"/>
          </w:tcPr>
          <w:p w:rsidR="00516ED9" w:rsidRPr="00C34BCD" w:rsidRDefault="00516ED9" w:rsidP="00E454ED">
            <w:pPr>
              <w:rPr>
                <w:rFonts w:ascii="Arial" w:hAnsi="Arial" w:cs="Arial"/>
                <w:sz w:val="19"/>
                <w:szCs w:val="19"/>
                <w:lang w:val="en-GB"/>
              </w:rPr>
            </w:pPr>
            <w:r w:rsidRPr="00C34BCD">
              <w:rPr>
                <w:rFonts w:ascii="Arial" w:hAnsi="Arial" w:cs="Arial"/>
                <w:sz w:val="19"/>
                <w:szCs w:val="19"/>
                <w:lang w:val="en-GB"/>
              </w:rPr>
              <w:t>Other programming</w:t>
            </w:r>
          </w:p>
        </w:tc>
        <w:tc>
          <w:tcPr>
            <w:tcW w:w="3118" w:type="dxa"/>
            <w:shd w:val="clear" w:color="auto" w:fill="auto"/>
          </w:tcPr>
          <w:p w:rsidR="00516ED9" w:rsidRPr="00C34BCD" w:rsidRDefault="00516ED9" w:rsidP="00F11AE4">
            <w:pPr>
              <w:numPr>
                <w:ilvl w:val="0"/>
                <w:numId w:val="18"/>
              </w:numPr>
              <w:ind w:left="216" w:hanging="216"/>
              <w:jc w:val="both"/>
              <w:rPr>
                <w:rFonts w:ascii="Arial" w:hAnsi="Arial" w:cs="Arial"/>
                <w:sz w:val="19"/>
                <w:szCs w:val="19"/>
                <w:lang w:val="en-GB"/>
              </w:rPr>
            </w:pPr>
            <w:r w:rsidRPr="00C34BCD">
              <w:rPr>
                <w:rFonts w:ascii="Arial" w:hAnsi="Arial" w:cs="Arial"/>
                <w:sz w:val="19"/>
                <w:szCs w:val="19"/>
                <w:lang w:val="en-GB"/>
              </w:rPr>
              <w:t xml:space="preserve">Shows like </w:t>
            </w:r>
            <w:r w:rsidRPr="00C34BCD">
              <w:rPr>
                <w:rFonts w:ascii="Arial" w:hAnsi="Arial" w:cs="Arial"/>
                <w:i/>
                <w:sz w:val="19"/>
                <w:szCs w:val="19"/>
                <w:lang w:val="en-GB"/>
              </w:rPr>
              <w:t>This Week at Queen’s Park</w:t>
            </w:r>
          </w:p>
        </w:tc>
      </w:tr>
      <w:tr w:rsidR="00516ED9" w:rsidRPr="00C34BCD" w:rsidTr="00E454ED">
        <w:trPr>
          <w:jc w:val="center"/>
        </w:trPr>
        <w:tc>
          <w:tcPr>
            <w:tcW w:w="1408" w:type="dxa"/>
            <w:vMerge/>
            <w:shd w:val="clear" w:color="auto" w:fill="auto"/>
          </w:tcPr>
          <w:p w:rsidR="00516ED9" w:rsidRPr="00C34BCD" w:rsidRDefault="00516ED9" w:rsidP="00F11AE4">
            <w:pPr>
              <w:jc w:val="both"/>
              <w:rPr>
                <w:rFonts w:ascii="Arial" w:hAnsi="Arial" w:cs="Arial"/>
                <w:sz w:val="19"/>
                <w:szCs w:val="19"/>
                <w:lang w:val="en-GB"/>
              </w:rPr>
            </w:pPr>
          </w:p>
        </w:tc>
        <w:tc>
          <w:tcPr>
            <w:tcW w:w="1863" w:type="dxa"/>
            <w:vMerge w:val="restart"/>
            <w:shd w:val="clear" w:color="auto" w:fill="auto"/>
          </w:tcPr>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p>
          <w:p w:rsidR="00516ED9" w:rsidRPr="00C34BCD" w:rsidRDefault="00516ED9" w:rsidP="00F11AE4">
            <w:pPr>
              <w:jc w:val="both"/>
              <w:rPr>
                <w:rFonts w:ascii="Arial" w:hAnsi="Arial" w:cs="Arial"/>
                <w:sz w:val="19"/>
                <w:szCs w:val="19"/>
                <w:lang w:val="en-GB"/>
              </w:rPr>
            </w:pPr>
            <w:r w:rsidRPr="00C34BCD">
              <w:rPr>
                <w:rFonts w:ascii="Arial" w:hAnsi="Arial" w:cs="Arial"/>
                <w:sz w:val="19"/>
                <w:szCs w:val="19"/>
                <w:lang w:val="en-GB"/>
              </w:rPr>
              <w:t>Civics and Issues</w:t>
            </w:r>
          </w:p>
        </w:tc>
        <w:tc>
          <w:tcPr>
            <w:tcW w:w="2763" w:type="dxa"/>
            <w:shd w:val="clear" w:color="auto" w:fill="auto"/>
            <w:vAlign w:val="center"/>
          </w:tcPr>
          <w:p w:rsidR="00516ED9" w:rsidRPr="00C34BCD" w:rsidRDefault="00516ED9" w:rsidP="00E454ED">
            <w:pPr>
              <w:rPr>
                <w:rFonts w:ascii="Arial" w:hAnsi="Arial" w:cs="Arial"/>
                <w:sz w:val="19"/>
                <w:szCs w:val="19"/>
                <w:lang w:val="en-GB"/>
              </w:rPr>
            </w:pPr>
            <w:r w:rsidRPr="00C34BCD">
              <w:rPr>
                <w:rFonts w:ascii="Arial" w:hAnsi="Arial" w:cs="Arial"/>
                <w:sz w:val="19"/>
                <w:szCs w:val="19"/>
                <w:lang w:val="en-GB"/>
              </w:rPr>
              <w:t>Civics 101</w:t>
            </w:r>
          </w:p>
        </w:tc>
        <w:tc>
          <w:tcPr>
            <w:tcW w:w="3118" w:type="dxa"/>
            <w:shd w:val="clear" w:color="auto" w:fill="auto"/>
          </w:tcPr>
          <w:p w:rsidR="00516ED9" w:rsidRPr="00C34BCD" w:rsidRDefault="00516ED9" w:rsidP="00F11AE4">
            <w:pPr>
              <w:numPr>
                <w:ilvl w:val="0"/>
                <w:numId w:val="19"/>
              </w:numPr>
              <w:ind w:left="216" w:hanging="216"/>
              <w:jc w:val="both"/>
              <w:rPr>
                <w:rFonts w:ascii="Arial" w:hAnsi="Arial" w:cs="Arial"/>
                <w:sz w:val="19"/>
                <w:szCs w:val="19"/>
                <w:lang w:val="en-GB"/>
              </w:rPr>
            </w:pPr>
            <w:r w:rsidRPr="00C34BCD">
              <w:rPr>
                <w:rFonts w:ascii="Arial" w:hAnsi="Arial" w:cs="Arial"/>
                <w:sz w:val="19"/>
                <w:szCs w:val="19"/>
                <w:lang w:val="en-GB"/>
              </w:rPr>
              <w:t>Online clips of how government works</w:t>
            </w:r>
          </w:p>
        </w:tc>
      </w:tr>
      <w:tr w:rsidR="00516ED9" w:rsidRPr="00C34BCD" w:rsidTr="00C34BCD">
        <w:trPr>
          <w:jc w:val="center"/>
        </w:trPr>
        <w:tc>
          <w:tcPr>
            <w:tcW w:w="1408" w:type="dxa"/>
            <w:vMerge/>
            <w:shd w:val="clear" w:color="auto" w:fill="auto"/>
          </w:tcPr>
          <w:p w:rsidR="00516ED9" w:rsidRPr="00C34BCD" w:rsidRDefault="00516ED9" w:rsidP="00F11AE4">
            <w:pPr>
              <w:jc w:val="both"/>
              <w:rPr>
                <w:rFonts w:ascii="Arial" w:hAnsi="Arial" w:cs="Arial"/>
                <w:sz w:val="19"/>
                <w:szCs w:val="19"/>
                <w:lang w:val="en-GB"/>
              </w:rPr>
            </w:pPr>
          </w:p>
        </w:tc>
        <w:tc>
          <w:tcPr>
            <w:tcW w:w="1863" w:type="dxa"/>
            <w:vMerge/>
            <w:shd w:val="clear" w:color="auto" w:fill="auto"/>
          </w:tcPr>
          <w:p w:rsidR="00516ED9" w:rsidRPr="00C34BCD" w:rsidRDefault="00516ED9" w:rsidP="00F11AE4">
            <w:pPr>
              <w:jc w:val="both"/>
              <w:rPr>
                <w:rFonts w:ascii="Arial" w:hAnsi="Arial" w:cs="Arial"/>
                <w:sz w:val="19"/>
                <w:szCs w:val="19"/>
                <w:lang w:val="en-GB"/>
              </w:rPr>
            </w:pPr>
          </w:p>
        </w:tc>
        <w:tc>
          <w:tcPr>
            <w:tcW w:w="2763" w:type="dxa"/>
            <w:shd w:val="clear" w:color="auto" w:fill="auto"/>
          </w:tcPr>
          <w:p w:rsidR="00516ED9" w:rsidRPr="00C34BCD" w:rsidRDefault="00516ED9" w:rsidP="00C34BCD">
            <w:pPr>
              <w:rPr>
                <w:rFonts w:ascii="Arial" w:hAnsi="Arial" w:cs="Arial"/>
                <w:sz w:val="19"/>
                <w:szCs w:val="19"/>
                <w:lang w:val="en-GB"/>
              </w:rPr>
            </w:pPr>
            <w:r w:rsidRPr="00C34BCD">
              <w:rPr>
                <w:rFonts w:ascii="Arial" w:hAnsi="Arial" w:cs="Arial"/>
                <w:sz w:val="19"/>
                <w:szCs w:val="19"/>
                <w:lang w:val="en-GB"/>
              </w:rPr>
              <w:t xml:space="preserve">Partnership with the Perimeter Institute </w:t>
            </w:r>
          </w:p>
        </w:tc>
        <w:tc>
          <w:tcPr>
            <w:tcW w:w="3118" w:type="dxa"/>
            <w:shd w:val="clear" w:color="auto" w:fill="auto"/>
          </w:tcPr>
          <w:p w:rsidR="00516ED9" w:rsidRPr="00C34BCD" w:rsidRDefault="00516ED9" w:rsidP="00F11AE4">
            <w:pPr>
              <w:numPr>
                <w:ilvl w:val="0"/>
                <w:numId w:val="20"/>
              </w:numPr>
              <w:ind w:left="216" w:hanging="216"/>
              <w:jc w:val="both"/>
              <w:rPr>
                <w:rFonts w:ascii="Arial" w:hAnsi="Arial" w:cs="Arial"/>
                <w:sz w:val="19"/>
                <w:szCs w:val="19"/>
                <w:lang w:val="en-GB"/>
              </w:rPr>
            </w:pPr>
            <w:r w:rsidRPr="00C34BCD">
              <w:rPr>
                <w:rFonts w:ascii="Arial" w:hAnsi="Arial" w:cs="Arial"/>
                <w:sz w:val="19"/>
                <w:szCs w:val="19"/>
                <w:lang w:val="en-GB"/>
              </w:rPr>
              <w:t>Promoting scientific literacy</w:t>
            </w:r>
          </w:p>
        </w:tc>
      </w:tr>
      <w:tr w:rsidR="00516ED9" w:rsidRPr="00C34BCD" w:rsidTr="00C34BCD">
        <w:trPr>
          <w:jc w:val="center"/>
        </w:trPr>
        <w:tc>
          <w:tcPr>
            <w:tcW w:w="1408" w:type="dxa"/>
            <w:vMerge/>
            <w:shd w:val="clear" w:color="auto" w:fill="auto"/>
          </w:tcPr>
          <w:p w:rsidR="00516ED9" w:rsidRPr="00C34BCD" w:rsidRDefault="00516ED9" w:rsidP="00F11AE4">
            <w:pPr>
              <w:jc w:val="both"/>
              <w:rPr>
                <w:rFonts w:ascii="Arial" w:hAnsi="Arial" w:cs="Arial"/>
                <w:sz w:val="19"/>
                <w:szCs w:val="19"/>
                <w:lang w:val="en-GB"/>
              </w:rPr>
            </w:pPr>
          </w:p>
        </w:tc>
        <w:tc>
          <w:tcPr>
            <w:tcW w:w="1863" w:type="dxa"/>
            <w:vMerge/>
            <w:shd w:val="clear" w:color="auto" w:fill="auto"/>
          </w:tcPr>
          <w:p w:rsidR="00516ED9" w:rsidRPr="00C34BCD" w:rsidRDefault="00516ED9" w:rsidP="00F11AE4">
            <w:pPr>
              <w:jc w:val="both"/>
              <w:rPr>
                <w:rFonts w:ascii="Arial" w:hAnsi="Arial" w:cs="Arial"/>
                <w:sz w:val="19"/>
                <w:szCs w:val="19"/>
                <w:lang w:val="en-GB"/>
              </w:rPr>
            </w:pPr>
          </w:p>
        </w:tc>
        <w:tc>
          <w:tcPr>
            <w:tcW w:w="2763" w:type="dxa"/>
            <w:shd w:val="clear" w:color="auto" w:fill="auto"/>
          </w:tcPr>
          <w:p w:rsidR="00516ED9" w:rsidRPr="00C34BCD" w:rsidRDefault="00516ED9" w:rsidP="00C34BCD">
            <w:pPr>
              <w:rPr>
                <w:rFonts w:ascii="Arial" w:hAnsi="Arial" w:cs="Arial"/>
                <w:sz w:val="19"/>
                <w:szCs w:val="19"/>
                <w:lang w:val="en-GB"/>
              </w:rPr>
            </w:pPr>
            <w:r w:rsidRPr="00C34BCD">
              <w:rPr>
                <w:rFonts w:ascii="Arial" w:hAnsi="Arial" w:cs="Arial"/>
                <w:sz w:val="19"/>
                <w:szCs w:val="19"/>
                <w:lang w:val="en-GB"/>
              </w:rPr>
              <w:t>Documentaries and productions</w:t>
            </w:r>
          </w:p>
        </w:tc>
        <w:tc>
          <w:tcPr>
            <w:tcW w:w="3118" w:type="dxa"/>
            <w:shd w:val="clear" w:color="auto" w:fill="auto"/>
          </w:tcPr>
          <w:p w:rsidR="00516ED9" w:rsidRPr="00C34BCD" w:rsidRDefault="00516ED9" w:rsidP="00F11AE4">
            <w:pPr>
              <w:numPr>
                <w:ilvl w:val="0"/>
                <w:numId w:val="20"/>
              </w:numPr>
              <w:ind w:left="216" w:hanging="216"/>
              <w:jc w:val="both"/>
              <w:rPr>
                <w:rFonts w:ascii="Arial" w:hAnsi="Arial" w:cs="Arial"/>
                <w:sz w:val="19"/>
                <w:szCs w:val="19"/>
                <w:lang w:val="en-GB"/>
              </w:rPr>
            </w:pPr>
            <w:r w:rsidRPr="00C34BCD">
              <w:rPr>
                <w:rFonts w:ascii="Arial" w:hAnsi="Arial" w:cs="Arial"/>
                <w:sz w:val="19"/>
                <w:szCs w:val="19"/>
                <w:lang w:val="en-GB"/>
              </w:rPr>
              <w:t>Purchased and co-developed documentaries and movies</w:t>
            </w:r>
          </w:p>
        </w:tc>
      </w:tr>
      <w:tr w:rsidR="00516ED9" w:rsidRPr="00C34BCD" w:rsidTr="00E454ED">
        <w:trPr>
          <w:jc w:val="center"/>
        </w:trPr>
        <w:tc>
          <w:tcPr>
            <w:tcW w:w="1408" w:type="dxa"/>
            <w:shd w:val="clear" w:color="auto" w:fill="auto"/>
          </w:tcPr>
          <w:p w:rsidR="00516ED9" w:rsidRPr="00C34BCD" w:rsidRDefault="00516ED9" w:rsidP="00F11AE4">
            <w:pPr>
              <w:jc w:val="both"/>
              <w:rPr>
                <w:rFonts w:ascii="Arial" w:hAnsi="Arial" w:cs="Arial"/>
                <w:sz w:val="19"/>
                <w:szCs w:val="19"/>
                <w:lang w:val="en-GB"/>
              </w:rPr>
            </w:pPr>
            <w:r w:rsidRPr="00C34BCD">
              <w:rPr>
                <w:rFonts w:ascii="Arial" w:hAnsi="Arial" w:cs="Arial"/>
                <w:sz w:val="19"/>
                <w:szCs w:val="19"/>
                <w:lang w:val="en-GB"/>
              </w:rPr>
              <w:t>Research</w:t>
            </w:r>
          </w:p>
        </w:tc>
        <w:tc>
          <w:tcPr>
            <w:tcW w:w="1863" w:type="dxa"/>
            <w:shd w:val="clear" w:color="auto" w:fill="auto"/>
            <w:vAlign w:val="center"/>
          </w:tcPr>
          <w:p w:rsidR="00516ED9" w:rsidRPr="00C34BCD" w:rsidRDefault="00516ED9" w:rsidP="00E454ED">
            <w:pPr>
              <w:rPr>
                <w:rFonts w:ascii="Arial" w:hAnsi="Arial" w:cs="Arial"/>
                <w:sz w:val="19"/>
                <w:szCs w:val="19"/>
                <w:lang w:val="en-GB"/>
              </w:rPr>
            </w:pPr>
            <w:r w:rsidRPr="00C34BCD">
              <w:rPr>
                <w:rFonts w:ascii="Arial" w:hAnsi="Arial" w:cs="Arial"/>
                <w:sz w:val="19"/>
                <w:szCs w:val="19"/>
                <w:lang w:val="en-GB"/>
              </w:rPr>
              <w:t>Investigation</w:t>
            </w:r>
          </w:p>
        </w:tc>
        <w:tc>
          <w:tcPr>
            <w:tcW w:w="2763" w:type="dxa"/>
            <w:shd w:val="clear" w:color="auto" w:fill="auto"/>
          </w:tcPr>
          <w:p w:rsidR="00516ED9" w:rsidRPr="00C34BCD" w:rsidRDefault="00516ED9" w:rsidP="00C34BCD">
            <w:pPr>
              <w:rPr>
                <w:rFonts w:ascii="Arial" w:hAnsi="Arial" w:cs="Arial"/>
                <w:sz w:val="19"/>
                <w:szCs w:val="19"/>
                <w:lang w:val="en-GB"/>
              </w:rPr>
            </w:pPr>
            <w:r w:rsidRPr="00C34BCD">
              <w:rPr>
                <w:rFonts w:ascii="Arial" w:hAnsi="Arial" w:cs="Arial"/>
                <w:sz w:val="19"/>
                <w:szCs w:val="19"/>
                <w:lang w:val="en-GB"/>
              </w:rPr>
              <w:t>Studies in partnership with the Ontario Institute for Studies in Education</w:t>
            </w:r>
          </w:p>
        </w:tc>
        <w:tc>
          <w:tcPr>
            <w:tcW w:w="3118" w:type="dxa"/>
            <w:shd w:val="clear" w:color="auto" w:fill="auto"/>
          </w:tcPr>
          <w:p w:rsidR="00516ED9" w:rsidRPr="00C34BCD" w:rsidRDefault="00516ED9" w:rsidP="00F11AE4">
            <w:pPr>
              <w:numPr>
                <w:ilvl w:val="0"/>
                <w:numId w:val="20"/>
              </w:numPr>
              <w:ind w:left="216" w:hanging="216"/>
              <w:jc w:val="both"/>
              <w:rPr>
                <w:rFonts w:ascii="Arial" w:hAnsi="Arial" w:cs="Arial"/>
                <w:sz w:val="19"/>
                <w:szCs w:val="19"/>
                <w:lang w:val="en-GB"/>
              </w:rPr>
            </w:pPr>
            <w:r w:rsidRPr="00C34BCD">
              <w:rPr>
                <w:rFonts w:ascii="Arial" w:hAnsi="Arial" w:cs="Arial"/>
                <w:sz w:val="19"/>
                <w:szCs w:val="19"/>
                <w:lang w:val="en-GB"/>
              </w:rPr>
              <w:t xml:space="preserve">Improving TVO’s efficiency </w:t>
            </w:r>
          </w:p>
        </w:tc>
      </w:tr>
    </w:tbl>
    <w:p w:rsidR="00516ED9" w:rsidRPr="00881D14" w:rsidRDefault="00516ED9" w:rsidP="00516ED9">
      <w:pPr>
        <w:pStyle w:val="FootnoteText1"/>
        <w:rPr>
          <w:lang w:val="en-GB"/>
        </w:rPr>
      </w:pPr>
    </w:p>
    <w:p w:rsidR="00516ED9" w:rsidRDefault="00516ED9" w:rsidP="00516ED9">
      <w:pPr>
        <w:pStyle w:val="FootnoteText1"/>
        <w:rPr>
          <w:lang w:val="en-GB"/>
        </w:rPr>
      </w:pPr>
      <w:r>
        <w:rPr>
          <w:lang w:val="en-GB"/>
        </w:rPr>
        <w:t>Note: K–12 = kindergarten to grade 12</w:t>
      </w:r>
    </w:p>
    <w:p w:rsidR="00516ED9" w:rsidRDefault="00516ED9" w:rsidP="00516ED9">
      <w:pPr>
        <w:pStyle w:val="FootnoteText1"/>
        <w:rPr>
          <w:b/>
          <w:caps/>
          <w:lang w:val="en-GB" w:eastAsia="x-none"/>
        </w:rPr>
      </w:pPr>
      <w:r w:rsidRPr="00881D14">
        <w:rPr>
          <w:lang w:val="en-GB"/>
        </w:rPr>
        <w:t>Source: Company documents.</w:t>
      </w:r>
    </w:p>
    <w:p w:rsidR="00516ED9" w:rsidRDefault="00516ED9" w:rsidP="00516ED9">
      <w:pPr>
        <w:pStyle w:val="BodyTextMain"/>
      </w:pPr>
    </w:p>
    <w:p w:rsidR="00516ED9" w:rsidRDefault="00516ED9" w:rsidP="00516ED9">
      <w:pPr>
        <w:pStyle w:val="BodyTextMain"/>
      </w:pPr>
    </w:p>
    <w:p w:rsidR="00516ED9" w:rsidRPr="00881D14" w:rsidRDefault="00516ED9" w:rsidP="00516ED9">
      <w:pPr>
        <w:jc w:val="center"/>
        <w:rPr>
          <w:rFonts w:ascii="Arial" w:hAnsi="Arial"/>
          <w:b/>
          <w:caps/>
          <w:lang w:val="en-GB" w:eastAsia="x-none"/>
        </w:rPr>
      </w:pPr>
      <w:r w:rsidRPr="00881D14">
        <w:rPr>
          <w:rFonts w:ascii="Arial" w:hAnsi="Arial"/>
          <w:b/>
          <w:caps/>
          <w:lang w:val="en-GB" w:eastAsia="x-none"/>
        </w:rPr>
        <w:t>Exhibit 4: TVO</w:t>
      </w:r>
      <w:r>
        <w:rPr>
          <w:rFonts w:ascii="Arial" w:hAnsi="Arial"/>
          <w:b/>
          <w:caps/>
          <w:lang w:val="en-GB" w:eastAsia="x-none"/>
        </w:rPr>
        <w:t xml:space="preserve"> </w:t>
      </w:r>
      <w:r w:rsidRPr="00881D14">
        <w:rPr>
          <w:rFonts w:ascii="Arial" w:hAnsi="Arial"/>
          <w:b/>
          <w:caps/>
          <w:lang w:val="en-GB" w:eastAsia="x-none"/>
        </w:rPr>
        <w:t>C</w:t>
      </w:r>
      <w:r>
        <w:rPr>
          <w:rFonts w:ascii="Arial" w:hAnsi="Arial"/>
          <w:b/>
          <w:caps/>
          <w:lang w:val="en-GB" w:eastAsia="x-none"/>
        </w:rPr>
        <w:t xml:space="preserve">hief </w:t>
      </w:r>
      <w:r w:rsidRPr="00881D14">
        <w:rPr>
          <w:rFonts w:ascii="Arial" w:hAnsi="Arial"/>
          <w:b/>
          <w:caps/>
          <w:lang w:val="en-GB" w:eastAsia="x-none"/>
        </w:rPr>
        <w:t>E</w:t>
      </w:r>
      <w:r>
        <w:rPr>
          <w:rFonts w:ascii="Arial" w:hAnsi="Arial"/>
          <w:b/>
          <w:caps/>
          <w:lang w:val="en-GB" w:eastAsia="x-none"/>
        </w:rPr>
        <w:t xml:space="preserve">xecutive </w:t>
      </w:r>
      <w:r w:rsidRPr="00881D14">
        <w:rPr>
          <w:rFonts w:ascii="Arial" w:hAnsi="Arial"/>
          <w:b/>
          <w:caps/>
          <w:lang w:val="en-GB" w:eastAsia="x-none"/>
        </w:rPr>
        <w:t>O</w:t>
      </w:r>
      <w:r>
        <w:rPr>
          <w:rFonts w:ascii="Arial" w:hAnsi="Arial"/>
          <w:b/>
          <w:caps/>
          <w:lang w:val="en-GB" w:eastAsia="x-none"/>
        </w:rPr>
        <w:t>fficer</w:t>
      </w:r>
      <w:r w:rsidRPr="00881D14">
        <w:rPr>
          <w:rFonts w:ascii="Arial" w:hAnsi="Arial"/>
          <w:b/>
          <w:caps/>
          <w:lang w:val="en-GB" w:eastAsia="x-none"/>
        </w:rPr>
        <w:t>’S DIRECT REPORTS JULY 2013</w:t>
      </w:r>
    </w:p>
    <w:p w:rsidR="00516ED9" w:rsidRPr="00881D14" w:rsidRDefault="00516ED9" w:rsidP="00516ED9">
      <w:pPr>
        <w:jc w:val="both"/>
        <w:rPr>
          <w:lang w:val="en-GB" w:eastAsia="x-none"/>
        </w:rPr>
      </w:pPr>
    </w:p>
    <w:p w:rsidR="00516ED9" w:rsidRPr="00881D14" w:rsidRDefault="00516ED9" w:rsidP="00516ED9">
      <w:pPr>
        <w:jc w:val="center"/>
        <w:rPr>
          <w:lang w:val="en-GB"/>
        </w:rPr>
      </w:pPr>
      <w:r>
        <w:rPr>
          <w:noProof/>
          <w:lang w:val="en-GB" w:eastAsia="en-GB"/>
        </w:rPr>
        <w:drawing>
          <wp:inline distT="0" distB="0" distL="0" distR="0" wp14:anchorId="009F16C2" wp14:editId="7238CA2B">
            <wp:extent cx="6109970" cy="25285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109970" cy="2528570"/>
                    </a:xfrm>
                    <a:prstGeom prst="rect">
                      <a:avLst/>
                    </a:prstGeom>
                    <a:noFill/>
                    <a:ln>
                      <a:noFill/>
                    </a:ln>
                  </pic:spPr>
                </pic:pic>
              </a:graphicData>
            </a:graphic>
          </wp:inline>
        </w:drawing>
      </w:r>
    </w:p>
    <w:p w:rsidR="00516ED9" w:rsidRPr="00881D14" w:rsidRDefault="00516ED9" w:rsidP="00516ED9">
      <w:pPr>
        <w:tabs>
          <w:tab w:val="left" w:pos="-1440"/>
          <w:tab w:val="left" w:pos="-720"/>
          <w:tab w:val="left" w:pos="1"/>
          <w:tab w:val="right" w:pos="9000"/>
        </w:tabs>
        <w:jc w:val="both"/>
        <w:rPr>
          <w:rFonts w:ascii="Arial" w:hAnsi="Arial" w:cs="Arial"/>
          <w:iCs/>
          <w:sz w:val="17"/>
          <w:szCs w:val="17"/>
          <w:lang w:val="en-GB"/>
        </w:rPr>
      </w:pPr>
    </w:p>
    <w:p w:rsidR="00516ED9" w:rsidRDefault="00516ED9" w:rsidP="00C34BCD">
      <w:pPr>
        <w:tabs>
          <w:tab w:val="left" w:pos="-1440"/>
          <w:tab w:val="left" w:pos="-720"/>
          <w:tab w:val="left" w:pos="1"/>
          <w:tab w:val="right" w:pos="9000"/>
        </w:tabs>
        <w:jc w:val="both"/>
      </w:pPr>
      <w:r w:rsidRPr="00881D14">
        <w:rPr>
          <w:rFonts w:ascii="Arial" w:hAnsi="Arial" w:cs="Arial"/>
          <w:iCs/>
          <w:sz w:val="17"/>
          <w:szCs w:val="17"/>
          <w:lang w:val="en-GB"/>
        </w:rPr>
        <w:t>Source: Company documents.</w:t>
      </w:r>
    </w:p>
    <w:sectPr w:rsidR="00516ED9"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Xerox Sans">
    <w:altName w:val="Xerox Sans"/>
    <w:panose1 w:val="00000000000000000000"/>
    <w:charset w:val="00"/>
    <w:family w:val="swiss"/>
    <w:notTrueType/>
    <w:pitch w:val="default"/>
    <w:sig w:usb0="00000003" w:usb1="00000000" w:usb2="00000000" w:usb3="00000000" w:csb0="00000001" w:csb1="00000000"/>
  </w:font>
  <w:font w:name="Minion Pro">
    <w:panose1 w:val="02040503050201020203"/>
    <w:charset w:val="00"/>
    <w:family w:val="roman"/>
    <w:notTrueType/>
    <w:pitch w:val="variable"/>
    <w:sig w:usb0="60000287" w:usb1="00000001"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516ED9" w:rsidRPr="007A44CD" w:rsidRDefault="00516ED9" w:rsidP="00516ED9">
      <w:pPr>
        <w:pStyle w:val="FootnoteText"/>
        <w:rPr>
          <w:rFonts w:ascii="Arial" w:hAnsi="Arial" w:cs="Arial"/>
          <w:sz w:val="17"/>
          <w:szCs w:val="17"/>
          <w:lang w:val="en-CA"/>
        </w:rPr>
      </w:pPr>
      <w:r w:rsidRPr="007A44CD">
        <w:rPr>
          <w:rStyle w:val="FootnoteReference"/>
          <w:rFonts w:ascii="Arial" w:hAnsi="Arial" w:cs="Arial"/>
          <w:sz w:val="17"/>
          <w:szCs w:val="17"/>
        </w:rPr>
        <w:footnoteRef/>
      </w:r>
      <w:r w:rsidRPr="007A44CD">
        <w:rPr>
          <w:rFonts w:ascii="Arial" w:hAnsi="Arial" w:cs="Arial"/>
          <w:sz w:val="17"/>
          <w:szCs w:val="17"/>
        </w:rPr>
        <w:t xml:space="preserve"> </w:t>
      </w:r>
      <w:r w:rsidRPr="007A44CD">
        <w:rPr>
          <w:rFonts w:ascii="Arial" w:hAnsi="Arial" w:cs="Arial"/>
          <w:sz w:val="17"/>
          <w:szCs w:val="17"/>
          <w:lang w:val="en-CA"/>
        </w:rPr>
        <w:t>All currency amounts are in C</w:t>
      </w:r>
      <w:r>
        <w:rPr>
          <w:rFonts w:ascii="Arial" w:hAnsi="Arial" w:cs="Arial"/>
          <w:sz w:val="17"/>
          <w:szCs w:val="17"/>
          <w:lang w:val="en-CA"/>
        </w:rPr>
        <w:t>anadian dollars</w:t>
      </w:r>
      <w:r w:rsidRPr="007A44CD">
        <w:rPr>
          <w:rFonts w:ascii="Arial" w:hAnsi="Arial" w:cs="Arial"/>
          <w:sz w:val="17"/>
          <w:szCs w:val="17"/>
          <w:lang w:val="en-CA"/>
        </w:rPr>
        <w:t xml:space="preserve"> unless otherwise specified.</w:t>
      </w:r>
    </w:p>
  </w:footnote>
  <w:footnote w:id="2">
    <w:p w:rsidR="00516ED9" w:rsidRPr="007A44CD" w:rsidRDefault="00516ED9" w:rsidP="00516ED9">
      <w:pPr>
        <w:pStyle w:val="FootnoteText1"/>
      </w:pPr>
      <w:r w:rsidRPr="007A44CD">
        <w:rPr>
          <w:rStyle w:val="FootnoteReference"/>
        </w:rPr>
        <w:footnoteRef/>
      </w:r>
      <w:r w:rsidRPr="007A44CD">
        <w:t xml:space="preserve"> </w:t>
      </w:r>
      <w:proofErr w:type="spellStart"/>
      <w:r w:rsidRPr="00512E3B">
        <w:t>Sébastien</w:t>
      </w:r>
      <w:proofErr w:type="spellEnd"/>
      <w:r w:rsidRPr="00512E3B">
        <w:t xml:space="preserve"> Lavoie, Assistant Chief Economist</w:t>
      </w:r>
      <w:r>
        <w:t xml:space="preserve">, </w:t>
      </w:r>
      <w:proofErr w:type="gramStart"/>
      <w:r w:rsidRPr="00712E11">
        <w:rPr>
          <w:i/>
        </w:rPr>
        <w:t>LBS</w:t>
      </w:r>
      <w:proofErr w:type="gramEnd"/>
      <w:r w:rsidRPr="00712E11">
        <w:rPr>
          <w:i/>
        </w:rPr>
        <w:t xml:space="preserve"> Economic Research: Provincial Budget</w:t>
      </w:r>
      <w:r>
        <w:t xml:space="preserve">, March 27, 2012, accessed March 10, 2017, </w:t>
      </w:r>
      <w:r w:rsidRPr="007A44CD">
        <w:t>https://cebl.vmbl.ca/Economics/9/Ontario_Budget%202012_e.pdf</w:t>
      </w:r>
      <w:r>
        <w:t>.</w:t>
      </w:r>
    </w:p>
  </w:footnote>
  <w:footnote w:id="3">
    <w:p w:rsidR="00516ED9" w:rsidRPr="007A44CD" w:rsidRDefault="00516ED9" w:rsidP="00516ED9">
      <w:pPr>
        <w:pStyle w:val="FootnoteText1"/>
      </w:pPr>
      <w:r w:rsidRPr="007A44CD">
        <w:rPr>
          <w:rStyle w:val="FootnoteReference"/>
        </w:rPr>
        <w:footnoteRef/>
      </w:r>
      <w:r w:rsidRPr="007A44CD">
        <w:t xml:space="preserve"> TVO</w:t>
      </w:r>
      <w:r>
        <w:t>,</w:t>
      </w:r>
      <w:r w:rsidRPr="007A44CD">
        <w:t xml:space="preserve"> </w:t>
      </w:r>
      <w:r>
        <w:t xml:space="preserve">Ontario Education Communications Authority, </w:t>
      </w:r>
      <w:r w:rsidRPr="00407FDA">
        <w:rPr>
          <w:i/>
        </w:rPr>
        <w:t>Annual Report 2011–201</w:t>
      </w:r>
      <w:r>
        <w:rPr>
          <w:i/>
        </w:rPr>
        <w:t>2</w:t>
      </w:r>
      <w:r>
        <w:t xml:space="preserve">, accessed December 20, 2017, </w:t>
      </w:r>
      <w:r w:rsidRPr="00712E11">
        <w:t>https://tvo.org/sites/default/files/media-library/About-TVO/Annual-Reports/TVO-Annual-Report-2011-12-English.pdf</w:t>
      </w:r>
      <w:r>
        <w:t xml:space="preserve">; </w:t>
      </w:r>
      <w:r w:rsidRPr="007A44CD">
        <w:t>TVO</w:t>
      </w:r>
      <w:r>
        <w:t>,</w:t>
      </w:r>
      <w:r w:rsidRPr="007A44CD">
        <w:t xml:space="preserve"> </w:t>
      </w:r>
      <w:r>
        <w:t xml:space="preserve">Ontario Education Communications Authority, </w:t>
      </w:r>
      <w:r w:rsidRPr="00047126">
        <w:rPr>
          <w:i/>
        </w:rPr>
        <w:t>Annual Report 201</w:t>
      </w:r>
      <w:r>
        <w:rPr>
          <w:i/>
        </w:rPr>
        <w:t>3</w:t>
      </w:r>
      <w:r w:rsidRPr="00047126">
        <w:rPr>
          <w:i/>
        </w:rPr>
        <w:t>–201</w:t>
      </w:r>
      <w:r>
        <w:rPr>
          <w:i/>
        </w:rPr>
        <w:t>4</w:t>
      </w:r>
      <w:r>
        <w:t xml:space="preserve">, accessed December 20, 2017, </w:t>
      </w:r>
      <w:r w:rsidRPr="009D2FF2">
        <w:t>https://tvo.org/sites/default/files/media-library/About-TVO/Annual-Reports/TVO_AnnualReport_2013-14_English_AODA.pdf</w:t>
      </w:r>
      <w:r>
        <w:t>.</w:t>
      </w:r>
    </w:p>
  </w:footnote>
  <w:footnote w:id="4">
    <w:p w:rsidR="00516ED9" w:rsidRPr="007A44CD" w:rsidRDefault="00516ED9" w:rsidP="00516ED9">
      <w:pPr>
        <w:pStyle w:val="FootnoteText1"/>
      </w:pPr>
      <w:r w:rsidRPr="007A44CD">
        <w:rPr>
          <w:rStyle w:val="FootnoteReference"/>
        </w:rPr>
        <w:footnoteRef/>
      </w:r>
      <w:r w:rsidRPr="007A44CD">
        <w:t xml:space="preserve"> </w:t>
      </w:r>
      <w:r>
        <w:t>“</w:t>
      </w:r>
      <w:r w:rsidRPr="00DB5CBF">
        <w:t xml:space="preserve">CBC-TV, TVO </w:t>
      </w:r>
      <w:r>
        <w:t>E</w:t>
      </w:r>
      <w:r w:rsidRPr="00DB5CBF">
        <w:t xml:space="preserve">nd </w:t>
      </w:r>
      <w:r>
        <w:t>A</w:t>
      </w:r>
      <w:r w:rsidRPr="00DB5CBF">
        <w:t xml:space="preserve">nalog </w:t>
      </w:r>
      <w:r>
        <w:t>T</w:t>
      </w:r>
      <w:r w:rsidRPr="00DB5CBF">
        <w:t>ransmission</w:t>
      </w:r>
      <w:r>
        <w:t>,”</w:t>
      </w:r>
      <w:r w:rsidRPr="007A44CD">
        <w:t xml:space="preserve"> </w:t>
      </w:r>
      <w:r>
        <w:t xml:space="preserve">CBC News, August 1, 2012, </w:t>
      </w:r>
      <w:r w:rsidRPr="007A44CD">
        <w:t>accessed March 27, 2017</w:t>
      </w:r>
      <w:r>
        <w:t xml:space="preserve">, </w:t>
      </w:r>
      <w:r w:rsidRPr="007A44CD">
        <w:t>www.cbc.ca/news/entertainment/cbc-tv-tvo-end-analog-transmission-1.1145615</w:t>
      </w:r>
      <w:r>
        <w:t>.</w:t>
      </w:r>
    </w:p>
  </w:footnote>
  <w:footnote w:id="5">
    <w:p w:rsidR="00072274" w:rsidRDefault="00072274" w:rsidP="00072274">
      <w:pPr>
        <w:pStyle w:val="FootnoteText1"/>
      </w:pPr>
      <w:r>
        <w:rPr>
          <w:rStyle w:val="FootnoteReference"/>
        </w:rPr>
        <w:footnoteRef/>
      </w:r>
      <w:r>
        <w:t xml:space="preserve"> </w:t>
      </w:r>
      <w:r w:rsidRPr="007A44CD">
        <w:rPr>
          <w:lang w:val="en-CA"/>
        </w:rPr>
        <w:t>“</w:t>
      </w:r>
      <w:r w:rsidRPr="007A44CD">
        <w:t>Communications Monitoring Report 2014: Broadcasting System</w:t>
      </w:r>
      <w:r w:rsidRPr="007A44CD">
        <w:rPr>
          <w:lang w:val="en-CA"/>
        </w:rPr>
        <w:t>,”</w:t>
      </w:r>
      <w:r w:rsidRPr="007A44CD">
        <w:t xml:space="preserve"> </w:t>
      </w:r>
      <w:r>
        <w:t>Canadian Radio-television and Telecommunications Commission,</w:t>
      </w:r>
      <w:r w:rsidRPr="007A44CD">
        <w:t xml:space="preserve"> accessed September 1</w:t>
      </w:r>
      <w:r w:rsidRPr="007A44CD">
        <w:rPr>
          <w:lang w:val="en-CA"/>
        </w:rPr>
        <w:t>0</w:t>
      </w:r>
      <w:r w:rsidRPr="007A44CD">
        <w:t>, 2016</w:t>
      </w:r>
      <w:r>
        <w:t xml:space="preserve">, </w:t>
      </w:r>
      <w:r w:rsidRPr="007A44CD">
        <w:t>www.crtc.gc.ca/eng/publications/reports/policymonitoring/2014/cmr4.htm</w:t>
      </w:r>
      <w:r>
        <w:t>.</w:t>
      </w:r>
    </w:p>
  </w:footnote>
  <w:footnote w:id="6">
    <w:p w:rsidR="00516ED9" w:rsidRPr="007A44CD" w:rsidRDefault="00516ED9" w:rsidP="00516ED9">
      <w:pPr>
        <w:pStyle w:val="FootnoteText1"/>
        <w:rPr>
          <w:i/>
          <w:lang w:val="en-CA"/>
        </w:rPr>
      </w:pPr>
      <w:r w:rsidRPr="007A44CD">
        <w:rPr>
          <w:rStyle w:val="FootnoteReference"/>
        </w:rPr>
        <w:footnoteRef/>
      </w:r>
      <w:r w:rsidRPr="007A44CD">
        <w:t xml:space="preserve"> </w:t>
      </w:r>
      <w:r>
        <w:rPr>
          <w:lang w:val="en-CA"/>
        </w:rPr>
        <w:t>Ibid</w:t>
      </w:r>
      <w:r>
        <w:t>.</w:t>
      </w:r>
    </w:p>
  </w:footnote>
  <w:footnote w:id="7">
    <w:p w:rsidR="00516ED9" w:rsidRPr="007A44CD" w:rsidRDefault="00516ED9" w:rsidP="00516ED9">
      <w:pPr>
        <w:pStyle w:val="FootnoteText1"/>
      </w:pPr>
      <w:r w:rsidRPr="007A44CD">
        <w:rPr>
          <w:rStyle w:val="FootnoteReference"/>
        </w:rPr>
        <w:footnoteRef/>
      </w:r>
      <w:r w:rsidRPr="007A44CD">
        <w:t xml:space="preserve"> “Overview,” Public Broadcasting Corporation (PBS), accessed March 13, 2017, www.pbs.org/about/about-pbs/overview.</w:t>
      </w:r>
    </w:p>
  </w:footnote>
  <w:footnote w:id="8">
    <w:p w:rsidR="00516ED9" w:rsidRPr="00F11AE4" w:rsidRDefault="00516ED9" w:rsidP="00516ED9">
      <w:pPr>
        <w:pStyle w:val="FootnoteText1"/>
        <w:rPr>
          <w:spacing w:val="-4"/>
        </w:rPr>
      </w:pPr>
      <w:r w:rsidRPr="00F11AE4">
        <w:rPr>
          <w:rStyle w:val="FootnoteReference"/>
          <w:spacing w:val="-4"/>
        </w:rPr>
        <w:footnoteRef/>
      </w:r>
      <w:r w:rsidRPr="00F11AE4">
        <w:rPr>
          <w:spacing w:val="-4"/>
        </w:rPr>
        <w:t xml:space="preserve"> Canadian Heritage, </w:t>
      </w:r>
      <w:r w:rsidRPr="00F11AE4">
        <w:rPr>
          <w:i/>
          <w:spacing w:val="-4"/>
        </w:rPr>
        <w:t xml:space="preserve">Evaluation of the Canadian Media Fund 2010-2011 to 2013-2014, </w:t>
      </w:r>
      <w:r w:rsidRPr="00F11AE4">
        <w:rPr>
          <w:spacing w:val="-4"/>
        </w:rPr>
        <w:t>Evaluation Services Directorate,</w:t>
      </w:r>
      <w:r w:rsidRPr="00F11AE4">
        <w:rPr>
          <w:i/>
          <w:spacing w:val="-4"/>
        </w:rPr>
        <w:t xml:space="preserve"> </w:t>
      </w:r>
      <w:r w:rsidRPr="00F11AE4">
        <w:rPr>
          <w:spacing w:val="-4"/>
        </w:rPr>
        <w:t>July 9, 2015, accessed December 20, 2017, https://www.canada.ca/content/dam/pch/documents/corporate/publications/evaluations/cmf-2010-2014-eng.pdf; Because CMF funding creates 26,150 jobs per year, and TVO’s envelope represents approximately 1 per cent of the fund in 2012-2013, TVO’s share would represent about 300 jobs per year.</w:t>
      </w:r>
    </w:p>
  </w:footnote>
  <w:footnote w:id="9">
    <w:p w:rsidR="00516ED9" w:rsidRPr="007A44CD" w:rsidRDefault="00516ED9" w:rsidP="00516ED9">
      <w:pPr>
        <w:pStyle w:val="FootnoteText1"/>
        <w:rPr>
          <w:lang w:val="en-CA"/>
        </w:rPr>
      </w:pPr>
      <w:r w:rsidRPr="007A44CD">
        <w:rPr>
          <w:rStyle w:val="FootnoteReference"/>
        </w:rPr>
        <w:footnoteRef/>
      </w:r>
      <w:r w:rsidRPr="007A44CD">
        <w:t xml:space="preserve"> </w:t>
      </w:r>
      <w:r>
        <w:t>“</w:t>
      </w:r>
      <w:r w:rsidRPr="00406AE5">
        <w:t xml:space="preserve">TVO Announces Plan </w:t>
      </w:r>
      <w:r>
        <w:t>t</w:t>
      </w:r>
      <w:r w:rsidRPr="00406AE5">
        <w:t>hat Looks to Future</w:t>
      </w:r>
      <w:r>
        <w:t xml:space="preserve">,” </w:t>
      </w:r>
      <w:proofErr w:type="spellStart"/>
      <w:r>
        <w:t>Cision</w:t>
      </w:r>
      <w:proofErr w:type="spellEnd"/>
      <w:r>
        <w:t xml:space="preserve">, </w:t>
      </w:r>
      <w:r>
        <w:rPr>
          <w:lang w:val="en-CA"/>
        </w:rPr>
        <w:t xml:space="preserve">November 13, 2012, accessed December 20, 2017, </w:t>
      </w:r>
      <w:r w:rsidRPr="007A44CD">
        <w:rPr>
          <w:lang w:val="en-CA"/>
        </w:rPr>
        <w:t>www.newswire.ca/news-releases/tvo-announces-plan-that-looks-to-future-511145061.html</w:t>
      </w:r>
      <w:r>
        <w:rPr>
          <w:lang w:val="en-CA"/>
        </w:rPr>
        <w:t>.</w:t>
      </w:r>
    </w:p>
  </w:footnote>
  <w:footnote w:id="10">
    <w:p w:rsidR="00516ED9" w:rsidRPr="007A44CD" w:rsidRDefault="00516ED9" w:rsidP="00516ED9">
      <w:pPr>
        <w:pStyle w:val="FootnoteText1"/>
        <w:rPr>
          <w:lang w:val="en-CA"/>
        </w:rPr>
      </w:pPr>
      <w:r w:rsidRPr="007A44CD">
        <w:rPr>
          <w:rStyle w:val="FootnoteReference"/>
        </w:rPr>
        <w:footnoteRef/>
      </w:r>
      <w:r w:rsidRPr="007A44CD">
        <w:t xml:space="preserve"> </w:t>
      </w:r>
      <w:r>
        <w:t>Ibid.</w:t>
      </w:r>
    </w:p>
  </w:footnote>
  <w:footnote w:id="11">
    <w:p w:rsidR="00516ED9" w:rsidRPr="007A44CD" w:rsidRDefault="00516ED9" w:rsidP="00516ED9">
      <w:pPr>
        <w:pStyle w:val="FootnoteText1"/>
        <w:rPr>
          <w:lang w:val="en-CA"/>
        </w:rPr>
      </w:pPr>
      <w:r w:rsidRPr="007A44CD">
        <w:rPr>
          <w:rStyle w:val="FootnoteReference"/>
        </w:rPr>
        <w:footnoteRef/>
      </w:r>
      <w:r w:rsidRPr="007A44CD">
        <w:t xml:space="preserve"> </w:t>
      </w:r>
      <w:proofErr w:type="spellStart"/>
      <w:r>
        <w:t>StrategyCorp</w:t>
      </w:r>
      <w:proofErr w:type="spellEnd"/>
      <w:r>
        <w:t xml:space="preserve"> Business Strategies Group, </w:t>
      </w:r>
      <w:r w:rsidRPr="00F11AE4">
        <w:rPr>
          <w:i/>
          <w:lang w:val="en-CA"/>
        </w:rPr>
        <w:t xml:space="preserve">A New Agenda: A Strategic Plan for </w:t>
      </w:r>
      <w:proofErr w:type="gramStart"/>
      <w:r w:rsidRPr="00F11AE4">
        <w:rPr>
          <w:i/>
          <w:lang w:val="en-CA"/>
        </w:rPr>
        <w:t>TVO</w:t>
      </w:r>
      <w:r>
        <w:rPr>
          <w:lang w:val="en-CA"/>
        </w:rPr>
        <w:t>,</w:t>
      </w:r>
      <w:proofErr w:type="gramEnd"/>
      <w:r w:rsidRPr="00931C01">
        <w:rPr>
          <w:lang w:val="en-CA"/>
        </w:rPr>
        <w:t xml:space="preserve"> Consolidated Final Report</w:t>
      </w:r>
      <w:r>
        <w:rPr>
          <w:lang w:val="en-CA"/>
        </w:rPr>
        <w:t>,</w:t>
      </w:r>
      <w:r w:rsidRPr="00931C01">
        <w:rPr>
          <w:lang w:val="en-CA"/>
        </w:rPr>
        <w:t xml:space="preserve"> July 15, 2013</w:t>
      </w:r>
      <w:r w:rsidRPr="007A44CD">
        <w:rPr>
          <w:lang w:val="en-C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F505F">
      <w:rPr>
        <w:rFonts w:ascii="Arial" w:hAnsi="Arial"/>
        <w:b/>
        <w:noProof/>
      </w:rPr>
      <w:t>7</w:t>
    </w:r>
    <w:r>
      <w:rPr>
        <w:rFonts w:ascii="Arial" w:hAnsi="Arial"/>
        <w:b/>
      </w:rPr>
      <w:fldChar w:fldCharType="end"/>
    </w:r>
    <w:r>
      <w:rPr>
        <w:rFonts w:ascii="Arial" w:hAnsi="Arial"/>
        <w:b/>
      </w:rPr>
      <w:tab/>
    </w:r>
    <w:r w:rsidR="00516ED9">
      <w:rPr>
        <w:rFonts w:ascii="Arial" w:hAnsi="Arial"/>
        <w:b/>
      </w:rPr>
      <w:t>9B18M110</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C1CCC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E76C36"/>
    <w:multiLevelType w:val="hybridMultilevel"/>
    <w:tmpl w:val="568227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737015A"/>
    <w:multiLevelType w:val="hybridMultilevel"/>
    <w:tmpl w:val="B93CD2DC"/>
    <w:lvl w:ilvl="0" w:tplc="1D3A8B3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DE6E7B"/>
    <w:multiLevelType w:val="hybridMultilevel"/>
    <w:tmpl w:val="6172DFCA"/>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B7F0FE6"/>
    <w:multiLevelType w:val="hybridMultilevel"/>
    <w:tmpl w:val="4A621F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F780252"/>
    <w:multiLevelType w:val="hybridMultilevel"/>
    <w:tmpl w:val="4140A3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30055D6B"/>
    <w:multiLevelType w:val="hybridMultilevel"/>
    <w:tmpl w:val="313C1F3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5A246EB"/>
    <w:multiLevelType w:val="hybridMultilevel"/>
    <w:tmpl w:val="AEF80B1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44E54F15"/>
    <w:multiLevelType w:val="hybridMultilevel"/>
    <w:tmpl w:val="25B8476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5226805"/>
    <w:multiLevelType w:val="hybridMultilevel"/>
    <w:tmpl w:val="B6AEA6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59E089E"/>
    <w:multiLevelType w:val="hybridMultilevel"/>
    <w:tmpl w:val="866E90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9C1622"/>
    <w:multiLevelType w:val="hybridMultilevel"/>
    <w:tmpl w:val="A4389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B1536D3"/>
    <w:multiLevelType w:val="hybridMultilevel"/>
    <w:tmpl w:val="08FE78E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F6C1ADF"/>
    <w:multiLevelType w:val="hybridMultilevel"/>
    <w:tmpl w:val="43E637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85157D7"/>
    <w:multiLevelType w:val="hybridMultilevel"/>
    <w:tmpl w:val="4AD89E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CA43BA8"/>
    <w:multiLevelType w:val="hybridMultilevel"/>
    <w:tmpl w:val="B698806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F4E0271"/>
    <w:multiLevelType w:val="hybridMultilevel"/>
    <w:tmpl w:val="BCAA4DE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EB55B67"/>
    <w:multiLevelType w:val="hybridMultilevel"/>
    <w:tmpl w:val="7E7489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5EB01A3"/>
    <w:multiLevelType w:val="hybridMultilevel"/>
    <w:tmpl w:val="DCCC3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7902195E"/>
    <w:multiLevelType w:val="hybridMultilevel"/>
    <w:tmpl w:val="C3E6C40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18"/>
  </w:num>
  <w:num w:numId="3">
    <w:abstractNumId w:val="0"/>
  </w:num>
  <w:num w:numId="4">
    <w:abstractNumId w:val="4"/>
  </w:num>
  <w:num w:numId="5">
    <w:abstractNumId w:val="9"/>
  </w:num>
  <w:num w:numId="6">
    <w:abstractNumId w:val="1"/>
  </w:num>
  <w:num w:numId="7">
    <w:abstractNumId w:val="5"/>
  </w:num>
  <w:num w:numId="8">
    <w:abstractNumId w:val="17"/>
  </w:num>
  <w:num w:numId="9">
    <w:abstractNumId w:val="16"/>
  </w:num>
  <w:num w:numId="10">
    <w:abstractNumId w:val="2"/>
  </w:num>
  <w:num w:numId="11">
    <w:abstractNumId w:val="10"/>
  </w:num>
  <w:num w:numId="12">
    <w:abstractNumId w:val="13"/>
  </w:num>
  <w:num w:numId="13">
    <w:abstractNumId w:val="14"/>
  </w:num>
  <w:num w:numId="14">
    <w:abstractNumId w:val="6"/>
  </w:num>
  <w:num w:numId="15">
    <w:abstractNumId w:val="12"/>
  </w:num>
  <w:num w:numId="16">
    <w:abstractNumId w:val="19"/>
  </w:num>
  <w:num w:numId="17">
    <w:abstractNumId w:val="7"/>
  </w:num>
  <w:num w:numId="18">
    <w:abstractNumId w:val="3"/>
  </w:num>
  <w:num w:numId="19">
    <w:abstractNumId w:val="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72274"/>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4C15"/>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16ED9"/>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6F505F"/>
    <w:rsid w:val="00711642"/>
    <w:rsid w:val="007507C6"/>
    <w:rsid w:val="00751E0B"/>
    <w:rsid w:val="00752BCD"/>
    <w:rsid w:val="00766DA1"/>
    <w:rsid w:val="00780D94"/>
    <w:rsid w:val="007866A6"/>
    <w:rsid w:val="00792E6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34BCD"/>
    <w:rsid w:val="00C43CDB"/>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01834"/>
    <w:rsid w:val="00E454ED"/>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16ED9"/>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71"/>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paragraph" w:customStyle="1" w:styleId="ColorfulList-Accent11">
    <w:name w:val="Colorful List - Accent 11"/>
    <w:basedOn w:val="Normal"/>
    <w:uiPriority w:val="34"/>
    <w:qFormat/>
    <w:rsid w:val="00516ED9"/>
    <w:pPr>
      <w:ind w:left="720"/>
      <w:contextualSpacing/>
      <w:jc w:val="both"/>
    </w:pPr>
    <w:rPr>
      <w:rFonts w:eastAsia="Calibri"/>
      <w:sz w:val="22"/>
      <w:szCs w:val="22"/>
    </w:rPr>
  </w:style>
  <w:style w:type="character" w:customStyle="1" w:styleId="IntenseReference1">
    <w:name w:val="Intense Reference1"/>
    <w:uiPriority w:val="32"/>
    <w:qFormat/>
    <w:rsid w:val="00516ED9"/>
    <w:rPr>
      <w:b/>
      <w:bCs/>
      <w:smallCaps/>
      <w:color w:val="C0504D"/>
      <w:spacing w:val="5"/>
      <w:u w:val="single"/>
    </w:rPr>
  </w:style>
  <w:style w:type="paragraph" w:customStyle="1" w:styleId="MediumGrid21">
    <w:name w:val="Medium Grid 21"/>
    <w:link w:val="MediumGrid2Char"/>
    <w:uiPriority w:val="1"/>
    <w:qFormat/>
    <w:rsid w:val="00516ED9"/>
    <w:pPr>
      <w:spacing w:after="0" w:line="240" w:lineRule="auto"/>
    </w:pPr>
    <w:rPr>
      <w:rFonts w:ascii="Calibri" w:eastAsia="Calibri" w:hAnsi="Calibri" w:cs="Times New Roman"/>
      <w:lang w:val="en-IN"/>
    </w:rPr>
  </w:style>
  <w:style w:type="character" w:customStyle="1" w:styleId="MediumGrid2Char">
    <w:name w:val="Medium Grid 2 Char"/>
    <w:link w:val="MediumGrid21"/>
    <w:uiPriority w:val="1"/>
    <w:rsid w:val="00516ED9"/>
    <w:rPr>
      <w:rFonts w:ascii="Calibri" w:eastAsia="Calibri" w:hAnsi="Calibri" w:cs="Times New Roman"/>
      <w:lang w:val="en-IN"/>
    </w:rPr>
  </w:style>
  <w:style w:type="character" w:styleId="HTMLCite">
    <w:name w:val="HTML Cite"/>
    <w:uiPriority w:val="99"/>
    <w:semiHidden/>
    <w:unhideWhenUsed/>
    <w:rsid w:val="00516ED9"/>
    <w:rPr>
      <w:i/>
      <w:iCs/>
    </w:rPr>
  </w:style>
  <w:style w:type="paragraph" w:customStyle="1" w:styleId="AutoCorrect">
    <w:name w:val="AutoCorrect"/>
    <w:rsid w:val="00516ED9"/>
    <w:rPr>
      <w:rFonts w:ascii="Calibri" w:eastAsia="Times New Roman" w:hAnsi="Calibri" w:cs="Times New Roman"/>
    </w:rPr>
  </w:style>
  <w:style w:type="paragraph" w:customStyle="1" w:styleId="ColorfulShading-Accent11">
    <w:name w:val="Colorful Shading - Accent 11"/>
    <w:hidden/>
    <w:uiPriority w:val="99"/>
    <w:semiHidden/>
    <w:rsid w:val="00516ED9"/>
    <w:pPr>
      <w:spacing w:after="0" w:line="240" w:lineRule="auto"/>
    </w:pPr>
    <w:rPr>
      <w:rFonts w:ascii="Times New Roman" w:eastAsia="Times New Roman" w:hAnsi="Times New Roman" w:cs="Times New Roman"/>
      <w:sz w:val="20"/>
      <w:szCs w:val="20"/>
    </w:rPr>
  </w:style>
  <w:style w:type="character" w:customStyle="1" w:styleId="A1">
    <w:name w:val="A1"/>
    <w:uiPriority w:val="99"/>
    <w:rsid w:val="00516ED9"/>
    <w:rPr>
      <w:rFonts w:cs="Xerox Sans"/>
      <w:color w:val="000000"/>
      <w:sz w:val="20"/>
      <w:szCs w:val="20"/>
    </w:rPr>
  </w:style>
  <w:style w:type="paragraph" w:customStyle="1" w:styleId="ecxmsonormal">
    <w:name w:val="ecxmsonormal"/>
    <w:basedOn w:val="Normal"/>
    <w:rsid w:val="00516ED9"/>
    <w:pPr>
      <w:spacing w:before="100" w:beforeAutospacing="1" w:after="100" w:afterAutospacing="1"/>
    </w:pPr>
    <w:rPr>
      <w:sz w:val="24"/>
      <w:szCs w:val="24"/>
    </w:rPr>
  </w:style>
  <w:style w:type="paragraph" w:customStyle="1" w:styleId="Pa7">
    <w:name w:val="Pa7"/>
    <w:basedOn w:val="Default"/>
    <w:next w:val="Default"/>
    <w:uiPriority w:val="99"/>
    <w:rsid w:val="00516ED9"/>
    <w:pPr>
      <w:spacing w:line="196" w:lineRule="atLeast"/>
    </w:pPr>
    <w:rPr>
      <w:rFonts w:ascii="Minion Pro" w:eastAsia="Calibri" w:hAnsi="Minion Pro" w:cs="Times New Roman"/>
      <w:color w:val="auto"/>
    </w:rPr>
  </w:style>
  <w:style w:type="character" w:customStyle="1" w:styleId="A15">
    <w:name w:val="A15"/>
    <w:uiPriority w:val="99"/>
    <w:rsid w:val="00516ED9"/>
    <w:rPr>
      <w:rFonts w:ascii="Franklin Gothic Book" w:hAnsi="Franklin Gothic Book" w:cs="Franklin Gothic Book" w:hint="default"/>
      <w:color w:val="000000"/>
      <w:sz w:val="18"/>
      <w:szCs w:val="18"/>
    </w:rPr>
  </w:style>
  <w:style w:type="paragraph" w:customStyle="1" w:styleId="ColorfulShading-Accent12">
    <w:name w:val="Colorful Shading - Accent 12"/>
    <w:hidden/>
    <w:uiPriority w:val="99"/>
    <w:semiHidden/>
    <w:rsid w:val="00516ED9"/>
    <w:pPr>
      <w:spacing w:after="0" w:line="240" w:lineRule="auto"/>
    </w:pPr>
    <w:rPr>
      <w:rFonts w:ascii="Times New Roman" w:eastAsia="Times New Roman" w:hAnsi="Times New Roman" w:cs="Times New Roman"/>
      <w:sz w:val="20"/>
      <w:szCs w:val="20"/>
    </w:rPr>
  </w:style>
  <w:style w:type="character" w:customStyle="1" w:styleId="UnresolvedMention">
    <w:name w:val="Unresolved Mention"/>
    <w:uiPriority w:val="99"/>
    <w:semiHidden/>
    <w:unhideWhenUsed/>
    <w:rsid w:val="00516ED9"/>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16ED9"/>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71"/>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paragraph" w:customStyle="1" w:styleId="ColorfulList-Accent11">
    <w:name w:val="Colorful List - Accent 11"/>
    <w:basedOn w:val="Normal"/>
    <w:uiPriority w:val="34"/>
    <w:qFormat/>
    <w:rsid w:val="00516ED9"/>
    <w:pPr>
      <w:ind w:left="720"/>
      <w:contextualSpacing/>
      <w:jc w:val="both"/>
    </w:pPr>
    <w:rPr>
      <w:rFonts w:eastAsia="Calibri"/>
      <w:sz w:val="22"/>
      <w:szCs w:val="22"/>
    </w:rPr>
  </w:style>
  <w:style w:type="character" w:customStyle="1" w:styleId="IntenseReference1">
    <w:name w:val="Intense Reference1"/>
    <w:uiPriority w:val="32"/>
    <w:qFormat/>
    <w:rsid w:val="00516ED9"/>
    <w:rPr>
      <w:b/>
      <w:bCs/>
      <w:smallCaps/>
      <w:color w:val="C0504D"/>
      <w:spacing w:val="5"/>
      <w:u w:val="single"/>
    </w:rPr>
  </w:style>
  <w:style w:type="paragraph" w:customStyle="1" w:styleId="MediumGrid21">
    <w:name w:val="Medium Grid 21"/>
    <w:link w:val="MediumGrid2Char"/>
    <w:uiPriority w:val="1"/>
    <w:qFormat/>
    <w:rsid w:val="00516ED9"/>
    <w:pPr>
      <w:spacing w:after="0" w:line="240" w:lineRule="auto"/>
    </w:pPr>
    <w:rPr>
      <w:rFonts w:ascii="Calibri" w:eastAsia="Calibri" w:hAnsi="Calibri" w:cs="Times New Roman"/>
      <w:lang w:val="en-IN"/>
    </w:rPr>
  </w:style>
  <w:style w:type="character" w:customStyle="1" w:styleId="MediumGrid2Char">
    <w:name w:val="Medium Grid 2 Char"/>
    <w:link w:val="MediumGrid21"/>
    <w:uiPriority w:val="1"/>
    <w:rsid w:val="00516ED9"/>
    <w:rPr>
      <w:rFonts w:ascii="Calibri" w:eastAsia="Calibri" w:hAnsi="Calibri" w:cs="Times New Roman"/>
      <w:lang w:val="en-IN"/>
    </w:rPr>
  </w:style>
  <w:style w:type="character" w:styleId="HTMLCite">
    <w:name w:val="HTML Cite"/>
    <w:uiPriority w:val="99"/>
    <w:semiHidden/>
    <w:unhideWhenUsed/>
    <w:rsid w:val="00516ED9"/>
    <w:rPr>
      <w:i/>
      <w:iCs/>
    </w:rPr>
  </w:style>
  <w:style w:type="paragraph" w:customStyle="1" w:styleId="AutoCorrect">
    <w:name w:val="AutoCorrect"/>
    <w:rsid w:val="00516ED9"/>
    <w:rPr>
      <w:rFonts w:ascii="Calibri" w:eastAsia="Times New Roman" w:hAnsi="Calibri" w:cs="Times New Roman"/>
    </w:rPr>
  </w:style>
  <w:style w:type="paragraph" w:customStyle="1" w:styleId="ColorfulShading-Accent11">
    <w:name w:val="Colorful Shading - Accent 11"/>
    <w:hidden/>
    <w:uiPriority w:val="99"/>
    <w:semiHidden/>
    <w:rsid w:val="00516ED9"/>
    <w:pPr>
      <w:spacing w:after="0" w:line="240" w:lineRule="auto"/>
    </w:pPr>
    <w:rPr>
      <w:rFonts w:ascii="Times New Roman" w:eastAsia="Times New Roman" w:hAnsi="Times New Roman" w:cs="Times New Roman"/>
      <w:sz w:val="20"/>
      <w:szCs w:val="20"/>
    </w:rPr>
  </w:style>
  <w:style w:type="character" w:customStyle="1" w:styleId="A1">
    <w:name w:val="A1"/>
    <w:uiPriority w:val="99"/>
    <w:rsid w:val="00516ED9"/>
    <w:rPr>
      <w:rFonts w:cs="Xerox Sans"/>
      <w:color w:val="000000"/>
      <w:sz w:val="20"/>
      <w:szCs w:val="20"/>
    </w:rPr>
  </w:style>
  <w:style w:type="paragraph" w:customStyle="1" w:styleId="ecxmsonormal">
    <w:name w:val="ecxmsonormal"/>
    <w:basedOn w:val="Normal"/>
    <w:rsid w:val="00516ED9"/>
    <w:pPr>
      <w:spacing w:before="100" w:beforeAutospacing="1" w:after="100" w:afterAutospacing="1"/>
    </w:pPr>
    <w:rPr>
      <w:sz w:val="24"/>
      <w:szCs w:val="24"/>
    </w:rPr>
  </w:style>
  <w:style w:type="paragraph" w:customStyle="1" w:styleId="Pa7">
    <w:name w:val="Pa7"/>
    <w:basedOn w:val="Default"/>
    <w:next w:val="Default"/>
    <w:uiPriority w:val="99"/>
    <w:rsid w:val="00516ED9"/>
    <w:pPr>
      <w:spacing w:line="196" w:lineRule="atLeast"/>
    </w:pPr>
    <w:rPr>
      <w:rFonts w:ascii="Minion Pro" w:eastAsia="Calibri" w:hAnsi="Minion Pro" w:cs="Times New Roman"/>
      <w:color w:val="auto"/>
    </w:rPr>
  </w:style>
  <w:style w:type="character" w:customStyle="1" w:styleId="A15">
    <w:name w:val="A15"/>
    <w:uiPriority w:val="99"/>
    <w:rsid w:val="00516ED9"/>
    <w:rPr>
      <w:rFonts w:ascii="Franklin Gothic Book" w:hAnsi="Franklin Gothic Book" w:cs="Franklin Gothic Book" w:hint="default"/>
      <w:color w:val="000000"/>
      <w:sz w:val="18"/>
      <w:szCs w:val="18"/>
    </w:rPr>
  </w:style>
  <w:style w:type="paragraph" w:customStyle="1" w:styleId="ColorfulShading-Accent12">
    <w:name w:val="Colorful Shading - Accent 12"/>
    <w:hidden/>
    <w:uiPriority w:val="99"/>
    <w:semiHidden/>
    <w:rsid w:val="00516ED9"/>
    <w:pPr>
      <w:spacing w:after="0" w:line="240" w:lineRule="auto"/>
    </w:pPr>
    <w:rPr>
      <w:rFonts w:ascii="Times New Roman" w:eastAsia="Times New Roman" w:hAnsi="Times New Roman" w:cs="Times New Roman"/>
      <w:sz w:val="20"/>
      <w:szCs w:val="20"/>
    </w:rPr>
  </w:style>
  <w:style w:type="character" w:customStyle="1" w:styleId="UnresolvedMention">
    <w:name w:val="Unresolved Mention"/>
    <w:uiPriority w:val="99"/>
    <w:semiHidden/>
    <w:unhideWhenUsed/>
    <w:rsid w:val="00516E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5ACE3-5FC1-411D-A265-70429FCA7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4044</Words>
  <Characters>23056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Karen Pepers1</cp:lastModifiedBy>
  <cp:revision>13</cp:revision>
  <cp:lastPrinted>2015-03-04T20:34:00Z</cp:lastPrinted>
  <dcterms:created xsi:type="dcterms:W3CDTF">2017-12-15T18:28:00Z</dcterms:created>
  <dcterms:modified xsi:type="dcterms:W3CDTF">2018-11-21T13:29:00Z</dcterms:modified>
</cp:coreProperties>
</file>