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480222" w:rsidP="008467D5">
      <w:pPr>
        <w:pBdr>
          <w:bottom w:val="single" w:sz="18" w:space="1" w:color="auto"/>
        </w:pBdr>
        <w:tabs>
          <w:tab w:val="left" w:pos="-1440"/>
          <w:tab w:val="left" w:pos="-720"/>
          <w:tab w:val="left" w:pos="1"/>
        </w:tabs>
        <w:jc w:val="both"/>
        <w:rPr>
          <w:rFonts w:ascii="Arial" w:hAnsi="Arial"/>
          <w:b/>
          <w:noProof/>
          <w:sz w:val="24"/>
        </w:rPr>
      </w:pPr>
      <w:r>
        <w:rPr>
          <w:rFonts w:ascii="Arial" w:hAnsi="Arial"/>
          <w:b/>
          <w:noProof/>
          <w:sz w:val="24"/>
          <w:lang w:val="en-GB" w:eastAsia="en-GB"/>
        </w:rPr>
        <w:drawing>
          <wp:inline distT="0" distB="0" distL="0" distR="0" wp14:anchorId="0B416D93" wp14:editId="68155D2B">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Pr="009B7A3A" w:rsidRDefault="00F13220" w:rsidP="008467D5">
      <w:pPr>
        <w:pBdr>
          <w:bottom w:val="single" w:sz="18" w:space="1" w:color="auto"/>
        </w:pBdr>
        <w:tabs>
          <w:tab w:val="left" w:pos="-1440"/>
          <w:tab w:val="left" w:pos="-720"/>
          <w:tab w:val="left" w:pos="1"/>
        </w:tabs>
        <w:jc w:val="both"/>
        <w:rPr>
          <w:rFonts w:ascii="Arial" w:hAnsi="Arial"/>
          <w:b/>
          <w:sz w:val="4"/>
          <w:szCs w:val="4"/>
        </w:rPr>
      </w:pPr>
    </w:p>
    <w:p w:rsidR="00D75295" w:rsidRDefault="009B7A3A" w:rsidP="00F105B7">
      <w:pPr>
        <w:pStyle w:val="ProductNumber"/>
      </w:pPr>
      <w:r>
        <w:t>9B18M113</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9B7A3A" w:rsidP="00013360">
      <w:pPr>
        <w:pStyle w:val="CaseTitle"/>
        <w:spacing w:after="0" w:line="240" w:lineRule="auto"/>
        <w:rPr>
          <w:sz w:val="20"/>
          <w:szCs w:val="20"/>
        </w:rPr>
      </w:pPr>
      <w:r>
        <w:rPr>
          <w:rFonts w:eastAsia="Times New Roman"/>
          <w:szCs w:val="20"/>
        </w:rPr>
        <w:t>tvo: leading transformational change (c)</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9B7A3A" w:rsidP="00627C63">
      <w:pPr>
        <w:pStyle w:val="StyleCopyrightStatementAfter0ptBottomSinglesolidline1"/>
      </w:pPr>
      <w:r>
        <w:t>R. Chandrasekhar</w:t>
      </w:r>
      <w:r w:rsidR="00F94C30" w:rsidRPr="00F94C30">
        <w:t xml:space="preserve"> </w:t>
      </w:r>
      <w:r w:rsidR="004B632F" w:rsidRPr="00104567">
        <w:t>wrote this</w:t>
      </w:r>
      <w:r w:rsidR="004B632F">
        <w:t xml:space="preserve"> </w:t>
      </w:r>
      <w:r w:rsidR="00152682">
        <w:t>case</w:t>
      </w:r>
      <w:r w:rsidR="004B632F">
        <w:t xml:space="preserve"> </w:t>
      </w:r>
      <w:r>
        <w:t>under the supervision of Professor</w:t>
      </w:r>
      <w:r w:rsidR="006963B2">
        <w:t>s</w:t>
      </w:r>
      <w:r>
        <w:t xml:space="preserve"> Gerard Seijts</w:t>
      </w:r>
      <w:r w:rsidR="006963B2">
        <w:t xml:space="preserve"> and Jean-Louis Schaan</w:t>
      </w:r>
      <w:r>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F94C30" w:rsidRDefault="00F94C30" w:rsidP="00751E0B">
      <w:pPr>
        <w:pStyle w:val="StyleStyleCopyrightStatementAfter0ptBottomSinglesolid"/>
        <w:rPr>
          <w:rFonts w:cs="Arial"/>
          <w:szCs w:val="16"/>
          <w:lang w:val="en-CA"/>
        </w:rPr>
      </w:pPr>
    </w:p>
    <w:p w:rsidR="00480222" w:rsidRDefault="00480222" w:rsidP="00480222">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rsidR="00480222" w:rsidRDefault="00480222" w:rsidP="00480222">
      <w:pPr>
        <w:pStyle w:val="StyleCopyrightStatementAfter0ptBottomSinglesolidline1"/>
        <w:pBdr>
          <w:top w:val="none" w:sz="0" w:space="0" w:color="auto"/>
        </w:pBdr>
      </w:pPr>
    </w:p>
    <w:p w:rsidR="00751E0B" w:rsidRDefault="00480222" w:rsidP="00480222">
      <w:pPr>
        <w:pStyle w:val="StyleStyleCopyrightStatementAfter0ptBottomSinglesolid"/>
      </w:pPr>
      <w:r>
        <w:t>Copyright © 20</w:t>
      </w:r>
      <w:r w:rsidR="009B7A3A">
        <w:t>18</w:t>
      </w:r>
      <w:r>
        <w:t>, Ivey Business School Foundation</w:t>
      </w:r>
      <w:r>
        <w:tab/>
        <w:t>Version: 20</w:t>
      </w:r>
      <w:r w:rsidR="009B7A3A">
        <w:t>18</w:t>
      </w:r>
      <w:r>
        <w:t>-</w:t>
      </w:r>
      <w:r w:rsidR="003720E4">
        <w:t>11</w:t>
      </w:r>
      <w:r>
        <w:t>-</w:t>
      </w:r>
      <w:r w:rsidR="009B7A3A">
        <w:t>2</w:t>
      </w:r>
      <w:r w:rsidR="003720E4">
        <w:t>1</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9B7A3A" w:rsidRPr="001E3F41" w:rsidRDefault="009B7A3A" w:rsidP="009B7A3A">
      <w:pPr>
        <w:jc w:val="both"/>
        <w:rPr>
          <w:color w:val="000000"/>
          <w:sz w:val="22"/>
          <w:szCs w:val="22"/>
          <w:lang w:val="en-GB"/>
        </w:rPr>
      </w:pPr>
      <w:r w:rsidRPr="001E3F41">
        <w:rPr>
          <w:color w:val="000000"/>
          <w:sz w:val="22"/>
          <w:szCs w:val="22"/>
          <w:lang w:val="en-GB"/>
        </w:rPr>
        <w:t>I</w:t>
      </w:r>
      <w:r>
        <w:rPr>
          <w:color w:val="000000"/>
          <w:sz w:val="22"/>
          <w:szCs w:val="22"/>
          <w:lang w:val="en-GB"/>
        </w:rPr>
        <w:t>n</w:t>
      </w:r>
      <w:r w:rsidRPr="001E3F41">
        <w:rPr>
          <w:color w:val="000000"/>
          <w:sz w:val="22"/>
          <w:szCs w:val="22"/>
          <w:lang w:val="en-GB"/>
        </w:rPr>
        <w:t xml:space="preserve"> January 2014</w:t>
      </w:r>
      <w:r>
        <w:rPr>
          <w:color w:val="000000"/>
          <w:sz w:val="22"/>
          <w:szCs w:val="22"/>
          <w:lang w:val="en-GB"/>
        </w:rPr>
        <w:t>,</w:t>
      </w:r>
      <w:r w:rsidRPr="001E3F41">
        <w:rPr>
          <w:color w:val="000000"/>
          <w:sz w:val="22"/>
          <w:szCs w:val="22"/>
          <w:lang w:val="en-GB"/>
        </w:rPr>
        <w:t xml:space="preserve"> Lisa de Wilde was examining ways of increasing </w:t>
      </w:r>
      <w:proofErr w:type="spellStart"/>
      <w:r w:rsidRPr="001E3F41">
        <w:rPr>
          <w:color w:val="000000"/>
          <w:sz w:val="22"/>
          <w:szCs w:val="22"/>
          <w:lang w:val="en-GB"/>
        </w:rPr>
        <w:t>TVO</w:t>
      </w:r>
      <w:r>
        <w:rPr>
          <w:color w:val="000000"/>
          <w:sz w:val="22"/>
          <w:szCs w:val="22"/>
          <w:lang w:val="en-GB"/>
        </w:rPr>
        <w:t>ntario</w:t>
      </w:r>
      <w:proofErr w:type="spellEnd"/>
      <w:r>
        <w:rPr>
          <w:color w:val="000000"/>
          <w:sz w:val="22"/>
          <w:szCs w:val="22"/>
          <w:lang w:val="en-GB"/>
        </w:rPr>
        <w:t xml:space="preserve"> (TVO)</w:t>
      </w:r>
      <w:r w:rsidRPr="001E3F41">
        <w:rPr>
          <w:color w:val="000000"/>
          <w:sz w:val="22"/>
          <w:szCs w:val="22"/>
          <w:lang w:val="en-GB"/>
        </w:rPr>
        <w:t xml:space="preserve">’s revenue base. One of the options under consideration was to commercialize </w:t>
      </w:r>
      <w:r>
        <w:rPr>
          <w:color w:val="000000"/>
          <w:sz w:val="22"/>
          <w:szCs w:val="22"/>
          <w:lang w:val="en-GB"/>
        </w:rPr>
        <w:t xml:space="preserve">the </w:t>
      </w:r>
      <w:r w:rsidRPr="001E3F41">
        <w:rPr>
          <w:color w:val="000000"/>
          <w:sz w:val="22"/>
          <w:szCs w:val="22"/>
          <w:lang w:val="en-GB"/>
        </w:rPr>
        <w:t>existing educational products of the organization</w:t>
      </w:r>
      <w:r>
        <w:rPr>
          <w:color w:val="000000"/>
          <w:sz w:val="22"/>
          <w:szCs w:val="22"/>
          <w:lang w:val="en-GB"/>
        </w:rPr>
        <w:t>,</w:t>
      </w:r>
      <w:r w:rsidRPr="001E3F41">
        <w:rPr>
          <w:color w:val="000000"/>
          <w:sz w:val="22"/>
          <w:szCs w:val="22"/>
          <w:lang w:val="en-GB"/>
        </w:rPr>
        <w:t xml:space="preserve"> which were being targeted at meeting the needs of post-secondary education (PSE). </w:t>
      </w:r>
    </w:p>
    <w:p w:rsidR="009B7A3A" w:rsidRPr="001E3F41" w:rsidRDefault="009B7A3A" w:rsidP="009B7A3A">
      <w:pPr>
        <w:jc w:val="both"/>
        <w:rPr>
          <w:color w:val="000000"/>
          <w:sz w:val="22"/>
          <w:szCs w:val="22"/>
          <w:lang w:val="en-GB"/>
        </w:rPr>
      </w:pPr>
    </w:p>
    <w:p w:rsidR="009B7A3A" w:rsidRPr="001E3F41" w:rsidRDefault="009B7A3A" w:rsidP="009B7A3A">
      <w:pPr>
        <w:jc w:val="both"/>
        <w:rPr>
          <w:sz w:val="22"/>
          <w:szCs w:val="22"/>
          <w:lang w:val="en-GB"/>
        </w:rPr>
      </w:pPr>
      <w:r w:rsidRPr="001E3F41">
        <w:rPr>
          <w:sz w:val="22"/>
          <w:szCs w:val="22"/>
          <w:lang w:val="en-GB"/>
        </w:rPr>
        <w:t xml:space="preserve">PSE was a growth industry </w:t>
      </w:r>
      <w:r>
        <w:rPr>
          <w:sz w:val="22"/>
          <w:szCs w:val="22"/>
          <w:lang w:val="en-GB"/>
        </w:rPr>
        <w:t>in Canada, where i</w:t>
      </w:r>
      <w:r w:rsidRPr="001E3F41">
        <w:rPr>
          <w:sz w:val="22"/>
          <w:szCs w:val="22"/>
          <w:lang w:val="en-GB"/>
        </w:rPr>
        <w:t>t consisted of 281 institutions comprising 92 public universities and university colleges, 30 private non-profit universities and university colleges, 131 public polytechnics and community colleges, and 28 private non-profit community colleges. Each was unique, pursuing a broad social objective of delivering public good at one level and competing fiercely for research funding, student mass</w:t>
      </w:r>
      <w:r>
        <w:rPr>
          <w:sz w:val="22"/>
          <w:szCs w:val="22"/>
          <w:lang w:val="en-GB"/>
        </w:rPr>
        <w:t>,</w:t>
      </w:r>
      <w:r w:rsidRPr="001E3F41">
        <w:rPr>
          <w:sz w:val="22"/>
          <w:szCs w:val="22"/>
          <w:lang w:val="en-GB"/>
        </w:rPr>
        <w:t xml:space="preserve"> and faculty talent at the other. International education was one of the 22 priority sectors in which Canada had a strong competitive advantage</w:t>
      </w:r>
      <w:r>
        <w:rPr>
          <w:sz w:val="22"/>
          <w:szCs w:val="22"/>
          <w:lang w:val="en-GB"/>
        </w:rPr>
        <w:t>, as</w:t>
      </w:r>
      <w:r w:rsidRPr="00FD325D">
        <w:rPr>
          <w:sz w:val="22"/>
          <w:szCs w:val="22"/>
          <w:lang w:val="en-GB"/>
        </w:rPr>
        <w:t xml:space="preserve"> </w:t>
      </w:r>
      <w:r w:rsidRPr="001E3F41">
        <w:rPr>
          <w:sz w:val="22"/>
          <w:szCs w:val="22"/>
          <w:lang w:val="en-GB"/>
        </w:rPr>
        <w:t>identified by the federal government.</w:t>
      </w:r>
      <w:r w:rsidRPr="001E3F41">
        <w:rPr>
          <w:rStyle w:val="FootnoteReference"/>
          <w:sz w:val="22"/>
          <w:szCs w:val="22"/>
          <w:lang w:val="en-GB"/>
        </w:rPr>
        <w:footnoteReference w:id="1"/>
      </w:r>
      <w:r w:rsidRPr="001E3F41">
        <w:rPr>
          <w:sz w:val="22"/>
          <w:szCs w:val="22"/>
          <w:lang w:val="en-GB"/>
        </w:rPr>
        <w:t xml:space="preserve"> </w:t>
      </w:r>
    </w:p>
    <w:p w:rsidR="009B7A3A" w:rsidRPr="001E3F41" w:rsidRDefault="009B7A3A" w:rsidP="009B7A3A">
      <w:pPr>
        <w:jc w:val="both"/>
        <w:rPr>
          <w:sz w:val="22"/>
          <w:szCs w:val="22"/>
          <w:lang w:val="en-GB"/>
        </w:rPr>
      </w:pPr>
    </w:p>
    <w:p w:rsidR="009B7A3A" w:rsidRPr="001E3F41" w:rsidRDefault="009B7A3A" w:rsidP="009B7A3A">
      <w:pPr>
        <w:jc w:val="both"/>
        <w:rPr>
          <w:sz w:val="22"/>
          <w:szCs w:val="22"/>
          <w:lang w:val="en-GB"/>
        </w:rPr>
      </w:pPr>
      <w:r w:rsidRPr="001E3F41">
        <w:rPr>
          <w:sz w:val="22"/>
          <w:szCs w:val="22"/>
          <w:lang w:val="en-GB"/>
        </w:rPr>
        <w:t>PSE institutions were facing two limitations</w:t>
      </w:r>
      <w:r>
        <w:rPr>
          <w:sz w:val="22"/>
          <w:szCs w:val="22"/>
          <w:lang w:val="en-GB"/>
        </w:rPr>
        <w:t xml:space="preserve">: </w:t>
      </w:r>
      <w:r w:rsidRPr="001E3F41">
        <w:rPr>
          <w:sz w:val="22"/>
          <w:szCs w:val="22"/>
          <w:lang w:val="en-GB"/>
        </w:rPr>
        <w:t xml:space="preserve">the </w:t>
      </w:r>
      <w:r>
        <w:rPr>
          <w:sz w:val="22"/>
          <w:szCs w:val="22"/>
          <w:lang w:val="en-GB"/>
        </w:rPr>
        <w:t xml:space="preserve">number of </w:t>
      </w:r>
      <w:r w:rsidRPr="001E3F41">
        <w:rPr>
          <w:sz w:val="22"/>
          <w:szCs w:val="22"/>
          <w:lang w:val="en-GB"/>
        </w:rPr>
        <w:t>student</w:t>
      </w:r>
      <w:r>
        <w:rPr>
          <w:sz w:val="22"/>
          <w:szCs w:val="22"/>
          <w:lang w:val="en-GB"/>
        </w:rPr>
        <w:t>s</w:t>
      </w:r>
      <w:r w:rsidRPr="001E3F41">
        <w:rPr>
          <w:sz w:val="22"/>
          <w:szCs w:val="22"/>
          <w:lang w:val="en-GB"/>
        </w:rPr>
        <w:t xml:space="preserve"> was limited in Canada for reasons of geographical size; and the governments imposed limits on the tuition fee </w:t>
      </w:r>
      <w:r>
        <w:rPr>
          <w:sz w:val="22"/>
          <w:szCs w:val="22"/>
          <w:lang w:val="en-GB"/>
        </w:rPr>
        <w:t>amount that</w:t>
      </w:r>
      <w:r w:rsidRPr="001E3F41">
        <w:rPr>
          <w:sz w:val="22"/>
          <w:szCs w:val="22"/>
          <w:lang w:val="en-GB"/>
        </w:rPr>
        <w:t xml:space="preserve"> could </w:t>
      </w:r>
      <w:r>
        <w:rPr>
          <w:sz w:val="22"/>
          <w:szCs w:val="22"/>
          <w:lang w:val="en-GB"/>
        </w:rPr>
        <w:t xml:space="preserve">be </w:t>
      </w:r>
      <w:r w:rsidRPr="001E3F41">
        <w:rPr>
          <w:sz w:val="22"/>
          <w:szCs w:val="22"/>
          <w:lang w:val="en-GB"/>
        </w:rPr>
        <w:t>charge</w:t>
      </w:r>
      <w:r>
        <w:rPr>
          <w:sz w:val="22"/>
          <w:szCs w:val="22"/>
          <w:lang w:val="en-GB"/>
        </w:rPr>
        <w:t>d to</w:t>
      </w:r>
      <w:r w:rsidRPr="001E3F41">
        <w:rPr>
          <w:sz w:val="22"/>
          <w:szCs w:val="22"/>
          <w:lang w:val="en-GB"/>
        </w:rPr>
        <w:t xml:space="preserve"> students. PSEs were overcoming the</w:t>
      </w:r>
      <w:r>
        <w:rPr>
          <w:sz w:val="22"/>
          <w:szCs w:val="22"/>
          <w:lang w:val="en-GB"/>
        </w:rPr>
        <w:t>se limitations</w:t>
      </w:r>
      <w:r w:rsidRPr="001E3F41">
        <w:rPr>
          <w:sz w:val="22"/>
          <w:szCs w:val="22"/>
          <w:lang w:val="en-GB"/>
        </w:rPr>
        <w:t xml:space="preserve"> by enrolling international students</w:t>
      </w:r>
      <w:r>
        <w:rPr>
          <w:sz w:val="22"/>
          <w:szCs w:val="22"/>
          <w:lang w:val="en-GB"/>
        </w:rPr>
        <w:t>,</w:t>
      </w:r>
      <w:r w:rsidRPr="001E3F41">
        <w:rPr>
          <w:sz w:val="22"/>
          <w:szCs w:val="22"/>
          <w:lang w:val="en-GB"/>
        </w:rPr>
        <w:t xml:space="preserve"> </w:t>
      </w:r>
      <w:r>
        <w:rPr>
          <w:sz w:val="22"/>
          <w:szCs w:val="22"/>
          <w:lang w:val="en-GB"/>
        </w:rPr>
        <w:t>since</w:t>
      </w:r>
      <w:r w:rsidRPr="001E3F41">
        <w:rPr>
          <w:sz w:val="22"/>
          <w:szCs w:val="22"/>
          <w:lang w:val="en-GB"/>
        </w:rPr>
        <w:t xml:space="preserve"> the fee limitation applied only to domestic students. </w:t>
      </w:r>
      <w:r>
        <w:rPr>
          <w:sz w:val="22"/>
          <w:szCs w:val="22"/>
          <w:lang w:val="en-GB"/>
        </w:rPr>
        <w:t>I</w:t>
      </w:r>
      <w:r w:rsidRPr="001E3F41">
        <w:rPr>
          <w:sz w:val="22"/>
          <w:szCs w:val="22"/>
          <w:lang w:val="en-GB"/>
        </w:rPr>
        <w:t xml:space="preserve">nternational students </w:t>
      </w:r>
      <w:r>
        <w:rPr>
          <w:sz w:val="22"/>
          <w:szCs w:val="22"/>
          <w:lang w:val="en-GB"/>
        </w:rPr>
        <w:t xml:space="preserve">could </w:t>
      </w:r>
      <w:r w:rsidRPr="001E3F41">
        <w:rPr>
          <w:sz w:val="22"/>
          <w:szCs w:val="22"/>
          <w:lang w:val="en-GB"/>
        </w:rPr>
        <w:t>be</w:t>
      </w:r>
      <w:r>
        <w:rPr>
          <w:sz w:val="22"/>
          <w:szCs w:val="22"/>
          <w:lang w:val="en-GB"/>
        </w:rPr>
        <w:t xml:space="preserve"> charged up to</w:t>
      </w:r>
      <w:r w:rsidRPr="001E3F41">
        <w:rPr>
          <w:sz w:val="22"/>
          <w:szCs w:val="22"/>
          <w:lang w:val="en-GB"/>
        </w:rPr>
        <w:t xml:space="preserve"> five times the </w:t>
      </w:r>
      <w:r>
        <w:rPr>
          <w:sz w:val="22"/>
          <w:szCs w:val="22"/>
          <w:lang w:val="en-GB"/>
        </w:rPr>
        <w:t xml:space="preserve">tuition </w:t>
      </w:r>
      <w:r w:rsidRPr="001E3F41">
        <w:rPr>
          <w:sz w:val="22"/>
          <w:szCs w:val="22"/>
          <w:lang w:val="en-GB"/>
        </w:rPr>
        <w:t xml:space="preserve">fees </w:t>
      </w:r>
      <w:r>
        <w:rPr>
          <w:sz w:val="22"/>
          <w:szCs w:val="22"/>
          <w:lang w:val="en-GB"/>
        </w:rPr>
        <w:t>that</w:t>
      </w:r>
      <w:r w:rsidRPr="001E3F41">
        <w:rPr>
          <w:sz w:val="22"/>
          <w:szCs w:val="22"/>
          <w:lang w:val="en-GB"/>
        </w:rPr>
        <w:t xml:space="preserve"> domestic students</w:t>
      </w:r>
      <w:r>
        <w:rPr>
          <w:sz w:val="22"/>
          <w:szCs w:val="22"/>
          <w:lang w:val="en-GB"/>
        </w:rPr>
        <w:t xml:space="preserve"> paid</w:t>
      </w:r>
      <w:r w:rsidRPr="001E3F41">
        <w:rPr>
          <w:sz w:val="22"/>
          <w:szCs w:val="22"/>
          <w:lang w:val="en-GB"/>
        </w:rPr>
        <w:t>.</w:t>
      </w:r>
    </w:p>
    <w:p w:rsidR="009B7A3A" w:rsidRPr="001E3F41" w:rsidRDefault="009B7A3A" w:rsidP="009B7A3A">
      <w:pPr>
        <w:jc w:val="both"/>
        <w:rPr>
          <w:sz w:val="22"/>
          <w:szCs w:val="22"/>
          <w:lang w:val="en-GB"/>
        </w:rPr>
      </w:pPr>
    </w:p>
    <w:p w:rsidR="009B7A3A" w:rsidRPr="001E3F41" w:rsidRDefault="009B7A3A" w:rsidP="009B7A3A">
      <w:pPr>
        <w:jc w:val="both"/>
        <w:rPr>
          <w:sz w:val="22"/>
          <w:szCs w:val="22"/>
          <w:lang w:val="en-GB"/>
        </w:rPr>
      </w:pPr>
      <w:r>
        <w:rPr>
          <w:sz w:val="22"/>
          <w:szCs w:val="22"/>
          <w:lang w:val="en-GB"/>
        </w:rPr>
        <w:t xml:space="preserve">Therefore, </w:t>
      </w:r>
      <w:r w:rsidRPr="001E3F41">
        <w:rPr>
          <w:sz w:val="22"/>
          <w:szCs w:val="22"/>
          <w:lang w:val="en-GB"/>
        </w:rPr>
        <w:t xml:space="preserve">de Wilde saw an opportunity for positioning </w:t>
      </w:r>
      <w:r>
        <w:rPr>
          <w:sz w:val="22"/>
          <w:szCs w:val="22"/>
          <w:lang w:val="en-GB"/>
        </w:rPr>
        <w:t xml:space="preserve">TVO’s </w:t>
      </w:r>
      <w:r w:rsidRPr="001E3F41">
        <w:rPr>
          <w:sz w:val="22"/>
          <w:szCs w:val="22"/>
          <w:lang w:val="en-GB"/>
        </w:rPr>
        <w:t>Independent Learning Centre (ILC), the largest distance learning provider in Ontario, as the first choice for international students seeking Canadian high school course credit</w:t>
      </w:r>
      <w:r>
        <w:rPr>
          <w:sz w:val="22"/>
          <w:szCs w:val="22"/>
          <w:lang w:val="en-GB"/>
        </w:rPr>
        <w:t xml:space="preserve">s, or a complete </w:t>
      </w:r>
      <w:r w:rsidRPr="001E3F41">
        <w:rPr>
          <w:sz w:val="22"/>
          <w:szCs w:val="22"/>
          <w:lang w:val="en-GB"/>
        </w:rPr>
        <w:t>diploma</w:t>
      </w:r>
      <w:r>
        <w:rPr>
          <w:sz w:val="22"/>
          <w:szCs w:val="22"/>
          <w:lang w:val="en-GB"/>
        </w:rPr>
        <w:t>,</w:t>
      </w:r>
      <w:r w:rsidRPr="001E3F41">
        <w:rPr>
          <w:sz w:val="22"/>
          <w:szCs w:val="22"/>
          <w:lang w:val="en-GB"/>
        </w:rPr>
        <w:t xml:space="preserve"> to facilitate acceptance </w:t>
      </w:r>
      <w:r>
        <w:rPr>
          <w:sz w:val="22"/>
          <w:szCs w:val="22"/>
          <w:lang w:val="en-GB"/>
        </w:rPr>
        <w:t>into</w:t>
      </w:r>
      <w:r w:rsidRPr="001E3F41">
        <w:rPr>
          <w:sz w:val="22"/>
          <w:szCs w:val="22"/>
          <w:lang w:val="en-GB"/>
        </w:rPr>
        <w:t xml:space="preserve"> post-secondary education. Exporting </w:t>
      </w:r>
      <w:r>
        <w:rPr>
          <w:sz w:val="22"/>
          <w:szCs w:val="22"/>
          <w:lang w:val="en-GB"/>
        </w:rPr>
        <w:t xml:space="preserve">TVO’s services </w:t>
      </w:r>
      <w:r w:rsidRPr="001E3F41">
        <w:rPr>
          <w:sz w:val="22"/>
          <w:szCs w:val="22"/>
          <w:lang w:val="en-GB"/>
        </w:rPr>
        <w:t xml:space="preserve">to countries outside Canada seemed a better option than exporting </w:t>
      </w:r>
      <w:r>
        <w:rPr>
          <w:sz w:val="22"/>
          <w:szCs w:val="22"/>
          <w:lang w:val="en-GB"/>
        </w:rPr>
        <w:t xml:space="preserve">the services </w:t>
      </w:r>
      <w:r w:rsidRPr="001E3F41">
        <w:rPr>
          <w:sz w:val="22"/>
          <w:szCs w:val="22"/>
          <w:lang w:val="en-GB"/>
        </w:rPr>
        <w:t>to other Canadian provinces. The latter would not scale up</w:t>
      </w:r>
      <w:r>
        <w:rPr>
          <w:sz w:val="22"/>
          <w:szCs w:val="22"/>
          <w:lang w:val="en-GB"/>
        </w:rPr>
        <w:t>,</w:t>
      </w:r>
      <w:r w:rsidRPr="001E3F41">
        <w:rPr>
          <w:sz w:val="22"/>
          <w:szCs w:val="22"/>
          <w:lang w:val="en-GB"/>
        </w:rPr>
        <w:t xml:space="preserve"> because Ontario was already the largest province. </w:t>
      </w:r>
      <w:r>
        <w:rPr>
          <w:sz w:val="22"/>
          <w:szCs w:val="22"/>
          <w:lang w:val="en-GB"/>
        </w:rPr>
        <w:t xml:space="preserve">The </w:t>
      </w:r>
      <w:r w:rsidRPr="001E3F41">
        <w:rPr>
          <w:sz w:val="22"/>
          <w:szCs w:val="22"/>
          <w:lang w:val="en-GB"/>
        </w:rPr>
        <w:t xml:space="preserve">ILC had developed a roadmap for the future in this regard (see Exhibit 1). It had also identified the courses with </w:t>
      </w:r>
      <w:r>
        <w:rPr>
          <w:sz w:val="22"/>
          <w:szCs w:val="22"/>
          <w:lang w:val="en-GB"/>
        </w:rPr>
        <w:t xml:space="preserve">so-called </w:t>
      </w:r>
      <w:r w:rsidRPr="001E3F41">
        <w:rPr>
          <w:sz w:val="22"/>
          <w:szCs w:val="22"/>
          <w:lang w:val="en-GB"/>
        </w:rPr>
        <w:t xml:space="preserve">future demand in which it could offer training to students and make them skills-ready (see Exhibit 2). </w:t>
      </w:r>
    </w:p>
    <w:p w:rsidR="009B7A3A" w:rsidRDefault="009B7A3A" w:rsidP="009B7A3A">
      <w:pPr>
        <w:jc w:val="both"/>
        <w:rPr>
          <w:sz w:val="22"/>
          <w:szCs w:val="22"/>
          <w:lang w:val="en-GB"/>
        </w:rPr>
      </w:pPr>
    </w:p>
    <w:p w:rsidR="009B7A3A" w:rsidRPr="001E3F41" w:rsidRDefault="009B7A3A" w:rsidP="009B7A3A">
      <w:pPr>
        <w:jc w:val="both"/>
        <w:rPr>
          <w:sz w:val="22"/>
          <w:szCs w:val="22"/>
          <w:lang w:val="en-GB"/>
        </w:rPr>
      </w:pPr>
    </w:p>
    <w:p w:rsidR="009B7A3A" w:rsidRPr="001E3F41" w:rsidRDefault="009B7A3A" w:rsidP="009B7A3A">
      <w:pPr>
        <w:jc w:val="both"/>
        <w:textAlignment w:val="baseline"/>
        <w:rPr>
          <w:color w:val="262626"/>
          <w:sz w:val="22"/>
          <w:szCs w:val="22"/>
          <w:bdr w:val="none" w:sz="0" w:space="0" w:color="auto" w:frame="1"/>
          <w:lang w:val="en-GB"/>
        </w:rPr>
      </w:pPr>
      <w:r>
        <w:rPr>
          <w:color w:val="262626"/>
          <w:sz w:val="22"/>
          <w:szCs w:val="22"/>
          <w:bdr w:val="none" w:sz="0" w:space="0" w:color="auto" w:frame="1"/>
          <w:lang w:val="en-GB"/>
        </w:rPr>
        <w:lastRenderedPageBreak/>
        <w:t>However,</w:t>
      </w:r>
      <w:r w:rsidRPr="001E3F41">
        <w:rPr>
          <w:color w:val="262626"/>
          <w:sz w:val="22"/>
          <w:szCs w:val="22"/>
          <w:bdr w:val="none" w:sz="0" w:space="0" w:color="auto" w:frame="1"/>
          <w:lang w:val="en-GB"/>
        </w:rPr>
        <w:t xml:space="preserve"> de Wilde </w:t>
      </w:r>
      <w:r>
        <w:rPr>
          <w:color w:val="262626"/>
          <w:sz w:val="22"/>
          <w:szCs w:val="22"/>
          <w:bdr w:val="none" w:sz="0" w:space="0" w:color="auto" w:frame="1"/>
          <w:lang w:val="en-GB"/>
        </w:rPr>
        <w:t>identified several</w:t>
      </w:r>
      <w:r w:rsidRPr="001E3F41">
        <w:rPr>
          <w:color w:val="262626"/>
          <w:sz w:val="22"/>
          <w:szCs w:val="22"/>
          <w:bdr w:val="none" w:sz="0" w:space="0" w:color="auto" w:frame="1"/>
          <w:lang w:val="en-GB"/>
        </w:rPr>
        <w:t xml:space="preserve"> dilemmas</w:t>
      </w:r>
      <w:r>
        <w:rPr>
          <w:color w:val="262626"/>
          <w:sz w:val="22"/>
          <w:szCs w:val="22"/>
          <w:bdr w:val="none" w:sz="0" w:space="0" w:color="auto" w:frame="1"/>
          <w:lang w:val="en-GB"/>
        </w:rPr>
        <w:t xml:space="preserve"> she needed to resolve</w:t>
      </w:r>
      <w:r w:rsidRPr="001E3F41">
        <w:rPr>
          <w:color w:val="262626"/>
          <w:sz w:val="22"/>
          <w:szCs w:val="22"/>
          <w:bdr w:val="none" w:sz="0" w:space="0" w:color="auto" w:frame="1"/>
          <w:lang w:val="en-GB"/>
        </w:rPr>
        <w:t>:</w:t>
      </w:r>
    </w:p>
    <w:p w:rsidR="009B7A3A" w:rsidRPr="001E3F41" w:rsidRDefault="009B7A3A" w:rsidP="009B7A3A">
      <w:pPr>
        <w:jc w:val="both"/>
        <w:textAlignment w:val="baseline"/>
        <w:rPr>
          <w:color w:val="262626"/>
          <w:sz w:val="22"/>
          <w:szCs w:val="22"/>
          <w:bdr w:val="none" w:sz="0" w:space="0" w:color="auto" w:frame="1"/>
          <w:lang w:val="en-GB"/>
        </w:rPr>
      </w:pPr>
    </w:p>
    <w:p w:rsidR="009B7A3A" w:rsidRPr="001E3F41" w:rsidRDefault="009B7A3A" w:rsidP="009B7A3A">
      <w:pPr>
        <w:ind w:left="720"/>
        <w:jc w:val="both"/>
        <w:textAlignment w:val="baseline"/>
        <w:rPr>
          <w:color w:val="262626"/>
          <w:sz w:val="22"/>
          <w:szCs w:val="22"/>
          <w:bdr w:val="none" w:sz="0" w:space="0" w:color="auto" w:frame="1"/>
          <w:lang w:val="en-GB"/>
        </w:rPr>
      </w:pPr>
      <w:r w:rsidRPr="001E3F41">
        <w:rPr>
          <w:color w:val="262626"/>
          <w:sz w:val="22"/>
          <w:szCs w:val="22"/>
          <w:bdr w:val="none" w:sz="0" w:space="0" w:color="auto" w:frame="1"/>
          <w:lang w:val="en-GB"/>
        </w:rPr>
        <w:t>There are three dilemmas here. First, how do we ensure the integrity of each course credit? The person signing up for the course in a faraway location should indeed be the one getting the credit and the diploma and not somebody who might be standing-in. It is a big issue. Second, how do we align with the strategic partners we must choose in foreign markets? They need to have boots on the ground and give us scale. Third, how do we reinvent the back end of our operations? They should ensure that we provide the right services to our partners and the right offerings and service to international students.</w:t>
      </w:r>
    </w:p>
    <w:p w:rsidR="009B7A3A" w:rsidRDefault="009B7A3A" w:rsidP="009B7A3A">
      <w:pPr>
        <w:jc w:val="both"/>
        <w:textAlignment w:val="baseline"/>
        <w:rPr>
          <w:color w:val="262626"/>
          <w:sz w:val="22"/>
          <w:szCs w:val="22"/>
          <w:bdr w:val="none" w:sz="0" w:space="0" w:color="auto" w:frame="1"/>
          <w:lang w:val="en-GB"/>
        </w:rPr>
      </w:pPr>
    </w:p>
    <w:p w:rsidR="009B7A3A" w:rsidRPr="001E3F41" w:rsidRDefault="009B7A3A" w:rsidP="009B7A3A">
      <w:pPr>
        <w:jc w:val="both"/>
        <w:textAlignment w:val="baseline"/>
        <w:rPr>
          <w:color w:val="262626"/>
          <w:sz w:val="22"/>
          <w:szCs w:val="22"/>
          <w:bdr w:val="none" w:sz="0" w:space="0" w:color="auto" w:frame="1"/>
          <w:lang w:val="en-GB"/>
        </w:rPr>
      </w:pPr>
      <w:r w:rsidRPr="001E3F41">
        <w:rPr>
          <w:color w:val="262626"/>
          <w:sz w:val="22"/>
          <w:szCs w:val="22"/>
          <w:bdr w:val="none" w:sz="0" w:space="0" w:color="auto" w:frame="1"/>
          <w:lang w:val="en-GB"/>
        </w:rPr>
        <w:t xml:space="preserve">Partnerships were one way of getting around the issue, as de Wilde saw it. TVO had begun talks with the London Language Institute, a Canadian organization involved in preparing overseas students for post-secondary studies in Canada. </w:t>
      </w:r>
      <w:r>
        <w:rPr>
          <w:color w:val="262626"/>
          <w:sz w:val="22"/>
          <w:szCs w:val="22"/>
          <w:bdr w:val="none" w:sz="0" w:space="0" w:color="auto" w:frame="1"/>
          <w:lang w:val="en-GB"/>
        </w:rPr>
        <w:t xml:space="preserve">The </w:t>
      </w:r>
      <w:r w:rsidRPr="001E3F41">
        <w:rPr>
          <w:color w:val="262626"/>
          <w:sz w:val="22"/>
          <w:szCs w:val="22"/>
          <w:bdr w:val="none" w:sz="0" w:space="0" w:color="auto" w:frame="1"/>
          <w:lang w:val="en-GB"/>
        </w:rPr>
        <w:t>L</w:t>
      </w:r>
      <w:r>
        <w:rPr>
          <w:color w:val="262626"/>
          <w:sz w:val="22"/>
          <w:szCs w:val="22"/>
          <w:bdr w:val="none" w:sz="0" w:space="0" w:color="auto" w:frame="1"/>
          <w:lang w:val="en-GB"/>
        </w:rPr>
        <w:t xml:space="preserve">ondon </w:t>
      </w:r>
      <w:r w:rsidRPr="001E3F41">
        <w:rPr>
          <w:color w:val="262626"/>
          <w:sz w:val="22"/>
          <w:szCs w:val="22"/>
          <w:bdr w:val="none" w:sz="0" w:space="0" w:color="auto" w:frame="1"/>
          <w:lang w:val="en-GB"/>
        </w:rPr>
        <w:t>L</w:t>
      </w:r>
      <w:r>
        <w:rPr>
          <w:color w:val="262626"/>
          <w:sz w:val="22"/>
          <w:szCs w:val="22"/>
          <w:bdr w:val="none" w:sz="0" w:space="0" w:color="auto" w:frame="1"/>
          <w:lang w:val="en-GB"/>
        </w:rPr>
        <w:t xml:space="preserve">anguage </w:t>
      </w:r>
      <w:r w:rsidRPr="001E3F41">
        <w:rPr>
          <w:color w:val="262626"/>
          <w:sz w:val="22"/>
          <w:szCs w:val="22"/>
          <w:bdr w:val="none" w:sz="0" w:space="0" w:color="auto" w:frame="1"/>
          <w:lang w:val="en-GB"/>
        </w:rPr>
        <w:t>I</w:t>
      </w:r>
      <w:r>
        <w:rPr>
          <w:color w:val="262626"/>
          <w:sz w:val="22"/>
          <w:szCs w:val="22"/>
          <w:bdr w:val="none" w:sz="0" w:space="0" w:color="auto" w:frame="1"/>
          <w:lang w:val="en-GB"/>
        </w:rPr>
        <w:t>nstitute</w:t>
      </w:r>
      <w:r w:rsidRPr="001E3F41">
        <w:rPr>
          <w:color w:val="262626"/>
          <w:sz w:val="22"/>
          <w:szCs w:val="22"/>
          <w:bdr w:val="none" w:sz="0" w:space="0" w:color="auto" w:frame="1"/>
          <w:lang w:val="en-GB"/>
        </w:rPr>
        <w:t xml:space="preserve"> </w:t>
      </w:r>
      <w:r>
        <w:rPr>
          <w:color w:val="262626"/>
          <w:sz w:val="22"/>
          <w:szCs w:val="22"/>
          <w:bdr w:val="none" w:sz="0" w:space="0" w:color="auto" w:frame="1"/>
          <w:lang w:val="en-GB"/>
        </w:rPr>
        <w:t>was already present</w:t>
      </w:r>
      <w:r w:rsidRPr="001E3F41">
        <w:rPr>
          <w:color w:val="262626"/>
          <w:sz w:val="22"/>
          <w:szCs w:val="22"/>
          <w:bdr w:val="none" w:sz="0" w:space="0" w:color="auto" w:frame="1"/>
          <w:lang w:val="en-GB"/>
        </w:rPr>
        <w:t xml:space="preserve"> in countries like Brazil and China</w:t>
      </w:r>
      <w:r>
        <w:rPr>
          <w:color w:val="262626"/>
          <w:sz w:val="22"/>
          <w:szCs w:val="22"/>
          <w:bdr w:val="none" w:sz="0" w:space="0" w:color="auto" w:frame="1"/>
          <w:lang w:val="en-GB"/>
        </w:rPr>
        <w:t>,</w:t>
      </w:r>
      <w:r w:rsidRPr="001E3F41">
        <w:rPr>
          <w:color w:val="262626"/>
          <w:sz w:val="22"/>
          <w:szCs w:val="22"/>
          <w:bdr w:val="none" w:sz="0" w:space="0" w:color="auto" w:frame="1"/>
          <w:lang w:val="en-GB"/>
        </w:rPr>
        <w:t xml:space="preserve"> and </w:t>
      </w:r>
      <w:r>
        <w:rPr>
          <w:color w:val="262626"/>
          <w:sz w:val="22"/>
          <w:szCs w:val="22"/>
          <w:bdr w:val="none" w:sz="0" w:space="0" w:color="auto" w:frame="1"/>
          <w:lang w:val="en-GB"/>
        </w:rPr>
        <w:t xml:space="preserve">could </w:t>
      </w:r>
      <w:r w:rsidRPr="001E3F41">
        <w:rPr>
          <w:color w:val="262626"/>
          <w:sz w:val="22"/>
          <w:szCs w:val="22"/>
          <w:bdr w:val="none" w:sz="0" w:space="0" w:color="auto" w:frame="1"/>
          <w:lang w:val="en-GB"/>
        </w:rPr>
        <w:t xml:space="preserve">therefore be involved in getting students aboard. Ramping up </w:t>
      </w:r>
      <w:r>
        <w:rPr>
          <w:color w:val="262626"/>
          <w:sz w:val="22"/>
          <w:szCs w:val="22"/>
          <w:bdr w:val="none" w:sz="0" w:space="0" w:color="auto" w:frame="1"/>
          <w:lang w:val="en-GB"/>
        </w:rPr>
        <w:t xml:space="preserve">the program </w:t>
      </w:r>
      <w:r w:rsidRPr="001E3F41">
        <w:rPr>
          <w:color w:val="262626"/>
          <w:sz w:val="22"/>
          <w:szCs w:val="22"/>
          <w:bdr w:val="none" w:sz="0" w:space="0" w:color="auto" w:frame="1"/>
          <w:lang w:val="en-GB"/>
        </w:rPr>
        <w:t>would be easier and faster with partnerships. TVO was also in talks with Stratagem Learning International, a Ghana</w:t>
      </w:r>
      <w:r>
        <w:rPr>
          <w:color w:val="262626"/>
          <w:sz w:val="22"/>
          <w:szCs w:val="22"/>
          <w:bdr w:val="none" w:sz="0" w:space="0" w:color="auto" w:frame="1"/>
          <w:lang w:val="en-GB"/>
        </w:rPr>
        <w:t>-</w:t>
      </w:r>
      <w:r w:rsidRPr="001E3F41">
        <w:rPr>
          <w:color w:val="262626"/>
          <w:sz w:val="22"/>
          <w:szCs w:val="22"/>
          <w:bdr w:val="none" w:sz="0" w:space="0" w:color="auto" w:frame="1"/>
          <w:lang w:val="en-GB"/>
        </w:rPr>
        <w:t>based organization specializing in providing Canadian high school education programs to Ghanaian students. TVO was in a position to provide scale to the operations of its educational partners</w:t>
      </w:r>
      <w:r>
        <w:rPr>
          <w:color w:val="262626"/>
          <w:sz w:val="22"/>
          <w:szCs w:val="22"/>
          <w:bdr w:val="none" w:sz="0" w:space="0" w:color="auto" w:frame="1"/>
          <w:lang w:val="en-GB"/>
        </w:rPr>
        <w:t>,</w:t>
      </w:r>
      <w:r w:rsidRPr="001E3F41">
        <w:rPr>
          <w:color w:val="262626"/>
          <w:sz w:val="22"/>
          <w:szCs w:val="22"/>
          <w:bdr w:val="none" w:sz="0" w:space="0" w:color="auto" w:frame="1"/>
          <w:lang w:val="en-GB"/>
        </w:rPr>
        <w:t xml:space="preserve"> while enhancing its own revenues.</w:t>
      </w:r>
    </w:p>
    <w:p w:rsidR="009B7A3A" w:rsidRPr="001E3F41" w:rsidRDefault="009B7A3A" w:rsidP="009B7A3A">
      <w:pPr>
        <w:jc w:val="both"/>
        <w:textAlignment w:val="baseline"/>
        <w:rPr>
          <w:color w:val="262626"/>
          <w:sz w:val="22"/>
          <w:szCs w:val="22"/>
          <w:bdr w:val="none" w:sz="0" w:space="0" w:color="auto" w:frame="1"/>
          <w:lang w:val="en-GB"/>
        </w:rPr>
      </w:pPr>
    </w:p>
    <w:p w:rsidR="009B7A3A" w:rsidRDefault="003720E4" w:rsidP="009B7A3A">
      <w:pPr>
        <w:jc w:val="both"/>
        <w:textAlignment w:val="baseline"/>
        <w:rPr>
          <w:color w:val="262626"/>
          <w:sz w:val="22"/>
          <w:szCs w:val="22"/>
          <w:bdr w:val="none" w:sz="0" w:space="0" w:color="auto" w:frame="1"/>
          <w:lang w:val="en-GB"/>
        </w:rPr>
      </w:pPr>
      <w:r>
        <w:rPr>
          <w:noProof/>
          <w:lang w:val="en-GB" w:eastAsia="en-GB"/>
        </w:rPr>
        <mc:AlternateContent>
          <mc:Choice Requires="wps">
            <w:drawing>
              <wp:anchor distT="0" distB="0" distL="114300" distR="114300" simplePos="0" relativeHeight="251662336" behindDoc="0" locked="0" layoutInCell="1" allowOverlap="1" wp14:anchorId="26E1B0E3" wp14:editId="3B4BB7D3">
                <wp:simplePos x="0" y="0"/>
                <wp:positionH relativeFrom="margin">
                  <wp:posOffset>175895</wp:posOffset>
                </wp:positionH>
                <wp:positionV relativeFrom="paragraph">
                  <wp:posOffset>71120</wp:posOffset>
                </wp:positionV>
                <wp:extent cx="5600700" cy="403860"/>
                <wp:effectExtent l="0" t="0" r="19050" b="1524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4038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720E4" w:rsidRPr="0099083B" w:rsidRDefault="003720E4" w:rsidP="003720E4">
                            <w:pPr>
                              <w:rPr>
                                <w:rFonts w:ascii="Arial" w:hAnsi="Arial"/>
                                <w:sz w:val="18"/>
                                <w:szCs w:val="18"/>
                              </w:rPr>
                            </w:pPr>
                            <w:bookmarkStart w:id="0" w:name="_GoBack"/>
                            <w:r w:rsidRPr="0099083B">
                              <w:rPr>
                                <w:rFonts w:ascii="Arial" w:hAnsi="Arial"/>
                                <w:sz w:val="18"/>
                                <w:szCs w:val="18"/>
                              </w:rPr>
                              <w:t xml:space="preserve">The Ivey Business School and the Ian O. </w:t>
                            </w:r>
                            <w:proofErr w:type="spellStart"/>
                            <w:r w:rsidRPr="0099083B">
                              <w:rPr>
                                <w:rFonts w:ascii="Arial" w:hAnsi="Arial"/>
                                <w:sz w:val="18"/>
                                <w:szCs w:val="18"/>
                              </w:rPr>
                              <w:t>Ihnatowycz</w:t>
                            </w:r>
                            <w:proofErr w:type="spellEnd"/>
                            <w:r w:rsidRPr="0099083B">
                              <w:rPr>
                                <w:rFonts w:ascii="Arial" w:hAnsi="Arial"/>
                                <w:sz w:val="18"/>
                                <w:szCs w:val="18"/>
                              </w:rPr>
                              <w:t xml:space="preserve"> Institute for Leadership gratefully acknowledges the generous support of Bill and Kathleen </w:t>
                            </w:r>
                            <w:proofErr w:type="spellStart"/>
                            <w:r w:rsidRPr="0099083B">
                              <w:rPr>
                                <w:rFonts w:ascii="Arial" w:hAnsi="Arial"/>
                                <w:sz w:val="18"/>
                                <w:szCs w:val="18"/>
                              </w:rPr>
                              <w:t>Troost</w:t>
                            </w:r>
                            <w:proofErr w:type="spellEnd"/>
                            <w:r w:rsidRPr="0099083B">
                              <w:rPr>
                                <w:rFonts w:ascii="Arial" w:hAnsi="Arial"/>
                                <w:sz w:val="18"/>
                                <w:szCs w:val="18"/>
                              </w:rPr>
                              <w:t xml:space="preserve"> in the development of this case.</w:t>
                            </w:r>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3.85pt;margin-top:5.6pt;width:441pt;height:31.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4ghAIAABYFAAAOAAAAZHJzL2Uyb0RvYy54bWysVF1v2yAUfZ+0/4B4T22nTppYdaouTqZJ&#10;3YfU7gcQwDEaBgYkdlftv++CkyxZX6ZpfsDAvRzuufdcbu/6VqI9t05oVeLsKsWIK6qZUNsSf31a&#10;j2YYOU8UI1IrXuJn7vDd4u2b284UfKwbLRm3CECUKzpT4sZ7UySJow1vibvShisw1tq2xMPSbhNm&#10;SQforUzGaTpNOm2ZsZpy52C3Gox4EfHrmlP/ua4d90iWGGLzcbRx3IQxWdySYmuJaQQ9hEH+IYqW&#10;CAWXnqAq4gnaWfEKqhXUaqdrf0V1m+i6FpRHDsAmS/9g89gQwyMXSI4zpzS5/wdLP+2/WCRYiXOM&#10;FGmhRE+89+id7tEkZKczrgCnRwNuvodtqHJk6syDpt8cUnrZELXl99bqruGEQXRZOJmcHR1wXADZ&#10;dB81g2vIzusI1Ne2DamDZCBAhyo9nyoTQqGwOZmm6U0KJgq2PL2eTWPpElIcTxvr/HuuWxQmJbZQ&#10;+YhO9g/Oh2hIcXQJlym9FlLG6kuFuhLPJ+PJwEtLwYIxuDm73SylRXsS9BO/SA0s526t8KBiKdoS&#10;z05OpAjZWCkWb/FEyGEOkUgVwIEcxHaYDWp5mafz1Ww1y0f5eLoa5WlVje7Xy3w0XWc3k+q6Wi6r&#10;7GeIM8uLRjDGVQj1qNws/ztlHHpo0NxJuxeULpiv4/eaeXIZRswysDr+I7sog1D5QQO+3/RRb+Oj&#10;ujaaPYMurB6aEx4TmDTa/sCog8Yssfu+I5ZjJD8o0NY8y/PQyXGRT27GsLDnls25hSgKUCX2GA3T&#10;pR+6f2es2DZw06Bmpe9Bj7WIUgnCHaI6qBiaL3I6PBShu8/X0ev3c7b4BQAA//8DAFBLAwQUAAYA&#10;CAAAACEALPA2ENwAAAAIAQAADwAAAGRycy9kb3ducmV2LnhtbEyPQU/DMAyF70j8h8hI3Fi6DtG1&#10;NJ0QgzuUAde08dqKxKmabCv8esxpHP3e8/PncjM7K444hcGTguUiAYHUejNQp2D39nyzBhGiJqOt&#10;J1TwjQE21eVFqQvjT/SKxzp2gksoFFpBH+NYSBnaHp0OCz8isbf3k9ORx6mTZtInLndWpklyJ50e&#10;iC/0esTHHtuv+uAYI/3crbYvNWaZblbbp5/3fP9hlbq+mh/uQUSc4zkMf/i8AxUzNf5AJgirIM0y&#10;TrK+TEGwnyc5C42C7HYNsirl/weqXwAAAP//AwBQSwECLQAUAAYACAAAACEAtoM4kv4AAADhAQAA&#10;EwAAAAAAAAAAAAAAAAAAAAAAW0NvbnRlbnRfVHlwZXNdLnhtbFBLAQItABQABgAIAAAAIQA4/SH/&#10;1gAAAJQBAAALAAAAAAAAAAAAAAAAAC8BAABfcmVscy8ucmVsc1BLAQItABQABgAIAAAAIQBjC/4g&#10;hAIAABYFAAAOAAAAAAAAAAAAAAAAAC4CAABkcnMvZTJvRG9jLnhtbFBLAQItABQABgAIAAAAIQAs&#10;8DYQ3AAAAAgBAAAPAAAAAAAAAAAAAAAAAN4EAABkcnMvZG93bnJldi54bWxQSwUGAAAAAAQABADz&#10;AAAA5wUAAAAA&#10;" filled="f">
                <v:textbox>
                  <w:txbxContent>
                    <w:p w:rsidR="003720E4" w:rsidRPr="0099083B" w:rsidRDefault="003720E4" w:rsidP="003720E4">
                      <w:pPr>
                        <w:rPr>
                          <w:rFonts w:ascii="Arial" w:hAnsi="Arial"/>
                          <w:sz w:val="18"/>
                          <w:szCs w:val="18"/>
                        </w:rPr>
                      </w:pPr>
                      <w:bookmarkStart w:id="1" w:name="_GoBack"/>
                      <w:r w:rsidRPr="0099083B">
                        <w:rPr>
                          <w:rFonts w:ascii="Arial" w:hAnsi="Arial"/>
                          <w:sz w:val="18"/>
                          <w:szCs w:val="18"/>
                        </w:rPr>
                        <w:t xml:space="preserve">The Ivey Business School and the Ian O. </w:t>
                      </w:r>
                      <w:proofErr w:type="spellStart"/>
                      <w:r w:rsidRPr="0099083B">
                        <w:rPr>
                          <w:rFonts w:ascii="Arial" w:hAnsi="Arial"/>
                          <w:sz w:val="18"/>
                          <w:szCs w:val="18"/>
                        </w:rPr>
                        <w:t>Ihnatowycz</w:t>
                      </w:r>
                      <w:proofErr w:type="spellEnd"/>
                      <w:r w:rsidRPr="0099083B">
                        <w:rPr>
                          <w:rFonts w:ascii="Arial" w:hAnsi="Arial"/>
                          <w:sz w:val="18"/>
                          <w:szCs w:val="18"/>
                        </w:rPr>
                        <w:t xml:space="preserve"> Institute for Leadership gratefully acknowledges the generous support of Bill and Kathleen </w:t>
                      </w:r>
                      <w:proofErr w:type="spellStart"/>
                      <w:r w:rsidRPr="0099083B">
                        <w:rPr>
                          <w:rFonts w:ascii="Arial" w:hAnsi="Arial"/>
                          <w:sz w:val="18"/>
                          <w:szCs w:val="18"/>
                        </w:rPr>
                        <w:t>Troost</w:t>
                      </w:r>
                      <w:proofErr w:type="spellEnd"/>
                      <w:r w:rsidRPr="0099083B">
                        <w:rPr>
                          <w:rFonts w:ascii="Arial" w:hAnsi="Arial"/>
                          <w:sz w:val="18"/>
                          <w:szCs w:val="18"/>
                        </w:rPr>
                        <w:t xml:space="preserve"> in the development of this case.</w:t>
                      </w:r>
                      <w:bookmarkEnd w:id="1"/>
                    </w:p>
                  </w:txbxContent>
                </v:textbox>
                <w10:wrap anchorx="margin"/>
              </v:shape>
            </w:pict>
          </mc:Fallback>
        </mc:AlternateContent>
      </w:r>
    </w:p>
    <w:p w:rsidR="003720E4" w:rsidRDefault="003720E4" w:rsidP="009B7A3A">
      <w:pPr>
        <w:jc w:val="both"/>
        <w:textAlignment w:val="baseline"/>
        <w:rPr>
          <w:color w:val="262626"/>
          <w:sz w:val="22"/>
          <w:szCs w:val="22"/>
          <w:bdr w:val="none" w:sz="0" w:space="0" w:color="auto" w:frame="1"/>
          <w:lang w:val="en-GB"/>
        </w:rPr>
      </w:pPr>
    </w:p>
    <w:p w:rsidR="003720E4" w:rsidRDefault="003720E4" w:rsidP="009B7A3A">
      <w:pPr>
        <w:jc w:val="both"/>
        <w:textAlignment w:val="baseline"/>
        <w:rPr>
          <w:color w:val="262626"/>
          <w:sz w:val="22"/>
          <w:szCs w:val="22"/>
          <w:bdr w:val="none" w:sz="0" w:space="0" w:color="auto" w:frame="1"/>
          <w:lang w:val="en-GB"/>
        </w:rPr>
      </w:pPr>
    </w:p>
    <w:p w:rsidR="003720E4" w:rsidRDefault="003720E4" w:rsidP="009B7A3A">
      <w:pPr>
        <w:jc w:val="both"/>
        <w:textAlignment w:val="baseline"/>
        <w:rPr>
          <w:color w:val="262626"/>
          <w:sz w:val="22"/>
          <w:szCs w:val="22"/>
          <w:bdr w:val="none" w:sz="0" w:space="0" w:color="auto" w:frame="1"/>
          <w:lang w:val="en-GB"/>
        </w:rPr>
      </w:pPr>
    </w:p>
    <w:p w:rsidR="003720E4" w:rsidRDefault="003720E4" w:rsidP="009B7A3A">
      <w:pPr>
        <w:jc w:val="both"/>
        <w:textAlignment w:val="baseline"/>
        <w:rPr>
          <w:color w:val="262626"/>
          <w:sz w:val="22"/>
          <w:szCs w:val="22"/>
          <w:bdr w:val="none" w:sz="0" w:space="0" w:color="auto" w:frame="1"/>
          <w:lang w:val="en-GB"/>
        </w:rPr>
      </w:pPr>
    </w:p>
    <w:p w:rsidR="003720E4" w:rsidRPr="001E3F41" w:rsidRDefault="003720E4" w:rsidP="009B7A3A">
      <w:pPr>
        <w:jc w:val="both"/>
        <w:textAlignment w:val="baseline"/>
        <w:rPr>
          <w:color w:val="262626"/>
          <w:sz w:val="22"/>
          <w:szCs w:val="22"/>
          <w:bdr w:val="none" w:sz="0" w:space="0" w:color="auto" w:frame="1"/>
          <w:lang w:val="en-GB"/>
        </w:rPr>
      </w:pPr>
    </w:p>
    <w:p w:rsidR="009B7A3A" w:rsidRPr="001E3F41" w:rsidRDefault="009B7A3A" w:rsidP="009B7A3A">
      <w:pPr>
        <w:pStyle w:val="Casehead1"/>
        <w:jc w:val="center"/>
        <w:rPr>
          <w:lang w:val="en-GB"/>
        </w:rPr>
      </w:pPr>
      <w:r w:rsidRPr="001E3F41">
        <w:rPr>
          <w:lang w:val="en-GB"/>
        </w:rPr>
        <w:br w:type="page"/>
      </w:r>
      <w:r w:rsidRPr="001E3F41">
        <w:rPr>
          <w:lang w:val="en-GB"/>
        </w:rPr>
        <w:lastRenderedPageBreak/>
        <w:t>Exhibit 1: INDEPENDENT LEARNING CENTrE</w:t>
      </w:r>
    </w:p>
    <w:p w:rsidR="009B7A3A" w:rsidRPr="001E3F41" w:rsidRDefault="009B7A3A" w:rsidP="009B7A3A">
      <w:pPr>
        <w:pStyle w:val="BodyTextMain"/>
        <w:rPr>
          <w:lang w:val="en-GB"/>
        </w:rPr>
      </w:pPr>
    </w:p>
    <w:p w:rsidR="009B7A3A" w:rsidRDefault="00841CE3" w:rsidP="00841CE3">
      <w:pPr>
        <w:pStyle w:val="BodyTextMain"/>
        <w:jc w:val="center"/>
        <w:rPr>
          <w:lang w:val="en-GB"/>
        </w:rPr>
      </w:pPr>
      <w:r w:rsidRPr="001E3F41">
        <w:rPr>
          <w:lang w:val="en-GB"/>
        </w:rPr>
        <w:object w:dxaOrig="10125" w:dyaOrig="7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2pt;height:375.2pt" o:ole="">
            <v:imagedata r:id="rId11" o:title="" gain="109227f" blacklevel="-6554f" grayscale="t"/>
          </v:shape>
          <o:OLEObject Type="Embed" ProgID="PBrush" ShapeID="_x0000_i1025" DrawAspect="Content" ObjectID="_1604295399" r:id="rId12"/>
        </w:object>
      </w:r>
    </w:p>
    <w:p w:rsidR="009B7A3A" w:rsidRDefault="009B7A3A" w:rsidP="009B7A3A">
      <w:pPr>
        <w:pStyle w:val="FootnoteText1"/>
        <w:rPr>
          <w:lang w:val="en-GB"/>
        </w:rPr>
      </w:pPr>
      <w:r>
        <w:rPr>
          <w:lang w:val="en-GB"/>
        </w:rPr>
        <w:t>Note: ILC = Independent Learning Centre; ON = Ontario; HH = Homework Help; ICT = i</w:t>
      </w:r>
      <w:r w:rsidRPr="003E3CE1">
        <w:rPr>
          <w:lang w:val="en-GB"/>
        </w:rPr>
        <w:t>nformation and communications technology</w:t>
      </w:r>
      <w:r>
        <w:rPr>
          <w:lang w:val="en-GB"/>
        </w:rPr>
        <w:t xml:space="preserve">; </w:t>
      </w:r>
      <w:proofErr w:type="spellStart"/>
      <w:r>
        <w:rPr>
          <w:lang w:val="en-GB"/>
        </w:rPr>
        <w:t>Gvt</w:t>
      </w:r>
      <w:proofErr w:type="spellEnd"/>
      <w:r>
        <w:rPr>
          <w:lang w:val="en-GB"/>
        </w:rPr>
        <w:t xml:space="preserve"> = government; Post-sec = post-secondary institutions; Word wide = world-wide</w:t>
      </w:r>
    </w:p>
    <w:p w:rsidR="009B7A3A" w:rsidRDefault="009B7A3A" w:rsidP="009B7A3A">
      <w:pPr>
        <w:pStyle w:val="FootnoteText1"/>
        <w:rPr>
          <w:lang w:val="en-GB"/>
        </w:rPr>
      </w:pPr>
      <w:r w:rsidRPr="001E3F41">
        <w:rPr>
          <w:lang w:val="en-GB"/>
        </w:rPr>
        <w:t>Source: Company documents</w:t>
      </w:r>
      <w:r>
        <w:rPr>
          <w:lang w:val="en-GB"/>
        </w:rPr>
        <w:t>.</w:t>
      </w:r>
    </w:p>
    <w:p w:rsidR="009B7A3A" w:rsidRPr="001E3F41" w:rsidRDefault="009B7A3A" w:rsidP="009B7A3A">
      <w:pPr>
        <w:pStyle w:val="Casehead1"/>
        <w:jc w:val="center"/>
        <w:rPr>
          <w:lang w:val="en-GB"/>
        </w:rPr>
      </w:pPr>
      <w:r w:rsidRPr="001E3F41">
        <w:rPr>
          <w:i/>
          <w:lang w:val="en-GB"/>
        </w:rPr>
        <w:br w:type="page"/>
      </w:r>
      <w:r w:rsidRPr="001E3F41">
        <w:rPr>
          <w:lang w:val="en-GB"/>
        </w:rPr>
        <w:lastRenderedPageBreak/>
        <w:t>Exhibit 2: FUTURE DEMAND COURSES</w:t>
      </w:r>
    </w:p>
    <w:p w:rsidR="009B7A3A" w:rsidRPr="001E3F41" w:rsidRDefault="009B7A3A" w:rsidP="009B7A3A">
      <w:pPr>
        <w:pStyle w:val="BodyTextMain"/>
        <w:rPr>
          <w:lang w:val="en-GB"/>
        </w:rPr>
      </w:pPr>
    </w:p>
    <w:p w:rsidR="009B7A3A" w:rsidRPr="009B7A3A" w:rsidRDefault="009B7A3A" w:rsidP="009B7A3A">
      <w:pPr>
        <w:pStyle w:val="FootnoteText1"/>
        <w:jc w:val="center"/>
        <w:rPr>
          <w:rStyle w:val="BodyTextMainChar"/>
        </w:rPr>
      </w:pPr>
      <w:r>
        <w:rPr>
          <w:noProof/>
          <w:lang w:val="en-GB" w:eastAsia="en-GB"/>
        </w:rPr>
        <mc:AlternateContent>
          <mc:Choice Requires="wps">
            <w:drawing>
              <wp:anchor distT="0" distB="0" distL="114300" distR="114300" simplePos="0" relativeHeight="251660288" behindDoc="0" locked="0" layoutInCell="1" allowOverlap="1" wp14:anchorId="4A2A8F53" wp14:editId="5DC944A2">
                <wp:simplePos x="0" y="0"/>
                <wp:positionH relativeFrom="column">
                  <wp:posOffset>184150</wp:posOffset>
                </wp:positionH>
                <wp:positionV relativeFrom="paragraph">
                  <wp:posOffset>2945130</wp:posOffset>
                </wp:positionV>
                <wp:extent cx="2114550" cy="23368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233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7A3A" w:rsidRDefault="009B7A3A" w:rsidP="009B7A3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14.5pt;margin-top:231.9pt;width:166.5pt;height:18.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norggIAAA8FAAAOAAAAZHJzL2Uyb0RvYy54bWysVNuO2yAQfa/Uf0C8Z31ZJxtbcVZ7aapK&#10;24u02w8ggGNUDBRI7O2q/94BJ9l020pVVT9gYIbDzJwzLC6HTqIdt05oVePsLMWIK6qZUJsaf35Y&#10;TeYYOU8UI1IrXuNH7vDl8vWrRW8qnutWS8YtAhDlqt7UuPXeVEniaMs74s604QqMjbYd8bC0m4RZ&#10;0gN6J5M8TWdJry0zVlPuHOzejka8jPhNw6n/2DSOeyRrDLH5ONo4rsOYLBek2lhiWkH3YZB/iKIj&#10;QsGlR6hb4gnaWvELVCeo1U43/ozqLtFNIyiPOUA2Wfoim/uWGB5zgeI4cyyT+3+w9MPuk0WC1TjH&#10;SJEOKHrgg0fXekBFqE5vXAVO9wbc/ADbwHLM1Jk7Tb84pPRNS9SGX1mr+5YTBtFl4WRycnTEcQFk&#10;3b/XDK4hW68j0NDYLpQOioEAHVh6PDITQqGwmWdZMZ2CiYItPz+fzSN1CakOp411/i3XHQqTGltg&#10;PqKT3Z3zIRpSHVzCZU5LwVZCyriwm/WNtGhHQCWr+MUEXrhJFZyVDsdGxHEHgoQ7gi2EG1l/KrO8&#10;SK/zcrKazS8mxaqYTsqLdD5Js/K6nKVFWdyuvocAs6JqBWNc3QnFDwrMir9jeN8Lo3aiBlFf43Ka&#10;T0eK/phkGr/fJdkJDw0pRVfj+dGJVIHYN4pB2qTyRMhxnvwcfqwy1ODwj1WJMgjMjxrww3oAlKCN&#10;tWaPIAirgS+gFl4RmLTafsOoh46ssfu6JZZjJN8pEFWZFUVo4bgophc5LOypZX1qIYoCVI09RuP0&#10;xo9tvzVWbFq4aZSx0lcgxEZEjTxHtZcvdF1MZv9ChLY+XUev53ds+QMAAP//AwBQSwMEFAAGAAgA&#10;AAAhAAsSY4veAAAACgEAAA8AAABkcnMvZG93bnJldi54bWxMj0FPwkAQhe8m/ofNmHgxsrVAkdIt&#10;URONV5AfMG2HtqE723QXWv6940mO8+blvfdl28l26kKDbx0beJlFoIhLV7VcGzj8fD6/gvIBucLO&#10;MRm4kodtfn+XYVq5kXd02YdaSQj7FA00IfSp1r5syKKfuZ5Yfkc3WAxyDrWuBhwl3HY6jqJEW2xZ&#10;Ghrs6aOh8rQ/WwPH7/FpuR6Lr3BY7RbJO7arwl2NeXyY3jagAk3h3wx/82U65LKpcGeuvOoMxGtB&#10;CQYWyVwQxDBPYlEKA0vpBZ1n+hYh/wUAAP//AwBQSwECLQAUAAYACAAAACEAtoM4kv4AAADhAQAA&#10;EwAAAAAAAAAAAAAAAAAAAAAAW0NvbnRlbnRfVHlwZXNdLnhtbFBLAQItABQABgAIAAAAIQA4/SH/&#10;1gAAAJQBAAALAAAAAAAAAAAAAAAAAC8BAABfcmVscy8ucmVsc1BLAQItABQABgAIAAAAIQCDfnor&#10;ggIAAA8FAAAOAAAAAAAAAAAAAAAAAC4CAABkcnMvZTJvRG9jLnhtbFBLAQItABQABgAIAAAAIQAL&#10;EmOL3gAAAAoBAAAPAAAAAAAAAAAAAAAAANwEAABkcnMvZG93bnJldi54bWxQSwUGAAAAAAQABADz&#10;AAAA5wUAAAAA&#10;" stroked="f">
                <v:textbox>
                  <w:txbxContent>
                    <w:p w:rsidR="009B7A3A" w:rsidRDefault="009B7A3A" w:rsidP="009B7A3A"/>
                  </w:txbxContent>
                </v:textbox>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6788300D" wp14:editId="6EA850A4">
                <wp:simplePos x="0" y="0"/>
                <wp:positionH relativeFrom="column">
                  <wp:posOffset>2813050</wp:posOffset>
                </wp:positionH>
                <wp:positionV relativeFrom="paragraph">
                  <wp:posOffset>3846830</wp:posOffset>
                </wp:positionV>
                <wp:extent cx="3144520" cy="162560"/>
                <wp:effectExtent l="0" t="0" r="0" b="889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4520" cy="162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7A3A" w:rsidRDefault="009B7A3A" w:rsidP="009B7A3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221.5pt;margin-top:302.9pt;width:247.6pt;height:1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4MUhAIAABYFAAAOAAAAZHJzL2Uyb0RvYy54bWysVNuO2yAQfa/Uf0C8Z31ZJxtbcVZ7aapK&#10;24u02w8ggGNUDBRI7O2q/94BJ9l020pVVT9gYIbDzJwzLC6HTqIdt05oVePsLMWIK6qZUJsaf35Y&#10;TeYYOU8UI1IrXuNH7vDl8vWrRW8qnutWS8YtAhDlqt7UuPXeVEniaMs74s604QqMjbYd8bC0m4RZ&#10;0gN6J5M8TWdJry0zVlPuHOzejka8jPhNw6n/2DSOeyRrDLH5ONo4rsOYLBek2lhiWkH3YZB/iKIj&#10;QsGlR6hb4gnaWvELVCeo1U43/ozqLtFNIyiPOUA2Wfoim/uWGB5zgeI4cyyT+3+w9MPuk0WC1fgc&#10;I0U6oOiBDx5d6wHloTq9cRU43Rtw8wNsA8sxU2fuNP3ikNI3LVEbfmWt7ltOGESXhZPJydERxwWQ&#10;df9eM7iGbL2OQENju1A6KAYCdGDp8chMCIXC5nlWFNMcTBRs2SyfziJ1CakOp411/i3XHQqTGltg&#10;PqKT3Z3zIRpSHVzCZU5LwVZCyriwm/WNtGhHQCWr+MUEXrhJFZyVDsdGxHEHgoQ7gi2EG1l/KrO8&#10;SK/zcrKazS8mxaqYTsqLdD5Js/K6nKVFWdyuvocAs6JqBWNc3QnFDwrMir9jeN8Lo3aiBlFf43Ka&#10;T0eK/phkGr/fJdkJDw0pRVfj+dGJVIHYN4pB2qTyRMhxnvwcfqwy1ODwj1WJMgjMjxrww3qIeosa&#10;CRJZa/YIurAaaAOG4TGBSavtN4x6aMwau69bYjlG8p0CbZUghdDJcVFML4Iq7KllfWohigJUjT1G&#10;4/TGj92/NVZsWrhpVLPSV6DHRkSpPEe1VzE0X8xp/1CE7j5dR6/n52z5AwAA//8DAFBLAwQUAAYA&#10;CAAAACEApnRrruAAAAALAQAADwAAAGRycy9kb3ducmV2LnhtbEyPwW7CMAyG75P2DpGRdplGCi0F&#10;uqZom7RpVxgP4DamrWiSqgm0vP280zja/vX7+/LdZDpxpcG3zipYzCMQZCunW1srOP58vmxA+IBW&#10;Y+csKbiRh13x+JBjpt1o93Q9hFpwifUZKmhC6DMpfdWQQT93PVm+ndxgMPA41FIPOHK56eQyilJp&#10;sLX8ocGePhqqzoeLUXD6Hp9X27H8Csf1PknfsV2X7qbU02x6ewURaAr/YfjDZ3QomKl0F6u96BQk&#10;ScwuQUEardiBE9t4swRR8iZeJCCLXN47FL8AAAD//wMAUEsBAi0AFAAGAAgAAAAhALaDOJL+AAAA&#10;4QEAABMAAAAAAAAAAAAAAAAAAAAAAFtDb250ZW50X1R5cGVzXS54bWxQSwECLQAUAAYACAAAACEA&#10;OP0h/9YAAACUAQAACwAAAAAAAAAAAAAAAAAvAQAAX3JlbHMvLnJlbHNQSwECLQAUAAYACAAAACEA&#10;dpeDFIQCAAAWBQAADgAAAAAAAAAAAAAAAAAuAgAAZHJzL2Uyb0RvYy54bWxQSwECLQAUAAYACAAA&#10;ACEApnRrruAAAAALAQAADwAAAAAAAAAAAAAAAADeBAAAZHJzL2Rvd25yZXYueG1sUEsFBgAAAAAE&#10;AAQA8wAAAOsFAAAAAA==&#10;" stroked="f">
                <v:textbox>
                  <w:txbxContent>
                    <w:p w:rsidR="009B7A3A" w:rsidRDefault="009B7A3A" w:rsidP="009B7A3A"/>
                  </w:txbxContent>
                </v:textbox>
              </v:shape>
            </w:pict>
          </mc:Fallback>
        </mc:AlternateContent>
      </w:r>
      <w:r w:rsidRPr="001E3F41">
        <w:rPr>
          <w:lang w:val="en-GB"/>
        </w:rPr>
        <w:object w:dxaOrig="10530" w:dyaOrig="7155">
          <v:shape id="_x0000_i1026" type="#_x0000_t75" style="width:472pt;height:319.2pt" o:ole="">
            <v:imagedata r:id="rId13" o:title="" gain="109227f" blacklevel="-6554f" grayscale="t"/>
          </v:shape>
          <o:OLEObject Type="Embed" ProgID="PBrush" ShapeID="_x0000_i1026" DrawAspect="Content" ObjectID="_1604295400" r:id="rId14"/>
        </w:object>
      </w:r>
    </w:p>
    <w:p w:rsidR="009B7A3A" w:rsidRDefault="009B7A3A" w:rsidP="009B7A3A">
      <w:pPr>
        <w:pStyle w:val="FootnoteText1"/>
        <w:rPr>
          <w:lang w:val="en-GB"/>
        </w:rPr>
      </w:pPr>
    </w:p>
    <w:p w:rsidR="009B7A3A" w:rsidRDefault="009B7A3A" w:rsidP="009B7A3A">
      <w:pPr>
        <w:pStyle w:val="FootnoteText1"/>
        <w:rPr>
          <w:lang w:val="en-GB"/>
        </w:rPr>
      </w:pPr>
      <w:r>
        <w:rPr>
          <w:lang w:val="en-GB"/>
        </w:rPr>
        <w:t>Note: ICT = i</w:t>
      </w:r>
      <w:r w:rsidRPr="003E3CE1">
        <w:rPr>
          <w:lang w:val="en-GB"/>
        </w:rPr>
        <w:t>nformation and communications technology</w:t>
      </w:r>
    </w:p>
    <w:p w:rsidR="009B7A3A" w:rsidRPr="001E3F41" w:rsidRDefault="009B7A3A" w:rsidP="009B7A3A">
      <w:pPr>
        <w:pStyle w:val="FootnoteText1"/>
        <w:rPr>
          <w:lang w:val="en-GB"/>
        </w:rPr>
      </w:pPr>
      <w:r w:rsidRPr="001E3F41">
        <w:rPr>
          <w:lang w:val="en-GB"/>
        </w:rPr>
        <w:t>Source: Company documents</w:t>
      </w:r>
      <w:r>
        <w:rPr>
          <w:lang w:val="en-GB"/>
        </w:rPr>
        <w:t>.</w:t>
      </w:r>
    </w:p>
    <w:p w:rsidR="009B7A3A" w:rsidRPr="001E3F41" w:rsidRDefault="009B7A3A" w:rsidP="009B7A3A">
      <w:pPr>
        <w:pStyle w:val="BodyTextMain"/>
        <w:rPr>
          <w:lang w:val="en-GB"/>
        </w:rPr>
      </w:pPr>
    </w:p>
    <w:p w:rsidR="009B7A3A" w:rsidRDefault="009B7A3A" w:rsidP="009B7A3A">
      <w:pPr>
        <w:pStyle w:val="BodyTextMain"/>
      </w:pPr>
    </w:p>
    <w:sectPr w:rsidR="009B7A3A" w:rsidSect="00751E0B">
      <w:headerReference w:type="default" r:id="rId15"/>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9B7A3A" w:rsidRPr="006B3467" w:rsidRDefault="009B7A3A" w:rsidP="009B7A3A">
      <w:pPr>
        <w:pStyle w:val="FootnoteText1"/>
        <w:rPr>
          <w:lang w:val="en-CA"/>
        </w:rPr>
      </w:pPr>
      <w:r w:rsidRPr="006B3467">
        <w:rPr>
          <w:rStyle w:val="FootnoteReference"/>
        </w:rPr>
        <w:footnoteRef/>
      </w:r>
      <w:r w:rsidRPr="006B3467">
        <w:t xml:space="preserve"> </w:t>
      </w:r>
      <w:r>
        <w:t xml:space="preserve">Foreign Affairs, Trade and Development Canada, </w:t>
      </w:r>
      <w:r w:rsidRPr="006B3467">
        <w:rPr>
          <w:lang w:val="en-CA"/>
        </w:rPr>
        <w:t>“</w:t>
      </w:r>
      <w:r w:rsidRPr="006B3467">
        <w:t>Canada’s International Education Strategy</w:t>
      </w:r>
      <w:r w:rsidRPr="006B3467">
        <w:rPr>
          <w:lang w:val="en-CA"/>
        </w:rPr>
        <w:t xml:space="preserve">: </w:t>
      </w:r>
      <w:r w:rsidRPr="006B3467">
        <w:t xml:space="preserve">Harnessing our </w:t>
      </w:r>
      <w:r>
        <w:t>K</w:t>
      </w:r>
      <w:r w:rsidRPr="006B3467">
        <w:t xml:space="preserve">nowledge </w:t>
      </w:r>
      <w:r>
        <w:t>A</w:t>
      </w:r>
      <w:r w:rsidRPr="006B3467">
        <w:t xml:space="preserve">dvantage to </w:t>
      </w:r>
      <w:r>
        <w:t>D</w:t>
      </w:r>
      <w:r w:rsidRPr="006B3467">
        <w:t xml:space="preserve">rive </w:t>
      </w:r>
      <w:r>
        <w:t>I</w:t>
      </w:r>
      <w:r w:rsidRPr="006B3467">
        <w:t xml:space="preserve">nnovation and </w:t>
      </w:r>
      <w:r>
        <w:t>P</w:t>
      </w:r>
      <w:r w:rsidRPr="006B3467">
        <w:t>rosperity</w:t>
      </w:r>
      <w:r w:rsidRPr="006B3467">
        <w:rPr>
          <w:lang w:val="en-CA"/>
        </w:rPr>
        <w:t xml:space="preserve">,” </w:t>
      </w:r>
      <w:r>
        <w:rPr>
          <w:lang w:val="en-CA"/>
        </w:rPr>
        <w:t xml:space="preserve">Government of Canada, Global Affairs Canada, 2014, accessed March 12, 2017, </w:t>
      </w:r>
      <w:r w:rsidRPr="009F2AC9">
        <w:rPr>
          <w:lang w:val="en-CA"/>
        </w:rPr>
        <w:t>http://international.gc.ca/global-markets-marches-mondiaux/education/strategy-strategie.aspx?lang=eng</w:t>
      </w:r>
      <w:r>
        <w:rPr>
          <w:lang w:val="en-C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720E4">
      <w:rPr>
        <w:rFonts w:ascii="Arial" w:hAnsi="Arial"/>
        <w:b/>
        <w:noProof/>
      </w:rPr>
      <w:t>2</w:t>
    </w:r>
    <w:r>
      <w:rPr>
        <w:rFonts w:ascii="Arial" w:hAnsi="Arial"/>
        <w:b/>
      </w:rPr>
      <w:fldChar w:fldCharType="end"/>
    </w:r>
    <w:r>
      <w:rPr>
        <w:rFonts w:ascii="Arial" w:hAnsi="Arial"/>
        <w:b/>
      </w:rPr>
      <w:tab/>
    </w:r>
    <w:r w:rsidR="009B7A3A">
      <w:rPr>
        <w:rFonts w:ascii="Arial" w:hAnsi="Arial"/>
        <w:b/>
      </w:rPr>
      <w:t>9B18M113</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962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1F4222"/>
    <w:rsid w:val="00203AA1"/>
    <w:rsid w:val="00213E98"/>
    <w:rsid w:val="0023081A"/>
    <w:rsid w:val="002F460C"/>
    <w:rsid w:val="002F48D6"/>
    <w:rsid w:val="00317391"/>
    <w:rsid w:val="00326216"/>
    <w:rsid w:val="00336580"/>
    <w:rsid w:val="00354899"/>
    <w:rsid w:val="00355FD6"/>
    <w:rsid w:val="00364A5C"/>
    <w:rsid w:val="003720E4"/>
    <w:rsid w:val="00373FB1"/>
    <w:rsid w:val="00396C76"/>
    <w:rsid w:val="003B30D8"/>
    <w:rsid w:val="003B7EF2"/>
    <w:rsid w:val="003C3FA4"/>
    <w:rsid w:val="003F2B0C"/>
    <w:rsid w:val="004105B2"/>
    <w:rsid w:val="004221E4"/>
    <w:rsid w:val="004273F8"/>
    <w:rsid w:val="004355A3"/>
    <w:rsid w:val="00446546"/>
    <w:rsid w:val="00452769"/>
    <w:rsid w:val="00465348"/>
    <w:rsid w:val="00480222"/>
    <w:rsid w:val="004B1CCB"/>
    <w:rsid w:val="004B632F"/>
    <w:rsid w:val="004D3FB1"/>
    <w:rsid w:val="004D6F21"/>
    <w:rsid w:val="004D73A5"/>
    <w:rsid w:val="00504D49"/>
    <w:rsid w:val="005160F1"/>
    <w:rsid w:val="00524F2F"/>
    <w:rsid w:val="00527E5C"/>
    <w:rsid w:val="00532CF5"/>
    <w:rsid w:val="005528CB"/>
    <w:rsid w:val="00566771"/>
    <w:rsid w:val="00581E2E"/>
    <w:rsid w:val="00584F15"/>
    <w:rsid w:val="0059514B"/>
    <w:rsid w:val="005A1B0F"/>
    <w:rsid w:val="006163F7"/>
    <w:rsid w:val="00627C63"/>
    <w:rsid w:val="0063350B"/>
    <w:rsid w:val="00652606"/>
    <w:rsid w:val="006946EE"/>
    <w:rsid w:val="006963B2"/>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4102"/>
    <w:rsid w:val="007F43B7"/>
    <w:rsid w:val="00821FFC"/>
    <w:rsid w:val="008271CA"/>
    <w:rsid w:val="00841CE3"/>
    <w:rsid w:val="008467D5"/>
    <w:rsid w:val="008A4DC4"/>
    <w:rsid w:val="008B438C"/>
    <w:rsid w:val="008D06CA"/>
    <w:rsid w:val="008D3A46"/>
    <w:rsid w:val="009067A4"/>
    <w:rsid w:val="00933D68"/>
    <w:rsid w:val="009340DB"/>
    <w:rsid w:val="0094618C"/>
    <w:rsid w:val="0095684B"/>
    <w:rsid w:val="00972498"/>
    <w:rsid w:val="0097481F"/>
    <w:rsid w:val="00974CC6"/>
    <w:rsid w:val="00976AD4"/>
    <w:rsid w:val="00995547"/>
    <w:rsid w:val="009A312F"/>
    <w:rsid w:val="009A5348"/>
    <w:rsid w:val="009B0AB7"/>
    <w:rsid w:val="009B7A3A"/>
    <w:rsid w:val="009C76D5"/>
    <w:rsid w:val="009F7AA4"/>
    <w:rsid w:val="00A10AD7"/>
    <w:rsid w:val="00A559DB"/>
    <w:rsid w:val="00A569EA"/>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471A7"/>
    <w:rsid w:val="00E635CF"/>
    <w:rsid w:val="00EC6E0A"/>
    <w:rsid w:val="00ED4E18"/>
    <w:rsid w:val="00EE1F37"/>
    <w:rsid w:val="00F0159C"/>
    <w:rsid w:val="00F105B7"/>
    <w:rsid w:val="00F13220"/>
    <w:rsid w:val="00F17A21"/>
    <w:rsid w:val="00F37B27"/>
    <w:rsid w:val="00F46556"/>
    <w:rsid w:val="00F50E91"/>
    <w:rsid w:val="00F57D29"/>
    <w:rsid w:val="00F94C30"/>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62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B7A3A"/>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
    <w:name w:val="Mention"/>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B7A3A"/>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
    <w:name w:val="Mention"/>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1812D-2915-4CB3-AFDB-57ECEED14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5069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11</cp:revision>
  <cp:lastPrinted>2015-03-04T20:34:00Z</cp:lastPrinted>
  <dcterms:created xsi:type="dcterms:W3CDTF">2017-12-15T18:28:00Z</dcterms:created>
  <dcterms:modified xsi:type="dcterms:W3CDTF">2018-11-21T13:50:00Z</dcterms:modified>
</cp:coreProperties>
</file>