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BC756" w14:textId="16FCD1AF" w:rsidR="001017C5" w:rsidRPr="00BC71D8" w:rsidRDefault="00290FFD" w:rsidP="008467D5">
      <w:pPr>
        <w:pBdr>
          <w:bottom w:val="single" w:sz="18" w:space="1" w:color="auto"/>
        </w:pBdr>
        <w:tabs>
          <w:tab w:val="left" w:pos="-1440"/>
          <w:tab w:val="left" w:pos="-720"/>
          <w:tab w:val="left" w:pos="1"/>
        </w:tabs>
        <w:jc w:val="both"/>
        <w:rPr>
          <w:rFonts w:ascii="Arial" w:hAnsi="Arial"/>
          <w:b/>
          <w:sz w:val="24"/>
          <w:lang w:val="en-GB"/>
        </w:rPr>
      </w:pPr>
      <w:r>
        <w:rPr>
          <w:rFonts w:ascii="Arial" w:hAnsi="Arial"/>
          <w:b/>
          <w:noProof/>
          <w:sz w:val="24"/>
        </w:rPr>
        <w:drawing>
          <wp:anchor distT="0" distB="0" distL="114300" distR="114300" simplePos="0" relativeHeight="251658240" behindDoc="0" locked="0" layoutInCell="1" allowOverlap="1" wp14:anchorId="414B7666" wp14:editId="02BC245E">
            <wp:simplePos x="0" y="0"/>
            <wp:positionH relativeFrom="column">
              <wp:posOffset>3786033</wp:posOffset>
            </wp:positionH>
            <wp:positionV relativeFrom="paragraph">
              <wp:posOffset>-3012</wp:posOffset>
            </wp:positionV>
            <wp:extent cx="2213610" cy="538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21361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06C22" w:rsidRPr="00BC71D8">
        <w:rPr>
          <w:rFonts w:ascii="Arial" w:hAnsi="Arial"/>
          <w:b/>
          <w:noProof/>
          <w:sz w:val="24"/>
        </w:rPr>
        <w:drawing>
          <wp:inline distT="0" distB="0" distL="0" distR="0" wp14:anchorId="1512DDF9" wp14:editId="73BE24C8">
            <wp:extent cx="2615565" cy="54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0BFB13C6" w14:textId="1A7E2804" w:rsidR="00D75295" w:rsidRPr="00BC71D8" w:rsidRDefault="0052588D" w:rsidP="00F105B7">
      <w:pPr>
        <w:pStyle w:val="ProductNumber"/>
        <w:rPr>
          <w:lang w:val="en-GB"/>
        </w:rPr>
      </w:pPr>
      <w:r>
        <w:rPr>
          <w:lang w:val="en-GB"/>
        </w:rPr>
        <w:t>9B18M122</w:t>
      </w:r>
    </w:p>
    <w:p w14:paraId="3A324B34" w14:textId="77777777" w:rsidR="00D75295" w:rsidRPr="00BC71D8" w:rsidRDefault="00D75295" w:rsidP="00D75295">
      <w:pPr>
        <w:jc w:val="right"/>
        <w:rPr>
          <w:rFonts w:ascii="Arial" w:hAnsi="Arial"/>
          <w:b/>
          <w:sz w:val="28"/>
          <w:szCs w:val="28"/>
          <w:lang w:val="en-GB"/>
        </w:rPr>
      </w:pPr>
    </w:p>
    <w:p w14:paraId="367BCD2D" w14:textId="77777777" w:rsidR="00013360" w:rsidRPr="00BC71D8" w:rsidRDefault="00013360" w:rsidP="00D75295">
      <w:pPr>
        <w:jc w:val="right"/>
        <w:rPr>
          <w:rFonts w:ascii="Arial" w:hAnsi="Arial"/>
          <w:b/>
          <w:sz w:val="28"/>
          <w:szCs w:val="28"/>
          <w:lang w:val="en-GB"/>
        </w:rPr>
      </w:pPr>
    </w:p>
    <w:p w14:paraId="467B1588" w14:textId="21F1C624" w:rsidR="00013360" w:rsidRPr="00BC71D8" w:rsidRDefault="001017C5" w:rsidP="00013360">
      <w:pPr>
        <w:pStyle w:val="CaseTitle"/>
        <w:spacing w:after="0" w:line="240" w:lineRule="auto"/>
        <w:rPr>
          <w:sz w:val="20"/>
          <w:szCs w:val="20"/>
          <w:lang w:val="en-GB"/>
        </w:rPr>
      </w:pPr>
      <w:r w:rsidRPr="00BC71D8">
        <w:rPr>
          <w:szCs w:val="20"/>
          <w:lang w:val="en-GB"/>
        </w:rPr>
        <w:t>VAIDAM HEALTH: FACILITATING MEDICAL</w:t>
      </w:r>
      <w:r w:rsidR="00005B71">
        <w:rPr>
          <w:szCs w:val="20"/>
          <w:lang w:val="en-GB"/>
        </w:rPr>
        <w:t>-</w:t>
      </w:r>
      <w:r w:rsidRPr="00BC71D8">
        <w:rPr>
          <w:szCs w:val="20"/>
          <w:lang w:val="en-GB"/>
        </w:rPr>
        <w:t>VALUE TRAVEL</w:t>
      </w:r>
    </w:p>
    <w:p w14:paraId="7AF5E89B" w14:textId="77777777" w:rsidR="00CA3976" w:rsidRPr="00BC71D8" w:rsidRDefault="00CA3976" w:rsidP="00013360">
      <w:pPr>
        <w:pStyle w:val="CaseTitle"/>
        <w:spacing w:after="0" w:line="240" w:lineRule="auto"/>
        <w:rPr>
          <w:sz w:val="20"/>
          <w:szCs w:val="20"/>
          <w:lang w:val="en-GB"/>
        </w:rPr>
      </w:pPr>
    </w:p>
    <w:p w14:paraId="46E97938" w14:textId="77777777" w:rsidR="00013360" w:rsidRPr="00BC71D8" w:rsidRDefault="00013360" w:rsidP="00013360">
      <w:pPr>
        <w:pStyle w:val="CaseTitle"/>
        <w:spacing w:after="0" w:line="240" w:lineRule="auto"/>
        <w:rPr>
          <w:sz w:val="20"/>
          <w:szCs w:val="20"/>
          <w:lang w:val="en-GB"/>
        </w:rPr>
      </w:pPr>
    </w:p>
    <w:p w14:paraId="05DC3D60" w14:textId="040D1BCF" w:rsidR="00627C63" w:rsidRPr="00BC71D8" w:rsidRDefault="00F529AC" w:rsidP="00627C63">
      <w:pPr>
        <w:pStyle w:val="StyleCopyrightStatementAfter0ptBottomSinglesolidline1"/>
        <w:rPr>
          <w:lang w:val="en-GB"/>
        </w:rPr>
      </w:pPr>
      <w:proofErr w:type="spellStart"/>
      <w:r w:rsidRPr="00BC71D8">
        <w:rPr>
          <w:lang w:val="en-GB"/>
        </w:rPr>
        <w:t>Anupama</w:t>
      </w:r>
      <w:proofErr w:type="spellEnd"/>
      <w:r w:rsidR="00C06C22" w:rsidRPr="00BC71D8">
        <w:rPr>
          <w:lang w:val="en-GB"/>
        </w:rPr>
        <w:t xml:space="preserve"> </w:t>
      </w:r>
      <w:proofErr w:type="spellStart"/>
      <w:r w:rsidRPr="00BC71D8">
        <w:rPr>
          <w:lang w:val="en-GB"/>
        </w:rPr>
        <w:t>Prashar</w:t>
      </w:r>
      <w:proofErr w:type="spellEnd"/>
      <w:r w:rsidR="00C06C22" w:rsidRPr="00BC71D8">
        <w:rPr>
          <w:lang w:val="en-GB"/>
        </w:rPr>
        <w:t xml:space="preserve"> </w:t>
      </w:r>
      <w:r w:rsidR="004B632F" w:rsidRPr="00BC71D8">
        <w:rPr>
          <w:lang w:val="en-GB"/>
        </w:rPr>
        <w:t>wrote</w:t>
      </w:r>
      <w:r w:rsidR="00C06C22" w:rsidRPr="00BC71D8">
        <w:rPr>
          <w:lang w:val="en-GB"/>
        </w:rPr>
        <w:t xml:space="preserve"> </w:t>
      </w:r>
      <w:r w:rsidR="004B632F" w:rsidRPr="00BC71D8">
        <w:rPr>
          <w:lang w:val="en-GB"/>
        </w:rPr>
        <w:t>this</w:t>
      </w:r>
      <w:r w:rsidR="00C06C22" w:rsidRPr="00BC71D8">
        <w:rPr>
          <w:lang w:val="en-GB"/>
        </w:rPr>
        <w:t xml:space="preserve"> </w:t>
      </w:r>
      <w:r w:rsidR="00152682" w:rsidRPr="00BC71D8">
        <w:rPr>
          <w:lang w:val="en-GB"/>
        </w:rPr>
        <w:t>case</w:t>
      </w:r>
      <w:r w:rsidR="00C06C22" w:rsidRPr="00BC71D8">
        <w:rPr>
          <w:lang w:val="en-GB"/>
        </w:rPr>
        <w:t xml:space="preserve"> </w:t>
      </w:r>
      <w:r w:rsidR="00152682" w:rsidRPr="00BC71D8">
        <w:rPr>
          <w:lang w:val="en-GB"/>
        </w:rPr>
        <w:t>solely to provide material for class discussion. The</w:t>
      </w:r>
      <w:r w:rsidR="001C7777" w:rsidRPr="00BC71D8">
        <w:rPr>
          <w:lang w:val="en-GB"/>
        </w:rPr>
        <w:t xml:space="preserve"> author</w:t>
      </w:r>
      <w:r w:rsidR="00152682" w:rsidRPr="00BC71D8">
        <w:rPr>
          <w:lang w:val="en-GB"/>
        </w:rPr>
        <w:t xml:space="preserve"> do</w:t>
      </w:r>
      <w:r w:rsidR="00BC71D8">
        <w:rPr>
          <w:lang w:val="en-GB"/>
        </w:rPr>
        <w:t>es</w:t>
      </w:r>
      <w:r w:rsidR="00152682" w:rsidRPr="00BC71D8">
        <w:rPr>
          <w:lang w:val="en-GB"/>
        </w:rPr>
        <w:t xml:space="preserve"> not intend to illustrate either effective or ineffective handling of a managerial situation. The author may have disguised certain names and other identifying information to protect confidentiality.</w:t>
      </w:r>
    </w:p>
    <w:p w14:paraId="6D2B5228" w14:textId="77777777" w:rsidR="00751E0B" w:rsidRPr="00BC71D8" w:rsidRDefault="00751E0B" w:rsidP="00751E0B">
      <w:pPr>
        <w:pStyle w:val="StyleCopyrightStatementAfter0ptBottomSinglesolidline1"/>
        <w:rPr>
          <w:lang w:val="en-GB"/>
        </w:rPr>
      </w:pPr>
    </w:p>
    <w:p w14:paraId="31FBB0E8" w14:textId="77777777" w:rsidR="00C06C22" w:rsidRPr="00BC71D8" w:rsidRDefault="00C06C22" w:rsidP="00C06C22">
      <w:pPr>
        <w:pStyle w:val="StyleStyleCopyrightStatementAfter0ptBottomSinglesolid"/>
        <w:rPr>
          <w:lang w:val="en-GB"/>
        </w:rPr>
      </w:pPr>
      <w:r w:rsidRPr="00BC71D8">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FBE8F2C" w14:textId="77777777" w:rsidR="00C06C22" w:rsidRPr="00BC71D8" w:rsidRDefault="00C06C22" w:rsidP="00C06C22">
      <w:pPr>
        <w:pStyle w:val="StyleStyleCopyrightStatementAfter0ptBottomSinglesolid"/>
        <w:rPr>
          <w:lang w:val="en-GB"/>
        </w:rPr>
      </w:pPr>
    </w:p>
    <w:p w14:paraId="6C874B1F" w14:textId="49DFBD50" w:rsidR="00751E0B" w:rsidRPr="00BC71D8" w:rsidRDefault="00C06C22" w:rsidP="00C06C22">
      <w:pPr>
        <w:pStyle w:val="StyleStyleCopyrightStatementAfter0ptBottomSinglesolid"/>
        <w:rPr>
          <w:lang w:val="en-GB"/>
        </w:rPr>
      </w:pPr>
      <w:r w:rsidRPr="00BC71D8">
        <w:rPr>
          <w:lang w:val="en-GB"/>
        </w:rPr>
        <w:t xml:space="preserve">Copyright © 2018, </w:t>
      </w:r>
      <w:r w:rsidR="00290FFD" w:rsidRPr="003C00BC">
        <w:rPr>
          <w:spacing w:val="-6"/>
        </w:rPr>
        <w:t>Management Development Institute Gurgaon and Ivey School of Business Foundation</w:t>
      </w:r>
      <w:r w:rsidR="00A569EA" w:rsidRPr="00BC71D8">
        <w:rPr>
          <w:rFonts w:cs="Arial"/>
          <w:szCs w:val="16"/>
          <w:lang w:val="en-GB"/>
        </w:rPr>
        <w:tab/>
      </w:r>
      <w:r w:rsidR="00751E0B" w:rsidRPr="00BC71D8">
        <w:rPr>
          <w:lang w:val="en-GB"/>
        </w:rPr>
        <w:t xml:space="preserve">Version: </w:t>
      </w:r>
      <w:r w:rsidR="003D0BA1" w:rsidRPr="00BC71D8">
        <w:rPr>
          <w:lang w:val="en-GB"/>
        </w:rPr>
        <w:t>20</w:t>
      </w:r>
      <w:r w:rsidR="00D810DE" w:rsidRPr="00BC71D8">
        <w:rPr>
          <w:lang w:val="en-GB"/>
        </w:rPr>
        <w:t>18</w:t>
      </w:r>
      <w:r w:rsidR="001C7777" w:rsidRPr="00BC71D8">
        <w:rPr>
          <w:lang w:val="en-GB"/>
        </w:rPr>
        <w:t>-</w:t>
      </w:r>
      <w:r w:rsidRPr="00BC71D8">
        <w:rPr>
          <w:lang w:val="en-GB"/>
        </w:rPr>
        <w:t>08</w:t>
      </w:r>
      <w:r w:rsidR="00751E0B" w:rsidRPr="00BC71D8">
        <w:rPr>
          <w:lang w:val="en-GB"/>
        </w:rPr>
        <w:t>-</w:t>
      </w:r>
      <w:r w:rsidR="00E7479B">
        <w:rPr>
          <w:lang w:val="en-GB"/>
        </w:rPr>
        <w:t>22</w:t>
      </w:r>
    </w:p>
    <w:p w14:paraId="1D59D0AF" w14:textId="77777777" w:rsidR="00751E0B" w:rsidRPr="00BC71D8" w:rsidRDefault="00751E0B" w:rsidP="00751E0B">
      <w:pPr>
        <w:pStyle w:val="StyleCopyrightStatementAfter0ptBottomSinglesolidline1"/>
        <w:rPr>
          <w:rFonts w:ascii="Times New Roman" w:hAnsi="Times New Roman"/>
          <w:sz w:val="20"/>
          <w:lang w:val="en-GB"/>
        </w:rPr>
      </w:pPr>
    </w:p>
    <w:p w14:paraId="19A79D1F" w14:textId="77777777" w:rsidR="004B632F" w:rsidRPr="00BC71D8" w:rsidRDefault="004B632F" w:rsidP="00DF127D">
      <w:pPr>
        <w:pStyle w:val="StyleCopyrightStatementAfter0ptBottomSinglesolidline1"/>
        <w:jc w:val="right"/>
        <w:rPr>
          <w:rFonts w:ascii="Times New Roman" w:hAnsi="Times New Roman"/>
          <w:sz w:val="20"/>
          <w:lang w:val="en-GB"/>
        </w:rPr>
      </w:pPr>
    </w:p>
    <w:p w14:paraId="4E43760B" w14:textId="1F0857A8" w:rsidR="00D810DE" w:rsidRPr="00BC71D8" w:rsidRDefault="00D810DE" w:rsidP="00615E68">
      <w:pPr>
        <w:pStyle w:val="BodyTextMain"/>
        <w:ind w:left="720"/>
        <w:jc w:val="right"/>
        <w:rPr>
          <w:lang w:val="en-GB"/>
        </w:rPr>
      </w:pPr>
      <w:proofErr w:type="spellStart"/>
      <w:r w:rsidRPr="00615E68">
        <w:rPr>
          <w:lang w:val="en-GB"/>
        </w:rPr>
        <w:t>Vaidam</w:t>
      </w:r>
      <w:proofErr w:type="spellEnd"/>
      <w:r w:rsidR="00C06C22" w:rsidRPr="00615E68">
        <w:rPr>
          <w:lang w:val="en-GB"/>
        </w:rPr>
        <w:t xml:space="preserve"> </w:t>
      </w:r>
      <w:r w:rsidRPr="00615E68">
        <w:rPr>
          <w:lang w:val="en-GB"/>
        </w:rPr>
        <w:t>is there to</w:t>
      </w:r>
      <w:r w:rsidR="00C06C22" w:rsidRPr="00615E68">
        <w:rPr>
          <w:lang w:val="en-GB"/>
        </w:rPr>
        <w:t xml:space="preserve"> </w:t>
      </w:r>
      <w:r w:rsidRPr="00615E68">
        <w:rPr>
          <w:lang w:val="en-GB"/>
        </w:rPr>
        <w:t xml:space="preserve">empower medical </w:t>
      </w:r>
      <w:r w:rsidR="0045759A" w:rsidRPr="00615E68">
        <w:rPr>
          <w:lang w:val="en-GB"/>
        </w:rPr>
        <w:t>traveller</w:t>
      </w:r>
      <w:r w:rsidRPr="00615E68">
        <w:rPr>
          <w:lang w:val="en-GB"/>
        </w:rPr>
        <w:t xml:space="preserve">s in making an informed decision about the selection of </w:t>
      </w:r>
      <w:r w:rsidR="00A0265C" w:rsidRPr="00615E68">
        <w:rPr>
          <w:lang w:val="en-GB"/>
        </w:rPr>
        <w:t xml:space="preserve">[a] </w:t>
      </w:r>
      <w:r w:rsidRPr="00615E68">
        <w:rPr>
          <w:lang w:val="en-GB"/>
        </w:rPr>
        <w:t>health</w:t>
      </w:r>
      <w:r w:rsidR="00BC71D8" w:rsidRPr="00615E68">
        <w:rPr>
          <w:lang w:val="en-GB"/>
        </w:rPr>
        <w:t xml:space="preserve"> </w:t>
      </w:r>
      <w:r w:rsidRPr="00615E68">
        <w:rPr>
          <w:lang w:val="en-GB"/>
        </w:rPr>
        <w:t xml:space="preserve">care solution and to provide a seamless experience </w:t>
      </w:r>
      <w:proofErr w:type="gramStart"/>
      <w:r w:rsidRPr="00615E68">
        <w:rPr>
          <w:lang w:val="en-GB"/>
        </w:rPr>
        <w:t>through</w:t>
      </w:r>
      <w:r w:rsidR="00A0265C" w:rsidRPr="00615E68">
        <w:rPr>
          <w:lang w:val="en-GB"/>
        </w:rPr>
        <w:t>[</w:t>
      </w:r>
      <w:proofErr w:type="gramEnd"/>
      <w:r w:rsidR="00A0265C" w:rsidRPr="00615E68">
        <w:rPr>
          <w:lang w:val="en-GB"/>
        </w:rPr>
        <w:t>out]</w:t>
      </w:r>
      <w:r w:rsidRPr="00615E68">
        <w:rPr>
          <w:lang w:val="en-GB"/>
        </w:rPr>
        <w:t xml:space="preserve"> their patient journey</w:t>
      </w:r>
      <w:r w:rsidRPr="00BC71D8">
        <w:rPr>
          <w:lang w:val="en-GB"/>
        </w:rPr>
        <w:t>.</w:t>
      </w:r>
    </w:p>
    <w:p w14:paraId="0D145E4A" w14:textId="77777777" w:rsidR="00DF127D" w:rsidRPr="00BC71D8" w:rsidRDefault="00DF127D" w:rsidP="00615E68">
      <w:pPr>
        <w:pStyle w:val="BodyTextMain"/>
        <w:ind w:left="720"/>
        <w:jc w:val="right"/>
        <w:rPr>
          <w:lang w:val="en-GB"/>
        </w:rPr>
      </w:pPr>
    </w:p>
    <w:p w14:paraId="6171EBA3" w14:textId="336C448B" w:rsidR="00465348" w:rsidRPr="00BC71D8" w:rsidRDefault="00D810DE" w:rsidP="00615E68">
      <w:pPr>
        <w:pStyle w:val="BodyTextMain"/>
        <w:jc w:val="right"/>
        <w:rPr>
          <w:lang w:val="en-GB"/>
        </w:rPr>
      </w:pPr>
      <w:r w:rsidRPr="00BC71D8">
        <w:rPr>
          <w:lang w:val="en-GB"/>
        </w:rPr>
        <w:t xml:space="preserve">Pankaj </w:t>
      </w:r>
      <w:proofErr w:type="spellStart"/>
      <w:r w:rsidRPr="00BC71D8">
        <w:rPr>
          <w:lang w:val="en-GB"/>
        </w:rPr>
        <w:t>Chandna</w:t>
      </w:r>
      <w:proofErr w:type="spellEnd"/>
      <w:r w:rsidRPr="00BC71D8">
        <w:rPr>
          <w:lang w:val="en-GB"/>
        </w:rPr>
        <w:t xml:space="preserve">, </w:t>
      </w:r>
      <w:r w:rsidR="00A966E4">
        <w:rPr>
          <w:lang w:val="en-GB"/>
        </w:rPr>
        <w:t>c</w:t>
      </w:r>
      <w:r w:rsidRPr="00BC71D8">
        <w:rPr>
          <w:lang w:val="en-GB"/>
        </w:rPr>
        <w:t>o-</w:t>
      </w:r>
      <w:r w:rsidR="006C481F">
        <w:rPr>
          <w:lang w:val="en-GB"/>
        </w:rPr>
        <w:t>f</w:t>
      </w:r>
      <w:r w:rsidRPr="00BC71D8">
        <w:rPr>
          <w:lang w:val="en-GB"/>
        </w:rPr>
        <w:t xml:space="preserve">ounder, </w:t>
      </w:r>
      <w:proofErr w:type="spellStart"/>
      <w:r w:rsidRPr="00BC71D8">
        <w:rPr>
          <w:lang w:val="en-GB"/>
        </w:rPr>
        <w:t>Vaidam</w:t>
      </w:r>
      <w:proofErr w:type="spellEnd"/>
      <w:r w:rsidRPr="00BC71D8">
        <w:rPr>
          <w:lang w:val="en-GB"/>
        </w:rPr>
        <w:t xml:space="preserve"> Health</w:t>
      </w:r>
    </w:p>
    <w:p w14:paraId="6A69B33D" w14:textId="77777777" w:rsidR="00D810DE" w:rsidRPr="00BC71D8" w:rsidRDefault="00D810DE" w:rsidP="00615E68">
      <w:pPr>
        <w:pStyle w:val="BodyTextMain"/>
        <w:rPr>
          <w:lang w:val="en-GB"/>
        </w:rPr>
      </w:pPr>
    </w:p>
    <w:p w14:paraId="740E21FE" w14:textId="7C405E60" w:rsidR="00D810DE" w:rsidRPr="00BC71D8" w:rsidRDefault="00D810DE" w:rsidP="00615E68">
      <w:pPr>
        <w:pStyle w:val="BodyTextMain"/>
        <w:rPr>
          <w:lang w:val="en-GB"/>
        </w:rPr>
      </w:pPr>
      <w:r w:rsidRPr="00BC71D8">
        <w:rPr>
          <w:lang w:val="en-GB"/>
        </w:rPr>
        <w:t xml:space="preserve">Ever since Pankaj </w:t>
      </w:r>
      <w:proofErr w:type="spellStart"/>
      <w:r w:rsidRPr="00BC71D8">
        <w:rPr>
          <w:lang w:val="en-GB"/>
        </w:rPr>
        <w:t>Chandna</w:t>
      </w:r>
      <w:proofErr w:type="spellEnd"/>
      <w:r w:rsidRPr="00BC71D8">
        <w:rPr>
          <w:lang w:val="en-GB"/>
        </w:rPr>
        <w:t xml:space="preserve">, the co-founder of </w:t>
      </w:r>
      <w:r w:rsidR="008A1C05" w:rsidRPr="00BC71D8">
        <w:rPr>
          <w:lang w:val="en-GB"/>
        </w:rPr>
        <w:t xml:space="preserve">online </w:t>
      </w:r>
      <w:r w:rsidR="00005B71">
        <w:rPr>
          <w:lang w:val="en-GB"/>
        </w:rPr>
        <w:t>medical-value travel</w:t>
      </w:r>
      <w:r w:rsidR="00C06C22" w:rsidRPr="00BC71D8">
        <w:rPr>
          <w:lang w:val="en-GB"/>
        </w:rPr>
        <w:t xml:space="preserve"> </w:t>
      </w:r>
      <w:r w:rsidRPr="00BC71D8">
        <w:rPr>
          <w:lang w:val="en-GB"/>
        </w:rPr>
        <w:t>(MVT) facilitator</w:t>
      </w:r>
      <w:r w:rsidR="008A0B5F" w:rsidRPr="00BC71D8">
        <w:rPr>
          <w:lang w:val="en-GB"/>
        </w:rPr>
        <w:t xml:space="preserve"> </w:t>
      </w:r>
      <w:proofErr w:type="spellStart"/>
      <w:r w:rsidR="008A0B5F" w:rsidRPr="00BC71D8">
        <w:rPr>
          <w:lang w:val="en-GB"/>
        </w:rPr>
        <w:t>Vaidam</w:t>
      </w:r>
      <w:proofErr w:type="spellEnd"/>
      <w:r w:rsidR="008A0B5F" w:rsidRPr="00BC71D8">
        <w:rPr>
          <w:lang w:val="en-GB"/>
        </w:rPr>
        <w:t xml:space="preserve"> Health Private Limited (</w:t>
      </w:r>
      <w:proofErr w:type="spellStart"/>
      <w:r w:rsidR="008A0B5F" w:rsidRPr="00BC71D8">
        <w:rPr>
          <w:lang w:val="en-GB"/>
        </w:rPr>
        <w:t>Vaidam</w:t>
      </w:r>
      <w:proofErr w:type="spellEnd"/>
      <w:r w:rsidR="008A0B5F" w:rsidRPr="00BC71D8">
        <w:rPr>
          <w:lang w:val="en-GB"/>
        </w:rPr>
        <w:t>),</w:t>
      </w:r>
      <w:r w:rsidRPr="00BC71D8">
        <w:rPr>
          <w:rStyle w:val="FootnoteReference"/>
          <w:lang w:val="en-GB"/>
        </w:rPr>
        <w:footnoteReference w:id="1"/>
      </w:r>
      <w:r w:rsidR="009B0BA1" w:rsidRPr="00BC71D8">
        <w:rPr>
          <w:lang w:val="en-GB"/>
        </w:rPr>
        <w:t xml:space="preserve"> </w:t>
      </w:r>
      <w:r w:rsidRPr="00BC71D8">
        <w:rPr>
          <w:lang w:val="en-GB"/>
        </w:rPr>
        <w:t>had returned from his</w:t>
      </w:r>
      <w:r w:rsidR="009B0BA1" w:rsidRPr="00BC71D8">
        <w:rPr>
          <w:lang w:val="en-GB"/>
        </w:rPr>
        <w:t xml:space="preserve"> </w:t>
      </w:r>
      <w:r w:rsidR="00D477BA" w:rsidRPr="00BC71D8">
        <w:rPr>
          <w:lang w:val="en-GB"/>
        </w:rPr>
        <w:t xml:space="preserve">trip to </w:t>
      </w:r>
      <w:r w:rsidR="00354E4C" w:rsidRPr="00BC71D8">
        <w:rPr>
          <w:lang w:val="en-GB"/>
        </w:rPr>
        <w:t>Fiji</w:t>
      </w:r>
      <w:r w:rsidR="00D477BA" w:rsidRPr="00BC71D8">
        <w:rPr>
          <w:lang w:val="en-GB"/>
        </w:rPr>
        <w:t xml:space="preserve">, there had been a lot on his mind. The trip had been </w:t>
      </w:r>
      <w:r w:rsidRPr="00BC71D8">
        <w:rPr>
          <w:lang w:val="en-GB"/>
        </w:rPr>
        <w:t>aimed at business expansion</w:t>
      </w:r>
      <w:r w:rsidR="00D477BA" w:rsidRPr="00BC71D8">
        <w:rPr>
          <w:lang w:val="en-GB"/>
        </w:rPr>
        <w:t xml:space="preserve">. Now, </w:t>
      </w:r>
      <w:r w:rsidRPr="00BC71D8">
        <w:rPr>
          <w:lang w:val="en-GB"/>
        </w:rPr>
        <w:t>Pankaj</w:t>
      </w:r>
      <w:r w:rsidR="00D477BA" w:rsidRPr="00BC71D8">
        <w:rPr>
          <w:lang w:val="en-GB"/>
        </w:rPr>
        <w:t xml:space="preserve"> and</w:t>
      </w:r>
      <w:r w:rsidRPr="00BC71D8">
        <w:rPr>
          <w:lang w:val="en-GB"/>
        </w:rPr>
        <w:t xml:space="preserve"> his old classmate and co-founder</w:t>
      </w:r>
      <w:r w:rsidR="00D477BA" w:rsidRPr="00BC71D8">
        <w:rPr>
          <w:lang w:val="en-GB"/>
        </w:rPr>
        <w:t>,</w:t>
      </w:r>
      <w:r w:rsidRPr="00BC71D8">
        <w:rPr>
          <w:lang w:val="en-GB"/>
        </w:rPr>
        <w:t xml:space="preserve"> Manish Chandra, </w:t>
      </w:r>
      <w:r w:rsidR="00D477BA" w:rsidRPr="00BC71D8">
        <w:rPr>
          <w:lang w:val="en-GB"/>
        </w:rPr>
        <w:t xml:space="preserve">were </w:t>
      </w:r>
      <w:r w:rsidRPr="00BC71D8">
        <w:rPr>
          <w:lang w:val="en-GB"/>
        </w:rPr>
        <w:t xml:space="preserve">flipping through the market data </w:t>
      </w:r>
      <w:r w:rsidR="00D477BA" w:rsidRPr="00BC71D8">
        <w:rPr>
          <w:lang w:val="en-GB"/>
        </w:rPr>
        <w:t xml:space="preserve">he had </w:t>
      </w:r>
      <w:r w:rsidRPr="00BC71D8">
        <w:rPr>
          <w:lang w:val="en-GB"/>
        </w:rPr>
        <w:t xml:space="preserve">collected </w:t>
      </w:r>
      <w:r w:rsidR="00D477BA" w:rsidRPr="00BC71D8">
        <w:rPr>
          <w:lang w:val="en-GB"/>
        </w:rPr>
        <w:t>during</w:t>
      </w:r>
      <w:r w:rsidRPr="00BC71D8">
        <w:rPr>
          <w:lang w:val="en-GB"/>
        </w:rPr>
        <w:t xml:space="preserve"> meetings with health</w:t>
      </w:r>
      <w:r w:rsidR="000B7F13">
        <w:rPr>
          <w:lang w:val="en-GB"/>
        </w:rPr>
        <w:t xml:space="preserve"> </w:t>
      </w:r>
      <w:r w:rsidRPr="00BC71D8">
        <w:rPr>
          <w:lang w:val="en-GB"/>
        </w:rPr>
        <w:t>care professionals,</w:t>
      </w:r>
      <w:r w:rsidR="00C06C22" w:rsidRPr="00BC71D8">
        <w:rPr>
          <w:lang w:val="en-GB"/>
        </w:rPr>
        <w:t xml:space="preserve"> </w:t>
      </w:r>
      <w:r w:rsidR="00D477BA" w:rsidRPr="00BC71D8">
        <w:rPr>
          <w:lang w:val="en-GB"/>
        </w:rPr>
        <w:t>corporations</w:t>
      </w:r>
      <w:r w:rsidRPr="00BC71D8">
        <w:rPr>
          <w:lang w:val="en-GB"/>
        </w:rPr>
        <w:t>, insurers, and representatives of</w:t>
      </w:r>
      <w:r w:rsidR="00C06C22" w:rsidRPr="00BC71D8">
        <w:rPr>
          <w:lang w:val="en-GB"/>
        </w:rPr>
        <w:t xml:space="preserve"> </w:t>
      </w:r>
      <w:r w:rsidRPr="00BC71D8">
        <w:rPr>
          <w:lang w:val="en-GB"/>
        </w:rPr>
        <w:t>ministries of health during this month-long tour in May 2018. The</w:t>
      </w:r>
      <w:r w:rsidR="00D477BA" w:rsidRPr="00BC71D8">
        <w:rPr>
          <w:lang w:val="en-GB"/>
        </w:rPr>
        <w:t>ir</w:t>
      </w:r>
      <w:r w:rsidRPr="00BC71D8">
        <w:rPr>
          <w:lang w:val="en-GB"/>
        </w:rPr>
        <w:t xml:space="preserve"> intent</w:t>
      </w:r>
      <w:r w:rsidR="00D477BA" w:rsidRPr="00BC71D8">
        <w:rPr>
          <w:lang w:val="en-GB"/>
        </w:rPr>
        <w:t>ion</w:t>
      </w:r>
      <w:r w:rsidRPr="00BC71D8">
        <w:rPr>
          <w:lang w:val="en-GB"/>
        </w:rPr>
        <w:t xml:space="preserve"> was to</w:t>
      </w:r>
      <w:r w:rsidR="009B0BA1" w:rsidRPr="00BC71D8">
        <w:rPr>
          <w:lang w:val="en-GB"/>
        </w:rPr>
        <w:t xml:space="preserve"> </w:t>
      </w:r>
      <w:r w:rsidRPr="00BC71D8">
        <w:rPr>
          <w:lang w:val="en-GB"/>
        </w:rPr>
        <w:t>creat</w:t>
      </w:r>
      <w:r w:rsidR="00BB55F6" w:rsidRPr="00BC71D8">
        <w:rPr>
          <w:lang w:val="en-GB"/>
        </w:rPr>
        <w:t>e</w:t>
      </w:r>
      <w:r w:rsidRPr="00BC71D8">
        <w:rPr>
          <w:lang w:val="en-GB"/>
        </w:rPr>
        <w:t xml:space="preserve"> a presence in the offline market and </w:t>
      </w:r>
      <w:r w:rsidR="00D477BA" w:rsidRPr="00BC71D8">
        <w:rPr>
          <w:lang w:val="en-GB"/>
        </w:rPr>
        <w:t xml:space="preserve">to </w:t>
      </w:r>
      <w:r w:rsidRPr="00BC71D8">
        <w:rPr>
          <w:lang w:val="en-GB"/>
        </w:rPr>
        <w:t>identify alternate business channels to attract more patients from some of the key source countries for MVT to India.</w:t>
      </w:r>
    </w:p>
    <w:p w14:paraId="5D3B109F" w14:textId="77777777" w:rsidR="00D810DE" w:rsidRPr="00BC71D8" w:rsidRDefault="00D810DE" w:rsidP="0025767D">
      <w:pPr>
        <w:pStyle w:val="BodyTextMain"/>
        <w:rPr>
          <w:lang w:val="en-GB"/>
        </w:rPr>
      </w:pPr>
    </w:p>
    <w:p w14:paraId="3DF98DA3" w14:textId="4C717286" w:rsidR="00D810DE" w:rsidRPr="00BC71D8" w:rsidRDefault="00D477BA" w:rsidP="0025767D">
      <w:pPr>
        <w:pStyle w:val="BodyTextMain"/>
        <w:rPr>
          <w:lang w:val="en-GB"/>
        </w:rPr>
      </w:pPr>
      <w:r w:rsidRPr="00BC71D8">
        <w:rPr>
          <w:lang w:val="en-GB"/>
        </w:rPr>
        <w:t xml:space="preserve">Since its inception in January 2016, </w:t>
      </w:r>
      <w:proofErr w:type="spellStart"/>
      <w:r w:rsidR="00D810DE" w:rsidRPr="00BC71D8">
        <w:rPr>
          <w:lang w:val="en-GB"/>
        </w:rPr>
        <w:t>Vaidam</w:t>
      </w:r>
      <w:proofErr w:type="spellEnd"/>
      <w:r w:rsidR="00C06C22" w:rsidRPr="00BC71D8">
        <w:rPr>
          <w:lang w:val="en-GB"/>
        </w:rPr>
        <w:t xml:space="preserve"> </w:t>
      </w:r>
      <w:r w:rsidR="00D810DE" w:rsidRPr="00BC71D8">
        <w:rPr>
          <w:lang w:val="en-GB"/>
        </w:rPr>
        <w:t>had host</w:t>
      </w:r>
      <w:r w:rsidRPr="00BC71D8">
        <w:rPr>
          <w:lang w:val="en-GB"/>
        </w:rPr>
        <w:t>ed</w:t>
      </w:r>
      <w:r w:rsidR="00D810DE" w:rsidRPr="00BC71D8">
        <w:rPr>
          <w:lang w:val="en-GB"/>
        </w:rPr>
        <w:t xml:space="preserve"> overseas patients </w:t>
      </w:r>
      <w:r w:rsidRPr="00BC71D8">
        <w:rPr>
          <w:lang w:val="en-GB"/>
        </w:rPr>
        <w:t xml:space="preserve">who travelled </w:t>
      </w:r>
      <w:r w:rsidR="00D810DE" w:rsidRPr="00BC71D8">
        <w:rPr>
          <w:lang w:val="en-GB"/>
        </w:rPr>
        <w:t>to India for medical treatment. It had partnered with</w:t>
      </w:r>
      <w:r w:rsidR="00BD6883" w:rsidRPr="00BC71D8">
        <w:rPr>
          <w:lang w:val="en-GB"/>
        </w:rPr>
        <w:t xml:space="preserve"> over 100</w:t>
      </w:r>
      <w:r w:rsidR="00D810DE" w:rsidRPr="00BC71D8">
        <w:rPr>
          <w:lang w:val="en-GB"/>
        </w:rPr>
        <w:t xml:space="preserve"> world-class health</w:t>
      </w:r>
      <w:r w:rsidR="000B7F13">
        <w:rPr>
          <w:lang w:val="en-GB"/>
        </w:rPr>
        <w:t xml:space="preserve"> </w:t>
      </w:r>
      <w:r w:rsidR="00D810DE" w:rsidRPr="00BC71D8">
        <w:rPr>
          <w:lang w:val="en-GB"/>
        </w:rPr>
        <w:t xml:space="preserve">care facilities across the major cities in the country. </w:t>
      </w:r>
      <w:r w:rsidRPr="00BC71D8">
        <w:rPr>
          <w:lang w:val="en-GB"/>
        </w:rPr>
        <w:t>In addition to</w:t>
      </w:r>
      <w:r w:rsidR="00D810DE" w:rsidRPr="00BC71D8">
        <w:rPr>
          <w:lang w:val="en-GB"/>
        </w:rPr>
        <w:t xml:space="preserve"> hospitals, the company worked closely with over 1,000 medical practitioners (surgeons and specialists) </w:t>
      </w:r>
      <w:r w:rsidRPr="00BC71D8">
        <w:rPr>
          <w:lang w:val="en-GB"/>
        </w:rPr>
        <w:t xml:space="preserve">who were </w:t>
      </w:r>
      <w:r w:rsidR="00D810DE" w:rsidRPr="00BC71D8">
        <w:rPr>
          <w:lang w:val="en-GB"/>
        </w:rPr>
        <w:t>renowned for highly advanced allopathic treatments such as organ transplant, cardiology</w:t>
      </w:r>
      <w:r w:rsidRPr="00BC71D8">
        <w:rPr>
          <w:lang w:val="en-GB"/>
        </w:rPr>
        <w:t>,</w:t>
      </w:r>
      <w:r w:rsidR="00D810DE" w:rsidRPr="00BC71D8">
        <w:rPr>
          <w:lang w:val="en-GB"/>
        </w:rPr>
        <w:t xml:space="preserve"> and oncology. </w:t>
      </w:r>
      <w:r w:rsidR="0045759A" w:rsidRPr="00BC71D8">
        <w:rPr>
          <w:lang w:val="en-GB"/>
        </w:rPr>
        <w:t>To</w:t>
      </w:r>
      <w:r w:rsidR="00D810DE" w:rsidRPr="00BC71D8">
        <w:rPr>
          <w:lang w:val="en-GB"/>
        </w:rPr>
        <w:t xml:space="preserve"> efficiently address medical </w:t>
      </w:r>
      <w:r w:rsidR="0045759A" w:rsidRPr="00BC71D8">
        <w:rPr>
          <w:lang w:val="en-GB"/>
        </w:rPr>
        <w:t>traveller</w:t>
      </w:r>
      <w:r w:rsidR="00D810DE" w:rsidRPr="00BC71D8">
        <w:rPr>
          <w:lang w:val="en-GB"/>
        </w:rPr>
        <w:t>s’ needs during their stay</w:t>
      </w:r>
      <w:r w:rsidR="0045759A" w:rsidRPr="00BC71D8">
        <w:rPr>
          <w:lang w:val="en-GB"/>
        </w:rPr>
        <w:t>s</w:t>
      </w:r>
      <w:r w:rsidR="00D810DE" w:rsidRPr="00BC71D8">
        <w:rPr>
          <w:lang w:val="en-GB"/>
        </w:rPr>
        <w:t xml:space="preserve">, the company </w:t>
      </w:r>
      <w:r w:rsidR="0045759A" w:rsidRPr="00BC71D8">
        <w:rPr>
          <w:lang w:val="en-GB"/>
        </w:rPr>
        <w:t xml:space="preserve">had also </w:t>
      </w:r>
      <w:r w:rsidR="00D810DE" w:rsidRPr="00BC71D8">
        <w:rPr>
          <w:lang w:val="en-GB"/>
        </w:rPr>
        <w:t>created an ecosystem of service providers offering accommodation, ground transportation, language translation</w:t>
      </w:r>
      <w:r w:rsidR="0045759A" w:rsidRPr="00BC71D8">
        <w:rPr>
          <w:lang w:val="en-GB"/>
        </w:rPr>
        <w:t>,</w:t>
      </w:r>
      <w:r w:rsidR="00D810DE" w:rsidRPr="00BC71D8">
        <w:rPr>
          <w:lang w:val="en-GB"/>
        </w:rPr>
        <w:t xml:space="preserve"> and domestic services. So far, patients from more than 50 countries (primarily Australia, </w:t>
      </w:r>
      <w:r w:rsidR="003A2A5C">
        <w:rPr>
          <w:lang w:val="en-GB"/>
        </w:rPr>
        <w:t xml:space="preserve">countries in Africa and </w:t>
      </w:r>
      <w:r w:rsidR="0045759A" w:rsidRPr="00BC71D8">
        <w:rPr>
          <w:lang w:val="en-GB"/>
        </w:rPr>
        <w:t xml:space="preserve">the </w:t>
      </w:r>
      <w:r w:rsidR="00D810DE" w:rsidRPr="00BC71D8">
        <w:rPr>
          <w:lang w:val="en-GB"/>
        </w:rPr>
        <w:t xml:space="preserve">Middle East, and </w:t>
      </w:r>
      <w:r w:rsidR="003A2A5C">
        <w:rPr>
          <w:lang w:val="en-GB"/>
        </w:rPr>
        <w:t xml:space="preserve">in </w:t>
      </w:r>
      <w:r w:rsidR="0045759A" w:rsidRPr="00BC71D8">
        <w:rPr>
          <w:lang w:val="en-GB"/>
        </w:rPr>
        <w:t xml:space="preserve">neighbouring </w:t>
      </w:r>
      <w:r w:rsidR="00D810DE" w:rsidRPr="00BC71D8">
        <w:rPr>
          <w:lang w:val="en-GB"/>
        </w:rPr>
        <w:t xml:space="preserve">Asian nations) </w:t>
      </w:r>
      <w:r w:rsidR="0045759A" w:rsidRPr="00BC71D8">
        <w:rPr>
          <w:lang w:val="en-GB"/>
        </w:rPr>
        <w:t xml:space="preserve">had received </w:t>
      </w:r>
      <w:r w:rsidR="00D810DE" w:rsidRPr="00BC71D8">
        <w:rPr>
          <w:lang w:val="en-GB"/>
        </w:rPr>
        <w:t xml:space="preserve">satisfactory treatment using </w:t>
      </w:r>
      <w:proofErr w:type="spellStart"/>
      <w:r w:rsidR="00D810DE" w:rsidRPr="00BC71D8">
        <w:rPr>
          <w:lang w:val="en-GB"/>
        </w:rPr>
        <w:t>Vaidam’s</w:t>
      </w:r>
      <w:proofErr w:type="spellEnd"/>
      <w:r w:rsidR="00D810DE" w:rsidRPr="00BC71D8">
        <w:rPr>
          <w:lang w:val="en-GB"/>
        </w:rPr>
        <w:t xml:space="preserve"> network. It </w:t>
      </w:r>
      <w:r w:rsidR="0045759A" w:rsidRPr="00BC71D8">
        <w:rPr>
          <w:lang w:val="en-GB"/>
        </w:rPr>
        <w:t xml:space="preserve">had </w:t>
      </w:r>
      <w:r w:rsidR="00D810DE" w:rsidRPr="00BC71D8">
        <w:rPr>
          <w:lang w:val="en-GB"/>
        </w:rPr>
        <w:t xml:space="preserve">generated business </w:t>
      </w:r>
      <w:r w:rsidR="0045759A" w:rsidRPr="00BC71D8">
        <w:rPr>
          <w:lang w:val="en-GB"/>
        </w:rPr>
        <w:t xml:space="preserve">worth </w:t>
      </w:r>
      <w:r w:rsidR="00D810DE" w:rsidRPr="00BC71D8">
        <w:rPr>
          <w:lang w:val="en-GB"/>
        </w:rPr>
        <w:t xml:space="preserve">over </w:t>
      </w:r>
      <w:r w:rsidR="0045759A" w:rsidRPr="00BC71D8">
        <w:rPr>
          <w:lang w:val="en-GB"/>
        </w:rPr>
        <w:t>US$</w:t>
      </w:r>
      <w:r w:rsidR="00D810DE" w:rsidRPr="00BC71D8">
        <w:rPr>
          <w:lang w:val="en-GB"/>
        </w:rPr>
        <w:t>275,000</w:t>
      </w:r>
      <w:r w:rsidR="003A2A5C">
        <w:rPr>
          <w:rStyle w:val="FootnoteReference"/>
          <w:lang w:val="en-GB"/>
        </w:rPr>
        <w:footnoteReference w:id="2"/>
      </w:r>
      <w:r w:rsidR="00D810DE" w:rsidRPr="00BC71D8">
        <w:rPr>
          <w:lang w:val="en-GB"/>
        </w:rPr>
        <w:t xml:space="preserve"> for the</w:t>
      </w:r>
      <w:r w:rsidR="00C06C22" w:rsidRPr="00BC71D8">
        <w:rPr>
          <w:lang w:val="en-GB"/>
        </w:rPr>
        <w:t xml:space="preserve"> </w:t>
      </w:r>
      <w:r w:rsidR="0045759A" w:rsidRPr="00BC71D8">
        <w:rPr>
          <w:lang w:val="en-GB"/>
        </w:rPr>
        <w:t xml:space="preserve">associated </w:t>
      </w:r>
      <w:r w:rsidR="00D810DE" w:rsidRPr="00BC71D8">
        <w:rPr>
          <w:lang w:val="en-GB"/>
        </w:rPr>
        <w:t xml:space="preserve">hospitals and medical practitioners </w:t>
      </w:r>
      <w:r w:rsidR="0045759A" w:rsidRPr="00BC71D8">
        <w:rPr>
          <w:lang w:val="en-GB"/>
        </w:rPr>
        <w:t xml:space="preserve">during </w:t>
      </w:r>
      <w:r w:rsidR="0046387B" w:rsidRPr="00BC71D8">
        <w:rPr>
          <w:lang w:val="en-GB"/>
        </w:rPr>
        <w:t xml:space="preserve">the first half of </w:t>
      </w:r>
      <w:r w:rsidR="0045759A" w:rsidRPr="00BC71D8">
        <w:rPr>
          <w:lang w:val="en-GB"/>
        </w:rPr>
        <w:t xml:space="preserve">financial </w:t>
      </w:r>
      <w:r w:rsidR="0046387B" w:rsidRPr="00BC71D8">
        <w:rPr>
          <w:lang w:val="en-GB"/>
        </w:rPr>
        <w:t>year 2017</w:t>
      </w:r>
      <w:r w:rsidR="0045759A" w:rsidRPr="00BC71D8">
        <w:rPr>
          <w:lang w:val="en-GB"/>
        </w:rPr>
        <w:t>–</w:t>
      </w:r>
      <w:r w:rsidR="0046387B" w:rsidRPr="00BC71D8">
        <w:rPr>
          <w:lang w:val="en-GB"/>
        </w:rPr>
        <w:t>18</w:t>
      </w:r>
      <w:r w:rsidR="00D810DE" w:rsidRPr="00BC71D8">
        <w:rPr>
          <w:lang w:val="en-GB"/>
        </w:rPr>
        <w:t>.</w:t>
      </w:r>
    </w:p>
    <w:p w14:paraId="29BB72F1" w14:textId="77777777" w:rsidR="00D810DE" w:rsidRPr="00BC71D8" w:rsidRDefault="00D810DE" w:rsidP="0025767D">
      <w:pPr>
        <w:pStyle w:val="BodyTextMain"/>
        <w:rPr>
          <w:lang w:val="en-GB"/>
        </w:rPr>
      </w:pPr>
    </w:p>
    <w:p w14:paraId="17356165" w14:textId="2690C5C7" w:rsidR="00D810DE" w:rsidRPr="00BC71D8" w:rsidRDefault="0057746E" w:rsidP="0025767D">
      <w:pPr>
        <w:pStyle w:val="BodyTextMain"/>
        <w:rPr>
          <w:lang w:val="en-GB"/>
        </w:rPr>
      </w:pPr>
      <w:r>
        <w:rPr>
          <w:lang w:val="en-GB"/>
        </w:rPr>
        <w:t>As o</w:t>
      </w:r>
      <w:r w:rsidR="00D810DE" w:rsidRPr="00BC71D8">
        <w:rPr>
          <w:lang w:val="en-GB"/>
        </w:rPr>
        <w:t xml:space="preserve">ne of the pioneers </w:t>
      </w:r>
      <w:r w:rsidR="00A2623B" w:rsidRPr="00BC71D8">
        <w:rPr>
          <w:lang w:val="en-GB"/>
        </w:rPr>
        <w:t xml:space="preserve">in </w:t>
      </w:r>
      <w:r w:rsidR="00670A4E" w:rsidRPr="00BC71D8">
        <w:rPr>
          <w:lang w:val="en-GB"/>
        </w:rPr>
        <w:t>set</w:t>
      </w:r>
      <w:r w:rsidR="00A2623B" w:rsidRPr="00BC71D8">
        <w:rPr>
          <w:lang w:val="en-GB"/>
        </w:rPr>
        <w:t>ting</w:t>
      </w:r>
      <w:r w:rsidR="00C06C22" w:rsidRPr="00BC71D8">
        <w:rPr>
          <w:lang w:val="en-GB"/>
        </w:rPr>
        <w:t xml:space="preserve"> </w:t>
      </w:r>
      <w:r w:rsidR="00670A4E" w:rsidRPr="00BC71D8">
        <w:rPr>
          <w:lang w:val="en-GB"/>
        </w:rPr>
        <w:t xml:space="preserve">up </w:t>
      </w:r>
      <w:r w:rsidR="00D810DE" w:rsidRPr="00BC71D8">
        <w:rPr>
          <w:lang w:val="en-GB"/>
        </w:rPr>
        <w:t xml:space="preserve">web-based MVT services in India, </w:t>
      </w:r>
      <w:proofErr w:type="spellStart"/>
      <w:r w:rsidR="00D810DE" w:rsidRPr="00BC71D8">
        <w:rPr>
          <w:lang w:val="en-GB"/>
        </w:rPr>
        <w:t>Vaidam</w:t>
      </w:r>
      <w:proofErr w:type="spellEnd"/>
      <w:r w:rsidR="00C06C22" w:rsidRPr="00BC71D8">
        <w:rPr>
          <w:lang w:val="en-GB"/>
        </w:rPr>
        <w:t xml:space="preserve"> </w:t>
      </w:r>
      <w:r w:rsidR="00D810DE" w:rsidRPr="00BC71D8">
        <w:rPr>
          <w:lang w:val="en-GB"/>
        </w:rPr>
        <w:t>wa</w:t>
      </w:r>
      <w:r w:rsidR="00C06C22" w:rsidRPr="00BC71D8">
        <w:rPr>
          <w:lang w:val="en-GB"/>
        </w:rPr>
        <w:t xml:space="preserve">s </w:t>
      </w:r>
      <w:r w:rsidR="00D810DE" w:rsidRPr="00BC71D8">
        <w:rPr>
          <w:lang w:val="en-GB"/>
        </w:rPr>
        <w:t xml:space="preserve">able to gain the trust of overseas patients by offering personalized and customized care with complete transparency. From </w:t>
      </w:r>
      <w:r w:rsidR="0045759A" w:rsidRPr="00BC71D8">
        <w:rPr>
          <w:lang w:val="en-GB"/>
        </w:rPr>
        <w:t xml:space="preserve">a </w:t>
      </w:r>
      <w:r w:rsidR="00D810DE" w:rsidRPr="00BC71D8">
        <w:rPr>
          <w:lang w:val="en-GB"/>
        </w:rPr>
        <w:t xml:space="preserve">business environment perspective, the Indian </w:t>
      </w:r>
      <w:r w:rsidR="000B7F13">
        <w:rPr>
          <w:lang w:val="en-GB"/>
        </w:rPr>
        <w:t>health care</w:t>
      </w:r>
      <w:r w:rsidR="00D810DE" w:rsidRPr="00BC71D8">
        <w:rPr>
          <w:lang w:val="en-GB"/>
        </w:rPr>
        <w:t xml:space="preserve"> industry, backed by the supportive policies of </w:t>
      </w:r>
      <w:r w:rsidR="007B3744" w:rsidRPr="00BC71D8">
        <w:rPr>
          <w:lang w:val="en-GB"/>
        </w:rPr>
        <w:t xml:space="preserve">the </w:t>
      </w:r>
      <w:r w:rsidR="00D810DE" w:rsidRPr="00BC71D8">
        <w:rPr>
          <w:lang w:val="en-GB"/>
        </w:rPr>
        <w:t xml:space="preserve">government of India (GOI), </w:t>
      </w:r>
      <w:r w:rsidR="0045759A" w:rsidRPr="00BC71D8">
        <w:rPr>
          <w:lang w:val="en-GB"/>
        </w:rPr>
        <w:t>was</w:t>
      </w:r>
      <w:r w:rsidR="00D810DE" w:rsidRPr="00BC71D8">
        <w:rPr>
          <w:lang w:val="en-GB"/>
        </w:rPr>
        <w:t xml:space="preserve"> emerging as a global destination for medical tourism. Given the improved </w:t>
      </w:r>
      <w:r w:rsidR="00D810DE" w:rsidRPr="00BC71D8">
        <w:rPr>
          <w:lang w:val="en-GB"/>
        </w:rPr>
        <w:lastRenderedPageBreak/>
        <w:t xml:space="preserve">attractiveness of MVT, the founders of </w:t>
      </w:r>
      <w:proofErr w:type="spellStart"/>
      <w:r w:rsidR="00D810DE" w:rsidRPr="00BC71D8">
        <w:rPr>
          <w:lang w:val="en-GB"/>
        </w:rPr>
        <w:t>Vaidam</w:t>
      </w:r>
      <w:proofErr w:type="spellEnd"/>
      <w:r w:rsidR="00D810DE" w:rsidRPr="00BC71D8">
        <w:rPr>
          <w:lang w:val="en-GB"/>
        </w:rPr>
        <w:t xml:space="preserve"> realiz</w:t>
      </w:r>
      <w:r w:rsidR="0045759A" w:rsidRPr="00BC71D8">
        <w:rPr>
          <w:lang w:val="en-GB"/>
        </w:rPr>
        <w:t>ed</w:t>
      </w:r>
      <w:r w:rsidR="00D810DE" w:rsidRPr="00BC71D8">
        <w:rPr>
          <w:lang w:val="en-GB"/>
        </w:rPr>
        <w:t xml:space="preserve"> that they would face tough competition in attempt</w:t>
      </w:r>
      <w:r w:rsidR="0045759A" w:rsidRPr="00BC71D8">
        <w:rPr>
          <w:lang w:val="en-GB"/>
        </w:rPr>
        <w:t>ing</w:t>
      </w:r>
      <w:r w:rsidR="00D810DE" w:rsidRPr="00BC71D8">
        <w:rPr>
          <w:lang w:val="en-GB"/>
        </w:rPr>
        <w:t xml:space="preserve"> to further leverage </w:t>
      </w:r>
      <w:r w:rsidR="0045759A" w:rsidRPr="00BC71D8">
        <w:rPr>
          <w:lang w:val="en-GB"/>
        </w:rPr>
        <w:t xml:space="preserve">this </w:t>
      </w:r>
      <w:r w:rsidR="00D810DE" w:rsidRPr="00BC71D8">
        <w:rPr>
          <w:lang w:val="en-GB"/>
        </w:rPr>
        <w:t xml:space="preserve">massive unaddressed business opportunity. Although they had successfully built the company </w:t>
      </w:r>
      <w:r w:rsidR="0045759A" w:rsidRPr="00BC71D8">
        <w:rPr>
          <w:lang w:val="en-GB"/>
        </w:rPr>
        <w:t xml:space="preserve">using </w:t>
      </w:r>
      <w:r w:rsidR="00D810DE" w:rsidRPr="00BC71D8">
        <w:rPr>
          <w:lang w:val="en-GB"/>
        </w:rPr>
        <w:t xml:space="preserve">personal finances and </w:t>
      </w:r>
      <w:r w:rsidR="005615A2" w:rsidRPr="00BC71D8">
        <w:rPr>
          <w:lang w:val="en-GB"/>
        </w:rPr>
        <w:t xml:space="preserve">had </w:t>
      </w:r>
      <w:r w:rsidR="00D810DE" w:rsidRPr="00BC71D8">
        <w:rPr>
          <w:lang w:val="en-GB"/>
        </w:rPr>
        <w:t xml:space="preserve">come this far, they </w:t>
      </w:r>
      <w:r w:rsidR="0045759A" w:rsidRPr="00BC71D8">
        <w:rPr>
          <w:lang w:val="en-GB"/>
        </w:rPr>
        <w:t>now faced</w:t>
      </w:r>
      <w:r w:rsidR="00D810DE" w:rsidRPr="00BC71D8">
        <w:rPr>
          <w:lang w:val="en-GB"/>
        </w:rPr>
        <w:t xml:space="preserve"> a tougher challenge</w:t>
      </w:r>
      <w:r w:rsidR="0045759A" w:rsidRPr="00BC71D8">
        <w:rPr>
          <w:lang w:val="en-GB"/>
        </w:rPr>
        <w:t xml:space="preserve">. </w:t>
      </w:r>
      <w:r w:rsidR="00D810DE" w:rsidRPr="00BC71D8">
        <w:rPr>
          <w:lang w:val="en-GB"/>
        </w:rPr>
        <w:t>As a</w:t>
      </w:r>
      <w:r w:rsidR="0045759A" w:rsidRPr="00BC71D8">
        <w:rPr>
          <w:lang w:val="en-GB"/>
        </w:rPr>
        <w:t>n</w:t>
      </w:r>
      <w:r w:rsidR="00D810DE" w:rsidRPr="00BC71D8">
        <w:rPr>
          <w:lang w:val="en-GB"/>
        </w:rPr>
        <w:t xml:space="preserve"> MVT facilitator, </w:t>
      </w:r>
      <w:proofErr w:type="spellStart"/>
      <w:r w:rsidR="005615A2" w:rsidRPr="00BC71D8">
        <w:rPr>
          <w:lang w:val="en-GB"/>
        </w:rPr>
        <w:t>Vaidam</w:t>
      </w:r>
      <w:proofErr w:type="spellEnd"/>
      <w:r w:rsidR="005615A2" w:rsidRPr="00BC71D8">
        <w:rPr>
          <w:lang w:val="en-GB"/>
        </w:rPr>
        <w:t xml:space="preserve"> </w:t>
      </w:r>
      <w:r w:rsidR="0045759A" w:rsidRPr="00BC71D8">
        <w:rPr>
          <w:lang w:val="en-GB"/>
        </w:rPr>
        <w:t xml:space="preserve">needed to determine how it could </w:t>
      </w:r>
      <w:r w:rsidR="00D810DE" w:rsidRPr="00BC71D8">
        <w:rPr>
          <w:lang w:val="en-GB"/>
        </w:rPr>
        <w:t xml:space="preserve">continuously offer value to medical </w:t>
      </w:r>
      <w:r w:rsidR="0045759A" w:rsidRPr="00BC71D8">
        <w:rPr>
          <w:lang w:val="en-GB"/>
        </w:rPr>
        <w:t>traveller</w:t>
      </w:r>
      <w:r w:rsidR="00D810DE" w:rsidRPr="00BC71D8">
        <w:rPr>
          <w:lang w:val="en-GB"/>
        </w:rPr>
        <w:t xml:space="preserve">s so that they </w:t>
      </w:r>
      <w:r w:rsidR="0045759A" w:rsidRPr="00BC71D8">
        <w:rPr>
          <w:lang w:val="en-GB"/>
        </w:rPr>
        <w:t xml:space="preserve">would </w:t>
      </w:r>
      <w:r w:rsidR="00D810DE" w:rsidRPr="00BC71D8">
        <w:rPr>
          <w:lang w:val="en-GB"/>
        </w:rPr>
        <w:t xml:space="preserve">continue to choose </w:t>
      </w:r>
      <w:proofErr w:type="spellStart"/>
      <w:r w:rsidR="00D810DE" w:rsidRPr="00BC71D8">
        <w:rPr>
          <w:lang w:val="en-GB"/>
        </w:rPr>
        <w:t>Vaidam</w:t>
      </w:r>
      <w:proofErr w:type="spellEnd"/>
      <w:r w:rsidR="00D810DE" w:rsidRPr="00BC71D8">
        <w:rPr>
          <w:lang w:val="en-GB"/>
        </w:rPr>
        <w:t xml:space="preserve"> </w:t>
      </w:r>
      <w:r w:rsidR="005671AB" w:rsidRPr="00BC71D8">
        <w:rPr>
          <w:lang w:val="en-GB"/>
        </w:rPr>
        <w:t>to</w:t>
      </w:r>
      <w:r w:rsidR="00C06C22" w:rsidRPr="00BC71D8">
        <w:rPr>
          <w:lang w:val="en-GB"/>
        </w:rPr>
        <w:t xml:space="preserve"> </w:t>
      </w:r>
      <w:r w:rsidR="00D810DE" w:rsidRPr="00BC71D8">
        <w:rPr>
          <w:lang w:val="en-GB"/>
        </w:rPr>
        <w:t>plan their treatment and travel to India</w:t>
      </w:r>
      <w:r w:rsidR="0045759A" w:rsidRPr="00BC71D8">
        <w:rPr>
          <w:lang w:val="en-GB"/>
        </w:rPr>
        <w:t>.</w:t>
      </w:r>
    </w:p>
    <w:p w14:paraId="75E60AFF" w14:textId="77777777" w:rsidR="00D810DE" w:rsidRPr="00BC71D8" w:rsidRDefault="00D810DE" w:rsidP="00D810DE">
      <w:pPr>
        <w:jc w:val="both"/>
        <w:rPr>
          <w:lang w:val="en-GB"/>
        </w:rPr>
      </w:pPr>
    </w:p>
    <w:p w14:paraId="1540D864" w14:textId="77777777" w:rsidR="00D810DE" w:rsidRPr="00BC71D8" w:rsidRDefault="00D810DE" w:rsidP="00D810DE">
      <w:pPr>
        <w:jc w:val="both"/>
        <w:rPr>
          <w:lang w:val="en-GB"/>
        </w:rPr>
      </w:pPr>
    </w:p>
    <w:p w14:paraId="73BA42A0" w14:textId="77777777" w:rsidR="00D810DE" w:rsidRPr="00BC71D8" w:rsidRDefault="00D810DE" w:rsidP="0025767D">
      <w:pPr>
        <w:pStyle w:val="Casehead1"/>
        <w:rPr>
          <w:lang w:val="en-GB"/>
        </w:rPr>
      </w:pPr>
      <w:r w:rsidRPr="00BC71D8">
        <w:rPr>
          <w:lang w:val="en-GB"/>
        </w:rPr>
        <w:t>INDIA AS AN EMERGING MVT DESTINATION</w:t>
      </w:r>
    </w:p>
    <w:p w14:paraId="4B9AED35" w14:textId="77777777" w:rsidR="00D810DE" w:rsidRPr="00BC71D8" w:rsidRDefault="00D810DE" w:rsidP="00D810DE">
      <w:pPr>
        <w:jc w:val="both"/>
        <w:rPr>
          <w:b/>
          <w:lang w:val="en-GB"/>
        </w:rPr>
      </w:pPr>
    </w:p>
    <w:p w14:paraId="118AF87A" w14:textId="2DBA7C0E" w:rsidR="00D810DE" w:rsidRPr="00BC71D8" w:rsidRDefault="00D810DE" w:rsidP="00D810DE">
      <w:pPr>
        <w:pStyle w:val="BodyTextMain"/>
        <w:rPr>
          <w:lang w:val="en-GB"/>
        </w:rPr>
      </w:pPr>
      <w:r w:rsidRPr="00BC71D8">
        <w:rPr>
          <w:lang w:val="en-GB"/>
        </w:rPr>
        <w:t>With globalization,</w:t>
      </w:r>
      <w:r w:rsidR="00C06C22" w:rsidRPr="00BC71D8">
        <w:rPr>
          <w:lang w:val="en-GB"/>
        </w:rPr>
        <w:t xml:space="preserve"> </w:t>
      </w:r>
      <w:r w:rsidRPr="00BC71D8">
        <w:rPr>
          <w:lang w:val="en-GB"/>
        </w:rPr>
        <w:t>travelling abroad for medical interventions</w:t>
      </w:r>
      <w:r w:rsidR="0045759A" w:rsidRPr="00BC71D8">
        <w:rPr>
          <w:lang w:val="en-GB"/>
        </w:rPr>
        <w:t xml:space="preserve"> (known as </w:t>
      </w:r>
      <w:r w:rsidRPr="00BC71D8">
        <w:rPr>
          <w:lang w:val="en-GB"/>
        </w:rPr>
        <w:t>MVT</w:t>
      </w:r>
      <w:r w:rsidR="0045759A" w:rsidRPr="00BC71D8">
        <w:rPr>
          <w:lang w:val="en-GB"/>
        </w:rPr>
        <w:t>,</w:t>
      </w:r>
      <w:r w:rsidR="001B51DE" w:rsidRPr="00BC71D8">
        <w:rPr>
          <w:lang w:val="en-GB"/>
        </w:rPr>
        <w:t xml:space="preserve"> medical tourism</w:t>
      </w:r>
      <w:r w:rsidR="0045759A" w:rsidRPr="00BC71D8">
        <w:rPr>
          <w:lang w:val="en-GB"/>
        </w:rPr>
        <w:t>,</w:t>
      </w:r>
      <w:r w:rsidR="001B51DE" w:rsidRPr="00BC71D8">
        <w:rPr>
          <w:lang w:val="en-GB"/>
        </w:rPr>
        <w:t xml:space="preserve"> or health travel</w:t>
      </w:r>
      <w:r w:rsidR="0045759A" w:rsidRPr="00BC71D8">
        <w:rPr>
          <w:lang w:val="en-GB"/>
        </w:rPr>
        <w:t>)</w:t>
      </w:r>
      <w:r w:rsidR="001B51DE" w:rsidRPr="00BC71D8">
        <w:rPr>
          <w:lang w:val="en-GB"/>
        </w:rPr>
        <w:t xml:space="preserve"> ha</w:t>
      </w:r>
      <w:r w:rsidRPr="00BC71D8">
        <w:rPr>
          <w:lang w:val="en-GB"/>
        </w:rPr>
        <w:t>d become a widespread phenomenon. These medical interventions ranged from advanced medical treatments and surgeries (</w:t>
      </w:r>
      <w:r w:rsidR="00C0213D" w:rsidRPr="00BC71D8">
        <w:rPr>
          <w:lang w:val="en-GB"/>
        </w:rPr>
        <w:t xml:space="preserve">e.g., </w:t>
      </w:r>
      <w:r w:rsidRPr="00BC71D8">
        <w:rPr>
          <w:lang w:val="en-GB"/>
        </w:rPr>
        <w:t xml:space="preserve">curative </w:t>
      </w:r>
      <w:r w:rsidR="0045759A" w:rsidRPr="00BC71D8">
        <w:rPr>
          <w:lang w:val="en-GB"/>
        </w:rPr>
        <w:t xml:space="preserve">treatments </w:t>
      </w:r>
      <w:r w:rsidRPr="00BC71D8">
        <w:rPr>
          <w:lang w:val="en-GB"/>
        </w:rPr>
        <w:t>such as cardiac surgery or knee replacement)</w:t>
      </w:r>
      <w:r w:rsidR="009B0756" w:rsidRPr="00BC71D8">
        <w:rPr>
          <w:lang w:val="en-GB"/>
        </w:rPr>
        <w:t xml:space="preserve"> to</w:t>
      </w:r>
      <w:r w:rsidRPr="00BC71D8">
        <w:rPr>
          <w:lang w:val="en-GB"/>
        </w:rPr>
        <w:t xml:space="preserve"> wellness or rejuvenation</w:t>
      </w:r>
      <w:r w:rsidR="00C0213D" w:rsidRPr="00BC71D8">
        <w:rPr>
          <w:lang w:val="en-GB"/>
        </w:rPr>
        <w:t xml:space="preserve"> treatments</w:t>
      </w:r>
      <w:r w:rsidR="00C06C22" w:rsidRPr="00BC71D8">
        <w:rPr>
          <w:lang w:val="en-GB"/>
        </w:rPr>
        <w:t xml:space="preserve"> </w:t>
      </w:r>
      <w:r w:rsidRPr="00BC71D8">
        <w:rPr>
          <w:lang w:val="en-GB"/>
        </w:rPr>
        <w:t>(</w:t>
      </w:r>
      <w:r w:rsidR="00C0213D" w:rsidRPr="00BC71D8">
        <w:rPr>
          <w:lang w:val="en-GB"/>
        </w:rPr>
        <w:t xml:space="preserve">e.g., </w:t>
      </w:r>
      <w:r w:rsidRPr="00BC71D8">
        <w:rPr>
          <w:lang w:val="en-GB"/>
        </w:rPr>
        <w:t>cosmetic surgery and spa services) and alternative medicine</w:t>
      </w:r>
      <w:r w:rsidR="00C06C22" w:rsidRPr="00BC71D8">
        <w:rPr>
          <w:lang w:val="en-GB"/>
        </w:rPr>
        <w:t xml:space="preserve"> </w:t>
      </w:r>
      <w:r w:rsidRPr="00BC71D8">
        <w:rPr>
          <w:lang w:val="en-GB"/>
        </w:rPr>
        <w:t>(</w:t>
      </w:r>
      <w:r w:rsidR="00C0213D" w:rsidRPr="00BC71D8">
        <w:rPr>
          <w:lang w:val="en-GB"/>
        </w:rPr>
        <w:t xml:space="preserve">e.g., </w:t>
      </w:r>
      <w:r w:rsidRPr="00BC71D8">
        <w:rPr>
          <w:lang w:val="en-GB"/>
        </w:rPr>
        <w:t xml:space="preserve">Ayurveda and </w:t>
      </w:r>
      <w:r w:rsidR="00C0213D" w:rsidRPr="00BC71D8">
        <w:rPr>
          <w:lang w:val="en-GB"/>
        </w:rPr>
        <w:t>n</w:t>
      </w:r>
      <w:r w:rsidRPr="00BC71D8">
        <w:rPr>
          <w:lang w:val="en-GB"/>
        </w:rPr>
        <w:t>aturopathy).</w:t>
      </w:r>
      <w:r w:rsidRPr="00BC71D8">
        <w:rPr>
          <w:rStyle w:val="FootnoteReference"/>
          <w:lang w:val="en-GB"/>
        </w:rPr>
        <w:footnoteReference w:id="3"/>
      </w:r>
      <w:r w:rsidRPr="00BC71D8">
        <w:rPr>
          <w:lang w:val="en-GB"/>
        </w:rPr>
        <w:t xml:space="preserve"> The last two decades had witnessed a shift in the MVT destination</w:t>
      </w:r>
      <w:r w:rsidR="007C79C4" w:rsidRPr="00BC71D8">
        <w:rPr>
          <w:lang w:val="en-GB"/>
        </w:rPr>
        <w:t>s</w:t>
      </w:r>
      <w:r w:rsidR="00C06C22" w:rsidRPr="00BC71D8">
        <w:rPr>
          <w:lang w:val="en-GB"/>
        </w:rPr>
        <w:t xml:space="preserve"> </w:t>
      </w:r>
      <w:r w:rsidR="00C0213D" w:rsidRPr="00BC71D8">
        <w:rPr>
          <w:lang w:val="en-GB"/>
        </w:rPr>
        <w:t xml:space="preserve">preferred by travellers </w:t>
      </w:r>
      <w:r w:rsidRPr="00BC71D8">
        <w:rPr>
          <w:lang w:val="en-GB"/>
        </w:rPr>
        <w:t xml:space="preserve">from the developed markets of </w:t>
      </w:r>
      <w:r w:rsidR="00C0213D" w:rsidRPr="00BC71D8">
        <w:rPr>
          <w:lang w:val="en-GB"/>
        </w:rPr>
        <w:t xml:space="preserve">the </w:t>
      </w:r>
      <w:r w:rsidRPr="00BC71D8">
        <w:rPr>
          <w:lang w:val="en-GB"/>
        </w:rPr>
        <w:t>United States</w:t>
      </w:r>
      <w:r w:rsidR="00C06C22" w:rsidRPr="00BC71D8">
        <w:rPr>
          <w:lang w:val="en-GB"/>
        </w:rPr>
        <w:t xml:space="preserve"> </w:t>
      </w:r>
      <w:r w:rsidRPr="00BC71D8">
        <w:rPr>
          <w:lang w:val="en-GB"/>
        </w:rPr>
        <w:t>and Western Europe</w:t>
      </w:r>
      <w:r w:rsidR="00C0213D" w:rsidRPr="00BC71D8">
        <w:rPr>
          <w:lang w:val="en-GB"/>
        </w:rPr>
        <w:t>, who now travelled to</w:t>
      </w:r>
      <w:r w:rsidRPr="00BC71D8">
        <w:rPr>
          <w:lang w:val="en-GB"/>
        </w:rPr>
        <w:t xml:space="preserve"> Asian </w:t>
      </w:r>
      <w:r w:rsidR="00C0213D" w:rsidRPr="00BC71D8">
        <w:rPr>
          <w:lang w:val="en-GB"/>
        </w:rPr>
        <w:t xml:space="preserve">countries </w:t>
      </w:r>
      <w:r w:rsidRPr="00BC71D8">
        <w:rPr>
          <w:lang w:val="en-GB"/>
        </w:rPr>
        <w:t>such as Malaysia, Thailand, Singapore, South Korea</w:t>
      </w:r>
      <w:r w:rsidR="00C0213D" w:rsidRPr="00BC71D8">
        <w:rPr>
          <w:lang w:val="en-GB"/>
        </w:rPr>
        <w:t>,</w:t>
      </w:r>
      <w:r w:rsidRPr="00BC71D8">
        <w:rPr>
          <w:lang w:val="en-GB"/>
        </w:rPr>
        <w:t xml:space="preserve"> and India.</w:t>
      </w:r>
      <w:r w:rsidRPr="00BC71D8">
        <w:rPr>
          <w:rStyle w:val="FootnoteReference"/>
          <w:lang w:val="en-GB"/>
        </w:rPr>
        <w:footnoteReference w:id="4"/>
      </w:r>
      <w:r w:rsidR="000C2685">
        <w:rPr>
          <w:lang w:val="en-GB"/>
        </w:rPr>
        <w:t xml:space="preserve"> </w:t>
      </w:r>
      <w:r w:rsidRPr="00BC71D8">
        <w:rPr>
          <w:lang w:val="en-GB"/>
        </w:rPr>
        <w:t xml:space="preserve">Rising </w:t>
      </w:r>
      <w:r w:rsidR="000B7F13">
        <w:rPr>
          <w:lang w:val="en-GB"/>
        </w:rPr>
        <w:t>health care</w:t>
      </w:r>
      <w:r w:rsidR="00C0213D" w:rsidRPr="00BC71D8">
        <w:rPr>
          <w:lang w:val="en-GB"/>
        </w:rPr>
        <w:t xml:space="preserve"> </w:t>
      </w:r>
      <w:r w:rsidRPr="00BC71D8">
        <w:rPr>
          <w:lang w:val="en-GB"/>
        </w:rPr>
        <w:t>cost</w:t>
      </w:r>
      <w:r w:rsidR="00C0213D" w:rsidRPr="00BC71D8">
        <w:rPr>
          <w:lang w:val="en-GB"/>
        </w:rPr>
        <w:t xml:space="preserve">s and </w:t>
      </w:r>
      <w:r w:rsidRPr="00BC71D8">
        <w:rPr>
          <w:lang w:val="en-GB"/>
        </w:rPr>
        <w:t>long waiting time</w:t>
      </w:r>
      <w:r w:rsidR="00C0213D" w:rsidRPr="00BC71D8">
        <w:rPr>
          <w:lang w:val="en-GB"/>
        </w:rPr>
        <w:t>s</w:t>
      </w:r>
      <w:r w:rsidRPr="00BC71D8">
        <w:rPr>
          <w:lang w:val="en-GB"/>
        </w:rPr>
        <w:t xml:space="preserve"> for treatment in developed countries</w:t>
      </w:r>
      <w:r w:rsidR="00C0213D" w:rsidRPr="00BC71D8">
        <w:rPr>
          <w:lang w:val="en-GB"/>
        </w:rPr>
        <w:t xml:space="preserve"> combined with the </w:t>
      </w:r>
      <w:r w:rsidRPr="00BC71D8">
        <w:rPr>
          <w:lang w:val="en-GB"/>
        </w:rPr>
        <w:t xml:space="preserve">availability of heavily subsidized, world-class medical care in Asian countries were the key reasons for this shift. </w:t>
      </w:r>
    </w:p>
    <w:p w14:paraId="1B6B1B37" w14:textId="77777777" w:rsidR="00D810DE" w:rsidRPr="00BC71D8" w:rsidRDefault="00D810DE" w:rsidP="00D810DE">
      <w:pPr>
        <w:pStyle w:val="BodyTextMain"/>
        <w:rPr>
          <w:lang w:val="en-GB"/>
        </w:rPr>
      </w:pPr>
    </w:p>
    <w:p w14:paraId="76FFDDFA" w14:textId="0A620378" w:rsidR="00D810DE" w:rsidRPr="00BC71D8" w:rsidRDefault="00D810DE" w:rsidP="00F43436">
      <w:pPr>
        <w:pStyle w:val="BodyTextMain"/>
        <w:rPr>
          <w:lang w:val="en-GB"/>
        </w:rPr>
      </w:pPr>
      <w:r w:rsidRPr="00BC71D8">
        <w:rPr>
          <w:lang w:val="en-GB"/>
        </w:rPr>
        <w:t>India was one of the key destinations for MVT and witnessed a 22</w:t>
      </w:r>
      <w:r w:rsidR="00C0213D" w:rsidRPr="00BC71D8">
        <w:rPr>
          <w:lang w:val="en-GB"/>
        </w:rPr>
        <w:t>–</w:t>
      </w:r>
      <w:r w:rsidRPr="00BC71D8">
        <w:rPr>
          <w:lang w:val="en-GB"/>
        </w:rPr>
        <w:t xml:space="preserve">25 </w:t>
      </w:r>
      <w:r w:rsidR="00390D38" w:rsidRPr="00BC71D8">
        <w:rPr>
          <w:lang w:val="en-GB"/>
        </w:rPr>
        <w:t>per cent</w:t>
      </w:r>
      <w:r w:rsidRPr="00BC71D8">
        <w:rPr>
          <w:lang w:val="en-GB"/>
        </w:rPr>
        <w:t xml:space="preserve"> growth in the arrival of medical tourists in 2017.</w:t>
      </w:r>
      <w:r w:rsidRPr="00BC71D8">
        <w:rPr>
          <w:rStyle w:val="FootnoteReference"/>
          <w:lang w:val="en-GB"/>
        </w:rPr>
        <w:footnoteReference w:id="5"/>
      </w:r>
      <w:r w:rsidR="00DD59A9">
        <w:rPr>
          <w:lang w:val="en-GB"/>
        </w:rPr>
        <w:t xml:space="preserve"> </w:t>
      </w:r>
      <w:r w:rsidRPr="00BC71D8">
        <w:rPr>
          <w:lang w:val="en-GB"/>
        </w:rPr>
        <w:t>The MVT ind</w:t>
      </w:r>
      <w:r w:rsidR="001B51DE" w:rsidRPr="00BC71D8">
        <w:rPr>
          <w:lang w:val="en-GB"/>
        </w:rPr>
        <w:t xml:space="preserve">ustry was expected to reach </w:t>
      </w:r>
      <w:r w:rsidR="00C0213D" w:rsidRPr="00BC71D8">
        <w:rPr>
          <w:lang w:val="en-GB"/>
        </w:rPr>
        <w:t>$</w:t>
      </w:r>
      <w:r w:rsidRPr="00BC71D8">
        <w:rPr>
          <w:lang w:val="en-GB"/>
        </w:rPr>
        <w:t xml:space="preserve">9 billion by 2020. This was evident from the steep rise in the number of medical visas </w:t>
      </w:r>
      <w:r w:rsidR="00C0213D" w:rsidRPr="00BC71D8">
        <w:rPr>
          <w:lang w:val="en-GB"/>
        </w:rPr>
        <w:t xml:space="preserve">the country had </w:t>
      </w:r>
      <w:r w:rsidRPr="00BC71D8">
        <w:rPr>
          <w:lang w:val="en-GB"/>
        </w:rPr>
        <w:t xml:space="preserve">issued for </w:t>
      </w:r>
      <w:r w:rsidR="00C0213D" w:rsidRPr="00BC71D8">
        <w:rPr>
          <w:lang w:val="en-GB"/>
        </w:rPr>
        <w:t xml:space="preserve">both </w:t>
      </w:r>
      <w:r w:rsidRPr="00BC71D8">
        <w:rPr>
          <w:lang w:val="en-GB"/>
        </w:rPr>
        <w:t>initial medical treatment</w:t>
      </w:r>
      <w:r w:rsidR="00C0213D" w:rsidRPr="00BC71D8">
        <w:rPr>
          <w:lang w:val="en-GB"/>
        </w:rPr>
        <w:t>s</w:t>
      </w:r>
      <w:r w:rsidRPr="00BC71D8">
        <w:rPr>
          <w:lang w:val="en-GB"/>
        </w:rPr>
        <w:t xml:space="preserve"> and follow-up</w:t>
      </w:r>
      <w:r w:rsidR="00C0213D" w:rsidRPr="00BC71D8">
        <w:rPr>
          <w:lang w:val="en-GB"/>
        </w:rPr>
        <w:t xml:space="preserve"> visit</w:t>
      </w:r>
      <w:r w:rsidRPr="00BC71D8">
        <w:rPr>
          <w:lang w:val="en-GB"/>
        </w:rPr>
        <w:t>s.</w:t>
      </w:r>
      <w:r w:rsidRPr="00BC71D8">
        <w:rPr>
          <w:rStyle w:val="FootnoteReference"/>
          <w:lang w:val="en-GB"/>
        </w:rPr>
        <w:footnoteReference w:id="6"/>
      </w:r>
      <w:r w:rsidR="00C0213D" w:rsidRPr="00BC71D8">
        <w:rPr>
          <w:lang w:val="en-GB"/>
        </w:rPr>
        <w:t xml:space="preserve"> The m</w:t>
      </w:r>
      <w:r w:rsidRPr="00BC71D8">
        <w:rPr>
          <w:lang w:val="en-GB"/>
        </w:rPr>
        <w:t>ajority of these tourists were from South Asian Association for Regional Cooperation nations</w:t>
      </w:r>
      <w:r w:rsidR="00C06C22" w:rsidRPr="00BC71D8">
        <w:rPr>
          <w:lang w:val="en-GB"/>
        </w:rPr>
        <w:t xml:space="preserve"> </w:t>
      </w:r>
      <w:r w:rsidRPr="00BC71D8">
        <w:rPr>
          <w:lang w:val="en-GB"/>
        </w:rPr>
        <w:t xml:space="preserve">such as </w:t>
      </w:r>
      <w:r w:rsidRPr="00F43436">
        <w:rPr>
          <w:lang w:val="en-GB"/>
        </w:rPr>
        <w:t>Bangladesh, Afghanistan</w:t>
      </w:r>
      <w:r w:rsidR="00C0213D" w:rsidRPr="00F43436">
        <w:rPr>
          <w:lang w:val="en-GB"/>
        </w:rPr>
        <w:t>,</w:t>
      </w:r>
      <w:r w:rsidRPr="00F43436">
        <w:rPr>
          <w:lang w:val="en-GB"/>
        </w:rPr>
        <w:t xml:space="preserve"> and </w:t>
      </w:r>
      <w:r w:rsidR="005671AB" w:rsidRPr="00F43436">
        <w:rPr>
          <w:lang w:val="en-GB"/>
        </w:rPr>
        <w:t xml:space="preserve">the </w:t>
      </w:r>
      <w:r w:rsidRPr="00F43436">
        <w:rPr>
          <w:lang w:val="en-GB"/>
        </w:rPr>
        <w:t>Maldives</w:t>
      </w:r>
      <w:r w:rsidR="00C0213D" w:rsidRPr="00F43436">
        <w:rPr>
          <w:lang w:val="en-GB"/>
        </w:rPr>
        <w:t xml:space="preserve">; </w:t>
      </w:r>
      <w:r w:rsidRPr="00F43436">
        <w:rPr>
          <w:lang w:val="en-GB"/>
        </w:rPr>
        <w:t>Commonwealth of Independent States</w:t>
      </w:r>
      <w:r w:rsidR="00C06C22" w:rsidRPr="00F43436">
        <w:rPr>
          <w:lang w:val="en-GB"/>
        </w:rPr>
        <w:t xml:space="preserve"> </w:t>
      </w:r>
      <w:r w:rsidR="00C0213D" w:rsidRPr="00F43436">
        <w:rPr>
          <w:lang w:val="en-GB"/>
        </w:rPr>
        <w:t xml:space="preserve">countries </w:t>
      </w:r>
      <w:r w:rsidRPr="00F43436">
        <w:rPr>
          <w:lang w:val="en-GB"/>
        </w:rPr>
        <w:t>such as Russia, Kazakhstan</w:t>
      </w:r>
      <w:r w:rsidR="00C0213D" w:rsidRPr="00F43436">
        <w:rPr>
          <w:lang w:val="en-GB"/>
        </w:rPr>
        <w:t>,</w:t>
      </w:r>
      <w:r w:rsidRPr="00F43436">
        <w:rPr>
          <w:lang w:val="en-GB"/>
        </w:rPr>
        <w:t xml:space="preserve"> and Moldova</w:t>
      </w:r>
      <w:r w:rsidR="00C0213D" w:rsidRPr="00F43436">
        <w:rPr>
          <w:lang w:val="en-GB"/>
        </w:rPr>
        <w:t xml:space="preserve">; </w:t>
      </w:r>
      <w:r w:rsidRPr="00F43436">
        <w:rPr>
          <w:lang w:val="en-GB"/>
        </w:rPr>
        <w:t>Africa</w:t>
      </w:r>
      <w:r w:rsidR="00C0213D" w:rsidRPr="00F43436">
        <w:rPr>
          <w:lang w:val="en-GB"/>
        </w:rPr>
        <w:t xml:space="preserve">n countries such as </w:t>
      </w:r>
      <w:r w:rsidRPr="00F43436">
        <w:rPr>
          <w:lang w:val="en-GB"/>
        </w:rPr>
        <w:t>South Africa, Kenya</w:t>
      </w:r>
      <w:r w:rsidR="00C0213D" w:rsidRPr="00F43436">
        <w:rPr>
          <w:lang w:val="en-GB"/>
        </w:rPr>
        <w:t>,</w:t>
      </w:r>
      <w:r w:rsidRPr="00F43436">
        <w:rPr>
          <w:lang w:val="en-GB"/>
        </w:rPr>
        <w:t xml:space="preserve"> and Nigeria</w:t>
      </w:r>
      <w:r w:rsidR="00C0213D" w:rsidRPr="00F43436">
        <w:rPr>
          <w:lang w:val="en-GB"/>
        </w:rPr>
        <w:t xml:space="preserve">; </w:t>
      </w:r>
      <w:r w:rsidRPr="00F43436">
        <w:rPr>
          <w:lang w:val="en-GB"/>
        </w:rPr>
        <w:t>and Middle Eastern</w:t>
      </w:r>
      <w:r w:rsidRPr="00BC71D8">
        <w:rPr>
          <w:lang w:val="en-GB"/>
        </w:rPr>
        <w:t xml:space="preserve"> countries</w:t>
      </w:r>
      <w:r w:rsidR="00C06C22" w:rsidRPr="00BC71D8">
        <w:rPr>
          <w:lang w:val="en-GB"/>
        </w:rPr>
        <w:t xml:space="preserve"> </w:t>
      </w:r>
      <w:r w:rsidRPr="00BC71D8">
        <w:rPr>
          <w:lang w:val="en-GB"/>
        </w:rPr>
        <w:t>such as Iran, Turkey</w:t>
      </w:r>
      <w:r w:rsidR="00C0213D" w:rsidRPr="00BC71D8">
        <w:rPr>
          <w:lang w:val="en-GB"/>
        </w:rPr>
        <w:t>,</w:t>
      </w:r>
      <w:r w:rsidRPr="00BC71D8">
        <w:rPr>
          <w:lang w:val="en-GB"/>
        </w:rPr>
        <w:t xml:space="preserve"> and Egypt. Patients from these regions were primarily travelling for advanced curative care for cardiac and </w:t>
      </w:r>
      <w:r w:rsidR="00D46D9C" w:rsidRPr="00BC71D8">
        <w:rPr>
          <w:lang w:val="en-GB"/>
        </w:rPr>
        <w:t>orthopaedic</w:t>
      </w:r>
      <w:r w:rsidRPr="00BC71D8">
        <w:rPr>
          <w:lang w:val="en-GB"/>
        </w:rPr>
        <w:t xml:space="preserve"> treatments.</w:t>
      </w:r>
      <w:r w:rsidR="00C06C22" w:rsidRPr="00BC71D8">
        <w:rPr>
          <w:lang w:val="en-GB"/>
        </w:rPr>
        <w:t xml:space="preserve"> </w:t>
      </w:r>
      <w:r w:rsidRPr="00BC71D8">
        <w:rPr>
          <w:lang w:val="en-GB"/>
        </w:rPr>
        <w:t xml:space="preserve">However, despite </w:t>
      </w:r>
      <w:r w:rsidR="00C0213D" w:rsidRPr="00BC71D8">
        <w:rPr>
          <w:lang w:val="en-GB"/>
        </w:rPr>
        <w:t xml:space="preserve">large numbers of </w:t>
      </w:r>
      <w:r w:rsidRPr="00BC71D8">
        <w:rPr>
          <w:lang w:val="en-GB"/>
        </w:rPr>
        <w:t>foreign tourist</w:t>
      </w:r>
      <w:r w:rsidR="00C0213D" w:rsidRPr="00BC71D8">
        <w:rPr>
          <w:lang w:val="en-GB"/>
        </w:rPr>
        <w:t>s</w:t>
      </w:r>
      <w:r w:rsidR="00C06C22" w:rsidRPr="00BC71D8">
        <w:rPr>
          <w:lang w:val="en-GB"/>
        </w:rPr>
        <w:t xml:space="preserve"> </w:t>
      </w:r>
      <w:r w:rsidR="00C0213D" w:rsidRPr="00BC71D8">
        <w:rPr>
          <w:lang w:val="en-GB"/>
        </w:rPr>
        <w:t xml:space="preserve">arriving </w:t>
      </w:r>
      <w:r w:rsidRPr="00BC71D8">
        <w:rPr>
          <w:lang w:val="en-GB"/>
        </w:rPr>
        <w:t xml:space="preserve">from </w:t>
      </w:r>
      <w:r w:rsidR="00C0213D" w:rsidRPr="00BC71D8">
        <w:rPr>
          <w:lang w:val="en-GB"/>
        </w:rPr>
        <w:t>the United States</w:t>
      </w:r>
      <w:r w:rsidRPr="00BC71D8">
        <w:rPr>
          <w:lang w:val="en-GB"/>
        </w:rPr>
        <w:t>, Europe</w:t>
      </w:r>
      <w:r w:rsidR="005671AB" w:rsidRPr="00BC71D8">
        <w:rPr>
          <w:lang w:val="en-GB"/>
        </w:rPr>
        <w:t>,</w:t>
      </w:r>
      <w:r w:rsidRPr="00BC71D8">
        <w:rPr>
          <w:lang w:val="en-GB"/>
        </w:rPr>
        <w:t xml:space="preserve"> and other developed regions, the share of medical tourists from these regions had been limited so far.</w:t>
      </w:r>
      <w:r w:rsidR="00C06C22" w:rsidRPr="00BC71D8">
        <w:rPr>
          <w:lang w:val="en-GB"/>
        </w:rPr>
        <w:t xml:space="preserve"> </w:t>
      </w:r>
      <w:r w:rsidRPr="00BC71D8">
        <w:rPr>
          <w:lang w:val="en-GB"/>
        </w:rPr>
        <w:t xml:space="preserve">There were numerous environmental considerations that made India a preferred choice </w:t>
      </w:r>
      <w:r w:rsidR="00C0213D" w:rsidRPr="00BC71D8">
        <w:rPr>
          <w:lang w:val="en-GB"/>
        </w:rPr>
        <w:t xml:space="preserve">for </w:t>
      </w:r>
      <w:r w:rsidRPr="00BC71D8">
        <w:rPr>
          <w:lang w:val="en-GB"/>
        </w:rPr>
        <w:t>medical tourists.</w:t>
      </w:r>
    </w:p>
    <w:p w14:paraId="50F3A738" w14:textId="77777777" w:rsidR="00D810DE" w:rsidRPr="00BC71D8" w:rsidRDefault="00D810DE" w:rsidP="00D810DE">
      <w:pPr>
        <w:jc w:val="both"/>
        <w:rPr>
          <w:lang w:val="en-GB"/>
        </w:rPr>
      </w:pPr>
    </w:p>
    <w:p w14:paraId="2E6302A9" w14:textId="77777777" w:rsidR="00D810DE" w:rsidRPr="00BC71D8" w:rsidRDefault="00D810DE" w:rsidP="00D810DE">
      <w:pPr>
        <w:jc w:val="both"/>
        <w:rPr>
          <w:lang w:val="en-GB"/>
        </w:rPr>
      </w:pPr>
    </w:p>
    <w:p w14:paraId="2769D5C7" w14:textId="77777777" w:rsidR="00D810DE" w:rsidRPr="00BC71D8" w:rsidRDefault="00D810DE" w:rsidP="0025767D">
      <w:pPr>
        <w:pStyle w:val="Casehead2"/>
        <w:rPr>
          <w:lang w:val="en-GB"/>
        </w:rPr>
      </w:pPr>
      <w:r w:rsidRPr="00BC71D8">
        <w:rPr>
          <w:lang w:val="en-GB"/>
        </w:rPr>
        <w:t>Brand India</w:t>
      </w:r>
    </w:p>
    <w:p w14:paraId="223AF89B" w14:textId="77777777" w:rsidR="00D810DE" w:rsidRPr="00BC71D8" w:rsidRDefault="00D810DE" w:rsidP="00D810DE">
      <w:pPr>
        <w:jc w:val="both"/>
        <w:rPr>
          <w:lang w:val="en-GB"/>
        </w:rPr>
      </w:pPr>
    </w:p>
    <w:p w14:paraId="4B600675" w14:textId="41EA82C4" w:rsidR="00D810DE" w:rsidRPr="00BC71D8" w:rsidRDefault="00D810DE" w:rsidP="0025767D">
      <w:pPr>
        <w:pStyle w:val="BodyTextMain"/>
        <w:rPr>
          <w:lang w:val="en-GB"/>
        </w:rPr>
      </w:pPr>
      <w:r w:rsidRPr="002B49A6">
        <w:rPr>
          <w:spacing w:val="-2"/>
          <w:kern w:val="22"/>
          <w:lang w:val="en-GB"/>
        </w:rPr>
        <w:t xml:space="preserve">India was one of the oldest civilizations in the </w:t>
      </w:r>
      <w:r w:rsidR="00CB1A5F" w:rsidRPr="002B49A6">
        <w:rPr>
          <w:spacing w:val="-2"/>
          <w:kern w:val="22"/>
          <w:lang w:val="en-GB"/>
        </w:rPr>
        <w:t xml:space="preserve">world, </w:t>
      </w:r>
      <w:r w:rsidRPr="002B49A6">
        <w:rPr>
          <w:spacing w:val="-2"/>
          <w:kern w:val="22"/>
          <w:lang w:val="en-GB"/>
        </w:rPr>
        <w:t>with a rich cultural heritage. Historically, the country had been the cent</w:t>
      </w:r>
      <w:r w:rsidR="00CB1A5F" w:rsidRPr="002B49A6">
        <w:rPr>
          <w:spacing w:val="-2"/>
          <w:kern w:val="22"/>
          <w:lang w:val="en-GB"/>
        </w:rPr>
        <w:t>r</w:t>
      </w:r>
      <w:r w:rsidRPr="002B49A6">
        <w:rPr>
          <w:spacing w:val="-2"/>
          <w:kern w:val="22"/>
          <w:lang w:val="en-GB"/>
        </w:rPr>
        <w:t>e of alternative</w:t>
      </w:r>
      <w:r w:rsidR="00DD59A9" w:rsidRPr="002B49A6">
        <w:rPr>
          <w:spacing w:val="-2"/>
          <w:kern w:val="22"/>
          <w:lang w:val="en-GB"/>
        </w:rPr>
        <w:t xml:space="preserve"> </w:t>
      </w:r>
      <w:r w:rsidRPr="002B49A6">
        <w:rPr>
          <w:spacing w:val="-2"/>
          <w:kern w:val="22"/>
          <w:lang w:val="en-GB"/>
        </w:rPr>
        <w:t xml:space="preserve">healing therapies such as Ayurveda, </w:t>
      </w:r>
      <w:r w:rsidR="00CB1A5F" w:rsidRPr="002B49A6">
        <w:rPr>
          <w:spacing w:val="-2"/>
          <w:kern w:val="22"/>
          <w:lang w:val="en-GB"/>
        </w:rPr>
        <w:t>yoga</w:t>
      </w:r>
      <w:r w:rsidRPr="002B49A6">
        <w:rPr>
          <w:spacing w:val="-2"/>
          <w:kern w:val="22"/>
          <w:lang w:val="en-GB"/>
        </w:rPr>
        <w:t xml:space="preserve">, and </w:t>
      </w:r>
      <w:r w:rsidR="00CB1A5F" w:rsidRPr="002B49A6">
        <w:rPr>
          <w:spacing w:val="-2"/>
          <w:kern w:val="22"/>
          <w:lang w:val="en-GB"/>
        </w:rPr>
        <w:t>meditation</w:t>
      </w:r>
      <w:r w:rsidRPr="002B49A6">
        <w:rPr>
          <w:spacing w:val="-2"/>
          <w:kern w:val="22"/>
          <w:lang w:val="en-GB"/>
        </w:rPr>
        <w:t>,</w:t>
      </w:r>
      <w:r w:rsidR="00C06C22" w:rsidRPr="002B49A6">
        <w:rPr>
          <w:spacing w:val="-2"/>
          <w:kern w:val="22"/>
          <w:lang w:val="en-GB"/>
        </w:rPr>
        <w:t xml:space="preserve"> </w:t>
      </w:r>
      <w:r w:rsidRPr="002B49A6">
        <w:rPr>
          <w:spacing w:val="-2"/>
          <w:kern w:val="22"/>
          <w:lang w:val="en-GB"/>
        </w:rPr>
        <w:t xml:space="preserve">attracting </w:t>
      </w:r>
      <w:r w:rsidR="0045759A" w:rsidRPr="002B49A6">
        <w:rPr>
          <w:spacing w:val="-2"/>
          <w:kern w:val="22"/>
          <w:lang w:val="en-GB"/>
        </w:rPr>
        <w:t>traveller</w:t>
      </w:r>
      <w:r w:rsidRPr="002B49A6">
        <w:rPr>
          <w:spacing w:val="-2"/>
          <w:kern w:val="22"/>
          <w:lang w:val="en-GB"/>
        </w:rPr>
        <w:t>s globally and offering health and spiritual benefits. Economically, the country was the seventh largest economy</w:t>
      </w:r>
      <w:r w:rsidR="00CB1A5F" w:rsidRPr="002B49A6">
        <w:rPr>
          <w:spacing w:val="-2"/>
          <w:kern w:val="22"/>
          <w:lang w:val="en-GB"/>
        </w:rPr>
        <w:t>,</w:t>
      </w:r>
      <w:r w:rsidRPr="002B49A6">
        <w:rPr>
          <w:spacing w:val="-2"/>
          <w:kern w:val="22"/>
          <w:lang w:val="en-GB"/>
        </w:rPr>
        <w:t xml:space="preserve"> with a </w:t>
      </w:r>
      <w:r w:rsidR="00DF6B3A" w:rsidRPr="002B49A6">
        <w:rPr>
          <w:spacing w:val="-2"/>
          <w:kern w:val="22"/>
          <w:lang w:val="en-GB"/>
        </w:rPr>
        <w:t xml:space="preserve">gross </w:t>
      </w:r>
      <w:r w:rsidRPr="002B49A6">
        <w:rPr>
          <w:spacing w:val="-2"/>
          <w:kern w:val="22"/>
          <w:lang w:val="en-GB"/>
        </w:rPr>
        <w:t xml:space="preserve">domestic product (GDP) growth of 5.4 </w:t>
      </w:r>
      <w:r w:rsidR="00390D38" w:rsidRPr="002B49A6">
        <w:rPr>
          <w:spacing w:val="-2"/>
          <w:kern w:val="22"/>
          <w:lang w:val="en-GB"/>
        </w:rPr>
        <w:t>per cent</w:t>
      </w:r>
      <w:r w:rsidRPr="002B49A6">
        <w:rPr>
          <w:spacing w:val="-2"/>
          <w:kern w:val="22"/>
          <w:lang w:val="en-GB"/>
        </w:rPr>
        <w:t xml:space="preserve"> in 2017.</w:t>
      </w:r>
      <w:r w:rsidR="007E75EF" w:rsidRPr="002B49A6">
        <w:rPr>
          <w:spacing w:val="-2"/>
          <w:kern w:val="22"/>
          <w:lang w:val="en-GB"/>
        </w:rPr>
        <w:t xml:space="preserve"> </w:t>
      </w:r>
      <w:r w:rsidRPr="002B49A6">
        <w:rPr>
          <w:spacing w:val="-2"/>
          <w:kern w:val="22"/>
          <w:lang w:val="en-GB"/>
        </w:rPr>
        <w:t>With vast cultural and natural resources and price comp</w:t>
      </w:r>
      <w:r w:rsidR="008B6F7F" w:rsidRPr="002B49A6">
        <w:rPr>
          <w:spacing w:val="-2"/>
          <w:kern w:val="22"/>
          <w:lang w:val="en-GB"/>
        </w:rPr>
        <w:t>etitiveness, India was ranked 40</w:t>
      </w:r>
      <w:r w:rsidR="0046387B" w:rsidRPr="002B49A6">
        <w:rPr>
          <w:spacing w:val="-2"/>
          <w:kern w:val="22"/>
          <w:lang w:val="en-GB"/>
        </w:rPr>
        <w:t>th</w:t>
      </w:r>
      <w:r w:rsidR="00EB4919" w:rsidRPr="002B49A6">
        <w:rPr>
          <w:spacing w:val="-2"/>
          <w:kern w:val="22"/>
          <w:lang w:val="en-GB"/>
        </w:rPr>
        <w:t xml:space="preserve"> (</w:t>
      </w:r>
      <w:r w:rsidRPr="002B49A6">
        <w:rPr>
          <w:spacing w:val="-2"/>
          <w:kern w:val="22"/>
          <w:lang w:val="en-GB"/>
        </w:rPr>
        <w:t xml:space="preserve">gaining 12 places from 2016) among 136 countries in the Travel and Tourism Competitiveness </w:t>
      </w:r>
      <w:r w:rsidR="00CB1A5F" w:rsidRPr="002B49A6">
        <w:rPr>
          <w:spacing w:val="-2"/>
          <w:kern w:val="22"/>
          <w:lang w:val="en-GB"/>
        </w:rPr>
        <w:t xml:space="preserve">Report </w:t>
      </w:r>
      <w:r w:rsidR="008E0D06" w:rsidRPr="002B49A6">
        <w:rPr>
          <w:spacing w:val="-2"/>
          <w:kern w:val="22"/>
          <w:lang w:val="en-GB"/>
        </w:rPr>
        <w:t xml:space="preserve">for </w:t>
      </w:r>
      <w:r w:rsidRPr="002B49A6">
        <w:rPr>
          <w:spacing w:val="-2"/>
          <w:kern w:val="22"/>
          <w:lang w:val="en-GB"/>
        </w:rPr>
        <w:t>the year 2017.</w:t>
      </w:r>
      <w:r w:rsidRPr="002B49A6">
        <w:rPr>
          <w:rStyle w:val="FootnoteReference"/>
          <w:spacing w:val="-2"/>
          <w:kern w:val="22"/>
          <w:lang w:val="en-GB"/>
        </w:rPr>
        <w:footnoteReference w:id="7"/>
      </w:r>
      <w:r w:rsidRPr="002B49A6">
        <w:rPr>
          <w:spacing w:val="-2"/>
          <w:kern w:val="22"/>
          <w:lang w:val="en-GB"/>
        </w:rPr>
        <w:t xml:space="preserve"> Further, despite the </w:t>
      </w:r>
      <w:r w:rsidRPr="002B49A6">
        <w:rPr>
          <w:spacing w:val="-2"/>
          <w:kern w:val="22"/>
          <w:lang w:val="en-GB"/>
        </w:rPr>
        <w:lastRenderedPageBreak/>
        <w:t xml:space="preserve">phenomenal language diversity in the country, English </w:t>
      </w:r>
      <w:r w:rsidR="00CB1A5F" w:rsidRPr="002B49A6">
        <w:rPr>
          <w:spacing w:val="-2"/>
          <w:kern w:val="22"/>
          <w:lang w:val="en-GB"/>
        </w:rPr>
        <w:t xml:space="preserve">was </w:t>
      </w:r>
      <w:r w:rsidRPr="002B49A6">
        <w:rPr>
          <w:spacing w:val="-2"/>
          <w:kern w:val="22"/>
          <w:lang w:val="en-GB"/>
        </w:rPr>
        <w:t xml:space="preserve">the official language and was spoken widely by the people. </w:t>
      </w:r>
      <w:r w:rsidR="00CB0151" w:rsidRPr="002B49A6">
        <w:rPr>
          <w:spacing w:val="-2"/>
          <w:kern w:val="22"/>
          <w:lang w:val="en-GB"/>
        </w:rPr>
        <w:t>The country’s diversity also contributed to</w:t>
      </w:r>
      <w:r w:rsidRPr="002B49A6">
        <w:rPr>
          <w:spacing w:val="-2"/>
          <w:kern w:val="22"/>
          <w:lang w:val="en-GB"/>
        </w:rPr>
        <w:t xml:space="preserve"> the</w:t>
      </w:r>
      <w:r w:rsidR="00C06C22" w:rsidRPr="002B49A6">
        <w:rPr>
          <w:spacing w:val="-2"/>
          <w:kern w:val="22"/>
          <w:lang w:val="en-GB"/>
        </w:rPr>
        <w:t xml:space="preserve"> </w:t>
      </w:r>
      <w:r w:rsidR="00CF07BB" w:rsidRPr="002B49A6">
        <w:rPr>
          <w:spacing w:val="-2"/>
          <w:kern w:val="22"/>
          <w:lang w:val="en-GB"/>
        </w:rPr>
        <w:t xml:space="preserve">extensive </w:t>
      </w:r>
      <w:r w:rsidRPr="002B49A6">
        <w:rPr>
          <w:spacing w:val="-2"/>
          <w:kern w:val="22"/>
          <w:lang w:val="en-GB"/>
        </w:rPr>
        <w:t xml:space="preserve">variety of international and national cuisines offered in the country. </w:t>
      </w:r>
      <w:r w:rsidR="00EE534F" w:rsidRPr="002B49A6">
        <w:rPr>
          <w:spacing w:val="-2"/>
          <w:kern w:val="22"/>
          <w:lang w:val="en-GB"/>
        </w:rPr>
        <w:t>S</w:t>
      </w:r>
      <w:r w:rsidR="00F04E17" w:rsidRPr="002B49A6">
        <w:rPr>
          <w:spacing w:val="-2"/>
          <w:kern w:val="22"/>
          <w:lang w:val="en-GB"/>
        </w:rPr>
        <w:t>upportive visa policies, such as visa on</w:t>
      </w:r>
      <w:r w:rsidR="00C06C22" w:rsidRPr="002B49A6">
        <w:rPr>
          <w:spacing w:val="-2"/>
          <w:kern w:val="22"/>
          <w:lang w:val="en-GB"/>
        </w:rPr>
        <w:t xml:space="preserve"> </w:t>
      </w:r>
      <w:r w:rsidR="00F04E17" w:rsidRPr="002B49A6">
        <w:rPr>
          <w:spacing w:val="-2"/>
          <w:kern w:val="22"/>
          <w:lang w:val="en-GB"/>
        </w:rPr>
        <w:t>arrival and e-visas</w:t>
      </w:r>
      <w:r w:rsidR="00F75A64" w:rsidRPr="002B49A6">
        <w:rPr>
          <w:spacing w:val="-2"/>
          <w:kern w:val="22"/>
          <w:lang w:val="en-GB"/>
        </w:rPr>
        <w:t>,</w:t>
      </w:r>
      <w:r w:rsidR="00C06C22" w:rsidRPr="002B49A6">
        <w:rPr>
          <w:spacing w:val="-2"/>
          <w:kern w:val="22"/>
          <w:lang w:val="en-GB"/>
        </w:rPr>
        <w:t xml:space="preserve"> </w:t>
      </w:r>
      <w:r w:rsidR="00F04E17" w:rsidRPr="002B49A6">
        <w:rPr>
          <w:spacing w:val="-2"/>
          <w:kern w:val="22"/>
          <w:lang w:val="en-GB"/>
        </w:rPr>
        <w:t xml:space="preserve">were </w:t>
      </w:r>
      <w:r w:rsidRPr="002B49A6">
        <w:rPr>
          <w:spacing w:val="-2"/>
          <w:kern w:val="22"/>
          <w:lang w:val="en-GB"/>
        </w:rPr>
        <w:t xml:space="preserve">indicative of </w:t>
      </w:r>
      <w:r w:rsidR="00EE534F" w:rsidRPr="002B49A6">
        <w:rPr>
          <w:spacing w:val="-2"/>
          <w:kern w:val="22"/>
          <w:lang w:val="en-GB"/>
        </w:rPr>
        <w:t xml:space="preserve">the country’s </w:t>
      </w:r>
      <w:r w:rsidR="00F04E17" w:rsidRPr="002B49A6">
        <w:rPr>
          <w:spacing w:val="-2"/>
          <w:kern w:val="22"/>
          <w:lang w:val="en-GB"/>
        </w:rPr>
        <w:t xml:space="preserve">openness for international </w:t>
      </w:r>
      <w:r w:rsidR="0045759A" w:rsidRPr="002B49A6">
        <w:rPr>
          <w:spacing w:val="-2"/>
          <w:kern w:val="22"/>
          <w:lang w:val="en-GB"/>
        </w:rPr>
        <w:t>traveller</w:t>
      </w:r>
      <w:r w:rsidR="00F04E17" w:rsidRPr="002B49A6">
        <w:rPr>
          <w:spacing w:val="-2"/>
          <w:kern w:val="22"/>
          <w:lang w:val="en-GB"/>
        </w:rPr>
        <w:t>s</w:t>
      </w:r>
      <w:r w:rsidRPr="002B49A6">
        <w:rPr>
          <w:spacing w:val="-2"/>
          <w:kern w:val="22"/>
          <w:lang w:val="en-GB"/>
        </w:rPr>
        <w:t xml:space="preserve">. India’s booming </w:t>
      </w:r>
      <w:r w:rsidR="00EE534F" w:rsidRPr="002B49A6">
        <w:rPr>
          <w:spacing w:val="-2"/>
          <w:kern w:val="22"/>
          <w:lang w:val="en-GB"/>
        </w:rPr>
        <w:t>i</w:t>
      </w:r>
      <w:r w:rsidRPr="002B49A6">
        <w:rPr>
          <w:spacing w:val="-2"/>
          <w:kern w:val="22"/>
          <w:lang w:val="en-GB"/>
        </w:rPr>
        <w:t xml:space="preserve">nformation and </w:t>
      </w:r>
      <w:r w:rsidR="00EE534F" w:rsidRPr="002B49A6">
        <w:rPr>
          <w:spacing w:val="-2"/>
          <w:kern w:val="22"/>
          <w:lang w:val="en-GB"/>
        </w:rPr>
        <w:t>c</w:t>
      </w:r>
      <w:r w:rsidRPr="002B49A6">
        <w:rPr>
          <w:spacing w:val="-2"/>
          <w:kern w:val="22"/>
          <w:lang w:val="en-GB"/>
        </w:rPr>
        <w:t xml:space="preserve">ommunication </w:t>
      </w:r>
      <w:r w:rsidR="00EE534F" w:rsidRPr="002B49A6">
        <w:rPr>
          <w:spacing w:val="-2"/>
          <w:kern w:val="22"/>
          <w:lang w:val="en-GB"/>
        </w:rPr>
        <w:t>t</w:t>
      </w:r>
      <w:r w:rsidRPr="002B49A6">
        <w:rPr>
          <w:spacing w:val="-2"/>
          <w:kern w:val="22"/>
          <w:lang w:val="en-GB"/>
        </w:rPr>
        <w:t xml:space="preserve">echnology industry had contributed to increased </w:t>
      </w:r>
      <w:r w:rsidR="00EE534F" w:rsidRPr="002B49A6">
        <w:rPr>
          <w:spacing w:val="-2"/>
          <w:kern w:val="22"/>
          <w:lang w:val="en-GB"/>
        </w:rPr>
        <w:t xml:space="preserve">Internet </w:t>
      </w:r>
      <w:r w:rsidRPr="002B49A6">
        <w:rPr>
          <w:spacing w:val="-2"/>
          <w:kern w:val="22"/>
          <w:lang w:val="en-GB"/>
        </w:rPr>
        <w:t>and mobile</w:t>
      </w:r>
      <w:r w:rsidR="00C06C22" w:rsidRPr="002B49A6">
        <w:rPr>
          <w:spacing w:val="-2"/>
          <w:kern w:val="22"/>
          <w:lang w:val="en-GB"/>
        </w:rPr>
        <w:t xml:space="preserve"> </w:t>
      </w:r>
      <w:r w:rsidRPr="002B49A6">
        <w:rPr>
          <w:spacing w:val="-2"/>
          <w:kern w:val="22"/>
          <w:lang w:val="en-GB"/>
        </w:rPr>
        <w:t xml:space="preserve">penetration, </w:t>
      </w:r>
      <w:r w:rsidR="00EE534F" w:rsidRPr="002B49A6">
        <w:rPr>
          <w:spacing w:val="-2"/>
          <w:kern w:val="22"/>
          <w:lang w:val="en-GB"/>
        </w:rPr>
        <w:t>which facilitated distribution</w:t>
      </w:r>
      <w:r w:rsidRPr="002B49A6">
        <w:rPr>
          <w:spacing w:val="-2"/>
          <w:kern w:val="22"/>
          <w:lang w:val="en-GB"/>
        </w:rPr>
        <w:t xml:space="preserve"> of information for foreign </w:t>
      </w:r>
      <w:r w:rsidR="0045759A" w:rsidRPr="002B49A6">
        <w:rPr>
          <w:spacing w:val="-2"/>
          <w:kern w:val="22"/>
          <w:lang w:val="en-GB"/>
        </w:rPr>
        <w:t>traveller</w:t>
      </w:r>
      <w:r w:rsidRPr="002B49A6">
        <w:rPr>
          <w:spacing w:val="-2"/>
          <w:kern w:val="22"/>
          <w:lang w:val="en-GB"/>
        </w:rPr>
        <w:t>s. Nevertheless, security risks in some border regions</w:t>
      </w:r>
      <w:r w:rsidR="00C06C22" w:rsidRPr="002B49A6">
        <w:rPr>
          <w:spacing w:val="-2"/>
          <w:kern w:val="22"/>
          <w:lang w:val="en-GB"/>
        </w:rPr>
        <w:t xml:space="preserve"> </w:t>
      </w:r>
      <w:r w:rsidRPr="002B49A6">
        <w:rPr>
          <w:spacing w:val="-2"/>
          <w:kern w:val="22"/>
          <w:lang w:val="en-GB"/>
        </w:rPr>
        <w:t>and cases of crime against women in the past</w:t>
      </w:r>
      <w:r w:rsidR="00C06C22" w:rsidRPr="002B49A6">
        <w:rPr>
          <w:spacing w:val="-2"/>
          <w:kern w:val="22"/>
          <w:lang w:val="en-GB"/>
        </w:rPr>
        <w:t xml:space="preserve"> </w:t>
      </w:r>
      <w:r w:rsidRPr="002B49A6">
        <w:rPr>
          <w:spacing w:val="-2"/>
          <w:kern w:val="22"/>
          <w:lang w:val="en-GB"/>
        </w:rPr>
        <w:t>had affected the country’s global image</w:t>
      </w:r>
      <w:r w:rsidR="00C06C22" w:rsidRPr="002B49A6">
        <w:rPr>
          <w:spacing w:val="-2"/>
          <w:kern w:val="22"/>
          <w:lang w:val="en-GB"/>
        </w:rPr>
        <w:t xml:space="preserve"> </w:t>
      </w:r>
      <w:r w:rsidRPr="002B49A6">
        <w:rPr>
          <w:spacing w:val="-2"/>
          <w:kern w:val="22"/>
          <w:lang w:val="en-GB"/>
        </w:rPr>
        <w:t xml:space="preserve">as </w:t>
      </w:r>
      <w:r w:rsidR="00EB4919" w:rsidRPr="002B49A6">
        <w:rPr>
          <w:spacing w:val="-2"/>
          <w:kern w:val="22"/>
          <w:lang w:val="en-GB"/>
        </w:rPr>
        <w:t xml:space="preserve">a </w:t>
      </w:r>
      <w:r w:rsidRPr="002B49A6">
        <w:rPr>
          <w:spacing w:val="-2"/>
          <w:kern w:val="22"/>
          <w:lang w:val="en-GB"/>
        </w:rPr>
        <w:t xml:space="preserve">tourist destination. </w:t>
      </w:r>
      <w:r w:rsidR="00C021F2" w:rsidRPr="002B49A6">
        <w:rPr>
          <w:spacing w:val="-2"/>
          <w:kern w:val="22"/>
          <w:lang w:val="en-GB"/>
        </w:rPr>
        <w:t>Having said that</w:t>
      </w:r>
      <w:r w:rsidRPr="002B49A6">
        <w:rPr>
          <w:spacing w:val="-2"/>
          <w:kern w:val="22"/>
          <w:lang w:val="en-GB"/>
        </w:rPr>
        <w:t xml:space="preserve">, </w:t>
      </w:r>
      <w:r w:rsidR="00E06160" w:rsidRPr="002B49A6">
        <w:rPr>
          <w:spacing w:val="-2"/>
          <w:kern w:val="22"/>
          <w:lang w:val="en-GB"/>
        </w:rPr>
        <w:t xml:space="preserve">the </w:t>
      </w:r>
      <w:r w:rsidRPr="002B49A6">
        <w:rPr>
          <w:spacing w:val="-2"/>
          <w:kern w:val="22"/>
          <w:lang w:val="en-GB"/>
        </w:rPr>
        <w:t>GOI had been taking concrete steps to make India stand out in the field of medical tourism</w:t>
      </w:r>
      <w:r w:rsidRPr="00BC71D8">
        <w:rPr>
          <w:lang w:val="en-GB"/>
        </w:rPr>
        <w:t>.</w:t>
      </w:r>
    </w:p>
    <w:p w14:paraId="3DE4A087" w14:textId="77777777" w:rsidR="00D810DE" w:rsidRPr="00BC71D8" w:rsidRDefault="00D810DE" w:rsidP="00D810DE">
      <w:pPr>
        <w:jc w:val="both"/>
        <w:rPr>
          <w:lang w:val="en-GB"/>
        </w:rPr>
      </w:pPr>
    </w:p>
    <w:p w14:paraId="06EF35B6" w14:textId="77777777" w:rsidR="00F22813" w:rsidRPr="00BC71D8" w:rsidRDefault="00F22813" w:rsidP="00D810DE">
      <w:pPr>
        <w:jc w:val="both"/>
        <w:rPr>
          <w:lang w:val="en-GB"/>
        </w:rPr>
      </w:pPr>
    </w:p>
    <w:p w14:paraId="21EC325A" w14:textId="5CA76926" w:rsidR="00D810DE" w:rsidRPr="00BC71D8" w:rsidRDefault="007E75EF" w:rsidP="00F22813">
      <w:pPr>
        <w:pStyle w:val="Casehead2"/>
        <w:rPr>
          <w:lang w:val="en-GB"/>
        </w:rPr>
      </w:pPr>
      <w:r>
        <w:rPr>
          <w:lang w:val="en-GB"/>
        </w:rPr>
        <w:t>Health C</w:t>
      </w:r>
      <w:r w:rsidR="000B7F13">
        <w:rPr>
          <w:lang w:val="en-GB"/>
        </w:rPr>
        <w:t>are</w:t>
      </w:r>
      <w:r w:rsidR="00D810DE" w:rsidRPr="00BC71D8">
        <w:rPr>
          <w:lang w:val="en-GB"/>
        </w:rPr>
        <w:t xml:space="preserve"> Delivery Sector in India</w:t>
      </w:r>
    </w:p>
    <w:p w14:paraId="7D54791D" w14:textId="77777777" w:rsidR="00D810DE" w:rsidRPr="00BC71D8" w:rsidRDefault="00D810DE" w:rsidP="00D810DE">
      <w:pPr>
        <w:jc w:val="both"/>
        <w:rPr>
          <w:lang w:val="en-GB"/>
        </w:rPr>
      </w:pPr>
    </w:p>
    <w:p w14:paraId="2CB7463F" w14:textId="07939A4C" w:rsidR="00D810DE" w:rsidRPr="00BC71D8" w:rsidRDefault="000B7F13" w:rsidP="00F22813">
      <w:pPr>
        <w:pStyle w:val="BodyTextMain"/>
        <w:rPr>
          <w:lang w:val="en-GB"/>
        </w:rPr>
      </w:pPr>
      <w:r>
        <w:rPr>
          <w:lang w:val="en-GB"/>
        </w:rPr>
        <w:t>Health care</w:t>
      </w:r>
      <w:r w:rsidR="00D810DE" w:rsidRPr="00BC71D8">
        <w:rPr>
          <w:lang w:val="en-GB"/>
        </w:rPr>
        <w:t xml:space="preserve"> delivery was one of the largest sectors in India</w:t>
      </w:r>
      <w:r w:rsidR="00EE534F" w:rsidRPr="00BC71D8">
        <w:rPr>
          <w:lang w:val="en-GB"/>
        </w:rPr>
        <w:t xml:space="preserve">; it was </w:t>
      </w:r>
      <w:r w:rsidR="00D810DE" w:rsidRPr="00BC71D8">
        <w:rPr>
          <w:lang w:val="en-GB"/>
        </w:rPr>
        <w:t>growing at a compound annual growth rate</w:t>
      </w:r>
      <w:r w:rsidR="00C06C22" w:rsidRPr="00BC71D8">
        <w:rPr>
          <w:lang w:val="en-GB"/>
        </w:rPr>
        <w:t xml:space="preserve"> </w:t>
      </w:r>
      <w:r w:rsidR="00D810DE" w:rsidRPr="00BC71D8">
        <w:rPr>
          <w:lang w:val="en-GB"/>
        </w:rPr>
        <w:t xml:space="preserve">of 16.5 </w:t>
      </w:r>
      <w:r w:rsidR="00390D38" w:rsidRPr="00BC71D8">
        <w:rPr>
          <w:lang w:val="en-GB"/>
        </w:rPr>
        <w:t>per cent</w:t>
      </w:r>
      <w:r w:rsidR="00D810DE" w:rsidRPr="00BC71D8">
        <w:rPr>
          <w:lang w:val="en-GB"/>
        </w:rPr>
        <w:t xml:space="preserve"> and was expected to reach </w:t>
      </w:r>
      <w:r w:rsidR="00EE534F" w:rsidRPr="00BC71D8">
        <w:rPr>
          <w:lang w:val="en-GB"/>
        </w:rPr>
        <w:t>$</w:t>
      </w:r>
      <w:r w:rsidR="00D810DE" w:rsidRPr="00BC71D8">
        <w:rPr>
          <w:lang w:val="en-GB"/>
        </w:rPr>
        <w:t>280 billion</w:t>
      </w:r>
      <w:r w:rsidR="00C06C22" w:rsidRPr="00BC71D8">
        <w:rPr>
          <w:lang w:val="en-GB"/>
        </w:rPr>
        <w:t xml:space="preserve"> </w:t>
      </w:r>
      <w:r w:rsidR="00EE534F" w:rsidRPr="00BC71D8">
        <w:rPr>
          <w:lang w:val="en-GB"/>
        </w:rPr>
        <w:t xml:space="preserve">by 2020 </w:t>
      </w:r>
      <w:r w:rsidR="00D810DE" w:rsidRPr="00BC71D8">
        <w:rPr>
          <w:lang w:val="en-GB"/>
        </w:rPr>
        <w:t>(</w:t>
      </w:r>
      <w:r w:rsidR="00EE534F" w:rsidRPr="00BC71D8">
        <w:rPr>
          <w:lang w:val="en-GB"/>
        </w:rPr>
        <w:t xml:space="preserve">up </w:t>
      </w:r>
      <w:r w:rsidR="00D810DE" w:rsidRPr="00BC71D8">
        <w:rPr>
          <w:lang w:val="en-GB"/>
        </w:rPr>
        <w:t xml:space="preserve">from </w:t>
      </w:r>
      <w:r w:rsidR="00EE534F" w:rsidRPr="00BC71D8">
        <w:rPr>
          <w:lang w:val="en-GB"/>
        </w:rPr>
        <w:t xml:space="preserve">$160 </w:t>
      </w:r>
      <w:r w:rsidR="00D810DE" w:rsidRPr="00BC71D8">
        <w:rPr>
          <w:lang w:val="en-GB"/>
        </w:rPr>
        <w:t>billion in 2017).</w:t>
      </w:r>
      <w:r w:rsidR="00D810DE" w:rsidRPr="00BC71D8">
        <w:rPr>
          <w:rStyle w:val="FootnoteReference"/>
          <w:lang w:val="en-GB"/>
        </w:rPr>
        <w:footnoteReference w:id="8"/>
      </w:r>
      <w:r w:rsidR="00D810DE" w:rsidRPr="00BC71D8">
        <w:rPr>
          <w:lang w:val="en-GB"/>
        </w:rPr>
        <w:t xml:space="preserve"> This sector comprised </w:t>
      </w:r>
      <w:r w:rsidR="005E63BF" w:rsidRPr="00BC71D8">
        <w:rPr>
          <w:lang w:val="en-GB"/>
        </w:rPr>
        <w:t xml:space="preserve">public and private </w:t>
      </w:r>
      <w:r>
        <w:rPr>
          <w:lang w:val="en-GB"/>
        </w:rPr>
        <w:t>health care</w:t>
      </w:r>
      <w:r w:rsidR="00D810DE" w:rsidRPr="00BC71D8">
        <w:rPr>
          <w:lang w:val="en-GB"/>
        </w:rPr>
        <w:t xml:space="preserve"> delivery systems.</w:t>
      </w:r>
      <w:r w:rsidR="00C06C22" w:rsidRPr="00BC71D8">
        <w:rPr>
          <w:lang w:val="en-GB"/>
        </w:rPr>
        <w:t xml:space="preserve"> </w:t>
      </w:r>
      <w:r w:rsidR="00D810DE" w:rsidRPr="00BC71D8">
        <w:rPr>
          <w:lang w:val="en-GB"/>
        </w:rPr>
        <w:t xml:space="preserve">The public </w:t>
      </w:r>
      <w:r>
        <w:rPr>
          <w:lang w:val="en-GB"/>
        </w:rPr>
        <w:t>health care</w:t>
      </w:r>
      <w:r w:rsidR="00D810DE" w:rsidRPr="00BC71D8">
        <w:rPr>
          <w:lang w:val="en-GB"/>
        </w:rPr>
        <w:t xml:space="preserve"> system was limited to primary health cent</w:t>
      </w:r>
      <w:r w:rsidR="00EE534F" w:rsidRPr="00BC71D8">
        <w:rPr>
          <w:lang w:val="en-GB"/>
        </w:rPr>
        <w:t>r</w:t>
      </w:r>
      <w:r w:rsidR="00D810DE" w:rsidRPr="00BC71D8">
        <w:rPr>
          <w:lang w:val="en-GB"/>
        </w:rPr>
        <w:t>e</w:t>
      </w:r>
      <w:r w:rsidR="00EE534F" w:rsidRPr="00BC71D8">
        <w:rPr>
          <w:lang w:val="en-GB"/>
        </w:rPr>
        <w:t>s</w:t>
      </w:r>
      <w:r w:rsidR="00D810DE" w:rsidRPr="00BC71D8">
        <w:rPr>
          <w:lang w:val="en-GB"/>
        </w:rPr>
        <w:t xml:space="preserve"> staffed by medical officer</w:t>
      </w:r>
      <w:r w:rsidR="00EE534F" w:rsidRPr="00BC71D8">
        <w:rPr>
          <w:lang w:val="en-GB"/>
        </w:rPr>
        <w:t>s</w:t>
      </w:r>
      <w:r w:rsidR="00D810DE" w:rsidRPr="00BC71D8">
        <w:rPr>
          <w:lang w:val="en-GB"/>
        </w:rPr>
        <w:t xml:space="preserve"> and some paramedical staff</w:t>
      </w:r>
      <w:r w:rsidR="00C06C22" w:rsidRPr="00BC71D8">
        <w:rPr>
          <w:lang w:val="en-GB"/>
        </w:rPr>
        <w:t xml:space="preserve"> </w:t>
      </w:r>
      <w:r w:rsidR="00D810DE" w:rsidRPr="00BC71D8">
        <w:rPr>
          <w:lang w:val="en-GB"/>
        </w:rPr>
        <w:t>in rural areas</w:t>
      </w:r>
      <w:r w:rsidR="005E63BF" w:rsidRPr="00BC71D8">
        <w:rPr>
          <w:lang w:val="en-GB"/>
        </w:rPr>
        <w:t xml:space="preserve">, </w:t>
      </w:r>
      <w:r w:rsidR="00D810DE" w:rsidRPr="00BC71D8">
        <w:rPr>
          <w:lang w:val="en-GB"/>
        </w:rPr>
        <w:t>secondary</w:t>
      </w:r>
      <w:r w:rsidR="00C06C22" w:rsidRPr="00BC71D8">
        <w:rPr>
          <w:lang w:val="en-GB"/>
        </w:rPr>
        <w:t xml:space="preserve"> </w:t>
      </w:r>
      <w:r w:rsidR="00D810DE" w:rsidRPr="00BC71D8">
        <w:rPr>
          <w:lang w:val="en-GB"/>
        </w:rPr>
        <w:t>district hospital</w:t>
      </w:r>
      <w:r w:rsidR="005E63BF" w:rsidRPr="00BC71D8">
        <w:rPr>
          <w:lang w:val="en-GB"/>
        </w:rPr>
        <w:t>s</w:t>
      </w:r>
      <w:r w:rsidR="00D810DE" w:rsidRPr="00BC71D8">
        <w:rPr>
          <w:lang w:val="en-GB"/>
        </w:rPr>
        <w:t xml:space="preserve"> and community health cent</w:t>
      </w:r>
      <w:r w:rsidR="00EE534F" w:rsidRPr="00BC71D8">
        <w:rPr>
          <w:lang w:val="en-GB"/>
        </w:rPr>
        <w:t>r</w:t>
      </w:r>
      <w:r w:rsidR="00D810DE" w:rsidRPr="00BC71D8">
        <w:rPr>
          <w:lang w:val="en-GB"/>
        </w:rPr>
        <w:t>es</w:t>
      </w:r>
      <w:r w:rsidR="00EE534F" w:rsidRPr="00BC71D8">
        <w:rPr>
          <w:lang w:val="en-GB"/>
        </w:rPr>
        <w:t xml:space="preserve">, </w:t>
      </w:r>
      <w:r w:rsidR="00D810DE" w:rsidRPr="00BC71D8">
        <w:rPr>
          <w:lang w:val="en-GB"/>
        </w:rPr>
        <w:t>and tertiary</w:t>
      </w:r>
      <w:r w:rsidR="00C06C22" w:rsidRPr="00BC71D8">
        <w:rPr>
          <w:lang w:val="en-GB"/>
        </w:rPr>
        <w:t xml:space="preserve"> </w:t>
      </w:r>
      <w:r w:rsidR="00EE534F" w:rsidRPr="00BC71D8">
        <w:rPr>
          <w:lang w:val="en-GB"/>
        </w:rPr>
        <w:t xml:space="preserve">care centres and </w:t>
      </w:r>
      <w:r w:rsidR="00D810DE" w:rsidRPr="00BC71D8">
        <w:rPr>
          <w:lang w:val="en-GB"/>
        </w:rPr>
        <w:t xml:space="preserve">advanced medical research institutes in cities. </w:t>
      </w:r>
      <w:r w:rsidR="00EE534F" w:rsidRPr="00BC71D8">
        <w:rPr>
          <w:lang w:val="en-GB"/>
        </w:rPr>
        <w:t>Total</w:t>
      </w:r>
      <w:r w:rsidR="00D810DE" w:rsidRPr="00BC71D8">
        <w:rPr>
          <w:lang w:val="en-GB"/>
        </w:rPr>
        <w:t xml:space="preserve"> </w:t>
      </w:r>
      <w:r>
        <w:rPr>
          <w:lang w:val="en-GB"/>
        </w:rPr>
        <w:t>health care</w:t>
      </w:r>
      <w:r w:rsidR="00D810DE" w:rsidRPr="00BC71D8">
        <w:rPr>
          <w:lang w:val="en-GB"/>
        </w:rPr>
        <w:t xml:space="preserve"> spending</w:t>
      </w:r>
      <w:r w:rsidR="00EE534F" w:rsidRPr="00BC71D8">
        <w:rPr>
          <w:lang w:val="en-GB"/>
        </w:rPr>
        <w:t xml:space="preserve"> represented</w:t>
      </w:r>
      <w:r w:rsidR="00D810DE" w:rsidRPr="00BC71D8">
        <w:rPr>
          <w:lang w:val="en-GB"/>
        </w:rPr>
        <w:t xml:space="preserve"> 5 </w:t>
      </w:r>
      <w:r w:rsidR="00390D38" w:rsidRPr="00BC71D8">
        <w:rPr>
          <w:lang w:val="en-GB"/>
        </w:rPr>
        <w:t>per cent</w:t>
      </w:r>
      <w:r w:rsidR="00D810DE" w:rsidRPr="00BC71D8">
        <w:rPr>
          <w:lang w:val="en-GB"/>
        </w:rPr>
        <w:t xml:space="preserve"> of the </w:t>
      </w:r>
      <w:r w:rsidR="00EE534F" w:rsidRPr="00BC71D8">
        <w:rPr>
          <w:lang w:val="en-GB"/>
        </w:rPr>
        <w:t xml:space="preserve">country’s </w:t>
      </w:r>
      <w:r w:rsidR="00D810DE" w:rsidRPr="00BC71D8">
        <w:rPr>
          <w:lang w:val="en-GB"/>
        </w:rPr>
        <w:t>GDP</w:t>
      </w:r>
      <w:r w:rsidR="00EE534F" w:rsidRPr="00BC71D8">
        <w:rPr>
          <w:lang w:val="en-GB"/>
        </w:rPr>
        <w:t xml:space="preserve">; out of this, </w:t>
      </w:r>
      <w:r w:rsidR="00D810DE" w:rsidRPr="00BC71D8">
        <w:rPr>
          <w:lang w:val="en-GB"/>
        </w:rPr>
        <w:t xml:space="preserve">the </w:t>
      </w:r>
      <w:r w:rsidR="00EE534F" w:rsidRPr="00BC71D8">
        <w:rPr>
          <w:lang w:val="en-GB"/>
        </w:rPr>
        <w:t xml:space="preserve">amount spent on the </w:t>
      </w:r>
      <w:r w:rsidR="00D810DE" w:rsidRPr="00BC71D8">
        <w:rPr>
          <w:lang w:val="en-GB"/>
        </w:rPr>
        <w:t xml:space="preserve">public </w:t>
      </w:r>
      <w:r>
        <w:rPr>
          <w:lang w:val="en-GB"/>
        </w:rPr>
        <w:t>health care</w:t>
      </w:r>
      <w:r w:rsidR="00EE534F" w:rsidRPr="00BC71D8">
        <w:rPr>
          <w:lang w:val="en-GB"/>
        </w:rPr>
        <w:t xml:space="preserve"> system </w:t>
      </w:r>
      <w:r w:rsidR="00D810DE" w:rsidRPr="00BC71D8">
        <w:rPr>
          <w:lang w:val="en-GB"/>
        </w:rPr>
        <w:t>was still low</w:t>
      </w:r>
      <w:r w:rsidR="00C06C22" w:rsidRPr="00BC71D8">
        <w:rPr>
          <w:lang w:val="en-GB"/>
        </w:rPr>
        <w:t xml:space="preserve"> </w:t>
      </w:r>
      <w:r w:rsidR="00D810DE" w:rsidRPr="00BC71D8">
        <w:rPr>
          <w:lang w:val="en-GB"/>
        </w:rPr>
        <w:t xml:space="preserve">(1.2 </w:t>
      </w:r>
      <w:r w:rsidR="00390D38" w:rsidRPr="00BC71D8">
        <w:rPr>
          <w:lang w:val="en-GB"/>
        </w:rPr>
        <w:t>per cent</w:t>
      </w:r>
      <w:r w:rsidR="00D810DE" w:rsidRPr="00BC71D8">
        <w:rPr>
          <w:lang w:val="en-GB"/>
        </w:rPr>
        <w:t xml:space="preserve"> in 2017)</w:t>
      </w:r>
      <w:r w:rsidR="00C06C22" w:rsidRPr="00BC71D8">
        <w:rPr>
          <w:lang w:val="en-GB"/>
        </w:rPr>
        <w:t xml:space="preserve"> </w:t>
      </w:r>
      <w:r w:rsidR="00D810DE" w:rsidRPr="00BC71D8">
        <w:rPr>
          <w:lang w:val="en-GB"/>
        </w:rPr>
        <w:t xml:space="preserve">compared to that in many emerging economies. </w:t>
      </w:r>
      <w:r w:rsidR="00EE534F" w:rsidRPr="00BC71D8">
        <w:rPr>
          <w:lang w:val="en-GB"/>
        </w:rPr>
        <w:t>However</w:t>
      </w:r>
      <w:r w:rsidR="00D810DE" w:rsidRPr="00BC71D8">
        <w:rPr>
          <w:lang w:val="en-GB"/>
        </w:rPr>
        <w:t xml:space="preserve">, the GOI’s National Health Policy </w:t>
      </w:r>
      <w:r w:rsidR="00EE534F" w:rsidRPr="00BC71D8">
        <w:rPr>
          <w:lang w:val="en-GB"/>
        </w:rPr>
        <w:t>had set a target</w:t>
      </w:r>
      <w:r w:rsidR="00D810DE" w:rsidRPr="00BC71D8">
        <w:rPr>
          <w:lang w:val="en-GB"/>
        </w:rPr>
        <w:t xml:space="preserve"> to increase this share to 2.5 </w:t>
      </w:r>
      <w:r w:rsidR="00390D38" w:rsidRPr="00BC71D8">
        <w:rPr>
          <w:lang w:val="en-GB"/>
        </w:rPr>
        <w:t>per cent</w:t>
      </w:r>
      <w:r w:rsidR="00D810DE" w:rsidRPr="00BC71D8">
        <w:rPr>
          <w:lang w:val="en-GB"/>
        </w:rPr>
        <w:t xml:space="preserve"> by 2025.</w:t>
      </w:r>
      <w:r w:rsidR="00D810DE" w:rsidRPr="00BC71D8">
        <w:rPr>
          <w:rStyle w:val="FootnoteReference"/>
          <w:lang w:val="en-GB"/>
        </w:rPr>
        <w:footnoteReference w:id="9"/>
      </w:r>
    </w:p>
    <w:p w14:paraId="0E0EAA58" w14:textId="77777777" w:rsidR="00D810DE" w:rsidRPr="0044039B" w:rsidRDefault="00D810DE" w:rsidP="00F22813">
      <w:pPr>
        <w:pStyle w:val="BodyTextMain"/>
        <w:rPr>
          <w:sz w:val="20"/>
          <w:lang w:val="en-GB"/>
        </w:rPr>
      </w:pPr>
    </w:p>
    <w:p w14:paraId="63A9A212" w14:textId="34806601" w:rsidR="00D810DE" w:rsidRPr="00BC71D8" w:rsidRDefault="00D810DE" w:rsidP="00F22813">
      <w:pPr>
        <w:pStyle w:val="BodyTextMain"/>
        <w:rPr>
          <w:lang w:val="en-GB"/>
        </w:rPr>
      </w:pPr>
      <w:r w:rsidRPr="00BC71D8">
        <w:rPr>
          <w:lang w:val="en-GB"/>
        </w:rPr>
        <w:t xml:space="preserve">Private </w:t>
      </w:r>
      <w:r w:rsidR="000B7F13">
        <w:rPr>
          <w:lang w:val="en-GB"/>
        </w:rPr>
        <w:t>health care</w:t>
      </w:r>
      <w:r w:rsidRPr="00BC71D8">
        <w:rPr>
          <w:lang w:val="en-GB"/>
        </w:rPr>
        <w:t xml:space="preserve"> players, </w:t>
      </w:r>
      <w:r w:rsidR="00EE534F" w:rsidRPr="00BC71D8">
        <w:rPr>
          <w:lang w:val="en-GB"/>
        </w:rPr>
        <w:t xml:space="preserve">who </w:t>
      </w:r>
      <w:r w:rsidRPr="00BC71D8">
        <w:rPr>
          <w:lang w:val="en-GB"/>
        </w:rPr>
        <w:t xml:space="preserve">accounted for 75 percent of </w:t>
      </w:r>
      <w:r w:rsidR="00EE534F" w:rsidRPr="00BC71D8">
        <w:rPr>
          <w:lang w:val="en-GB"/>
        </w:rPr>
        <w:t xml:space="preserve">the </w:t>
      </w:r>
      <w:r w:rsidRPr="00BC71D8">
        <w:rPr>
          <w:lang w:val="en-GB"/>
        </w:rPr>
        <w:t xml:space="preserve">country’s total </w:t>
      </w:r>
      <w:r w:rsidR="000B7F13">
        <w:rPr>
          <w:lang w:val="en-GB"/>
        </w:rPr>
        <w:t>health care</w:t>
      </w:r>
      <w:r w:rsidRPr="00BC71D8">
        <w:rPr>
          <w:lang w:val="en-GB"/>
        </w:rPr>
        <w:t xml:space="preserve"> expenditure, were the vibrant force behind the growth of </w:t>
      </w:r>
      <w:r w:rsidR="00EE534F" w:rsidRPr="00BC71D8">
        <w:rPr>
          <w:lang w:val="en-GB"/>
        </w:rPr>
        <w:t xml:space="preserve">the </w:t>
      </w:r>
      <w:r w:rsidRPr="00BC71D8">
        <w:rPr>
          <w:lang w:val="en-GB"/>
        </w:rPr>
        <w:t xml:space="preserve">Indian </w:t>
      </w:r>
      <w:r w:rsidR="000B7F13">
        <w:rPr>
          <w:lang w:val="en-GB"/>
        </w:rPr>
        <w:t>health care</w:t>
      </w:r>
      <w:r w:rsidRPr="00BC71D8">
        <w:rPr>
          <w:lang w:val="en-GB"/>
        </w:rPr>
        <w:t xml:space="preserve"> industry. These players had made huge investments in setting up chains of world-class hospitals and diagnostic cent</w:t>
      </w:r>
      <w:r w:rsidR="00EE534F" w:rsidRPr="00BC71D8">
        <w:rPr>
          <w:lang w:val="en-GB"/>
        </w:rPr>
        <w:t>r</w:t>
      </w:r>
      <w:r w:rsidRPr="00BC71D8">
        <w:rPr>
          <w:lang w:val="en-GB"/>
        </w:rPr>
        <w:t xml:space="preserve">es in metros and </w:t>
      </w:r>
      <w:r w:rsidR="00184656" w:rsidRPr="00BC71D8">
        <w:rPr>
          <w:lang w:val="en-GB"/>
        </w:rPr>
        <w:t xml:space="preserve">Tier </w:t>
      </w:r>
      <w:r w:rsidRPr="00BC71D8">
        <w:rPr>
          <w:lang w:val="en-GB"/>
        </w:rPr>
        <w:t>1 cities including New Delhi</w:t>
      </w:r>
      <w:r w:rsidR="0046387B" w:rsidRPr="00BC71D8">
        <w:rPr>
          <w:lang w:val="en-GB"/>
        </w:rPr>
        <w:t>, Chennai</w:t>
      </w:r>
      <w:r w:rsidRPr="00BC71D8">
        <w:rPr>
          <w:lang w:val="en-GB"/>
        </w:rPr>
        <w:t>, Mumbai</w:t>
      </w:r>
      <w:r w:rsidR="0046387B" w:rsidRPr="00BC71D8">
        <w:rPr>
          <w:lang w:val="en-GB"/>
        </w:rPr>
        <w:t>,</w:t>
      </w:r>
      <w:r w:rsidR="00C06C22" w:rsidRPr="00BC71D8">
        <w:rPr>
          <w:lang w:val="en-GB"/>
        </w:rPr>
        <w:t xml:space="preserve"> </w:t>
      </w:r>
      <w:r w:rsidRPr="00BC71D8">
        <w:rPr>
          <w:lang w:val="en-GB"/>
        </w:rPr>
        <w:t>and Hyderabad. Some of the private hospital chains</w:t>
      </w:r>
      <w:r w:rsidR="00184656" w:rsidRPr="00BC71D8">
        <w:rPr>
          <w:lang w:val="en-GB"/>
        </w:rPr>
        <w:t xml:space="preserve"> in India</w:t>
      </w:r>
      <w:r w:rsidRPr="00BC71D8">
        <w:rPr>
          <w:lang w:val="en-GB"/>
        </w:rPr>
        <w:t xml:space="preserve">, </w:t>
      </w:r>
      <w:r w:rsidR="00184656" w:rsidRPr="00BC71D8">
        <w:rPr>
          <w:lang w:val="en-GB"/>
        </w:rPr>
        <w:t xml:space="preserve">which were </w:t>
      </w:r>
      <w:r w:rsidRPr="00BC71D8">
        <w:rPr>
          <w:lang w:val="en-GB"/>
        </w:rPr>
        <w:t>renowned for tertiary and quaternary</w:t>
      </w:r>
      <w:r w:rsidR="00C06C22" w:rsidRPr="00BC71D8">
        <w:rPr>
          <w:lang w:val="en-GB"/>
        </w:rPr>
        <w:t xml:space="preserve"> </w:t>
      </w:r>
      <w:r w:rsidRPr="00BC71D8">
        <w:rPr>
          <w:lang w:val="en-GB"/>
        </w:rPr>
        <w:t xml:space="preserve">care facilities, were Apollo </w:t>
      </w:r>
      <w:r w:rsidR="00184656" w:rsidRPr="00BC71D8">
        <w:rPr>
          <w:lang w:val="en-GB"/>
        </w:rPr>
        <w:t xml:space="preserve">Hospitals Enterprise Limited </w:t>
      </w:r>
      <w:r w:rsidRPr="00BC71D8">
        <w:rPr>
          <w:lang w:val="en-GB"/>
        </w:rPr>
        <w:t>(</w:t>
      </w:r>
      <w:r w:rsidR="00184656" w:rsidRPr="00BC71D8">
        <w:rPr>
          <w:lang w:val="en-GB"/>
        </w:rPr>
        <w:t xml:space="preserve">with a </w:t>
      </w:r>
      <w:r w:rsidRPr="00BC71D8">
        <w:rPr>
          <w:lang w:val="en-GB"/>
        </w:rPr>
        <w:t>capacity of 9,215 beds),</w:t>
      </w:r>
      <w:r w:rsidR="00CF2739">
        <w:rPr>
          <w:lang w:val="en-GB"/>
        </w:rPr>
        <w:t xml:space="preserve"> </w:t>
      </w:r>
      <w:r w:rsidRPr="00BC71D8">
        <w:rPr>
          <w:lang w:val="en-GB"/>
        </w:rPr>
        <w:t xml:space="preserve">Fortis </w:t>
      </w:r>
      <w:r w:rsidR="00CF2739">
        <w:rPr>
          <w:lang w:val="en-GB"/>
        </w:rPr>
        <w:t>Health C</w:t>
      </w:r>
      <w:r w:rsidR="000B7F13">
        <w:rPr>
          <w:lang w:val="en-GB"/>
        </w:rPr>
        <w:t>are</w:t>
      </w:r>
      <w:r w:rsidRPr="00BC71D8">
        <w:rPr>
          <w:lang w:val="en-GB"/>
        </w:rPr>
        <w:t xml:space="preserve"> Limited (10,000 beds), Max </w:t>
      </w:r>
      <w:r w:rsidR="00CF2739">
        <w:rPr>
          <w:lang w:val="en-GB"/>
        </w:rPr>
        <w:t>Health C</w:t>
      </w:r>
      <w:r w:rsidR="000B7F13">
        <w:rPr>
          <w:lang w:val="en-GB"/>
        </w:rPr>
        <w:t>are</w:t>
      </w:r>
      <w:r w:rsidR="00184656" w:rsidRPr="00BC71D8">
        <w:rPr>
          <w:lang w:val="en-GB"/>
        </w:rPr>
        <w:t xml:space="preserve"> </w:t>
      </w:r>
      <w:r w:rsidRPr="00BC71D8">
        <w:rPr>
          <w:lang w:val="en-GB"/>
        </w:rPr>
        <w:t xml:space="preserve">(2,016 beds), </w:t>
      </w:r>
      <w:proofErr w:type="spellStart"/>
      <w:r w:rsidRPr="00BC71D8">
        <w:rPr>
          <w:lang w:val="en-GB"/>
        </w:rPr>
        <w:t>Manipal</w:t>
      </w:r>
      <w:proofErr w:type="spellEnd"/>
      <w:r w:rsidRPr="00BC71D8">
        <w:rPr>
          <w:lang w:val="en-GB"/>
        </w:rPr>
        <w:t xml:space="preserve"> Hospitals </w:t>
      </w:r>
      <w:r w:rsidR="00184656" w:rsidRPr="00BC71D8">
        <w:rPr>
          <w:lang w:val="en-GB"/>
        </w:rPr>
        <w:t xml:space="preserve">Group </w:t>
      </w:r>
      <w:r w:rsidRPr="00BC71D8">
        <w:rPr>
          <w:lang w:val="en-GB"/>
        </w:rPr>
        <w:t>(4,900 beds)</w:t>
      </w:r>
      <w:r w:rsidR="00184656" w:rsidRPr="00BC71D8">
        <w:rPr>
          <w:lang w:val="en-GB"/>
        </w:rPr>
        <w:t>,</w:t>
      </w:r>
      <w:r w:rsidRPr="00BC71D8">
        <w:rPr>
          <w:lang w:val="en-GB"/>
        </w:rPr>
        <w:t xml:space="preserve"> and Narayana Health (7,452 beds).</w:t>
      </w:r>
      <w:r w:rsidRPr="00BC71D8">
        <w:rPr>
          <w:rStyle w:val="FootnoteReference"/>
          <w:lang w:val="en-GB"/>
        </w:rPr>
        <w:footnoteReference w:id="10"/>
      </w:r>
      <w:r w:rsidRPr="00BC71D8">
        <w:rPr>
          <w:lang w:val="en-GB"/>
        </w:rPr>
        <w:t xml:space="preserve"> T</w:t>
      </w:r>
      <w:r w:rsidR="00184656" w:rsidRPr="00BC71D8">
        <w:rPr>
          <w:lang w:val="en-GB"/>
        </w:rPr>
        <w:t>he vision of t</w:t>
      </w:r>
      <w:r w:rsidRPr="00BC71D8">
        <w:rPr>
          <w:lang w:val="en-GB"/>
        </w:rPr>
        <w:t xml:space="preserve">hese hospitals </w:t>
      </w:r>
      <w:r w:rsidR="00184656" w:rsidRPr="00BC71D8">
        <w:rPr>
          <w:lang w:val="en-GB"/>
        </w:rPr>
        <w:t>was</w:t>
      </w:r>
      <w:r w:rsidRPr="00BC71D8">
        <w:rPr>
          <w:lang w:val="en-GB"/>
        </w:rPr>
        <w:t xml:space="preserve"> to offer high standards of medical care along with clinic</w:t>
      </w:r>
      <w:r w:rsidR="007B3D0C" w:rsidRPr="00BC71D8">
        <w:rPr>
          <w:lang w:val="en-GB"/>
        </w:rPr>
        <w:t>al</w:t>
      </w:r>
      <w:r w:rsidRPr="00BC71D8">
        <w:rPr>
          <w:lang w:val="en-GB"/>
        </w:rPr>
        <w:t xml:space="preserve"> research and training. </w:t>
      </w:r>
      <w:r w:rsidR="004E08AC" w:rsidRPr="00BC71D8">
        <w:rPr>
          <w:lang w:val="en-GB"/>
        </w:rPr>
        <w:t xml:space="preserve">According to a recent PWC report, </w:t>
      </w:r>
      <w:r w:rsidR="00184656" w:rsidRPr="00BC71D8">
        <w:rPr>
          <w:lang w:val="en-GB"/>
        </w:rPr>
        <w:t>in addition to an</w:t>
      </w:r>
      <w:r w:rsidR="00A355D1" w:rsidRPr="00BC71D8">
        <w:rPr>
          <w:lang w:val="en-GB"/>
        </w:rPr>
        <w:t xml:space="preserve"> influx of </w:t>
      </w:r>
      <w:r w:rsidRPr="00BC71D8">
        <w:rPr>
          <w:lang w:val="en-GB"/>
        </w:rPr>
        <w:t xml:space="preserve">private investors, this sector </w:t>
      </w:r>
      <w:r w:rsidR="00184656" w:rsidRPr="00BC71D8">
        <w:rPr>
          <w:lang w:val="en-GB"/>
        </w:rPr>
        <w:t xml:space="preserve">had been </w:t>
      </w:r>
      <w:r w:rsidRPr="00BC71D8">
        <w:rPr>
          <w:lang w:val="en-GB"/>
        </w:rPr>
        <w:t>witnessing a significant increase in foreign</w:t>
      </w:r>
      <w:r w:rsidR="00C06C22" w:rsidRPr="00BC71D8">
        <w:rPr>
          <w:lang w:val="en-GB"/>
        </w:rPr>
        <w:t xml:space="preserve"> </w:t>
      </w:r>
      <w:r w:rsidRPr="00BC71D8">
        <w:rPr>
          <w:lang w:val="en-GB"/>
        </w:rPr>
        <w:t>direct investment</w:t>
      </w:r>
      <w:r w:rsidR="004E08AC" w:rsidRPr="00BC71D8">
        <w:rPr>
          <w:lang w:val="en-GB"/>
        </w:rPr>
        <w:t xml:space="preserve"> </w:t>
      </w:r>
      <w:r w:rsidR="00184656" w:rsidRPr="00BC71D8">
        <w:rPr>
          <w:lang w:val="en-GB"/>
        </w:rPr>
        <w:t xml:space="preserve">over </w:t>
      </w:r>
      <w:r w:rsidRPr="00BC71D8">
        <w:rPr>
          <w:lang w:val="en-GB"/>
        </w:rPr>
        <w:t>the past few years.</w:t>
      </w:r>
      <w:r w:rsidRPr="00BC71D8">
        <w:rPr>
          <w:vertAlign w:val="superscript"/>
          <w:lang w:val="en-GB"/>
        </w:rPr>
        <w:footnoteReference w:id="11"/>
      </w:r>
      <w:r w:rsidR="00CF2739">
        <w:rPr>
          <w:lang w:val="en-GB"/>
        </w:rPr>
        <w:t xml:space="preserve"> </w:t>
      </w:r>
      <w:r w:rsidRPr="00BC71D8">
        <w:rPr>
          <w:lang w:val="en-GB"/>
        </w:rPr>
        <w:t>“Access to capital had been the major roadblock for the growth of</w:t>
      </w:r>
      <w:r w:rsidR="00CF2739">
        <w:rPr>
          <w:lang w:val="en-GB"/>
        </w:rPr>
        <w:t xml:space="preserve"> [the]</w:t>
      </w:r>
      <w:r w:rsidRPr="00BC71D8">
        <w:rPr>
          <w:lang w:val="en-GB"/>
        </w:rPr>
        <w:t xml:space="preserve"> Indian </w:t>
      </w:r>
      <w:r w:rsidR="000B7F13">
        <w:rPr>
          <w:lang w:val="en-GB"/>
        </w:rPr>
        <w:t>health care</w:t>
      </w:r>
      <w:r w:rsidRPr="00BC71D8">
        <w:rPr>
          <w:lang w:val="en-GB"/>
        </w:rPr>
        <w:t xml:space="preserve"> sector. Both the public and private sectors need to join hands to build the </w:t>
      </w:r>
      <w:r w:rsidR="000B7F13">
        <w:rPr>
          <w:lang w:val="en-GB"/>
        </w:rPr>
        <w:t>health care</w:t>
      </w:r>
      <w:r w:rsidRPr="00BC71D8">
        <w:rPr>
          <w:lang w:val="en-GB"/>
        </w:rPr>
        <w:t xml:space="preserve"> infrastructure in the country,” Manish said.</w:t>
      </w:r>
    </w:p>
    <w:p w14:paraId="7DBB7DE7" w14:textId="77777777" w:rsidR="00D810DE" w:rsidRPr="0044039B" w:rsidRDefault="00D810DE" w:rsidP="00F22813">
      <w:pPr>
        <w:pStyle w:val="BodyTextMain"/>
        <w:rPr>
          <w:sz w:val="20"/>
          <w:lang w:val="en-GB"/>
        </w:rPr>
      </w:pPr>
    </w:p>
    <w:p w14:paraId="1CDA004E" w14:textId="7C5766F0" w:rsidR="00D810DE" w:rsidRPr="00BC71D8" w:rsidRDefault="00D810DE" w:rsidP="00F22813">
      <w:pPr>
        <w:pStyle w:val="BodyTextMain"/>
        <w:rPr>
          <w:lang w:val="en-GB"/>
        </w:rPr>
      </w:pPr>
      <w:r w:rsidRPr="00BC71D8">
        <w:rPr>
          <w:lang w:val="en-GB"/>
        </w:rPr>
        <w:t>Curative care treatment</w:t>
      </w:r>
      <w:r w:rsidR="00184656" w:rsidRPr="00BC71D8">
        <w:rPr>
          <w:lang w:val="en-GB"/>
        </w:rPr>
        <w:t>s</w:t>
      </w:r>
      <w:r w:rsidRPr="00BC71D8">
        <w:rPr>
          <w:lang w:val="en-GB"/>
        </w:rPr>
        <w:t xml:space="preserve"> involving advanced medical procedures for cardiology, </w:t>
      </w:r>
      <w:r w:rsidR="00D46D9C" w:rsidRPr="00BC71D8">
        <w:rPr>
          <w:lang w:val="en-GB"/>
        </w:rPr>
        <w:t>orthopaedics</w:t>
      </w:r>
      <w:r w:rsidRPr="00BC71D8">
        <w:rPr>
          <w:lang w:val="en-GB"/>
        </w:rPr>
        <w:t>, transplant</w:t>
      </w:r>
      <w:r w:rsidR="00184656" w:rsidRPr="00BC71D8">
        <w:rPr>
          <w:lang w:val="en-GB"/>
        </w:rPr>
        <w:t>s,</w:t>
      </w:r>
      <w:r w:rsidRPr="00BC71D8">
        <w:rPr>
          <w:lang w:val="en-GB"/>
        </w:rPr>
        <w:t xml:space="preserve"> and ophthalmology </w:t>
      </w:r>
      <w:r w:rsidR="00184656" w:rsidRPr="00BC71D8">
        <w:rPr>
          <w:lang w:val="en-GB"/>
        </w:rPr>
        <w:t xml:space="preserve">were </w:t>
      </w:r>
      <w:r w:rsidRPr="00BC71D8">
        <w:rPr>
          <w:lang w:val="en-GB"/>
        </w:rPr>
        <w:t>available in India at significant cost differentials and without any</w:t>
      </w:r>
      <w:r w:rsidR="00C06C22" w:rsidRPr="00BC71D8">
        <w:rPr>
          <w:lang w:val="en-GB"/>
        </w:rPr>
        <w:t xml:space="preserve"> </w:t>
      </w:r>
      <w:r w:rsidRPr="00BC71D8">
        <w:rPr>
          <w:lang w:val="en-GB"/>
        </w:rPr>
        <w:t xml:space="preserve">waiting time. </w:t>
      </w:r>
      <w:r w:rsidR="00184656" w:rsidRPr="00BC71D8">
        <w:rPr>
          <w:lang w:val="en-GB"/>
        </w:rPr>
        <w:t>According to</w:t>
      </w:r>
      <w:r w:rsidRPr="00BC71D8">
        <w:rPr>
          <w:lang w:val="en-GB"/>
        </w:rPr>
        <w:t xml:space="preserve"> statistics released by </w:t>
      </w:r>
      <w:r w:rsidR="00184656" w:rsidRPr="00BC71D8">
        <w:rPr>
          <w:lang w:val="en-GB"/>
        </w:rPr>
        <w:t xml:space="preserve">the </w:t>
      </w:r>
      <w:r w:rsidRPr="00BC71D8">
        <w:rPr>
          <w:lang w:val="en-GB"/>
        </w:rPr>
        <w:t xml:space="preserve">American Marketing Association, the cost of </w:t>
      </w:r>
      <w:r w:rsidR="00184656" w:rsidRPr="00BC71D8">
        <w:rPr>
          <w:lang w:val="en-GB"/>
        </w:rPr>
        <w:t xml:space="preserve">a </w:t>
      </w:r>
      <w:r w:rsidRPr="00BC71D8">
        <w:rPr>
          <w:lang w:val="en-GB"/>
        </w:rPr>
        <w:t xml:space="preserve">knee replacement surgery was </w:t>
      </w:r>
      <w:r w:rsidR="00184656" w:rsidRPr="00BC71D8">
        <w:rPr>
          <w:lang w:val="en-GB"/>
        </w:rPr>
        <w:t>$</w:t>
      </w:r>
      <w:r w:rsidRPr="00BC71D8">
        <w:rPr>
          <w:lang w:val="en-GB"/>
        </w:rPr>
        <w:t xml:space="preserve">40,000 in </w:t>
      </w:r>
      <w:r w:rsidR="00184656" w:rsidRPr="00BC71D8">
        <w:rPr>
          <w:lang w:val="en-GB"/>
        </w:rPr>
        <w:t>the United States</w:t>
      </w:r>
      <w:r w:rsidRPr="00BC71D8">
        <w:rPr>
          <w:lang w:val="en-GB"/>
        </w:rPr>
        <w:t xml:space="preserve">, </w:t>
      </w:r>
      <w:r w:rsidR="00184656" w:rsidRPr="00BC71D8">
        <w:rPr>
          <w:lang w:val="en-GB"/>
        </w:rPr>
        <w:t>$</w:t>
      </w:r>
      <w:r w:rsidRPr="00BC71D8">
        <w:rPr>
          <w:lang w:val="en-GB"/>
        </w:rPr>
        <w:t xml:space="preserve">10,000 in Thailand, </w:t>
      </w:r>
      <w:r w:rsidR="00184656" w:rsidRPr="00BC71D8">
        <w:rPr>
          <w:lang w:val="en-GB"/>
        </w:rPr>
        <w:t>$</w:t>
      </w:r>
      <w:r w:rsidRPr="00BC71D8">
        <w:rPr>
          <w:lang w:val="en-GB"/>
        </w:rPr>
        <w:t>13,000 in Singapore</w:t>
      </w:r>
      <w:r w:rsidR="00EA3229">
        <w:rPr>
          <w:lang w:val="en-GB"/>
        </w:rPr>
        <w:t>,</w:t>
      </w:r>
      <w:r w:rsidRPr="00BC71D8">
        <w:rPr>
          <w:lang w:val="en-GB"/>
        </w:rPr>
        <w:t xml:space="preserve"> and </w:t>
      </w:r>
      <w:r w:rsidR="00184656" w:rsidRPr="00BC71D8">
        <w:rPr>
          <w:lang w:val="en-GB"/>
        </w:rPr>
        <w:t>$</w:t>
      </w:r>
      <w:r w:rsidRPr="00BC71D8">
        <w:rPr>
          <w:lang w:val="en-GB"/>
        </w:rPr>
        <w:t>8</w:t>
      </w:r>
      <w:r w:rsidR="00870DCB" w:rsidRPr="00BC71D8">
        <w:rPr>
          <w:lang w:val="en-GB"/>
        </w:rPr>
        <w:t>,</w:t>
      </w:r>
      <w:r w:rsidRPr="00BC71D8">
        <w:rPr>
          <w:lang w:val="en-GB"/>
        </w:rPr>
        <w:t>500 in India</w:t>
      </w:r>
      <w:r w:rsidR="00C06C22" w:rsidRPr="00BC71D8">
        <w:rPr>
          <w:lang w:val="en-GB"/>
        </w:rPr>
        <w:t xml:space="preserve"> </w:t>
      </w:r>
      <w:r w:rsidRPr="00BC71D8">
        <w:rPr>
          <w:lang w:val="en-GB"/>
        </w:rPr>
        <w:t>(see Exhibit 1). The total cost of treatment</w:t>
      </w:r>
      <w:r w:rsidR="00184656" w:rsidRPr="00BC71D8">
        <w:rPr>
          <w:lang w:val="en-GB"/>
        </w:rPr>
        <w:t>,</w:t>
      </w:r>
      <w:r w:rsidRPr="00BC71D8">
        <w:rPr>
          <w:lang w:val="en-GB"/>
        </w:rPr>
        <w:t xml:space="preserve"> including health services, accommodation</w:t>
      </w:r>
      <w:r w:rsidR="00184656" w:rsidRPr="00BC71D8">
        <w:rPr>
          <w:lang w:val="en-GB"/>
        </w:rPr>
        <w:t>,</w:t>
      </w:r>
      <w:r w:rsidRPr="00BC71D8">
        <w:rPr>
          <w:lang w:val="en-GB"/>
        </w:rPr>
        <w:t xml:space="preserve"> and food service</w:t>
      </w:r>
      <w:r w:rsidR="00184656" w:rsidRPr="00BC71D8">
        <w:rPr>
          <w:lang w:val="en-GB"/>
        </w:rPr>
        <w:t>s,</w:t>
      </w:r>
      <w:r w:rsidRPr="00BC71D8">
        <w:rPr>
          <w:lang w:val="en-GB"/>
        </w:rPr>
        <w:t xml:space="preserve"> was estimated to be 70</w:t>
      </w:r>
      <w:r w:rsidR="00184656" w:rsidRPr="00BC71D8">
        <w:rPr>
          <w:lang w:val="en-GB"/>
        </w:rPr>
        <w:t>–</w:t>
      </w:r>
      <w:r w:rsidRPr="00BC71D8">
        <w:rPr>
          <w:lang w:val="en-GB"/>
        </w:rPr>
        <w:t xml:space="preserve">75 </w:t>
      </w:r>
      <w:r w:rsidR="00390D38" w:rsidRPr="00BC71D8">
        <w:rPr>
          <w:lang w:val="en-GB"/>
        </w:rPr>
        <w:t>per cent</w:t>
      </w:r>
      <w:r w:rsidRPr="00BC71D8">
        <w:rPr>
          <w:lang w:val="en-GB"/>
        </w:rPr>
        <w:t xml:space="preserve"> less in India compared to </w:t>
      </w:r>
      <w:r w:rsidR="00184656" w:rsidRPr="00BC71D8">
        <w:rPr>
          <w:lang w:val="en-GB"/>
        </w:rPr>
        <w:t xml:space="preserve">in </w:t>
      </w:r>
      <w:r w:rsidRPr="00BC71D8">
        <w:rPr>
          <w:lang w:val="en-GB"/>
        </w:rPr>
        <w:t>many Western and South Asian countries.</w:t>
      </w:r>
      <w:r w:rsidRPr="00BC71D8">
        <w:rPr>
          <w:rStyle w:val="FootnoteReference"/>
          <w:lang w:val="en-GB"/>
        </w:rPr>
        <w:footnoteReference w:id="12"/>
      </w:r>
      <w:r w:rsidRPr="00BC71D8">
        <w:rPr>
          <w:lang w:val="en-GB"/>
        </w:rPr>
        <w:t xml:space="preserve"> </w:t>
      </w:r>
      <w:r w:rsidRPr="00BC71D8">
        <w:rPr>
          <w:lang w:val="en-GB"/>
        </w:rPr>
        <w:lastRenderedPageBreak/>
        <w:t xml:space="preserve">According to a </w:t>
      </w:r>
      <w:r w:rsidR="00184656" w:rsidRPr="00BC71D8">
        <w:rPr>
          <w:lang w:val="en-GB"/>
        </w:rPr>
        <w:t>2013</w:t>
      </w:r>
      <w:r w:rsidR="00EA3229">
        <w:rPr>
          <w:lang w:val="en-GB"/>
        </w:rPr>
        <w:t xml:space="preserve"> </w:t>
      </w:r>
      <w:r w:rsidRPr="00BC71D8">
        <w:rPr>
          <w:i/>
          <w:lang w:val="en-GB"/>
        </w:rPr>
        <w:t>Harvard Business Review</w:t>
      </w:r>
      <w:r w:rsidRPr="00BC71D8">
        <w:rPr>
          <w:lang w:val="en-GB"/>
        </w:rPr>
        <w:t xml:space="preserve"> study, </w:t>
      </w:r>
      <w:r w:rsidR="00184656" w:rsidRPr="00BC71D8">
        <w:rPr>
          <w:lang w:val="en-GB"/>
        </w:rPr>
        <w:t xml:space="preserve">keys to making the global standards of Indian </w:t>
      </w:r>
      <w:r w:rsidR="000B7F13">
        <w:rPr>
          <w:lang w:val="en-GB"/>
        </w:rPr>
        <w:t>health care</w:t>
      </w:r>
      <w:r w:rsidR="00184656" w:rsidRPr="00BC71D8">
        <w:rPr>
          <w:lang w:val="en-GB"/>
        </w:rPr>
        <w:t xml:space="preserve"> available at a competitive price</w:t>
      </w:r>
      <w:r w:rsidR="00C06C22" w:rsidRPr="00BC71D8">
        <w:rPr>
          <w:lang w:val="en-GB"/>
        </w:rPr>
        <w:t xml:space="preserve"> </w:t>
      </w:r>
      <w:r w:rsidR="00184656" w:rsidRPr="00BC71D8">
        <w:rPr>
          <w:lang w:val="en-GB"/>
        </w:rPr>
        <w:t xml:space="preserve">were </w:t>
      </w:r>
      <w:r w:rsidRPr="00BC71D8">
        <w:rPr>
          <w:lang w:val="en-GB"/>
        </w:rPr>
        <w:t>coordinated medical planning, economizing the use of expensive equipment and expertise, and minimizing operational costs.</w:t>
      </w:r>
      <w:r w:rsidRPr="00BC71D8">
        <w:rPr>
          <w:rStyle w:val="FootnoteReference"/>
          <w:lang w:val="en-GB"/>
        </w:rPr>
        <w:footnoteReference w:id="13"/>
      </w:r>
      <w:r w:rsidR="00EA3229">
        <w:rPr>
          <w:lang w:val="en-GB"/>
        </w:rPr>
        <w:t xml:space="preserve"> </w:t>
      </w:r>
      <w:r w:rsidRPr="00BC71D8">
        <w:rPr>
          <w:lang w:val="en-GB"/>
        </w:rPr>
        <w:t>“The</w:t>
      </w:r>
      <w:r w:rsidR="00870DCB" w:rsidRPr="00BC71D8">
        <w:rPr>
          <w:lang w:val="en-GB"/>
        </w:rPr>
        <w:t xml:space="preserve"> Indian surgeons</w:t>
      </w:r>
      <w:r w:rsidRPr="00BC71D8">
        <w:rPr>
          <w:lang w:val="en-GB"/>
        </w:rPr>
        <w:t xml:space="preserve"> operate far more cases than their counterparts in </w:t>
      </w:r>
      <w:r w:rsidR="00870DCB" w:rsidRPr="00BC71D8">
        <w:rPr>
          <w:lang w:val="en-GB"/>
        </w:rPr>
        <w:t xml:space="preserve">the </w:t>
      </w:r>
      <w:r w:rsidRPr="00BC71D8">
        <w:rPr>
          <w:lang w:val="en-GB"/>
        </w:rPr>
        <w:t>U</w:t>
      </w:r>
      <w:r w:rsidR="00870DCB" w:rsidRPr="00BC71D8">
        <w:rPr>
          <w:lang w:val="en-GB"/>
        </w:rPr>
        <w:t xml:space="preserve">nited </w:t>
      </w:r>
      <w:r w:rsidRPr="00BC71D8">
        <w:rPr>
          <w:lang w:val="en-GB"/>
        </w:rPr>
        <w:t>K</w:t>
      </w:r>
      <w:r w:rsidR="00870DCB" w:rsidRPr="00BC71D8">
        <w:rPr>
          <w:lang w:val="en-GB"/>
        </w:rPr>
        <w:t>ingdom</w:t>
      </w:r>
      <w:r w:rsidRPr="00BC71D8">
        <w:rPr>
          <w:lang w:val="en-GB"/>
        </w:rPr>
        <w:t xml:space="preserve"> or </w:t>
      </w:r>
      <w:r w:rsidR="00870DCB" w:rsidRPr="00BC71D8">
        <w:rPr>
          <w:lang w:val="en-GB"/>
        </w:rPr>
        <w:t xml:space="preserve">the </w:t>
      </w:r>
      <w:r w:rsidRPr="00BC71D8">
        <w:rPr>
          <w:lang w:val="en-GB"/>
        </w:rPr>
        <w:t>U</w:t>
      </w:r>
      <w:r w:rsidR="00870DCB" w:rsidRPr="00BC71D8">
        <w:rPr>
          <w:lang w:val="en-GB"/>
        </w:rPr>
        <w:t xml:space="preserve">nited </w:t>
      </w:r>
      <w:r w:rsidRPr="00BC71D8">
        <w:rPr>
          <w:lang w:val="en-GB"/>
        </w:rPr>
        <w:t>S</w:t>
      </w:r>
      <w:r w:rsidR="00870DCB" w:rsidRPr="00BC71D8">
        <w:rPr>
          <w:lang w:val="en-GB"/>
        </w:rPr>
        <w:t>tates</w:t>
      </w:r>
      <w:r w:rsidRPr="00BC71D8">
        <w:rPr>
          <w:lang w:val="en-GB"/>
        </w:rPr>
        <w:t xml:space="preserve"> and thus are more experienced. They give excellent outcomes with less resources</w:t>
      </w:r>
      <w:r w:rsidR="00EA3229">
        <w:rPr>
          <w:lang w:val="en-GB"/>
        </w:rPr>
        <w:t>,</w:t>
      </w:r>
      <w:r w:rsidRPr="00BC71D8">
        <w:rPr>
          <w:lang w:val="en-GB"/>
        </w:rPr>
        <w:t xml:space="preserve"> and that is their USP</w:t>
      </w:r>
      <w:r w:rsidR="00870DCB" w:rsidRPr="00BC71D8">
        <w:rPr>
          <w:lang w:val="en-GB"/>
        </w:rPr>
        <w:t xml:space="preserve"> [unique selling point]</w:t>
      </w:r>
      <w:r w:rsidRPr="00BC71D8">
        <w:rPr>
          <w:lang w:val="en-GB"/>
        </w:rPr>
        <w:t xml:space="preserve">,” Manish </w:t>
      </w:r>
      <w:r w:rsidR="00EE61EF" w:rsidRPr="00BC71D8">
        <w:rPr>
          <w:lang w:val="en-GB"/>
        </w:rPr>
        <w:t>noted</w:t>
      </w:r>
      <w:r w:rsidRPr="00BC71D8">
        <w:rPr>
          <w:lang w:val="en-GB"/>
        </w:rPr>
        <w:t>. Beyond allopathic</w:t>
      </w:r>
      <w:r w:rsidR="00EE61EF" w:rsidRPr="00BC71D8">
        <w:rPr>
          <w:lang w:val="en-GB"/>
        </w:rPr>
        <w:t xml:space="preserve"> medicine</w:t>
      </w:r>
      <w:r w:rsidRPr="00BC71D8">
        <w:rPr>
          <w:lang w:val="en-GB"/>
        </w:rPr>
        <w:t xml:space="preserve">, </w:t>
      </w:r>
      <w:r w:rsidR="00EE61EF" w:rsidRPr="00BC71D8">
        <w:rPr>
          <w:lang w:val="en-GB"/>
        </w:rPr>
        <w:t xml:space="preserve">the </w:t>
      </w:r>
      <w:r w:rsidRPr="00BC71D8">
        <w:rPr>
          <w:lang w:val="en-GB"/>
        </w:rPr>
        <w:t xml:space="preserve">Indian </w:t>
      </w:r>
      <w:r w:rsidR="000B7F13">
        <w:rPr>
          <w:lang w:val="en-GB"/>
        </w:rPr>
        <w:t>health care</w:t>
      </w:r>
      <w:r w:rsidRPr="00BC71D8">
        <w:rPr>
          <w:lang w:val="en-GB"/>
        </w:rPr>
        <w:t xml:space="preserve"> sector enjoyed credibility in a host of traditional healing methods or </w:t>
      </w:r>
      <w:r w:rsidR="00EB4919" w:rsidRPr="00BC71D8">
        <w:rPr>
          <w:lang w:val="en-GB"/>
        </w:rPr>
        <w:t xml:space="preserve">alternative </w:t>
      </w:r>
      <w:r w:rsidRPr="00BC71D8">
        <w:rPr>
          <w:lang w:val="en-GB"/>
        </w:rPr>
        <w:t xml:space="preserve">medicines based on </w:t>
      </w:r>
      <w:r w:rsidR="00EE61EF" w:rsidRPr="00BC71D8">
        <w:rPr>
          <w:lang w:val="en-GB"/>
        </w:rPr>
        <w:t>Ayurveda, yoga and naturopathy, and homoeopathy (</w:t>
      </w:r>
      <w:r w:rsidRPr="00BC71D8">
        <w:rPr>
          <w:lang w:val="en-GB"/>
        </w:rPr>
        <w:t>AYUSH</w:t>
      </w:r>
      <w:r w:rsidRPr="00BC71D8">
        <w:rPr>
          <w:rFonts w:ascii="Arial" w:hAnsi="Arial" w:cs="Arial"/>
          <w:color w:val="222222"/>
          <w:shd w:val="clear" w:color="auto" w:fill="FFFFFF"/>
          <w:lang w:val="en-GB"/>
        </w:rPr>
        <w:t>)</w:t>
      </w:r>
      <w:r w:rsidRPr="00BC71D8">
        <w:rPr>
          <w:lang w:val="en-GB"/>
        </w:rPr>
        <w:t xml:space="preserve">. With the establishment of </w:t>
      </w:r>
      <w:r w:rsidR="00EE61EF" w:rsidRPr="00BC71D8">
        <w:rPr>
          <w:lang w:val="en-GB"/>
        </w:rPr>
        <w:t xml:space="preserve">the </w:t>
      </w:r>
      <w:r w:rsidRPr="00BC71D8">
        <w:rPr>
          <w:lang w:val="en-GB"/>
        </w:rPr>
        <w:t xml:space="preserve">Ministry of AYUSH in 2014, the GOI was working </w:t>
      </w:r>
      <w:r w:rsidR="00EE61EF" w:rsidRPr="00BC71D8">
        <w:rPr>
          <w:lang w:val="en-GB"/>
        </w:rPr>
        <w:t>to</w:t>
      </w:r>
      <w:r w:rsidRPr="00BC71D8">
        <w:rPr>
          <w:lang w:val="en-GB"/>
        </w:rPr>
        <w:t xml:space="preserve"> develo</w:t>
      </w:r>
      <w:r w:rsidR="004B6160">
        <w:rPr>
          <w:lang w:val="en-GB"/>
        </w:rPr>
        <w:t>p</w:t>
      </w:r>
      <w:r w:rsidRPr="00BC71D8">
        <w:rPr>
          <w:lang w:val="en-GB"/>
        </w:rPr>
        <w:t xml:space="preserve"> and </w:t>
      </w:r>
      <w:r w:rsidR="00EE61EF" w:rsidRPr="00BC71D8">
        <w:rPr>
          <w:lang w:val="en-GB"/>
        </w:rPr>
        <w:t xml:space="preserve">promote these </w:t>
      </w:r>
      <w:r w:rsidRPr="00BC71D8">
        <w:rPr>
          <w:lang w:val="en-GB"/>
        </w:rPr>
        <w:t xml:space="preserve">traditional medical and </w:t>
      </w:r>
      <w:r w:rsidR="000B7F13">
        <w:rPr>
          <w:lang w:val="en-GB"/>
        </w:rPr>
        <w:t>health care</w:t>
      </w:r>
      <w:r w:rsidRPr="00BC71D8">
        <w:rPr>
          <w:lang w:val="en-GB"/>
        </w:rPr>
        <w:t xml:space="preserve"> systems to attract foreign patients.</w:t>
      </w:r>
    </w:p>
    <w:p w14:paraId="724A6DB3" w14:textId="77777777" w:rsidR="00D810DE" w:rsidRPr="0044039B" w:rsidRDefault="00D810DE" w:rsidP="00F22813">
      <w:pPr>
        <w:pStyle w:val="BodyTextMain"/>
        <w:rPr>
          <w:sz w:val="20"/>
          <w:szCs w:val="20"/>
          <w:lang w:val="en-GB"/>
        </w:rPr>
      </w:pPr>
    </w:p>
    <w:p w14:paraId="2C5F632A" w14:textId="4015114E" w:rsidR="00D810DE" w:rsidRPr="00BC71D8" w:rsidRDefault="00D810DE" w:rsidP="00F22813">
      <w:pPr>
        <w:pStyle w:val="BodyTextMain"/>
        <w:rPr>
          <w:lang w:val="en-GB"/>
        </w:rPr>
      </w:pPr>
      <w:r w:rsidRPr="00BC71D8">
        <w:rPr>
          <w:lang w:val="en-GB"/>
        </w:rPr>
        <w:t>The focus on accreditation</w:t>
      </w:r>
      <w:r w:rsidR="00EE61EF" w:rsidRPr="00BC71D8">
        <w:rPr>
          <w:lang w:val="en-GB"/>
        </w:rPr>
        <w:t xml:space="preserve"> of</w:t>
      </w:r>
      <w:r w:rsidR="00C06C22" w:rsidRPr="00BC71D8">
        <w:rPr>
          <w:lang w:val="en-GB"/>
        </w:rPr>
        <w:t xml:space="preserve"> </w:t>
      </w:r>
      <w:r w:rsidR="00621071" w:rsidRPr="00BC71D8">
        <w:rPr>
          <w:lang w:val="en-GB"/>
        </w:rPr>
        <w:t xml:space="preserve">Indian </w:t>
      </w:r>
      <w:r w:rsidR="000B7F13">
        <w:rPr>
          <w:lang w:val="en-GB"/>
        </w:rPr>
        <w:t>health care</w:t>
      </w:r>
      <w:r w:rsidR="00621071" w:rsidRPr="00BC71D8">
        <w:rPr>
          <w:lang w:val="en-GB"/>
        </w:rPr>
        <w:t xml:space="preserve"> facilities</w:t>
      </w:r>
      <w:r w:rsidR="00C06C22" w:rsidRPr="00BC71D8">
        <w:rPr>
          <w:lang w:val="en-GB"/>
        </w:rPr>
        <w:t xml:space="preserve"> </w:t>
      </w:r>
      <w:r w:rsidRPr="00BC71D8">
        <w:rPr>
          <w:lang w:val="en-GB"/>
        </w:rPr>
        <w:t>played a key role in</w:t>
      </w:r>
      <w:r w:rsidR="00C06C22" w:rsidRPr="00BC71D8">
        <w:rPr>
          <w:lang w:val="en-GB"/>
        </w:rPr>
        <w:t xml:space="preserve"> </w:t>
      </w:r>
      <w:r w:rsidRPr="00BC71D8">
        <w:rPr>
          <w:lang w:val="en-GB"/>
        </w:rPr>
        <w:t>building patient</w:t>
      </w:r>
      <w:r w:rsidR="00EE61EF" w:rsidRPr="00BC71D8">
        <w:rPr>
          <w:lang w:val="en-GB"/>
        </w:rPr>
        <w:t>s</w:t>
      </w:r>
      <w:r w:rsidRPr="00BC71D8">
        <w:rPr>
          <w:lang w:val="en-GB"/>
        </w:rPr>
        <w:t>’ confidence in the quality of</w:t>
      </w:r>
      <w:r w:rsidR="00EB4919" w:rsidRPr="00BC71D8">
        <w:rPr>
          <w:lang w:val="en-GB"/>
        </w:rPr>
        <w:t xml:space="preserve"> </w:t>
      </w:r>
      <w:r w:rsidR="000B7F13">
        <w:rPr>
          <w:lang w:val="en-GB"/>
        </w:rPr>
        <w:t>health care</w:t>
      </w:r>
      <w:r w:rsidRPr="00BC71D8">
        <w:rPr>
          <w:lang w:val="en-GB"/>
        </w:rPr>
        <w:t xml:space="preserve"> outcomes</w:t>
      </w:r>
      <w:r w:rsidR="006C25D5" w:rsidRPr="00BC71D8">
        <w:rPr>
          <w:lang w:val="en-GB"/>
        </w:rPr>
        <w:t xml:space="preserve">. </w:t>
      </w:r>
      <w:r w:rsidRPr="00BC71D8">
        <w:rPr>
          <w:lang w:val="en-GB"/>
        </w:rPr>
        <w:t>“The patient’s trust towards a certain hospital is automatically enhanced when they see that it is well</w:t>
      </w:r>
      <w:r w:rsidR="00C06C22" w:rsidRPr="00BC71D8">
        <w:rPr>
          <w:lang w:val="en-GB"/>
        </w:rPr>
        <w:t xml:space="preserve"> </w:t>
      </w:r>
      <w:r w:rsidRPr="00BC71D8">
        <w:rPr>
          <w:lang w:val="en-GB"/>
        </w:rPr>
        <w:t xml:space="preserve">accredited,” Manish </w:t>
      </w:r>
      <w:r w:rsidR="00EE61EF" w:rsidRPr="00BC71D8">
        <w:rPr>
          <w:lang w:val="en-GB"/>
        </w:rPr>
        <w:t>explained</w:t>
      </w:r>
      <w:r w:rsidRPr="00BC71D8">
        <w:rPr>
          <w:lang w:val="en-GB"/>
        </w:rPr>
        <w:t xml:space="preserve">. Established in 2006, </w:t>
      </w:r>
      <w:r w:rsidR="00EE61EF" w:rsidRPr="00BC71D8">
        <w:rPr>
          <w:lang w:val="en-GB"/>
        </w:rPr>
        <w:t xml:space="preserve">the </w:t>
      </w:r>
      <w:r w:rsidRPr="00BC71D8">
        <w:rPr>
          <w:lang w:val="en-GB"/>
        </w:rPr>
        <w:t xml:space="preserve">National Accreditation Board for Hospitals and </w:t>
      </w:r>
      <w:r w:rsidR="004B6160">
        <w:rPr>
          <w:lang w:val="en-GB"/>
        </w:rPr>
        <w:t>Health C</w:t>
      </w:r>
      <w:r w:rsidR="000B7F13">
        <w:rPr>
          <w:lang w:val="en-GB"/>
        </w:rPr>
        <w:t>are</w:t>
      </w:r>
      <w:r w:rsidRPr="00BC71D8">
        <w:rPr>
          <w:lang w:val="en-GB"/>
        </w:rPr>
        <w:t xml:space="preserve"> </w:t>
      </w:r>
      <w:r w:rsidR="00EE61EF" w:rsidRPr="00BC71D8">
        <w:rPr>
          <w:lang w:val="en-GB"/>
        </w:rPr>
        <w:t xml:space="preserve">Providers </w:t>
      </w:r>
      <w:r w:rsidRPr="00BC71D8">
        <w:rPr>
          <w:lang w:val="en-GB"/>
        </w:rPr>
        <w:t xml:space="preserve">(NABH), a constituent body of </w:t>
      </w:r>
      <w:r w:rsidR="00232D39" w:rsidRPr="00BC71D8">
        <w:rPr>
          <w:lang w:val="en-GB"/>
        </w:rPr>
        <w:t xml:space="preserve">the </w:t>
      </w:r>
      <w:r w:rsidRPr="00BC71D8">
        <w:rPr>
          <w:lang w:val="en-GB"/>
        </w:rPr>
        <w:t xml:space="preserve">Quality Council of India, </w:t>
      </w:r>
      <w:r w:rsidR="00232D39" w:rsidRPr="00BC71D8">
        <w:rPr>
          <w:lang w:val="en-GB"/>
        </w:rPr>
        <w:t xml:space="preserve">established </w:t>
      </w:r>
      <w:r w:rsidRPr="00BC71D8">
        <w:rPr>
          <w:lang w:val="en-GB"/>
        </w:rPr>
        <w:t xml:space="preserve">comprehensive </w:t>
      </w:r>
      <w:r w:rsidR="000B7F13">
        <w:rPr>
          <w:lang w:val="en-GB"/>
        </w:rPr>
        <w:t>health care</w:t>
      </w:r>
      <w:r w:rsidRPr="00BC71D8">
        <w:rPr>
          <w:lang w:val="en-GB"/>
        </w:rPr>
        <w:t xml:space="preserve"> standards for all hospital activities</w:t>
      </w:r>
      <w:r w:rsidR="00232D39" w:rsidRPr="00BC71D8">
        <w:rPr>
          <w:lang w:val="en-GB"/>
        </w:rPr>
        <w:t>—</w:t>
      </w:r>
      <w:r w:rsidRPr="00BC71D8">
        <w:rPr>
          <w:lang w:val="en-GB"/>
        </w:rPr>
        <w:t xml:space="preserve">right from </w:t>
      </w:r>
      <w:r w:rsidR="00232D39" w:rsidRPr="00BC71D8">
        <w:rPr>
          <w:lang w:val="en-GB"/>
        </w:rPr>
        <w:t xml:space="preserve">a </w:t>
      </w:r>
      <w:r w:rsidRPr="00BC71D8">
        <w:rPr>
          <w:lang w:val="en-GB"/>
        </w:rPr>
        <w:t>patient</w:t>
      </w:r>
      <w:r w:rsidR="00232D39" w:rsidRPr="00BC71D8">
        <w:rPr>
          <w:lang w:val="en-GB"/>
        </w:rPr>
        <w:t>’s</w:t>
      </w:r>
      <w:r w:rsidRPr="00BC71D8">
        <w:rPr>
          <w:lang w:val="en-GB"/>
        </w:rPr>
        <w:t xml:space="preserve"> registration to their discharge. These standards were equivalent to international standards </w:t>
      </w:r>
      <w:r w:rsidR="00232D39" w:rsidRPr="00BC71D8">
        <w:rPr>
          <w:lang w:val="en-GB"/>
        </w:rPr>
        <w:t xml:space="preserve">established </w:t>
      </w:r>
      <w:r w:rsidRPr="00BC71D8">
        <w:rPr>
          <w:lang w:val="en-GB"/>
        </w:rPr>
        <w:t xml:space="preserve">by </w:t>
      </w:r>
      <w:r w:rsidR="00232D39" w:rsidRPr="00BC71D8">
        <w:rPr>
          <w:lang w:val="en-GB"/>
        </w:rPr>
        <w:t xml:space="preserve">the </w:t>
      </w:r>
      <w:r w:rsidRPr="00BC71D8">
        <w:rPr>
          <w:lang w:val="en-GB"/>
        </w:rPr>
        <w:t>Joint Commission International</w:t>
      </w:r>
      <w:r w:rsidR="00C06C22" w:rsidRPr="00BC71D8">
        <w:rPr>
          <w:lang w:val="en-GB"/>
        </w:rPr>
        <w:t xml:space="preserve"> </w:t>
      </w:r>
      <w:r w:rsidRPr="00BC71D8">
        <w:rPr>
          <w:lang w:val="en-GB"/>
        </w:rPr>
        <w:t>(JCI)</w:t>
      </w:r>
      <w:r w:rsidR="00232D39" w:rsidRPr="00BC71D8">
        <w:rPr>
          <w:lang w:val="en-GB"/>
        </w:rPr>
        <w:t>,</w:t>
      </w:r>
      <w:r w:rsidRPr="00BC71D8">
        <w:rPr>
          <w:rStyle w:val="FootnoteReference"/>
          <w:lang w:val="en-GB"/>
        </w:rPr>
        <w:footnoteReference w:id="14"/>
      </w:r>
      <w:r w:rsidR="00C06C22" w:rsidRPr="00BC71D8">
        <w:rPr>
          <w:lang w:val="en-GB"/>
        </w:rPr>
        <w:t xml:space="preserve"> </w:t>
      </w:r>
      <w:r w:rsidR="00232D39" w:rsidRPr="00BC71D8">
        <w:rPr>
          <w:lang w:val="en-GB"/>
        </w:rPr>
        <w:t xml:space="preserve">the </w:t>
      </w:r>
      <w:r w:rsidRPr="00BC71D8">
        <w:rPr>
          <w:lang w:val="en-GB"/>
        </w:rPr>
        <w:t xml:space="preserve">Australian Council on </w:t>
      </w:r>
      <w:r w:rsidR="000B7F13">
        <w:rPr>
          <w:lang w:val="en-GB"/>
        </w:rPr>
        <w:t>Health care</w:t>
      </w:r>
      <w:r w:rsidRPr="00BC71D8">
        <w:rPr>
          <w:lang w:val="en-GB"/>
        </w:rPr>
        <w:t xml:space="preserve"> Standards</w:t>
      </w:r>
      <w:r w:rsidR="00C06C22" w:rsidRPr="00BC71D8">
        <w:rPr>
          <w:lang w:val="en-GB"/>
        </w:rPr>
        <w:t xml:space="preserve"> </w:t>
      </w:r>
      <w:r w:rsidRPr="00BC71D8">
        <w:rPr>
          <w:lang w:val="en-GB"/>
        </w:rPr>
        <w:t>(ACHS)</w:t>
      </w:r>
      <w:r w:rsidR="00232D39" w:rsidRPr="00BC71D8">
        <w:rPr>
          <w:lang w:val="en-GB"/>
        </w:rPr>
        <w:t>,</w:t>
      </w:r>
      <w:r w:rsidRPr="00BC71D8">
        <w:rPr>
          <w:rStyle w:val="FootnoteReference"/>
          <w:lang w:val="en-GB"/>
        </w:rPr>
        <w:footnoteReference w:id="15"/>
      </w:r>
      <w:r w:rsidRPr="00BC71D8">
        <w:rPr>
          <w:lang w:val="en-GB"/>
        </w:rPr>
        <w:t xml:space="preserve"> and Accreditation Canada</w:t>
      </w:r>
      <w:r w:rsidR="00F57118">
        <w:rPr>
          <w:lang w:val="en-GB"/>
        </w:rPr>
        <w:t xml:space="preserve"> </w:t>
      </w:r>
      <w:r w:rsidRPr="00BC71D8">
        <w:rPr>
          <w:lang w:val="en-GB"/>
        </w:rPr>
        <w:t>(AC)</w:t>
      </w:r>
      <w:r w:rsidR="00232D39" w:rsidRPr="00BC71D8">
        <w:rPr>
          <w:lang w:val="en-GB"/>
        </w:rPr>
        <w:t>.</w:t>
      </w:r>
      <w:r w:rsidRPr="00BC71D8">
        <w:rPr>
          <w:rStyle w:val="FootnoteReference"/>
          <w:lang w:val="en-GB"/>
        </w:rPr>
        <w:footnoteReference w:id="16"/>
      </w:r>
      <w:r w:rsidRPr="00BC71D8">
        <w:rPr>
          <w:lang w:val="en-GB"/>
        </w:rPr>
        <w:t xml:space="preserve"> The NABH standards were recognized by the International Society for Quality in </w:t>
      </w:r>
      <w:r w:rsidR="000B7F13">
        <w:rPr>
          <w:lang w:val="en-GB"/>
        </w:rPr>
        <w:t>Health care</w:t>
      </w:r>
      <w:r w:rsidR="00C06C22" w:rsidRPr="00BC71D8">
        <w:rPr>
          <w:lang w:val="en-GB"/>
        </w:rPr>
        <w:t xml:space="preserve"> </w:t>
      </w:r>
      <w:r w:rsidRPr="00BC71D8">
        <w:rPr>
          <w:lang w:val="en-GB"/>
        </w:rPr>
        <w:t>(</w:t>
      </w:r>
      <w:proofErr w:type="spellStart"/>
      <w:r w:rsidRPr="00BC71D8">
        <w:rPr>
          <w:lang w:val="en-GB"/>
        </w:rPr>
        <w:t>ISQua</w:t>
      </w:r>
      <w:proofErr w:type="spellEnd"/>
      <w:r w:rsidRPr="00BC71D8">
        <w:rPr>
          <w:lang w:val="en-GB"/>
        </w:rPr>
        <w:t>),</w:t>
      </w:r>
      <w:r w:rsidR="00C06C22" w:rsidRPr="00BC71D8">
        <w:rPr>
          <w:lang w:val="en-GB"/>
        </w:rPr>
        <w:t xml:space="preserve"> </w:t>
      </w:r>
      <w:r w:rsidRPr="00BC71D8">
        <w:rPr>
          <w:lang w:val="en-GB"/>
        </w:rPr>
        <w:t xml:space="preserve">an independent not-for-profit organization promoting </w:t>
      </w:r>
      <w:r w:rsidR="00232D39" w:rsidRPr="00BC71D8">
        <w:rPr>
          <w:lang w:val="en-GB"/>
        </w:rPr>
        <w:t xml:space="preserve">the </w:t>
      </w:r>
      <w:r w:rsidRPr="00BC71D8">
        <w:rPr>
          <w:lang w:val="en-GB"/>
        </w:rPr>
        <w:t xml:space="preserve">quality and safety of </w:t>
      </w:r>
      <w:r w:rsidR="000B7F13">
        <w:rPr>
          <w:lang w:val="en-GB"/>
        </w:rPr>
        <w:t>health care</w:t>
      </w:r>
      <w:r w:rsidRPr="00BC71D8">
        <w:rPr>
          <w:lang w:val="en-GB"/>
        </w:rPr>
        <w:t xml:space="preserve"> systems worldwide.</w:t>
      </w:r>
      <w:r w:rsidR="00C06C22" w:rsidRPr="00BC71D8">
        <w:rPr>
          <w:lang w:val="en-GB"/>
        </w:rPr>
        <w:t xml:space="preserve"> </w:t>
      </w:r>
      <w:r w:rsidRPr="00BC71D8">
        <w:rPr>
          <w:lang w:val="en-GB"/>
        </w:rPr>
        <w:t xml:space="preserve">As </w:t>
      </w:r>
      <w:r w:rsidR="00232D39" w:rsidRPr="00BC71D8">
        <w:rPr>
          <w:lang w:val="en-GB"/>
        </w:rPr>
        <w:t xml:space="preserve">of </w:t>
      </w:r>
      <w:r w:rsidRPr="00BC71D8">
        <w:rPr>
          <w:lang w:val="en-GB"/>
        </w:rPr>
        <w:t>March 2017, 520 hospitals</w:t>
      </w:r>
      <w:r w:rsidR="00C06C22" w:rsidRPr="00BC71D8">
        <w:rPr>
          <w:lang w:val="en-GB"/>
        </w:rPr>
        <w:t xml:space="preserve"> in India</w:t>
      </w:r>
      <w:r w:rsidRPr="00BC71D8">
        <w:rPr>
          <w:lang w:val="en-GB"/>
        </w:rPr>
        <w:t xml:space="preserve"> were NABH accredited</w:t>
      </w:r>
      <w:r w:rsidR="00232D39" w:rsidRPr="00BC71D8">
        <w:rPr>
          <w:lang w:val="en-GB"/>
        </w:rPr>
        <w:t>,</w:t>
      </w:r>
      <w:r w:rsidRPr="00BC71D8">
        <w:rPr>
          <w:lang w:val="en-GB"/>
        </w:rPr>
        <w:t xml:space="preserve"> and another 661 were undergoing the accreditation process.</w:t>
      </w:r>
      <w:r w:rsidRPr="00BC71D8">
        <w:rPr>
          <w:vertAlign w:val="superscript"/>
          <w:lang w:val="en-GB"/>
        </w:rPr>
        <w:footnoteReference w:id="17"/>
      </w:r>
      <w:r w:rsidRPr="00BC71D8">
        <w:rPr>
          <w:lang w:val="en-GB"/>
        </w:rPr>
        <w:t xml:space="preserve"> Further, </w:t>
      </w:r>
      <w:r w:rsidR="00232D39" w:rsidRPr="00BC71D8">
        <w:rPr>
          <w:lang w:val="en-GB"/>
        </w:rPr>
        <w:t>to achieve</w:t>
      </w:r>
      <w:r w:rsidRPr="00BC71D8">
        <w:rPr>
          <w:lang w:val="en-GB"/>
        </w:rPr>
        <w:t xml:space="preserve"> global acceptance</w:t>
      </w:r>
      <w:r w:rsidR="00C06C22" w:rsidRPr="00BC71D8">
        <w:rPr>
          <w:lang w:val="en-GB"/>
        </w:rPr>
        <w:t xml:space="preserve"> </w:t>
      </w:r>
      <w:r w:rsidRPr="00BC71D8">
        <w:rPr>
          <w:lang w:val="en-GB"/>
        </w:rPr>
        <w:t>of the</w:t>
      </w:r>
      <w:r w:rsidR="00232D39" w:rsidRPr="00BC71D8">
        <w:rPr>
          <w:lang w:val="en-GB"/>
        </w:rPr>
        <w:t>ir</w:t>
      </w:r>
      <w:r w:rsidRPr="00BC71D8">
        <w:rPr>
          <w:lang w:val="en-GB"/>
        </w:rPr>
        <w:t xml:space="preserve"> medical procedures, Indian </w:t>
      </w:r>
      <w:r w:rsidR="000B7F13">
        <w:rPr>
          <w:lang w:val="en-GB"/>
        </w:rPr>
        <w:t>health care</w:t>
      </w:r>
      <w:r w:rsidRPr="00BC71D8">
        <w:rPr>
          <w:lang w:val="en-GB"/>
        </w:rPr>
        <w:t xml:space="preserve"> service providers were aggressively working to meet the requirements of JC</w:t>
      </w:r>
      <w:r w:rsidR="00870DCB" w:rsidRPr="00BC71D8">
        <w:rPr>
          <w:lang w:val="en-GB"/>
        </w:rPr>
        <w:t>I accreditation standards. As of</w:t>
      </w:r>
      <w:r w:rsidRPr="00BC71D8">
        <w:rPr>
          <w:lang w:val="en-GB"/>
        </w:rPr>
        <w:t xml:space="preserve"> March 2018, 37 Indian medical and </w:t>
      </w:r>
      <w:r w:rsidR="000B7F13">
        <w:rPr>
          <w:lang w:val="en-GB"/>
        </w:rPr>
        <w:t>health care</w:t>
      </w:r>
      <w:r w:rsidRPr="00BC71D8">
        <w:rPr>
          <w:lang w:val="en-GB"/>
        </w:rPr>
        <w:t xml:space="preserve"> </w:t>
      </w:r>
      <w:r w:rsidR="00EE534F" w:rsidRPr="00BC71D8">
        <w:rPr>
          <w:lang w:val="en-GB"/>
        </w:rPr>
        <w:t>centre</w:t>
      </w:r>
      <w:r w:rsidRPr="00BC71D8">
        <w:rPr>
          <w:lang w:val="en-GB"/>
        </w:rPr>
        <w:t>s were JCI</w:t>
      </w:r>
      <w:r w:rsidR="00C06C22" w:rsidRPr="00BC71D8">
        <w:rPr>
          <w:lang w:val="en-GB"/>
        </w:rPr>
        <w:t xml:space="preserve"> </w:t>
      </w:r>
      <w:r w:rsidRPr="00BC71D8">
        <w:rPr>
          <w:lang w:val="en-GB"/>
        </w:rPr>
        <w:t>accredited.</w:t>
      </w:r>
      <w:r w:rsidRPr="00BC71D8">
        <w:rPr>
          <w:vertAlign w:val="superscript"/>
          <w:lang w:val="en-GB"/>
        </w:rPr>
        <w:footnoteReference w:id="18"/>
      </w:r>
    </w:p>
    <w:p w14:paraId="626C14E7" w14:textId="77777777" w:rsidR="00D810DE" w:rsidRPr="0044039B" w:rsidRDefault="00D810DE" w:rsidP="00D810DE">
      <w:pPr>
        <w:jc w:val="both"/>
        <w:rPr>
          <w:lang w:val="en-GB"/>
        </w:rPr>
      </w:pPr>
    </w:p>
    <w:p w14:paraId="676AC92B" w14:textId="77777777" w:rsidR="00D810DE" w:rsidRPr="0044039B" w:rsidRDefault="00D810DE" w:rsidP="00D810DE">
      <w:pPr>
        <w:jc w:val="both"/>
        <w:rPr>
          <w:lang w:val="en-GB"/>
        </w:rPr>
      </w:pPr>
    </w:p>
    <w:p w14:paraId="06B45C01" w14:textId="77777777" w:rsidR="00D810DE" w:rsidRPr="00BC71D8" w:rsidRDefault="00D810DE" w:rsidP="001B599A">
      <w:pPr>
        <w:pStyle w:val="Casehead2"/>
        <w:rPr>
          <w:lang w:val="en-GB"/>
        </w:rPr>
      </w:pPr>
      <w:r w:rsidRPr="00BC71D8">
        <w:rPr>
          <w:lang w:val="en-GB"/>
        </w:rPr>
        <w:t>Policy Support</w:t>
      </w:r>
    </w:p>
    <w:p w14:paraId="503A3C9F" w14:textId="77777777" w:rsidR="00D810DE" w:rsidRPr="0044039B" w:rsidRDefault="00D810DE" w:rsidP="00D810DE">
      <w:pPr>
        <w:jc w:val="both"/>
        <w:rPr>
          <w:lang w:val="en-GB"/>
        </w:rPr>
      </w:pPr>
    </w:p>
    <w:p w14:paraId="65348AAF" w14:textId="6DFB0A47" w:rsidR="00D810DE" w:rsidRPr="00BC71D8" w:rsidRDefault="00D810DE" w:rsidP="001B599A">
      <w:pPr>
        <w:pStyle w:val="BodyTextMain"/>
        <w:rPr>
          <w:lang w:val="en-GB"/>
        </w:rPr>
      </w:pPr>
      <w:r w:rsidRPr="002B49A6">
        <w:rPr>
          <w:spacing w:val="-2"/>
          <w:kern w:val="22"/>
          <w:lang w:val="en-GB"/>
        </w:rPr>
        <w:t>To promote India as a medical-tourist</w:t>
      </w:r>
      <w:r w:rsidR="009736C7" w:rsidRPr="002B49A6">
        <w:rPr>
          <w:spacing w:val="-2"/>
          <w:kern w:val="22"/>
          <w:lang w:val="en-GB"/>
        </w:rPr>
        <w:t>-</w:t>
      </w:r>
      <w:r w:rsidRPr="002B49A6">
        <w:rPr>
          <w:spacing w:val="-2"/>
          <w:kern w:val="22"/>
          <w:lang w:val="en-GB"/>
        </w:rPr>
        <w:t xml:space="preserve">friendly destination across the globe, the GOI </w:t>
      </w:r>
      <w:r w:rsidR="00B02C7F" w:rsidRPr="002B49A6">
        <w:rPr>
          <w:spacing w:val="-2"/>
          <w:kern w:val="22"/>
          <w:lang w:val="en-GB"/>
        </w:rPr>
        <w:t xml:space="preserve">had </w:t>
      </w:r>
      <w:r w:rsidRPr="002B49A6">
        <w:rPr>
          <w:spacing w:val="-2"/>
          <w:kern w:val="22"/>
          <w:lang w:val="en-GB"/>
        </w:rPr>
        <w:t xml:space="preserve">initiated many policies and schemes over the past few years. One such initiative was the liberalization of </w:t>
      </w:r>
      <w:r w:rsidR="00232D39" w:rsidRPr="002B49A6">
        <w:rPr>
          <w:spacing w:val="-2"/>
          <w:kern w:val="22"/>
          <w:lang w:val="en-GB"/>
        </w:rPr>
        <w:t xml:space="preserve">the </w:t>
      </w:r>
      <w:r w:rsidRPr="002B49A6">
        <w:rPr>
          <w:spacing w:val="-2"/>
          <w:kern w:val="22"/>
          <w:lang w:val="en-GB"/>
        </w:rPr>
        <w:t xml:space="preserve">visa regime </w:t>
      </w:r>
      <w:r w:rsidR="00232D39" w:rsidRPr="002B49A6">
        <w:rPr>
          <w:spacing w:val="-2"/>
          <w:kern w:val="22"/>
          <w:lang w:val="en-GB"/>
        </w:rPr>
        <w:t xml:space="preserve">through </w:t>
      </w:r>
      <w:r w:rsidRPr="002B49A6">
        <w:rPr>
          <w:spacing w:val="-2"/>
          <w:kern w:val="22"/>
          <w:lang w:val="en-GB"/>
        </w:rPr>
        <w:t>the introduction of a new subcategory of electronic visa</w:t>
      </w:r>
      <w:r w:rsidR="007A6589" w:rsidRPr="002B49A6">
        <w:rPr>
          <w:spacing w:val="-2"/>
          <w:kern w:val="22"/>
          <w:lang w:val="en-GB"/>
        </w:rPr>
        <w:t>—</w:t>
      </w:r>
      <w:r w:rsidR="00232D39" w:rsidRPr="002B49A6">
        <w:rPr>
          <w:spacing w:val="-2"/>
          <w:kern w:val="22"/>
          <w:lang w:val="en-GB"/>
        </w:rPr>
        <w:t>an</w:t>
      </w:r>
      <w:r w:rsidR="00FC5706" w:rsidRPr="002B49A6">
        <w:rPr>
          <w:spacing w:val="-2"/>
          <w:kern w:val="22"/>
          <w:lang w:val="en-GB"/>
        </w:rPr>
        <w:t xml:space="preserve"> </w:t>
      </w:r>
      <w:r w:rsidRPr="002B49A6">
        <w:rPr>
          <w:spacing w:val="-2"/>
          <w:kern w:val="22"/>
          <w:lang w:val="en-GB"/>
        </w:rPr>
        <w:t>e-medical visa</w:t>
      </w:r>
      <w:r w:rsidR="007A6589" w:rsidRPr="002B49A6">
        <w:rPr>
          <w:spacing w:val="-2"/>
          <w:kern w:val="22"/>
          <w:lang w:val="en-GB"/>
        </w:rPr>
        <w:t>—</w:t>
      </w:r>
      <w:r w:rsidR="00870DCB" w:rsidRPr="002B49A6">
        <w:rPr>
          <w:spacing w:val="-2"/>
          <w:kern w:val="22"/>
          <w:lang w:val="en-GB"/>
        </w:rPr>
        <w:t>for</w:t>
      </w:r>
      <w:r w:rsidRPr="002B49A6">
        <w:rPr>
          <w:spacing w:val="-2"/>
          <w:kern w:val="22"/>
          <w:lang w:val="en-GB"/>
        </w:rPr>
        <w:t xml:space="preserve"> 161 countries. Other rules </w:t>
      </w:r>
      <w:r w:rsidR="00232D39" w:rsidRPr="002B49A6">
        <w:rPr>
          <w:spacing w:val="-2"/>
          <w:kern w:val="22"/>
          <w:lang w:val="en-GB"/>
        </w:rPr>
        <w:t xml:space="preserve">relating </w:t>
      </w:r>
      <w:r w:rsidRPr="002B49A6">
        <w:rPr>
          <w:spacing w:val="-2"/>
          <w:kern w:val="22"/>
          <w:lang w:val="en-GB"/>
        </w:rPr>
        <w:t>to visa fee</w:t>
      </w:r>
      <w:r w:rsidR="00232D39" w:rsidRPr="002B49A6">
        <w:rPr>
          <w:spacing w:val="-2"/>
          <w:kern w:val="22"/>
          <w:lang w:val="en-GB"/>
        </w:rPr>
        <w:t>s</w:t>
      </w:r>
      <w:r w:rsidRPr="002B49A6">
        <w:rPr>
          <w:spacing w:val="-2"/>
          <w:kern w:val="22"/>
          <w:lang w:val="en-GB"/>
        </w:rPr>
        <w:t>, duration of stay, frequency of visits</w:t>
      </w:r>
      <w:r w:rsidR="00232D39" w:rsidRPr="002B49A6">
        <w:rPr>
          <w:spacing w:val="-2"/>
          <w:kern w:val="22"/>
          <w:lang w:val="en-GB"/>
        </w:rPr>
        <w:t>,</w:t>
      </w:r>
      <w:r w:rsidRPr="002B49A6">
        <w:rPr>
          <w:spacing w:val="-2"/>
          <w:kern w:val="22"/>
          <w:lang w:val="en-GB"/>
        </w:rPr>
        <w:t xml:space="preserve"> and police reporting of patients were also liberalized to </w:t>
      </w:r>
      <w:r w:rsidR="00232D39" w:rsidRPr="002B49A6">
        <w:rPr>
          <w:spacing w:val="-2"/>
          <w:kern w:val="22"/>
          <w:lang w:val="en-GB"/>
        </w:rPr>
        <w:t>ease the experience of</w:t>
      </w:r>
      <w:r w:rsidRPr="002B49A6">
        <w:rPr>
          <w:spacing w:val="-2"/>
          <w:kern w:val="22"/>
          <w:lang w:val="en-GB"/>
        </w:rPr>
        <w:t xml:space="preserve"> medical </w:t>
      </w:r>
      <w:r w:rsidR="0045759A" w:rsidRPr="002B49A6">
        <w:rPr>
          <w:spacing w:val="-2"/>
          <w:kern w:val="22"/>
          <w:lang w:val="en-GB"/>
        </w:rPr>
        <w:t>traveller</w:t>
      </w:r>
      <w:r w:rsidRPr="002B49A6">
        <w:rPr>
          <w:spacing w:val="-2"/>
          <w:kern w:val="22"/>
          <w:lang w:val="en-GB"/>
        </w:rPr>
        <w:t>s.</w:t>
      </w:r>
      <w:r w:rsidRPr="002B49A6">
        <w:rPr>
          <w:rStyle w:val="FootnoteReference"/>
          <w:spacing w:val="-2"/>
          <w:kern w:val="22"/>
          <w:lang w:val="en-GB"/>
        </w:rPr>
        <w:footnoteReference w:id="19"/>
      </w:r>
      <w:r w:rsidR="00FC5706" w:rsidRPr="002B49A6">
        <w:rPr>
          <w:spacing w:val="-2"/>
          <w:kern w:val="22"/>
          <w:lang w:val="en-GB"/>
        </w:rPr>
        <w:t xml:space="preserve"> </w:t>
      </w:r>
      <w:r w:rsidRPr="002B49A6">
        <w:rPr>
          <w:spacing w:val="-2"/>
          <w:kern w:val="22"/>
          <w:lang w:val="en-GB"/>
        </w:rPr>
        <w:t xml:space="preserve">The Ministry of Tourism </w:t>
      </w:r>
      <w:r w:rsidR="00437751" w:rsidRPr="002B49A6">
        <w:rPr>
          <w:spacing w:val="-2"/>
          <w:kern w:val="22"/>
          <w:lang w:val="en-GB"/>
        </w:rPr>
        <w:t xml:space="preserve">had </w:t>
      </w:r>
      <w:r w:rsidRPr="002B49A6">
        <w:rPr>
          <w:spacing w:val="-2"/>
          <w:kern w:val="22"/>
          <w:lang w:val="en-GB"/>
        </w:rPr>
        <w:t xml:space="preserve">set up the National Medical </w:t>
      </w:r>
      <w:r w:rsidR="00437751" w:rsidRPr="002B49A6">
        <w:rPr>
          <w:spacing w:val="-2"/>
          <w:kern w:val="22"/>
          <w:lang w:val="en-GB"/>
        </w:rPr>
        <w:t xml:space="preserve">and </w:t>
      </w:r>
      <w:r w:rsidRPr="002B49A6">
        <w:rPr>
          <w:spacing w:val="-2"/>
          <w:kern w:val="22"/>
          <w:lang w:val="en-GB"/>
        </w:rPr>
        <w:t>Wellness Tourism Board to address all issues related to medical tourism.</w:t>
      </w:r>
      <w:r w:rsidRPr="002B49A6">
        <w:rPr>
          <w:rStyle w:val="FootnoteReference"/>
          <w:spacing w:val="-2"/>
          <w:kern w:val="22"/>
          <w:lang w:val="en-GB"/>
        </w:rPr>
        <w:footnoteReference w:id="20"/>
      </w:r>
      <w:r w:rsidR="00FC5706" w:rsidRPr="002B49A6">
        <w:rPr>
          <w:spacing w:val="-2"/>
          <w:kern w:val="22"/>
          <w:lang w:val="en-GB"/>
        </w:rPr>
        <w:t xml:space="preserve"> </w:t>
      </w:r>
      <w:r w:rsidR="00437751" w:rsidRPr="002B49A6">
        <w:rPr>
          <w:spacing w:val="-2"/>
          <w:kern w:val="22"/>
          <w:lang w:val="en-GB"/>
        </w:rPr>
        <w:t xml:space="preserve">The </w:t>
      </w:r>
      <w:r w:rsidRPr="002B49A6">
        <w:rPr>
          <w:spacing w:val="-2"/>
          <w:kern w:val="22"/>
          <w:lang w:val="en-GB"/>
        </w:rPr>
        <w:t xml:space="preserve">Ministry of Tourism, </w:t>
      </w:r>
      <w:r w:rsidR="00437751" w:rsidRPr="002B49A6">
        <w:rPr>
          <w:spacing w:val="-2"/>
          <w:kern w:val="22"/>
          <w:lang w:val="en-GB"/>
        </w:rPr>
        <w:t xml:space="preserve">the </w:t>
      </w:r>
      <w:r w:rsidRPr="002B49A6">
        <w:rPr>
          <w:spacing w:val="-2"/>
          <w:kern w:val="22"/>
          <w:lang w:val="en-GB"/>
        </w:rPr>
        <w:t>Ministry of Health and Family Welfare,</w:t>
      </w:r>
      <w:r w:rsidR="00C06C22" w:rsidRPr="002B49A6">
        <w:rPr>
          <w:spacing w:val="-2"/>
          <w:kern w:val="22"/>
          <w:lang w:val="en-GB"/>
        </w:rPr>
        <w:t xml:space="preserve"> </w:t>
      </w:r>
      <w:r w:rsidR="0046387B" w:rsidRPr="002B49A6">
        <w:rPr>
          <w:spacing w:val="-2"/>
          <w:kern w:val="22"/>
          <w:lang w:val="en-GB"/>
        </w:rPr>
        <w:t xml:space="preserve">and </w:t>
      </w:r>
      <w:r w:rsidR="00437751" w:rsidRPr="002B49A6">
        <w:rPr>
          <w:spacing w:val="-2"/>
          <w:kern w:val="22"/>
          <w:lang w:val="en-GB"/>
        </w:rPr>
        <w:t xml:space="preserve">the </w:t>
      </w:r>
      <w:r w:rsidR="0046387B" w:rsidRPr="002B49A6">
        <w:rPr>
          <w:spacing w:val="-2"/>
          <w:kern w:val="22"/>
          <w:lang w:val="en-GB"/>
        </w:rPr>
        <w:t>Ministry of Commerce</w:t>
      </w:r>
      <w:r w:rsidRPr="002B49A6">
        <w:rPr>
          <w:spacing w:val="-2"/>
          <w:kern w:val="22"/>
          <w:lang w:val="en-GB"/>
        </w:rPr>
        <w:t xml:space="preserve"> carried out promotion</w:t>
      </w:r>
      <w:r w:rsidR="00B2709E" w:rsidRPr="002B49A6">
        <w:rPr>
          <w:spacing w:val="-2"/>
          <w:kern w:val="22"/>
          <w:lang w:val="en-GB"/>
        </w:rPr>
        <w:t>al</w:t>
      </w:r>
      <w:r w:rsidRPr="002B49A6">
        <w:rPr>
          <w:spacing w:val="-2"/>
          <w:kern w:val="22"/>
          <w:lang w:val="en-GB"/>
        </w:rPr>
        <w:t xml:space="preserve"> initiatives to endorse</w:t>
      </w:r>
      <w:r w:rsidR="00734FA9" w:rsidRPr="002B49A6">
        <w:rPr>
          <w:spacing w:val="-2"/>
          <w:kern w:val="22"/>
          <w:lang w:val="en-GB"/>
        </w:rPr>
        <w:t xml:space="preserve"> the</w:t>
      </w:r>
      <w:r w:rsidRPr="002B49A6">
        <w:rPr>
          <w:spacing w:val="-2"/>
          <w:kern w:val="22"/>
          <w:lang w:val="en-GB"/>
        </w:rPr>
        <w:t xml:space="preserve"> Indian </w:t>
      </w:r>
      <w:r w:rsidR="000B7F13" w:rsidRPr="002B49A6">
        <w:rPr>
          <w:spacing w:val="-2"/>
          <w:kern w:val="22"/>
          <w:lang w:val="en-GB"/>
        </w:rPr>
        <w:t>health care</w:t>
      </w:r>
      <w:r w:rsidRPr="002B49A6">
        <w:rPr>
          <w:spacing w:val="-2"/>
          <w:kern w:val="22"/>
          <w:lang w:val="en-GB"/>
        </w:rPr>
        <w:t xml:space="preserve"> industry on international platforms su</w:t>
      </w:r>
      <w:r w:rsidR="00734FA9" w:rsidRPr="002B49A6">
        <w:rPr>
          <w:spacing w:val="-2"/>
          <w:kern w:val="22"/>
          <w:lang w:val="en-GB"/>
        </w:rPr>
        <w:t>ch as global</w:t>
      </w:r>
      <w:r w:rsidR="00FC5706" w:rsidRPr="002B49A6">
        <w:rPr>
          <w:spacing w:val="-2"/>
          <w:kern w:val="22"/>
          <w:lang w:val="en-GB"/>
        </w:rPr>
        <w:t>-</w:t>
      </w:r>
      <w:r w:rsidR="00734FA9" w:rsidRPr="002B49A6">
        <w:rPr>
          <w:spacing w:val="-2"/>
          <w:kern w:val="22"/>
          <w:lang w:val="en-GB"/>
        </w:rPr>
        <w:t xml:space="preserve">travel trade </w:t>
      </w:r>
      <w:r w:rsidR="00734FA9" w:rsidRPr="002B49A6">
        <w:rPr>
          <w:spacing w:val="-2"/>
          <w:kern w:val="22"/>
          <w:lang w:val="en-GB"/>
        </w:rPr>
        <w:lastRenderedPageBreak/>
        <w:t xml:space="preserve">shows. </w:t>
      </w:r>
      <w:r w:rsidRPr="002B49A6">
        <w:rPr>
          <w:spacing w:val="-2"/>
          <w:kern w:val="22"/>
          <w:lang w:val="en-GB"/>
        </w:rPr>
        <w:t>“Realizing the potential of</w:t>
      </w:r>
      <w:r w:rsidR="00FC5706" w:rsidRPr="002B49A6">
        <w:rPr>
          <w:spacing w:val="-2"/>
          <w:kern w:val="22"/>
          <w:lang w:val="en-GB"/>
        </w:rPr>
        <w:t xml:space="preserve"> [the]</w:t>
      </w:r>
      <w:r w:rsidRPr="002B49A6">
        <w:rPr>
          <w:spacing w:val="-2"/>
          <w:kern w:val="22"/>
          <w:lang w:val="en-GB"/>
        </w:rPr>
        <w:t xml:space="preserve"> MVT industry to generate </w:t>
      </w:r>
      <w:r w:rsidR="00734FA9" w:rsidRPr="002B49A6">
        <w:rPr>
          <w:spacing w:val="-2"/>
          <w:kern w:val="22"/>
          <w:lang w:val="en-GB"/>
        </w:rPr>
        <w:t>foreign e</w:t>
      </w:r>
      <w:r w:rsidRPr="002B49A6">
        <w:rPr>
          <w:spacing w:val="-2"/>
          <w:kern w:val="22"/>
          <w:lang w:val="en-GB"/>
        </w:rPr>
        <w:t>xchange</w:t>
      </w:r>
      <w:r w:rsidR="00C06C22" w:rsidRPr="002B49A6">
        <w:rPr>
          <w:spacing w:val="-2"/>
          <w:kern w:val="22"/>
          <w:lang w:val="en-GB"/>
        </w:rPr>
        <w:t xml:space="preserve"> </w:t>
      </w:r>
      <w:r w:rsidRPr="002B49A6">
        <w:rPr>
          <w:spacing w:val="-2"/>
          <w:kern w:val="22"/>
          <w:lang w:val="en-GB"/>
        </w:rPr>
        <w:t>(Forex) earnings, the government ha</w:t>
      </w:r>
      <w:r w:rsidR="009947C6" w:rsidRPr="002B49A6">
        <w:rPr>
          <w:spacing w:val="-2"/>
          <w:kern w:val="22"/>
          <w:lang w:val="en-GB"/>
        </w:rPr>
        <w:t>s</w:t>
      </w:r>
      <w:r w:rsidRPr="002B49A6">
        <w:rPr>
          <w:spacing w:val="-2"/>
          <w:kern w:val="22"/>
          <w:lang w:val="en-GB"/>
        </w:rPr>
        <w:t xml:space="preserve"> been</w:t>
      </w:r>
      <w:r w:rsidR="00C06C22" w:rsidRPr="002B49A6">
        <w:rPr>
          <w:spacing w:val="-2"/>
          <w:kern w:val="22"/>
          <w:lang w:val="en-GB"/>
        </w:rPr>
        <w:t xml:space="preserve"> </w:t>
      </w:r>
      <w:r w:rsidRPr="002B49A6">
        <w:rPr>
          <w:spacing w:val="-2"/>
          <w:kern w:val="22"/>
          <w:lang w:val="en-GB"/>
        </w:rPr>
        <w:t>working</w:t>
      </w:r>
      <w:r w:rsidR="00C06C22" w:rsidRPr="002B49A6">
        <w:rPr>
          <w:spacing w:val="-2"/>
          <w:kern w:val="22"/>
          <w:lang w:val="en-GB"/>
        </w:rPr>
        <w:t xml:space="preserve"> </w:t>
      </w:r>
      <w:r w:rsidRPr="002B49A6">
        <w:rPr>
          <w:spacing w:val="-2"/>
          <w:kern w:val="22"/>
          <w:lang w:val="en-GB"/>
        </w:rPr>
        <w:t>to</w:t>
      </w:r>
      <w:r w:rsidR="00C06C22" w:rsidRPr="002B49A6">
        <w:rPr>
          <w:spacing w:val="-2"/>
          <w:kern w:val="22"/>
          <w:lang w:val="en-GB"/>
        </w:rPr>
        <w:t xml:space="preserve"> reduce t</w:t>
      </w:r>
      <w:r w:rsidRPr="002B49A6">
        <w:rPr>
          <w:spacing w:val="-2"/>
          <w:kern w:val="22"/>
          <w:lang w:val="en-GB"/>
        </w:rPr>
        <w:t>he</w:t>
      </w:r>
      <w:r w:rsidR="00C06C22" w:rsidRPr="002B49A6">
        <w:rPr>
          <w:spacing w:val="-2"/>
          <w:kern w:val="22"/>
          <w:lang w:val="en-GB"/>
        </w:rPr>
        <w:t xml:space="preserve"> </w:t>
      </w:r>
      <w:r w:rsidRPr="002B49A6">
        <w:rPr>
          <w:spacing w:val="-2"/>
          <w:kern w:val="22"/>
          <w:lang w:val="en-GB"/>
        </w:rPr>
        <w:t xml:space="preserve">challenges faced by medical </w:t>
      </w:r>
      <w:r w:rsidR="0045759A" w:rsidRPr="002B49A6">
        <w:rPr>
          <w:spacing w:val="-2"/>
          <w:kern w:val="22"/>
          <w:lang w:val="en-GB"/>
        </w:rPr>
        <w:t>traveller</w:t>
      </w:r>
      <w:r w:rsidRPr="002B49A6">
        <w:rPr>
          <w:spacing w:val="-2"/>
          <w:kern w:val="22"/>
          <w:lang w:val="en-GB"/>
        </w:rPr>
        <w:t>s in</w:t>
      </w:r>
      <w:r w:rsidR="00C06C22" w:rsidRPr="002B49A6">
        <w:rPr>
          <w:spacing w:val="-2"/>
          <w:kern w:val="22"/>
          <w:lang w:val="en-GB"/>
        </w:rPr>
        <w:t xml:space="preserve"> </w:t>
      </w:r>
      <w:r w:rsidRPr="002B49A6">
        <w:rPr>
          <w:spacing w:val="-2"/>
          <w:kern w:val="22"/>
          <w:lang w:val="en-GB"/>
        </w:rPr>
        <w:t>treatment cost estimation, visa documentation, hospital admission</w:t>
      </w:r>
      <w:r w:rsidR="00FC5706" w:rsidRPr="002B49A6">
        <w:rPr>
          <w:spacing w:val="-2"/>
          <w:kern w:val="22"/>
          <w:lang w:val="en-GB"/>
        </w:rPr>
        <w:t>,</w:t>
      </w:r>
      <w:r w:rsidRPr="002B49A6">
        <w:rPr>
          <w:spacing w:val="-2"/>
          <w:kern w:val="22"/>
          <w:lang w:val="en-GB"/>
        </w:rPr>
        <w:t xml:space="preserve"> and recovery assistance,” Pankaj explained</w:t>
      </w:r>
      <w:r w:rsidRPr="00BC71D8">
        <w:rPr>
          <w:lang w:val="en-GB"/>
        </w:rPr>
        <w:t>.</w:t>
      </w:r>
    </w:p>
    <w:p w14:paraId="2BB93D22" w14:textId="77777777" w:rsidR="00D810DE" w:rsidRPr="0044039B" w:rsidRDefault="00D810DE" w:rsidP="00D810DE">
      <w:pPr>
        <w:jc w:val="both"/>
        <w:rPr>
          <w:lang w:val="en-GB"/>
        </w:rPr>
      </w:pPr>
    </w:p>
    <w:p w14:paraId="7C6B07DB" w14:textId="77777777" w:rsidR="0000456F" w:rsidRPr="0044039B" w:rsidRDefault="0000456F" w:rsidP="00D810DE">
      <w:pPr>
        <w:jc w:val="both"/>
        <w:rPr>
          <w:lang w:val="en-GB"/>
        </w:rPr>
      </w:pPr>
    </w:p>
    <w:p w14:paraId="311959D7" w14:textId="77777777" w:rsidR="00D810DE" w:rsidRPr="00BC71D8" w:rsidRDefault="00D810DE" w:rsidP="0000456F">
      <w:pPr>
        <w:pStyle w:val="Casehead1"/>
        <w:rPr>
          <w:lang w:val="en-GB"/>
        </w:rPr>
      </w:pPr>
      <w:r w:rsidRPr="00BC71D8">
        <w:rPr>
          <w:lang w:val="en-GB"/>
        </w:rPr>
        <w:t>VAIDAM HEALTH</w:t>
      </w:r>
    </w:p>
    <w:p w14:paraId="34985B8E" w14:textId="77777777" w:rsidR="0000456F" w:rsidRPr="00BC71D8" w:rsidRDefault="0000456F" w:rsidP="00D810DE">
      <w:pPr>
        <w:jc w:val="both"/>
        <w:rPr>
          <w:b/>
          <w:lang w:val="en-GB"/>
        </w:rPr>
      </w:pPr>
    </w:p>
    <w:p w14:paraId="53FD373E" w14:textId="52C6318A" w:rsidR="00D810DE" w:rsidRPr="00BC71D8" w:rsidRDefault="00D810DE" w:rsidP="0000456F">
      <w:pPr>
        <w:pStyle w:val="BodyTextMain"/>
        <w:rPr>
          <w:lang w:val="en-GB"/>
        </w:rPr>
      </w:pPr>
      <w:r w:rsidRPr="00BC71D8">
        <w:rPr>
          <w:lang w:val="en-GB"/>
        </w:rPr>
        <w:t xml:space="preserve">Based out of Gurgaon, India, </w:t>
      </w:r>
      <w:proofErr w:type="spellStart"/>
      <w:r w:rsidRPr="00BC71D8">
        <w:rPr>
          <w:lang w:val="en-GB"/>
        </w:rPr>
        <w:t>Vaidam</w:t>
      </w:r>
      <w:proofErr w:type="spellEnd"/>
      <w:r w:rsidRPr="00BC71D8">
        <w:rPr>
          <w:lang w:val="en-GB"/>
        </w:rPr>
        <w:t xml:space="preserve"> Health was </w:t>
      </w:r>
      <w:r w:rsidR="00DC6F01" w:rsidRPr="00BC71D8">
        <w:rPr>
          <w:lang w:val="en-GB"/>
        </w:rPr>
        <w:t xml:space="preserve">certified according to </w:t>
      </w:r>
      <w:r w:rsidRPr="00BC71D8">
        <w:rPr>
          <w:lang w:val="en-GB"/>
        </w:rPr>
        <w:t xml:space="preserve">ISO 9001 and 27001 </w:t>
      </w:r>
      <w:r w:rsidR="00DC6F01" w:rsidRPr="00BC71D8">
        <w:rPr>
          <w:lang w:val="en-GB"/>
        </w:rPr>
        <w:t xml:space="preserve">standards </w:t>
      </w:r>
      <w:r w:rsidRPr="00BC71D8">
        <w:rPr>
          <w:lang w:val="en-GB"/>
        </w:rPr>
        <w:t>(international standards for assuring customer satisfaction and information risk reduction</w:t>
      </w:r>
      <w:r w:rsidR="00DC6F01" w:rsidRPr="00BC71D8">
        <w:rPr>
          <w:lang w:val="en-GB"/>
        </w:rPr>
        <w:t>)</w:t>
      </w:r>
      <w:r w:rsidR="00612808" w:rsidRPr="00BC71D8">
        <w:rPr>
          <w:rStyle w:val="FootnoteReference"/>
          <w:lang w:val="en-GB"/>
        </w:rPr>
        <w:footnoteReference w:id="21"/>
      </w:r>
      <w:r w:rsidR="00DC6F01" w:rsidRPr="00BC71D8">
        <w:rPr>
          <w:lang w:val="en-GB"/>
        </w:rPr>
        <w:t xml:space="preserve"> as a </w:t>
      </w:r>
      <w:r w:rsidRPr="00BC71D8">
        <w:rPr>
          <w:lang w:val="en-GB"/>
        </w:rPr>
        <w:t>web-based MVT facilitator.</w:t>
      </w:r>
      <w:r w:rsidR="00C06C22" w:rsidRPr="00BC71D8">
        <w:rPr>
          <w:lang w:val="en-GB"/>
        </w:rPr>
        <w:t xml:space="preserve"> </w:t>
      </w:r>
      <w:r w:rsidRPr="00BC71D8">
        <w:rPr>
          <w:lang w:val="en-GB"/>
        </w:rPr>
        <w:t>It offered treatment and travel assistance services to international patients travelling to India for treatment. The venture was officially launched in January</w:t>
      </w:r>
      <w:r w:rsidR="00231D47">
        <w:rPr>
          <w:lang w:val="en-GB"/>
        </w:rPr>
        <w:t xml:space="preserve"> </w:t>
      </w:r>
      <w:r w:rsidRPr="00BC71D8">
        <w:rPr>
          <w:lang w:val="en-GB"/>
        </w:rPr>
        <w:t xml:space="preserve">2016 after </w:t>
      </w:r>
      <w:r w:rsidR="00DC6F01" w:rsidRPr="00BC71D8">
        <w:rPr>
          <w:lang w:val="en-GB"/>
        </w:rPr>
        <w:t xml:space="preserve">receiving </w:t>
      </w:r>
      <w:r w:rsidRPr="00BC71D8">
        <w:rPr>
          <w:lang w:val="en-GB"/>
        </w:rPr>
        <w:t>funds from a Singapore-based venture capital firm.</w:t>
      </w:r>
      <w:r w:rsidR="00C06C22" w:rsidRPr="00BC71D8">
        <w:rPr>
          <w:lang w:val="en-GB"/>
        </w:rPr>
        <w:t xml:space="preserve"> </w:t>
      </w:r>
      <w:r w:rsidR="00DC6F01" w:rsidRPr="00BC71D8">
        <w:rPr>
          <w:lang w:val="en-GB"/>
        </w:rPr>
        <w:t xml:space="preserve">The brainchild </w:t>
      </w:r>
      <w:r w:rsidRPr="00BC71D8">
        <w:rPr>
          <w:lang w:val="en-GB"/>
        </w:rPr>
        <w:t xml:space="preserve">of Pankaj and Manish, both alumni of </w:t>
      </w:r>
      <w:r w:rsidR="00DC6F01" w:rsidRPr="00BC71D8">
        <w:rPr>
          <w:lang w:val="en-GB"/>
        </w:rPr>
        <w:t xml:space="preserve">the </w:t>
      </w:r>
      <w:r w:rsidRPr="00BC71D8">
        <w:rPr>
          <w:lang w:val="en-GB"/>
        </w:rPr>
        <w:t>Indian Institute of Management</w:t>
      </w:r>
      <w:r w:rsidR="00DC6F01" w:rsidRPr="00BC71D8">
        <w:rPr>
          <w:lang w:val="en-GB"/>
        </w:rPr>
        <w:t xml:space="preserve"> in </w:t>
      </w:r>
      <w:r w:rsidRPr="00BC71D8">
        <w:rPr>
          <w:lang w:val="en-GB"/>
        </w:rPr>
        <w:t xml:space="preserve">Lucknow, </w:t>
      </w:r>
      <w:proofErr w:type="spellStart"/>
      <w:r w:rsidRPr="00BC71D8">
        <w:rPr>
          <w:lang w:val="en-GB"/>
        </w:rPr>
        <w:t>Vaidam</w:t>
      </w:r>
      <w:proofErr w:type="spellEnd"/>
      <w:r w:rsidR="00C06C22" w:rsidRPr="00BC71D8">
        <w:rPr>
          <w:lang w:val="en-GB"/>
        </w:rPr>
        <w:t xml:space="preserve"> </w:t>
      </w:r>
      <w:r w:rsidRPr="00BC71D8">
        <w:rPr>
          <w:lang w:val="en-GB"/>
        </w:rPr>
        <w:t xml:space="preserve">was the outcome of in-depth market research of the </w:t>
      </w:r>
      <w:r w:rsidR="000B7F13">
        <w:rPr>
          <w:lang w:val="en-GB"/>
        </w:rPr>
        <w:t>health care</w:t>
      </w:r>
      <w:r w:rsidRPr="00BC71D8">
        <w:rPr>
          <w:lang w:val="en-GB"/>
        </w:rPr>
        <w:t xml:space="preserve"> sector. Manish </w:t>
      </w:r>
      <w:r w:rsidR="00DC6F01" w:rsidRPr="00BC71D8">
        <w:rPr>
          <w:lang w:val="en-GB"/>
        </w:rPr>
        <w:t>explained</w:t>
      </w:r>
      <w:r w:rsidRPr="00BC71D8">
        <w:rPr>
          <w:lang w:val="en-GB"/>
        </w:rPr>
        <w:t>:</w:t>
      </w:r>
    </w:p>
    <w:p w14:paraId="343D2B80" w14:textId="77777777" w:rsidR="00D810DE" w:rsidRPr="00BC71D8" w:rsidRDefault="00D810DE" w:rsidP="00D810DE">
      <w:pPr>
        <w:jc w:val="both"/>
        <w:rPr>
          <w:lang w:val="en-GB"/>
        </w:rPr>
      </w:pPr>
    </w:p>
    <w:p w14:paraId="29BAAF82" w14:textId="505E98AE" w:rsidR="00D810DE" w:rsidRPr="00D65F41" w:rsidRDefault="00D810DE" w:rsidP="00D65F41">
      <w:pPr>
        <w:pStyle w:val="BodyTextMain"/>
        <w:ind w:left="720"/>
      </w:pPr>
      <w:r w:rsidRPr="00D65F41">
        <w:t xml:space="preserve">The term </w:t>
      </w:r>
      <w:proofErr w:type="spellStart"/>
      <w:r w:rsidRPr="00D65F41">
        <w:t>Vaidam</w:t>
      </w:r>
      <w:proofErr w:type="spellEnd"/>
      <w:r w:rsidRPr="00D65F41">
        <w:t xml:space="preserve"> is derived from the Sanskrit word </w:t>
      </w:r>
      <w:proofErr w:type="spellStart"/>
      <w:r w:rsidR="00DC6F01" w:rsidRPr="00D65F41">
        <w:t>v</w:t>
      </w:r>
      <w:r w:rsidRPr="00D65F41">
        <w:t>aidya</w:t>
      </w:r>
      <w:proofErr w:type="spellEnd"/>
      <w:r w:rsidRPr="00D65F41">
        <w:t>, which means</w:t>
      </w:r>
      <w:r w:rsidR="00C06C22" w:rsidRPr="00D65F41">
        <w:t xml:space="preserve"> </w:t>
      </w:r>
      <w:r w:rsidR="00DC6F01" w:rsidRPr="00D65F41">
        <w:t>“</w:t>
      </w:r>
      <w:r w:rsidRPr="00D65F41">
        <w:t>doctor.</w:t>
      </w:r>
      <w:r w:rsidR="00DC6F01" w:rsidRPr="00D65F41">
        <w:t>”</w:t>
      </w:r>
      <w:r w:rsidRPr="00D65F41">
        <w:t xml:space="preserve"> It is usual that</w:t>
      </w:r>
      <w:r w:rsidR="00DC6F01" w:rsidRPr="00D65F41">
        <w:t>,</w:t>
      </w:r>
      <w:r w:rsidRPr="00D65F41">
        <w:t xml:space="preserve"> when it comes to travelling ab</w:t>
      </w:r>
      <w:r w:rsidR="00226461" w:rsidRPr="00D65F41">
        <w:t>r</w:t>
      </w:r>
      <w:r w:rsidRPr="00D65F41">
        <w:t>oad for advanced treatments, people always have apprehensions around the selection of host country, hospitals, surgeons</w:t>
      </w:r>
      <w:r w:rsidR="00226461" w:rsidRPr="00D65F41">
        <w:t>,</w:t>
      </w:r>
      <w:r w:rsidRPr="00D65F41">
        <w:t xml:space="preserve"> and estimated cost of treatment. They do consult their relatives, friends, </w:t>
      </w:r>
      <w:r w:rsidR="00231D47" w:rsidRPr="00D65F41">
        <w:t xml:space="preserve">[and] </w:t>
      </w:r>
      <w:r w:rsidRPr="00D65F41">
        <w:t xml:space="preserve">family doctors to retrieve such information. They use </w:t>
      </w:r>
      <w:r w:rsidR="00231D47" w:rsidRPr="00D65F41">
        <w:t xml:space="preserve">[the] </w:t>
      </w:r>
      <w:r w:rsidR="00226461" w:rsidRPr="00D65F41">
        <w:t xml:space="preserve">Internet </w:t>
      </w:r>
      <w:r w:rsidRPr="00D65F41">
        <w:t xml:space="preserve">to find and validate information about the suitability of medical and health procedures. However, people could not find any credible source of answer </w:t>
      </w:r>
      <w:r w:rsidR="00226461" w:rsidRPr="00D65F41">
        <w:t xml:space="preserve">[to] </w:t>
      </w:r>
      <w:r w:rsidRPr="00D65F41">
        <w:t xml:space="preserve">all their queries. No one in the field of </w:t>
      </w:r>
      <w:r w:rsidR="000B7F13" w:rsidRPr="00D65F41">
        <w:t>health care</w:t>
      </w:r>
      <w:r w:rsidRPr="00D65F41">
        <w:t xml:space="preserve"> was providing an easy solution for this problem. We</w:t>
      </w:r>
      <w:r w:rsidR="00C06C22" w:rsidRPr="00D65F41">
        <w:t xml:space="preserve"> </w:t>
      </w:r>
      <w:r w:rsidRPr="00D65F41">
        <w:t>decided to establish a business to fill this unmet customer need</w:t>
      </w:r>
      <w:r w:rsidR="00C06C22" w:rsidRPr="00D65F41">
        <w:t xml:space="preserve"> </w:t>
      </w:r>
      <w:r w:rsidRPr="00D65F41">
        <w:t xml:space="preserve">in the </w:t>
      </w:r>
      <w:r w:rsidR="000B7F13" w:rsidRPr="00D65F41">
        <w:t>health care</w:t>
      </w:r>
      <w:r w:rsidRPr="00D65F41">
        <w:t xml:space="preserve"> sector.</w:t>
      </w:r>
    </w:p>
    <w:p w14:paraId="79EBD82D" w14:textId="77777777" w:rsidR="00D810DE" w:rsidRPr="00BC71D8" w:rsidRDefault="00D810DE" w:rsidP="00D810DE">
      <w:pPr>
        <w:jc w:val="both"/>
        <w:rPr>
          <w:lang w:val="en-GB"/>
        </w:rPr>
      </w:pPr>
    </w:p>
    <w:p w14:paraId="67D14143" w14:textId="68FEDBFA" w:rsidR="00D810DE" w:rsidRPr="00BC71D8" w:rsidRDefault="00D810DE" w:rsidP="0000456F">
      <w:pPr>
        <w:pStyle w:val="BodyTextMain"/>
        <w:rPr>
          <w:lang w:val="en-GB"/>
        </w:rPr>
      </w:pPr>
      <w:r w:rsidRPr="00BC71D8">
        <w:rPr>
          <w:lang w:val="en-GB"/>
        </w:rPr>
        <w:t>Before establishing</w:t>
      </w:r>
      <w:r w:rsidR="00C06C22" w:rsidRPr="00BC71D8">
        <w:rPr>
          <w:lang w:val="en-GB"/>
        </w:rPr>
        <w:t xml:space="preserve"> </w:t>
      </w:r>
      <w:proofErr w:type="spellStart"/>
      <w:r w:rsidRPr="00BC71D8">
        <w:rPr>
          <w:lang w:val="en-GB"/>
        </w:rPr>
        <w:t>Vaidam</w:t>
      </w:r>
      <w:proofErr w:type="spellEnd"/>
      <w:r w:rsidRPr="00BC71D8">
        <w:rPr>
          <w:lang w:val="en-GB"/>
        </w:rPr>
        <w:t xml:space="preserve">, both founders had worked in </w:t>
      </w:r>
      <w:r w:rsidR="006F7660" w:rsidRPr="00BC71D8">
        <w:rPr>
          <w:lang w:val="en-GB"/>
        </w:rPr>
        <w:t xml:space="preserve">the </w:t>
      </w:r>
      <w:r w:rsidRPr="00BC71D8">
        <w:rPr>
          <w:lang w:val="en-GB"/>
        </w:rPr>
        <w:t>development of health-tech</w:t>
      </w:r>
      <w:r w:rsidR="00226461" w:rsidRPr="00BC71D8">
        <w:rPr>
          <w:lang w:val="en-GB"/>
        </w:rPr>
        <w:t>nology</w:t>
      </w:r>
      <w:r w:rsidRPr="00BC71D8">
        <w:rPr>
          <w:lang w:val="en-GB"/>
        </w:rPr>
        <w:t xml:space="preserve"> platforms. Pankaj had closely worked with public and private health institutions such as </w:t>
      </w:r>
      <w:proofErr w:type="spellStart"/>
      <w:r w:rsidRPr="00BC71D8">
        <w:rPr>
          <w:lang w:val="en-GB"/>
        </w:rPr>
        <w:t>Lybrate</w:t>
      </w:r>
      <w:proofErr w:type="spellEnd"/>
      <w:r w:rsidR="00D65F41">
        <w:rPr>
          <w:lang w:val="en-GB"/>
        </w:rPr>
        <w:t xml:space="preserve"> Inc.</w:t>
      </w:r>
      <w:r w:rsidRPr="00BC71D8">
        <w:rPr>
          <w:lang w:val="en-GB"/>
        </w:rPr>
        <w:t>, an online doctor</w:t>
      </w:r>
      <w:r w:rsidR="009F69AD">
        <w:rPr>
          <w:lang w:val="en-GB"/>
        </w:rPr>
        <w:t>-</w:t>
      </w:r>
      <w:r w:rsidRPr="00BC71D8">
        <w:rPr>
          <w:lang w:val="en-GB"/>
        </w:rPr>
        <w:t xml:space="preserve">consultation platform (as </w:t>
      </w:r>
      <w:r w:rsidR="00FB6980" w:rsidRPr="00BC71D8">
        <w:rPr>
          <w:lang w:val="en-GB"/>
        </w:rPr>
        <w:t>vice</w:t>
      </w:r>
      <w:r w:rsidR="009F69AD">
        <w:rPr>
          <w:lang w:val="en-GB"/>
        </w:rPr>
        <w:t>-</w:t>
      </w:r>
      <w:r w:rsidR="00FB6980" w:rsidRPr="00BC71D8">
        <w:rPr>
          <w:lang w:val="en-GB"/>
        </w:rPr>
        <w:t>president</w:t>
      </w:r>
      <w:r w:rsidR="00226461" w:rsidRPr="00BC71D8">
        <w:rPr>
          <w:lang w:val="en-GB"/>
        </w:rPr>
        <w:t xml:space="preserve"> of </w:t>
      </w:r>
      <w:r w:rsidR="009F69AD">
        <w:rPr>
          <w:lang w:val="en-GB"/>
        </w:rPr>
        <w:t>S</w:t>
      </w:r>
      <w:r w:rsidR="00FB6980" w:rsidRPr="00BC71D8">
        <w:rPr>
          <w:lang w:val="en-GB"/>
        </w:rPr>
        <w:t>ales</w:t>
      </w:r>
      <w:r w:rsidRPr="00BC71D8">
        <w:rPr>
          <w:lang w:val="en-GB"/>
        </w:rPr>
        <w:t xml:space="preserve">), </w:t>
      </w:r>
      <w:r w:rsidR="00226461" w:rsidRPr="00BC71D8">
        <w:rPr>
          <w:lang w:val="en-GB"/>
        </w:rPr>
        <w:t xml:space="preserve">and </w:t>
      </w:r>
      <w:r w:rsidRPr="00BC71D8">
        <w:rPr>
          <w:lang w:val="en-GB"/>
        </w:rPr>
        <w:t>Manish had 15 years</w:t>
      </w:r>
      <w:r w:rsidR="00226461" w:rsidRPr="00BC71D8">
        <w:rPr>
          <w:lang w:val="en-GB"/>
        </w:rPr>
        <w:t>’</w:t>
      </w:r>
      <w:r w:rsidRPr="00BC71D8">
        <w:rPr>
          <w:lang w:val="en-GB"/>
        </w:rPr>
        <w:t xml:space="preserve"> experience in managing customer experience on technology platforms such as Shopclues.com</w:t>
      </w:r>
      <w:r w:rsidR="00D02735" w:rsidRPr="00BC71D8">
        <w:rPr>
          <w:lang w:val="en-GB"/>
        </w:rPr>
        <w:t xml:space="preserve">, </w:t>
      </w:r>
      <w:r w:rsidRPr="00BC71D8">
        <w:rPr>
          <w:lang w:val="en-GB"/>
        </w:rPr>
        <w:t>one of India’s leading e-retailer</w:t>
      </w:r>
      <w:r w:rsidR="00D02735" w:rsidRPr="00BC71D8">
        <w:rPr>
          <w:lang w:val="en-GB"/>
        </w:rPr>
        <w:t xml:space="preserve">s, </w:t>
      </w:r>
      <w:r w:rsidRPr="00BC71D8">
        <w:rPr>
          <w:lang w:val="en-GB"/>
        </w:rPr>
        <w:t xml:space="preserve">and </w:t>
      </w:r>
      <w:r w:rsidR="00D02735" w:rsidRPr="00BC71D8">
        <w:rPr>
          <w:lang w:val="en-GB"/>
        </w:rPr>
        <w:t xml:space="preserve">the Indian Railway Catering and Tourism Corporation’s </w:t>
      </w:r>
      <w:r w:rsidRPr="00BC71D8">
        <w:rPr>
          <w:lang w:val="en-GB"/>
        </w:rPr>
        <w:t>massive railway booking</w:t>
      </w:r>
      <w:r w:rsidR="00D33321" w:rsidRPr="00BC71D8">
        <w:rPr>
          <w:lang w:val="en-GB"/>
        </w:rPr>
        <w:t xml:space="preserve"> platform</w:t>
      </w:r>
      <w:r w:rsidR="00D02735" w:rsidRPr="00BC71D8">
        <w:rPr>
          <w:lang w:val="en-GB"/>
        </w:rPr>
        <w:t xml:space="preserve"> IRCTC.co.in</w:t>
      </w:r>
      <w:r w:rsidRPr="00BC71D8">
        <w:rPr>
          <w:lang w:val="en-GB"/>
        </w:rPr>
        <w:t xml:space="preserve">. The duo </w:t>
      </w:r>
      <w:r w:rsidR="00A54D58" w:rsidRPr="00BC71D8">
        <w:rPr>
          <w:lang w:val="en-GB"/>
        </w:rPr>
        <w:t xml:space="preserve">was careful to </w:t>
      </w:r>
      <w:r w:rsidRPr="00BC71D8">
        <w:rPr>
          <w:lang w:val="en-GB"/>
        </w:rPr>
        <w:t>form a team by hiring</w:t>
      </w:r>
      <w:r w:rsidR="00C06C22" w:rsidRPr="00BC71D8">
        <w:rPr>
          <w:lang w:val="en-GB"/>
        </w:rPr>
        <w:t xml:space="preserve"> </w:t>
      </w:r>
      <w:r w:rsidRPr="00BC71D8">
        <w:rPr>
          <w:lang w:val="en-GB"/>
        </w:rPr>
        <w:t>people</w:t>
      </w:r>
      <w:r w:rsidR="00C06C22" w:rsidRPr="00BC71D8">
        <w:rPr>
          <w:lang w:val="en-GB"/>
        </w:rPr>
        <w:t xml:space="preserve"> </w:t>
      </w:r>
      <w:r w:rsidRPr="00BC71D8">
        <w:rPr>
          <w:lang w:val="en-GB"/>
        </w:rPr>
        <w:t xml:space="preserve">with </w:t>
      </w:r>
      <w:r w:rsidR="00612FC3" w:rsidRPr="00BC71D8">
        <w:rPr>
          <w:lang w:val="en-GB"/>
        </w:rPr>
        <w:t xml:space="preserve">diverse </w:t>
      </w:r>
      <w:r w:rsidRPr="00BC71D8">
        <w:rPr>
          <w:lang w:val="en-GB"/>
        </w:rPr>
        <w:t>skills</w:t>
      </w:r>
      <w:r w:rsidR="00A54D58" w:rsidRPr="00BC71D8">
        <w:rPr>
          <w:lang w:val="en-GB"/>
        </w:rPr>
        <w:t>,</w:t>
      </w:r>
      <w:r w:rsidRPr="00BC71D8">
        <w:rPr>
          <w:lang w:val="en-GB"/>
        </w:rPr>
        <w:t xml:space="preserve"> such as medical consultants, operations managers, logistics experts, language translators</w:t>
      </w:r>
      <w:r w:rsidR="00A54D58" w:rsidRPr="00BC71D8">
        <w:rPr>
          <w:lang w:val="en-GB"/>
        </w:rPr>
        <w:t>,</w:t>
      </w:r>
      <w:r w:rsidRPr="00BC71D8">
        <w:rPr>
          <w:lang w:val="en-GB"/>
        </w:rPr>
        <w:t xml:space="preserve"> and digital marketing professionals. “We are a team of 20.</w:t>
      </w:r>
      <w:r w:rsidR="009F69AD">
        <w:rPr>
          <w:lang w:val="en-GB"/>
        </w:rPr>
        <w:t xml:space="preserve"> </w:t>
      </w:r>
      <w:r w:rsidRPr="00BC71D8">
        <w:rPr>
          <w:lang w:val="en-GB"/>
        </w:rPr>
        <w:t>All the members are highly efficient and carry experience in their respective domain. Having the right people at the right place has enabled us to improve the patient experience during their travel,” Pankaj expressed.</w:t>
      </w:r>
    </w:p>
    <w:p w14:paraId="61C19E8D" w14:textId="77777777" w:rsidR="00D810DE" w:rsidRPr="0044039B" w:rsidRDefault="00D810DE" w:rsidP="0000456F">
      <w:pPr>
        <w:pStyle w:val="BodyTextMain"/>
        <w:rPr>
          <w:sz w:val="20"/>
          <w:lang w:val="en-GB"/>
        </w:rPr>
      </w:pPr>
    </w:p>
    <w:p w14:paraId="5BEC60B0" w14:textId="7B2B01F0" w:rsidR="00A4072C" w:rsidRDefault="00D810DE" w:rsidP="0000456F">
      <w:pPr>
        <w:pStyle w:val="BodyTextMain"/>
        <w:rPr>
          <w:lang w:val="en-GB"/>
        </w:rPr>
      </w:pPr>
      <w:r w:rsidRPr="00BC71D8">
        <w:rPr>
          <w:lang w:val="en-GB"/>
        </w:rPr>
        <w:t>For patients,</w:t>
      </w:r>
      <w:r w:rsidR="00C06C22" w:rsidRPr="00BC71D8">
        <w:rPr>
          <w:lang w:val="en-GB"/>
        </w:rPr>
        <w:t xml:space="preserve"> </w:t>
      </w:r>
      <w:proofErr w:type="spellStart"/>
      <w:r w:rsidRPr="00BC71D8">
        <w:rPr>
          <w:lang w:val="en-GB"/>
        </w:rPr>
        <w:t>Vaidam</w:t>
      </w:r>
      <w:proofErr w:type="spellEnd"/>
      <w:r w:rsidRPr="00BC71D8">
        <w:rPr>
          <w:lang w:val="en-GB"/>
        </w:rPr>
        <w:t xml:space="preserve"> played </w:t>
      </w:r>
      <w:r w:rsidR="00A4072C" w:rsidRPr="00BC71D8">
        <w:rPr>
          <w:lang w:val="en-GB"/>
        </w:rPr>
        <w:t xml:space="preserve">several </w:t>
      </w:r>
      <w:r w:rsidRPr="00BC71D8">
        <w:rPr>
          <w:lang w:val="en-GB"/>
        </w:rPr>
        <w:t>role</w:t>
      </w:r>
      <w:r w:rsidR="00A4072C" w:rsidRPr="00BC71D8">
        <w:rPr>
          <w:lang w:val="en-GB"/>
        </w:rPr>
        <w:t>s: it was</w:t>
      </w:r>
      <w:r w:rsidRPr="00BC71D8">
        <w:rPr>
          <w:lang w:val="en-GB"/>
        </w:rPr>
        <w:t xml:space="preserve"> an educator</w:t>
      </w:r>
      <w:r w:rsidR="00A54D58" w:rsidRPr="00BC71D8">
        <w:rPr>
          <w:lang w:val="en-GB"/>
        </w:rPr>
        <w:t xml:space="preserve">, </w:t>
      </w:r>
      <w:r w:rsidRPr="00BC71D8">
        <w:rPr>
          <w:lang w:val="en-GB"/>
        </w:rPr>
        <w:t>providing verified information on treatment options, accreditations, affiliati</w:t>
      </w:r>
      <w:r w:rsidR="008C4753" w:rsidRPr="00BC71D8">
        <w:rPr>
          <w:lang w:val="en-GB"/>
        </w:rPr>
        <w:t>ons of hospitals and specialist</w:t>
      </w:r>
      <w:r w:rsidR="00F902A0">
        <w:rPr>
          <w:lang w:val="en-GB"/>
        </w:rPr>
        <w:t>s</w:t>
      </w:r>
      <w:r w:rsidR="008C4753" w:rsidRPr="00BC71D8">
        <w:rPr>
          <w:lang w:val="en-GB"/>
        </w:rPr>
        <w:t>,</w:t>
      </w:r>
      <w:r w:rsidRPr="00BC71D8">
        <w:rPr>
          <w:lang w:val="en-GB"/>
        </w:rPr>
        <w:t xml:space="preserve"> and</w:t>
      </w:r>
      <w:r w:rsidR="00A54D58" w:rsidRPr="00BC71D8">
        <w:rPr>
          <w:lang w:val="en-GB"/>
        </w:rPr>
        <w:t xml:space="preserve"> on </w:t>
      </w:r>
      <w:r w:rsidRPr="00BC71D8">
        <w:rPr>
          <w:lang w:val="en-GB"/>
        </w:rPr>
        <w:t>other travel considerat</w:t>
      </w:r>
      <w:r w:rsidR="008C4753" w:rsidRPr="00BC71D8">
        <w:rPr>
          <w:lang w:val="en-GB"/>
        </w:rPr>
        <w:t>ions such as security</w:t>
      </w:r>
      <w:r w:rsidR="00A54D58" w:rsidRPr="00BC71D8">
        <w:rPr>
          <w:lang w:val="en-GB"/>
        </w:rPr>
        <w:t xml:space="preserve"> and </w:t>
      </w:r>
      <w:r w:rsidR="008C4753" w:rsidRPr="00BC71D8">
        <w:rPr>
          <w:lang w:val="en-GB"/>
        </w:rPr>
        <w:t>culture</w:t>
      </w:r>
      <w:r w:rsidR="00A4072C" w:rsidRPr="00BC71D8">
        <w:rPr>
          <w:lang w:val="en-GB"/>
        </w:rPr>
        <w:t xml:space="preserve">; it </w:t>
      </w:r>
      <w:r w:rsidR="00A54D58" w:rsidRPr="00BC71D8">
        <w:rPr>
          <w:lang w:val="en-GB"/>
        </w:rPr>
        <w:t>was an</w:t>
      </w:r>
      <w:r w:rsidRPr="00BC71D8">
        <w:rPr>
          <w:lang w:val="en-GB"/>
        </w:rPr>
        <w:t xml:space="preserve"> organizer</w:t>
      </w:r>
      <w:r w:rsidR="00A4072C" w:rsidRPr="00BC71D8">
        <w:rPr>
          <w:lang w:val="en-GB"/>
        </w:rPr>
        <w:t xml:space="preserve">, </w:t>
      </w:r>
      <w:r w:rsidRPr="00BC71D8">
        <w:rPr>
          <w:lang w:val="en-GB"/>
        </w:rPr>
        <w:t>facilitating medical history compilation, scheduling appointments</w:t>
      </w:r>
      <w:r w:rsidR="00A54D58" w:rsidRPr="00BC71D8">
        <w:rPr>
          <w:lang w:val="en-GB"/>
        </w:rPr>
        <w:t>,</w:t>
      </w:r>
      <w:r w:rsidR="008C4753" w:rsidRPr="00BC71D8">
        <w:rPr>
          <w:lang w:val="en-GB"/>
        </w:rPr>
        <w:t xml:space="preserve"> and managing travel logistics</w:t>
      </w:r>
      <w:r w:rsidR="00A4072C" w:rsidRPr="00BC71D8">
        <w:rPr>
          <w:lang w:val="en-GB"/>
        </w:rPr>
        <w:t xml:space="preserve">; it acted as </w:t>
      </w:r>
      <w:r w:rsidR="00A54D58" w:rsidRPr="00BC71D8">
        <w:rPr>
          <w:lang w:val="en-GB"/>
        </w:rPr>
        <w:t xml:space="preserve">a </w:t>
      </w:r>
      <w:r w:rsidRPr="00BC71D8">
        <w:rPr>
          <w:lang w:val="en-GB"/>
        </w:rPr>
        <w:t>bridge</w:t>
      </w:r>
      <w:r w:rsidR="00A54D58" w:rsidRPr="00BC71D8">
        <w:rPr>
          <w:lang w:val="en-GB"/>
        </w:rPr>
        <w:t xml:space="preserve">, </w:t>
      </w:r>
      <w:r w:rsidRPr="00BC71D8">
        <w:rPr>
          <w:lang w:val="en-GB"/>
        </w:rPr>
        <w:t>providing a 24/7 point of contact in the host country to deal with local issues such as language barriers</w:t>
      </w:r>
      <w:r w:rsidR="008C4753" w:rsidRPr="00BC71D8">
        <w:rPr>
          <w:lang w:val="en-GB"/>
        </w:rPr>
        <w:t>;</w:t>
      </w:r>
      <w:r w:rsidRPr="00BC71D8">
        <w:rPr>
          <w:lang w:val="en-GB"/>
        </w:rPr>
        <w:t xml:space="preserve"> and </w:t>
      </w:r>
      <w:r w:rsidR="00A4072C" w:rsidRPr="00BC71D8">
        <w:rPr>
          <w:lang w:val="en-GB"/>
        </w:rPr>
        <w:t xml:space="preserve">it </w:t>
      </w:r>
      <w:r w:rsidR="00262C7D">
        <w:rPr>
          <w:lang w:val="en-GB"/>
        </w:rPr>
        <w:t>functioned</w:t>
      </w:r>
      <w:r w:rsidR="00A4072C" w:rsidRPr="00BC71D8">
        <w:rPr>
          <w:lang w:val="en-GB"/>
        </w:rPr>
        <w:t xml:space="preserve"> </w:t>
      </w:r>
      <w:r w:rsidR="00262C7D">
        <w:rPr>
          <w:lang w:val="en-GB"/>
        </w:rPr>
        <w:t xml:space="preserve">as </w:t>
      </w:r>
      <w:r w:rsidR="00A4072C" w:rsidRPr="00BC71D8">
        <w:rPr>
          <w:lang w:val="en-GB"/>
        </w:rPr>
        <w:t xml:space="preserve">an </w:t>
      </w:r>
      <w:r w:rsidRPr="00BC71D8">
        <w:rPr>
          <w:lang w:val="en-GB"/>
        </w:rPr>
        <w:t>advocate</w:t>
      </w:r>
      <w:r w:rsidR="00A4072C" w:rsidRPr="00BC71D8">
        <w:rPr>
          <w:lang w:val="en-GB"/>
        </w:rPr>
        <w:t xml:space="preserve">, </w:t>
      </w:r>
      <w:r w:rsidRPr="00BC71D8">
        <w:rPr>
          <w:lang w:val="en-GB"/>
        </w:rPr>
        <w:t xml:space="preserve">acting as the representative of the patient in the host country. For the </w:t>
      </w:r>
      <w:r w:rsidR="000B7F13">
        <w:rPr>
          <w:lang w:val="en-GB"/>
        </w:rPr>
        <w:t>health care</w:t>
      </w:r>
      <w:r w:rsidRPr="00BC71D8">
        <w:rPr>
          <w:lang w:val="en-GB"/>
        </w:rPr>
        <w:t xml:space="preserve"> industry in host nations, facilitators worked </w:t>
      </w:r>
      <w:r w:rsidR="00A4072C" w:rsidRPr="00BC71D8">
        <w:rPr>
          <w:lang w:val="en-GB"/>
        </w:rPr>
        <w:t xml:space="preserve">to </w:t>
      </w:r>
      <w:r w:rsidRPr="00BC71D8">
        <w:rPr>
          <w:lang w:val="en-GB"/>
        </w:rPr>
        <w:t>boost the</w:t>
      </w:r>
      <w:r w:rsidR="00C06C22" w:rsidRPr="00BC71D8">
        <w:rPr>
          <w:lang w:val="en-GB"/>
        </w:rPr>
        <w:t xml:space="preserve"> </w:t>
      </w:r>
      <w:r w:rsidR="00A4072C" w:rsidRPr="00BC71D8">
        <w:rPr>
          <w:lang w:val="en-GB"/>
        </w:rPr>
        <w:t xml:space="preserve">countries’ </w:t>
      </w:r>
      <w:r w:rsidRPr="00BC71D8">
        <w:rPr>
          <w:lang w:val="en-GB"/>
        </w:rPr>
        <w:t xml:space="preserve">image to generate </w:t>
      </w:r>
      <w:r w:rsidR="00BD68AF" w:rsidRPr="00BC71D8">
        <w:rPr>
          <w:lang w:val="en-GB"/>
        </w:rPr>
        <w:t xml:space="preserve">a </w:t>
      </w:r>
      <w:r w:rsidRPr="00BC71D8">
        <w:rPr>
          <w:lang w:val="en-GB"/>
        </w:rPr>
        <w:t xml:space="preserve">source of </w:t>
      </w:r>
      <w:r w:rsidR="008C4753" w:rsidRPr="00BC71D8">
        <w:rPr>
          <w:lang w:val="en-GB"/>
        </w:rPr>
        <w:t>foreign</w:t>
      </w:r>
      <w:r w:rsidR="00262C7D">
        <w:rPr>
          <w:lang w:val="en-GB"/>
        </w:rPr>
        <w:t>-</w:t>
      </w:r>
      <w:r w:rsidR="008C4753" w:rsidRPr="00BC71D8">
        <w:rPr>
          <w:lang w:val="en-GB"/>
        </w:rPr>
        <w:t>exchange</w:t>
      </w:r>
      <w:r w:rsidRPr="00BC71D8">
        <w:rPr>
          <w:lang w:val="en-GB"/>
        </w:rPr>
        <w:t xml:space="preserve"> earnings.</w:t>
      </w:r>
      <w:r w:rsidRPr="00BC71D8">
        <w:rPr>
          <w:vertAlign w:val="superscript"/>
          <w:lang w:val="en-GB"/>
        </w:rPr>
        <w:footnoteReference w:id="22"/>
      </w:r>
    </w:p>
    <w:p w14:paraId="3AED78D0" w14:textId="77777777" w:rsidR="006F3D0F" w:rsidRPr="0044039B" w:rsidRDefault="006F3D0F" w:rsidP="0000456F">
      <w:pPr>
        <w:pStyle w:val="BodyTextMain"/>
        <w:rPr>
          <w:sz w:val="20"/>
          <w:lang w:val="en-GB"/>
        </w:rPr>
      </w:pPr>
    </w:p>
    <w:p w14:paraId="19A580FC" w14:textId="118BB567" w:rsidR="00D810DE" w:rsidRPr="00BC71D8" w:rsidRDefault="00D810DE" w:rsidP="0000456F">
      <w:pPr>
        <w:pStyle w:val="BodyTextMain"/>
        <w:rPr>
          <w:lang w:val="en-GB"/>
        </w:rPr>
      </w:pPr>
      <w:r w:rsidRPr="00BC71D8">
        <w:rPr>
          <w:lang w:val="en-GB"/>
        </w:rPr>
        <w:t>In India, NABH was responsible for evaluating the reliability and accountability of MVT facilitators using defined empanelment criteria.</w:t>
      </w:r>
      <w:r w:rsidRPr="00BC71D8">
        <w:rPr>
          <w:vertAlign w:val="superscript"/>
          <w:lang w:val="en-GB"/>
        </w:rPr>
        <w:footnoteReference w:id="23"/>
      </w:r>
      <w:r w:rsidR="00DE241A">
        <w:rPr>
          <w:lang w:val="en-GB"/>
        </w:rPr>
        <w:t xml:space="preserve"> </w:t>
      </w:r>
      <w:r w:rsidRPr="00BC71D8">
        <w:rPr>
          <w:lang w:val="en-GB"/>
        </w:rPr>
        <w:t xml:space="preserve">Enticed by </w:t>
      </w:r>
      <w:r w:rsidR="000764BB" w:rsidRPr="00BC71D8">
        <w:rPr>
          <w:lang w:val="en-GB"/>
        </w:rPr>
        <w:t xml:space="preserve">the </w:t>
      </w:r>
      <w:r w:rsidRPr="00BC71D8">
        <w:rPr>
          <w:lang w:val="en-GB"/>
        </w:rPr>
        <w:t xml:space="preserve">GOI’s supportive policies and the growing number of foreign tourists entering the country, many players </w:t>
      </w:r>
      <w:r w:rsidR="00A4072C" w:rsidRPr="00BC71D8">
        <w:rPr>
          <w:lang w:val="en-GB"/>
        </w:rPr>
        <w:t xml:space="preserve">had </w:t>
      </w:r>
      <w:r w:rsidRPr="00BC71D8">
        <w:rPr>
          <w:lang w:val="en-GB"/>
        </w:rPr>
        <w:t xml:space="preserve">entered the space of web-based MVT facilitation </w:t>
      </w:r>
      <w:r w:rsidRPr="00BC71D8">
        <w:rPr>
          <w:lang w:val="en-GB"/>
        </w:rPr>
        <w:lastRenderedPageBreak/>
        <w:t xml:space="preserve">service. Some of the discovery platforms were </w:t>
      </w:r>
      <w:proofErr w:type="spellStart"/>
      <w:r w:rsidR="00A4072C" w:rsidRPr="00BC71D8">
        <w:rPr>
          <w:lang w:val="en-GB"/>
        </w:rPr>
        <w:t>MediConnect</w:t>
      </w:r>
      <w:proofErr w:type="spellEnd"/>
      <w:r w:rsidR="00A4072C" w:rsidRPr="00BC71D8">
        <w:rPr>
          <w:lang w:val="en-GB"/>
        </w:rPr>
        <w:t xml:space="preserve"> </w:t>
      </w:r>
      <w:r w:rsidRPr="00BC71D8">
        <w:rPr>
          <w:lang w:val="en-GB"/>
        </w:rPr>
        <w:t>India,</w:t>
      </w:r>
      <w:r w:rsidR="00C06C22" w:rsidRPr="00BC71D8">
        <w:rPr>
          <w:lang w:val="en-GB"/>
        </w:rPr>
        <w:t xml:space="preserve"> </w:t>
      </w:r>
      <w:r w:rsidR="00A4072C" w:rsidRPr="00BC71D8">
        <w:rPr>
          <w:lang w:val="en-GB"/>
        </w:rPr>
        <w:t xml:space="preserve">Tour2india4health Consultants </w:t>
      </w:r>
      <w:proofErr w:type="spellStart"/>
      <w:r w:rsidR="00A4072C" w:rsidRPr="00BC71D8">
        <w:rPr>
          <w:lang w:val="en-GB"/>
        </w:rPr>
        <w:t>Pvt.</w:t>
      </w:r>
      <w:proofErr w:type="spellEnd"/>
      <w:r w:rsidR="00A4072C" w:rsidRPr="00BC71D8">
        <w:rPr>
          <w:lang w:val="en-GB"/>
        </w:rPr>
        <w:t xml:space="preserve"> Ltd.</w:t>
      </w:r>
      <w:r w:rsidRPr="00BC71D8">
        <w:rPr>
          <w:lang w:val="en-GB"/>
        </w:rPr>
        <w:t>,</w:t>
      </w:r>
      <w:r w:rsidR="00C06C22" w:rsidRPr="00BC71D8">
        <w:rPr>
          <w:lang w:val="en-GB"/>
        </w:rPr>
        <w:t xml:space="preserve"> </w:t>
      </w:r>
      <w:proofErr w:type="spellStart"/>
      <w:r w:rsidRPr="00BC71D8">
        <w:rPr>
          <w:lang w:val="en-GB"/>
        </w:rPr>
        <w:t>Indicure</w:t>
      </w:r>
      <w:proofErr w:type="spellEnd"/>
      <w:r w:rsidR="00A4072C" w:rsidRPr="00BC71D8">
        <w:rPr>
          <w:lang w:val="en-GB"/>
        </w:rPr>
        <w:t xml:space="preserve"> Health Tours</w:t>
      </w:r>
      <w:r w:rsidRPr="00BC71D8">
        <w:rPr>
          <w:lang w:val="en-GB"/>
        </w:rPr>
        <w:t xml:space="preserve">, and </w:t>
      </w:r>
      <w:proofErr w:type="spellStart"/>
      <w:r w:rsidR="00A4072C" w:rsidRPr="00BC71D8">
        <w:rPr>
          <w:lang w:val="en-GB"/>
        </w:rPr>
        <w:t>Zoylo</w:t>
      </w:r>
      <w:proofErr w:type="spellEnd"/>
      <w:r w:rsidR="00A4072C" w:rsidRPr="00BC71D8">
        <w:rPr>
          <w:lang w:val="en-GB"/>
        </w:rPr>
        <w:t xml:space="preserve"> </w:t>
      </w:r>
      <w:proofErr w:type="spellStart"/>
      <w:r w:rsidR="00A4072C" w:rsidRPr="00BC71D8">
        <w:rPr>
          <w:lang w:val="en-GB"/>
        </w:rPr>
        <w:t>Digihealth</w:t>
      </w:r>
      <w:proofErr w:type="spellEnd"/>
      <w:r w:rsidR="00A4072C" w:rsidRPr="00BC71D8">
        <w:rPr>
          <w:lang w:val="en-GB"/>
        </w:rPr>
        <w:t xml:space="preserve"> </w:t>
      </w:r>
      <w:proofErr w:type="spellStart"/>
      <w:r w:rsidR="00A4072C" w:rsidRPr="00BC71D8">
        <w:rPr>
          <w:lang w:val="en-GB"/>
        </w:rPr>
        <w:t>Pvt</w:t>
      </w:r>
      <w:r w:rsidR="00FE7CD1">
        <w:rPr>
          <w:lang w:val="en-GB"/>
        </w:rPr>
        <w:t>.</w:t>
      </w:r>
      <w:proofErr w:type="spellEnd"/>
      <w:r w:rsidR="00A4072C" w:rsidRPr="00BC71D8">
        <w:rPr>
          <w:lang w:val="en-GB"/>
        </w:rPr>
        <w:t xml:space="preserve"> Ltd</w:t>
      </w:r>
      <w:r w:rsidR="00C12779" w:rsidRPr="00BC71D8">
        <w:rPr>
          <w:lang w:val="en-GB"/>
        </w:rPr>
        <w:t>.</w:t>
      </w:r>
      <w:r w:rsidR="00C24F88" w:rsidRPr="00BC71D8">
        <w:rPr>
          <w:lang w:val="en-GB"/>
        </w:rPr>
        <w:t xml:space="preserve"> Manish said</w:t>
      </w:r>
      <w:r w:rsidR="00A4072C" w:rsidRPr="00BC71D8">
        <w:rPr>
          <w:lang w:val="en-GB"/>
        </w:rPr>
        <w:t>,</w:t>
      </w:r>
    </w:p>
    <w:p w14:paraId="7D520FE5" w14:textId="77777777" w:rsidR="00D810DE" w:rsidRPr="00BC71D8" w:rsidRDefault="00D810DE" w:rsidP="00D810DE">
      <w:pPr>
        <w:jc w:val="both"/>
        <w:rPr>
          <w:lang w:val="en-GB"/>
        </w:rPr>
      </w:pPr>
    </w:p>
    <w:p w14:paraId="5038C7EA" w14:textId="01EF2598" w:rsidR="00D810DE" w:rsidRPr="00D65F41" w:rsidRDefault="00D810DE" w:rsidP="00D65F41">
      <w:pPr>
        <w:pStyle w:val="BodyTextMain"/>
        <w:ind w:left="720"/>
      </w:pPr>
      <w:r w:rsidRPr="00D65F41">
        <w:t xml:space="preserve">What makes us distinct from the other </w:t>
      </w:r>
      <w:r w:rsidR="000B7F13" w:rsidRPr="00D65F41">
        <w:t>health care</w:t>
      </w:r>
      <w:r w:rsidRPr="00D65F41">
        <w:t xml:space="preserve"> discovery platforms is we go beyond the norm in assisting the </w:t>
      </w:r>
      <w:proofErr w:type="spellStart"/>
      <w:r w:rsidR="0045759A" w:rsidRPr="00D65F41">
        <w:t>traveller</w:t>
      </w:r>
      <w:r w:rsidRPr="00D65F41">
        <w:t>s</w:t>
      </w:r>
      <w:proofErr w:type="spellEnd"/>
      <w:r w:rsidRPr="00D65F41">
        <w:t xml:space="preserve"> with consultations, travel plans</w:t>
      </w:r>
      <w:r w:rsidR="0082547E" w:rsidRPr="00D65F41">
        <w:t>,</w:t>
      </w:r>
      <w:r w:rsidRPr="00D65F41">
        <w:t xml:space="preserve"> and everything amid, till the time they fly back</w:t>
      </w:r>
      <w:r w:rsidR="009770E8" w:rsidRPr="00D65F41">
        <w:t>,</w:t>
      </w:r>
      <w:r w:rsidRPr="00D65F41">
        <w:t xml:space="preserve"> post </w:t>
      </w:r>
      <w:r w:rsidR="00C06C22" w:rsidRPr="00D65F41">
        <w:t>check-ups</w:t>
      </w:r>
      <w:r w:rsidRPr="00D65F41">
        <w:t xml:space="preserve"> or surgeries. We carefully select the hospitals, doctors, accommodation</w:t>
      </w:r>
      <w:r w:rsidR="0082547E" w:rsidRPr="00D65F41">
        <w:t>,</w:t>
      </w:r>
      <w:r w:rsidRPr="00D65F41">
        <w:t xml:space="preserve"> and other services that we market to</w:t>
      </w:r>
      <w:r w:rsidR="00C24F88" w:rsidRPr="00D65F41">
        <w:t xml:space="preserve"> our patients on our platform.</w:t>
      </w:r>
    </w:p>
    <w:p w14:paraId="2D5A4270" w14:textId="77777777" w:rsidR="00D810DE" w:rsidRPr="00BC71D8" w:rsidRDefault="00D810DE" w:rsidP="00D810DE">
      <w:pPr>
        <w:ind w:left="720"/>
        <w:jc w:val="both"/>
        <w:rPr>
          <w:lang w:val="en-GB"/>
        </w:rPr>
      </w:pPr>
    </w:p>
    <w:p w14:paraId="7AB381C6" w14:textId="4340A69E" w:rsidR="00D810DE" w:rsidRPr="00BC71D8" w:rsidRDefault="00D810DE" w:rsidP="00D62921">
      <w:pPr>
        <w:pStyle w:val="BodyTextMain"/>
        <w:rPr>
          <w:lang w:val="en-GB"/>
        </w:rPr>
      </w:pPr>
      <w:r w:rsidRPr="00BC71D8">
        <w:rPr>
          <w:lang w:val="en-GB"/>
        </w:rPr>
        <w:t>In addition to MVT facilitators, independent hotel groups</w:t>
      </w:r>
      <w:r w:rsidR="00C06C22" w:rsidRPr="00BC71D8">
        <w:rPr>
          <w:lang w:val="en-GB"/>
        </w:rPr>
        <w:t xml:space="preserve"> </w:t>
      </w:r>
      <w:r w:rsidRPr="00BC71D8">
        <w:rPr>
          <w:lang w:val="en-GB"/>
        </w:rPr>
        <w:t xml:space="preserve">and travel agencies such as </w:t>
      </w:r>
      <w:proofErr w:type="spellStart"/>
      <w:r w:rsidRPr="00BC71D8">
        <w:rPr>
          <w:lang w:val="en-GB"/>
        </w:rPr>
        <w:t>Travelite</w:t>
      </w:r>
      <w:proofErr w:type="spellEnd"/>
      <w:r w:rsidRPr="00BC71D8">
        <w:rPr>
          <w:lang w:val="en-GB"/>
        </w:rPr>
        <w:t xml:space="preserve"> India</w:t>
      </w:r>
      <w:r w:rsidR="002B43BD" w:rsidRPr="00BC71D8">
        <w:rPr>
          <w:lang w:val="en-GB"/>
        </w:rPr>
        <w:t>,</w:t>
      </w:r>
      <w:r w:rsidR="00B36287">
        <w:rPr>
          <w:lang w:val="en-GB"/>
        </w:rPr>
        <w:t xml:space="preserve"> </w:t>
      </w:r>
      <w:r w:rsidR="002B43BD" w:rsidRPr="00BC71D8">
        <w:rPr>
          <w:lang w:val="en-GB"/>
        </w:rPr>
        <w:t xml:space="preserve">which offered </w:t>
      </w:r>
      <w:r w:rsidRPr="00BC71D8">
        <w:rPr>
          <w:lang w:val="en-GB"/>
        </w:rPr>
        <w:t xml:space="preserve">travel packages for Ayurveda and </w:t>
      </w:r>
      <w:r w:rsidR="002B43BD" w:rsidRPr="00BC71D8">
        <w:rPr>
          <w:lang w:val="en-GB"/>
        </w:rPr>
        <w:t xml:space="preserve">yoga, </w:t>
      </w:r>
      <w:r w:rsidR="00B36287">
        <w:rPr>
          <w:lang w:val="en-GB"/>
        </w:rPr>
        <w:t xml:space="preserve">had </w:t>
      </w:r>
      <w:r w:rsidRPr="00BC71D8">
        <w:rPr>
          <w:lang w:val="en-GB"/>
        </w:rPr>
        <w:t>also ventured into this service</w:t>
      </w:r>
      <w:r w:rsidR="002B43BD" w:rsidRPr="00BC71D8">
        <w:rPr>
          <w:lang w:val="en-GB"/>
        </w:rPr>
        <w:t>,</w:t>
      </w:r>
      <w:r w:rsidR="00C06C22" w:rsidRPr="00BC71D8">
        <w:rPr>
          <w:lang w:val="en-GB"/>
        </w:rPr>
        <w:t xml:space="preserve"> </w:t>
      </w:r>
      <w:r w:rsidR="002B43BD" w:rsidRPr="00BC71D8">
        <w:rPr>
          <w:lang w:val="en-GB"/>
        </w:rPr>
        <w:t xml:space="preserve">seeing </w:t>
      </w:r>
      <w:r w:rsidR="00BA4439" w:rsidRPr="00BC71D8">
        <w:rPr>
          <w:lang w:val="en-GB"/>
        </w:rPr>
        <w:t xml:space="preserve">it as </w:t>
      </w:r>
      <w:r w:rsidRPr="00BC71D8">
        <w:rPr>
          <w:lang w:val="en-GB"/>
        </w:rPr>
        <w:t xml:space="preserve">an alternate business opportunity. For hotel groups, MVT was an additional service line for connecting international patients with </w:t>
      </w:r>
      <w:r w:rsidR="002B43BD" w:rsidRPr="00BC71D8">
        <w:rPr>
          <w:lang w:val="en-GB"/>
        </w:rPr>
        <w:t xml:space="preserve">the </w:t>
      </w:r>
      <w:r w:rsidR="000B7F13">
        <w:rPr>
          <w:lang w:val="en-GB"/>
        </w:rPr>
        <w:t>health care</w:t>
      </w:r>
      <w:r w:rsidRPr="00BC71D8">
        <w:rPr>
          <w:lang w:val="en-GB"/>
        </w:rPr>
        <w:t xml:space="preserve"> institutions </w:t>
      </w:r>
      <w:r w:rsidR="002B43BD" w:rsidRPr="00BC71D8">
        <w:rPr>
          <w:lang w:val="en-GB"/>
        </w:rPr>
        <w:t xml:space="preserve">they were </w:t>
      </w:r>
      <w:r w:rsidRPr="00BC71D8">
        <w:rPr>
          <w:lang w:val="en-GB"/>
        </w:rPr>
        <w:t>associated with. Travel agencies utilized their logistics know</w:t>
      </w:r>
      <w:r w:rsidR="002B43BD" w:rsidRPr="00BC71D8">
        <w:rPr>
          <w:lang w:val="en-GB"/>
        </w:rPr>
        <w:t>ledge</w:t>
      </w:r>
      <w:r w:rsidRPr="00BC71D8">
        <w:rPr>
          <w:lang w:val="en-GB"/>
        </w:rPr>
        <w:t xml:space="preserve"> to offer travel packages for clinical programs.</w:t>
      </w:r>
    </w:p>
    <w:p w14:paraId="538686E2" w14:textId="77777777" w:rsidR="00D810DE" w:rsidRPr="0044039B" w:rsidRDefault="00D810DE" w:rsidP="00D810DE">
      <w:pPr>
        <w:jc w:val="both"/>
        <w:rPr>
          <w:lang w:val="en-GB"/>
        </w:rPr>
      </w:pPr>
    </w:p>
    <w:p w14:paraId="6AF172FA" w14:textId="77777777" w:rsidR="00D810DE" w:rsidRPr="0044039B" w:rsidRDefault="00D810DE" w:rsidP="00D810DE">
      <w:pPr>
        <w:jc w:val="both"/>
        <w:rPr>
          <w:lang w:val="en-GB"/>
        </w:rPr>
      </w:pPr>
    </w:p>
    <w:p w14:paraId="4BD4C9B8" w14:textId="77777777" w:rsidR="00D810DE" w:rsidRPr="00BC71D8" w:rsidRDefault="00D810DE" w:rsidP="00D62921">
      <w:pPr>
        <w:pStyle w:val="Casehead2"/>
        <w:rPr>
          <w:lang w:val="en-GB"/>
        </w:rPr>
      </w:pPr>
      <w:r w:rsidRPr="00BC71D8">
        <w:rPr>
          <w:lang w:val="en-GB"/>
        </w:rPr>
        <w:t>Business Model</w:t>
      </w:r>
    </w:p>
    <w:p w14:paraId="3D4B7D13" w14:textId="77777777" w:rsidR="00D810DE" w:rsidRPr="0044039B" w:rsidRDefault="00D810DE" w:rsidP="00D810DE">
      <w:pPr>
        <w:jc w:val="both"/>
        <w:rPr>
          <w:lang w:val="en-GB"/>
        </w:rPr>
      </w:pPr>
    </w:p>
    <w:p w14:paraId="140A0497" w14:textId="0CFCCEA1" w:rsidR="00D810DE" w:rsidRPr="00BC71D8" w:rsidRDefault="00D810DE" w:rsidP="00D62921">
      <w:pPr>
        <w:pStyle w:val="BodyTextMain"/>
        <w:rPr>
          <w:lang w:val="en-GB"/>
        </w:rPr>
      </w:pPr>
      <w:proofErr w:type="spellStart"/>
      <w:r w:rsidRPr="00BC71D8">
        <w:rPr>
          <w:lang w:val="en-GB"/>
        </w:rPr>
        <w:t>Vaidam</w:t>
      </w:r>
      <w:proofErr w:type="spellEnd"/>
      <w:r w:rsidRPr="00BC71D8">
        <w:rPr>
          <w:lang w:val="en-GB"/>
        </w:rPr>
        <w:t xml:space="preserve"> targeted various categories of international medical </w:t>
      </w:r>
      <w:r w:rsidR="0045759A" w:rsidRPr="00BC71D8">
        <w:rPr>
          <w:lang w:val="en-GB"/>
        </w:rPr>
        <w:t>traveller</w:t>
      </w:r>
      <w:r w:rsidRPr="00BC71D8">
        <w:rPr>
          <w:lang w:val="en-GB"/>
        </w:rPr>
        <w:t>s</w:t>
      </w:r>
      <w:r w:rsidR="007A6589">
        <w:rPr>
          <w:lang w:val="en-GB"/>
        </w:rPr>
        <w:t>—</w:t>
      </w:r>
      <w:r w:rsidRPr="00BC71D8">
        <w:rPr>
          <w:lang w:val="en-GB"/>
        </w:rPr>
        <w:t>uninsured, underinsured</w:t>
      </w:r>
      <w:r w:rsidR="002B43BD" w:rsidRPr="00BC71D8">
        <w:rPr>
          <w:lang w:val="en-GB"/>
        </w:rPr>
        <w:t>,</w:t>
      </w:r>
      <w:r w:rsidRPr="00BC71D8">
        <w:rPr>
          <w:lang w:val="en-GB"/>
        </w:rPr>
        <w:t xml:space="preserve"> or fully insured</w:t>
      </w:r>
      <w:r w:rsidR="007A6589">
        <w:rPr>
          <w:lang w:val="en-GB"/>
        </w:rPr>
        <w:t>—</w:t>
      </w:r>
      <w:r w:rsidRPr="00BC71D8">
        <w:rPr>
          <w:lang w:val="en-GB"/>
        </w:rPr>
        <w:t>through</w:t>
      </w:r>
      <w:r w:rsidR="00C06C22" w:rsidRPr="00BC71D8">
        <w:rPr>
          <w:lang w:val="en-GB"/>
        </w:rPr>
        <w:t xml:space="preserve"> </w:t>
      </w:r>
      <w:r w:rsidRPr="00BC71D8">
        <w:rPr>
          <w:lang w:val="en-GB"/>
        </w:rPr>
        <w:t>different business channels.</w:t>
      </w:r>
    </w:p>
    <w:p w14:paraId="5F5EE1A8" w14:textId="77777777" w:rsidR="00D810DE" w:rsidRPr="0044039B" w:rsidRDefault="00D810DE" w:rsidP="00D810DE">
      <w:pPr>
        <w:jc w:val="both"/>
        <w:rPr>
          <w:lang w:val="en-GB"/>
        </w:rPr>
      </w:pPr>
    </w:p>
    <w:p w14:paraId="5603CAD6" w14:textId="77777777" w:rsidR="00D810DE" w:rsidRPr="0044039B" w:rsidRDefault="00D810DE" w:rsidP="00D810DE">
      <w:pPr>
        <w:jc w:val="both"/>
        <w:rPr>
          <w:lang w:val="en-GB"/>
        </w:rPr>
      </w:pPr>
    </w:p>
    <w:p w14:paraId="6A8967A7" w14:textId="77777777" w:rsidR="00D810DE" w:rsidRPr="00BC71D8" w:rsidRDefault="00D810DE" w:rsidP="00D62921">
      <w:pPr>
        <w:pStyle w:val="Casehead2"/>
        <w:rPr>
          <w:lang w:val="en-GB"/>
        </w:rPr>
      </w:pPr>
      <w:r w:rsidRPr="00BC71D8">
        <w:rPr>
          <w:lang w:val="en-GB"/>
        </w:rPr>
        <w:t>Individual Patients</w:t>
      </w:r>
    </w:p>
    <w:p w14:paraId="345A71CC" w14:textId="77777777" w:rsidR="00D810DE" w:rsidRPr="0044039B" w:rsidRDefault="00D810DE" w:rsidP="00D810DE">
      <w:pPr>
        <w:jc w:val="both"/>
        <w:rPr>
          <w:lang w:val="en-GB"/>
        </w:rPr>
      </w:pPr>
    </w:p>
    <w:p w14:paraId="0CCC69D1" w14:textId="7D9A4CCF" w:rsidR="00D810DE" w:rsidRPr="00BC71D8" w:rsidRDefault="00D810DE" w:rsidP="00D62921">
      <w:pPr>
        <w:pStyle w:val="BodyTextMain"/>
        <w:rPr>
          <w:lang w:val="en-GB"/>
        </w:rPr>
      </w:pPr>
      <w:r w:rsidRPr="00BC71D8">
        <w:rPr>
          <w:lang w:val="en-GB"/>
        </w:rPr>
        <w:t xml:space="preserve">The largest segment of medical </w:t>
      </w:r>
      <w:r w:rsidR="0045759A" w:rsidRPr="00BC71D8">
        <w:rPr>
          <w:lang w:val="en-GB"/>
        </w:rPr>
        <w:t>traveller</w:t>
      </w:r>
      <w:r w:rsidRPr="00BC71D8">
        <w:rPr>
          <w:lang w:val="en-GB"/>
        </w:rPr>
        <w:t>s to India was uninsured individual patients</w:t>
      </w:r>
      <w:r w:rsidR="00511C9E" w:rsidRPr="00BC71D8">
        <w:rPr>
          <w:lang w:val="en-GB"/>
        </w:rPr>
        <w:t>,</w:t>
      </w:r>
      <w:r w:rsidRPr="00BC71D8">
        <w:rPr>
          <w:lang w:val="en-GB"/>
        </w:rPr>
        <w:t xml:space="preserve"> who pa</w:t>
      </w:r>
      <w:r w:rsidR="00511C9E" w:rsidRPr="00BC71D8">
        <w:rPr>
          <w:lang w:val="en-GB"/>
        </w:rPr>
        <w:t xml:space="preserve">id </w:t>
      </w:r>
      <w:r w:rsidRPr="00BC71D8">
        <w:rPr>
          <w:lang w:val="en-GB"/>
        </w:rPr>
        <w:t>for their treatment</w:t>
      </w:r>
      <w:r w:rsidR="002B43BD" w:rsidRPr="00BC71D8">
        <w:rPr>
          <w:lang w:val="en-GB"/>
        </w:rPr>
        <w:t>s</w:t>
      </w:r>
      <w:r w:rsidRPr="00BC71D8">
        <w:rPr>
          <w:lang w:val="en-GB"/>
        </w:rPr>
        <w:t xml:space="preserve"> with their own cash and thus look</w:t>
      </w:r>
      <w:r w:rsidR="00511C9E" w:rsidRPr="00BC71D8">
        <w:rPr>
          <w:lang w:val="en-GB"/>
        </w:rPr>
        <w:t>ed</w:t>
      </w:r>
      <w:r w:rsidRPr="00BC71D8">
        <w:rPr>
          <w:lang w:val="en-GB"/>
        </w:rPr>
        <w:t xml:space="preserve"> for low-cost destinations to make significant savings. “At this point, 80 </w:t>
      </w:r>
      <w:r w:rsidR="00390D38" w:rsidRPr="00BC71D8">
        <w:rPr>
          <w:lang w:val="en-GB"/>
        </w:rPr>
        <w:t>per cent</w:t>
      </w:r>
      <w:r w:rsidRPr="00BC71D8">
        <w:rPr>
          <w:lang w:val="en-GB"/>
        </w:rPr>
        <w:t xml:space="preserve"> of our business is generated through inquires coming directly from the patients on our website or through referrals from our past clients,” Pankaj explained. </w:t>
      </w:r>
      <w:r w:rsidR="002B43BD" w:rsidRPr="00BC71D8">
        <w:rPr>
          <w:lang w:val="en-GB"/>
        </w:rPr>
        <w:t>The l</w:t>
      </w:r>
      <w:r w:rsidRPr="00BC71D8">
        <w:rPr>
          <w:lang w:val="en-GB"/>
        </w:rPr>
        <w:t xml:space="preserve">ack of public or insurance funding for advanced medical procedures in their home </w:t>
      </w:r>
      <w:r w:rsidR="002B43BD" w:rsidRPr="00BC71D8">
        <w:rPr>
          <w:lang w:val="en-GB"/>
        </w:rPr>
        <w:t xml:space="preserve">countries </w:t>
      </w:r>
      <w:r w:rsidRPr="00BC71D8">
        <w:rPr>
          <w:lang w:val="en-GB"/>
        </w:rPr>
        <w:t>(</w:t>
      </w:r>
      <w:r w:rsidR="002B43BD" w:rsidRPr="00BC71D8">
        <w:rPr>
          <w:lang w:val="en-GB"/>
        </w:rPr>
        <w:t xml:space="preserve">e.g., </w:t>
      </w:r>
      <w:r w:rsidRPr="00BC71D8">
        <w:rPr>
          <w:lang w:val="en-GB"/>
        </w:rPr>
        <w:t xml:space="preserve">African nations such as Kenya and Nigeria and </w:t>
      </w:r>
      <w:r w:rsidR="002B43BD" w:rsidRPr="00BC71D8">
        <w:rPr>
          <w:lang w:val="en-GB"/>
        </w:rPr>
        <w:t xml:space="preserve">neighbouring </w:t>
      </w:r>
      <w:r w:rsidRPr="00BC71D8">
        <w:rPr>
          <w:lang w:val="en-GB"/>
        </w:rPr>
        <w:t>Asian countries such as Bangladesh, Afghanistan</w:t>
      </w:r>
      <w:r w:rsidR="002B43BD" w:rsidRPr="00BC71D8">
        <w:rPr>
          <w:lang w:val="en-GB"/>
        </w:rPr>
        <w:t>,</w:t>
      </w:r>
      <w:r w:rsidRPr="00BC71D8">
        <w:rPr>
          <w:lang w:val="en-GB"/>
        </w:rPr>
        <w:t xml:space="preserve"> and </w:t>
      </w:r>
      <w:r w:rsidR="002B43BD" w:rsidRPr="00BC71D8">
        <w:rPr>
          <w:lang w:val="en-GB"/>
        </w:rPr>
        <w:t xml:space="preserve">the </w:t>
      </w:r>
      <w:r w:rsidRPr="00BC71D8">
        <w:rPr>
          <w:lang w:val="en-GB"/>
        </w:rPr>
        <w:t xml:space="preserve">Maldives) was driving these patients to travel to destinations like India for quality </w:t>
      </w:r>
      <w:r w:rsidR="000B7F13">
        <w:rPr>
          <w:lang w:val="en-GB"/>
        </w:rPr>
        <w:t>health care</w:t>
      </w:r>
      <w:r w:rsidRPr="00BC71D8">
        <w:rPr>
          <w:lang w:val="en-GB"/>
        </w:rPr>
        <w:t xml:space="preserve"> at affordable price</w:t>
      </w:r>
      <w:r w:rsidR="002B43BD" w:rsidRPr="00BC71D8">
        <w:rPr>
          <w:lang w:val="en-GB"/>
        </w:rPr>
        <w:t>s</w:t>
      </w:r>
      <w:r w:rsidRPr="00BC71D8">
        <w:rPr>
          <w:lang w:val="en-GB"/>
        </w:rPr>
        <w:t xml:space="preserve">. These patients generally made a </w:t>
      </w:r>
      <w:r w:rsidR="005671AB" w:rsidRPr="00BC71D8">
        <w:rPr>
          <w:lang w:val="en-GB"/>
        </w:rPr>
        <w:t>trade-off</w:t>
      </w:r>
      <w:r w:rsidR="00C06C22" w:rsidRPr="00BC71D8">
        <w:rPr>
          <w:lang w:val="en-GB"/>
        </w:rPr>
        <w:t xml:space="preserve"> </w:t>
      </w:r>
      <w:r w:rsidR="002B43BD" w:rsidRPr="00BC71D8">
        <w:rPr>
          <w:lang w:val="en-GB"/>
        </w:rPr>
        <w:t xml:space="preserve">between </w:t>
      </w:r>
      <w:r w:rsidRPr="00BC71D8">
        <w:rPr>
          <w:lang w:val="en-GB"/>
        </w:rPr>
        <w:t xml:space="preserve">perceived </w:t>
      </w:r>
      <w:r w:rsidR="000B7F13">
        <w:rPr>
          <w:lang w:val="en-GB"/>
        </w:rPr>
        <w:t>health care</w:t>
      </w:r>
      <w:r w:rsidR="0082266F" w:rsidRPr="00BC71D8">
        <w:rPr>
          <w:lang w:val="en-GB"/>
        </w:rPr>
        <w:t xml:space="preserve"> </w:t>
      </w:r>
      <w:r w:rsidRPr="00BC71D8">
        <w:rPr>
          <w:lang w:val="en-GB"/>
        </w:rPr>
        <w:t xml:space="preserve">quality </w:t>
      </w:r>
      <w:r w:rsidR="002B43BD" w:rsidRPr="00BC71D8">
        <w:rPr>
          <w:lang w:val="en-GB"/>
        </w:rPr>
        <w:t xml:space="preserve">and </w:t>
      </w:r>
      <w:r w:rsidRPr="00BC71D8">
        <w:rPr>
          <w:lang w:val="en-GB"/>
        </w:rPr>
        <w:t>cost of treatment, proximity</w:t>
      </w:r>
      <w:r w:rsidR="00312C77" w:rsidRPr="00BC71D8">
        <w:rPr>
          <w:lang w:val="en-GB"/>
        </w:rPr>
        <w:t>,</w:t>
      </w:r>
      <w:r w:rsidRPr="00BC71D8">
        <w:rPr>
          <w:lang w:val="en-GB"/>
        </w:rPr>
        <w:t xml:space="preserve"> and culture </w:t>
      </w:r>
      <w:r w:rsidR="00312C77" w:rsidRPr="00BC71D8">
        <w:rPr>
          <w:lang w:val="en-GB"/>
        </w:rPr>
        <w:t xml:space="preserve">while </w:t>
      </w:r>
      <w:r w:rsidRPr="00BC71D8">
        <w:rPr>
          <w:lang w:val="en-GB"/>
        </w:rPr>
        <w:t xml:space="preserve">selecting the </w:t>
      </w:r>
      <w:r w:rsidR="000B7F13">
        <w:rPr>
          <w:lang w:val="en-GB"/>
        </w:rPr>
        <w:t>health care</w:t>
      </w:r>
      <w:r w:rsidRPr="00BC71D8">
        <w:rPr>
          <w:lang w:val="en-GB"/>
        </w:rPr>
        <w:t xml:space="preserve"> destination. These patients primarily </w:t>
      </w:r>
      <w:r w:rsidR="002B43BD" w:rsidRPr="00BC71D8">
        <w:rPr>
          <w:lang w:val="en-GB"/>
        </w:rPr>
        <w:t xml:space="preserve">sought </w:t>
      </w:r>
      <w:r w:rsidRPr="00BC71D8">
        <w:rPr>
          <w:lang w:val="en-GB"/>
        </w:rPr>
        <w:t>medical treatment for dentistry, cosmetic surg</w:t>
      </w:r>
      <w:r w:rsidR="00662370" w:rsidRPr="00BC71D8">
        <w:rPr>
          <w:lang w:val="en-GB"/>
        </w:rPr>
        <w:t>ery, and in-</w:t>
      </w:r>
      <w:r w:rsidR="009F3516" w:rsidRPr="00BC71D8">
        <w:rPr>
          <w:lang w:val="en-GB"/>
        </w:rPr>
        <w:t>vitro fertilization.</w:t>
      </w:r>
    </w:p>
    <w:p w14:paraId="19042E13" w14:textId="77777777" w:rsidR="00D810DE" w:rsidRPr="0044039B" w:rsidRDefault="00D810DE" w:rsidP="00D810DE">
      <w:pPr>
        <w:jc w:val="both"/>
        <w:rPr>
          <w:lang w:val="en-GB"/>
        </w:rPr>
      </w:pPr>
    </w:p>
    <w:p w14:paraId="50685CC1" w14:textId="77777777" w:rsidR="00C06C22" w:rsidRPr="0044039B" w:rsidRDefault="00C06C22" w:rsidP="00D810DE">
      <w:pPr>
        <w:jc w:val="both"/>
        <w:rPr>
          <w:lang w:val="en-GB"/>
        </w:rPr>
      </w:pPr>
    </w:p>
    <w:p w14:paraId="4EBB2763" w14:textId="77777777" w:rsidR="00D810DE" w:rsidRPr="00BC71D8" w:rsidRDefault="00D810DE" w:rsidP="00B413AA">
      <w:pPr>
        <w:pStyle w:val="Casehead2"/>
        <w:rPr>
          <w:lang w:val="en-GB"/>
        </w:rPr>
      </w:pPr>
      <w:r w:rsidRPr="00BC71D8">
        <w:rPr>
          <w:lang w:val="en-GB"/>
        </w:rPr>
        <w:t>Insured Patients</w:t>
      </w:r>
    </w:p>
    <w:p w14:paraId="7CE2E18B" w14:textId="77777777" w:rsidR="00D810DE" w:rsidRPr="0044039B" w:rsidRDefault="00D810DE" w:rsidP="00D810DE">
      <w:pPr>
        <w:jc w:val="both"/>
        <w:rPr>
          <w:lang w:val="en-GB"/>
        </w:rPr>
      </w:pPr>
    </w:p>
    <w:p w14:paraId="26F396DF" w14:textId="23819F75" w:rsidR="00D810DE" w:rsidRPr="00BC71D8" w:rsidRDefault="00D810DE" w:rsidP="00B413AA">
      <w:pPr>
        <w:pStyle w:val="BodyTextMain"/>
        <w:rPr>
          <w:lang w:val="en-GB"/>
        </w:rPr>
      </w:pPr>
      <w:r w:rsidRPr="00BC71D8">
        <w:rPr>
          <w:lang w:val="en-GB"/>
        </w:rPr>
        <w:t xml:space="preserve">Insurance companies </w:t>
      </w:r>
      <w:r w:rsidR="002B43BD" w:rsidRPr="00BC71D8">
        <w:rPr>
          <w:lang w:val="en-GB"/>
        </w:rPr>
        <w:t xml:space="preserve">that </w:t>
      </w:r>
      <w:r w:rsidRPr="00BC71D8">
        <w:rPr>
          <w:lang w:val="en-GB"/>
        </w:rPr>
        <w:t>offer</w:t>
      </w:r>
      <w:r w:rsidR="00FE40A7" w:rsidRPr="00BC71D8">
        <w:rPr>
          <w:lang w:val="en-GB"/>
        </w:rPr>
        <w:t>ed</w:t>
      </w:r>
      <w:r w:rsidRPr="00BC71D8">
        <w:rPr>
          <w:lang w:val="en-GB"/>
        </w:rPr>
        <w:t xml:space="preserve"> self-funded </w:t>
      </w:r>
      <w:r w:rsidR="000B7F13">
        <w:rPr>
          <w:lang w:val="en-GB"/>
        </w:rPr>
        <w:t>health care</w:t>
      </w:r>
      <w:r w:rsidRPr="00BC71D8">
        <w:rPr>
          <w:lang w:val="en-GB"/>
        </w:rPr>
        <w:t xml:space="preserve"> benefits</w:t>
      </w:r>
      <w:r w:rsidR="00C06C22" w:rsidRPr="00BC71D8">
        <w:rPr>
          <w:lang w:val="en-GB"/>
        </w:rPr>
        <w:t xml:space="preserve"> </w:t>
      </w:r>
      <w:r w:rsidR="006231C8" w:rsidRPr="00BC71D8">
        <w:rPr>
          <w:lang w:val="en-GB"/>
        </w:rPr>
        <w:t xml:space="preserve">collaborated </w:t>
      </w:r>
      <w:r w:rsidRPr="00BC71D8">
        <w:rPr>
          <w:lang w:val="en-GB"/>
        </w:rPr>
        <w:t>with</w:t>
      </w:r>
      <w:r w:rsidR="00B36287">
        <w:rPr>
          <w:lang w:val="en-GB"/>
        </w:rPr>
        <w:t xml:space="preserve"> </w:t>
      </w:r>
      <w:proofErr w:type="spellStart"/>
      <w:r w:rsidRPr="00BC71D8">
        <w:rPr>
          <w:lang w:val="en-GB"/>
        </w:rPr>
        <w:t>Vaidam</w:t>
      </w:r>
      <w:proofErr w:type="spellEnd"/>
      <w:r w:rsidRPr="00BC71D8">
        <w:rPr>
          <w:lang w:val="en-GB"/>
        </w:rPr>
        <w:t xml:space="preserve"> to add world-class hospitals in India to their network and work</w:t>
      </w:r>
      <w:r w:rsidR="00277E38" w:rsidRPr="00BC71D8">
        <w:rPr>
          <w:lang w:val="en-GB"/>
        </w:rPr>
        <w:t>ed</w:t>
      </w:r>
      <w:r w:rsidRPr="00BC71D8">
        <w:rPr>
          <w:lang w:val="en-GB"/>
        </w:rPr>
        <w:t xml:space="preserve"> out packages for various medical procedures. </w:t>
      </w:r>
      <w:proofErr w:type="spellStart"/>
      <w:r w:rsidR="002B43BD" w:rsidRPr="00BC71D8">
        <w:rPr>
          <w:lang w:val="en-GB"/>
        </w:rPr>
        <w:t>Vaidam’s</w:t>
      </w:r>
      <w:proofErr w:type="spellEnd"/>
      <w:r w:rsidR="002B43BD" w:rsidRPr="00BC71D8">
        <w:rPr>
          <w:lang w:val="en-GB"/>
        </w:rPr>
        <w:t xml:space="preserve"> </w:t>
      </w:r>
      <w:r w:rsidRPr="00BC71D8">
        <w:rPr>
          <w:lang w:val="en-GB"/>
        </w:rPr>
        <w:t>team offered to conduct site visits to hospitals, hotels</w:t>
      </w:r>
      <w:r w:rsidR="002B43BD" w:rsidRPr="00BC71D8">
        <w:rPr>
          <w:lang w:val="en-GB"/>
        </w:rPr>
        <w:t>,</w:t>
      </w:r>
      <w:r w:rsidRPr="00BC71D8">
        <w:rPr>
          <w:lang w:val="en-GB"/>
        </w:rPr>
        <w:t xml:space="preserve"> and other facilities on behalf of the insurance companies to understand the true conditions of each destination.</w:t>
      </w:r>
      <w:r w:rsidR="00BB45F8" w:rsidRPr="00BC71D8">
        <w:rPr>
          <w:lang w:val="en-GB"/>
        </w:rPr>
        <w:t xml:space="preserve"> Having established </w:t>
      </w:r>
      <w:r w:rsidRPr="00BC71D8">
        <w:rPr>
          <w:lang w:val="en-GB"/>
        </w:rPr>
        <w:t>s</w:t>
      </w:r>
      <w:r w:rsidR="00BD6883" w:rsidRPr="00BC71D8">
        <w:rPr>
          <w:lang w:val="en-GB"/>
        </w:rPr>
        <w:t>trong relationship</w:t>
      </w:r>
      <w:r w:rsidR="002B43BD" w:rsidRPr="00BC71D8">
        <w:rPr>
          <w:lang w:val="en-GB"/>
        </w:rPr>
        <w:t>s</w:t>
      </w:r>
      <w:r w:rsidR="00BD6883" w:rsidRPr="00BC71D8">
        <w:rPr>
          <w:lang w:val="en-GB"/>
        </w:rPr>
        <w:t xml:space="preserve"> with</w:t>
      </w:r>
      <w:r w:rsidR="002B43BD" w:rsidRPr="00BC71D8">
        <w:rPr>
          <w:lang w:val="en-GB"/>
        </w:rPr>
        <w:t xml:space="preserve"> over </w:t>
      </w:r>
      <w:r w:rsidR="00BD6883" w:rsidRPr="00BC71D8">
        <w:rPr>
          <w:lang w:val="en-GB"/>
        </w:rPr>
        <w:t>100</w:t>
      </w:r>
      <w:r w:rsidRPr="00BC71D8">
        <w:rPr>
          <w:lang w:val="en-GB"/>
        </w:rPr>
        <w:t xml:space="preserve"> hospital affiliates, the team facilitated preferential treatment </w:t>
      </w:r>
      <w:r w:rsidR="002B43BD" w:rsidRPr="00BC71D8">
        <w:rPr>
          <w:lang w:val="en-GB"/>
        </w:rPr>
        <w:t xml:space="preserve">for </w:t>
      </w:r>
      <w:r w:rsidRPr="00BC71D8">
        <w:rPr>
          <w:lang w:val="en-GB"/>
        </w:rPr>
        <w:t xml:space="preserve">patients and resolved issues that required immediate attention during their patients’ stay in </w:t>
      </w:r>
      <w:r w:rsidR="008312C1" w:rsidRPr="00BC71D8">
        <w:rPr>
          <w:lang w:val="en-GB"/>
        </w:rPr>
        <w:t xml:space="preserve">the </w:t>
      </w:r>
      <w:r w:rsidRPr="00BC71D8">
        <w:rPr>
          <w:lang w:val="en-GB"/>
        </w:rPr>
        <w:t>country. “At present</w:t>
      </w:r>
      <w:r w:rsidR="002B43BD" w:rsidRPr="00BC71D8">
        <w:rPr>
          <w:lang w:val="en-GB"/>
        </w:rPr>
        <w:t>,</w:t>
      </w:r>
      <w:r w:rsidRPr="00BC71D8">
        <w:rPr>
          <w:lang w:val="en-GB"/>
        </w:rPr>
        <w:t xml:space="preserve"> we are working with three insurance companies ab</w:t>
      </w:r>
      <w:r w:rsidR="002B43BD" w:rsidRPr="00BC71D8">
        <w:rPr>
          <w:lang w:val="en-GB"/>
        </w:rPr>
        <w:t>r</w:t>
      </w:r>
      <w:r w:rsidRPr="00BC71D8">
        <w:rPr>
          <w:lang w:val="en-GB"/>
        </w:rPr>
        <w:t xml:space="preserve">oad and </w:t>
      </w:r>
      <w:r w:rsidR="002B43BD" w:rsidRPr="00BC71D8">
        <w:rPr>
          <w:lang w:val="en-GB"/>
        </w:rPr>
        <w:t>[</w:t>
      </w:r>
      <w:r w:rsidR="00BF3537" w:rsidRPr="00BC71D8">
        <w:rPr>
          <w:lang w:val="en-GB"/>
        </w:rPr>
        <w:t>are</w:t>
      </w:r>
      <w:r w:rsidR="002B43BD" w:rsidRPr="00BC71D8">
        <w:rPr>
          <w:lang w:val="en-GB"/>
        </w:rPr>
        <w:t xml:space="preserve">] </w:t>
      </w:r>
      <w:r w:rsidRPr="00BC71D8">
        <w:rPr>
          <w:lang w:val="en-GB"/>
        </w:rPr>
        <w:t xml:space="preserve">in discussion with many others for the empanelment of Indian medical </w:t>
      </w:r>
      <w:r w:rsidR="00EE534F" w:rsidRPr="00BC71D8">
        <w:rPr>
          <w:lang w:val="en-GB"/>
        </w:rPr>
        <w:t>centre</w:t>
      </w:r>
      <w:r w:rsidRPr="00BC71D8">
        <w:rPr>
          <w:lang w:val="en-GB"/>
        </w:rPr>
        <w:t>s and hospitals into their network,” Pankaj explained.</w:t>
      </w:r>
    </w:p>
    <w:p w14:paraId="69EFA8C6" w14:textId="77777777" w:rsidR="00D810DE" w:rsidRPr="0044039B" w:rsidRDefault="00D810DE" w:rsidP="00D810DE">
      <w:pPr>
        <w:jc w:val="both"/>
        <w:rPr>
          <w:szCs w:val="22"/>
          <w:lang w:val="en-GB"/>
        </w:rPr>
      </w:pPr>
    </w:p>
    <w:p w14:paraId="2A2AA3E0" w14:textId="77777777" w:rsidR="00D810DE" w:rsidRPr="0044039B" w:rsidRDefault="00D810DE" w:rsidP="00D810DE">
      <w:pPr>
        <w:jc w:val="both"/>
        <w:rPr>
          <w:szCs w:val="22"/>
          <w:lang w:val="en-GB"/>
        </w:rPr>
      </w:pPr>
    </w:p>
    <w:p w14:paraId="40DD8A16" w14:textId="77777777" w:rsidR="00D810DE" w:rsidRPr="00BC71D8" w:rsidRDefault="00D810DE" w:rsidP="00B413AA">
      <w:pPr>
        <w:pStyle w:val="Casehead2"/>
        <w:rPr>
          <w:lang w:val="en-GB"/>
        </w:rPr>
      </w:pPr>
      <w:r w:rsidRPr="00BC71D8">
        <w:rPr>
          <w:lang w:val="en-GB"/>
        </w:rPr>
        <w:t>G</w:t>
      </w:r>
      <w:r w:rsidR="00613BD6" w:rsidRPr="00BC71D8">
        <w:rPr>
          <w:lang w:val="en-GB"/>
        </w:rPr>
        <w:t>overnment-F</w:t>
      </w:r>
      <w:r w:rsidRPr="00BC71D8">
        <w:rPr>
          <w:lang w:val="en-GB"/>
        </w:rPr>
        <w:t>unded Patients</w:t>
      </w:r>
    </w:p>
    <w:p w14:paraId="0E07534C" w14:textId="77777777" w:rsidR="00D810DE" w:rsidRPr="0044039B" w:rsidRDefault="00D810DE" w:rsidP="00D810DE">
      <w:pPr>
        <w:jc w:val="both"/>
        <w:rPr>
          <w:szCs w:val="22"/>
          <w:lang w:val="en-GB"/>
        </w:rPr>
      </w:pPr>
    </w:p>
    <w:p w14:paraId="4A135443" w14:textId="11D7F566" w:rsidR="002B43BD" w:rsidRPr="00BC71D8" w:rsidRDefault="00D810DE" w:rsidP="00B413AA">
      <w:pPr>
        <w:pStyle w:val="BodyTextMain"/>
        <w:rPr>
          <w:lang w:val="en-GB"/>
        </w:rPr>
      </w:pPr>
      <w:r w:rsidRPr="00BC71D8">
        <w:rPr>
          <w:lang w:val="en-GB"/>
        </w:rPr>
        <w:t>This segment included international patients trave</w:t>
      </w:r>
      <w:r w:rsidR="00D9793E" w:rsidRPr="00BC71D8">
        <w:rPr>
          <w:lang w:val="en-GB"/>
        </w:rPr>
        <w:t>l</w:t>
      </w:r>
      <w:r w:rsidRPr="00BC71D8">
        <w:rPr>
          <w:lang w:val="en-GB"/>
        </w:rPr>
        <w:t>ling from countries where their government fund</w:t>
      </w:r>
      <w:r w:rsidR="002B43BD" w:rsidRPr="00BC71D8">
        <w:rPr>
          <w:lang w:val="en-GB"/>
        </w:rPr>
        <w:t>ed</w:t>
      </w:r>
      <w:r w:rsidRPr="00BC71D8">
        <w:rPr>
          <w:lang w:val="en-GB"/>
        </w:rPr>
        <w:t xml:space="preserve"> treatment</w:t>
      </w:r>
      <w:r w:rsidR="002B43BD" w:rsidRPr="00BC71D8">
        <w:rPr>
          <w:lang w:val="en-GB"/>
        </w:rPr>
        <w:t>s</w:t>
      </w:r>
      <w:r w:rsidRPr="00BC71D8">
        <w:rPr>
          <w:lang w:val="en-GB"/>
        </w:rPr>
        <w:t xml:space="preserve"> abroad for its citizens</w:t>
      </w:r>
      <w:r w:rsidR="002B43BD" w:rsidRPr="00BC71D8">
        <w:rPr>
          <w:lang w:val="en-GB"/>
        </w:rPr>
        <w:t>,</w:t>
      </w:r>
      <w:r w:rsidRPr="00BC71D8">
        <w:rPr>
          <w:lang w:val="en-GB"/>
        </w:rPr>
        <w:t xml:space="preserve"> due </w:t>
      </w:r>
      <w:r w:rsidR="002B43BD" w:rsidRPr="00BC71D8">
        <w:rPr>
          <w:lang w:val="en-GB"/>
        </w:rPr>
        <w:t xml:space="preserve">either </w:t>
      </w:r>
      <w:r w:rsidRPr="00BC71D8">
        <w:rPr>
          <w:lang w:val="en-GB"/>
        </w:rPr>
        <w:t xml:space="preserve">to lack of domestic expertise and facilities to handle advanced </w:t>
      </w:r>
      <w:r w:rsidRPr="00BC71D8">
        <w:rPr>
          <w:lang w:val="en-GB"/>
        </w:rPr>
        <w:lastRenderedPageBreak/>
        <w:t xml:space="preserve">medical treatments or </w:t>
      </w:r>
      <w:r w:rsidR="002B43BD" w:rsidRPr="00BC71D8">
        <w:rPr>
          <w:lang w:val="en-GB"/>
        </w:rPr>
        <w:t xml:space="preserve">to </w:t>
      </w:r>
      <w:r w:rsidRPr="00BC71D8">
        <w:rPr>
          <w:lang w:val="en-GB"/>
        </w:rPr>
        <w:t xml:space="preserve">lengthy waiting times. The </w:t>
      </w:r>
      <w:proofErr w:type="spellStart"/>
      <w:r w:rsidRPr="00BC71D8">
        <w:rPr>
          <w:lang w:val="en-GB"/>
        </w:rPr>
        <w:t>Vaidam</w:t>
      </w:r>
      <w:proofErr w:type="spellEnd"/>
      <w:r w:rsidRPr="00BC71D8">
        <w:rPr>
          <w:lang w:val="en-GB"/>
        </w:rPr>
        <w:t xml:space="preserve"> team had </w:t>
      </w:r>
      <w:r w:rsidR="00F73F10">
        <w:rPr>
          <w:lang w:val="en-GB"/>
        </w:rPr>
        <w:t>collaborated</w:t>
      </w:r>
      <w:r w:rsidR="00D9793E" w:rsidRPr="00BC71D8">
        <w:rPr>
          <w:lang w:val="en-GB"/>
        </w:rPr>
        <w:t xml:space="preserve"> with </w:t>
      </w:r>
      <w:r w:rsidR="002B43BD" w:rsidRPr="00BC71D8">
        <w:rPr>
          <w:lang w:val="en-GB"/>
        </w:rPr>
        <w:t xml:space="preserve">ministries </w:t>
      </w:r>
      <w:r w:rsidR="00D9793E" w:rsidRPr="00BC71D8">
        <w:rPr>
          <w:lang w:val="en-GB"/>
        </w:rPr>
        <w:t xml:space="preserve">of </w:t>
      </w:r>
      <w:r w:rsidR="002B43BD" w:rsidRPr="00BC71D8">
        <w:rPr>
          <w:lang w:val="en-GB"/>
        </w:rPr>
        <w:t xml:space="preserve">health </w:t>
      </w:r>
      <w:r w:rsidRPr="00BC71D8">
        <w:rPr>
          <w:lang w:val="en-GB"/>
        </w:rPr>
        <w:t xml:space="preserve">in two countries </w:t>
      </w:r>
      <w:r w:rsidR="002B43BD" w:rsidRPr="00BC71D8">
        <w:rPr>
          <w:lang w:val="en-GB"/>
        </w:rPr>
        <w:t xml:space="preserve">to </w:t>
      </w:r>
      <w:r w:rsidRPr="00BC71D8">
        <w:rPr>
          <w:lang w:val="en-GB"/>
        </w:rPr>
        <w:t>assist the patients referred by the ministries.</w:t>
      </w:r>
      <w:r w:rsidR="00C06C22" w:rsidRPr="00BC71D8">
        <w:rPr>
          <w:lang w:val="en-GB"/>
        </w:rPr>
        <w:t xml:space="preserve"> </w:t>
      </w:r>
      <w:r w:rsidR="002B43BD" w:rsidRPr="00BC71D8">
        <w:rPr>
          <w:lang w:val="en-GB"/>
        </w:rPr>
        <w:t>Manish explained:</w:t>
      </w:r>
    </w:p>
    <w:p w14:paraId="62947D62" w14:textId="77777777" w:rsidR="002B43BD" w:rsidRPr="0044039B" w:rsidRDefault="002B43BD" w:rsidP="00B413AA">
      <w:pPr>
        <w:pStyle w:val="BodyTextMain"/>
        <w:rPr>
          <w:sz w:val="20"/>
          <w:lang w:val="en-GB"/>
        </w:rPr>
      </w:pPr>
    </w:p>
    <w:p w14:paraId="759AF9C8" w14:textId="267A7076" w:rsidR="002B43BD" w:rsidRPr="00BC71D8" w:rsidRDefault="00D810DE" w:rsidP="002B43BD">
      <w:pPr>
        <w:pStyle w:val="BodyTextMain"/>
        <w:ind w:left="720"/>
        <w:rPr>
          <w:lang w:val="en-GB"/>
        </w:rPr>
      </w:pPr>
      <w:r w:rsidRPr="00BC71D8">
        <w:rPr>
          <w:lang w:val="en-GB"/>
        </w:rPr>
        <w:t xml:space="preserve">Currently we are receiving patients referred through ministries of </w:t>
      </w:r>
      <w:r w:rsidR="002B43BD" w:rsidRPr="00BC71D8">
        <w:rPr>
          <w:lang w:val="en-GB"/>
        </w:rPr>
        <w:t>small-</w:t>
      </w:r>
      <w:r w:rsidRPr="00BC71D8">
        <w:rPr>
          <w:lang w:val="en-GB"/>
        </w:rPr>
        <w:t xml:space="preserve">population countries such as Fiji, which have well-developed </w:t>
      </w:r>
      <w:r w:rsidR="000B7F13">
        <w:rPr>
          <w:lang w:val="en-GB"/>
        </w:rPr>
        <w:t>health care</w:t>
      </w:r>
      <w:r w:rsidRPr="00BC71D8">
        <w:rPr>
          <w:lang w:val="en-GB"/>
        </w:rPr>
        <w:t xml:space="preserve"> system</w:t>
      </w:r>
      <w:r w:rsidR="002B43BD" w:rsidRPr="00BC71D8">
        <w:rPr>
          <w:lang w:val="en-GB"/>
        </w:rPr>
        <w:t>s,</w:t>
      </w:r>
      <w:r w:rsidRPr="00BC71D8">
        <w:rPr>
          <w:lang w:val="en-GB"/>
        </w:rPr>
        <w:t xml:space="preserve"> but the range of </w:t>
      </w:r>
      <w:r w:rsidR="000B7F13">
        <w:rPr>
          <w:lang w:val="en-GB"/>
        </w:rPr>
        <w:t>health care</w:t>
      </w:r>
      <w:r w:rsidRPr="00BC71D8">
        <w:rPr>
          <w:lang w:val="en-GB"/>
        </w:rPr>
        <w:t xml:space="preserve"> facilities is limited. On the other hand, ministries of countries like Ireland are funding treatment ab</w:t>
      </w:r>
      <w:r w:rsidR="00A57873" w:rsidRPr="00BC71D8">
        <w:rPr>
          <w:lang w:val="en-GB"/>
        </w:rPr>
        <w:t>r</w:t>
      </w:r>
      <w:r w:rsidRPr="00BC71D8">
        <w:rPr>
          <w:lang w:val="en-GB"/>
        </w:rPr>
        <w:t>o</w:t>
      </w:r>
      <w:r w:rsidR="00A57873" w:rsidRPr="00BC71D8">
        <w:rPr>
          <w:lang w:val="en-GB"/>
        </w:rPr>
        <w:t>a</w:t>
      </w:r>
      <w:r w:rsidRPr="00BC71D8">
        <w:rPr>
          <w:lang w:val="en-GB"/>
        </w:rPr>
        <w:t>d due to long waiting times</w:t>
      </w:r>
      <w:r w:rsidR="002B43BD" w:rsidRPr="00BC71D8">
        <w:rPr>
          <w:lang w:val="en-GB"/>
        </w:rPr>
        <w:t>.</w:t>
      </w:r>
    </w:p>
    <w:p w14:paraId="556D5E0C" w14:textId="77777777" w:rsidR="002B43BD" w:rsidRPr="0044039B" w:rsidRDefault="002B43BD" w:rsidP="00B413AA">
      <w:pPr>
        <w:pStyle w:val="BodyTextMain"/>
        <w:rPr>
          <w:sz w:val="20"/>
          <w:lang w:val="en-GB"/>
        </w:rPr>
      </w:pPr>
    </w:p>
    <w:p w14:paraId="5FBDDDE1" w14:textId="77777777" w:rsidR="00D810DE" w:rsidRPr="00BC71D8" w:rsidRDefault="00D810DE" w:rsidP="00B413AA">
      <w:pPr>
        <w:pStyle w:val="BodyTextMain"/>
        <w:rPr>
          <w:lang w:val="en-GB"/>
        </w:rPr>
      </w:pPr>
      <w:r w:rsidRPr="00BC71D8">
        <w:rPr>
          <w:lang w:val="en-GB"/>
        </w:rPr>
        <w:t xml:space="preserve">These patients </w:t>
      </w:r>
      <w:r w:rsidR="0082266F" w:rsidRPr="00BC71D8">
        <w:rPr>
          <w:lang w:val="en-GB"/>
        </w:rPr>
        <w:t xml:space="preserve">sought </w:t>
      </w:r>
      <w:r w:rsidRPr="00BC71D8">
        <w:rPr>
          <w:lang w:val="en-GB"/>
        </w:rPr>
        <w:t>complicated treatments for hip or knee replacement, cataract surgery</w:t>
      </w:r>
      <w:r w:rsidR="00D9793E" w:rsidRPr="00BC71D8">
        <w:rPr>
          <w:lang w:val="en-GB"/>
        </w:rPr>
        <w:t>,</w:t>
      </w:r>
      <w:r w:rsidRPr="00BC71D8">
        <w:rPr>
          <w:lang w:val="en-GB"/>
        </w:rPr>
        <w:t xml:space="preserve"> or other surgeries.</w:t>
      </w:r>
    </w:p>
    <w:p w14:paraId="11F5F3AE" w14:textId="77777777" w:rsidR="00D810DE" w:rsidRPr="0044039B" w:rsidRDefault="00D810DE" w:rsidP="00B413AA">
      <w:pPr>
        <w:pStyle w:val="BodyTextMain"/>
        <w:rPr>
          <w:sz w:val="20"/>
          <w:lang w:val="en-GB"/>
        </w:rPr>
      </w:pPr>
    </w:p>
    <w:p w14:paraId="2392261E" w14:textId="525E6402" w:rsidR="00D810DE" w:rsidRPr="00BC71D8" w:rsidRDefault="00D810DE" w:rsidP="00B413AA">
      <w:pPr>
        <w:pStyle w:val="BodyTextMain"/>
        <w:rPr>
          <w:lang w:val="en-GB"/>
        </w:rPr>
      </w:pPr>
      <w:r w:rsidRPr="00BC71D8">
        <w:rPr>
          <w:lang w:val="en-GB"/>
        </w:rPr>
        <w:t>Among the first few to enter the niche of</w:t>
      </w:r>
      <w:r w:rsidR="0082266F" w:rsidRPr="00BC71D8">
        <w:rPr>
          <w:lang w:val="en-GB"/>
        </w:rPr>
        <w:t xml:space="preserve"> online</w:t>
      </w:r>
      <w:r w:rsidRPr="00BC71D8">
        <w:rPr>
          <w:lang w:val="en-GB"/>
        </w:rPr>
        <w:t xml:space="preserve"> MVT </w:t>
      </w:r>
      <w:r w:rsidR="00B9099F" w:rsidRPr="00BC71D8">
        <w:rPr>
          <w:lang w:val="en-GB"/>
        </w:rPr>
        <w:t>facilitation</w:t>
      </w:r>
      <w:r w:rsidRPr="00BC71D8">
        <w:rPr>
          <w:lang w:val="en-GB"/>
        </w:rPr>
        <w:t xml:space="preserve">, the </w:t>
      </w:r>
      <w:proofErr w:type="spellStart"/>
      <w:r w:rsidRPr="00BC71D8">
        <w:rPr>
          <w:lang w:val="en-GB"/>
        </w:rPr>
        <w:t>Vaidam</w:t>
      </w:r>
      <w:proofErr w:type="spellEnd"/>
      <w:r w:rsidRPr="00BC71D8">
        <w:rPr>
          <w:lang w:val="en-GB"/>
        </w:rPr>
        <w:t xml:space="preserve"> team had focused on building a reputation of trust, care</w:t>
      </w:r>
      <w:r w:rsidR="00B9099F" w:rsidRPr="00BC71D8">
        <w:rPr>
          <w:lang w:val="en-GB"/>
        </w:rPr>
        <w:t>,</w:t>
      </w:r>
      <w:r w:rsidRPr="00BC71D8">
        <w:rPr>
          <w:lang w:val="en-GB"/>
        </w:rPr>
        <w:t xml:space="preserve"> and expertise during </w:t>
      </w:r>
      <w:r w:rsidR="00B9099F" w:rsidRPr="00BC71D8">
        <w:rPr>
          <w:lang w:val="en-GB"/>
        </w:rPr>
        <w:t xml:space="preserve">its </w:t>
      </w:r>
      <w:r w:rsidRPr="00BC71D8">
        <w:rPr>
          <w:lang w:val="en-GB"/>
        </w:rPr>
        <w:t xml:space="preserve">initial years. “We have adopted a ‘patient-centric’ business model, not just in facilitating the medical consultation and care but </w:t>
      </w:r>
      <w:r w:rsidR="00E96416" w:rsidRPr="00BC71D8">
        <w:rPr>
          <w:lang w:val="en-GB"/>
        </w:rPr>
        <w:t xml:space="preserve">also </w:t>
      </w:r>
      <w:r w:rsidRPr="00BC71D8">
        <w:rPr>
          <w:lang w:val="en-GB"/>
        </w:rPr>
        <w:t>in every process associated with their medical</w:t>
      </w:r>
      <w:r w:rsidR="00C06C22" w:rsidRPr="00BC71D8">
        <w:rPr>
          <w:lang w:val="en-GB"/>
        </w:rPr>
        <w:t xml:space="preserve"> </w:t>
      </w:r>
      <w:r w:rsidRPr="00BC71D8">
        <w:rPr>
          <w:lang w:val="en-GB"/>
        </w:rPr>
        <w:t>travel</w:t>
      </w:r>
      <w:r w:rsidR="00E96416" w:rsidRPr="00BC71D8">
        <w:rPr>
          <w:lang w:val="en-GB"/>
        </w:rPr>
        <w:t>,</w:t>
      </w:r>
      <w:r w:rsidRPr="00BC71D8">
        <w:rPr>
          <w:lang w:val="en-GB"/>
        </w:rPr>
        <w:t xml:space="preserve"> including air travel, ground transportation</w:t>
      </w:r>
      <w:r w:rsidR="001766B4">
        <w:rPr>
          <w:lang w:val="en-GB"/>
        </w:rPr>
        <w:t>,</w:t>
      </w:r>
      <w:r w:rsidRPr="00BC71D8">
        <w:rPr>
          <w:lang w:val="en-GB"/>
        </w:rPr>
        <w:t xml:space="preserve"> and accommodation</w:t>
      </w:r>
      <w:r w:rsidR="00B9099F" w:rsidRPr="00BC71D8">
        <w:rPr>
          <w:lang w:val="en-GB"/>
        </w:rPr>
        <w:t xml:space="preserve">,” </w:t>
      </w:r>
      <w:r w:rsidRPr="00BC71D8">
        <w:rPr>
          <w:lang w:val="en-GB"/>
        </w:rPr>
        <w:t xml:space="preserve">Pankaj said. </w:t>
      </w:r>
      <w:proofErr w:type="spellStart"/>
      <w:r w:rsidRPr="00BC71D8">
        <w:rPr>
          <w:lang w:val="en-GB"/>
        </w:rPr>
        <w:t>Vaidam</w:t>
      </w:r>
      <w:proofErr w:type="spellEnd"/>
      <w:r w:rsidRPr="00BC71D8">
        <w:rPr>
          <w:lang w:val="en-GB"/>
        </w:rPr>
        <w:t xml:space="preserve"> had created a strong network of accredited hospitals and boutique clinics. The company monetized the marketing of services </w:t>
      </w:r>
      <w:r w:rsidR="001A6B38" w:rsidRPr="00BC71D8">
        <w:rPr>
          <w:lang w:val="en-GB"/>
        </w:rPr>
        <w:t xml:space="preserve">offered </w:t>
      </w:r>
      <w:r w:rsidR="00E96416" w:rsidRPr="00BC71D8">
        <w:rPr>
          <w:lang w:val="en-GB"/>
        </w:rPr>
        <w:t xml:space="preserve">by </w:t>
      </w:r>
      <w:r w:rsidRPr="00BC71D8">
        <w:rPr>
          <w:lang w:val="en-GB"/>
        </w:rPr>
        <w:t xml:space="preserve">these </w:t>
      </w:r>
      <w:r w:rsidR="000B7F13">
        <w:rPr>
          <w:lang w:val="en-GB"/>
        </w:rPr>
        <w:t>health care</w:t>
      </w:r>
      <w:r w:rsidRPr="00BC71D8">
        <w:rPr>
          <w:lang w:val="en-GB"/>
        </w:rPr>
        <w:t xml:space="preserve"> institutions on </w:t>
      </w:r>
      <w:r w:rsidR="00E928C1" w:rsidRPr="00BC71D8">
        <w:rPr>
          <w:lang w:val="en-GB"/>
        </w:rPr>
        <w:t xml:space="preserve">its </w:t>
      </w:r>
      <w:r w:rsidRPr="00BC71D8">
        <w:rPr>
          <w:lang w:val="en-GB"/>
        </w:rPr>
        <w:t>websit</w:t>
      </w:r>
      <w:r w:rsidR="00A57873" w:rsidRPr="00BC71D8">
        <w:rPr>
          <w:lang w:val="en-GB"/>
        </w:rPr>
        <w:t>e</w:t>
      </w:r>
      <w:r w:rsidR="00B9099F" w:rsidRPr="00BC71D8">
        <w:rPr>
          <w:lang w:val="en-GB"/>
        </w:rPr>
        <w:t>, and t</w:t>
      </w:r>
      <w:r w:rsidR="00A57873" w:rsidRPr="00BC71D8">
        <w:rPr>
          <w:lang w:val="en-GB"/>
        </w:rPr>
        <w:t>hese institutions paid</w:t>
      </w:r>
      <w:r w:rsidRPr="00BC71D8">
        <w:rPr>
          <w:lang w:val="en-GB"/>
        </w:rPr>
        <w:t xml:space="preserve"> referral fees</w:t>
      </w:r>
      <w:r w:rsidR="00C06C22" w:rsidRPr="00BC71D8">
        <w:rPr>
          <w:lang w:val="en-GB"/>
        </w:rPr>
        <w:t xml:space="preserve"> </w:t>
      </w:r>
      <w:r w:rsidRPr="00BC71D8">
        <w:rPr>
          <w:lang w:val="en-GB"/>
        </w:rPr>
        <w:t>for each patient coming through the</w:t>
      </w:r>
      <w:r w:rsidR="00C06C22" w:rsidRPr="00BC71D8">
        <w:rPr>
          <w:lang w:val="en-GB"/>
        </w:rPr>
        <w:t xml:space="preserve"> </w:t>
      </w:r>
      <w:proofErr w:type="spellStart"/>
      <w:r w:rsidRPr="00BC71D8">
        <w:rPr>
          <w:lang w:val="en-GB"/>
        </w:rPr>
        <w:t>Vaidam</w:t>
      </w:r>
      <w:proofErr w:type="spellEnd"/>
      <w:r w:rsidR="00C06C22" w:rsidRPr="00BC71D8">
        <w:rPr>
          <w:lang w:val="en-GB"/>
        </w:rPr>
        <w:t xml:space="preserve"> </w:t>
      </w:r>
      <w:r w:rsidRPr="00BC71D8">
        <w:rPr>
          <w:lang w:val="en-GB"/>
        </w:rPr>
        <w:t xml:space="preserve">route. This fee was mostly a commission </w:t>
      </w:r>
      <w:r w:rsidR="00C24F88" w:rsidRPr="00BC71D8">
        <w:rPr>
          <w:lang w:val="en-GB"/>
        </w:rPr>
        <w:t>per</w:t>
      </w:r>
      <w:r w:rsidR="00390D38" w:rsidRPr="00BC71D8">
        <w:rPr>
          <w:lang w:val="en-GB"/>
        </w:rPr>
        <w:t>cent</w:t>
      </w:r>
      <w:r w:rsidRPr="00BC71D8">
        <w:rPr>
          <w:lang w:val="en-GB"/>
        </w:rPr>
        <w:t xml:space="preserve">age based on the package price of </w:t>
      </w:r>
      <w:r w:rsidR="00B9099F" w:rsidRPr="00BC71D8">
        <w:rPr>
          <w:lang w:val="en-GB"/>
        </w:rPr>
        <w:t xml:space="preserve">the </w:t>
      </w:r>
      <w:r w:rsidRPr="00BC71D8">
        <w:rPr>
          <w:lang w:val="en-GB"/>
        </w:rPr>
        <w:t>medical procedure.</w:t>
      </w:r>
      <w:r w:rsidR="00C06C22" w:rsidRPr="00BC71D8">
        <w:rPr>
          <w:lang w:val="en-GB"/>
        </w:rPr>
        <w:t xml:space="preserve"> </w:t>
      </w:r>
      <w:r w:rsidRPr="00BC71D8">
        <w:rPr>
          <w:lang w:val="en-GB"/>
        </w:rPr>
        <w:t xml:space="preserve">However, this fee was </w:t>
      </w:r>
      <w:r w:rsidR="00B9099F" w:rsidRPr="00BC71D8">
        <w:rPr>
          <w:lang w:val="en-GB"/>
        </w:rPr>
        <w:t xml:space="preserve">sometimes </w:t>
      </w:r>
      <w:r w:rsidRPr="00BC71D8">
        <w:rPr>
          <w:lang w:val="en-GB"/>
        </w:rPr>
        <w:t xml:space="preserve">charged from the hospitals on </w:t>
      </w:r>
      <w:r w:rsidR="00B9099F" w:rsidRPr="00BC71D8">
        <w:rPr>
          <w:lang w:val="en-GB"/>
        </w:rPr>
        <w:t xml:space="preserve">a </w:t>
      </w:r>
      <w:r w:rsidRPr="00BC71D8">
        <w:rPr>
          <w:lang w:val="en-GB"/>
        </w:rPr>
        <w:t xml:space="preserve">per-patient basis regardless of the cost of </w:t>
      </w:r>
      <w:r w:rsidR="001766B4">
        <w:rPr>
          <w:lang w:val="en-GB"/>
        </w:rPr>
        <w:t xml:space="preserve">the </w:t>
      </w:r>
      <w:r w:rsidRPr="00BC71D8">
        <w:rPr>
          <w:lang w:val="en-GB"/>
        </w:rPr>
        <w:t>procedure. “Our business model is such that we don’t charge from our patients</w:t>
      </w:r>
      <w:r w:rsidR="009819FA" w:rsidRPr="00BC71D8">
        <w:rPr>
          <w:lang w:val="en-GB"/>
        </w:rPr>
        <w:t>.</w:t>
      </w:r>
      <w:r w:rsidR="00C06C22" w:rsidRPr="00BC71D8">
        <w:rPr>
          <w:lang w:val="en-GB"/>
        </w:rPr>
        <w:t xml:space="preserve"> </w:t>
      </w:r>
      <w:r w:rsidR="009819FA" w:rsidRPr="00BC71D8">
        <w:rPr>
          <w:lang w:val="en-GB"/>
        </w:rPr>
        <w:t>O</w:t>
      </w:r>
      <w:r w:rsidRPr="00BC71D8">
        <w:rPr>
          <w:lang w:val="en-GB"/>
        </w:rPr>
        <w:t>nly in special cases</w:t>
      </w:r>
      <w:r w:rsidR="009819FA" w:rsidRPr="00BC71D8">
        <w:rPr>
          <w:lang w:val="en-GB"/>
        </w:rPr>
        <w:t>,</w:t>
      </w:r>
      <w:r w:rsidRPr="00BC71D8">
        <w:rPr>
          <w:lang w:val="en-GB"/>
        </w:rPr>
        <w:t xml:space="preserve"> when a patient requires a second opinion or need</w:t>
      </w:r>
      <w:r w:rsidR="00B9099F" w:rsidRPr="00BC71D8">
        <w:rPr>
          <w:lang w:val="en-GB"/>
        </w:rPr>
        <w:t>s</w:t>
      </w:r>
      <w:r w:rsidRPr="00BC71D8">
        <w:rPr>
          <w:lang w:val="en-GB"/>
        </w:rPr>
        <w:t xml:space="preserve"> additional services such as a full-time attendant, we charge a concierge fee,” Pankaj </w:t>
      </w:r>
      <w:r w:rsidR="00B9099F" w:rsidRPr="00BC71D8">
        <w:rPr>
          <w:lang w:val="en-GB"/>
        </w:rPr>
        <w:t>explained</w:t>
      </w:r>
      <w:r w:rsidRPr="00BC71D8">
        <w:rPr>
          <w:lang w:val="en-GB"/>
        </w:rPr>
        <w:t>. Apart from charging referral fee</w:t>
      </w:r>
      <w:r w:rsidR="00B9099F" w:rsidRPr="00BC71D8">
        <w:rPr>
          <w:lang w:val="en-GB"/>
        </w:rPr>
        <w:t>s</w:t>
      </w:r>
      <w:r w:rsidRPr="00BC71D8">
        <w:rPr>
          <w:lang w:val="en-GB"/>
        </w:rPr>
        <w:t xml:space="preserve"> from medical service providers, the company also </w:t>
      </w:r>
      <w:r w:rsidR="001766B4">
        <w:rPr>
          <w:lang w:val="en-GB"/>
        </w:rPr>
        <w:t>received</w:t>
      </w:r>
      <w:r w:rsidR="0082266F" w:rsidRPr="00BC71D8">
        <w:rPr>
          <w:lang w:val="en-GB"/>
        </w:rPr>
        <w:t xml:space="preserve"> </w:t>
      </w:r>
      <w:r w:rsidRPr="00BC71D8">
        <w:rPr>
          <w:lang w:val="en-GB"/>
        </w:rPr>
        <w:t>commissions from the partners offering lodging, ground transportation</w:t>
      </w:r>
      <w:r w:rsidR="00B9099F" w:rsidRPr="00BC71D8">
        <w:rPr>
          <w:lang w:val="en-GB"/>
        </w:rPr>
        <w:t>,</w:t>
      </w:r>
      <w:r w:rsidRPr="00BC71D8">
        <w:rPr>
          <w:lang w:val="en-GB"/>
        </w:rPr>
        <w:t xml:space="preserve"> and tour services</w:t>
      </w:r>
      <w:r w:rsidR="00B9099F" w:rsidRPr="00BC71D8">
        <w:rPr>
          <w:lang w:val="en-GB"/>
        </w:rPr>
        <w:t xml:space="preserve">. One of these was </w:t>
      </w:r>
      <w:r w:rsidRPr="00BC71D8">
        <w:rPr>
          <w:lang w:val="en-GB"/>
        </w:rPr>
        <w:t xml:space="preserve">OYO </w:t>
      </w:r>
      <w:r w:rsidR="001766B4">
        <w:rPr>
          <w:lang w:val="en-GB"/>
        </w:rPr>
        <w:t>R</w:t>
      </w:r>
      <w:r w:rsidRPr="00BC71D8">
        <w:rPr>
          <w:lang w:val="en-GB"/>
        </w:rPr>
        <w:t>ooms</w:t>
      </w:r>
      <w:r w:rsidR="00B9099F" w:rsidRPr="00BC71D8">
        <w:rPr>
          <w:lang w:val="en-GB"/>
        </w:rPr>
        <w:t xml:space="preserve">, </w:t>
      </w:r>
      <w:r w:rsidRPr="00BC71D8">
        <w:rPr>
          <w:lang w:val="en-GB"/>
        </w:rPr>
        <w:t xml:space="preserve">a budget hotel network in India. “Our partnership with </w:t>
      </w:r>
      <w:r w:rsidR="001766B4">
        <w:rPr>
          <w:lang w:val="en-GB"/>
        </w:rPr>
        <w:t>OYO Rooms</w:t>
      </w:r>
      <w:r w:rsidRPr="00BC71D8">
        <w:rPr>
          <w:lang w:val="en-GB"/>
        </w:rPr>
        <w:t>, one of the largest hospitality companies in the country</w:t>
      </w:r>
      <w:r w:rsidR="00B9099F" w:rsidRPr="00BC71D8">
        <w:rPr>
          <w:lang w:val="en-GB"/>
        </w:rPr>
        <w:t>,</w:t>
      </w:r>
      <w:r w:rsidRPr="00BC71D8">
        <w:rPr>
          <w:lang w:val="en-GB"/>
        </w:rPr>
        <w:t xml:space="preserve"> has allowed us to extend standardized and affordable accommodation to our </w:t>
      </w:r>
      <w:r w:rsidR="0045759A" w:rsidRPr="00BC71D8">
        <w:rPr>
          <w:lang w:val="en-GB"/>
        </w:rPr>
        <w:t>traveller</w:t>
      </w:r>
      <w:r w:rsidRPr="00BC71D8">
        <w:rPr>
          <w:lang w:val="en-GB"/>
        </w:rPr>
        <w:t>s. In lieu, we earn commission whenever a user makes a</w:t>
      </w:r>
      <w:r w:rsidR="00B9099F" w:rsidRPr="00BC71D8">
        <w:rPr>
          <w:lang w:val="en-GB"/>
        </w:rPr>
        <w:t>n</w:t>
      </w:r>
      <w:r w:rsidRPr="00BC71D8">
        <w:rPr>
          <w:lang w:val="en-GB"/>
        </w:rPr>
        <w:t xml:space="preserve"> OYO hotel booking through </w:t>
      </w:r>
      <w:proofErr w:type="spellStart"/>
      <w:r w:rsidRPr="00BC71D8">
        <w:rPr>
          <w:lang w:val="en-GB"/>
        </w:rPr>
        <w:t>Vaidam’s</w:t>
      </w:r>
      <w:proofErr w:type="spellEnd"/>
      <w:r w:rsidRPr="00BC71D8">
        <w:rPr>
          <w:lang w:val="en-GB"/>
        </w:rPr>
        <w:t xml:space="preserve"> tracking link,” Manish explained.</w:t>
      </w:r>
    </w:p>
    <w:p w14:paraId="38CD0073" w14:textId="77777777" w:rsidR="00D810DE" w:rsidRPr="0044039B" w:rsidRDefault="00D810DE" w:rsidP="00D810DE">
      <w:pPr>
        <w:jc w:val="both"/>
        <w:rPr>
          <w:szCs w:val="22"/>
          <w:lang w:val="en-GB"/>
        </w:rPr>
      </w:pPr>
    </w:p>
    <w:p w14:paraId="2B97146B" w14:textId="77777777" w:rsidR="00D810DE" w:rsidRPr="0044039B" w:rsidRDefault="00D810DE" w:rsidP="00D810DE">
      <w:pPr>
        <w:jc w:val="both"/>
        <w:rPr>
          <w:szCs w:val="22"/>
          <w:lang w:val="en-GB"/>
        </w:rPr>
      </w:pPr>
    </w:p>
    <w:p w14:paraId="5DF72223" w14:textId="77777777" w:rsidR="00D810DE" w:rsidRPr="00BC71D8" w:rsidRDefault="00D810DE" w:rsidP="00B413AA">
      <w:pPr>
        <w:pStyle w:val="Casehead1"/>
        <w:rPr>
          <w:lang w:val="en-GB"/>
        </w:rPr>
      </w:pPr>
      <w:r w:rsidRPr="00BC71D8">
        <w:rPr>
          <w:lang w:val="en-GB"/>
        </w:rPr>
        <w:t>VAIDAM’S VALUE CHAIN</w:t>
      </w:r>
    </w:p>
    <w:p w14:paraId="6CE58DAD" w14:textId="77777777" w:rsidR="00D810DE" w:rsidRPr="0044039B" w:rsidRDefault="00D810DE" w:rsidP="00D810DE">
      <w:pPr>
        <w:jc w:val="both"/>
        <w:rPr>
          <w:sz w:val="18"/>
          <w:szCs w:val="22"/>
          <w:lang w:val="en-GB"/>
        </w:rPr>
      </w:pPr>
    </w:p>
    <w:p w14:paraId="3D791471" w14:textId="17D00567" w:rsidR="00D810DE" w:rsidRPr="00BC71D8" w:rsidRDefault="00B9099F" w:rsidP="00B413AA">
      <w:pPr>
        <w:pStyle w:val="BodyTextMain"/>
        <w:rPr>
          <w:lang w:val="en-GB"/>
        </w:rPr>
      </w:pPr>
      <w:proofErr w:type="spellStart"/>
      <w:r w:rsidRPr="00BC71D8">
        <w:rPr>
          <w:lang w:val="en-GB"/>
        </w:rPr>
        <w:t>Vaidam’s</w:t>
      </w:r>
      <w:proofErr w:type="spellEnd"/>
      <w:r w:rsidRPr="00BC71D8">
        <w:rPr>
          <w:lang w:val="en-GB"/>
        </w:rPr>
        <w:t xml:space="preserve"> </w:t>
      </w:r>
      <w:r w:rsidR="00D810DE" w:rsidRPr="00BC71D8">
        <w:rPr>
          <w:lang w:val="en-GB"/>
        </w:rPr>
        <w:t xml:space="preserve">value chain was divided into </w:t>
      </w:r>
      <w:r w:rsidR="009819FA" w:rsidRPr="00BC71D8">
        <w:rPr>
          <w:lang w:val="en-GB"/>
        </w:rPr>
        <w:t xml:space="preserve">three </w:t>
      </w:r>
      <w:r w:rsidR="00D810DE" w:rsidRPr="00BC71D8">
        <w:rPr>
          <w:lang w:val="en-GB"/>
        </w:rPr>
        <w:t>stages</w:t>
      </w:r>
      <w:r w:rsidRPr="00BC71D8">
        <w:rPr>
          <w:lang w:val="en-GB"/>
        </w:rPr>
        <w:t xml:space="preserve"> that corresponded to the series of activities involved in MVT</w:t>
      </w:r>
      <w:r w:rsidR="00D810DE" w:rsidRPr="00BC71D8">
        <w:rPr>
          <w:lang w:val="en-GB"/>
        </w:rPr>
        <w:t>:</w:t>
      </w:r>
      <w:r w:rsidR="00BC71D8">
        <w:rPr>
          <w:lang w:val="en-GB"/>
        </w:rPr>
        <w:t xml:space="preserve"> </w:t>
      </w:r>
      <w:r w:rsidRPr="00BC71D8">
        <w:rPr>
          <w:lang w:val="en-GB"/>
        </w:rPr>
        <w:t>pre</w:t>
      </w:r>
      <w:r w:rsidR="00D810DE" w:rsidRPr="00BC71D8">
        <w:rPr>
          <w:lang w:val="en-GB"/>
        </w:rPr>
        <w:t xml:space="preserve">-procedure, </w:t>
      </w:r>
      <w:r w:rsidRPr="00BC71D8">
        <w:rPr>
          <w:lang w:val="en-GB"/>
        </w:rPr>
        <w:t>procedure</w:t>
      </w:r>
      <w:r w:rsidR="00863FB8">
        <w:rPr>
          <w:lang w:val="en-GB"/>
        </w:rPr>
        <w:t>,</w:t>
      </w:r>
      <w:r w:rsidRPr="00BC71D8">
        <w:rPr>
          <w:lang w:val="en-GB"/>
        </w:rPr>
        <w:t xml:space="preserve"> </w:t>
      </w:r>
      <w:r w:rsidR="00D810DE" w:rsidRPr="00BC71D8">
        <w:rPr>
          <w:lang w:val="en-GB"/>
        </w:rPr>
        <w:t xml:space="preserve">and </w:t>
      </w:r>
      <w:r w:rsidRPr="00BC71D8">
        <w:rPr>
          <w:lang w:val="en-GB"/>
        </w:rPr>
        <w:t>post</w:t>
      </w:r>
      <w:r w:rsidR="00D810DE" w:rsidRPr="00BC71D8">
        <w:rPr>
          <w:lang w:val="en-GB"/>
        </w:rPr>
        <w:t>-</w:t>
      </w:r>
      <w:r w:rsidRPr="00BC71D8">
        <w:rPr>
          <w:lang w:val="en-GB"/>
        </w:rPr>
        <w:t>procedure</w:t>
      </w:r>
      <w:r w:rsidR="00D810DE" w:rsidRPr="00BC71D8">
        <w:rPr>
          <w:lang w:val="en-GB"/>
        </w:rPr>
        <w:t>.</w:t>
      </w:r>
    </w:p>
    <w:p w14:paraId="691210C9" w14:textId="77777777" w:rsidR="00D810DE" w:rsidRPr="0044039B" w:rsidRDefault="00D810DE" w:rsidP="00D810DE">
      <w:pPr>
        <w:jc w:val="both"/>
        <w:rPr>
          <w:sz w:val="18"/>
          <w:szCs w:val="22"/>
          <w:lang w:val="en-GB"/>
        </w:rPr>
      </w:pPr>
    </w:p>
    <w:p w14:paraId="6C0B2FCE" w14:textId="77777777" w:rsidR="00911EC7" w:rsidRPr="0044039B" w:rsidRDefault="00911EC7" w:rsidP="00D810DE">
      <w:pPr>
        <w:jc w:val="both"/>
        <w:rPr>
          <w:sz w:val="18"/>
          <w:szCs w:val="22"/>
          <w:lang w:val="en-GB"/>
        </w:rPr>
      </w:pPr>
    </w:p>
    <w:p w14:paraId="20EE8235" w14:textId="226BF2FF" w:rsidR="00D810DE" w:rsidRPr="00BC71D8" w:rsidRDefault="00AF6690" w:rsidP="00B413AA">
      <w:pPr>
        <w:pStyle w:val="Casehead2"/>
        <w:rPr>
          <w:lang w:val="en-GB"/>
        </w:rPr>
      </w:pPr>
      <w:r w:rsidRPr="00BC71D8">
        <w:rPr>
          <w:lang w:val="en-GB"/>
        </w:rPr>
        <w:t>Pre-</w:t>
      </w:r>
      <w:r w:rsidR="00863FB8">
        <w:rPr>
          <w:lang w:val="en-GB"/>
        </w:rPr>
        <w:t>p</w:t>
      </w:r>
      <w:r w:rsidRPr="00BC71D8">
        <w:rPr>
          <w:lang w:val="en-GB"/>
        </w:rPr>
        <w:t>rocedure S</w:t>
      </w:r>
      <w:r w:rsidR="00D810DE" w:rsidRPr="00BC71D8">
        <w:rPr>
          <w:lang w:val="en-GB"/>
        </w:rPr>
        <w:t>tage</w:t>
      </w:r>
    </w:p>
    <w:p w14:paraId="7905E6AB" w14:textId="77777777" w:rsidR="00D810DE" w:rsidRPr="0044039B" w:rsidRDefault="00D810DE" w:rsidP="00D810DE">
      <w:pPr>
        <w:jc w:val="both"/>
        <w:rPr>
          <w:sz w:val="18"/>
          <w:szCs w:val="22"/>
          <w:lang w:val="en-GB"/>
        </w:rPr>
      </w:pPr>
    </w:p>
    <w:p w14:paraId="726F2FE5" w14:textId="72FF24A3" w:rsidR="00B9099F" w:rsidRPr="00BC71D8" w:rsidRDefault="00D810DE" w:rsidP="00B413AA">
      <w:pPr>
        <w:pStyle w:val="BodyTextMain"/>
        <w:rPr>
          <w:lang w:val="en-GB"/>
        </w:rPr>
      </w:pPr>
      <w:r w:rsidRPr="00BC71D8">
        <w:rPr>
          <w:lang w:val="en-GB"/>
        </w:rPr>
        <w:t>At this stage, individual patient queries received through different business channels</w:t>
      </w:r>
      <w:r w:rsidR="00C06C22" w:rsidRPr="00BC71D8">
        <w:rPr>
          <w:lang w:val="en-GB"/>
        </w:rPr>
        <w:t xml:space="preserve"> </w:t>
      </w:r>
      <w:r w:rsidRPr="00BC71D8">
        <w:rPr>
          <w:lang w:val="en-GB"/>
        </w:rPr>
        <w:t>(online, referrals</w:t>
      </w:r>
      <w:r w:rsidR="00B9099F" w:rsidRPr="00BC71D8">
        <w:rPr>
          <w:lang w:val="en-GB"/>
        </w:rPr>
        <w:t>,</w:t>
      </w:r>
      <w:r w:rsidRPr="00BC71D8">
        <w:rPr>
          <w:lang w:val="en-GB"/>
        </w:rPr>
        <w:t xml:space="preserve"> and insurance companies</w:t>
      </w:r>
      <w:r w:rsidR="00AF6690" w:rsidRPr="00BC71D8">
        <w:rPr>
          <w:lang w:val="en-GB"/>
        </w:rPr>
        <w:t xml:space="preserve">) were attended by the </w:t>
      </w:r>
      <w:r w:rsidR="00B9099F" w:rsidRPr="00BC71D8">
        <w:rPr>
          <w:lang w:val="en-GB"/>
        </w:rPr>
        <w:t xml:space="preserve">patient relation </w:t>
      </w:r>
      <w:r w:rsidRPr="00BC71D8">
        <w:rPr>
          <w:lang w:val="en-GB"/>
        </w:rPr>
        <w:t xml:space="preserve">team at </w:t>
      </w:r>
      <w:proofErr w:type="spellStart"/>
      <w:r w:rsidRPr="00BC71D8">
        <w:rPr>
          <w:lang w:val="en-GB"/>
        </w:rPr>
        <w:t>Vaidam</w:t>
      </w:r>
      <w:proofErr w:type="spellEnd"/>
      <w:r w:rsidR="00B9099F" w:rsidRPr="00BC71D8">
        <w:rPr>
          <w:lang w:val="en-GB"/>
        </w:rPr>
        <w:t>, who</w:t>
      </w:r>
      <w:r w:rsidRPr="00BC71D8">
        <w:rPr>
          <w:lang w:val="en-GB"/>
        </w:rPr>
        <w:t xml:space="preserve"> facilitate</w:t>
      </w:r>
      <w:r w:rsidR="00B9099F" w:rsidRPr="00BC71D8">
        <w:rPr>
          <w:lang w:val="en-GB"/>
        </w:rPr>
        <w:t>d</w:t>
      </w:r>
      <w:r w:rsidRPr="00BC71D8">
        <w:rPr>
          <w:lang w:val="en-GB"/>
        </w:rPr>
        <w:t xml:space="preserve"> the patient</w:t>
      </w:r>
      <w:r w:rsidR="00C06C22" w:rsidRPr="00BC71D8">
        <w:rPr>
          <w:lang w:val="en-GB"/>
        </w:rPr>
        <w:t xml:space="preserve">’s choice of </w:t>
      </w:r>
      <w:r w:rsidRPr="00BC71D8">
        <w:rPr>
          <w:lang w:val="en-GB"/>
        </w:rPr>
        <w:t>hospital, doctor</w:t>
      </w:r>
      <w:r w:rsidR="00681CF3" w:rsidRPr="00BC71D8">
        <w:rPr>
          <w:lang w:val="en-GB"/>
        </w:rPr>
        <w:t>,</w:t>
      </w:r>
      <w:r w:rsidRPr="00BC71D8">
        <w:rPr>
          <w:lang w:val="en-GB"/>
        </w:rPr>
        <w:t xml:space="preserve"> and medical procedure. This team,</w:t>
      </w:r>
      <w:r w:rsidR="00C06C22" w:rsidRPr="00BC71D8">
        <w:rPr>
          <w:lang w:val="en-GB"/>
        </w:rPr>
        <w:t xml:space="preserve"> </w:t>
      </w:r>
      <w:r w:rsidR="00863FB8">
        <w:rPr>
          <w:lang w:val="en-GB"/>
        </w:rPr>
        <w:t>composed of</w:t>
      </w:r>
      <w:r w:rsidRPr="00BC71D8">
        <w:rPr>
          <w:lang w:val="en-GB"/>
        </w:rPr>
        <w:t xml:space="preserve"> </w:t>
      </w:r>
      <w:r w:rsidR="000B7F13">
        <w:rPr>
          <w:lang w:val="en-GB"/>
        </w:rPr>
        <w:t>health care</w:t>
      </w:r>
      <w:r w:rsidRPr="00BC71D8">
        <w:rPr>
          <w:lang w:val="en-GB"/>
        </w:rPr>
        <w:t xml:space="preserve"> professionals,</w:t>
      </w:r>
      <w:r w:rsidR="00C06C22" w:rsidRPr="00BC71D8">
        <w:rPr>
          <w:lang w:val="en-GB"/>
        </w:rPr>
        <w:t xml:space="preserve"> </w:t>
      </w:r>
      <w:r w:rsidRPr="00BC71D8">
        <w:rPr>
          <w:lang w:val="en-GB"/>
        </w:rPr>
        <w:t>helped in compil</w:t>
      </w:r>
      <w:r w:rsidR="00B9099F" w:rsidRPr="00BC71D8">
        <w:rPr>
          <w:lang w:val="en-GB"/>
        </w:rPr>
        <w:t>ing</w:t>
      </w:r>
      <w:r w:rsidRPr="00BC71D8">
        <w:rPr>
          <w:lang w:val="en-GB"/>
        </w:rPr>
        <w:t xml:space="preserve"> patient</w:t>
      </w:r>
      <w:r w:rsidR="00B9099F" w:rsidRPr="00BC71D8">
        <w:rPr>
          <w:lang w:val="en-GB"/>
        </w:rPr>
        <w:t>s</w:t>
      </w:r>
      <w:r w:rsidRPr="00BC71D8">
        <w:rPr>
          <w:lang w:val="en-GB"/>
        </w:rPr>
        <w:t>’ medical reports,</w:t>
      </w:r>
      <w:r w:rsidR="00C06C22" w:rsidRPr="00BC71D8">
        <w:rPr>
          <w:lang w:val="en-GB"/>
        </w:rPr>
        <w:t xml:space="preserve"> </w:t>
      </w:r>
      <w:r w:rsidRPr="00BC71D8">
        <w:rPr>
          <w:lang w:val="en-GB"/>
        </w:rPr>
        <w:t>which were</w:t>
      </w:r>
      <w:r w:rsidR="00C06C22" w:rsidRPr="00BC71D8">
        <w:rPr>
          <w:lang w:val="en-GB"/>
        </w:rPr>
        <w:t xml:space="preserve"> </w:t>
      </w:r>
      <w:r w:rsidRPr="00BC71D8">
        <w:rPr>
          <w:lang w:val="en-GB"/>
        </w:rPr>
        <w:t>shared with the</w:t>
      </w:r>
      <w:r w:rsidR="00C06C22" w:rsidRPr="00BC71D8">
        <w:rPr>
          <w:lang w:val="en-GB"/>
        </w:rPr>
        <w:t xml:space="preserve"> </w:t>
      </w:r>
      <w:r w:rsidR="005671AB" w:rsidRPr="00BC71D8">
        <w:rPr>
          <w:lang w:val="en-GB"/>
        </w:rPr>
        <w:t>empanelled</w:t>
      </w:r>
      <w:r w:rsidR="00681CF3" w:rsidRPr="00BC71D8">
        <w:rPr>
          <w:lang w:val="en-GB"/>
        </w:rPr>
        <w:t xml:space="preserve"> hospitals and </w:t>
      </w:r>
      <w:r w:rsidRPr="00BC71D8">
        <w:rPr>
          <w:lang w:val="en-GB"/>
        </w:rPr>
        <w:t>doctors. The team offered</w:t>
      </w:r>
      <w:r w:rsidR="00C06C22" w:rsidRPr="00BC71D8">
        <w:rPr>
          <w:lang w:val="en-GB"/>
        </w:rPr>
        <w:t xml:space="preserve"> </w:t>
      </w:r>
      <w:r w:rsidRPr="00BC71D8">
        <w:rPr>
          <w:lang w:val="en-GB"/>
        </w:rPr>
        <w:t>at least three</w:t>
      </w:r>
      <w:r w:rsidR="00C06C22" w:rsidRPr="00BC71D8">
        <w:rPr>
          <w:lang w:val="en-GB"/>
        </w:rPr>
        <w:t xml:space="preserve"> </w:t>
      </w:r>
      <w:r w:rsidRPr="00BC71D8">
        <w:rPr>
          <w:lang w:val="en-GB"/>
        </w:rPr>
        <w:t>personalized treatment plan options for each query</w:t>
      </w:r>
      <w:r w:rsidR="00B9099F" w:rsidRPr="00BC71D8">
        <w:rPr>
          <w:lang w:val="en-GB"/>
        </w:rPr>
        <w:t>,</w:t>
      </w:r>
      <w:r w:rsidRPr="00BC71D8">
        <w:rPr>
          <w:lang w:val="en-GB"/>
        </w:rPr>
        <w:t xml:space="preserve"> based on </w:t>
      </w:r>
      <w:r w:rsidR="00B9099F" w:rsidRPr="00BC71D8">
        <w:rPr>
          <w:lang w:val="en-GB"/>
        </w:rPr>
        <w:t xml:space="preserve">each </w:t>
      </w:r>
      <w:r w:rsidRPr="00BC71D8">
        <w:rPr>
          <w:lang w:val="en-GB"/>
        </w:rPr>
        <w:t xml:space="preserve">patient’s treatment budget. </w:t>
      </w:r>
      <w:r w:rsidR="00B9099F" w:rsidRPr="00BC71D8">
        <w:rPr>
          <w:lang w:val="en-GB"/>
        </w:rPr>
        <w:t>Pankaj explained:</w:t>
      </w:r>
    </w:p>
    <w:p w14:paraId="2E8D551C" w14:textId="77777777" w:rsidR="00B9099F" w:rsidRPr="0044039B" w:rsidRDefault="00B9099F" w:rsidP="00B413AA">
      <w:pPr>
        <w:pStyle w:val="BodyTextMain"/>
        <w:rPr>
          <w:sz w:val="20"/>
          <w:lang w:val="en-GB"/>
        </w:rPr>
      </w:pPr>
    </w:p>
    <w:p w14:paraId="7F06E2D1" w14:textId="0843C936" w:rsidR="00B9099F" w:rsidRPr="00BC71D8" w:rsidRDefault="00D810DE" w:rsidP="00B9099F">
      <w:pPr>
        <w:pStyle w:val="BodyTextMain"/>
        <w:ind w:left="720"/>
        <w:rPr>
          <w:lang w:val="en-GB"/>
        </w:rPr>
      </w:pPr>
      <w:r w:rsidRPr="00BC71D8">
        <w:rPr>
          <w:lang w:val="en-GB"/>
        </w:rPr>
        <w:t>The cost of treatment varies widely across hospital</w:t>
      </w:r>
      <w:r w:rsidR="00B9099F" w:rsidRPr="00BC71D8">
        <w:rPr>
          <w:lang w:val="en-GB"/>
        </w:rPr>
        <w:t>s</w:t>
      </w:r>
      <w:r w:rsidRPr="00BC71D8">
        <w:rPr>
          <w:lang w:val="en-GB"/>
        </w:rPr>
        <w:t xml:space="preserve"> and cities. The average quote for a single </w:t>
      </w:r>
      <w:r w:rsidR="00681CF3" w:rsidRPr="00BC71D8">
        <w:rPr>
          <w:lang w:val="en-GB"/>
        </w:rPr>
        <w:t xml:space="preserve">knee replacement surgery is </w:t>
      </w:r>
      <w:r w:rsidR="00B9099F" w:rsidRPr="00BC71D8">
        <w:rPr>
          <w:lang w:val="en-GB"/>
        </w:rPr>
        <w:t>$</w:t>
      </w:r>
      <w:r w:rsidRPr="00BC71D8">
        <w:rPr>
          <w:lang w:val="en-GB"/>
        </w:rPr>
        <w:t>5,000. However, the budget of one of our</w:t>
      </w:r>
      <w:r w:rsidR="00C06C22" w:rsidRPr="00BC71D8">
        <w:rPr>
          <w:lang w:val="en-GB"/>
        </w:rPr>
        <w:t xml:space="preserve"> </w:t>
      </w:r>
      <w:r w:rsidR="00681CF3" w:rsidRPr="00BC71D8">
        <w:rPr>
          <w:lang w:val="en-GB"/>
        </w:rPr>
        <w:t xml:space="preserve">patients from Nigeria was </w:t>
      </w:r>
      <w:r w:rsidR="00B9099F" w:rsidRPr="00BC71D8">
        <w:rPr>
          <w:lang w:val="en-GB"/>
        </w:rPr>
        <w:t>$</w:t>
      </w:r>
      <w:r w:rsidRPr="00BC71D8">
        <w:rPr>
          <w:lang w:val="en-GB"/>
        </w:rPr>
        <w:t xml:space="preserve">3,500. Our case manager researched and negotiated </w:t>
      </w:r>
      <w:r w:rsidR="00105216" w:rsidRPr="00BC71D8">
        <w:rPr>
          <w:lang w:val="en-GB"/>
        </w:rPr>
        <w:t xml:space="preserve">the </w:t>
      </w:r>
      <w:r w:rsidRPr="00BC71D8">
        <w:rPr>
          <w:lang w:val="en-GB"/>
        </w:rPr>
        <w:t xml:space="preserve">price with the </w:t>
      </w:r>
      <w:r w:rsidR="005671AB" w:rsidRPr="00BC71D8">
        <w:rPr>
          <w:lang w:val="en-GB"/>
        </w:rPr>
        <w:t>empanelled</w:t>
      </w:r>
      <w:r w:rsidRPr="00BC71D8">
        <w:rPr>
          <w:lang w:val="en-GB"/>
        </w:rPr>
        <w:t xml:space="preserve"> hospitals and eventually found a quality treatment within the patient’s budget</w:t>
      </w:r>
      <w:r w:rsidR="00B9099F" w:rsidRPr="00BC71D8">
        <w:rPr>
          <w:lang w:val="en-GB"/>
        </w:rPr>
        <w:t>.</w:t>
      </w:r>
    </w:p>
    <w:p w14:paraId="46386F5A" w14:textId="77777777" w:rsidR="00B9099F" w:rsidRPr="0044039B" w:rsidRDefault="00B9099F" w:rsidP="00B413AA">
      <w:pPr>
        <w:pStyle w:val="BodyTextMain"/>
        <w:rPr>
          <w:sz w:val="20"/>
          <w:lang w:val="en-GB"/>
        </w:rPr>
      </w:pPr>
    </w:p>
    <w:p w14:paraId="7E149A3F" w14:textId="06192902" w:rsidR="00B9099F" w:rsidRPr="00BC71D8" w:rsidRDefault="00D810DE" w:rsidP="00B413AA">
      <w:pPr>
        <w:pStyle w:val="BodyTextMain"/>
        <w:rPr>
          <w:lang w:val="en-GB"/>
        </w:rPr>
      </w:pPr>
      <w:r w:rsidRPr="0044039B">
        <w:rPr>
          <w:spacing w:val="-4"/>
          <w:lang w:val="en-GB"/>
        </w:rPr>
        <w:lastRenderedPageBreak/>
        <w:t xml:space="preserve">Live consultations with doctors and </w:t>
      </w:r>
      <w:r w:rsidR="002955E2" w:rsidRPr="0044039B">
        <w:rPr>
          <w:spacing w:val="-4"/>
          <w:lang w:val="en-GB"/>
        </w:rPr>
        <w:t xml:space="preserve">sharing the </w:t>
      </w:r>
      <w:r w:rsidRPr="0044039B">
        <w:rPr>
          <w:spacing w:val="-4"/>
          <w:lang w:val="en-GB"/>
        </w:rPr>
        <w:t>experience</w:t>
      </w:r>
      <w:r w:rsidR="002955E2" w:rsidRPr="0044039B">
        <w:rPr>
          <w:spacing w:val="-4"/>
          <w:lang w:val="en-GB"/>
        </w:rPr>
        <w:t>s</w:t>
      </w:r>
      <w:r w:rsidR="00A97435" w:rsidRPr="0044039B">
        <w:rPr>
          <w:spacing w:val="-4"/>
          <w:lang w:val="en-GB"/>
        </w:rPr>
        <w:t xml:space="preserve"> </w:t>
      </w:r>
      <w:r w:rsidR="002955E2" w:rsidRPr="0044039B">
        <w:rPr>
          <w:spacing w:val="-4"/>
          <w:lang w:val="en-GB"/>
        </w:rPr>
        <w:t>of</w:t>
      </w:r>
      <w:r w:rsidRPr="0044039B">
        <w:rPr>
          <w:spacing w:val="-4"/>
          <w:lang w:val="en-GB"/>
        </w:rPr>
        <w:t xml:space="preserve"> previous patients was also facilitated by the team. The team also assisted the patient</w:t>
      </w:r>
      <w:r w:rsidR="0069776A" w:rsidRPr="0044039B">
        <w:rPr>
          <w:spacing w:val="-4"/>
          <w:lang w:val="en-GB"/>
        </w:rPr>
        <w:t>s</w:t>
      </w:r>
      <w:r w:rsidRPr="0044039B">
        <w:rPr>
          <w:spacing w:val="-4"/>
          <w:lang w:val="en-GB"/>
        </w:rPr>
        <w:t xml:space="preserve"> in </w:t>
      </w:r>
      <w:r w:rsidR="00B9099F" w:rsidRPr="0044039B">
        <w:rPr>
          <w:spacing w:val="-4"/>
          <w:lang w:val="en-GB"/>
        </w:rPr>
        <w:t xml:space="preserve">processing their </w:t>
      </w:r>
      <w:r w:rsidRPr="0044039B">
        <w:rPr>
          <w:spacing w:val="-4"/>
          <w:lang w:val="en-GB"/>
        </w:rPr>
        <w:t>visa</w:t>
      </w:r>
      <w:r w:rsidR="00B9099F" w:rsidRPr="0044039B">
        <w:rPr>
          <w:spacing w:val="-4"/>
          <w:lang w:val="en-GB"/>
        </w:rPr>
        <w:t>s</w:t>
      </w:r>
      <w:r w:rsidRPr="0044039B">
        <w:rPr>
          <w:spacing w:val="-4"/>
          <w:lang w:val="en-GB"/>
        </w:rPr>
        <w:t xml:space="preserve"> and</w:t>
      </w:r>
      <w:r w:rsidR="00C06C22" w:rsidRPr="0044039B">
        <w:rPr>
          <w:spacing w:val="-4"/>
          <w:lang w:val="en-GB"/>
        </w:rPr>
        <w:t xml:space="preserve"> </w:t>
      </w:r>
      <w:r w:rsidRPr="0044039B">
        <w:rPr>
          <w:spacing w:val="-4"/>
          <w:lang w:val="en-GB"/>
        </w:rPr>
        <w:t xml:space="preserve">planning their air travel. </w:t>
      </w:r>
      <w:r w:rsidR="00B9099F" w:rsidRPr="0044039B">
        <w:rPr>
          <w:spacing w:val="-4"/>
          <w:lang w:val="en-GB"/>
        </w:rPr>
        <w:t>As Pankaj explained</w:t>
      </w:r>
      <w:r w:rsidR="00B9099F" w:rsidRPr="00BC71D8">
        <w:rPr>
          <w:lang w:val="en-GB"/>
        </w:rPr>
        <w:t xml:space="preserve">, </w:t>
      </w:r>
    </w:p>
    <w:p w14:paraId="776E58D2" w14:textId="77777777" w:rsidR="00B9099F" w:rsidRPr="00BC71D8" w:rsidRDefault="00B9099F" w:rsidP="00B413AA">
      <w:pPr>
        <w:pStyle w:val="BodyTextMain"/>
        <w:rPr>
          <w:lang w:val="en-GB"/>
        </w:rPr>
      </w:pPr>
    </w:p>
    <w:p w14:paraId="5F526CE5" w14:textId="77777777" w:rsidR="00D810DE" w:rsidRPr="00BC71D8" w:rsidRDefault="00B9099F" w:rsidP="00B9099F">
      <w:pPr>
        <w:pStyle w:val="BodyTextMain"/>
        <w:ind w:left="720"/>
        <w:rPr>
          <w:lang w:val="en-GB"/>
        </w:rPr>
      </w:pPr>
      <w:r w:rsidRPr="00BC71D8">
        <w:rPr>
          <w:lang w:val="en-GB"/>
        </w:rPr>
        <w:t>The a</w:t>
      </w:r>
      <w:r w:rsidR="00D810DE" w:rsidRPr="00BC71D8">
        <w:rPr>
          <w:lang w:val="en-GB"/>
        </w:rPr>
        <w:t xml:space="preserve">nxiety of a patient </w:t>
      </w:r>
      <w:r w:rsidR="0045759A" w:rsidRPr="00BC71D8">
        <w:rPr>
          <w:lang w:val="en-GB"/>
        </w:rPr>
        <w:t>travelling</w:t>
      </w:r>
      <w:r w:rsidR="00D810DE" w:rsidRPr="00BC71D8">
        <w:rPr>
          <w:lang w:val="en-GB"/>
        </w:rPr>
        <w:t xml:space="preserve"> abroad for treatment is usually beyond finding a good hospital and doctor. Our team actively help</w:t>
      </w:r>
      <w:r w:rsidRPr="00BC71D8">
        <w:rPr>
          <w:lang w:val="en-GB"/>
        </w:rPr>
        <w:t>s</w:t>
      </w:r>
      <w:r w:rsidR="00D810DE" w:rsidRPr="00BC71D8">
        <w:rPr>
          <w:lang w:val="en-GB"/>
        </w:rPr>
        <w:t xml:space="preserve"> the patients in case</w:t>
      </w:r>
      <w:r w:rsidR="00C06C22" w:rsidRPr="00BC71D8">
        <w:rPr>
          <w:lang w:val="en-GB"/>
        </w:rPr>
        <w:t xml:space="preserve"> </w:t>
      </w:r>
      <w:r w:rsidR="00D810DE" w:rsidRPr="00BC71D8">
        <w:rPr>
          <w:lang w:val="en-GB"/>
        </w:rPr>
        <w:t>assessment, treatment cost estimation, travel planning</w:t>
      </w:r>
      <w:r w:rsidRPr="00BC71D8">
        <w:rPr>
          <w:lang w:val="en-GB"/>
        </w:rPr>
        <w:t>,</w:t>
      </w:r>
      <w:r w:rsidR="00D810DE" w:rsidRPr="00BC71D8">
        <w:rPr>
          <w:lang w:val="en-GB"/>
        </w:rPr>
        <w:t xml:space="preserve"> and hospitality. The prices quoted by the hospitals are discounted for patients coming through our route</w:t>
      </w:r>
      <w:r w:rsidRPr="00BC71D8">
        <w:rPr>
          <w:lang w:val="en-GB"/>
        </w:rPr>
        <w:t xml:space="preserve">. </w:t>
      </w:r>
    </w:p>
    <w:p w14:paraId="782869BA" w14:textId="77777777" w:rsidR="00D810DE" w:rsidRPr="00BC71D8" w:rsidRDefault="00D810DE" w:rsidP="00D810DE">
      <w:pPr>
        <w:jc w:val="both"/>
        <w:rPr>
          <w:lang w:val="en-GB"/>
        </w:rPr>
      </w:pPr>
    </w:p>
    <w:p w14:paraId="416CEAEC" w14:textId="77777777" w:rsidR="00D810DE" w:rsidRPr="00BC71D8" w:rsidRDefault="00D810DE" w:rsidP="00D810DE">
      <w:pPr>
        <w:jc w:val="both"/>
        <w:rPr>
          <w:lang w:val="en-GB"/>
        </w:rPr>
      </w:pPr>
    </w:p>
    <w:p w14:paraId="0A7D3E5F" w14:textId="77777777" w:rsidR="00D810DE" w:rsidRPr="00BC71D8" w:rsidRDefault="00380BC9" w:rsidP="00B413AA">
      <w:pPr>
        <w:pStyle w:val="Casehead2"/>
        <w:rPr>
          <w:lang w:val="en-GB"/>
        </w:rPr>
      </w:pPr>
      <w:r w:rsidRPr="00BC71D8">
        <w:rPr>
          <w:lang w:val="en-GB"/>
        </w:rPr>
        <w:t>Procedure S</w:t>
      </w:r>
      <w:r w:rsidR="00D810DE" w:rsidRPr="00BC71D8">
        <w:rPr>
          <w:lang w:val="en-GB"/>
        </w:rPr>
        <w:t>tage</w:t>
      </w:r>
    </w:p>
    <w:p w14:paraId="01CE85CD" w14:textId="77777777" w:rsidR="00D810DE" w:rsidRPr="00BC71D8" w:rsidRDefault="00D810DE" w:rsidP="00D810DE">
      <w:pPr>
        <w:jc w:val="both"/>
        <w:rPr>
          <w:lang w:val="en-GB"/>
        </w:rPr>
      </w:pPr>
    </w:p>
    <w:p w14:paraId="6AEFC14B" w14:textId="0E46EA13" w:rsidR="00D810DE" w:rsidRPr="00BC71D8" w:rsidRDefault="00D810DE" w:rsidP="00B413AA">
      <w:pPr>
        <w:pStyle w:val="BodyTextMain"/>
        <w:rPr>
          <w:lang w:val="en-GB"/>
        </w:rPr>
      </w:pPr>
      <w:r w:rsidRPr="00BC71D8">
        <w:rPr>
          <w:lang w:val="en-GB"/>
        </w:rPr>
        <w:t>This stage began as soon as the patient landed at the destination. The company assigned a dedicated patient case manager, who acted as a</w:t>
      </w:r>
      <w:r w:rsidR="00C06C22" w:rsidRPr="00BC71D8">
        <w:rPr>
          <w:lang w:val="en-GB"/>
        </w:rPr>
        <w:t xml:space="preserve"> </w:t>
      </w:r>
      <w:r w:rsidRPr="00BC71D8">
        <w:rPr>
          <w:lang w:val="en-GB"/>
        </w:rPr>
        <w:t xml:space="preserve">point of contact </w:t>
      </w:r>
      <w:r w:rsidR="00212052" w:rsidRPr="00BC71D8">
        <w:rPr>
          <w:lang w:val="en-GB"/>
        </w:rPr>
        <w:t>while the</w:t>
      </w:r>
      <w:r w:rsidRPr="00BC71D8">
        <w:rPr>
          <w:lang w:val="en-GB"/>
        </w:rPr>
        <w:t xml:space="preserve"> patient stayed in the country. Beside</w:t>
      </w:r>
      <w:r w:rsidR="00B9099F" w:rsidRPr="00BC71D8">
        <w:rPr>
          <w:lang w:val="en-GB"/>
        </w:rPr>
        <w:t>s</w:t>
      </w:r>
      <w:r w:rsidRPr="00BC71D8">
        <w:rPr>
          <w:lang w:val="en-GB"/>
        </w:rPr>
        <w:t xml:space="preserve"> the case manag</w:t>
      </w:r>
      <w:r w:rsidR="007A1B96" w:rsidRPr="00BC71D8">
        <w:rPr>
          <w:lang w:val="en-GB"/>
        </w:rPr>
        <w:t>ement system</w:t>
      </w:r>
      <w:r w:rsidRPr="00BC71D8">
        <w:rPr>
          <w:lang w:val="en-GB"/>
        </w:rPr>
        <w:t xml:space="preserve">, the team </w:t>
      </w:r>
      <w:r w:rsidR="00B9099F" w:rsidRPr="00BC71D8">
        <w:rPr>
          <w:lang w:val="en-GB"/>
        </w:rPr>
        <w:t xml:space="preserve">also </w:t>
      </w:r>
      <w:r w:rsidRPr="00BC71D8">
        <w:rPr>
          <w:lang w:val="en-GB"/>
        </w:rPr>
        <w:t xml:space="preserve">created </w:t>
      </w:r>
      <w:r w:rsidR="00212052" w:rsidRPr="00BC71D8">
        <w:rPr>
          <w:lang w:val="en-GB"/>
        </w:rPr>
        <w:t xml:space="preserve">customer relationship management </w:t>
      </w:r>
      <w:r w:rsidRPr="00BC71D8">
        <w:rPr>
          <w:lang w:val="en-GB"/>
        </w:rPr>
        <w:t xml:space="preserve">(CRM) software to </w:t>
      </w:r>
      <w:r w:rsidR="007A1B96" w:rsidRPr="00BC71D8">
        <w:rPr>
          <w:lang w:val="en-GB"/>
        </w:rPr>
        <w:t xml:space="preserve">facilitate </w:t>
      </w:r>
      <w:r w:rsidRPr="00BC71D8">
        <w:rPr>
          <w:lang w:val="en-GB"/>
        </w:rPr>
        <w:t>individual patient interactions and create personalized relationship</w:t>
      </w:r>
      <w:r w:rsidR="00B9099F" w:rsidRPr="00BC71D8">
        <w:rPr>
          <w:lang w:val="en-GB"/>
        </w:rPr>
        <w:t>s</w:t>
      </w:r>
      <w:r w:rsidRPr="00BC71D8">
        <w:rPr>
          <w:lang w:val="en-GB"/>
        </w:rPr>
        <w:t xml:space="preserve">. Upon </w:t>
      </w:r>
      <w:r w:rsidR="00B9099F" w:rsidRPr="00BC71D8">
        <w:rPr>
          <w:lang w:val="en-GB"/>
        </w:rPr>
        <w:t xml:space="preserve">each </w:t>
      </w:r>
      <w:r w:rsidRPr="00BC71D8">
        <w:rPr>
          <w:lang w:val="en-GB"/>
        </w:rPr>
        <w:t>patient’s arrival to the destination, the concierge team managed the patient pickup, discounted accommodation, currency</w:t>
      </w:r>
      <w:r w:rsidR="00E41C9F" w:rsidRPr="00BC71D8">
        <w:rPr>
          <w:lang w:val="en-GB"/>
        </w:rPr>
        <w:t xml:space="preserve"> exchange</w:t>
      </w:r>
      <w:r w:rsidRPr="00BC71D8">
        <w:rPr>
          <w:lang w:val="en-GB"/>
        </w:rPr>
        <w:t>, language interpret</w:t>
      </w:r>
      <w:r w:rsidR="00E41C9F" w:rsidRPr="00BC71D8">
        <w:rPr>
          <w:lang w:val="en-GB"/>
        </w:rPr>
        <w:t>ation</w:t>
      </w:r>
      <w:r w:rsidRPr="00BC71D8">
        <w:rPr>
          <w:lang w:val="en-GB"/>
        </w:rPr>
        <w:t>, food options</w:t>
      </w:r>
      <w:r w:rsidR="00212052" w:rsidRPr="00BC71D8">
        <w:rPr>
          <w:lang w:val="en-GB"/>
        </w:rPr>
        <w:t>,</w:t>
      </w:r>
      <w:r w:rsidRPr="00BC71D8">
        <w:rPr>
          <w:lang w:val="en-GB"/>
        </w:rPr>
        <w:t xml:space="preserve"> and other local </w:t>
      </w:r>
      <w:r w:rsidR="00B9099F" w:rsidRPr="00BC71D8">
        <w:rPr>
          <w:lang w:val="en-GB"/>
        </w:rPr>
        <w:t>issues</w:t>
      </w:r>
      <w:r w:rsidRPr="00BC71D8">
        <w:rPr>
          <w:lang w:val="en-GB"/>
        </w:rPr>
        <w:t>. Priority appointment</w:t>
      </w:r>
      <w:r w:rsidR="00B9099F" w:rsidRPr="00BC71D8">
        <w:rPr>
          <w:lang w:val="en-GB"/>
        </w:rPr>
        <w:t>s</w:t>
      </w:r>
      <w:r w:rsidRPr="00BC71D8">
        <w:rPr>
          <w:lang w:val="en-GB"/>
        </w:rPr>
        <w:t xml:space="preserve"> with the doctor and admi</w:t>
      </w:r>
      <w:r w:rsidR="00626F5C" w:rsidRPr="00BC71D8">
        <w:rPr>
          <w:lang w:val="en-GB"/>
        </w:rPr>
        <w:t>ssion to the chosen hospital were</w:t>
      </w:r>
      <w:r w:rsidRPr="00BC71D8">
        <w:rPr>
          <w:lang w:val="en-GB"/>
        </w:rPr>
        <w:t xml:space="preserve"> also arranged. “Our concierge team ensures that the patient is taken care </w:t>
      </w:r>
      <w:r w:rsidR="00CF7A36" w:rsidRPr="00BC71D8">
        <w:rPr>
          <w:lang w:val="en-GB"/>
        </w:rPr>
        <w:t xml:space="preserve">of </w:t>
      </w:r>
      <w:r w:rsidRPr="00BC71D8">
        <w:rPr>
          <w:lang w:val="en-GB"/>
        </w:rPr>
        <w:t xml:space="preserve">from the moment of arrival to departure after </w:t>
      </w:r>
      <w:proofErr w:type="spellStart"/>
      <w:r w:rsidR="00C06C22" w:rsidRPr="00BC71D8">
        <w:rPr>
          <w:lang w:val="en-GB"/>
        </w:rPr>
        <w:t>checkup</w:t>
      </w:r>
      <w:proofErr w:type="spellEnd"/>
      <w:r w:rsidRPr="00BC71D8">
        <w:rPr>
          <w:lang w:val="en-GB"/>
        </w:rPr>
        <w:t xml:space="preserve"> or surgery,” Manish said.</w:t>
      </w:r>
    </w:p>
    <w:p w14:paraId="0AD74074" w14:textId="77777777" w:rsidR="00D810DE" w:rsidRPr="00BC71D8" w:rsidRDefault="00D810DE" w:rsidP="00D810DE">
      <w:pPr>
        <w:jc w:val="both"/>
        <w:rPr>
          <w:lang w:val="en-GB"/>
        </w:rPr>
      </w:pPr>
    </w:p>
    <w:p w14:paraId="7ED06366" w14:textId="77777777" w:rsidR="00D810DE" w:rsidRPr="00BC71D8" w:rsidRDefault="00D810DE" w:rsidP="00D810DE">
      <w:pPr>
        <w:jc w:val="both"/>
        <w:rPr>
          <w:lang w:val="en-GB"/>
        </w:rPr>
      </w:pPr>
    </w:p>
    <w:p w14:paraId="1B824847" w14:textId="518EA528" w:rsidR="00D810DE" w:rsidRPr="00BC71D8" w:rsidRDefault="00D810DE" w:rsidP="00B413AA">
      <w:pPr>
        <w:pStyle w:val="Casehead2"/>
        <w:rPr>
          <w:lang w:val="en-GB"/>
        </w:rPr>
      </w:pPr>
      <w:r w:rsidRPr="00BC71D8">
        <w:rPr>
          <w:lang w:val="en-GB"/>
        </w:rPr>
        <w:t>Post</w:t>
      </w:r>
      <w:r w:rsidR="00380BC9" w:rsidRPr="00BC71D8">
        <w:rPr>
          <w:lang w:val="en-GB"/>
        </w:rPr>
        <w:t>-</w:t>
      </w:r>
      <w:r w:rsidR="002955E2">
        <w:rPr>
          <w:lang w:val="en-GB"/>
        </w:rPr>
        <w:t>p</w:t>
      </w:r>
      <w:r w:rsidR="00380BC9" w:rsidRPr="00BC71D8">
        <w:rPr>
          <w:lang w:val="en-GB"/>
        </w:rPr>
        <w:t>rocedure S</w:t>
      </w:r>
      <w:r w:rsidRPr="00BC71D8">
        <w:rPr>
          <w:lang w:val="en-GB"/>
        </w:rPr>
        <w:t>tage</w:t>
      </w:r>
    </w:p>
    <w:p w14:paraId="701B87F5" w14:textId="77777777" w:rsidR="00D810DE" w:rsidRPr="00BC71D8" w:rsidRDefault="00D810DE" w:rsidP="00D810DE">
      <w:pPr>
        <w:jc w:val="both"/>
        <w:rPr>
          <w:lang w:val="en-GB"/>
        </w:rPr>
      </w:pPr>
    </w:p>
    <w:p w14:paraId="6B3BBCBC" w14:textId="4D1B542A" w:rsidR="00D810DE" w:rsidRPr="00BC71D8" w:rsidRDefault="00D810DE" w:rsidP="00B413AA">
      <w:pPr>
        <w:pStyle w:val="BodyTextMain"/>
        <w:rPr>
          <w:lang w:val="en-GB"/>
        </w:rPr>
      </w:pPr>
      <w:r w:rsidRPr="00BC71D8">
        <w:rPr>
          <w:lang w:val="en-GB"/>
        </w:rPr>
        <w:t xml:space="preserve">This stage included post-operative care and follow-ups. Once the procedure was over, the patient was assisted </w:t>
      </w:r>
      <w:r w:rsidR="00341100" w:rsidRPr="00BC71D8">
        <w:rPr>
          <w:lang w:val="en-GB"/>
        </w:rPr>
        <w:t xml:space="preserve">with </w:t>
      </w:r>
      <w:r w:rsidR="00B9099F" w:rsidRPr="00BC71D8">
        <w:rPr>
          <w:lang w:val="en-GB"/>
        </w:rPr>
        <w:t>post-</w:t>
      </w:r>
      <w:r w:rsidRPr="00BC71D8">
        <w:rPr>
          <w:lang w:val="en-GB"/>
        </w:rPr>
        <w:t>treatment rehabilitation</w:t>
      </w:r>
      <w:r w:rsidR="00C06C22" w:rsidRPr="00BC71D8">
        <w:rPr>
          <w:lang w:val="en-GB"/>
        </w:rPr>
        <w:t xml:space="preserve"> </w:t>
      </w:r>
      <w:r w:rsidRPr="00BC71D8">
        <w:rPr>
          <w:lang w:val="en-GB"/>
        </w:rPr>
        <w:t xml:space="preserve">or physiotherapy and follow-ups with the surgeon. An internal team of doctors also </w:t>
      </w:r>
      <w:r w:rsidR="00A81E2A" w:rsidRPr="00BC71D8">
        <w:rPr>
          <w:lang w:val="en-GB"/>
        </w:rPr>
        <w:t>helped</w:t>
      </w:r>
      <w:r w:rsidR="00C06C22" w:rsidRPr="00BC71D8">
        <w:rPr>
          <w:lang w:val="en-GB"/>
        </w:rPr>
        <w:t xml:space="preserve"> </w:t>
      </w:r>
      <w:r w:rsidR="00A81E2A" w:rsidRPr="00BC71D8">
        <w:rPr>
          <w:lang w:val="en-GB"/>
        </w:rPr>
        <w:t xml:space="preserve">resolve </w:t>
      </w:r>
      <w:r w:rsidRPr="00BC71D8">
        <w:rPr>
          <w:lang w:val="en-GB"/>
        </w:rPr>
        <w:t>patients</w:t>
      </w:r>
      <w:r w:rsidR="00A81E2A" w:rsidRPr="00BC71D8">
        <w:rPr>
          <w:lang w:val="en-GB"/>
        </w:rPr>
        <w:t>’</w:t>
      </w:r>
      <w:r w:rsidRPr="00BC71D8">
        <w:rPr>
          <w:lang w:val="en-GB"/>
        </w:rPr>
        <w:t xml:space="preserve"> post-operative concerns. In case of any billing issues with the hospital, </w:t>
      </w:r>
      <w:r w:rsidR="00A57873" w:rsidRPr="00BC71D8">
        <w:rPr>
          <w:lang w:val="en-GB"/>
        </w:rPr>
        <w:t xml:space="preserve">the </w:t>
      </w:r>
      <w:proofErr w:type="spellStart"/>
      <w:r w:rsidRPr="00BC71D8">
        <w:rPr>
          <w:lang w:val="en-GB"/>
        </w:rPr>
        <w:t>Vaidam</w:t>
      </w:r>
      <w:proofErr w:type="spellEnd"/>
      <w:r w:rsidRPr="00BC71D8">
        <w:rPr>
          <w:lang w:val="en-GB"/>
        </w:rPr>
        <w:t xml:space="preserve"> team escalated the problem on </w:t>
      </w:r>
      <w:r w:rsidR="00A57873" w:rsidRPr="00BC71D8">
        <w:rPr>
          <w:lang w:val="en-GB"/>
        </w:rPr>
        <w:t xml:space="preserve">the </w:t>
      </w:r>
      <w:r w:rsidRPr="00BC71D8">
        <w:rPr>
          <w:lang w:val="en-GB"/>
        </w:rPr>
        <w:t xml:space="preserve">patient’s behalf for quick resolution. After post-operative care, once the patient had recovered, the concierge team assisted </w:t>
      </w:r>
      <w:r w:rsidR="00A81E2A" w:rsidRPr="00BC71D8">
        <w:rPr>
          <w:lang w:val="en-GB"/>
        </w:rPr>
        <w:t xml:space="preserve">with </w:t>
      </w:r>
      <w:r w:rsidRPr="00BC71D8">
        <w:rPr>
          <w:lang w:val="en-GB"/>
        </w:rPr>
        <w:t>shopping and planning leisure tours.</w:t>
      </w:r>
      <w:r w:rsidR="00C06C22" w:rsidRPr="00BC71D8">
        <w:rPr>
          <w:lang w:val="en-GB"/>
        </w:rPr>
        <w:t xml:space="preserve"> </w:t>
      </w:r>
      <w:r w:rsidRPr="00BC71D8">
        <w:rPr>
          <w:lang w:val="en-GB"/>
        </w:rPr>
        <w:t>The team cautiously worked on improving their services based on patients</w:t>
      </w:r>
      <w:r w:rsidR="00A81E2A" w:rsidRPr="00BC71D8">
        <w:rPr>
          <w:lang w:val="en-GB"/>
        </w:rPr>
        <w:t>’</w:t>
      </w:r>
      <w:r w:rsidRPr="00BC71D8">
        <w:rPr>
          <w:lang w:val="en-GB"/>
        </w:rPr>
        <w:t xml:space="preserve"> feedback </w:t>
      </w:r>
      <w:r w:rsidR="00CE6D6C">
        <w:rPr>
          <w:lang w:val="en-GB"/>
        </w:rPr>
        <w:t xml:space="preserve">received </w:t>
      </w:r>
      <w:r w:rsidRPr="00BC71D8">
        <w:rPr>
          <w:lang w:val="en-GB"/>
        </w:rPr>
        <w:t xml:space="preserve">after they </w:t>
      </w:r>
      <w:r w:rsidR="00BC5563" w:rsidRPr="00BC71D8">
        <w:rPr>
          <w:lang w:val="en-GB"/>
        </w:rPr>
        <w:t xml:space="preserve">had </w:t>
      </w:r>
      <w:r w:rsidRPr="00BC71D8">
        <w:rPr>
          <w:lang w:val="en-GB"/>
        </w:rPr>
        <w:t>return</w:t>
      </w:r>
      <w:r w:rsidR="00BC5563" w:rsidRPr="00BC71D8">
        <w:rPr>
          <w:lang w:val="en-GB"/>
        </w:rPr>
        <w:t>ed</w:t>
      </w:r>
      <w:r w:rsidR="002B7C8B">
        <w:rPr>
          <w:lang w:val="en-GB"/>
        </w:rPr>
        <w:t xml:space="preserve"> to</w:t>
      </w:r>
      <w:r w:rsidR="00C06C22" w:rsidRPr="00BC71D8">
        <w:rPr>
          <w:lang w:val="en-GB"/>
        </w:rPr>
        <w:t xml:space="preserve"> </w:t>
      </w:r>
      <w:r w:rsidR="00BC5563" w:rsidRPr="00BC71D8">
        <w:rPr>
          <w:lang w:val="en-GB"/>
        </w:rPr>
        <w:t xml:space="preserve">their </w:t>
      </w:r>
      <w:r w:rsidRPr="00BC71D8">
        <w:rPr>
          <w:lang w:val="en-GB"/>
        </w:rPr>
        <w:t xml:space="preserve">home </w:t>
      </w:r>
      <w:r w:rsidR="00A81E2A" w:rsidRPr="00BC71D8">
        <w:rPr>
          <w:lang w:val="en-GB"/>
        </w:rPr>
        <w:t>countries</w:t>
      </w:r>
      <w:r w:rsidRPr="00BC71D8">
        <w:rPr>
          <w:lang w:val="en-GB"/>
        </w:rPr>
        <w:t>. “It’s the customer</w:t>
      </w:r>
      <w:r w:rsidR="00C06C22" w:rsidRPr="00BC71D8">
        <w:rPr>
          <w:lang w:val="en-GB"/>
        </w:rPr>
        <w:t xml:space="preserve"> </w:t>
      </w:r>
      <w:r w:rsidRPr="00BC71D8">
        <w:rPr>
          <w:lang w:val="en-GB"/>
        </w:rPr>
        <w:t>experience</w:t>
      </w:r>
      <w:r w:rsidR="005671AB" w:rsidRPr="00BC71D8">
        <w:rPr>
          <w:lang w:val="en-GB"/>
        </w:rPr>
        <w:t>–</w:t>
      </w:r>
      <w:r w:rsidRPr="00BC71D8">
        <w:rPr>
          <w:lang w:val="en-GB"/>
        </w:rPr>
        <w:t xml:space="preserve">focused </w:t>
      </w:r>
      <w:proofErr w:type="spellStart"/>
      <w:r w:rsidRPr="00BC71D8">
        <w:rPr>
          <w:lang w:val="en-GB"/>
        </w:rPr>
        <w:t>mindset</w:t>
      </w:r>
      <w:proofErr w:type="spellEnd"/>
      <w:r w:rsidRPr="00BC71D8">
        <w:rPr>
          <w:lang w:val="en-GB"/>
        </w:rPr>
        <w:t xml:space="preserve"> of </w:t>
      </w:r>
      <w:r w:rsidR="002B7C8B">
        <w:rPr>
          <w:lang w:val="en-GB"/>
        </w:rPr>
        <w:t xml:space="preserve">[the] </w:t>
      </w:r>
      <w:proofErr w:type="spellStart"/>
      <w:r w:rsidRPr="00BC71D8">
        <w:rPr>
          <w:lang w:val="en-GB"/>
        </w:rPr>
        <w:t>Vaidam</w:t>
      </w:r>
      <w:proofErr w:type="spellEnd"/>
      <w:r w:rsidRPr="00BC71D8">
        <w:rPr>
          <w:lang w:val="en-GB"/>
        </w:rPr>
        <w:t xml:space="preserve"> team that has made it popular among the</w:t>
      </w:r>
      <w:r w:rsidR="00C06C22" w:rsidRPr="00BC71D8">
        <w:rPr>
          <w:lang w:val="en-GB"/>
        </w:rPr>
        <w:t xml:space="preserve"> </w:t>
      </w:r>
      <w:r w:rsidRPr="00BC71D8">
        <w:rPr>
          <w:lang w:val="en-GB"/>
        </w:rPr>
        <w:t xml:space="preserve">international medical </w:t>
      </w:r>
      <w:r w:rsidR="0045759A" w:rsidRPr="00BC71D8">
        <w:rPr>
          <w:lang w:val="en-GB"/>
        </w:rPr>
        <w:t>traveller</w:t>
      </w:r>
      <w:r w:rsidRPr="00BC71D8">
        <w:rPr>
          <w:lang w:val="en-GB"/>
        </w:rPr>
        <w:t xml:space="preserve">s,” Pankaj </w:t>
      </w:r>
      <w:r w:rsidR="00A81E2A" w:rsidRPr="00BC71D8">
        <w:rPr>
          <w:lang w:val="en-GB"/>
        </w:rPr>
        <w:t>explained</w:t>
      </w:r>
      <w:r w:rsidRPr="00BC71D8">
        <w:rPr>
          <w:lang w:val="en-GB"/>
        </w:rPr>
        <w:t>.</w:t>
      </w:r>
    </w:p>
    <w:p w14:paraId="6DC46684" w14:textId="77777777" w:rsidR="00D810DE" w:rsidRPr="00BC71D8" w:rsidRDefault="00D810DE" w:rsidP="00D810DE">
      <w:pPr>
        <w:jc w:val="both"/>
        <w:rPr>
          <w:lang w:val="en-GB"/>
        </w:rPr>
      </w:pPr>
    </w:p>
    <w:p w14:paraId="229DB749" w14:textId="77777777" w:rsidR="00D810DE" w:rsidRPr="00BC71D8" w:rsidRDefault="00D810DE" w:rsidP="00D810DE">
      <w:pPr>
        <w:jc w:val="both"/>
        <w:rPr>
          <w:lang w:val="en-GB"/>
        </w:rPr>
      </w:pPr>
    </w:p>
    <w:p w14:paraId="178D4390" w14:textId="77777777" w:rsidR="00D810DE" w:rsidRPr="00BC71D8" w:rsidRDefault="00D810DE" w:rsidP="00612808">
      <w:pPr>
        <w:pStyle w:val="Casehead1"/>
        <w:keepNext/>
        <w:keepLines/>
        <w:rPr>
          <w:lang w:val="en-GB"/>
        </w:rPr>
      </w:pPr>
      <w:r w:rsidRPr="00BC71D8">
        <w:rPr>
          <w:lang w:val="en-GB"/>
        </w:rPr>
        <w:t>SERVICE FEATURES</w:t>
      </w:r>
    </w:p>
    <w:p w14:paraId="2165AF33" w14:textId="77777777" w:rsidR="00D810DE" w:rsidRPr="00BC71D8" w:rsidRDefault="00D810DE" w:rsidP="00612808">
      <w:pPr>
        <w:keepNext/>
        <w:keepLines/>
        <w:jc w:val="both"/>
        <w:rPr>
          <w:b/>
          <w:lang w:val="en-GB"/>
        </w:rPr>
      </w:pPr>
    </w:p>
    <w:p w14:paraId="54FF00BB" w14:textId="77777777" w:rsidR="00D810DE" w:rsidRPr="00BC71D8" w:rsidRDefault="00D810DE" w:rsidP="00612808">
      <w:pPr>
        <w:pStyle w:val="Casehead2"/>
        <w:keepNext/>
        <w:keepLines/>
        <w:rPr>
          <w:lang w:val="en-GB"/>
        </w:rPr>
      </w:pPr>
      <w:r w:rsidRPr="00BC71D8">
        <w:rPr>
          <w:lang w:val="en-GB"/>
        </w:rPr>
        <w:t>Cost Estimator</w:t>
      </w:r>
    </w:p>
    <w:p w14:paraId="55CBF188" w14:textId="77777777" w:rsidR="00D810DE" w:rsidRPr="00BC71D8" w:rsidRDefault="00D810DE" w:rsidP="00612808">
      <w:pPr>
        <w:keepNext/>
        <w:keepLines/>
        <w:jc w:val="both"/>
        <w:rPr>
          <w:lang w:val="en-GB"/>
        </w:rPr>
      </w:pPr>
    </w:p>
    <w:p w14:paraId="0BFDC1F4" w14:textId="1DC40923" w:rsidR="00D810DE" w:rsidRPr="00BC71D8" w:rsidRDefault="00B07F6E" w:rsidP="00612808">
      <w:pPr>
        <w:pStyle w:val="BodyTextMain"/>
        <w:keepNext/>
        <w:keepLines/>
        <w:rPr>
          <w:lang w:val="en-GB"/>
        </w:rPr>
      </w:pPr>
      <w:r w:rsidRPr="00BC71D8">
        <w:rPr>
          <w:lang w:val="en-GB"/>
        </w:rPr>
        <w:t xml:space="preserve">Along </w:t>
      </w:r>
      <w:r w:rsidR="00D810DE" w:rsidRPr="00BC71D8">
        <w:rPr>
          <w:lang w:val="en-GB"/>
        </w:rPr>
        <w:t>wit</w:t>
      </w:r>
      <w:r w:rsidR="00380BC9" w:rsidRPr="00BC71D8">
        <w:rPr>
          <w:lang w:val="en-GB"/>
        </w:rPr>
        <w:t xml:space="preserve">h curated profiles of hospitals, </w:t>
      </w:r>
      <w:r w:rsidR="00D810DE" w:rsidRPr="00BC71D8">
        <w:rPr>
          <w:lang w:val="en-GB"/>
        </w:rPr>
        <w:t>doctors</w:t>
      </w:r>
      <w:r w:rsidR="00380BC9" w:rsidRPr="00BC71D8">
        <w:rPr>
          <w:lang w:val="en-GB"/>
        </w:rPr>
        <w:t>,</w:t>
      </w:r>
      <w:r w:rsidR="00D810DE" w:rsidRPr="00BC71D8">
        <w:rPr>
          <w:lang w:val="en-GB"/>
        </w:rPr>
        <w:t xml:space="preserve"> and patient testimonials to facilitate informed choice</w:t>
      </w:r>
      <w:r w:rsidRPr="00BC71D8">
        <w:rPr>
          <w:lang w:val="en-GB"/>
        </w:rPr>
        <w:t>s</w:t>
      </w:r>
      <w:r w:rsidR="00C06C22" w:rsidRPr="00BC71D8">
        <w:rPr>
          <w:lang w:val="en-GB"/>
        </w:rPr>
        <w:t xml:space="preserve"> </w:t>
      </w:r>
      <w:r w:rsidRPr="00BC71D8">
        <w:rPr>
          <w:lang w:val="en-GB"/>
        </w:rPr>
        <w:t xml:space="preserve">regarding </w:t>
      </w:r>
      <w:r w:rsidR="000B7F13">
        <w:rPr>
          <w:lang w:val="en-GB"/>
        </w:rPr>
        <w:t>health care</w:t>
      </w:r>
      <w:r w:rsidR="00D810DE" w:rsidRPr="00BC71D8">
        <w:rPr>
          <w:lang w:val="en-GB"/>
        </w:rPr>
        <w:t xml:space="preserve"> destination</w:t>
      </w:r>
      <w:r w:rsidRPr="00BC71D8">
        <w:rPr>
          <w:lang w:val="en-GB"/>
        </w:rPr>
        <w:t>s</w:t>
      </w:r>
      <w:r w:rsidR="00D810DE" w:rsidRPr="00BC71D8">
        <w:rPr>
          <w:lang w:val="en-GB"/>
        </w:rPr>
        <w:t xml:space="preserve">, the technology team had </w:t>
      </w:r>
      <w:r w:rsidRPr="00BC71D8">
        <w:rPr>
          <w:lang w:val="en-GB"/>
        </w:rPr>
        <w:t xml:space="preserve">also </w:t>
      </w:r>
      <w:r w:rsidR="00D810DE" w:rsidRPr="00BC71D8">
        <w:rPr>
          <w:lang w:val="en-GB"/>
        </w:rPr>
        <w:t>created a self-help tool</w:t>
      </w:r>
      <w:r w:rsidR="007A6589">
        <w:rPr>
          <w:lang w:val="en-GB"/>
        </w:rPr>
        <w:t>—</w:t>
      </w:r>
      <w:r w:rsidRPr="00BC71D8">
        <w:rPr>
          <w:lang w:val="en-GB"/>
        </w:rPr>
        <w:t xml:space="preserve">a </w:t>
      </w:r>
      <w:r w:rsidR="00D810DE" w:rsidRPr="00BC71D8">
        <w:rPr>
          <w:lang w:val="en-GB"/>
        </w:rPr>
        <w:t xml:space="preserve">cost estimator for medical </w:t>
      </w:r>
      <w:r w:rsidR="0045759A" w:rsidRPr="00BC71D8">
        <w:rPr>
          <w:lang w:val="en-GB"/>
        </w:rPr>
        <w:t>traveller</w:t>
      </w:r>
      <w:r w:rsidR="00D810DE" w:rsidRPr="00BC71D8">
        <w:rPr>
          <w:lang w:val="en-GB"/>
        </w:rPr>
        <w:t>s. This tool enabled patient</w:t>
      </w:r>
      <w:r w:rsidRPr="00BC71D8">
        <w:rPr>
          <w:lang w:val="en-GB"/>
        </w:rPr>
        <w:t>s</w:t>
      </w:r>
      <w:r w:rsidR="00D810DE" w:rsidRPr="00BC71D8">
        <w:rPr>
          <w:lang w:val="en-GB"/>
        </w:rPr>
        <w:t xml:space="preserve"> to get a total cost estimate</w:t>
      </w:r>
      <w:r w:rsidR="00C06C22" w:rsidRPr="00BC71D8">
        <w:rPr>
          <w:lang w:val="en-GB"/>
        </w:rPr>
        <w:t xml:space="preserve"> </w:t>
      </w:r>
      <w:r w:rsidRPr="00BC71D8">
        <w:rPr>
          <w:lang w:val="en-GB"/>
        </w:rPr>
        <w:t xml:space="preserve">that </w:t>
      </w:r>
      <w:r w:rsidR="00D810DE" w:rsidRPr="00BC71D8">
        <w:rPr>
          <w:lang w:val="en-GB"/>
        </w:rPr>
        <w:t>includ</w:t>
      </w:r>
      <w:r w:rsidRPr="00BC71D8">
        <w:rPr>
          <w:lang w:val="en-GB"/>
        </w:rPr>
        <w:t>ed</w:t>
      </w:r>
      <w:r w:rsidR="00D810DE" w:rsidRPr="00BC71D8">
        <w:rPr>
          <w:lang w:val="en-GB"/>
        </w:rPr>
        <w:t xml:space="preserve"> treatment cost, airfare, accommodation, visa processing, food, ground transportation</w:t>
      </w:r>
      <w:r w:rsidRPr="00BC71D8">
        <w:rPr>
          <w:lang w:val="en-GB"/>
        </w:rPr>
        <w:t>,</w:t>
      </w:r>
      <w:r w:rsidR="00D810DE" w:rsidRPr="00BC71D8">
        <w:rPr>
          <w:lang w:val="en-GB"/>
        </w:rPr>
        <w:t xml:space="preserve"> and other miscellaneous costs</w:t>
      </w:r>
      <w:r w:rsidRPr="00BC71D8">
        <w:rPr>
          <w:lang w:val="en-GB"/>
        </w:rPr>
        <w:t xml:space="preserve">, </w:t>
      </w:r>
      <w:r w:rsidR="00D810DE" w:rsidRPr="00BC71D8">
        <w:rPr>
          <w:lang w:val="en-GB"/>
        </w:rPr>
        <w:t>based o</w:t>
      </w:r>
      <w:r w:rsidR="004C621D" w:rsidRPr="00BC71D8">
        <w:rPr>
          <w:lang w:val="en-GB"/>
        </w:rPr>
        <w:t>n the specific hospital, doctor</w:t>
      </w:r>
      <w:r w:rsidR="00D810DE" w:rsidRPr="00BC71D8">
        <w:rPr>
          <w:lang w:val="en-GB"/>
        </w:rPr>
        <w:t>, duratio</w:t>
      </w:r>
      <w:r w:rsidR="004C621D" w:rsidRPr="00BC71D8">
        <w:rPr>
          <w:lang w:val="en-GB"/>
        </w:rPr>
        <w:t xml:space="preserve">n of stay, number of attendants, </w:t>
      </w:r>
      <w:r w:rsidR="00D810DE" w:rsidRPr="00BC71D8">
        <w:rPr>
          <w:lang w:val="en-GB"/>
        </w:rPr>
        <w:t xml:space="preserve">and other preferences of the patient. “We understand that </w:t>
      </w:r>
      <w:r w:rsidRPr="00BC71D8">
        <w:rPr>
          <w:lang w:val="en-GB"/>
        </w:rPr>
        <w:t>[</w:t>
      </w:r>
      <w:r w:rsidR="00D810DE" w:rsidRPr="00BC71D8">
        <w:rPr>
          <w:lang w:val="en-GB"/>
        </w:rPr>
        <w:t>patient</w:t>
      </w:r>
      <w:r w:rsidRPr="00BC71D8">
        <w:rPr>
          <w:lang w:val="en-GB"/>
        </w:rPr>
        <w:t>s</w:t>
      </w:r>
      <w:r w:rsidR="00D810DE" w:rsidRPr="00BC71D8">
        <w:rPr>
          <w:lang w:val="en-GB"/>
        </w:rPr>
        <w:t xml:space="preserve"> do</w:t>
      </w:r>
      <w:r w:rsidRPr="00BC71D8">
        <w:rPr>
          <w:lang w:val="en-GB"/>
        </w:rPr>
        <w:t>]</w:t>
      </w:r>
      <w:r w:rsidR="00D810DE" w:rsidRPr="00BC71D8">
        <w:rPr>
          <w:lang w:val="en-GB"/>
        </w:rPr>
        <w:t xml:space="preserve"> not want to experience an information overload by browsing hundreds of medical procedures available. </w:t>
      </w:r>
      <w:r w:rsidR="00B262D4" w:rsidRPr="00BC71D8">
        <w:rPr>
          <w:lang w:val="en-GB"/>
        </w:rPr>
        <w:t xml:space="preserve">With </w:t>
      </w:r>
      <w:r w:rsidR="00D810DE" w:rsidRPr="00BC71D8">
        <w:rPr>
          <w:lang w:val="en-GB"/>
        </w:rPr>
        <w:t>the cost estimator</w:t>
      </w:r>
      <w:r w:rsidR="00B262D4" w:rsidRPr="00BC71D8">
        <w:rPr>
          <w:lang w:val="en-GB"/>
        </w:rPr>
        <w:t>,</w:t>
      </w:r>
      <w:r w:rsidR="00D810DE" w:rsidRPr="00BC71D8">
        <w:rPr>
          <w:lang w:val="en-GB"/>
        </w:rPr>
        <w:t xml:space="preserve"> we provide answers to patients</w:t>
      </w:r>
      <w:r w:rsidR="005A31BB">
        <w:rPr>
          <w:lang w:val="en-GB"/>
        </w:rPr>
        <w:t>’</w:t>
      </w:r>
      <w:r w:rsidR="00D810DE" w:rsidRPr="00BC71D8">
        <w:rPr>
          <w:lang w:val="en-GB"/>
        </w:rPr>
        <w:t xml:space="preserve"> queries related to</w:t>
      </w:r>
      <w:r w:rsidR="00C06C22" w:rsidRPr="00BC71D8">
        <w:rPr>
          <w:lang w:val="en-GB"/>
        </w:rPr>
        <w:t xml:space="preserve"> </w:t>
      </w:r>
      <w:r w:rsidR="00D810DE" w:rsidRPr="00BC71D8">
        <w:rPr>
          <w:lang w:val="en-GB"/>
        </w:rPr>
        <w:t>treatment cost,” Manish said.</w:t>
      </w:r>
    </w:p>
    <w:p w14:paraId="2106756D" w14:textId="77777777" w:rsidR="00D810DE" w:rsidRPr="00BC71D8" w:rsidRDefault="00D810DE" w:rsidP="00D810DE">
      <w:pPr>
        <w:jc w:val="both"/>
        <w:rPr>
          <w:lang w:val="en-GB"/>
        </w:rPr>
      </w:pPr>
    </w:p>
    <w:p w14:paraId="0FD38A87" w14:textId="77777777" w:rsidR="00D810DE" w:rsidRPr="00BC71D8" w:rsidRDefault="00D810DE" w:rsidP="00D810DE">
      <w:pPr>
        <w:jc w:val="both"/>
        <w:rPr>
          <w:lang w:val="en-GB"/>
        </w:rPr>
      </w:pPr>
    </w:p>
    <w:p w14:paraId="41760BCC" w14:textId="77777777" w:rsidR="00D810DE" w:rsidRPr="00BC71D8" w:rsidRDefault="00D810DE" w:rsidP="00B413AA">
      <w:pPr>
        <w:pStyle w:val="Casehead2"/>
        <w:rPr>
          <w:lang w:val="en-GB"/>
        </w:rPr>
      </w:pPr>
      <w:r w:rsidRPr="00BC71D8">
        <w:rPr>
          <w:lang w:val="en-GB"/>
        </w:rPr>
        <w:t>Customer Relationship Management</w:t>
      </w:r>
      <w:r w:rsidR="00C06C22" w:rsidRPr="00BC71D8">
        <w:rPr>
          <w:lang w:val="en-GB"/>
        </w:rPr>
        <w:t xml:space="preserve"> </w:t>
      </w:r>
      <w:r w:rsidR="004C621D" w:rsidRPr="00BC71D8">
        <w:rPr>
          <w:lang w:val="en-GB"/>
        </w:rPr>
        <w:t>(CRM) S</w:t>
      </w:r>
      <w:r w:rsidRPr="00BC71D8">
        <w:rPr>
          <w:lang w:val="en-GB"/>
        </w:rPr>
        <w:t>olution</w:t>
      </w:r>
    </w:p>
    <w:p w14:paraId="68AF7822" w14:textId="77777777" w:rsidR="00D810DE" w:rsidRPr="00BC71D8" w:rsidRDefault="00D810DE" w:rsidP="00D810DE">
      <w:pPr>
        <w:jc w:val="both"/>
        <w:rPr>
          <w:lang w:val="en-GB"/>
        </w:rPr>
      </w:pPr>
    </w:p>
    <w:p w14:paraId="2EA0A730" w14:textId="77777777" w:rsidR="00D810DE" w:rsidRPr="00BC71D8" w:rsidRDefault="00D810DE" w:rsidP="00B413AA">
      <w:pPr>
        <w:pStyle w:val="BodyTextMain"/>
        <w:rPr>
          <w:lang w:val="en-GB"/>
        </w:rPr>
      </w:pPr>
      <w:r w:rsidRPr="00BC71D8">
        <w:rPr>
          <w:lang w:val="en-GB"/>
        </w:rPr>
        <w:t xml:space="preserve">Managing patient interactions before and after the medical procedure was the key to </w:t>
      </w:r>
      <w:r w:rsidR="00B07F6E" w:rsidRPr="00BC71D8">
        <w:rPr>
          <w:lang w:val="en-GB"/>
        </w:rPr>
        <w:t xml:space="preserve">a </w:t>
      </w:r>
      <w:r w:rsidRPr="00BC71D8">
        <w:rPr>
          <w:lang w:val="en-GB"/>
        </w:rPr>
        <w:t>success</w:t>
      </w:r>
      <w:r w:rsidR="00B07F6E" w:rsidRPr="00BC71D8">
        <w:rPr>
          <w:lang w:val="en-GB"/>
        </w:rPr>
        <w:t xml:space="preserve">ful </w:t>
      </w:r>
      <w:r w:rsidRPr="00BC71D8">
        <w:rPr>
          <w:lang w:val="en-GB"/>
        </w:rPr>
        <w:t xml:space="preserve">relationship between facilitators and their patients. Realizing this, the technology team at </w:t>
      </w:r>
      <w:proofErr w:type="spellStart"/>
      <w:r w:rsidRPr="00BC71D8">
        <w:rPr>
          <w:lang w:val="en-GB"/>
        </w:rPr>
        <w:t>Vaidam</w:t>
      </w:r>
      <w:proofErr w:type="spellEnd"/>
      <w:r w:rsidR="00C06C22" w:rsidRPr="00BC71D8">
        <w:rPr>
          <w:lang w:val="en-GB"/>
        </w:rPr>
        <w:t xml:space="preserve"> </w:t>
      </w:r>
      <w:r w:rsidRPr="00BC71D8">
        <w:rPr>
          <w:lang w:val="en-GB"/>
        </w:rPr>
        <w:t xml:space="preserve">developed </w:t>
      </w:r>
      <w:r w:rsidRPr="00BC71D8">
        <w:rPr>
          <w:lang w:val="en-GB"/>
        </w:rPr>
        <w:lastRenderedPageBreak/>
        <w:t>a CRM solution. Not only did this solution allow the</w:t>
      </w:r>
      <w:r w:rsidR="00B07F6E" w:rsidRPr="00BC71D8">
        <w:rPr>
          <w:lang w:val="en-GB"/>
        </w:rPr>
        <w:t xml:space="preserve"> team to </w:t>
      </w:r>
      <w:r w:rsidRPr="00BC71D8">
        <w:rPr>
          <w:lang w:val="en-GB"/>
        </w:rPr>
        <w:t>consolidat</w:t>
      </w:r>
      <w:r w:rsidR="00B07F6E" w:rsidRPr="00BC71D8">
        <w:rPr>
          <w:lang w:val="en-GB"/>
        </w:rPr>
        <w:t>e the</w:t>
      </w:r>
      <w:r w:rsidRPr="00BC71D8">
        <w:rPr>
          <w:lang w:val="en-GB"/>
        </w:rPr>
        <w:t xml:space="preserve"> patient leads generated through different business channels,</w:t>
      </w:r>
      <w:r w:rsidR="00C06C22" w:rsidRPr="00BC71D8">
        <w:rPr>
          <w:lang w:val="en-GB"/>
        </w:rPr>
        <w:t xml:space="preserve"> </w:t>
      </w:r>
      <w:r w:rsidRPr="00BC71D8">
        <w:rPr>
          <w:lang w:val="en-GB"/>
        </w:rPr>
        <w:t xml:space="preserve">it also helped </w:t>
      </w:r>
      <w:r w:rsidR="00B07F6E" w:rsidRPr="00BC71D8">
        <w:rPr>
          <w:lang w:val="en-GB"/>
        </w:rPr>
        <w:t>it to manage</w:t>
      </w:r>
      <w:r w:rsidRPr="00BC71D8">
        <w:rPr>
          <w:lang w:val="en-GB"/>
        </w:rPr>
        <w:t xml:space="preserve"> real-time interactions with patients and </w:t>
      </w:r>
      <w:r w:rsidR="00B07F6E" w:rsidRPr="00BC71D8">
        <w:rPr>
          <w:lang w:val="en-GB"/>
        </w:rPr>
        <w:t xml:space="preserve">to secure </w:t>
      </w:r>
      <w:r w:rsidRPr="00BC71D8">
        <w:rPr>
          <w:lang w:val="en-GB"/>
        </w:rPr>
        <w:t>patient information. “Our CRM tool is designed to bridge the inherent physical distance between the team and the patients,” Manish said.</w:t>
      </w:r>
    </w:p>
    <w:p w14:paraId="643AB96C" w14:textId="77777777" w:rsidR="00D810DE" w:rsidRPr="00BC71D8" w:rsidRDefault="00D810DE" w:rsidP="00D810DE">
      <w:pPr>
        <w:jc w:val="both"/>
        <w:rPr>
          <w:lang w:val="en-GB"/>
        </w:rPr>
      </w:pPr>
    </w:p>
    <w:p w14:paraId="3BE84E09" w14:textId="77777777" w:rsidR="00D810DE" w:rsidRPr="00BC71D8" w:rsidRDefault="00D810DE" w:rsidP="00D810DE">
      <w:pPr>
        <w:jc w:val="both"/>
        <w:rPr>
          <w:lang w:val="en-GB"/>
        </w:rPr>
      </w:pPr>
    </w:p>
    <w:p w14:paraId="5A067507" w14:textId="77777777" w:rsidR="00D810DE" w:rsidRPr="00BC71D8" w:rsidRDefault="00D810DE" w:rsidP="00B413AA">
      <w:pPr>
        <w:pStyle w:val="Casehead2"/>
        <w:rPr>
          <w:lang w:val="en-GB"/>
        </w:rPr>
      </w:pPr>
      <w:r w:rsidRPr="00BC71D8">
        <w:rPr>
          <w:lang w:val="en-GB"/>
        </w:rPr>
        <w:t>Quality and Compliance</w:t>
      </w:r>
    </w:p>
    <w:p w14:paraId="44C46B81" w14:textId="77777777" w:rsidR="00D810DE" w:rsidRPr="00BC71D8" w:rsidRDefault="00D810DE" w:rsidP="00D810DE">
      <w:pPr>
        <w:jc w:val="both"/>
        <w:rPr>
          <w:lang w:val="en-GB"/>
        </w:rPr>
      </w:pPr>
    </w:p>
    <w:p w14:paraId="3E5D0529" w14:textId="6F42745C" w:rsidR="00D810DE" w:rsidRPr="00BC71D8" w:rsidRDefault="00D810DE" w:rsidP="00B413AA">
      <w:pPr>
        <w:pStyle w:val="BodyTextMain"/>
        <w:rPr>
          <w:lang w:val="en-GB"/>
        </w:rPr>
      </w:pPr>
      <w:r w:rsidRPr="00BC71D8">
        <w:rPr>
          <w:lang w:val="en-GB"/>
        </w:rPr>
        <w:t xml:space="preserve">As a leading web-based MVT facilitator, </w:t>
      </w:r>
      <w:proofErr w:type="spellStart"/>
      <w:r w:rsidRPr="00BC71D8">
        <w:rPr>
          <w:lang w:val="en-GB"/>
        </w:rPr>
        <w:t>Vaidam</w:t>
      </w:r>
      <w:proofErr w:type="spellEnd"/>
      <w:r w:rsidRPr="00BC71D8">
        <w:rPr>
          <w:lang w:val="en-GB"/>
        </w:rPr>
        <w:t xml:space="preserve"> was committed to maintaining </w:t>
      </w:r>
      <w:r w:rsidR="00B07F6E" w:rsidRPr="00BC71D8">
        <w:rPr>
          <w:lang w:val="en-GB"/>
        </w:rPr>
        <w:t xml:space="preserve">the </w:t>
      </w:r>
      <w:r w:rsidRPr="00BC71D8">
        <w:rPr>
          <w:lang w:val="en-GB"/>
        </w:rPr>
        <w:t>highest standards of service quality and information security. The patient management protocols for treatment, travel</w:t>
      </w:r>
      <w:r w:rsidR="00B07F6E" w:rsidRPr="00BC71D8">
        <w:rPr>
          <w:lang w:val="en-GB"/>
        </w:rPr>
        <w:t>,</w:t>
      </w:r>
      <w:r w:rsidRPr="00BC71D8">
        <w:rPr>
          <w:lang w:val="en-GB"/>
        </w:rPr>
        <w:t xml:space="preserve"> and post-operative care were compli</w:t>
      </w:r>
      <w:r w:rsidR="005A31BB">
        <w:rPr>
          <w:lang w:val="en-GB"/>
        </w:rPr>
        <w:t>a</w:t>
      </w:r>
      <w:r w:rsidRPr="00BC71D8">
        <w:rPr>
          <w:lang w:val="en-GB"/>
        </w:rPr>
        <w:t>nt with ISO 9001:2008 quality</w:t>
      </w:r>
      <w:r w:rsidR="005A31BB">
        <w:rPr>
          <w:lang w:val="en-GB"/>
        </w:rPr>
        <w:t>-</w:t>
      </w:r>
      <w:r w:rsidRPr="00BC71D8">
        <w:rPr>
          <w:lang w:val="en-GB"/>
        </w:rPr>
        <w:t xml:space="preserve">management requirements for ensuring patient satisfaction. Stringent data security practices were in place to ensure </w:t>
      </w:r>
      <w:r w:rsidR="00B07F6E" w:rsidRPr="00BC71D8">
        <w:rPr>
          <w:lang w:val="en-GB"/>
        </w:rPr>
        <w:t xml:space="preserve">the </w:t>
      </w:r>
      <w:r w:rsidRPr="00BC71D8">
        <w:rPr>
          <w:lang w:val="en-GB"/>
        </w:rPr>
        <w:t>protection of patients</w:t>
      </w:r>
      <w:r w:rsidR="00B07F6E" w:rsidRPr="00BC71D8">
        <w:rPr>
          <w:lang w:val="en-GB"/>
        </w:rPr>
        <w:t>’</w:t>
      </w:r>
      <w:r w:rsidRPr="00BC71D8">
        <w:rPr>
          <w:lang w:val="en-GB"/>
        </w:rPr>
        <w:t xml:space="preserve"> personal and health information</w:t>
      </w:r>
      <w:r w:rsidR="00B07F6E" w:rsidRPr="00BC71D8">
        <w:rPr>
          <w:lang w:val="en-GB"/>
        </w:rPr>
        <w:t>,</w:t>
      </w:r>
      <w:r w:rsidRPr="00BC71D8">
        <w:rPr>
          <w:lang w:val="en-GB"/>
        </w:rPr>
        <w:t xml:space="preserve"> in line with the ISO 27001 specification. According to Pankaj, “</w:t>
      </w:r>
      <w:r w:rsidR="00B07F6E" w:rsidRPr="00BC71D8">
        <w:rPr>
          <w:lang w:val="en-GB"/>
        </w:rPr>
        <w:t xml:space="preserve">The </w:t>
      </w:r>
      <w:r w:rsidRPr="00BC71D8">
        <w:rPr>
          <w:lang w:val="en-GB"/>
        </w:rPr>
        <w:t xml:space="preserve">requirement of these certifications strengthens our commitment towards </w:t>
      </w:r>
      <w:r w:rsidR="00EA5806" w:rsidRPr="00BC71D8">
        <w:rPr>
          <w:lang w:val="en-GB"/>
        </w:rPr>
        <w:t xml:space="preserve">the </w:t>
      </w:r>
      <w:r w:rsidRPr="00BC71D8">
        <w:rPr>
          <w:lang w:val="en-GB"/>
        </w:rPr>
        <w:t>customer service.”</w:t>
      </w:r>
    </w:p>
    <w:p w14:paraId="119BD2CF" w14:textId="77777777" w:rsidR="00D810DE" w:rsidRPr="00BC71D8" w:rsidRDefault="00D810DE" w:rsidP="00D810DE">
      <w:pPr>
        <w:jc w:val="both"/>
        <w:rPr>
          <w:lang w:val="en-GB"/>
        </w:rPr>
      </w:pPr>
    </w:p>
    <w:p w14:paraId="21F30BAB" w14:textId="77777777" w:rsidR="00D810DE" w:rsidRPr="00BC71D8" w:rsidRDefault="00D810DE" w:rsidP="00D810DE">
      <w:pPr>
        <w:jc w:val="both"/>
        <w:rPr>
          <w:lang w:val="en-GB"/>
        </w:rPr>
      </w:pPr>
    </w:p>
    <w:p w14:paraId="04136901" w14:textId="2A978420" w:rsidR="00D810DE" w:rsidRPr="00BC71D8" w:rsidRDefault="005A31BB" w:rsidP="00B413AA">
      <w:pPr>
        <w:pStyle w:val="Casehead1"/>
        <w:rPr>
          <w:lang w:val="en-GB"/>
        </w:rPr>
      </w:pPr>
      <w:r>
        <w:rPr>
          <w:lang w:val="en-GB"/>
        </w:rPr>
        <w:t xml:space="preserve">the </w:t>
      </w:r>
      <w:r w:rsidR="00D810DE" w:rsidRPr="00BC71D8">
        <w:rPr>
          <w:lang w:val="en-GB"/>
        </w:rPr>
        <w:t>ROAD AHEAD</w:t>
      </w:r>
    </w:p>
    <w:p w14:paraId="77B00295" w14:textId="77777777" w:rsidR="00D810DE" w:rsidRPr="0044039B" w:rsidRDefault="00D810DE" w:rsidP="00D810DE">
      <w:pPr>
        <w:jc w:val="both"/>
        <w:rPr>
          <w:b/>
          <w:lang w:val="en-GB"/>
        </w:rPr>
      </w:pPr>
    </w:p>
    <w:p w14:paraId="36600950" w14:textId="77777777" w:rsidR="00B07F6E" w:rsidRPr="00BC71D8" w:rsidRDefault="00D810DE" w:rsidP="00FA246A">
      <w:pPr>
        <w:pStyle w:val="BodyTextMain"/>
        <w:rPr>
          <w:lang w:val="en-GB"/>
        </w:rPr>
      </w:pPr>
      <w:r w:rsidRPr="00BC71D8">
        <w:rPr>
          <w:lang w:val="en-GB"/>
        </w:rPr>
        <w:t xml:space="preserve">Since its official launch in January 2016, </w:t>
      </w:r>
      <w:proofErr w:type="spellStart"/>
      <w:r w:rsidRPr="00BC71D8">
        <w:rPr>
          <w:lang w:val="en-GB"/>
        </w:rPr>
        <w:t>Vaidam</w:t>
      </w:r>
      <w:proofErr w:type="spellEnd"/>
      <w:r w:rsidRPr="00BC71D8">
        <w:rPr>
          <w:lang w:val="en-GB"/>
        </w:rPr>
        <w:t xml:space="preserve"> had </w:t>
      </w:r>
      <w:r w:rsidR="00D72F6C" w:rsidRPr="00BC71D8">
        <w:rPr>
          <w:lang w:val="en-GB"/>
        </w:rPr>
        <w:t xml:space="preserve">grown </w:t>
      </w:r>
      <w:r w:rsidR="00AD71EC" w:rsidRPr="00BC71D8">
        <w:rPr>
          <w:lang w:val="en-GB"/>
        </w:rPr>
        <w:t xml:space="preserve">to </w:t>
      </w:r>
      <w:r w:rsidRPr="00BC71D8">
        <w:rPr>
          <w:lang w:val="en-GB"/>
        </w:rPr>
        <w:t xml:space="preserve">become a trusted name in the Indian MVT industry. In </w:t>
      </w:r>
      <w:r w:rsidR="00A57873" w:rsidRPr="00BC71D8">
        <w:rPr>
          <w:lang w:val="en-GB"/>
        </w:rPr>
        <w:t xml:space="preserve">the </w:t>
      </w:r>
      <w:r w:rsidRPr="00BC71D8">
        <w:rPr>
          <w:lang w:val="en-GB"/>
        </w:rPr>
        <w:t xml:space="preserve">last two years, the team had successfully built a strong ecosystem to take care of every need of international medical </w:t>
      </w:r>
      <w:r w:rsidR="005671AB" w:rsidRPr="00BC71D8">
        <w:rPr>
          <w:lang w:val="en-GB"/>
        </w:rPr>
        <w:t>travellers</w:t>
      </w:r>
      <w:r w:rsidR="00B07F6E" w:rsidRPr="00BC71D8">
        <w:rPr>
          <w:lang w:val="en-GB"/>
        </w:rPr>
        <w:t>,</w:t>
      </w:r>
      <w:r w:rsidRPr="00BC71D8">
        <w:rPr>
          <w:lang w:val="en-GB"/>
        </w:rPr>
        <w:t xml:space="preserve"> before and after treatment</w:t>
      </w:r>
      <w:r w:rsidR="00B07F6E" w:rsidRPr="00BC71D8">
        <w:rPr>
          <w:lang w:val="en-GB"/>
        </w:rPr>
        <w:t>. Pankaj said,</w:t>
      </w:r>
    </w:p>
    <w:p w14:paraId="1D520D38" w14:textId="77777777" w:rsidR="00B07F6E" w:rsidRPr="0044039B" w:rsidRDefault="00B07F6E" w:rsidP="00FA246A">
      <w:pPr>
        <w:pStyle w:val="BodyTextMain"/>
        <w:rPr>
          <w:sz w:val="20"/>
          <w:szCs w:val="20"/>
          <w:lang w:val="en-GB"/>
        </w:rPr>
      </w:pPr>
    </w:p>
    <w:p w14:paraId="6FD1D7EF" w14:textId="6376EEAC" w:rsidR="00B07F6E" w:rsidRPr="00BC71D8" w:rsidRDefault="00D810DE" w:rsidP="00FA246A">
      <w:pPr>
        <w:pStyle w:val="BodyTextMain"/>
        <w:ind w:left="720"/>
        <w:rPr>
          <w:lang w:val="en-GB"/>
        </w:rPr>
      </w:pPr>
      <w:r w:rsidRPr="00BC71D8">
        <w:rPr>
          <w:lang w:val="en-GB"/>
        </w:rPr>
        <w:t>We have a network of over 100 hospitals</w:t>
      </w:r>
      <w:r w:rsidR="00B07F6E" w:rsidRPr="00BC71D8">
        <w:rPr>
          <w:lang w:val="en-GB"/>
        </w:rPr>
        <w:t>,</w:t>
      </w:r>
      <w:r w:rsidRPr="00BC71D8">
        <w:rPr>
          <w:lang w:val="en-GB"/>
        </w:rPr>
        <w:t xml:space="preserve"> and we are looking forward to entering into more partnerships with </w:t>
      </w:r>
      <w:r w:rsidR="000B7F13">
        <w:rPr>
          <w:lang w:val="en-GB"/>
        </w:rPr>
        <w:t>health care</w:t>
      </w:r>
      <w:r w:rsidRPr="00BC71D8">
        <w:rPr>
          <w:lang w:val="en-GB"/>
        </w:rPr>
        <w:t xml:space="preserve"> institutions, insurance providers</w:t>
      </w:r>
      <w:r w:rsidR="00B07F6E" w:rsidRPr="00BC71D8">
        <w:rPr>
          <w:lang w:val="en-GB"/>
        </w:rPr>
        <w:t>,</w:t>
      </w:r>
      <w:r w:rsidRPr="00BC71D8">
        <w:rPr>
          <w:lang w:val="en-GB"/>
        </w:rPr>
        <w:t xml:space="preserve"> and health ministries of countries from where the patients travel to India. This will allow us to penetrate deeper into the industry and offer more value to our clients</w:t>
      </w:r>
      <w:r w:rsidR="00B07F6E" w:rsidRPr="00BC71D8">
        <w:rPr>
          <w:lang w:val="en-GB"/>
        </w:rPr>
        <w:t>.</w:t>
      </w:r>
    </w:p>
    <w:p w14:paraId="6055EDAC" w14:textId="77777777" w:rsidR="00B07F6E" w:rsidRPr="0044039B" w:rsidRDefault="00B07F6E" w:rsidP="00FA246A">
      <w:pPr>
        <w:pStyle w:val="BodyTextMain"/>
        <w:rPr>
          <w:sz w:val="20"/>
          <w:szCs w:val="20"/>
          <w:lang w:val="en-GB"/>
        </w:rPr>
      </w:pPr>
    </w:p>
    <w:p w14:paraId="5B8BD771" w14:textId="77777777" w:rsidR="00D810DE" w:rsidRPr="00BC71D8" w:rsidRDefault="00D810DE" w:rsidP="00FA246A">
      <w:pPr>
        <w:pStyle w:val="BodyTextMain"/>
        <w:rPr>
          <w:lang w:val="en-GB"/>
        </w:rPr>
      </w:pPr>
      <w:r w:rsidRPr="00BC71D8">
        <w:rPr>
          <w:lang w:val="en-GB"/>
        </w:rPr>
        <w:t xml:space="preserve">The team had developed an online platform fed by effectively curated content available in multiple languages for international </w:t>
      </w:r>
      <w:r w:rsidR="0045759A" w:rsidRPr="00BC71D8">
        <w:rPr>
          <w:lang w:val="en-GB"/>
        </w:rPr>
        <w:t>traveller</w:t>
      </w:r>
      <w:r w:rsidRPr="00BC71D8">
        <w:rPr>
          <w:lang w:val="en-GB"/>
        </w:rPr>
        <w:t>s</w:t>
      </w:r>
      <w:r w:rsidR="00B07F6E" w:rsidRPr="00BC71D8">
        <w:rPr>
          <w:lang w:val="en-GB"/>
        </w:rPr>
        <w:t xml:space="preserve">, </w:t>
      </w:r>
      <w:r w:rsidRPr="00BC71D8">
        <w:rPr>
          <w:lang w:val="en-GB"/>
        </w:rPr>
        <w:t>an efficient on-ground team to aid the patients during their stay</w:t>
      </w:r>
      <w:r w:rsidR="00B07F6E" w:rsidRPr="00BC71D8">
        <w:rPr>
          <w:lang w:val="en-GB"/>
        </w:rPr>
        <w:t xml:space="preserve">, </w:t>
      </w:r>
      <w:r w:rsidRPr="00BC71D8">
        <w:rPr>
          <w:lang w:val="en-GB"/>
        </w:rPr>
        <w:t xml:space="preserve">and self-help technology tools to improve customer experience. </w:t>
      </w:r>
    </w:p>
    <w:p w14:paraId="1ED502D6" w14:textId="77777777" w:rsidR="00D810DE" w:rsidRPr="0044039B" w:rsidRDefault="00D810DE" w:rsidP="00FA246A">
      <w:pPr>
        <w:pStyle w:val="BodyTextMain"/>
        <w:rPr>
          <w:sz w:val="20"/>
          <w:szCs w:val="20"/>
          <w:lang w:val="en-GB"/>
        </w:rPr>
      </w:pPr>
    </w:p>
    <w:p w14:paraId="6CDA9E16" w14:textId="2DE0E9D7" w:rsidR="00B07F6E" w:rsidRPr="00BC71D8" w:rsidRDefault="00D810DE" w:rsidP="00FA246A">
      <w:pPr>
        <w:pStyle w:val="BodyTextMain"/>
        <w:rPr>
          <w:lang w:val="en-GB"/>
        </w:rPr>
      </w:pPr>
      <w:r w:rsidRPr="00BC71D8">
        <w:rPr>
          <w:lang w:val="en-GB"/>
        </w:rPr>
        <w:t xml:space="preserve">The team </w:t>
      </w:r>
      <w:r w:rsidR="00A57873" w:rsidRPr="00BC71D8">
        <w:rPr>
          <w:lang w:val="en-GB"/>
        </w:rPr>
        <w:t>wanted</w:t>
      </w:r>
      <w:r w:rsidRPr="00BC71D8">
        <w:rPr>
          <w:lang w:val="en-GB"/>
        </w:rPr>
        <w:t xml:space="preserve"> to expand the partnership network both nationally and internationally in the coming years. So far, the team had worked </w:t>
      </w:r>
      <w:r w:rsidR="003B5A33" w:rsidRPr="00BC71D8">
        <w:rPr>
          <w:lang w:val="en-GB"/>
        </w:rPr>
        <w:t xml:space="preserve">on </w:t>
      </w:r>
      <w:r w:rsidRPr="00BC71D8">
        <w:rPr>
          <w:lang w:val="en-GB"/>
        </w:rPr>
        <w:t>promoti</w:t>
      </w:r>
      <w:r w:rsidR="00B07F6E" w:rsidRPr="00BC71D8">
        <w:rPr>
          <w:lang w:val="en-GB"/>
        </w:rPr>
        <w:t>ng</w:t>
      </w:r>
      <w:r w:rsidRPr="00BC71D8">
        <w:rPr>
          <w:lang w:val="en-GB"/>
        </w:rPr>
        <w:t xml:space="preserve"> and </w:t>
      </w:r>
      <w:r w:rsidR="00B07F6E" w:rsidRPr="00BC71D8">
        <w:rPr>
          <w:lang w:val="en-GB"/>
        </w:rPr>
        <w:t>facilitating</w:t>
      </w:r>
      <w:r w:rsidRPr="00BC71D8">
        <w:rPr>
          <w:lang w:val="en-GB"/>
        </w:rPr>
        <w:t xml:space="preserve"> MVT services </w:t>
      </w:r>
      <w:r w:rsidR="003B5A33" w:rsidRPr="00BC71D8">
        <w:rPr>
          <w:lang w:val="en-GB"/>
        </w:rPr>
        <w:t xml:space="preserve">in </w:t>
      </w:r>
      <w:r w:rsidRPr="00BC71D8">
        <w:rPr>
          <w:lang w:val="en-GB"/>
        </w:rPr>
        <w:t xml:space="preserve">its own country. </w:t>
      </w:r>
      <w:r w:rsidR="00B07F6E" w:rsidRPr="00BC71D8">
        <w:rPr>
          <w:lang w:val="en-GB"/>
        </w:rPr>
        <w:t>Now</w:t>
      </w:r>
      <w:r w:rsidRPr="00BC71D8">
        <w:rPr>
          <w:lang w:val="en-GB"/>
        </w:rPr>
        <w:t xml:space="preserve">, building </w:t>
      </w:r>
      <w:r w:rsidR="00B07F6E" w:rsidRPr="00BC71D8">
        <w:rPr>
          <w:lang w:val="en-GB"/>
        </w:rPr>
        <w:t xml:space="preserve">its </w:t>
      </w:r>
      <w:r w:rsidRPr="00BC71D8">
        <w:rPr>
          <w:lang w:val="en-GB"/>
        </w:rPr>
        <w:t xml:space="preserve">recognized brand in </w:t>
      </w:r>
      <w:r w:rsidR="00B07F6E" w:rsidRPr="00BC71D8">
        <w:rPr>
          <w:lang w:val="en-GB"/>
        </w:rPr>
        <w:t xml:space="preserve">the </w:t>
      </w:r>
      <w:r w:rsidRPr="00BC71D8">
        <w:rPr>
          <w:lang w:val="en-GB"/>
        </w:rPr>
        <w:t>MVT market, the company wanted to set</w:t>
      </w:r>
      <w:r w:rsidR="00131EC8">
        <w:rPr>
          <w:lang w:val="en-GB"/>
        </w:rPr>
        <w:t xml:space="preserve"> </w:t>
      </w:r>
      <w:r w:rsidRPr="00BC71D8">
        <w:rPr>
          <w:lang w:val="en-GB"/>
        </w:rPr>
        <w:t xml:space="preserve">up </w:t>
      </w:r>
      <w:r w:rsidR="00B07F6E" w:rsidRPr="00BC71D8">
        <w:rPr>
          <w:lang w:val="en-GB"/>
        </w:rPr>
        <w:t xml:space="preserve">a </w:t>
      </w:r>
      <w:r w:rsidRPr="00BC71D8">
        <w:rPr>
          <w:lang w:val="en-GB"/>
        </w:rPr>
        <w:t xml:space="preserve">network of medical providers in countries </w:t>
      </w:r>
      <w:r w:rsidR="00B07F6E" w:rsidRPr="00BC71D8">
        <w:rPr>
          <w:lang w:val="en-GB"/>
        </w:rPr>
        <w:t xml:space="preserve">that were </w:t>
      </w:r>
      <w:r w:rsidRPr="00BC71D8">
        <w:rPr>
          <w:lang w:val="en-GB"/>
        </w:rPr>
        <w:t xml:space="preserve">popular for </w:t>
      </w:r>
      <w:r w:rsidR="00B07F6E" w:rsidRPr="00BC71D8">
        <w:rPr>
          <w:lang w:val="en-GB"/>
        </w:rPr>
        <w:t xml:space="preserve">their </w:t>
      </w:r>
      <w:r w:rsidR="000B7F13">
        <w:rPr>
          <w:lang w:val="en-GB"/>
        </w:rPr>
        <w:t>health care</w:t>
      </w:r>
      <w:r w:rsidRPr="00BC71D8">
        <w:rPr>
          <w:lang w:val="en-GB"/>
        </w:rPr>
        <w:t xml:space="preserve"> infrastructure. </w:t>
      </w:r>
      <w:r w:rsidR="00B07F6E" w:rsidRPr="00BC71D8">
        <w:rPr>
          <w:lang w:val="en-GB"/>
        </w:rPr>
        <w:t>Pankaj mentioned</w:t>
      </w:r>
      <w:r w:rsidR="00131EC8">
        <w:rPr>
          <w:lang w:val="en-GB"/>
        </w:rPr>
        <w:t>:</w:t>
      </w:r>
    </w:p>
    <w:p w14:paraId="19EFA3BC" w14:textId="77777777" w:rsidR="00B07F6E" w:rsidRPr="0044039B" w:rsidRDefault="00B07F6E" w:rsidP="00FA246A">
      <w:pPr>
        <w:pStyle w:val="BodyTextMain"/>
        <w:rPr>
          <w:sz w:val="20"/>
          <w:szCs w:val="20"/>
          <w:lang w:val="en-GB"/>
        </w:rPr>
      </w:pPr>
    </w:p>
    <w:p w14:paraId="196932F3" w14:textId="43832E20" w:rsidR="00B07F6E" w:rsidRPr="00BC71D8" w:rsidRDefault="00D810DE" w:rsidP="00FA246A">
      <w:pPr>
        <w:pStyle w:val="BodyTextMain"/>
        <w:ind w:left="720"/>
        <w:rPr>
          <w:lang w:val="en-GB"/>
        </w:rPr>
      </w:pPr>
      <w:r w:rsidRPr="00FA246A">
        <w:rPr>
          <w:color w:val="000000"/>
          <w:lang w:val="en-GB"/>
        </w:rPr>
        <w:t xml:space="preserve">We want to refer patients to global destinations in </w:t>
      </w:r>
      <w:r w:rsidR="00A57873" w:rsidRPr="00FA246A">
        <w:rPr>
          <w:color w:val="000000"/>
          <w:lang w:val="en-GB"/>
        </w:rPr>
        <w:t xml:space="preserve">the </w:t>
      </w:r>
      <w:r w:rsidRPr="00FA246A">
        <w:rPr>
          <w:color w:val="000000"/>
          <w:lang w:val="en-GB"/>
        </w:rPr>
        <w:t xml:space="preserve">future, especially </w:t>
      </w:r>
      <w:r w:rsidR="00B07F6E" w:rsidRPr="00FA246A">
        <w:rPr>
          <w:color w:val="000000"/>
          <w:lang w:val="en-GB"/>
        </w:rPr>
        <w:t xml:space="preserve">to </w:t>
      </w:r>
      <w:r w:rsidRPr="00FA246A">
        <w:rPr>
          <w:color w:val="000000"/>
          <w:lang w:val="en-GB"/>
        </w:rPr>
        <w:t>countries like Thailand, Turkey, Dubai, Malaysia, and Singapore</w:t>
      </w:r>
      <w:r w:rsidR="00B07F6E" w:rsidRPr="00FA246A">
        <w:rPr>
          <w:color w:val="000000"/>
          <w:lang w:val="en-GB"/>
        </w:rPr>
        <w:t>,</w:t>
      </w:r>
      <w:r w:rsidRPr="00FA246A">
        <w:rPr>
          <w:color w:val="000000"/>
          <w:lang w:val="en-GB"/>
        </w:rPr>
        <w:t xml:space="preserve"> which are ranked very highly in the </w:t>
      </w:r>
      <w:r w:rsidR="005F13BC" w:rsidRPr="00FA246A">
        <w:rPr>
          <w:color w:val="000000"/>
          <w:lang w:val="en-GB"/>
        </w:rPr>
        <w:t>[hierarchy]</w:t>
      </w:r>
      <w:r w:rsidRPr="00FA246A">
        <w:rPr>
          <w:color w:val="000000"/>
          <w:lang w:val="en-GB"/>
        </w:rPr>
        <w:t xml:space="preserve"> of countries receiving medical </w:t>
      </w:r>
      <w:r w:rsidR="0045759A" w:rsidRPr="00FA246A">
        <w:rPr>
          <w:color w:val="000000"/>
          <w:lang w:val="en-GB"/>
        </w:rPr>
        <w:t>traveller</w:t>
      </w:r>
      <w:r w:rsidRPr="00FA246A">
        <w:rPr>
          <w:color w:val="000000"/>
          <w:lang w:val="en-GB"/>
        </w:rPr>
        <w:t>s.</w:t>
      </w:r>
      <w:r w:rsidRPr="00FA246A">
        <w:rPr>
          <w:lang w:val="en-GB"/>
        </w:rPr>
        <w:t xml:space="preserve"> Our</w:t>
      </w:r>
      <w:r w:rsidRPr="00BC71D8">
        <w:rPr>
          <w:lang w:val="en-GB"/>
        </w:rPr>
        <w:t xml:space="preserve"> alliance team is working for opening offices at these overseas locations</w:t>
      </w:r>
      <w:r w:rsidR="00B07F6E" w:rsidRPr="00BC71D8">
        <w:rPr>
          <w:lang w:val="en-GB"/>
        </w:rPr>
        <w:t>.</w:t>
      </w:r>
    </w:p>
    <w:p w14:paraId="73D44AF9" w14:textId="77777777" w:rsidR="00B07F6E" w:rsidRPr="0044039B" w:rsidRDefault="00B07F6E" w:rsidP="00FA246A">
      <w:pPr>
        <w:pStyle w:val="BodyTextMain"/>
        <w:rPr>
          <w:sz w:val="20"/>
          <w:szCs w:val="20"/>
          <w:lang w:val="en-GB"/>
        </w:rPr>
      </w:pPr>
      <w:bookmarkStart w:id="0" w:name="_GoBack"/>
      <w:bookmarkEnd w:id="0"/>
    </w:p>
    <w:p w14:paraId="324D233A" w14:textId="4C4748BA" w:rsidR="00C01A84" w:rsidRPr="00BC71D8" w:rsidRDefault="00D810DE" w:rsidP="00FA246A">
      <w:pPr>
        <w:pStyle w:val="BodyTextMain"/>
        <w:rPr>
          <w:lang w:val="en-GB"/>
        </w:rPr>
      </w:pPr>
      <w:r w:rsidRPr="00BC71D8">
        <w:rPr>
          <w:lang w:val="en-GB"/>
        </w:rPr>
        <w:t xml:space="preserve">The company invested in marketing its services through the local newspapers and radio channels to create brand awareness in these overseas destinations. Apart from investing in diverse marketing channels, the content team at </w:t>
      </w:r>
      <w:proofErr w:type="spellStart"/>
      <w:r w:rsidRPr="00BC71D8">
        <w:rPr>
          <w:lang w:val="en-GB"/>
        </w:rPr>
        <w:t>Vaidam</w:t>
      </w:r>
      <w:proofErr w:type="spellEnd"/>
      <w:r w:rsidRPr="00BC71D8">
        <w:rPr>
          <w:lang w:val="en-GB"/>
        </w:rPr>
        <w:t xml:space="preserve"> </w:t>
      </w:r>
      <w:r w:rsidR="00131EC8">
        <w:rPr>
          <w:lang w:val="en-GB"/>
        </w:rPr>
        <w:t xml:space="preserve">had </w:t>
      </w:r>
      <w:r w:rsidRPr="00BC71D8">
        <w:rPr>
          <w:lang w:val="en-GB"/>
        </w:rPr>
        <w:t xml:space="preserve">worked </w:t>
      </w:r>
      <w:r w:rsidR="00C01A84" w:rsidRPr="00BC71D8">
        <w:rPr>
          <w:lang w:val="en-GB"/>
        </w:rPr>
        <w:t xml:space="preserve">to translate </w:t>
      </w:r>
      <w:r w:rsidRPr="00BC71D8">
        <w:rPr>
          <w:lang w:val="en-GB"/>
        </w:rPr>
        <w:t>content in</w:t>
      </w:r>
      <w:r w:rsidR="00C01A84" w:rsidRPr="00BC71D8">
        <w:rPr>
          <w:lang w:val="en-GB"/>
        </w:rPr>
        <w:t>to seven</w:t>
      </w:r>
      <w:r w:rsidRPr="00BC71D8">
        <w:rPr>
          <w:lang w:val="en-GB"/>
        </w:rPr>
        <w:t xml:space="preserve"> different languages</w:t>
      </w:r>
      <w:r w:rsidR="00C01A84" w:rsidRPr="00BC71D8">
        <w:rPr>
          <w:lang w:val="en-GB"/>
        </w:rPr>
        <w:t>,</w:t>
      </w:r>
      <w:r w:rsidRPr="00BC71D8">
        <w:rPr>
          <w:lang w:val="en-GB"/>
        </w:rPr>
        <w:t xml:space="preserve"> to increase access </w:t>
      </w:r>
      <w:r w:rsidR="003B5A33" w:rsidRPr="00BC71D8">
        <w:rPr>
          <w:lang w:val="en-GB"/>
        </w:rPr>
        <w:t xml:space="preserve">for </w:t>
      </w:r>
      <w:r w:rsidRPr="00BC71D8">
        <w:rPr>
          <w:lang w:val="en-GB"/>
        </w:rPr>
        <w:t xml:space="preserve">patients. </w:t>
      </w:r>
      <w:r w:rsidR="00C01A84" w:rsidRPr="00BC71D8">
        <w:rPr>
          <w:lang w:val="en-GB"/>
        </w:rPr>
        <w:t xml:space="preserve">As Pankaj said, </w:t>
      </w:r>
    </w:p>
    <w:p w14:paraId="544D29C8" w14:textId="77777777" w:rsidR="00C01A84" w:rsidRPr="0044039B" w:rsidRDefault="00C01A84" w:rsidP="00A201C3">
      <w:pPr>
        <w:pStyle w:val="BodyTextMain"/>
        <w:rPr>
          <w:sz w:val="20"/>
          <w:szCs w:val="20"/>
          <w:lang w:val="en-GB"/>
        </w:rPr>
      </w:pPr>
    </w:p>
    <w:p w14:paraId="156C2106" w14:textId="7915E71F" w:rsidR="00A45CE8" w:rsidRPr="0044039B" w:rsidRDefault="00D810DE" w:rsidP="0044039B">
      <w:pPr>
        <w:pStyle w:val="BodyTextMain"/>
        <w:ind w:left="720"/>
        <w:rPr>
          <w:color w:val="000000"/>
          <w:shd w:val="clear" w:color="auto" w:fill="FFFFFF"/>
          <w:lang w:val="en-GB"/>
        </w:rPr>
      </w:pPr>
      <w:proofErr w:type="spellStart"/>
      <w:r w:rsidRPr="005F13BC">
        <w:rPr>
          <w:color w:val="000000"/>
          <w:spacing w:val="-2"/>
          <w:kern w:val="22"/>
          <w:lang w:val="en-GB"/>
        </w:rPr>
        <w:t>Vaidam</w:t>
      </w:r>
      <w:proofErr w:type="spellEnd"/>
      <w:r w:rsidRPr="005F13BC">
        <w:rPr>
          <w:color w:val="000000"/>
          <w:spacing w:val="-2"/>
          <w:kern w:val="22"/>
          <w:lang w:val="en-GB"/>
        </w:rPr>
        <w:t xml:space="preserve"> aims to help patient</w:t>
      </w:r>
      <w:r w:rsidR="00C01A84" w:rsidRPr="005F13BC">
        <w:rPr>
          <w:color w:val="000000"/>
          <w:spacing w:val="-2"/>
          <w:kern w:val="22"/>
          <w:lang w:val="en-GB"/>
        </w:rPr>
        <w:t>s</w:t>
      </w:r>
      <w:r w:rsidRPr="005F13BC">
        <w:rPr>
          <w:color w:val="000000"/>
          <w:spacing w:val="-2"/>
          <w:kern w:val="22"/>
          <w:lang w:val="en-GB"/>
        </w:rPr>
        <w:t xml:space="preserve"> from any country </w:t>
      </w:r>
      <w:r w:rsidR="0045759A" w:rsidRPr="005F13BC">
        <w:rPr>
          <w:color w:val="000000"/>
          <w:spacing w:val="-2"/>
          <w:kern w:val="22"/>
          <w:lang w:val="en-GB"/>
        </w:rPr>
        <w:t>travelling</w:t>
      </w:r>
      <w:r w:rsidRPr="005F13BC">
        <w:rPr>
          <w:color w:val="000000"/>
          <w:spacing w:val="-2"/>
          <w:kern w:val="22"/>
          <w:lang w:val="en-GB"/>
        </w:rPr>
        <w:t xml:space="preserve"> to any country for treatment as per their preference for </w:t>
      </w:r>
      <w:r w:rsidR="000B7F13" w:rsidRPr="005F13BC">
        <w:rPr>
          <w:color w:val="000000"/>
          <w:spacing w:val="-2"/>
          <w:kern w:val="22"/>
          <w:lang w:val="en-GB"/>
        </w:rPr>
        <w:t>health care</w:t>
      </w:r>
      <w:r w:rsidRPr="005F13BC">
        <w:rPr>
          <w:color w:val="000000"/>
          <w:spacing w:val="-2"/>
          <w:kern w:val="22"/>
          <w:lang w:val="en-GB"/>
        </w:rPr>
        <w:t xml:space="preserve"> cost, quality</w:t>
      </w:r>
      <w:r w:rsidR="00C01A84" w:rsidRPr="005F13BC">
        <w:rPr>
          <w:color w:val="000000"/>
          <w:spacing w:val="-2"/>
          <w:kern w:val="22"/>
          <w:lang w:val="en-GB"/>
        </w:rPr>
        <w:t>,</w:t>
      </w:r>
      <w:r w:rsidRPr="005F13BC">
        <w:rPr>
          <w:color w:val="000000"/>
          <w:spacing w:val="-2"/>
          <w:kern w:val="22"/>
          <w:lang w:val="en-GB"/>
        </w:rPr>
        <w:t xml:space="preserve"> and social alignment. We are working towards achieving our aim. Now it is to be seen whether we are able </w:t>
      </w:r>
      <w:r w:rsidR="00C01A84" w:rsidRPr="005F13BC">
        <w:rPr>
          <w:color w:val="000000"/>
          <w:spacing w:val="-2"/>
          <w:kern w:val="22"/>
          <w:lang w:val="en-GB"/>
        </w:rPr>
        <w:t xml:space="preserve">[to] </w:t>
      </w:r>
      <w:r w:rsidRPr="005F13BC">
        <w:rPr>
          <w:color w:val="000000"/>
          <w:spacing w:val="-2"/>
          <w:kern w:val="22"/>
          <w:lang w:val="en-GB"/>
        </w:rPr>
        <w:t xml:space="preserve">continuously </w:t>
      </w:r>
      <w:r w:rsidR="003B5A33" w:rsidRPr="005F13BC">
        <w:rPr>
          <w:color w:val="000000"/>
          <w:spacing w:val="-2"/>
          <w:kern w:val="22"/>
          <w:lang w:val="en-GB"/>
        </w:rPr>
        <w:t xml:space="preserve">create </w:t>
      </w:r>
      <w:r w:rsidRPr="005F13BC">
        <w:rPr>
          <w:color w:val="000000"/>
          <w:spacing w:val="-2"/>
          <w:kern w:val="22"/>
          <w:lang w:val="en-GB"/>
        </w:rPr>
        <w:t xml:space="preserve">value </w:t>
      </w:r>
      <w:r w:rsidR="003B5A33" w:rsidRPr="005F13BC">
        <w:rPr>
          <w:color w:val="000000"/>
          <w:spacing w:val="-2"/>
          <w:kern w:val="22"/>
          <w:lang w:val="en-GB"/>
        </w:rPr>
        <w:t xml:space="preserve">for </w:t>
      </w:r>
      <w:r w:rsidRPr="005F13BC">
        <w:rPr>
          <w:color w:val="000000"/>
          <w:spacing w:val="-2"/>
          <w:kern w:val="22"/>
          <w:lang w:val="en-GB"/>
        </w:rPr>
        <w:t xml:space="preserve">the medical </w:t>
      </w:r>
      <w:r w:rsidR="0045759A" w:rsidRPr="005F13BC">
        <w:rPr>
          <w:color w:val="000000"/>
          <w:spacing w:val="-2"/>
          <w:kern w:val="22"/>
          <w:lang w:val="en-GB"/>
        </w:rPr>
        <w:t>traveller</w:t>
      </w:r>
      <w:r w:rsidR="003B5A33" w:rsidRPr="005F13BC">
        <w:rPr>
          <w:color w:val="000000"/>
          <w:spacing w:val="-2"/>
          <w:kern w:val="22"/>
          <w:lang w:val="en-GB"/>
        </w:rPr>
        <w:t>s</w:t>
      </w:r>
      <w:r w:rsidRPr="00BC71D8">
        <w:rPr>
          <w:color w:val="000000"/>
          <w:shd w:val="clear" w:color="auto" w:fill="FFFFFF"/>
          <w:lang w:val="en-GB"/>
        </w:rPr>
        <w:t>.</w:t>
      </w:r>
      <w:r w:rsidR="00A45CE8" w:rsidRPr="00BC71D8">
        <w:rPr>
          <w:color w:val="000000"/>
          <w:shd w:val="clear" w:color="auto" w:fill="FFFFFF"/>
          <w:vertAlign w:val="subscript"/>
          <w:lang w:val="en-GB"/>
        </w:rPr>
        <w:br w:type="page"/>
      </w:r>
    </w:p>
    <w:p w14:paraId="703BABDC" w14:textId="121FC5B2" w:rsidR="00A45CE8" w:rsidRPr="00BC71D8" w:rsidRDefault="00A45CE8" w:rsidP="00B413AA">
      <w:pPr>
        <w:pStyle w:val="ExhibitHeading"/>
        <w:rPr>
          <w:rFonts w:eastAsiaTheme="minorEastAsia"/>
          <w:lang w:val="en-GB"/>
        </w:rPr>
      </w:pPr>
      <w:r w:rsidRPr="00BC71D8">
        <w:rPr>
          <w:rFonts w:eastAsiaTheme="minorEastAsia"/>
          <w:lang w:val="en-GB"/>
        </w:rPr>
        <w:lastRenderedPageBreak/>
        <w:t xml:space="preserve">EXHIBIT 1: COST COMPARISON OF MEDICAL TREATMENT AMONG KEY </w:t>
      </w:r>
      <w:r w:rsidR="000B7F13">
        <w:rPr>
          <w:rFonts w:eastAsiaTheme="minorEastAsia"/>
          <w:lang w:val="en-GB"/>
        </w:rPr>
        <w:t>HEALTH CARE</w:t>
      </w:r>
      <w:r w:rsidRPr="00BC71D8">
        <w:rPr>
          <w:rFonts w:eastAsiaTheme="minorEastAsia"/>
          <w:lang w:val="en-GB"/>
        </w:rPr>
        <w:t xml:space="preserve"> DESTINATIONS</w:t>
      </w:r>
    </w:p>
    <w:p w14:paraId="3C3CF81B" w14:textId="77777777" w:rsidR="00A45CE8" w:rsidRPr="00DD7842" w:rsidRDefault="00A45CE8" w:rsidP="00A45CE8">
      <w:pPr>
        <w:jc w:val="center"/>
        <w:rPr>
          <w:rFonts w:eastAsiaTheme="minorEastAsia"/>
          <w:sz w:val="22"/>
          <w:szCs w:val="22"/>
          <w:lang w:val="en-GB"/>
        </w:rPr>
      </w:pPr>
    </w:p>
    <w:tbl>
      <w:tblPr>
        <w:tblStyle w:val="TableGrid1"/>
        <w:tblW w:w="9360" w:type="dxa"/>
        <w:tblInd w:w="-5" w:type="dxa"/>
        <w:tblLook w:val="04A0" w:firstRow="1" w:lastRow="0" w:firstColumn="1" w:lastColumn="0" w:noHBand="0" w:noVBand="1"/>
      </w:tblPr>
      <w:tblGrid>
        <w:gridCol w:w="1553"/>
        <w:gridCol w:w="999"/>
        <w:gridCol w:w="1559"/>
        <w:gridCol w:w="1418"/>
        <w:gridCol w:w="1324"/>
        <w:gridCol w:w="1242"/>
        <w:gridCol w:w="1265"/>
      </w:tblGrid>
      <w:tr w:rsidR="00A45CE8" w:rsidRPr="00BC71D8" w14:paraId="46E1F623" w14:textId="77777777" w:rsidTr="00911EC7">
        <w:tc>
          <w:tcPr>
            <w:tcW w:w="9360" w:type="dxa"/>
            <w:gridSpan w:val="7"/>
            <w:vAlign w:val="center"/>
          </w:tcPr>
          <w:p w14:paraId="0A06EDEB" w14:textId="65BDF3B1" w:rsidR="00A45CE8" w:rsidRPr="00BC71D8" w:rsidRDefault="00A45CE8" w:rsidP="00B413AA">
            <w:pPr>
              <w:pStyle w:val="ExhibitText"/>
              <w:jc w:val="center"/>
              <w:rPr>
                <w:b/>
                <w:lang w:val="en-GB"/>
              </w:rPr>
            </w:pPr>
            <w:r w:rsidRPr="00BC71D8">
              <w:rPr>
                <w:b/>
                <w:lang w:val="en-GB"/>
              </w:rPr>
              <w:t>Cost of Treatment</w:t>
            </w:r>
            <w:r w:rsidR="00131EC8">
              <w:rPr>
                <w:b/>
                <w:lang w:val="en-GB"/>
              </w:rPr>
              <w:t xml:space="preserve"> </w:t>
            </w:r>
            <w:r w:rsidRPr="00BC71D8">
              <w:rPr>
                <w:b/>
                <w:lang w:val="en-GB"/>
              </w:rPr>
              <w:t>(USD)</w:t>
            </w:r>
          </w:p>
        </w:tc>
      </w:tr>
      <w:tr w:rsidR="00432638" w:rsidRPr="00BC71D8" w14:paraId="21B21543" w14:textId="77777777" w:rsidTr="00911EC7">
        <w:tc>
          <w:tcPr>
            <w:tcW w:w="9360" w:type="dxa"/>
            <w:gridSpan w:val="7"/>
            <w:vAlign w:val="center"/>
          </w:tcPr>
          <w:p w14:paraId="65AC652B" w14:textId="6DC58C73" w:rsidR="00432638" w:rsidRPr="00BC71D8" w:rsidRDefault="0044039B" w:rsidP="00B413AA">
            <w:pPr>
              <w:pStyle w:val="ExhibitText"/>
              <w:jc w:val="center"/>
              <w:rPr>
                <w:b/>
                <w:lang w:val="en-GB"/>
              </w:rPr>
            </w:pPr>
            <w:r>
              <w:rPr>
                <w:b/>
                <w:lang w:val="en-GB"/>
              </w:rPr>
              <w:t>Health C</w:t>
            </w:r>
            <w:r w:rsidR="000B7F13">
              <w:rPr>
                <w:b/>
                <w:lang w:val="en-GB"/>
              </w:rPr>
              <w:t>are</w:t>
            </w:r>
            <w:r w:rsidR="00432638" w:rsidRPr="00BC71D8">
              <w:rPr>
                <w:b/>
                <w:lang w:val="en-GB"/>
              </w:rPr>
              <w:t xml:space="preserve"> Destination</w:t>
            </w:r>
          </w:p>
        </w:tc>
      </w:tr>
      <w:tr w:rsidR="00A45CE8" w:rsidRPr="00BC71D8" w14:paraId="5043F9B6" w14:textId="77777777" w:rsidTr="00911EC7">
        <w:tc>
          <w:tcPr>
            <w:tcW w:w="1553" w:type="dxa"/>
            <w:vAlign w:val="center"/>
          </w:tcPr>
          <w:p w14:paraId="47E681BB" w14:textId="77777777" w:rsidR="00A45CE8" w:rsidRPr="00BC71D8" w:rsidRDefault="00867F2B" w:rsidP="00F902A0">
            <w:pPr>
              <w:pStyle w:val="ExhibitText"/>
              <w:jc w:val="center"/>
              <w:rPr>
                <w:b/>
                <w:lang w:val="en-GB"/>
              </w:rPr>
            </w:pPr>
            <w:r w:rsidRPr="00BC71D8">
              <w:rPr>
                <w:b/>
                <w:lang w:val="en-GB"/>
              </w:rPr>
              <w:t xml:space="preserve">Medical </w:t>
            </w:r>
            <w:r w:rsidR="00DE5B9E" w:rsidRPr="00BC71D8">
              <w:rPr>
                <w:b/>
                <w:lang w:val="en-GB"/>
              </w:rPr>
              <w:t>Procedure</w:t>
            </w:r>
          </w:p>
        </w:tc>
        <w:tc>
          <w:tcPr>
            <w:tcW w:w="999" w:type="dxa"/>
            <w:vAlign w:val="center"/>
          </w:tcPr>
          <w:p w14:paraId="710BCD54" w14:textId="77777777" w:rsidR="00A45CE8" w:rsidRPr="00BC71D8" w:rsidRDefault="00A45CE8" w:rsidP="009C36AA">
            <w:pPr>
              <w:pStyle w:val="ExhibitText"/>
              <w:jc w:val="center"/>
              <w:rPr>
                <w:b/>
                <w:lang w:val="en-GB"/>
              </w:rPr>
            </w:pPr>
            <w:r w:rsidRPr="00BC71D8">
              <w:rPr>
                <w:b/>
                <w:lang w:val="en-GB"/>
              </w:rPr>
              <w:t>India</w:t>
            </w:r>
          </w:p>
        </w:tc>
        <w:tc>
          <w:tcPr>
            <w:tcW w:w="1559" w:type="dxa"/>
            <w:vAlign w:val="center"/>
          </w:tcPr>
          <w:p w14:paraId="6CD10D05" w14:textId="77777777" w:rsidR="00A45CE8" w:rsidRPr="00BC71D8" w:rsidRDefault="00A45CE8">
            <w:pPr>
              <w:pStyle w:val="ExhibitText"/>
              <w:jc w:val="center"/>
              <w:rPr>
                <w:b/>
                <w:lang w:val="en-GB"/>
              </w:rPr>
            </w:pPr>
            <w:r w:rsidRPr="00BC71D8">
              <w:rPr>
                <w:b/>
                <w:lang w:val="en-GB"/>
              </w:rPr>
              <w:t>United States</w:t>
            </w:r>
          </w:p>
        </w:tc>
        <w:tc>
          <w:tcPr>
            <w:tcW w:w="1418" w:type="dxa"/>
            <w:vAlign w:val="center"/>
          </w:tcPr>
          <w:p w14:paraId="2AED5C3F" w14:textId="77777777" w:rsidR="00A45CE8" w:rsidRPr="00BC71D8" w:rsidRDefault="00A45CE8">
            <w:pPr>
              <w:pStyle w:val="ExhibitText"/>
              <w:jc w:val="center"/>
              <w:rPr>
                <w:b/>
                <w:lang w:val="en-GB"/>
              </w:rPr>
            </w:pPr>
            <w:r w:rsidRPr="00BC71D8">
              <w:rPr>
                <w:b/>
                <w:lang w:val="en-GB"/>
              </w:rPr>
              <w:t>Korea</w:t>
            </w:r>
          </w:p>
        </w:tc>
        <w:tc>
          <w:tcPr>
            <w:tcW w:w="1324" w:type="dxa"/>
            <w:vAlign w:val="center"/>
          </w:tcPr>
          <w:p w14:paraId="6EF8B839" w14:textId="77777777" w:rsidR="00A45CE8" w:rsidRPr="00BC71D8" w:rsidRDefault="00A45CE8">
            <w:pPr>
              <w:pStyle w:val="ExhibitText"/>
              <w:jc w:val="center"/>
              <w:rPr>
                <w:b/>
                <w:lang w:val="en-GB"/>
              </w:rPr>
            </w:pPr>
            <w:r w:rsidRPr="00BC71D8">
              <w:rPr>
                <w:b/>
                <w:lang w:val="en-GB"/>
              </w:rPr>
              <w:t>Mexico</w:t>
            </w:r>
          </w:p>
        </w:tc>
        <w:tc>
          <w:tcPr>
            <w:tcW w:w="1242" w:type="dxa"/>
            <w:vAlign w:val="center"/>
          </w:tcPr>
          <w:p w14:paraId="56C04CA8" w14:textId="77777777" w:rsidR="00A45CE8" w:rsidRPr="00BC71D8" w:rsidRDefault="00A45CE8">
            <w:pPr>
              <w:pStyle w:val="ExhibitText"/>
              <w:jc w:val="center"/>
              <w:rPr>
                <w:b/>
                <w:lang w:val="en-GB"/>
              </w:rPr>
            </w:pPr>
            <w:r w:rsidRPr="00BC71D8">
              <w:rPr>
                <w:b/>
                <w:lang w:val="en-GB"/>
              </w:rPr>
              <w:t>Thailand</w:t>
            </w:r>
          </w:p>
        </w:tc>
        <w:tc>
          <w:tcPr>
            <w:tcW w:w="1265" w:type="dxa"/>
            <w:vAlign w:val="center"/>
          </w:tcPr>
          <w:p w14:paraId="65142107" w14:textId="4EAA0BFE" w:rsidR="00A45CE8" w:rsidRPr="00BC71D8" w:rsidRDefault="00A45CE8" w:rsidP="0044039B">
            <w:pPr>
              <w:pStyle w:val="ExhibitText"/>
              <w:jc w:val="center"/>
              <w:rPr>
                <w:b/>
                <w:lang w:val="en-GB"/>
              </w:rPr>
            </w:pPr>
            <w:r w:rsidRPr="00BC71D8">
              <w:rPr>
                <w:b/>
                <w:lang w:val="en-GB"/>
              </w:rPr>
              <w:t>Malaysia</w:t>
            </w:r>
          </w:p>
        </w:tc>
      </w:tr>
      <w:tr w:rsidR="00A45CE8" w:rsidRPr="00BC71D8" w14:paraId="77CCF4CF" w14:textId="77777777" w:rsidTr="00911EC7">
        <w:tc>
          <w:tcPr>
            <w:tcW w:w="1553" w:type="dxa"/>
            <w:vAlign w:val="center"/>
          </w:tcPr>
          <w:p w14:paraId="5ACF91BC" w14:textId="77777777" w:rsidR="00A45CE8" w:rsidRPr="00BC71D8" w:rsidRDefault="00A45CE8" w:rsidP="00612808">
            <w:pPr>
              <w:pStyle w:val="ExhibitText"/>
              <w:jc w:val="left"/>
              <w:rPr>
                <w:lang w:val="en-GB"/>
              </w:rPr>
            </w:pPr>
            <w:r w:rsidRPr="00BC71D8">
              <w:rPr>
                <w:lang w:val="en-GB"/>
              </w:rPr>
              <w:t>Heart Bypass</w:t>
            </w:r>
          </w:p>
        </w:tc>
        <w:tc>
          <w:tcPr>
            <w:tcW w:w="999" w:type="dxa"/>
            <w:vAlign w:val="center"/>
          </w:tcPr>
          <w:p w14:paraId="6816B23C" w14:textId="77777777" w:rsidR="00A45CE8" w:rsidRPr="00BC71D8" w:rsidRDefault="00A45CE8" w:rsidP="00867F2B">
            <w:pPr>
              <w:pStyle w:val="ExhibitNumber"/>
              <w:jc w:val="right"/>
              <w:rPr>
                <w:b w:val="0"/>
                <w:lang w:val="en-GB"/>
              </w:rPr>
            </w:pPr>
            <w:r w:rsidRPr="00BC71D8">
              <w:rPr>
                <w:b w:val="0"/>
                <w:lang w:val="en-GB"/>
              </w:rPr>
              <w:t>5,200</w:t>
            </w:r>
          </w:p>
        </w:tc>
        <w:tc>
          <w:tcPr>
            <w:tcW w:w="1559" w:type="dxa"/>
            <w:vAlign w:val="center"/>
          </w:tcPr>
          <w:p w14:paraId="49C098F0" w14:textId="77777777" w:rsidR="00A45CE8" w:rsidRPr="00BC71D8" w:rsidRDefault="00A45CE8" w:rsidP="00867F2B">
            <w:pPr>
              <w:pStyle w:val="ExhibitNumber"/>
              <w:jc w:val="right"/>
              <w:rPr>
                <w:b w:val="0"/>
                <w:lang w:val="en-GB"/>
              </w:rPr>
            </w:pPr>
            <w:r w:rsidRPr="00BC71D8">
              <w:rPr>
                <w:b w:val="0"/>
                <w:lang w:val="en-GB"/>
              </w:rPr>
              <w:t>144,000</w:t>
            </w:r>
          </w:p>
        </w:tc>
        <w:tc>
          <w:tcPr>
            <w:tcW w:w="1418" w:type="dxa"/>
            <w:vAlign w:val="center"/>
          </w:tcPr>
          <w:p w14:paraId="7CB813AA" w14:textId="77777777" w:rsidR="00A45CE8" w:rsidRPr="00BC71D8" w:rsidRDefault="00A45CE8" w:rsidP="00867F2B">
            <w:pPr>
              <w:pStyle w:val="ExhibitNumber"/>
              <w:jc w:val="right"/>
              <w:rPr>
                <w:b w:val="0"/>
                <w:lang w:val="en-GB"/>
              </w:rPr>
            </w:pPr>
            <w:r w:rsidRPr="00BC71D8">
              <w:rPr>
                <w:b w:val="0"/>
                <w:lang w:val="en-GB"/>
              </w:rPr>
              <w:t>28,900</w:t>
            </w:r>
          </w:p>
        </w:tc>
        <w:tc>
          <w:tcPr>
            <w:tcW w:w="1324" w:type="dxa"/>
            <w:vAlign w:val="center"/>
          </w:tcPr>
          <w:p w14:paraId="3CD750DA" w14:textId="77777777" w:rsidR="00A45CE8" w:rsidRPr="00BC71D8" w:rsidRDefault="00A45CE8" w:rsidP="00867F2B">
            <w:pPr>
              <w:pStyle w:val="ExhibitNumber"/>
              <w:jc w:val="right"/>
              <w:rPr>
                <w:b w:val="0"/>
                <w:lang w:val="en-GB"/>
              </w:rPr>
            </w:pPr>
            <w:r w:rsidRPr="00BC71D8">
              <w:rPr>
                <w:b w:val="0"/>
                <w:lang w:val="en-GB"/>
              </w:rPr>
              <w:t>27,000</w:t>
            </w:r>
          </w:p>
        </w:tc>
        <w:tc>
          <w:tcPr>
            <w:tcW w:w="1242" w:type="dxa"/>
            <w:vAlign w:val="center"/>
          </w:tcPr>
          <w:p w14:paraId="2B458AD8" w14:textId="77777777" w:rsidR="00A45CE8" w:rsidRPr="00BC71D8" w:rsidRDefault="00A45CE8" w:rsidP="00867F2B">
            <w:pPr>
              <w:pStyle w:val="ExhibitNumber"/>
              <w:jc w:val="right"/>
              <w:rPr>
                <w:b w:val="0"/>
                <w:lang w:val="en-GB"/>
              </w:rPr>
            </w:pPr>
            <w:r w:rsidRPr="00BC71D8">
              <w:rPr>
                <w:b w:val="0"/>
                <w:lang w:val="en-GB"/>
              </w:rPr>
              <w:t>15,121</w:t>
            </w:r>
          </w:p>
        </w:tc>
        <w:tc>
          <w:tcPr>
            <w:tcW w:w="1265" w:type="dxa"/>
            <w:vAlign w:val="center"/>
          </w:tcPr>
          <w:p w14:paraId="25EC5D88" w14:textId="77777777" w:rsidR="00A45CE8" w:rsidRPr="00BC71D8" w:rsidRDefault="00A45CE8" w:rsidP="00867F2B">
            <w:pPr>
              <w:pStyle w:val="ExhibitNumber"/>
              <w:jc w:val="right"/>
              <w:rPr>
                <w:b w:val="0"/>
                <w:lang w:val="en-GB"/>
              </w:rPr>
            </w:pPr>
            <w:r w:rsidRPr="00BC71D8">
              <w:rPr>
                <w:b w:val="0"/>
                <w:lang w:val="en-GB"/>
              </w:rPr>
              <w:t>11,430</w:t>
            </w:r>
          </w:p>
        </w:tc>
      </w:tr>
      <w:tr w:rsidR="00A45CE8" w:rsidRPr="00BC71D8" w14:paraId="4EFA3C4D" w14:textId="77777777" w:rsidTr="00911EC7">
        <w:tc>
          <w:tcPr>
            <w:tcW w:w="1553" w:type="dxa"/>
            <w:vAlign w:val="center"/>
          </w:tcPr>
          <w:p w14:paraId="0CD89134" w14:textId="77777777" w:rsidR="00A45CE8" w:rsidRPr="00BC71D8" w:rsidRDefault="00A45CE8" w:rsidP="00612808">
            <w:pPr>
              <w:pStyle w:val="ExhibitText"/>
              <w:jc w:val="left"/>
              <w:rPr>
                <w:lang w:val="en-GB"/>
              </w:rPr>
            </w:pPr>
            <w:r w:rsidRPr="00BC71D8">
              <w:rPr>
                <w:lang w:val="en-GB"/>
              </w:rPr>
              <w:t>Angioplasty</w:t>
            </w:r>
          </w:p>
        </w:tc>
        <w:tc>
          <w:tcPr>
            <w:tcW w:w="999" w:type="dxa"/>
            <w:vAlign w:val="center"/>
          </w:tcPr>
          <w:p w14:paraId="6B472FDC" w14:textId="77777777" w:rsidR="00A45CE8" w:rsidRPr="00BC71D8" w:rsidRDefault="00A45CE8" w:rsidP="00867F2B">
            <w:pPr>
              <w:pStyle w:val="ExhibitNumber"/>
              <w:jc w:val="right"/>
              <w:rPr>
                <w:b w:val="0"/>
                <w:lang w:val="en-GB"/>
              </w:rPr>
            </w:pPr>
            <w:r w:rsidRPr="00BC71D8">
              <w:rPr>
                <w:b w:val="0"/>
                <w:lang w:val="en-GB"/>
              </w:rPr>
              <w:t>3,300</w:t>
            </w:r>
          </w:p>
        </w:tc>
        <w:tc>
          <w:tcPr>
            <w:tcW w:w="1559" w:type="dxa"/>
            <w:vAlign w:val="center"/>
          </w:tcPr>
          <w:p w14:paraId="2503FF10" w14:textId="77777777" w:rsidR="00A45CE8" w:rsidRPr="00BC71D8" w:rsidRDefault="00A45CE8" w:rsidP="00867F2B">
            <w:pPr>
              <w:pStyle w:val="ExhibitNumber"/>
              <w:jc w:val="right"/>
              <w:rPr>
                <w:b w:val="0"/>
                <w:lang w:val="en-GB"/>
              </w:rPr>
            </w:pPr>
            <w:r w:rsidRPr="00BC71D8">
              <w:rPr>
                <w:b w:val="0"/>
                <w:lang w:val="en-GB"/>
              </w:rPr>
              <w:t>57,000</w:t>
            </w:r>
          </w:p>
        </w:tc>
        <w:tc>
          <w:tcPr>
            <w:tcW w:w="1418" w:type="dxa"/>
            <w:vAlign w:val="center"/>
          </w:tcPr>
          <w:p w14:paraId="255CD145" w14:textId="77777777" w:rsidR="00A45CE8" w:rsidRPr="00BC71D8" w:rsidRDefault="00A45CE8" w:rsidP="00867F2B">
            <w:pPr>
              <w:pStyle w:val="ExhibitNumber"/>
              <w:jc w:val="right"/>
              <w:rPr>
                <w:b w:val="0"/>
                <w:lang w:val="en-GB"/>
              </w:rPr>
            </w:pPr>
            <w:r w:rsidRPr="00BC71D8">
              <w:rPr>
                <w:b w:val="0"/>
                <w:lang w:val="en-GB"/>
              </w:rPr>
              <w:t>15,200</w:t>
            </w:r>
          </w:p>
        </w:tc>
        <w:tc>
          <w:tcPr>
            <w:tcW w:w="1324" w:type="dxa"/>
            <w:vAlign w:val="center"/>
          </w:tcPr>
          <w:p w14:paraId="74D51057" w14:textId="77777777" w:rsidR="00A45CE8" w:rsidRPr="00BC71D8" w:rsidRDefault="00A45CE8" w:rsidP="00867F2B">
            <w:pPr>
              <w:pStyle w:val="ExhibitNumber"/>
              <w:jc w:val="right"/>
              <w:rPr>
                <w:b w:val="0"/>
                <w:lang w:val="en-GB"/>
              </w:rPr>
            </w:pPr>
            <w:r w:rsidRPr="00BC71D8">
              <w:rPr>
                <w:b w:val="0"/>
                <w:lang w:val="en-GB"/>
              </w:rPr>
              <w:t>12,500</w:t>
            </w:r>
          </w:p>
        </w:tc>
        <w:tc>
          <w:tcPr>
            <w:tcW w:w="1242" w:type="dxa"/>
            <w:vAlign w:val="center"/>
          </w:tcPr>
          <w:p w14:paraId="2CE0D65D" w14:textId="77777777" w:rsidR="00A45CE8" w:rsidRPr="00BC71D8" w:rsidRDefault="00A45CE8" w:rsidP="00867F2B">
            <w:pPr>
              <w:pStyle w:val="ExhibitNumber"/>
              <w:jc w:val="right"/>
              <w:rPr>
                <w:b w:val="0"/>
                <w:lang w:val="en-GB"/>
              </w:rPr>
            </w:pPr>
            <w:r w:rsidRPr="00BC71D8">
              <w:rPr>
                <w:b w:val="0"/>
                <w:lang w:val="en-GB"/>
              </w:rPr>
              <w:t>3,788</w:t>
            </w:r>
          </w:p>
        </w:tc>
        <w:tc>
          <w:tcPr>
            <w:tcW w:w="1265" w:type="dxa"/>
            <w:vAlign w:val="center"/>
          </w:tcPr>
          <w:p w14:paraId="488C71E5" w14:textId="77777777" w:rsidR="00A45CE8" w:rsidRPr="00BC71D8" w:rsidRDefault="00A45CE8" w:rsidP="00867F2B">
            <w:pPr>
              <w:pStyle w:val="ExhibitNumber"/>
              <w:jc w:val="right"/>
              <w:rPr>
                <w:b w:val="0"/>
                <w:lang w:val="en-GB"/>
              </w:rPr>
            </w:pPr>
            <w:r w:rsidRPr="00BC71D8">
              <w:rPr>
                <w:b w:val="0"/>
                <w:lang w:val="en-GB"/>
              </w:rPr>
              <w:t>5,430</w:t>
            </w:r>
          </w:p>
        </w:tc>
      </w:tr>
      <w:tr w:rsidR="00A45CE8" w:rsidRPr="00BC71D8" w14:paraId="28F271BF" w14:textId="77777777" w:rsidTr="00911EC7">
        <w:tc>
          <w:tcPr>
            <w:tcW w:w="1553" w:type="dxa"/>
            <w:vAlign w:val="center"/>
          </w:tcPr>
          <w:p w14:paraId="70E83534" w14:textId="77777777" w:rsidR="00A45CE8" w:rsidRPr="00BC71D8" w:rsidRDefault="00A45CE8" w:rsidP="00612808">
            <w:pPr>
              <w:pStyle w:val="ExhibitText"/>
              <w:jc w:val="left"/>
              <w:rPr>
                <w:lang w:val="en-GB"/>
              </w:rPr>
            </w:pPr>
            <w:r w:rsidRPr="00BC71D8">
              <w:rPr>
                <w:lang w:val="en-GB"/>
              </w:rPr>
              <w:t>Heart Valve Replacement</w:t>
            </w:r>
          </w:p>
        </w:tc>
        <w:tc>
          <w:tcPr>
            <w:tcW w:w="999" w:type="dxa"/>
            <w:vAlign w:val="center"/>
          </w:tcPr>
          <w:p w14:paraId="174E06ED" w14:textId="77777777" w:rsidR="00A45CE8" w:rsidRPr="00BC71D8" w:rsidRDefault="00A45CE8" w:rsidP="00867F2B">
            <w:pPr>
              <w:pStyle w:val="ExhibitNumber"/>
              <w:jc w:val="right"/>
              <w:rPr>
                <w:b w:val="0"/>
                <w:lang w:val="en-GB"/>
              </w:rPr>
            </w:pPr>
            <w:r w:rsidRPr="00BC71D8">
              <w:rPr>
                <w:b w:val="0"/>
                <w:lang w:val="en-GB"/>
              </w:rPr>
              <w:t>5,500</w:t>
            </w:r>
          </w:p>
        </w:tc>
        <w:tc>
          <w:tcPr>
            <w:tcW w:w="1559" w:type="dxa"/>
            <w:vAlign w:val="center"/>
          </w:tcPr>
          <w:p w14:paraId="276C6F77" w14:textId="77777777" w:rsidR="00A45CE8" w:rsidRPr="00BC71D8" w:rsidRDefault="00A45CE8" w:rsidP="00867F2B">
            <w:pPr>
              <w:pStyle w:val="ExhibitNumber"/>
              <w:jc w:val="right"/>
              <w:rPr>
                <w:b w:val="0"/>
                <w:lang w:val="en-GB"/>
              </w:rPr>
            </w:pPr>
            <w:r w:rsidRPr="00BC71D8">
              <w:rPr>
                <w:b w:val="0"/>
                <w:lang w:val="en-GB"/>
              </w:rPr>
              <w:t>170,000</w:t>
            </w:r>
          </w:p>
        </w:tc>
        <w:tc>
          <w:tcPr>
            <w:tcW w:w="1418" w:type="dxa"/>
            <w:vAlign w:val="center"/>
          </w:tcPr>
          <w:p w14:paraId="05FCF902" w14:textId="77777777" w:rsidR="00A45CE8" w:rsidRPr="00BC71D8" w:rsidRDefault="00A45CE8" w:rsidP="00867F2B">
            <w:pPr>
              <w:pStyle w:val="ExhibitNumber"/>
              <w:jc w:val="right"/>
              <w:rPr>
                <w:b w:val="0"/>
                <w:lang w:val="en-GB"/>
              </w:rPr>
            </w:pPr>
            <w:r w:rsidRPr="00BC71D8">
              <w:rPr>
                <w:b w:val="0"/>
                <w:lang w:val="en-GB"/>
              </w:rPr>
              <w:t>43,500</w:t>
            </w:r>
          </w:p>
        </w:tc>
        <w:tc>
          <w:tcPr>
            <w:tcW w:w="1324" w:type="dxa"/>
            <w:vAlign w:val="center"/>
          </w:tcPr>
          <w:p w14:paraId="54E96DDC" w14:textId="77777777" w:rsidR="00A45CE8" w:rsidRPr="00BC71D8" w:rsidRDefault="00A45CE8" w:rsidP="00867F2B">
            <w:pPr>
              <w:pStyle w:val="ExhibitNumber"/>
              <w:jc w:val="right"/>
              <w:rPr>
                <w:b w:val="0"/>
                <w:lang w:val="en-GB"/>
              </w:rPr>
            </w:pPr>
            <w:r w:rsidRPr="00BC71D8">
              <w:rPr>
                <w:b w:val="0"/>
                <w:lang w:val="en-GB"/>
              </w:rPr>
              <w:t>18,000</w:t>
            </w:r>
          </w:p>
        </w:tc>
        <w:tc>
          <w:tcPr>
            <w:tcW w:w="1242" w:type="dxa"/>
            <w:vAlign w:val="center"/>
          </w:tcPr>
          <w:p w14:paraId="1A286A3D" w14:textId="77777777" w:rsidR="00A45CE8" w:rsidRPr="00BC71D8" w:rsidRDefault="00A45CE8" w:rsidP="00867F2B">
            <w:pPr>
              <w:pStyle w:val="ExhibitNumber"/>
              <w:jc w:val="right"/>
              <w:rPr>
                <w:b w:val="0"/>
                <w:lang w:val="en-GB"/>
              </w:rPr>
            </w:pPr>
            <w:r w:rsidRPr="00BC71D8">
              <w:rPr>
                <w:b w:val="0"/>
                <w:lang w:val="en-GB"/>
              </w:rPr>
              <w:t>21,212</w:t>
            </w:r>
          </w:p>
        </w:tc>
        <w:tc>
          <w:tcPr>
            <w:tcW w:w="1265" w:type="dxa"/>
            <w:vAlign w:val="center"/>
          </w:tcPr>
          <w:p w14:paraId="1B806D6B" w14:textId="77777777" w:rsidR="00A45CE8" w:rsidRPr="00BC71D8" w:rsidRDefault="00A45CE8" w:rsidP="00867F2B">
            <w:pPr>
              <w:pStyle w:val="ExhibitNumber"/>
              <w:jc w:val="right"/>
              <w:rPr>
                <w:b w:val="0"/>
                <w:lang w:val="en-GB"/>
              </w:rPr>
            </w:pPr>
            <w:r w:rsidRPr="00BC71D8">
              <w:rPr>
                <w:b w:val="0"/>
                <w:lang w:val="en-GB"/>
              </w:rPr>
              <w:t>10,580</w:t>
            </w:r>
          </w:p>
        </w:tc>
      </w:tr>
      <w:tr w:rsidR="00A45CE8" w:rsidRPr="00BC71D8" w14:paraId="2AEEBEC7" w14:textId="77777777" w:rsidTr="00911EC7">
        <w:tc>
          <w:tcPr>
            <w:tcW w:w="1553" w:type="dxa"/>
            <w:vAlign w:val="center"/>
          </w:tcPr>
          <w:p w14:paraId="780277FC" w14:textId="77777777" w:rsidR="00A45CE8" w:rsidRPr="00BC71D8" w:rsidRDefault="00A45CE8" w:rsidP="00612808">
            <w:pPr>
              <w:pStyle w:val="ExhibitText"/>
              <w:jc w:val="left"/>
              <w:rPr>
                <w:lang w:val="en-GB"/>
              </w:rPr>
            </w:pPr>
            <w:r w:rsidRPr="00BC71D8">
              <w:rPr>
                <w:lang w:val="en-GB"/>
              </w:rPr>
              <w:t>Hip Replacement</w:t>
            </w:r>
          </w:p>
        </w:tc>
        <w:tc>
          <w:tcPr>
            <w:tcW w:w="999" w:type="dxa"/>
            <w:vAlign w:val="center"/>
          </w:tcPr>
          <w:p w14:paraId="11C20951" w14:textId="77777777" w:rsidR="00A45CE8" w:rsidRPr="00BC71D8" w:rsidRDefault="00A45CE8" w:rsidP="00867F2B">
            <w:pPr>
              <w:pStyle w:val="ExhibitNumber"/>
              <w:jc w:val="right"/>
              <w:rPr>
                <w:b w:val="0"/>
                <w:lang w:val="en-GB"/>
              </w:rPr>
            </w:pPr>
            <w:r w:rsidRPr="00BC71D8">
              <w:rPr>
                <w:b w:val="0"/>
                <w:lang w:val="en-GB"/>
              </w:rPr>
              <w:t>7,000</w:t>
            </w:r>
          </w:p>
        </w:tc>
        <w:tc>
          <w:tcPr>
            <w:tcW w:w="1559" w:type="dxa"/>
            <w:vAlign w:val="center"/>
          </w:tcPr>
          <w:p w14:paraId="5BEC2B2F" w14:textId="77777777" w:rsidR="00A45CE8" w:rsidRPr="00BC71D8" w:rsidRDefault="00A45CE8" w:rsidP="00867F2B">
            <w:pPr>
              <w:pStyle w:val="ExhibitNumber"/>
              <w:jc w:val="right"/>
              <w:rPr>
                <w:b w:val="0"/>
                <w:lang w:val="en-GB"/>
              </w:rPr>
            </w:pPr>
            <w:r w:rsidRPr="00BC71D8">
              <w:rPr>
                <w:b w:val="0"/>
                <w:lang w:val="en-GB"/>
              </w:rPr>
              <w:t>50,000</w:t>
            </w:r>
          </w:p>
        </w:tc>
        <w:tc>
          <w:tcPr>
            <w:tcW w:w="1418" w:type="dxa"/>
            <w:vAlign w:val="center"/>
          </w:tcPr>
          <w:p w14:paraId="0E41A436" w14:textId="77777777" w:rsidR="00A45CE8" w:rsidRPr="00BC71D8" w:rsidRDefault="00A45CE8" w:rsidP="00867F2B">
            <w:pPr>
              <w:pStyle w:val="ExhibitNumber"/>
              <w:jc w:val="right"/>
              <w:rPr>
                <w:b w:val="0"/>
                <w:lang w:val="en-GB"/>
              </w:rPr>
            </w:pPr>
            <w:r w:rsidRPr="00BC71D8">
              <w:rPr>
                <w:b w:val="0"/>
                <w:lang w:val="en-GB"/>
              </w:rPr>
              <w:t>14,120</w:t>
            </w:r>
          </w:p>
        </w:tc>
        <w:tc>
          <w:tcPr>
            <w:tcW w:w="1324" w:type="dxa"/>
            <w:vAlign w:val="center"/>
          </w:tcPr>
          <w:p w14:paraId="074561F2" w14:textId="77777777" w:rsidR="00A45CE8" w:rsidRPr="00BC71D8" w:rsidRDefault="00A45CE8" w:rsidP="00867F2B">
            <w:pPr>
              <w:pStyle w:val="ExhibitNumber"/>
              <w:jc w:val="right"/>
              <w:rPr>
                <w:b w:val="0"/>
                <w:lang w:val="en-GB"/>
              </w:rPr>
            </w:pPr>
            <w:r w:rsidRPr="00BC71D8">
              <w:rPr>
                <w:b w:val="0"/>
                <w:lang w:val="en-GB"/>
              </w:rPr>
              <w:t>13,000</w:t>
            </w:r>
          </w:p>
        </w:tc>
        <w:tc>
          <w:tcPr>
            <w:tcW w:w="1242" w:type="dxa"/>
            <w:vAlign w:val="center"/>
          </w:tcPr>
          <w:p w14:paraId="0BCB287B" w14:textId="77777777" w:rsidR="00A45CE8" w:rsidRPr="00BC71D8" w:rsidRDefault="00A45CE8" w:rsidP="00867F2B">
            <w:pPr>
              <w:pStyle w:val="ExhibitNumber"/>
              <w:jc w:val="right"/>
              <w:rPr>
                <w:b w:val="0"/>
                <w:lang w:val="en-GB"/>
              </w:rPr>
            </w:pPr>
            <w:r w:rsidRPr="00BC71D8">
              <w:rPr>
                <w:b w:val="0"/>
                <w:lang w:val="en-GB"/>
              </w:rPr>
              <w:t>7,879</w:t>
            </w:r>
          </w:p>
        </w:tc>
        <w:tc>
          <w:tcPr>
            <w:tcW w:w="1265" w:type="dxa"/>
            <w:vAlign w:val="center"/>
          </w:tcPr>
          <w:p w14:paraId="0BDCA691" w14:textId="77777777" w:rsidR="00A45CE8" w:rsidRPr="00BC71D8" w:rsidRDefault="00A45CE8" w:rsidP="00867F2B">
            <w:pPr>
              <w:pStyle w:val="ExhibitNumber"/>
              <w:jc w:val="right"/>
              <w:rPr>
                <w:b w:val="0"/>
                <w:lang w:val="en-GB"/>
              </w:rPr>
            </w:pPr>
            <w:r w:rsidRPr="00BC71D8">
              <w:rPr>
                <w:b w:val="0"/>
                <w:lang w:val="en-GB"/>
              </w:rPr>
              <w:t>7,500</w:t>
            </w:r>
          </w:p>
        </w:tc>
      </w:tr>
      <w:tr w:rsidR="00A45CE8" w:rsidRPr="00BC71D8" w14:paraId="54326BF3" w14:textId="77777777" w:rsidTr="00911EC7">
        <w:tc>
          <w:tcPr>
            <w:tcW w:w="1553" w:type="dxa"/>
            <w:vAlign w:val="center"/>
          </w:tcPr>
          <w:p w14:paraId="24199151" w14:textId="77777777" w:rsidR="00A45CE8" w:rsidRPr="00BC71D8" w:rsidRDefault="00A45CE8" w:rsidP="00612808">
            <w:pPr>
              <w:pStyle w:val="ExhibitText"/>
              <w:jc w:val="left"/>
              <w:rPr>
                <w:lang w:val="en-GB"/>
              </w:rPr>
            </w:pPr>
            <w:r w:rsidRPr="00BC71D8">
              <w:rPr>
                <w:lang w:val="en-GB"/>
              </w:rPr>
              <w:t>Hip Resurfacing</w:t>
            </w:r>
          </w:p>
        </w:tc>
        <w:tc>
          <w:tcPr>
            <w:tcW w:w="999" w:type="dxa"/>
            <w:vAlign w:val="center"/>
          </w:tcPr>
          <w:p w14:paraId="03E88CAC" w14:textId="77777777" w:rsidR="00A45CE8" w:rsidRPr="00BC71D8" w:rsidRDefault="00A45CE8" w:rsidP="00867F2B">
            <w:pPr>
              <w:pStyle w:val="ExhibitNumber"/>
              <w:jc w:val="right"/>
              <w:rPr>
                <w:b w:val="0"/>
                <w:lang w:val="en-GB"/>
              </w:rPr>
            </w:pPr>
            <w:r w:rsidRPr="00BC71D8">
              <w:rPr>
                <w:b w:val="0"/>
                <w:lang w:val="en-GB"/>
              </w:rPr>
              <w:t>7,000</w:t>
            </w:r>
          </w:p>
        </w:tc>
        <w:tc>
          <w:tcPr>
            <w:tcW w:w="1559" w:type="dxa"/>
            <w:vAlign w:val="center"/>
          </w:tcPr>
          <w:p w14:paraId="0B695776" w14:textId="77777777" w:rsidR="00A45CE8" w:rsidRPr="00BC71D8" w:rsidRDefault="00A45CE8" w:rsidP="00867F2B">
            <w:pPr>
              <w:pStyle w:val="ExhibitNumber"/>
              <w:jc w:val="right"/>
              <w:rPr>
                <w:b w:val="0"/>
                <w:lang w:val="en-GB"/>
              </w:rPr>
            </w:pPr>
            <w:r w:rsidRPr="00BC71D8">
              <w:rPr>
                <w:b w:val="0"/>
                <w:lang w:val="en-GB"/>
              </w:rPr>
              <w:t>50,000</w:t>
            </w:r>
          </w:p>
        </w:tc>
        <w:tc>
          <w:tcPr>
            <w:tcW w:w="1418" w:type="dxa"/>
            <w:vAlign w:val="center"/>
          </w:tcPr>
          <w:p w14:paraId="634D0D73" w14:textId="77777777" w:rsidR="00A45CE8" w:rsidRPr="00BC71D8" w:rsidRDefault="00A45CE8" w:rsidP="00867F2B">
            <w:pPr>
              <w:pStyle w:val="ExhibitNumber"/>
              <w:jc w:val="right"/>
              <w:rPr>
                <w:b w:val="0"/>
                <w:lang w:val="en-GB"/>
              </w:rPr>
            </w:pPr>
            <w:r w:rsidRPr="00BC71D8">
              <w:rPr>
                <w:b w:val="0"/>
                <w:lang w:val="en-GB"/>
              </w:rPr>
              <w:t>15,600</w:t>
            </w:r>
          </w:p>
        </w:tc>
        <w:tc>
          <w:tcPr>
            <w:tcW w:w="1324" w:type="dxa"/>
            <w:vAlign w:val="center"/>
          </w:tcPr>
          <w:p w14:paraId="1E09EED7" w14:textId="77777777" w:rsidR="00A45CE8" w:rsidRPr="00BC71D8" w:rsidRDefault="00A45CE8" w:rsidP="00867F2B">
            <w:pPr>
              <w:pStyle w:val="ExhibitNumber"/>
              <w:jc w:val="right"/>
              <w:rPr>
                <w:b w:val="0"/>
                <w:lang w:val="en-GB"/>
              </w:rPr>
            </w:pPr>
            <w:r w:rsidRPr="00BC71D8">
              <w:rPr>
                <w:b w:val="0"/>
                <w:lang w:val="en-GB"/>
              </w:rPr>
              <w:t>15,000</w:t>
            </w:r>
          </w:p>
        </w:tc>
        <w:tc>
          <w:tcPr>
            <w:tcW w:w="1242" w:type="dxa"/>
            <w:vAlign w:val="center"/>
          </w:tcPr>
          <w:p w14:paraId="7E1C5D75" w14:textId="77777777" w:rsidR="00A45CE8" w:rsidRPr="00BC71D8" w:rsidRDefault="00A45CE8" w:rsidP="00867F2B">
            <w:pPr>
              <w:pStyle w:val="ExhibitNumber"/>
              <w:jc w:val="right"/>
              <w:rPr>
                <w:b w:val="0"/>
                <w:lang w:val="en-GB"/>
              </w:rPr>
            </w:pPr>
            <w:r w:rsidRPr="00BC71D8">
              <w:rPr>
                <w:b w:val="0"/>
                <w:lang w:val="en-GB"/>
              </w:rPr>
              <w:t>15,152</w:t>
            </w:r>
          </w:p>
        </w:tc>
        <w:tc>
          <w:tcPr>
            <w:tcW w:w="1265" w:type="dxa"/>
            <w:vAlign w:val="center"/>
          </w:tcPr>
          <w:p w14:paraId="213A49EA" w14:textId="77777777" w:rsidR="00A45CE8" w:rsidRPr="00BC71D8" w:rsidRDefault="00A45CE8" w:rsidP="00867F2B">
            <w:pPr>
              <w:pStyle w:val="ExhibitNumber"/>
              <w:jc w:val="right"/>
              <w:rPr>
                <w:b w:val="0"/>
                <w:lang w:val="en-GB"/>
              </w:rPr>
            </w:pPr>
            <w:r w:rsidRPr="00BC71D8">
              <w:rPr>
                <w:b w:val="0"/>
                <w:lang w:val="en-GB"/>
              </w:rPr>
              <w:t>12,350</w:t>
            </w:r>
          </w:p>
        </w:tc>
      </w:tr>
      <w:tr w:rsidR="00A45CE8" w:rsidRPr="00BC71D8" w14:paraId="26B48669" w14:textId="77777777" w:rsidTr="00911EC7">
        <w:tc>
          <w:tcPr>
            <w:tcW w:w="1553" w:type="dxa"/>
            <w:vAlign w:val="center"/>
          </w:tcPr>
          <w:p w14:paraId="2D64303B" w14:textId="77777777" w:rsidR="00A45CE8" w:rsidRPr="00BC71D8" w:rsidRDefault="00A45CE8" w:rsidP="00612808">
            <w:pPr>
              <w:pStyle w:val="ExhibitText"/>
              <w:jc w:val="left"/>
              <w:rPr>
                <w:lang w:val="en-GB"/>
              </w:rPr>
            </w:pPr>
            <w:r w:rsidRPr="00BC71D8">
              <w:rPr>
                <w:lang w:val="en-GB"/>
              </w:rPr>
              <w:t>Knee Replacement</w:t>
            </w:r>
          </w:p>
        </w:tc>
        <w:tc>
          <w:tcPr>
            <w:tcW w:w="999" w:type="dxa"/>
            <w:vAlign w:val="center"/>
          </w:tcPr>
          <w:p w14:paraId="779B10EF" w14:textId="77777777" w:rsidR="00A45CE8" w:rsidRPr="00BC71D8" w:rsidRDefault="00A45CE8" w:rsidP="00867F2B">
            <w:pPr>
              <w:pStyle w:val="ExhibitNumber"/>
              <w:jc w:val="right"/>
              <w:rPr>
                <w:b w:val="0"/>
                <w:lang w:val="en-GB"/>
              </w:rPr>
            </w:pPr>
            <w:r w:rsidRPr="00BC71D8">
              <w:rPr>
                <w:b w:val="0"/>
                <w:lang w:val="en-GB"/>
              </w:rPr>
              <w:t>6,200</w:t>
            </w:r>
          </w:p>
        </w:tc>
        <w:tc>
          <w:tcPr>
            <w:tcW w:w="1559" w:type="dxa"/>
            <w:vAlign w:val="center"/>
          </w:tcPr>
          <w:p w14:paraId="12E5A84C" w14:textId="77777777" w:rsidR="00A45CE8" w:rsidRPr="00BC71D8" w:rsidRDefault="00A45CE8" w:rsidP="00867F2B">
            <w:pPr>
              <w:pStyle w:val="ExhibitNumber"/>
              <w:jc w:val="right"/>
              <w:rPr>
                <w:b w:val="0"/>
                <w:lang w:val="en-GB"/>
              </w:rPr>
            </w:pPr>
            <w:r w:rsidRPr="00BC71D8">
              <w:rPr>
                <w:b w:val="0"/>
                <w:lang w:val="en-GB"/>
              </w:rPr>
              <w:t>50,000</w:t>
            </w:r>
          </w:p>
        </w:tc>
        <w:tc>
          <w:tcPr>
            <w:tcW w:w="1418" w:type="dxa"/>
            <w:vAlign w:val="center"/>
          </w:tcPr>
          <w:p w14:paraId="0F762EAC" w14:textId="77777777" w:rsidR="00A45CE8" w:rsidRPr="00BC71D8" w:rsidRDefault="00A45CE8" w:rsidP="00867F2B">
            <w:pPr>
              <w:pStyle w:val="ExhibitNumber"/>
              <w:jc w:val="right"/>
              <w:rPr>
                <w:b w:val="0"/>
                <w:lang w:val="en-GB"/>
              </w:rPr>
            </w:pPr>
            <w:r w:rsidRPr="00BC71D8">
              <w:rPr>
                <w:b w:val="0"/>
                <w:lang w:val="en-GB"/>
              </w:rPr>
              <w:t>19,800</w:t>
            </w:r>
          </w:p>
        </w:tc>
        <w:tc>
          <w:tcPr>
            <w:tcW w:w="1324" w:type="dxa"/>
            <w:vAlign w:val="center"/>
          </w:tcPr>
          <w:p w14:paraId="43E945C4" w14:textId="77777777" w:rsidR="00A45CE8" w:rsidRPr="00BC71D8" w:rsidRDefault="00A45CE8" w:rsidP="00867F2B">
            <w:pPr>
              <w:pStyle w:val="ExhibitNumber"/>
              <w:jc w:val="right"/>
              <w:rPr>
                <w:b w:val="0"/>
                <w:lang w:val="en-GB"/>
              </w:rPr>
            </w:pPr>
            <w:r w:rsidRPr="00BC71D8">
              <w:rPr>
                <w:b w:val="0"/>
                <w:lang w:val="en-GB"/>
              </w:rPr>
              <w:t>12,000</w:t>
            </w:r>
          </w:p>
        </w:tc>
        <w:tc>
          <w:tcPr>
            <w:tcW w:w="1242" w:type="dxa"/>
            <w:vAlign w:val="center"/>
          </w:tcPr>
          <w:p w14:paraId="67263C67" w14:textId="77777777" w:rsidR="00A45CE8" w:rsidRPr="00BC71D8" w:rsidRDefault="00A45CE8" w:rsidP="00867F2B">
            <w:pPr>
              <w:pStyle w:val="ExhibitNumber"/>
              <w:jc w:val="right"/>
              <w:rPr>
                <w:b w:val="0"/>
                <w:lang w:val="en-GB"/>
              </w:rPr>
            </w:pPr>
            <w:r w:rsidRPr="00BC71D8">
              <w:rPr>
                <w:b w:val="0"/>
                <w:lang w:val="en-GB"/>
              </w:rPr>
              <w:t>12,297</w:t>
            </w:r>
          </w:p>
        </w:tc>
        <w:tc>
          <w:tcPr>
            <w:tcW w:w="1265" w:type="dxa"/>
            <w:vAlign w:val="center"/>
          </w:tcPr>
          <w:p w14:paraId="40E83135" w14:textId="77777777" w:rsidR="00A45CE8" w:rsidRPr="00BC71D8" w:rsidRDefault="00A45CE8" w:rsidP="00867F2B">
            <w:pPr>
              <w:pStyle w:val="ExhibitNumber"/>
              <w:jc w:val="right"/>
              <w:rPr>
                <w:b w:val="0"/>
                <w:lang w:val="en-GB"/>
              </w:rPr>
            </w:pPr>
            <w:r w:rsidRPr="00BC71D8">
              <w:rPr>
                <w:b w:val="0"/>
                <w:lang w:val="en-GB"/>
              </w:rPr>
              <w:t>7,000</w:t>
            </w:r>
          </w:p>
        </w:tc>
      </w:tr>
      <w:tr w:rsidR="00A45CE8" w:rsidRPr="00BC71D8" w14:paraId="4112D5E1" w14:textId="77777777" w:rsidTr="00911EC7">
        <w:tc>
          <w:tcPr>
            <w:tcW w:w="1553" w:type="dxa"/>
            <w:vAlign w:val="center"/>
          </w:tcPr>
          <w:p w14:paraId="769540E9" w14:textId="77777777" w:rsidR="00A45CE8" w:rsidRPr="00BC71D8" w:rsidRDefault="00A45CE8" w:rsidP="00612808">
            <w:pPr>
              <w:pStyle w:val="ExhibitText"/>
              <w:jc w:val="left"/>
              <w:rPr>
                <w:lang w:val="en-GB"/>
              </w:rPr>
            </w:pPr>
            <w:r w:rsidRPr="00BC71D8">
              <w:rPr>
                <w:lang w:val="en-GB"/>
              </w:rPr>
              <w:t>Spinal Fusion</w:t>
            </w:r>
          </w:p>
        </w:tc>
        <w:tc>
          <w:tcPr>
            <w:tcW w:w="999" w:type="dxa"/>
            <w:vAlign w:val="center"/>
          </w:tcPr>
          <w:p w14:paraId="56E81185" w14:textId="77777777" w:rsidR="00A45CE8" w:rsidRPr="00BC71D8" w:rsidRDefault="00A45CE8" w:rsidP="00867F2B">
            <w:pPr>
              <w:pStyle w:val="ExhibitNumber"/>
              <w:jc w:val="right"/>
              <w:rPr>
                <w:b w:val="0"/>
                <w:lang w:val="en-GB"/>
              </w:rPr>
            </w:pPr>
            <w:r w:rsidRPr="00BC71D8">
              <w:rPr>
                <w:b w:val="0"/>
                <w:lang w:val="en-GB"/>
              </w:rPr>
              <w:t>6,500</w:t>
            </w:r>
          </w:p>
        </w:tc>
        <w:tc>
          <w:tcPr>
            <w:tcW w:w="1559" w:type="dxa"/>
            <w:vAlign w:val="center"/>
          </w:tcPr>
          <w:p w14:paraId="1FF5044B" w14:textId="77777777" w:rsidR="00A45CE8" w:rsidRPr="00BC71D8" w:rsidRDefault="00A45CE8" w:rsidP="00867F2B">
            <w:pPr>
              <w:pStyle w:val="ExhibitNumber"/>
              <w:jc w:val="right"/>
              <w:rPr>
                <w:b w:val="0"/>
                <w:lang w:val="en-GB"/>
              </w:rPr>
            </w:pPr>
            <w:r w:rsidRPr="00BC71D8">
              <w:rPr>
                <w:b w:val="0"/>
                <w:lang w:val="en-GB"/>
              </w:rPr>
              <w:t>100,000</w:t>
            </w:r>
          </w:p>
        </w:tc>
        <w:tc>
          <w:tcPr>
            <w:tcW w:w="1418" w:type="dxa"/>
            <w:vAlign w:val="center"/>
          </w:tcPr>
          <w:p w14:paraId="15B27715" w14:textId="77777777" w:rsidR="00A45CE8" w:rsidRPr="00BC71D8" w:rsidRDefault="00A45CE8" w:rsidP="00867F2B">
            <w:pPr>
              <w:pStyle w:val="ExhibitNumber"/>
              <w:jc w:val="right"/>
              <w:rPr>
                <w:b w:val="0"/>
                <w:lang w:val="en-GB"/>
              </w:rPr>
            </w:pPr>
            <w:r w:rsidRPr="00BC71D8">
              <w:rPr>
                <w:b w:val="0"/>
                <w:lang w:val="en-GB"/>
              </w:rPr>
              <w:t>15,400</w:t>
            </w:r>
          </w:p>
        </w:tc>
        <w:tc>
          <w:tcPr>
            <w:tcW w:w="1324" w:type="dxa"/>
            <w:vAlign w:val="center"/>
          </w:tcPr>
          <w:p w14:paraId="7A8F1F31" w14:textId="77777777" w:rsidR="00A45CE8" w:rsidRPr="00BC71D8" w:rsidRDefault="00A45CE8" w:rsidP="00867F2B">
            <w:pPr>
              <w:pStyle w:val="ExhibitNumber"/>
              <w:jc w:val="right"/>
              <w:rPr>
                <w:b w:val="0"/>
                <w:lang w:val="en-GB"/>
              </w:rPr>
            </w:pPr>
            <w:r w:rsidRPr="00BC71D8">
              <w:rPr>
                <w:b w:val="0"/>
                <w:lang w:val="en-GB"/>
              </w:rPr>
              <w:t>12,000</w:t>
            </w:r>
          </w:p>
        </w:tc>
        <w:tc>
          <w:tcPr>
            <w:tcW w:w="1242" w:type="dxa"/>
            <w:vAlign w:val="center"/>
          </w:tcPr>
          <w:p w14:paraId="5FAC8E57" w14:textId="77777777" w:rsidR="00A45CE8" w:rsidRPr="00BC71D8" w:rsidRDefault="00A45CE8" w:rsidP="00867F2B">
            <w:pPr>
              <w:pStyle w:val="ExhibitNumber"/>
              <w:jc w:val="right"/>
              <w:rPr>
                <w:b w:val="0"/>
                <w:lang w:val="en-GB"/>
              </w:rPr>
            </w:pPr>
            <w:r w:rsidRPr="00BC71D8">
              <w:rPr>
                <w:b w:val="0"/>
                <w:lang w:val="en-GB"/>
              </w:rPr>
              <w:t>9,091</w:t>
            </w:r>
          </w:p>
        </w:tc>
        <w:tc>
          <w:tcPr>
            <w:tcW w:w="1265" w:type="dxa"/>
            <w:vAlign w:val="center"/>
          </w:tcPr>
          <w:p w14:paraId="79DD7D0A" w14:textId="77777777" w:rsidR="00A45CE8" w:rsidRPr="00BC71D8" w:rsidRDefault="00A45CE8" w:rsidP="00867F2B">
            <w:pPr>
              <w:pStyle w:val="ExhibitNumber"/>
              <w:jc w:val="right"/>
              <w:rPr>
                <w:b w:val="0"/>
                <w:lang w:val="en-GB"/>
              </w:rPr>
            </w:pPr>
            <w:r w:rsidRPr="00BC71D8">
              <w:rPr>
                <w:b w:val="0"/>
                <w:lang w:val="en-GB"/>
              </w:rPr>
              <w:t>6,000</w:t>
            </w:r>
          </w:p>
        </w:tc>
      </w:tr>
      <w:tr w:rsidR="00A45CE8" w:rsidRPr="00BC71D8" w14:paraId="1C606BE6" w14:textId="77777777" w:rsidTr="00911EC7">
        <w:tc>
          <w:tcPr>
            <w:tcW w:w="1553" w:type="dxa"/>
            <w:vAlign w:val="center"/>
          </w:tcPr>
          <w:p w14:paraId="0AA3EC49" w14:textId="77777777" w:rsidR="00A45CE8" w:rsidRPr="00BC71D8" w:rsidRDefault="00A45CE8" w:rsidP="00612808">
            <w:pPr>
              <w:pStyle w:val="ExhibitText"/>
              <w:jc w:val="left"/>
              <w:rPr>
                <w:lang w:val="en-GB"/>
              </w:rPr>
            </w:pPr>
            <w:r w:rsidRPr="00BC71D8">
              <w:rPr>
                <w:lang w:val="en-GB"/>
              </w:rPr>
              <w:t>Dental Implant</w:t>
            </w:r>
          </w:p>
        </w:tc>
        <w:tc>
          <w:tcPr>
            <w:tcW w:w="999" w:type="dxa"/>
            <w:vAlign w:val="center"/>
          </w:tcPr>
          <w:p w14:paraId="4DAC744D" w14:textId="77777777" w:rsidR="00A45CE8" w:rsidRPr="00BC71D8" w:rsidRDefault="00A45CE8" w:rsidP="00867F2B">
            <w:pPr>
              <w:pStyle w:val="ExhibitNumber"/>
              <w:jc w:val="right"/>
              <w:rPr>
                <w:b w:val="0"/>
                <w:lang w:val="en-GB"/>
              </w:rPr>
            </w:pPr>
            <w:r w:rsidRPr="00BC71D8">
              <w:rPr>
                <w:b w:val="0"/>
                <w:lang w:val="en-GB"/>
              </w:rPr>
              <w:t>1,000</w:t>
            </w:r>
          </w:p>
        </w:tc>
        <w:tc>
          <w:tcPr>
            <w:tcW w:w="1559" w:type="dxa"/>
            <w:vAlign w:val="center"/>
          </w:tcPr>
          <w:p w14:paraId="6BF68842" w14:textId="77777777" w:rsidR="00A45CE8" w:rsidRPr="00BC71D8" w:rsidRDefault="00A45CE8" w:rsidP="00867F2B">
            <w:pPr>
              <w:pStyle w:val="ExhibitNumber"/>
              <w:jc w:val="right"/>
              <w:rPr>
                <w:b w:val="0"/>
                <w:lang w:val="en-GB"/>
              </w:rPr>
            </w:pPr>
            <w:r w:rsidRPr="00BC71D8">
              <w:rPr>
                <w:b w:val="0"/>
                <w:lang w:val="en-GB"/>
              </w:rPr>
              <w:t>2,800</w:t>
            </w:r>
          </w:p>
        </w:tc>
        <w:tc>
          <w:tcPr>
            <w:tcW w:w="1418" w:type="dxa"/>
            <w:vAlign w:val="center"/>
          </w:tcPr>
          <w:p w14:paraId="6BD64775" w14:textId="77777777" w:rsidR="00A45CE8" w:rsidRPr="00BC71D8" w:rsidRDefault="00A45CE8" w:rsidP="00867F2B">
            <w:pPr>
              <w:pStyle w:val="ExhibitNumber"/>
              <w:jc w:val="right"/>
              <w:rPr>
                <w:b w:val="0"/>
                <w:lang w:val="en-GB"/>
              </w:rPr>
            </w:pPr>
            <w:r w:rsidRPr="00BC71D8">
              <w:rPr>
                <w:b w:val="0"/>
                <w:lang w:val="en-GB"/>
              </w:rPr>
              <w:t>4,200</w:t>
            </w:r>
          </w:p>
        </w:tc>
        <w:tc>
          <w:tcPr>
            <w:tcW w:w="1324" w:type="dxa"/>
            <w:vAlign w:val="center"/>
          </w:tcPr>
          <w:p w14:paraId="16803A88" w14:textId="77777777" w:rsidR="00A45CE8" w:rsidRPr="00BC71D8" w:rsidRDefault="00A45CE8" w:rsidP="00867F2B">
            <w:pPr>
              <w:pStyle w:val="ExhibitNumber"/>
              <w:jc w:val="right"/>
              <w:rPr>
                <w:b w:val="0"/>
                <w:lang w:val="en-GB"/>
              </w:rPr>
            </w:pPr>
            <w:r w:rsidRPr="00BC71D8">
              <w:rPr>
                <w:b w:val="0"/>
                <w:lang w:val="en-GB"/>
              </w:rPr>
              <w:t>1,800</w:t>
            </w:r>
          </w:p>
        </w:tc>
        <w:tc>
          <w:tcPr>
            <w:tcW w:w="1242" w:type="dxa"/>
            <w:vAlign w:val="center"/>
          </w:tcPr>
          <w:p w14:paraId="505243F4" w14:textId="77777777" w:rsidR="00A45CE8" w:rsidRPr="00BC71D8" w:rsidRDefault="00A45CE8" w:rsidP="00867F2B">
            <w:pPr>
              <w:pStyle w:val="ExhibitNumber"/>
              <w:jc w:val="right"/>
              <w:rPr>
                <w:b w:val="0"/>
                <w:lang w:val="en-GB"/>
              </w:rPr>
            </w:pPr>
            <w:r w:rsidRPr="00BC71D8">
              <w:rPr>
                <w:b w:val="0"/>
                <w:lang w:val="en-GB"/>
              </w:rPr>
              <w:t>3,636</w:t>
            </w:r>
          </w:p>
        </w:tc>
        <w:tc>
          <w:tcPr>
            <w:tcW w:w="1265" w:type="dxa"/>
            <w:vAlign w:val="center"/>
          </w:tcPr>
          <w:p w14:paraId="7F05CB97" w14:textId="77777777" w:rsidR="00A45CE8" w:rsidRPr="00BC71D8" w:rsidRDefault="00A45CE8" w:rsidP="00867F2B">
            <w:pPr>
              <w:pStyle w:val="ExhibitNumber"/>
              <w:jc w:val="right"/>
              <w:rPr>
                <w:b w:val="0"/>
                <w:lang w:val="en-GB"/>
              </w:rPr>
            </w:pPr>
            <w:r w:rsidRPr="00BC71D8">
              <w:rPr>
                <w:b w:val="0"/>
                <w:lang w:val="en-GB"/>
              </w:rPr>
              <w:t>345</w:t>
            </w:r>
          </w:p>
        </w:tc>
      </w:tr>
      <w:tr w:rsidR="00A45CE8" w:rsidRPr="00BC71D8" w14:paraId="225056D7" w14:textId="77777777" w:rsidTr="00911EC7">
        <w:tc>
          <w:tcPr>
            <w:tcW w:w="1553" w:type="dxa"/>
            <w:vAlign w:val="center"/>
          </w:tcPr>
          <w:p w14:paraId="3A181CC3" w14:textId="77777777" w:rsidR="00A45CE8" w:rsidRPr="00BC71D8" w:rsidRDefault="00A45CE8" w:rsidP="00612808">
            <w:pPr>
              <w:pStyle w:val="ExhibitText"/>
              <w:jc w:val="left"/>
              <w:rPr>
                <w:lang w:val="en-GB"/>
              </w:rPr>
            </w:pPr>
            <w:r w:rsidRPr="00BC71D8">
              <w:rPr>
                <w:lang w:val="en-GB"/>
              </w:rPr>
              <w:t>Lap Band</w:t>
            </w:r>
          </w:p>
        </w:tc>
        <w:tc>
          <w:tcPr>
            <w:tcW w:w="999" w:type="dxa"/>
            <w:vAlign w:val="center"/>
          </w:tcPr>
          <w:p w14:paraId="4A14463F" w14:textId="77777777" w:rsidR="00A45CE8" w:rsidRPr="00BC71D8" w:rsidRDefault="00A45CE8" w:rsidP="00867F2B">
            <w:pPr>
              <w:pStyle w:val="ExhibitNumber"/>
              <w:jc w:val="right"/>
              <w:rPr>
                <w:b w:val="0"/>
                <w:lang w:val="en-GB"/>
              </w:rPr>
            </w:pPr>
            <w:r w:rsidRPr="00BC71D8">
              <w:rPr>
                <w:b w:val="0"/>
                <w:lang w:val="en-GB"/>
              </w:rPr>
              <w:t>3,000</w:t>
            </w:r>
          </w:p>
        </w:tc>
        <w:tc>
          <w:tcPr>
            <w:tcW w:w="1559" w:type="dxa"/>
            <w:vAlign w:val="center"/>
          </w:tcPr>
          <w:p w14:paraId="06D7BDD3" w14:textId="77777777" w:rsidR="00A45CE8" w:rsidRPr="00BC71D8" w:rsidRDefault="00A45CE8" w:rsidP="00867F2B">
            <w:pPr>
              <w:pStyle w:val="ExhibitNumber"/>
              <w:jc w:val="right"/>
              <w:rPr>
                <w:b w:val="0"/>
                <w:lang w:val="en-GB"/>
              </w:rPr>
            </w:pPr>
            <w:r w:rsidRPr="00BC71D8">
              <w:rPr>
                <w:b w:val="0"/>
                <w:lang w:val="en-GB"/>
              </w:rPr>
              <w:t>30,000</w:t>
            </w:r>
          </w:p>
        </w:tc>
        <w:tc>
          <w:tcPr>
            <w:tcW w:w="1418" w:type="dxa"/>
            <w:vAlign w:val="center"/>
          </w:tcPr>
          <w:p w14:paraId="1D9A0073"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3810097B" w14:textId="77777777" w:rsidR="00A45CE8" w:rsidRPr="00BC71D8" w:rsidRDefault="00A45CE8" w:rsidP="00867F2B">
            <w:pPr>
              <w:pStyle w:val="ExhibitNumber"/>
              <w:jc w:val="right"/>
              <w:rPr>
                <w:b w:val="0"/>
                <w:lang w:val="en-GB"/>
              </w:rPr>
            </w:pPr>
            <w:r w:rsidRPr="00BC71D8">
              <w:rPr>
                <w:b w:val="0"/>
                <w:lang w:val="en-GB"/>
              </w:rPr>
              <w:t>6,500</w:t>
            </w:r>
          </w:p>
        </w:tc>
        <w:tc>
          <w:tcPr>
            <w:tcW w:w="1242" w:type="dxa"/>
            <w:vAlign w:val="center"/>
          </w:tcPr>
          <w:p w14:paraId="5A487505" w14:textId="77777777" w:rsidR="00A45CE8" w:rsidRPr="00BC71D8" w:rsidRDefault="00A45CE8" w:rsidP="00867F2B">
            <w:pPr>
              <w:pStyle w:val="ExhibitNumber"/>
              <w:jc w:val="right"/>
              <w:rPr>
                <w:b w:val="0"/>
                <w:lang w:val="en-GB"/>
              </w:rPr>
            </w:pPr>
            <w:r w:rsidRPr="00BC71D8">
              <w:rPr>
                <w:b w:val="0"/>
                <w:lang w:val="en-GB"/>
              </w:rPr>
              <w:t>11,515</w:t>
            </w:r>
          </w:p>
        </w:tc>
        <w:tc>
          <w:tcPr>
            <w:tcW w:w="1265" w:type="dxa"/>
            <w:vAlign w:val="center"/>
          </w:tcPr>
          <w:p w14:paraId="28BE29A5" w14:textId="77777777" w:rsidR="00A45CE8" w:rsidRPr="00BC71D8" w:rsidRDefault="00A45CE8" w:rsidP="00867F2B">
            <w:pPr>
              <w:pStyle w:val="ExhibitText"/>
              <w:jc w:val="center"/>
              <w:rPr>
                <w:lang w:val="en-GB"/>
              </w:rPr>
            </w:pPr>
            <w:r w:rsidRPr="00BC71D8">
              <w:rPr>
                <w:lang w:val="en-GB"/>
              </w:rPr>
              <w:t>Not available</w:t>
            </w:r>
          </w:p>
        </w:tc>
      </w:tr>
      <w:tr w:rsidR="00A45CE8" w:rsidRPr="00BC71D8" w14:paraId="085337F1" w14:textId="77777777" w:rsidTr="00911EC7">
        <w:tc>
          <w:tcPr>
            <w:tcW w:w="1553" w:type="dxa"/>
            <w:vAlign w:val="center"/>
          </w:tcPr>
          <w:p w14:paraId="7F203CE9" w14:textId="77777777" w:rsidR="00A45CE8" w:rsidRPr="00BC71D8" w:rsidRDefault="00A45CE8" w:rsidP="00612808">
            <w:pPr>
              <w:pStyle w:val="ExhibitText"/>
              <w:jc w:val="left"/>
              <w:rPr>
                <w:lang w:val="en-GB"/>
              </w:rPr>
            </w:pPr>
            <w:r w:rsidRPr="00BC71D8">
              <w:rPr>
                <w:lang w:val="en-GB"/>
              </w:rPr>
              <w:t>Breast Implants</w:t>
            </w:r>
          </w:p>
        </w:tc>
        <w:tc>
          <w:tcPr>
            <w:tcW w:w="999" w:type="dxa"/>
            <w:vAlign w:val="center"/>
          </w:tcPr>
          <w:p w14:paraId="12CDA970" w14:textId="77777777" w:rsidR="00A45CE8" w:rsidRPr="00BC71D8" w:rsidRDefault="00A45CE8" w:rsidP="00867F2B">
            <w:pPr>
              <w:pStyle w:val="ExhibitNumber"/>
              <w:jc w:val="right"/>
              <w:rPr>
                <w:b w:val="0"/>
                <w:lang w:val="en-GB"/>
              </w:rPr>
            </w:pPr>
            <w:r w:rsidRPr="00BC71D8">
              <w:rPr>
                <w:b w:val="0"/>
                <w:lang w:val="en-GB"/>
              </w:rPr>
              <w:t>3,500</w:t>
            </w:r>
          </w:p>
        </w:tc>
        <w:tc>
          <w:tcPr>
            <w:tcW w:w="1559" w:type="dxa"/>
            <w:vAlign w:val="center"/>
          </w:tcPr>
          <w:p w14:paraId="76E9EBA6" w14:textId="77777777" w:rsidR="00A45CE8" w:rsidRPr="00BC71D8" w:rsidRDefault="00A45CE8" w:rsidP="00867F2B">
            <w:pPr>
              <w:pStyle w:val="ExhibitNumber"/>
              <w:jc w:val="right"/>
              <w:rPr>
                <w:b w:val="0"/>
                <w:lang w:val="en-GB"/>
              </w:rPr>
            </w:pPr>
            <w:r w:rsidRPr="00BC71D8">
              <w:rPr>
                <w:b w:val="0"/>
                <w:lang w:val="en-GB"/>
              </w:rPr>
              <w:t>10,000</w:t>
            </w:r>
          </w:p>
        </w:tc>
        <w:tc>
          <w:tcPr>
            <w:tcW w:w="1418" w:type="dxa"/>
            <w:vAlign w:val="center"/>
          </w:tcPr>
          <w:p w14:paraId="070247D4" w14:textId="77777777" w:rsidR="00A45CE8" w:rsidRPr="00BC71D8" w:rsidRDefault="00A45CE8" w:rsidP="00867F2B">
            <w:pPr>
              <w:pStyle w:val="ExhibitNumber"/>
              <w:jc w:val="right"/>
              <w:rPr>
                <w:b w:val="0"/>
                <w:lang w:val="en-GB"/>
              </w:rPr>
            </w:pPr>
            <w:r w:rsidRPr="00BC71D8">
              <w:rPr>
                <w:b w:val="0"/>
                <w:lang w:val="en-GB"/>
              </w:rPr>
              <w:t>12,500</w:t>
            </w:r>
          </w:p>
        </w:tc>
        <w:tc>
          <w:tcPr>
            <w:tcW w:w="1324" w:type="dxa"/>
            <w:vAlign w:val="center"/>
          </w:tcPr>
          <w:p w14:paraId="7D8A41B1" w14:textId="77777777" w:rsidR="00A45CE8" w:rsidRPr="00BC71D8" w:rsidRDefault="00A45CE8" w:rsidP="00867F2B">
            <w:pPr>
              <w:pStyle w:val="ExhibitNumber"/>
              <w:jc w:val="right"/>
              <w:rPr>
                <w:b w:val="0"/>
                <w:lang w:val="en-GB"/>
              </w:rPr>
            </w:pPr>
            <w:r w:rsidRPr="00BC71D8">
              <w:rPr>
                <w:b w:val="0"/>
                <w:lang w:val="en-GB"/>
              </w:rPr>
              <w:t>3,500</w:t>
            </w:r>
          </w:p>
        </w:tc>
        <w:tc>
          <w:tcPr>
            <w:tcW w:w="1242" w:type="dxa"/>
            <w:vAlign w:val="center"/>
          </w:tcPr>
          <w:p w14:paraId="3C070D8D" w14:textId="77777777" w:rsidR="00A45CE8" w:rsidRPr="00BC71D8" w:rsidRDefault="00A45CE8" w:rsidP="00867F2B">
            <w:pPr>
              <w:pStyle w:val="ExhibitNumber"/>
              <w:jc w:val="right"/>
              <w:rPr>
                <w:b w:val="0"/>
                <w:lang w:val="en-GB"/>
              </w:rPr>
            </w:pPr>
            <w:r w:rsidRPr="00BC71D8">
              <w:rPr>
                <w:b w:val="0"/>
                <w:lang w:val="en-GB"/>
              </w:rPr>
              <w:t>2,727</w:t>
            </w:r>
          </w:p>
        </w:tc>
        <w:tc>
          <w:tcPr>
            <w:tcW w:w="1265" w:type="dxa"/>
            <w:vAlign w:val="center"/>
          </w:tcPr>
          <w:p w14:paraId="759FA393" w14:textId="77777777" w:rsidR="00A45CE8" w:rsidRPr="00BC71D8" w:rsidRDefault="00B413AA" w:rsidP="00867F2B">
            <w:pPr>
              <w:pStyle w:val="ExhibitText"/>
              <w:jc w:val="center"/>
              <w:rPr>
                <w:lang w:val="en-GB"/>
              </w:rPr>
            </w:pPr>
            <w:r w:rsidRPr="00BC71D8">
              <w:rPr>
                <w:lang w:val="en-GB"/>
              </w:rPr>
              <w:t>Not available</w:t>
            </w:r>
          </w:p>
        </w:tc>
      </w:tr>
      <w:tr w:rsidR="00A45CE8" w:rsidRPr="00BC71D8" w14:paraId="1EBAE7A2" w14:textId="77777777" w:rsidTr="00911EC7">
        <w:tc>
          <w:tcPr>
            <w:tcW w:w="1553" w:type="dxa"/>
            <w:vAlign w:val="center"/>
          </w:tcPr>
          <w:p w14:paraId="7B95BDA3" w14:textId="77777777" w:rsidR="00A45CE8" w:rsidRPr="00BC71D8" w:rsidRDefault="00A45CE8" w:rsidP="00612808">
            <w:pPr>
              <w:pStyle w:val="ExhibitText"/>
              <w:jc w:val="left"/>
              <w:rPr>
                <w:lang w:val="en-GB"/>
              </w:rPr>
            </w:pPr>
            <w:r w:rsidRPr="00BC71D8">
              <w:rPr>
                <w:lang w:val="en-GB"/>
              </w:rPr>
              <w:t>Rhinoplasty</w:t>
            </w:r>
          </w:p>
        </w:tc>
        <w:tc>
          <w:tcPr>
            <w:tcW w:w="999" w:type="dxa"/>
            <w:vAlign w:val="center"/>
          </w:tcPr>
          <w:p w14:paraId="3A99130C" w14:textId="77777777" w:rsidR="00A45CE8" w:rsidRPr="00BC71D8" w:rsidRDefault="00A45CE8" w:rsidP="00867F2B">
            <w:pPr>
              <w:pStyle w:val="ExhibitNumber"/>
              <w:jc w:val="right"/>
              <w:rPr>
                <w:b w:val="0"/>
                <w:lang w:val="en-GB"/>
              </w:rPr>
            </w:pPr>
            <w:r w:rsidRPr="00BC71D8">
              <w:rPr>
                <w:b w:val="0"/>
                <w:lang w:val="en-GB"/>
              </w:rPr>
              <w:t>4,000</w:t>
            </w:r>
          </w:p>
        </w:tc>
        <w:tc>
          <w:tcPr>
            <w:tcW w:w="1559" w:type="dxa"/>
            <w:vAlign w:val="center"/>
          </w:tcPr>
          <w:p w14:paraId="1D7C7E84" w14:textId="77777777" w:rsidR="00A45CE8" w:rsidRPr="00BC71D8" w:rsidRDefault="00A45CE8" w:rsidP="00867F2B">
            <w:pPr>
              <w:pStyle w:val="ExhibitNumber"/>
              <w:jc w:val="right"/>
              <w:rPr>
                <w:b w:val="0"/>
                <w:lang w:val="en-GB"/>
              </w:rPr>
            </w:pPr>
            <w:r w:rsidRPr="00BC71D8">
              <w:rPr>
                <w:b w:val="0"/>
                <w:lang w:val="en-GB"/>
              </w:rPr>
              <w:t>8,000</w:t>
            </w:r>
          </w:p>
        </w:tc>
        <w:tc>
          <w:tcPr>
            <w:tcW w:w="1418" w:type="dxa"/>
            <w:vAlign w:val="center"/>
          </w:tcPr>
          <w:p w14:paraId="4C0E488C" w14:textId="77777777" w:rsidR="00A45CE8" w:rsidRPr="00BC71D8" w:rsidRDefault="00A45CE8" w:rsidP="00867F2B">
            <w:pPr>
              <w:pStyle w:val="ExhibitNumber"/>
              <w:jc w:val="right"/>
              <w:rPr>
                <w:b w:val="0"/>
                <w:lang w:val="en-GB"/>
              </w:rPr>
            </w:pPr>
            <w:r w:rsidRPr="00BC71D8">
              <w:rPr>
                <w:b w:val="0"/>
                <w:lang w:val="en-GB"/>
              </w:rPr>
              <w:t>5,000</w:t>
            </w:r>
          </w:p>
        </w:tc>
        <w:tc>
          <w:tcPr>
            <w:tcW w:w="1324" w:type="dxa"/>
            <w:vAlign w:val="center"/>
          </w:tcPr>
          <w:p w14:paraId="5B01FE58" w14:textId="77777777" w:rsidR="00A45CE8" w:rsidRPr="00BC71D8" w:rsidRDefault="00A45CE8" w:rsidP="00867F2B">
            <w:pPr>
              <w:pStyle w:val="ExhibitNumber"/>
              <w:jc w:val="right"/>
              <w:rPr>
                <w:b w:val="0"/>
                <w:lang w:val="en-GB"/>
              </w:rPr>
            </w:pPr>
            <w:r w:rsidRPr="00BC71D8">
              <w:rPr>
                <w:b w:val="0"/>
                <w:lang w:val="en-GB"/>
              </w:rPr>
              <w:t>3,500</w:t>
            </w:r>
          </w:p>
        </w:tc>
        <w:tc>
          <w:tcPr>
            <w:tcW w:w="1242" w:type="dxa"/>
            <w:vAlign w:val="center"/>
          </w:tcPr>
          <w:p w14:paraId="76876DDA" w14:textId="77777777" w:rsidR="00A45CE8" w:rsidRPr="00BC71D8" w:rsidRDefault="00A45CE8" w:rsidP="00867F2B">
            <w:pPr>
              <w:pStyle w:val="ExhibitNumber"/>
              <w:jc w:val="right"/>
              <w:rPr>
                <w:b w:val="0"/>
                <w:lang w:val="en-GB"/>
              </w:rPr>
            </w:pPr>
            <w:r w:rsidRPr="00BC71D8">
              <w:rPr>
                <w:b w:val="0"/>
                <w:lang w:val="en-GB"/>
              </w:rPr>
              <w:t>3,901</w:t>
            </w:r>
          </w:p>
        </w:tc>
        <w:tc>
          <w:tcPr>
            <w:tcW w:w="1265" w:type="dxa"/>
            <w:vAlign w:val="center"/>
          </w:tcPr>
          <w:p w14:paraId="448E3603" w14:textId="77777777" w:rsidR="00A45CE8" w:rsidRPr="00BC71D8" w:rsidRDefault="00A45CE8" w:rsidP="00867F2B">
            <w:pPr>
              <w:pStyle w:val="ExhibitNumber"/>
              <w:jc w:val="right"/>
              <w:rPr>
                <w:b w:val="0"/>
                <w:lang w:val="en-GB"/>
              </w:rPr>
            </w:pPr>
            <w:r w:rsidRPr="00BC71D8">
              <w:rPr>
                <w:b w:val="0"/>
                <w:lang w:val="en-GB"/>
              </w:rPr>
              <w:t>1,293</w:t>
            </w:r>
          </w:p>
        </w:tc>
      </w:tr>
      <w:tr w:rsidR="00A45CE8" w:rsidRPr="00BC71D8" w14:paraId="1CA7C66F" w14:textId="77777777" w:rsidTr="00911EC7">
        <w:tc>
          <w:tcPr>
            <w:tcW w:w="1553" w:type="dxa"/>
            <w:vAlign w:val="center"/>
          </w:tcPr>
          <w:p w14:paraId="035503D4" w14:textId="77777777" w:rsidR="00A45CE8" w:rsidRPr="00BC71D8" w:rsidRDefault="00A45CE8" w:rsidP="00612808">
            <w:pPr>
              <w:pStyle w:val="ExhibitText"/>
              <w:jc w:val="left"/>
              <w:rPr>
                <w:lang w:val="en-GB"/>
              </w:rPr>
            </w:pPr>
            <w:r w:rsidRPr="00BC71D8">
              <w:rPr>
                <w:lang w:val="en-GB"/>
              </w:rPr>
              <w:t>Face Lift</w:t>
            </w:r>
          </w:p>
        </w:tc>
        <w:tc>
          <w:tcPr>
            <w:tcW w:w="999" w:type="dxa"/>
            <w:vAlign w:val="center"/>
          </w:tcPr>
          <w:p w14:paraId="6F80848D" w14:textId="77777777" w:rsidR="00A45CE8" w:rsidRPr="00BC71D8" w:rsidRDefault="00A45CE8" w:rsidP="00867F2B">
            <w:pPr>
              <w:pStyle w:val="ExhibitNumber"/>
              <w:jc w:val="right"/>
              <w:rPr>
                <w:b w:val="0"/>
                <w:lang w:val="en-GB"/>
              </w:rPr>
            </w:pPr>
            <w:r w:rsidRPr="00BC71D8">
              <w:rPr>
                <w:b w:val="0"/>
                <w:lang w:val="en-GB"/>
              </w:rPr>
              <w:t>4,000</w:t>
            </w:r>
          </w:p>
        </w:tc>
        <w:tc>
          <w:tcPr>
            <w:tcW w:w="1559" w:type="dxa"/>
            <w:vAlign w:val="center"/>
          </w:tcPr>
          <w:p w14:paraId="3069F955" w14:textId="77777777" w:rsidR="00A45CE8" w:rsidRPr="00BC71D8" w:rsidRDefault="00A45CE8" w:rsidP="00867F2B">
            <w:pPr>
              <w:pStyle w:val="ExhibitNumber"/>
              <w:jc w:val="right"/>
              <w:rPr>
                <w:b w:val="0"/>
                <w:lang w:val="en-GB"/>
              </w:rPr>
            </w:pPr>
            <w:r w:rsidRPr="00BC71D8">
              <w:rPr>
                <w:b w:val="0"/>
                <w:lang w:val="en-GB"/>
              </w:rPr>
              <w:t>15,000</w:t>
            </w:r>
          </w:p>
        </w:tc>
        <w:tc>
          <w:tcPr>
            <w:tcW w:w="1418" w:type="dxa"/>
            <w:vAlign w:val="center"/>
          </w:tcPr>
          <w:p w14:paraId="6C8EEFD8" w14:textId="77777777" w:rsidR="00A45CE8" w:rsidRPr="00BC71D8" w:rsidRDefault="00A45CE8" w:rsidP="00867F2B">
            <w:pPr>
              <w:pStyle w:val="ExhibitNumber"/>
              <w:jc w:val="right"/>
              <w:rPr>
                <w:b w:val="0"/>
                <w:lang w:val="en-GB"/>
              </w:rPr>
            </w:pPr>
            <w:r w:rsidRPr="00BC71D8">
              <w:rPr>
                <w:b w:val="0"/>
                <w:lang w:val="en-GB"/>
              </w:rPr>
              <w:t>15,300</w:t>
            </w:r>
          </w:p>
        </w:tc>
        <w:tc>
          <w:tcPr>
            <w:tcW w:w="1324" w:type="dxa"/>
            <w:vAlign w:val="center"/>
          </w:tcPr>
          <w:p w14:paraId="429413A0" w14:textId="77777777" w:rsidR="00A45CE8" w:rsidRPr="00BC71D8" w:rsidRDefault="00A45CE8" w:rsidP="00867F2B">
            <w:pPr>
              <w:pStyle w:val="ExhibitNumber"/>
              <w:jc w:val="right"/>
              <w:rPr>
                <w:b w:val="0"/>
                <w:lang w:val="en-GB"/>
              </w:rPr>
            </w:pPr>
            <w:r w:rsidRPr="00BC71D8">
              <w:rPr>
                <w:b w:val="0"/>
                <w:lang w:val="en-GB"/>
              </w:rPr>
              <w:t>4,900</w:t>
            </w:r>
          </w:p>
        </w:tc>
        <w:tc>
          <w:tcPr>
            <w:tcW w:w="1242" w:type="dxa"/>
            <w:vAlign w:val="center"/>
          </w:tcPr>
          <w:p w14:paraId="45C1B92A" w14:textId="77777777" w:rsidR="00A45CE8" w:rsidRPr="00BC71D8" w:rsidRDefault="00A45CE8" w:rsidP="00867F2B">
            <w:pPr>
              <w:pStyle w:val="ExhibitNumber"/>
              <w:jc w:val="right"/>
              <w:rPr>
                <w:b w:val="0"/>
                <w:lang w:val="en-GB"/>
              </w:rPr>
            </w:pPr>
            <w:r w:rsidRPr="00BC71D8">
              <w:rPr>
                <w:b w:val="0"/>
                <w:lang w:val="en-GB"/>
              </w:rPr>
              <w:t>3,697</w:t>
            </w:r>
          </w:p>
        </w:tc>
        <w:tc>
          <w:tcPr>
            <w:tcW w:w="1265" w:type="dxa"/>
            <w:vAlign w:val="center"/>
          </w:tcPr>
          <w:p w14:paraId="33E96A82" w14:textId="77777777" w:rsidR="00A45CE8" w:rsidRPr="00BC71D8" w:rsidRDefault="00A45CE8" w:rsidP="00867F2B">
            <w:pPr>
              <w:pStyle w:val="ExhibitNumber"/>
              <w:jc w:val="right"/>
              <w:rPr>
                <w:b w:val="0"/>
                <w:lang w:val="en-GB"/>
              </w:rPr>
            </w:pPr>
            <w:r w:rsidRPr="00BC71D8">
              <w:rPr>
                <w:b w:val="0"/>
                <w:lang w:val="en-GB"/>
              </w:rPr>
              <w:t>3,440</w:t>
            </w:r>
          </w:p>
        </w:tc>
      </w:tr>
      <w:tr w:rsidR="00A45CE8" w:rsidRPr="00BC71D8" w14:paraId="0CCF59E8" w14:textId="77777777" w:rsidTr="00911EC7">
        <w:tc>
          <w:tcPr>
            <w:tcW w:w="1553" w:type="dxa"/>
            <w:vAlign w:val="center"/>
          </w:tcPr>
          <w:p w14:paraId="6B74558E" w14:textId="77777777" w:rsidR="00A45CE8" w:rsidRPr="00BC71D8" w:rsidRDefault="00A45CE8" w:rsidP="00612808">
            <w:pPr>
              <w:pStyle w:val="ExhibitText"/>
              <w:jc w:val="left"/>
              <w:rPr>
                <w:lang w:val="en-GB"/>
              </w:rPr>
            </w:pPr>
            <w:r w:rsidRPr="00BC71D8">
              <w:rPr>
                <w:lang w:val="en-GB"/>
              </w:rPr>
              <w:t>Hysterectomy</w:t>
            </w:r>
          </w:p>
        </w:tc>
        <w:tc>
          <w:tcPr>
            <w:tcW w:w="999" w:type="dxa"/>
            <w:vAlign w:val="center"/>
          </w:tcPr>
          <w:p w14:paraId="6903227E" w14:textId="77777777" w:rsidR="00A45CE8" w:rsidRPr="00BC71D8" w:rsidRDefault="00A45CE8" w:rsidP="00867F2B">
            <w:pPr>
              <w:pStyle w:val="ExhibitNumber"/>
              <w:jc w:val="right"/>
              <w:rPr>
                <w:b w:val="0"/>
                <w:lang w:val="en-GB"/>
              </w:rPr>
            </w:pPr>
            <w:r w:rsidRPr="00BC71D8">
              <w:rPr>
                <w:b w:val="0"/>
                <w:lang w:val="en-GB"/>
              </w:rPr>
              <w:t>2,500</w:t>
            </w:r>
          </w:p>
        </w:tc>
        <w:tc>
          <w:tcPr>
            <w:tcW w:w="1559" w:type="dxa"/>
            <w:vAlign w:val="center"/>
          </w:tcPr>
          <w:p w14:paraId="384F29FE" w14:textId="77777777" w:rsidR="00A45CE8" w:rsidRPr="00BC71D8" w:rsidRDefault="00A45CE8" w:rsidP="00867F2B">
            <w:pPr>
              <w:pStyle w:val="ExhibitNumber"/>
              <w:jc w:val="right"/>
              <w:rPr>
                <w:b w:val="0"/>
                <w:lang w:val="en-GB"/>
              </w:rPr>
            </w:pPr>
            <w:r w:rsidRPr="00BC71D8">
              <w:rPr>
                <w:b w:val="0"/>
                <w:lang w:val="en-GB"/>
              </w:rPr>
              <w:t>15,000</w:t>
            </w:r>
          </w:p>
        </w:tc>
        <w:tc>
          <w:tcPr>
            <w:tcW w:w="1418" w:type="dxa"/>
            <w:vAlign w:val="center"/>
          </w:tcPr>
          <w:p w14:paraId="500AD688" w14:textId="77777777" w:rsidR="00A45CE8" w:rsidRPr="00BC71D8" w:rsidRDefault="00A45CE8" w:rsidP="00867F2B">
            <w:pPr>
              <w:pStyle w:val="ExhibitNumber"/>
              <w:jc w:val="right"/>
              <w:rPr>
                <w:b w:val="0"/>
                <w:lang w:val="en-GB"/>
              </w:rPr>
            </w:pPr>
            <w:r w:rsidRPr="00BC71D8">
              <w:rPr>
                <w:b w:val="0"/>
                <w:lang w:val="en-GB"/>
              </w:rPr>
              <w:t>11,000</w:t>
            </w:r>
          </w:p>
        </w:tc>
        <w:tc>
          <w:tcPr>
            <w:tcW w:w="1324" w:type="dxa"/>
            <w:vAlign w:val="center"/>
          </w:tcPr>
          <w:p w14:paraId="4AD4F067" w14:textId="77777777" w:rsidR="00A45CE8" w:rsidRPr="00BC71D8" w:rsidRDefault="00A45CE8" w:rsidP="00867F2B">
            <w:pPr>
              <w:pStyle w:val="ExhibitNumber"/>
              <w:jc w:val="right"/>
              <w:rPr>
                <w:b w:val="0"/>
                <w:lang w:val="en-GB"/>
              </w:rPr>
            </w:pPr>
            <w:r w:rsidRPr="00BC71D8">
              <w:rPr>
                <w:b w:val="0"/>
                <w:lang w:val="en-GB"/>
              </w:rPr>
              <w:t>5,800</w:t>
            </w:r>
          </w:p>
        </w:tc>
        <w:tc>
          <w:tcPr>
            <w:tcW w:w="1242" w:type="dxa"/>
            <w:vAlign w:val="center"/>
          </w:tcPr>
          <w:p w14:paraId="661786D1" w14:textId="77777777" w:rsidR="00A45CE8" w:rsidRPr="00BC71D8" w:rsidRDefault="00A45CE8" w:rsidP="00867F2B">
            <w:pPr>
              <w:pStyle w:val="ExhibitNumber"/>
              <w:jc w:val="right"/>
              <w:rPr>
                <w:b w:val="0"/>
                <w:lang w:val="en-GB"/>
              </w:rPr>
            </w:pPr>
            <w:r w:rsidRPr="00BC71D8">
              <w:rPr>
                <w:b w:val="0"/>
                <w:lang w:val="en-GB"/>
              </w:rPr>
              <w:t>2,727</w:t>
            </w:r>
          </w:p>
        </w:tc>
        <w:tc>
          <w:tcPr>
            <w:tcW w:w="1265" w:type="dxa"/>
            <w:vAlign w:val="center"/>
          </w:tcPr>
          <w:p w14:paraId="2F9BF33E" w14:textId="77777777" w:rsidR="00A45CE8" w:rsidRPr="00BC71D8" w:rsidRDefault="00A45CE8" w:rsidP="00867F2B">
            <w:pPr>
              <w:pStyle w:val="ExhibitNumber"/>
              <w:jc w:val="right"/>
              <w:rPr>
                <w:b w:val="0"/>
                <w:lang w:val="en-GB"/>
              </w:rPr>
            </w:pPr>
            <w:r w:rsidRPr="00BC71D8">
              <w:rPr>
                <w:b w:val="0"/>
                <w:lang w:val="en-GB"/>
              </w:rPr>
              <w:t>5,250</w:t>
            </w:r>
          </w:p>
        </w:tc>
      </w:tr>
      <w:tr w:rsidR="00A45CE8" w:rsidRPr="00BC71D8" w14:paraId="6F743B6C" w14:textId="77777777" w:rsidTr="00911EC7">
        <w:tc>
          <w:tcPr>
            <w:tcW w:w="1553" w:type="dxa"/>
            <w:vAlign w:val="center"/>
          </w:tcPr>
          <w:p w14:paraId="09B8DE98" w14:textId="77777777" w:rsidR="00A45CE8" w:rsidRPr="00BC71D8" w:rsidRDefault="00A45CE8" w:rsidP="00612808">
            <w:pPr>
              <w:pStyle w:val="ExhibitText"/>
              <w:jc w:val="left"/>
              <w:rPr>
                <w:lang w:val="en-GB"/>
              </w:rPr>
            </w:pPr>
            <w:r w:rsidRPr="00BC71D8">
              <w:rPr>
                <w:lang w:val="en-GB"/>
              </w:rPr>
              <w:t>Gastric Sleeve</w:t>
            </w:r>
          </w:p>
        </w:tc>
        <w:tc>
          <w:tcPr>
            <w:tcW w:w="999" w:type="dxa"/>
            <w:vAlign w:val="center"/>
          </w:tcPr>
          <w:p w14:paraId="1440215F" w14:textId="77777777" w:rsidR="00A45CE8" w:rsidRPr="00BC71D8" w:rsidRDefault="00A45CE8" w:rsidP="00867F2B">
            <w:pPr>
              <w:pStyle w:val="ExhibitNumber"/>
              <w:jc w:val="right"/>
              <w:rPr>
                <w:b w:val="0"/>
                <w:lang w:val="en-GB"/>
              </w:rPr>
            </w:pPr>
            <w:r w:rsidRPr="00BC71D8">
              <w:rPr>
                <w:b w:val="0"/>
                <w:lang w:val="en-GB"/>
              </w:rPr>
              <w:t>5,000</w:t>
            </w:r>
          </w:p>
        </w:tc>
        <w:tc>
          <w:tcPr>
            <w:tcW w:w="1559" w:type="dxa"/>
            <w:vAlign w:val="center"/>
          </w:tcPr>
          <w:p w14:paraId="7B4CFD2B" w14:textId="77777777" w:rsidR="00A45CE8" w:rsidRPr="00BC71D8" w:rsidRDefault="00A45CE8" w:rsidP="00867F2B">
            <w:pPr>
              <w:pStyle w:val="ExhibitNumber"/>
              <w:jc w:val="right"/>
              <w:rPr>
                <w:b w:val="0"/>
                <w:lang w:val="en-GB"/>
              </w:rPr>
            </w:pPr>
            <w:r w:rsidRPr="00BC71D8">
              <w:rPr>
                <w:b w:val="0"/>
                <w:lang w:val="en-GB"/>
              </w:rPr>
              <w:t>28,700</w:t>
            </w:r>
          </w:p>
        </w:tc>
        <w:tc>
          <w:tcPr>
            <w:tcW w:w="1418" w:type="dxa"/>
            <w:vAlign w:val="center"/>
          </w:tcPr>
          <w:p w14:paraId="53995BA6"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3D5DC10D" w14:textId="77777777" w:rsidR="00A45CE8" w:rsidRPr="00BC71D8" w:rsidRDefault="00A45CE8" w:rsidP="00867F2B">
            <w:pPr>
              <w:pStyle w:val="ExhibitNumber"/>
              <w:jc w:val="right"/>
              <w:rPr>
                <w:b w:val="0"/>
                <w:lang w:val="en-GB"/>
              </w:rPr>
            </w:pPr>
            <w:r w:rsidRPr="00BC71D8">
              <w:rPr>
                <w:b w:val="0"/>
                <w:lang w:val="en-GB"/>
              </w:rPr>
              <w:t>9,995</w:t>
            </w:r>
          </w:p>
        </w:tc>
        <w:tc>
          <w:tcPr>
            <w:tcW w:w="1242" w:type="dxa"/>
            <w:vAlign w:val="center"/>
          </w:tcPr>
          <w:p w14:paraId="50C3F014" w14:textId="77777777" w:rsidR="00A45CE8" w:rsidRPr="00BC71D8" w:rsidRDefault="00A45CE8" w:rsidP="00867F2B">
            <w:pPr>
              <w:pStyle w:val="ExhibitNumber"/>
              <w:jc w:val="right"/>
              <w:rPr>
                <w:b w:val="0"/>
                <w:lang w:val="en-GB"/>
              </w:rPr>
            </w:pPr>
            <w:r w:rsidRPr="00BC71D8">
              <w:rPr>
                <w:b w:val="0"/>
                <w:lang w:val="en-GB"/>
              </w:rPr>
              <w:t>13,636</w:t>
            </w:r>
          </w:p>
        </w:tc>
        <w:tc>
          <w:tcPr>
            <w:tcW w:w="1265" w:type="dxa"/>
            <w:vAlign w:val="center"/>
          </w:tcPr>
          <w:p w14:paraId="07DE1FBD" w14:textId="77777777" w:rsidR="00A45CE8" w:rsidRPr="00BC71D8" w:rsidRDefault="00A45CE8" w:rsidP="00867F2B">
            <w:pPr>
              <w:pStyle w:val="ExhibitText"/>
              <w:jc w:val="center"/>
              <w:rPr>
                <w:lang w:val="en-GB"/>
              </w:rPr>
            </w:pPr>
            <w:r w:rsidRPr="00BC71D8">
              <w:rPr>
                <w:lang w:val="en-GB"/>
              </w:rPr>
              <w:t>Not available</w:t>
            </w:r>
          </w:p>
        </w:tc>
      </w:tr>
      <w:tr w:rsidR="00A45CE8" w:rsidRPr="00BC71D8" w14:paraId="620616DD" w14:textId="77777777" w:rsidTr="00911EC7">
        <w:tc>
          <w:tcPr>
            <w:tcW w:w="1553" w:type="dxa"/>
            <w:vAlign w:val="center"/>
          </w:tcPr>
          <w:p w14:paraId="59188D0D" w14:textId="77777777" w:rsidR="00A45CE8" w:rsidRPr="00BC71D8" w:rsidRDefault="00A45CE8" w:rsidP="00612808">
            <w:pPr>
              <w:pStyle w:val="ExhibitText"/>
              <w:jc w:val="left"/>
              <w:rPr>
                <w:lang w:val="en-GB"/>
              </w:rPr>
            </w:pPr>
            <w:r w:rsidRPr="00BC71D8">
              <w:rPr>
                <w:lang w:val="en-GB"/>
              </w:rPr>
              <w:t>Gastric Bypass</w:t>
            </w:r>
          </w:p>
        </w:tc>
        <w:tc>
          <w:tcPr>
            <w:tcW w:w="999" w:type="dxa"/>
            <w:vAlign w:val="center"/>
          </w:tcPr>
          <w:p w14:paraId="1DE81E71" w14:textId="77777777" w:rsidR="00A45CE8" w:rsidRPr="00BC71D8" w:rsidRDefault="00A45CE8" w:rsidP="00867F2B">
            <w:pPr>
              <w:pStyle w:val="ExhibitNumber"/>
              <w:jc w:val="right"/>
              <w:rPr>
                <w:b w:val="0"/>
                <w:lang w:val="en-GB"/>
              </w:rPr>
            </w:pPr>
            <w:r w:rsidRPr="00BC71D8">
              <w:rPr>
                <w:b w:val="0"/>
                <w:lang w:val="en-GB"/>
              </w:rPr>
              <w:t>5,000</w:t>
            </w:r>
          </w:p>
        </w:tc>
        <w:tc>
          <w:tcPr>
            <w:tcW w:w="1559" w:type="dxa"/>
            <w:vAlign w:val="center"/>
          </w:tcPr>
          <w:p w14:paraId="6CE48C0C" w14:textId="77777777" w:rsidR="00A45CE8" w:rsidRPr="00BC71D8" w:rsidRDefault="00A45CE8" w:rsidP="00867F2B">
            <w:pPr>
              <w:pStyle w:val="ExhibitNumber"/>
              <w:jc w:val="right"/>
              <w:rPr>
                <w:b w:val="0"/>
                <w:lang w:val="en-GB"/>
              </w:rPr>
            </w:pPr>
            <w:r w:rsidRPr="00BC71D8">
              <w:rPr>
                <w:b w:val="0"/>
                <w:lang w:val="en-GB"/>
              </w:rPr>
              <w:t>32,972</w:t>
            </w:r>
          </w:p>
        </w:tc>
        <w:tc>
          <w:tcPr>
            <w:tcW w:w="1418" w:type="dxa"/>
            <w:vAlign w:val="center"/>
          </w:tcPr>
          <w:p w14:paraId="16DD8EA4"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4CB5DACE" w14:textId="77777777" w:rsidR="00A45CE8" w:rsidRPr="00BC71D8" w:rsidRDefault="00A45CE8" w:rsidP="00867F2B">
            <w:pPr>
              <w:pStyle w:val="ExhibitNumber"/>
              <w:jc w:val="right"/>
              <w:rPr>
                <w:b w:val="0"/>
                <w:lang w:val="en-GB"/>
              </w:rPr>
            </w:pPr>
            <w:r w:rsidRPr="00BC71D8">
              <w:rPr>
                <w:b w:val="0"/>
                <w:lang w:val="en-GB"/>
              </w:rPr>
              <w:t>10,950</w:t>
            </w:r>
          </w:p>
        </w:tc>
        <w:tc>
          <w:tcPr>
            <w:tcW w:w="1242" w:type="dxa"/>
            <w:vAlign w:val="center"/>
          </w:tcPr>
          <w:p w14:paraId="7797F7A2" w14:textId="77777777" w:rsidR="00A45CE8" w:rsidRPr="00BC71D8" w:rsidRDefault="00A45CE8" w:rsidP="00867F2B">
            <w:pPr>
              <w:pStyle w:val="ExhibitNumber"/>
              <w:jc w:val="right"/>
              <w:rPr>
                <w:b w:val="0"/>
                <w:lang w:val="en-GB"/>
              </w:rPr>
            </w:pPr>
            <w:r w:rsidRPr="00BC71D8">
              <w:rPr>
                <w:b w:val="0"/>
                <w:lang w:val="en-GB"/>
              </w:rPr>
              <w:t>16,667</w:t>
            </w:r>
          </w:p>
        </w:tc>
        <w:tc>
          <w:tcPr>
            <w:tcW w:w="1265" w:type="dxa"/>
            <w:vAlign w:val="center"/>
          </w:tcPr>
          <w:p w14:paraId="1C040A26" w14:textId="77777777" w:rsidR="00A45CE8" w:rsidRPr="00BC71D8" w:rsidRDefault="00A45CE8" w:rsidP="00867F2B">
            <w:pPr>
              <w:pStyle w:val="ExhibitNumber"/>
              <w:jc w:val="right"/>
              <w:rPr>
                <w:b w:val="0"/>
                <w:lang w:val="en-GB"/>
              </w:rPr>
            </w:pPr>
            <w:r w:rsidRPr="00BC71D8">
              <w:rPr>
                <w:b w:val="0"/>
                <w:lang w:val="en-GB"/>
              </w:rPr>
              <w:t>9,450</w:t>
            </w:r>
          </w:p>
        </w:tc>
      </w:tr>
      <w:tr w:rsidR="00A45CE8" w:rsidRPr="00BC71D8" w14:paraId="357CCEA8" w14:textId="77777777" w:rsidTr="00911EC7">
        <w:tc>
          <w:tcPr>
            <w:tcW w:w="1553" w:type="dxa"/>
            <w:vAlign w:val="center"/>
          </w:tcPr>
          <w:p w14:paraId="1EA80BEE" w14:textId="77777777" w:rsidR="00A45CE8" w:rsidRPr="00BC71D8" w:rsidRDefault="00A45CE8" w:rsidP="00612808">
            <w:pPr>
              <w:pStyle w:val="ExhibitText"/>
              <w:jc w:val="left"/>
              <w:rPr>
                <w:lang w:val="en-GB"/>
              </w:rPr>
            </w:pPr>
            <w:r w:rsidRPr="00BC71D8">
              <w:rPr>
                <w:lang w:val="en-GB"/>
              </w:rPr>
              <w:t>Liposuction</w:t>
            </w:r>
          </w:p>
        </w:tc>
        <w:tc>
          <w:tcPr>
            <w:tcW w:w="999" w:type="dxa"/>
            <w:vAlign w:val="center"/>
          </w:tcPr>
          <w:p w14:paraId="2FDE75AA" w14:textId="77777777" w:rsidR="00A45CE8" w:rsidRPr="00BC71D8" w:rsidRDefault="00A45CE8" w:rsidP="00867F2B">
            <w:pPr>
              <w:pStyle w:val="ExhibitNumber"/>
              <w:jc w:val="right"/>
              <w:rPr>
                <w:b w:val="0"/>
                <w:lang w:val="en-GB"/>
              </w:rPr>
            </w:pPr>
            <w:r w:rsidRPr="00BC71D8">
              <w:rPr>
                <w:b w:val="0"/>
                <w:lang w:val="en-GB"/>
              </w:rPr>
              <w:t>2,800</w:t>
            </w:r>
          </w:p>
        </w:tc>
        <w:tc>
          <w:tcPr>
            <w:tcW w:w="1559" w:type="dxa"/>
            <w:vAlign w:val="center"/>
          </w:tcPr>
          <w:p w14:paraId="0454CA30" w14:textId="77777777" w:rsidR="00A45CE8" w:rsidRPr="00BC71D8" w:rsidRDefault="00A45CE8" w:rsidP="00867F2B">
            <w:pPr>
              <w:pStyle w:val="ExhibitNumber"/>
              <w:jc w:val="right"/>
              <w:rPr>
                <w:b w:val="0"/>
                <w:lang w:val="en-GB"/>
              </w:rPr>
            </w:pPr>
            <w:r w:rsidRPr="00BC71D8">
              <w:rPr>
                <w:b w:val="0"/>
                <w:lang w:val="en-GB"/>
              </w:rPr>
              <w:t>9,000</w:t>
            </w:r>
          </w:p>
        </w:tc>
        <w:tc>
          <w:tcPr>
            <w:tcW w:w="1418" w:type="dxa"/>
            <w:vAlign w:val="center"/>
          </w:tcPr>
          <w:p w14:paraId="43DD353B"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184FEF34" w14:textId="77777777" w:rsidR="00A45CE8" w:rsidRPr="00BC71D8" w:rsidRDefault="00A45CE8" w:rsidP="00867F2B">
            <w:pPr>
              <w:pStyle w:val="ExhibitNumber"/>
              <w:jc w:val="right"/>
              <w:rPr>
                <w:b w:val="0"/>
                <w:lang w:val="en-GB"/>
              </w:rPr>
            </w:pPr>
            <w:r w:rsidRPr="00BC71D8">
              <w:rPr>
                <w:b w:val="0"/>
                <w:lang w:val="en-GB"/>
              </w:rPr>
              <w:t>2,800</w:t>
            </w:r>
          </w:p>
        </w:tc>
        <w:tc>
          <w:tcPr>
            <w:tcW w:w="1242" w:type="dxa"/>
            <w:vAlign w:val="center"/>
          </w:tcPr>
          <w:p w14:paraId="4D985E67" w14:textId="77777777" w:rsidR="00A45CE8" w:rsidRPr="00BC71D8" w:rsidRDefault="00A45CE8" w:rsidP="00867F2B">
            <w:pPr>
              <w:pStyle w:val="ExhibitNumber"/>
              <w:jc w:val="right"/>
              <w:rPr>
                <w:b w:val="0"/>
                <w:lang w:val="en-GB"/>
              </w:rPr>
            </w:pPr>
            <w:r w:rsidRPr="00BC71D8">
              <w:rPr>
                <w:b w:val="0"/>
                <w:lang w:val="en-GB"/>
              </w:rPr>
              <w:t>2,303</w:t>
            </w:r>
          </w:p>
        </w:tc>
        <w:tc>
          <w:tcPr>
            <w:tcW w:w="1265" w:type="dxa"/>
            <w:vAlign w:val="center"/>
          </w:tcPr>
          <w:p w14:paraId="696A7E51" w14:textId="77777777" w:rsidR="00A45CE8" w:rsidRPr="00BC71D8" w:rsidRDefault="00A45CE8" w:rsidP="00867F2B">
            <w:pPr>
              <w:pStyle w:val="ExhibitNumber"/>
              <w:jc w:val="right"/>
              <w:rPr>
                <w:b w:val="0"/>
                <w:lang w:val="en-GB"/>
              </w:rPr>
            </w:pPr>
            <w:r w:rsidRPr="00BC71D8">
              <w:rPr>
                <w:b w:val="0"/>
                <w:lang w:val="en-GB"/>
              </w:rPr>
              <w:t>2,299</w:t>
            </w:r>
          </w:p>
        </w:tc>
      </w:tr>
      <w:tr w:rsidR="00A45CE8" w:rsidRPr="00BC71D8" w14:paraId="6F61737A" w14:textId="77777777" w:rsidTr="00911EC7">
        <w:tc>
          <w:tcPr>
            <w:tcW w:w="1553" w:type="dxa"/>
            <w:vAlign w:val="center"/>
          </w:tcPr>
          <w:p w14:paraId="1010C5B8" w14:textId="77777777" w:rsidR="00A45CE8" w:rsidRPr="00BC71D8" w:rsidRDefault="00A45CE8" w:rsidP="00612808">
            <w:pPr>
              <w:pStyle w:val="ExhibitText"/>
              <w:jc w:val="left"/>
              <w:rPr>
                <w:lang w:val="en-GB"/>
              </w:rPr>
            </w:pPr>
            <w:r w:rsidRPr="00BC71D8">
              <w:rPr>
                <w:lang w:val="en-GB"/>
              </w:rPr>
              <w:t>Tummy Tuck</w:t>
            </w:r>
          </w:p>
        </w:tc>
        <w:tc>
          <w:tcPr>
            <w:tcW w:w="999" w:type="dxa"/>
            <w:vAlign w:val="center"/>
          </w:tcPr>
          <w:p w14:paraId="6E7DF0A5" w14:textId="77777777" w:rsidR="00A45CE8" w:rsidRPr="00BC71D8" w:rsidRDefault="00A45CE8" w:rsidP="00867F2B">
            <w:pPr>
              <w:pStyle w:val="ExhibitNumber"/>
              <w:jc w:val="right"/>
              <w:rPr>
                <w:b w:val="0"/>
                <w:lang w:val="en-GB"/>
              </w:rPr>
            </w:pPr>
            <w:r w:rsidRPr="00BC71D8">
              <w:rPr>
                <w:b w:val="0"/>
                <w:lang w:val="en-GB"/>
              </w:rPr>
              <w:t>3,000</w:t>
            </w:r>
          </w:p>
        </w:tc>
        <w:tc>
          <w:tcPr>
            <w:tcW w:w="1559" w:type="dxa"/>
            <w:vAlign w:val="center"/>
          </w:tcPr>
          <w:p w14:paraId="7085CABF" w14:textId="77777777" w:rsidR="00A45CE8" w:rsidRPr="00BC71D8" w:rsidRDefault="00A45CE8" w:rsidP="00867F2B">
            <w:pPr>
              <w:pStyle w:val="ExhibitNumber"/>
              <w:jc w:val="right"/>
              <w:rPr>
                <w:b w:val="0"/>
                <w:lang w:val="en-GB"/>
              </w:rPr>
            </w:pPr>
            <w:r w:rsidRPr="00BC71D8">
              <w:rPr>
                <w:b w:val="0"/>
                <w:lang w:val="en-GB"/>
              </w:rPr>
              <w:t>9,750</w:t>
            </w:r>
          </w:p>
        </w:tc>
        <w:tc>
          <w:tcPr>
            <w:tcW w:w="1418" w:type="dxa"/>
            <w:vAlign w:val="center"/>
          </w:tcPr>
          <w:p w14:paraId="57BFF54D"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7A3264CF" w14:textId="77777777" w:rsidR="00A45CE8" w:rsidRPr="00BC71D8" w:rsidRDefault="00A45CE8" w:rsidP="00867F2B">
            <w:pPr>
              <w:pStyle w:val="ExhibitNumber"/>
              <w:jc w:val="right"/>
              <w:rPr>
                <w:b w:val="0"/>
                <w:lang w:val="en-GB"/>
              </w:rPr>
            </w:pPr>
            <w:r w:rsidRPr="00BC71D8">
              <w:rPr>
                <w:b w:val="0"/>
                <w:lang w:val="en-GB"/>
              </w:rPr>
              <w:t>4,025</w:t>
            </w:r>
          </w:p>
        </w:tc>
        <w:tc>
          <w:tcPr>
            <w:tcW w:w="1242" w:type="dxa"/>
            <w:vAlign w:val="center"/>
          </w:tcPr>
          <w:p w14:paraId="7A52513B" w14:textId="77777777" w:rsidR="00A45CE8" w:rsidRPr="00BC71D8" w:rsidRDefault="00A45CE8" w:rsidP="00867F2B">
            <w:pPr>
              <w:pStyle w:val="ExhibitNumber"/>
              <w:jc w:val="right"/>
              <w:rPr>
                <w:b w:val="0"/>
                <w:lang w:val="en-GB"/>
              </w:rPr>
            </w:pPr>
            <w:r w:rsidRPr="00BC71D8">
              <w:rPr>
                <w:b w:val="0"/>
                <w:lang w:val="en-GB"/>
              </w:rPr>
              <w:t>5,000</w:t>
            </w:r>
          </w:p>
        </w:tc>
        <w:tc>
          <w:tcPr>
            <w:tcW w:w="1265" w:type="dxa"/>
            <w:vAlign w:val="center"/>
          </w:tcPr>
          <w:p w14:paraId="43034456" w14:textId="77777777" w:rsidR="00A45CE8" w:rsidRPr="00BC71D8" w:rsidRDefault="00A45CE8" w:rsidP="00867F2B">
            <w:pPr>
              <w:pStyle w:val="ExhibitText"/>
              <w:jc w:val="center"/>
              <w:rPr>
                <w:lang w:val="en-GB"/>
              </w:rPr>
            </w:pPr>
            <w:r w:rsidRPr="00BC71D8">
              <w:rPr>
                <w:lang w:val="en-GB"/>
              </w:rPr>
              <w:t>Not available</w:t>
            </w:r>
          </w:p>
        </w:tc>
      </w:tr>
      <w:tr w:rsidR="00A45CE8" w:rsidRPr="00BC71D8" w14:paraId="0ECFD479" w14:textId="77777777" w:rsidTr="00911EC7">
        <w:tc>
          <w:tcPr>
            <w:tcW w:w="1553" w:type="dxa"/>
            <w:vAlign w:val="center"/>
          </w:tcPr>
          <w:p w14:paraId="0898002B" w14:textId="77777777" w:rsidR="00A45CE8" w:rsidRPr="00BC71D8" w:rsidRDefault="00A45CE8" w:rsidP="00612808">
            <w:pPr>
              <w:pStyle w:val="ExhibitText"/>
              <w:jc w:val="left"/>
              <w:rPr>
                <w:lang w:val="en-GB"/>
              </w:rPr>
            </w:pPr>
            <w:r w:rsidRPr="00BC71D8">
              <w:rPr>
                <w:lang w:val="en-GB"/>
              </w:rPr>
              <w:t>Lap Band</w:t>
            </w:r>
          </w:p>
        </w:tc>
        <w:tc>
          <w:tcPr>
            <w:tcW w:w="999" w:type="dxa"/>
            <w:vAlign w:val="center"/>
          </w:tcPr>
          <w:p w14:paraId="4A4B1403" w14:textId="77777777" w:rsidR="00A45CE8" w:rsidRPr="00BC71D8" w:rsidRDefault="00A45CE8" w:rsidP="00867F2B">
            <w:pPr>
              <w:pStyle w:val="ExhibitNumber"/>
              <w:jc w:val="right"/>
              <w:rPr>
                <w:b w:val="0"/>
                <w:lang w:val="en-GB"/>
              </w:rPr>
            </w:pPr>
            <w:r w:rsidRPr="00BC71D8">
              <w:rPr>
                <w:b w:val="0"/>
                <w:lang w:val="en-GB"/>
              </w:rPr>
              <w:t>3,000</w:t>
            </w:r>
          </w:p>
        </w:tc>
        <w:tc>
          <w:tcPr>
            <w:tcW w:w="1559" w:type="dxa"/>
            <w:vAlign w:val="center"/>
          </w:tcPr>
          <w:p w14:paraId="3D4B9F3E" w14:textId="77777777" w:rsidR="00A45CE8" w:rsidRPr="00BC71D8" w:rsidRDefault="00A45CE8" w:rsidP="00867F2B">
            <w:pPr>
              <w:pStyle w:val="ExhibitNumber"/>
              <w:jc w:val="right"/>
              <w:rPr>
                <w:b w:val="0"/>
                <w:lang w:val="en-GB"/>
              </w:rPr>
            </w:pPr>
            <w:r w:rsidRPr="00BC71D8">
              <w:rPr>
                <w:b w:val="0"/>
                <w:lang w:val="en-GB"/>
              </w:rPr>
              <w:t>30,000</w:t>
            </w:r>
          </w:p>
        </w:tc>
        <w:tc>
          <w:tcPr>
            <w:tcW w:w="1418" w:type="dxa"/>
            <w:vAlign w:val="center"/>
          </w:tcPr>
          <w:p w14:paraId="1928D36F" w14:textId="77777777" w:rsidR="00A45CE8" w:rsidRPr="00BC71D8" w:rsidRDefault="00A45CE8" w:rsidP="00867F2B">
            <w:pPr>
              <w:pStyle w:val="ExhibitText"/>
              <w:jc w:val="center"/>
              <w:rPr>
                <w:lang w:val="en-GB"/>
              </w:rPr>
            </w:pPr>
            <w:r w:rsidRPr="00BC71D8">
              <w:rPr>
                <w:lang w:val="en-GB"/>
              </w:rPr>
              <w:t>Not available</w:t>
            </w:r>
          </w:p>
        </w:tc>
        <w:tc>
          <w:tcPr>
            <w:tcW w:w="1324" w:type="dxa"/>
            <w:vAlign w:val="center"/>
          </w:tcPr>
          <w:p w14:paraId="4E440EDB" w14:textId="77777777" w:rsidR="00A45CE8" w:rsidRPr="00BC71D8" w:rsidRDefault="00A45CE8" w:rsidP="00867F2B">
            <w:pPr>
              <w:pStyle w:val="ExhibitNumber"/>
              <w:jc w:val="right"/>
              <w:rPr>
                <w:b w:val="0"/>
                <w:lang w:val="en-GB"/>
              </w:rPr>
            </w:pPr>
            <w:r w:rsidRPr="00BC71D8">
              <w:rPr>
                <w:b w:val="0"/>
                <w:lang w:val="en-GB"/>
              </w:rPr>
              <w:t>6,500</w:t>
            </w:r>
          </w:p>
        </w:tc>
        <w:tc>
          <w:tcPr>
            <w:tcW w:w="1242" w:type="dxa"/>
            <w:vAlign w:val="center"/>
          </w:tcPr>
          <w:p w14:paraId="23FAD6FB" w14:textId="77777777" w:rsidR="00A45CE8" w:rsidRPr="00BC71D8" w:rsidRDefault="00A45CE8" w:rsidP="00867F2B">
            <w:pPr>
              <w:pStyle w:val="ExhibitNumber"/>
              <w:jc w:val="right"/>
              <w:rPr>
                <w:b w:val="0"/>
                <w:lang w:val="en-GB"/>
              </w:rPr>
            </w:pPr>
            <w:r w:rsidRPr="00BC71D8">
              <w:rPr>
                <w:b w:val="0"/>
                <w:lang w:val="en-GB"/>
              </w:rPr>
              <w:t>11,515</w:t>
            </w:r>
          </w:p>
        </w:tc>
        <w:tc>
          <w:tcPr>
            <w:tcW w:w="1265" w:type="dxa"/>
            <w:vAlign w:val="center"/>
          </w:tcPr>
          <w:p w14:paraId="6916127A" w14:textId="77777777" w:rsidR="00A45CE8" w:rsidRPr="00BC71D8" w:rsidRDefault="00A45CE8" w:rsidP="00867F2B">
            <w:pPr>
              <w:pStyle w:val="ExhibitText"/>
              <w:jc w:val="center"/>
              <w:rPr>
                <w:lang w:val="en-GB"/>
              </w:rPr>
            </w:pPr>
            <w:r w:rsidRPr="00BC71D8">
              <w:rPr>
                <w:lang w:val="en-GB"/>
              </w:rPr>
              <w:t>Not available</w:t>
            </w:r>
          </w:p>
        </w:tc>
      </w:tr>
      <w:tr w:rsidR="00A45CE8" w:rsidRPr="00BC71D8" w14:paraId="340F0E4F" w14:textId="77777777" w:rsidTr="00911EC7">
        <w:tc>
          <w:tcPr>
            <w:tcW w:w="1553" w:type="dxa"/>
            <w:vAlign w:val="center"/>
          </w:tcPr>
          <w:p w14:paraId="392C7478" w14:textId="77777777" w:rsidR="00A45CE8" w:rsidRPr="00BC71D8" w:rsidRDefault="00A45CE8" w:rsidP="00612808">
            <w:pPr>
              <w:pStyle w:val="ExhibitText"/>
              <w:jc w:val="left"/>
              <w:rPr>
                <w:lang w:val="en-GB"/>
              </w:rPr>
            </w:pPr>
            <w:r w:rsidRPr="00BC71D8">
              <w:rPr>
                <w:lang w:val="en-GB"/>
              </w:rPr>
              <w:t>Rhinoplasty</w:t>
            </w:r>
          </w:p>
        </w:tc>
        <w:tc>
          <w:tcPr>
            <w:tcW w:w="999" w:type="dxa"/>
            <w:vAlign w:val="center"/>
          </w:tcPr>
          <w:p w14:paraId="797CDFF4" w14:textId="77777777" w:rsidR="00A45CE8" w:rsidRPr="00BC71D8" w:rsidRDefault="00A45CE8" w:rsidP="00867F2B">
            <w:pPr>
              <w:pStyle w:val="ExhibitNumber"/>
              <w:jc w:val="right"/>
              <w:rPr>
                <w:b w:val="0"/>
                <w:lang w:val="en-GB"/>
              </w:rPr>
            </w:pPr>
            <w:r w:rsidRPr="00BC71D8">
              <w:rPr>
                <w:b w:val="0"/>
                <w:lang w:val="en-GB"/>
              </w:rPr>
              <w:t>4,000</w:t>
            </w:r>
          </w:p>
        </w:tc>
        <w:tc>
          <w:tcPr>
            <w:tcW w:w="1559" w:type="dxa"/>
            <w:vAlign w:val="center"/>
          </w:tcPr>
          <w:p w14:paraId="46A894F7" w14:textId="77777777" w:rsidR="00A45CE8" w:rsidRPr="00BC71D8" w:rsidRDefault="00A45CE8" w:rsidP="00867F2B">
            <w:pPr>
              <w:pStyle w:val="ExhibitNumber"/>
              <w:jc w:val="right"/>
              <w:rPr>
                <w:b w:val="0"/>
                <w:lang w:val="en-GB"/>
              </w:rPr>
            </w:pPr>
            <w:r w:rsidRPr="00BC71D8">
              <w:rPr>
                <w:b w:val="0"/>
                <w:lang w:val="en-GB"/>
              </w:rPr>
              <w:t>8,000</w:t>
            </w:r>
          </w:p>
        </w:tc>
        <w:tc>
          <w:tcPr>
            <w:tcW w:w="1418" w:type="dxa"/>
            <w:vAlign w:val="center"/>
          </w:tcPr>
          <w:p w14:paraId="4C67B55A" w14:textId="77777777" w:rsidR="00A45CE8" w:rsidRPr="00BC71D8" w:rsidRDefault="00A45CE8" w:rsidP="00867F2B">
            <w:pPr>
              <w:pStyle w:val="ExhibitNumber"/>
              <w:jc w:val="right"/>
              <w:rPr>
                <w:b w:val="0"/>
                <w:lang w:val="en-GB"/>
              </w:rPr>
            </w:pPr>
            <w:r w:rsidRPr="00BC71D8">
              <w:rPr>
                <w:b w:val="0"/>
                <w:lang w:val="en-GB"/>
              </w:rPr>
              <w:t>5,000</w:t>
            </w:r>
          </w:p>
        </w:tc>
        <w:tc>
          <w:tcPr>
            <w:tcW w:w="1324" w:type="dxa"/>
            <w:vAlign w:val="center"/>
          </w:tcPr>
          <w:p w14:paraId="41A50D92" w14:textId="77777777" w:rsidR="00A45CE8" w:rsidRPr="00BC71D8" w:rsidRDefault="00A45CE8" w:rsidP="00867F2B">
            <w:pPr>
              <w:pStyle w:val="ExhibitNumber"/>
              <w:jc w:val="right"/>
              <w:rPr>
                <w:b w:val="0"/>
                <w:lang w:val="en-GB"/>
              </w:rPr>
            </w:pPr>
            <w:r w:rsidRPr="00BC71D8">
              <w:rPr>
                <w:b w:val="0"/>
                <w:lang w:val="en-GB"/>
              </w:rPr>
              <w:t>3,500</w:t>
            </w:r>
          </w:p>
        </w:tc>
        <w:tc>
          <w:tcPr>
            <w:tcW w:w="1242" w:type="dxa"/>
            <w:vAlign w:val="center"/>
          </w:tcPr>
          <w:p w14:paraId="740665A4" w14:textId="77777777" w:rsidR="00A45CE8" w:rsidRPr="00BC71D8" w:rsidRDefault="00A45CE8" w:rsidP="00867F2B">
            <w:pPr>
              <w:pStyle w:val="ExhibitNumber"/>
              <w:jc w:val="right"/>
              <w:rPr>
                <w:b w:val="0"/>
                <w:lang w:val="en-GB"/>
              </w:rPr>
            </w:pPr>
            <w:r w:rsidRPr="00BC71D8">
              <w:rPr>
                <w:b w:val="0"/>
                <w:lang w:val="en-GB"/>
              </w:rPr>
              <w:t>3,901</w:t>
            </w:r>
          </w:p>
        </w:tc>
        <w:tc>
          <w:tcPr>
            <w:tcW w:w="1265" w:type="dxa"/>
            <w:vAlign w:val="center"/>
          </w:tcPr>
          <w:p w14:paraId="347628FC" w14:textId="77777777" w:rsidR="00A45CE8" w:rsidRPr="00BC71D8" w:rsidRDefault="00A45CE8" w:rsidP="00867F2B">
            <w:pPr>
              <w:pStyle w:val="ExhibitNumber"/>
              <w:jc w:val="right"/>
              <w:rPr>
                <w:b w:val="0"/>
                <w:lang w:val="en-GB"/>
              </w:rPr>
            </w:pPr>
            <w:r w:rsidRPr="00BC71D8">
              <w:rPr>
                <w:b w:val="0"/>
                <w:lang w:val="en-GB"/>
              </w:rPr>
              <w:t>1,293</w:t>
            </w:r>
          </w:p>
        </w:tc>
      </w:tr>
    </w:tbl>
    <w:p w14:paraId="40A4C078" w14:textId="77777777" w:rsidR="00B413AA" w:rsidRPr="00BC71D8" w:rsidRDefault="00B413AA" w:rsidP="00612808">
      <w:pPr>
        <w:pStyle w:val="Footnote"/>
        <w:rPr>
          <w:rFonts w:eastAsiaTheme="minorEastAsia"/>
          <w:lang w:val="en-GB"/>
        </w:rPr>
      </w:pPr>
    </w:p>
    <w:p w14:paraId="0B789849" w14:textId="77777777" w:rsidR="009B6BE6" w:rsidRPr="00BC71D8" w:rsidRDefault="00A45CE8" w:rsidP="00612808">
      <w:pPr>
        <w:pStyle w:val="Footnote"/>
        <w:rPr>
          <w:rFonts w:eastAsiaTheme="minorEastAsia"/>
          <w:lang w:val="en-GB"/>
        </w:rPr>
      </w:pPr>
      <w:r w:rsidRPr="00BC71D8">
        <w:rPr>
          <w:rFonts w:eastAsiaTheme="minorEastAsia"/>
          <w:lang w:val="en-GB"/>
        </w:rPr>
        <w:t xml:space="preserve">Source: </w:t>
      </w:r>
      <w:r w:rsidR="00DE5B9E" w:rsidRPr="00BC71D8">
        <w:rPr>
          <w:rFonts w:eastAsiaTheme="minorEastAsia"/>
          <w:lang w:val="en-GB"/>
        </w:rPr>
        <w:t xml:space="preserve">Adapted from </w:t>
      </w:r>
      <w:r w:rsidRPr="00BC71D8">
        <w:rPr>
          <w:rFonts w:eastAsiaTheme="minorEastAsia"/>
          <w:lang w:val="en-GB"/>
        </w:rPr>
        <w:t xml:space="preserve">“Cost Comparison of Treatments,” </w:t>
      </w:r>
      <w:proofErr w:type="spellStart"/>
      <w:r w:rsidR="00217169" w:rsidRPr="00BC71D8">
        <w:rPr>
          <w:rFonts w:eastAsiaTheme="minorEastAsia"/>
          <w:lang w:val="en-GB"/>
        </w:rPr>
        <w:t>Mediconnect</w:t>
      </w:r>
      <w:proofErr w:type="spellEnd"/>
      <w:r w:rsidR="00217169" w:rsidRPr="00BC71D8">
        <w:rPr>
          <w:rFonts w:eastAsiaTheme="minorEastAsia"/>
          <w:lang w:val="en-GB"/>
        </w:rPr>
        <w:t xml:space="preserve"> India, </w:t>
      </w:r>
      <w:r w:rsidRPr="00BC71D8">
        <w:rPr>
          <w:rFonts w:eastAsiaTheme="minorEastAsia"/>
          <w:lang w:val="en-GB"/>
        </w:rPr>
        <w:t>accessed April 3, 2018, www.medicalindiatourism.com/treatment-cost.html</w:t>
      </w:r>
      <w:r w:rsidR="00217169" w:rsidRPr="00BC71D8">
        <w:rPr>
          <w:rFonts w:eastAsiaTheme="minorEastAsia"/>
          <w:lang w:val="en-GB"/>
        </w:rPr>
        <w:t>.</w:t>
      </w:r>
    </w:p>
    <w:p w14:paraId="2C76D015" w14:textId="77777777" w:rsidR="00A45CE8" w:rsidRPr="00BC71D8" w:rsidRDefault="00A45CE8" w:rsidP="00D810DE">
      <w:pPr>
        <w:jc w:val="both"/>
        <w:rPr>
          <w:rFonts w:eastAsiaTheme="minorEastAsia"/>
          <w:sz w:val="22"/>
          <w:szCs w:val="22"/>
          <w:lang w:val="en-GB"/>
        </w:rPr>
      </w:pPr>
    </w:p>
    <w:p w14:paraId="65198BDF" w14:textId="77777777" w:rsidR="00867F2B" w:rsidRPr="00BC71D8" w:rsidRDefault="00867F2B" w:rsidP="00D810DE">
      <w:pPr>
        <w:jc w:val="both"/>
        <w:rPr>
          <w:vertAlign w:val="subscript"/>
          <w:lang w:val="en-GB"/>
        </w:rPr>
      </w:pPr>
    </w:p>
    <w:sectPr w:rsidR="00867F2B" w:rsidRPr="00BC71D8" w:rsidSect="00751E0B">
      <w:headerReference w:type="default" r:id="rId10"/>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C902D" w16cid:durableId="1F1819A3"/>
  <w16cid:commentId w16cid:paraId="143E8093" w16cid:durableId="1F181FD4"/>
  <w16cid:commentId w16cid:paraId="1C5A3391" w16cid:durableId="1F1BC8D3"/>
  <w16cid:commentId w16cid:paraId="1D5E4A09" w16cid:durableId="1F1BD99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2C0F5" w14:textId="77777777" w:rsidR="00F902A0" w:rsidRDefault="00F902A0" w:rsidP="00D75295">
      <w:r>
        <w:separator/>
      </w:r>
    </w:p>
  </w:endnote>
  <w:endnote w:type="continuationSeparator" w:id="0">
    <w:p w14:paraId="19A88FEC" w14:textId="77777777" w:rsidR="00F902A0" w:rsidRDefault="00F902A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63687" w14:textId="77777777" w:rsidR="00F902A0" w:rsidRDefault="00F902A0" w:rsidP="00D75295">
      <w:r>
        <w:separator/>
      </w:r>
    </w:p>
  </w:footnote>
  <w:footnote w:type="continuationSeparator" w:id="0">
    <w:p w14:paraId="05FDA8B5" w14:textId="77777777" w:rsidR="00F902A0" w:rsidRDefault="00F902A0" w:rsidP="00D75295">
      <w:r>
        <w:continuationSeparator/>
      </w:r>
    </w:p>
  </w:footnote>
  <w:footnote w:id="1">
    <w:p w14:paraId="591308CD" w14:textId="71FFA0FD" w:rsidR="00F902A0" w:rsidRPr="00F902A0" w:rsidRDefault="00F902A0" w:rsidP="0025767D">
      <w:pPr>
        <w:pStyle w:val="Footnote"/>
        <w:rPr>
          <w:lang w:val="en-GB"/>
        </w:rPr>
      </w:pPr>
      <w:r w:rsidRPr="00F902A0">
        <w:rPr>
          <w:rStyle w:val="FootnoteReference"/>
          <w:lang w:val="en-GB"/>
        </w:rPr>
        <w:footnoteRef/>
      </w:r>
      <w:r w:rsidRPr="00F902A0">
        <w:rPr>
          <w:lang w:val="en-GB"/>
        </w:rPr>
        <w:t xml:space="preserve"> MVT facilitators were companies that worked as intermediaries between medical travellers and health care service providers, creating value for both parties. </w:t>
      </w:r>
    </w:p>
  </w:footnote>
  <w:footnote w:id="2">
    <w:p w14:paraId="4A4573B8" w14:textId="77777777" w:rsidR="00F902A0" w:rsidRPr="00F902A0" w:rsidRDefault="00F902A0">
      <w:pPr>
        <w:pStyle w:val="FootnoteText"/>
        <w:rPr>
          <w:rFonts w:ascii="Arial" w:hAnsi="Arial" w:cs="Arial"/>
          <w:sz w:val="17"/>
          <w:szCs w:val="17"/>
          <w:lang w:val="en-GB"/>
        </w:rPr>
      </w:pPr>
      <w:r w:rsidRPr="00F902A0">
        <w:rPr>
          <w:rStyle w:val="FootnoteReference"/>
          <w:rFonts w:ascii="Arial" w:hAnsi="Arial" w:cs="Arial"/>
          <w:sz w:val="17"/>
          <w:szCs w:val="17"/>
          <w:lang w:val="en-GB"/>
        </w:rPr>
        <w:footnoteRef/>
      </w:r>
      <w:r w:rsidRPr="00F902A0">
        <w:rPr>
          <w:rFonts w:ascii="Arial" w:hAnsi="Arial" w:cs="Arial"/>
          <w:sz w:val="17"/>
          <w:szCs w:val="17"/>
          <w:lang w:val="en-GB"/>
        </w:rPr>
        <w:t xml:space="preserve"> All dollar amounts are in U.S. dollars unless otherwise stated. </w:t>
      </w:r>
    </w:p>
  </w:footnote>
  <w:footnote w:id="3">
    <w:p w14:paraId="65752C1D" w14:textId="6FCF9B37" w:rsidR="00F902A0" w:rsidRPr="00F902A0" w:rsidRDefault="00F902A0" w:rsidP="00EA42BA">
      <w:pPr>
        <w:pStyle w:val="Footnote"/>
        <w:rPr>
          <w:lang w:val="en-GB"/>
        </w:rPr>
      </w:pPr>
      <w:r w:rsidRPr="00F902A0">
        <w:rPr>
          <w:rStyle w:val="FootnoteReference"/>
          <w:lang w:val="en-GB"/>
        </w:rPr>
        <w:footnoteRef/>
      </w:r>
      <w:r>
        <w:rPr>
          <w:color w:val="222222"/>
          <w:shd w:val="clear" w:color="auto" w:fill="FFFFFF"/>
          <w:lang w:val="en-GB"/>
        </w:rPr>
        <w:t xml:space="preserve"> </w:t>
      </w:r>
      <w:r w:rsidRPr="00F902A0">
        <w:rPr>
          <w:color w:val="222222"/>
          <w:shd w:val="clear" w:color="auto" w:fill="FFFFFF"/>
          <w:lang w:val="en-GB"/>
        </w:rPr>
        <w:t xml:space="preserve">Federation of Indian Chambers of Commerce and Industry, </w:t>
      </w:r>
      <w:r w:rsidRPr="00F902A0">
        <w:rPr>
          <w:i/>
          <w:lang w:val="en-GB"/>
        </w:rPr>
        <w:t>Medical Value Travel in India: Enhancing Value in MVT</w:t>
      </w:r>
      <w:r w:rsidRPr="00F902A0">
        <w:rPr>
          <w:lang w:val="en-GB"/>
        </w:rPr>
        <w:t>, IMS Health Incorporated, 2016, accessed April 10, 2018, http://ficci.in/Medical-Value-Travel-Report.pdf.</w:t>
      </w:r>
    </w:p>
  </w:footnote>
  <w:footnote w:id="4">
    <w:p w14:paraId="5B2A3F4E" w14:textId="0A82700A" w:rsidR="00F902A0" w:rsidRPr="00F902A0" w:rsidRDefault="00F902A0" w:rsidP="00EA42BA">
      <w:pPr>
        <w:pStyle w:val="Footnote"/>
        <w:rPr>
          <w:lang w:val="en-GB"/>
        </w:rPr>
      </w:pPr>
      <w:r w:rsidRPr="00F902A0">
        <w:rPr>
          <w:rStyle w:val="FootnoteReference"/>
          <w:lang w:val="en-GB"/>
        </w:rPr>
        <w:footnoteRef/>
      </w:r>
      <w:r>
        <w:rPr>
          <w:color w:val="222222"/>
          <w:shd w:val="clear" w:color="auto" w:fill="FFFFFF"/>
          <w:lang w:val="en-GB"/>
        </w:rPr>
        <w:t xml:space="preserve"> </w:t>
      </w:r>
      <w:proofErr w:type="spellStart"/>
      <w:r w:rsidRPr="00F902A0">
        <w:rPr>
          <w:color w:val="222222"/>
          <w:shd w:val="clear" w:color="auto" w:fill="FFFFFF"/>
          <w:lang w:val="en-GB"/>
        </w:rPr>
        <w:t>Swadeep</w:t>
      </w:r>
      <w:proofErr w:type="spellEnd"/>
      <w:r w:rsidRPr="00F902A0">
        <w:rPr>
          <w:color w:val="222222"/>
          <w:shd w:val="clear" w:color="auto" w:fill="FFFFFF"/>
          <w:lang w:val="en-GB"/>
        </w:rPr>
        <w:t xml:space="preserve"> Srivastava, “Emerging Medical Value Travel: An Overview,” </w:t>
      </w:r>
      <w:proofErr w:type="spellStart"/>
      <w:r w:rsidRPr="00F902A0">
        <w:rPr>
          <w:i/>
          <w:color w:val="222222"/>
          <w:shd w:val="clear" w:color="auto" w:fill="FFFFFF"/>
          <w:lang w:val="en-GB"/>
        </w:rPr>
        <w:t>Healthworld</w:t>
      </w:r>
      <w:proofErr w:type="spellEnd"/>
      <w:r w:rsidRPr="00F902A0">
        <w:rPr>
          <w:color w:val="222222"/>
          <w:shd w:val="clear" w:color="auto" w:fill="FFFFFF"/>
          <w:lang w:val="en-GB"/>
        </w:rPr>
        <w:t xml:space="preserve"> (blog), </w:t>
      </w:r>
      <w:r w:rsidRPr="00F902A0">
        <w:rPr>
          <w:i/>
          <w:color w:val="222222"/>
          <w:shd w:val="clear" w:color="auto" w:fill="FFFFFF"/>
          <w:lang w:val="en-GB"/>
        </w:rPr>
        <w:t>Economic Times</w:t>
      </w:r>
      <w:r w:rsidRPr="00F902A0">
        <w:rPr>
          <w:color w:val="222222"/>
          <w:shd w:val="clear" w:color="auto" w:fill="FFFFFF"/>
          <w:lang w:val="en-GB"/>
        </w:rPr>
        <w:t xml:space="preserve">, March 25, 2017, accessed March 15, 2018, </w:t>
      </w:r>
      <w:r w:rsidRPr="00F902A0">
        <w:rPr>
          <w:shd w:val="clear" w:color="auto" w:fill="FFFFFF"/>
          <w:lang w:val="en-GB"/>
        </w:rPr>
        <w:t>https://health.economictimes.indiatimes.com/news/industry/emerging-medical-value-travel-an-overview/57830475</w:t>
      </w:r>
      <w:r w:rsidRPr="00F902A0">
        <w:rPr>
          <w:color w:val="222222"/>
          <w:shd w:val="clear" w:color="auto" w:fill="FFFFFF"/>
          <w:lang w:val="en-GB"/>
        </w:rPr>
        <w:t>.</w:t>
      </w:r>
    </w:p>
  </w:footnote>
  <w:footnote w:id="5">
    <w:p w14:paraId="7ECB8D51" w14:textId="745AAA6C" w:rsidR="00F902A0" w:rsidRPr="00F902A0" w:rsidRDefault="00F902A0" w:rsidP="00EA42BA">
      <w:pPr>
        <w:pStyle w:val="Footnote"/>
        <w:rPr>
          <w:lang w:val="en-GB"/>
        </w:rPr>
      </w:pPr>
      <w:r w:rsidRPr="00F902A0">
        <w:rPr>
          <w:rStyle w:val="FootnoteReference"/>
          <w:lang w:val="en-GB"/>
        </w:rPr>
        <w:footnoteRef/>
      </w:r>
      <w:r>
        <w:rPr>
          <w:lang w:val="en-GB"/>
        </w:rPr>
        <w:t xml:space="preserve"> </w:t>
      </w:r>
      <w:hyperlink r:id="rId1" w:tgtFrame="_blank" w:history="1">
        <w:r w:rsidRPr="00F902A0">
          <w:rPr>
            <w:color w:val="222222"/>
            <w:lang w:val="en-GB"/>
          </w:rPr>
          <w:t>Sharath Chowdary</w:t>
        </w:r>
      </w:hyperlink>
      <w:r w:rsidRPr="00F902A0">
        <w:rPr>
          <w:color w:val="222222"/>
          <w:shd w:val="clear" w:color="auto" w:fill="FFFFFF"/>
          <w:lang w:val="en-GB"/>
        </w:rPr>
        <w:t xml:space="preserve">, “Medical Tourist Arrivals in India Up 25%,” </w:t>
      </w:r>
      <w:r w:rsidRPr="00F902A0">
        <w:rPr>
          <w:i/>
          <w:color w:val="222222"/>
          <w:shd w:val="clear" w:color="auto" w:fill="FFFFFF"/>
          <w:lang w:val="en-GB"/>
        </w:rPr>
        <w:t>Business Standard</w:t>
      </w:r>
      <w:r w:rsidRPr="00F902A0">
        <w:rPr>
          <w:color w:val="222222"/>
          <w:shd w:val="clear" w:color="auto" w:fill="FFFFFF"/>
          <w:lang w:val="en-GB"/>
        </w:rPr>
        <w:t xml:space="preserve">, April 22, 2017, accessed March 21, 2018, </w:t>
      </w:r>
      <w:r w:rsidRPr="00F902A0">
        <w:rPr>
          <w:shd w:val="clear" w:color="auto" w:fill="FFFFFF"/>
          <w:lang w:val="en-GB"/>
        </w:rPr>
        <w:t>www.business-standard.com/article/companies/medical-tourist-arrivals-in-india-up-25-117041900577_1.html.</w:t>
      </w:r>
    </w:p>
  </w:footnote>
  <w:footnote w:id="6">
    <w:p w14:paraId="61F95189" w14:textId="23C52771" w:rsidR="00F902A0" w:rsidRPr="00F902A0" w:rsidRDefault="00F902A0" w:rsidP="00EA42BA">
      <w:pPr>
        <w:pStyle w:val="Footnote"/>
        <w:rPr>
          <w:lang w:val="en-GB"/>
        </w:rPr>
      </w:pPr>
      <w:r w:rsidRPr="00F902A0">
        <w:rPr>
          <w:rStyle w:val="FootnoteReference"/>
          <w:lang w:val="en-GB"/>
        </w:rPr>
        <w:footnoteRef/>
      </w:r>
      <w:r>
        <w:rPr>
          <w:lang w:val="en-GB"/>
        </w:rPr>
        <w:t xml:space="preserve"> </w:t>
      </w:r>
      <w:hyperlink r:id="rId2" w:history="1">
        <w:r w:rsidRPr="00F902A0">
          <w:rPr>
            <w:bCs/>
            <w:color w:val="222222"/>
            <w:shd w:val="clear" w:color="auto" w:fill="FFFFFF"/>
            <w:lang w:val="en-GB"/>
          </w:rPr>
          <w:t>Neetu Chandra Sharma</w:t>
        </w:r>
      </w:hyperlink>
      <w:r w:rsidRPr="00F902A0">
        <w:rPr>
          <w:bCs/>
          <w:color w:val="222222"/>
          <w:shd w:val="clear" w:color="auto" w:fill="FFFFFF"/>
          <w:lang w:val="en-GB"/>
        </w:rPr>
        <w:t xml:space="preserve">, “Steep Rise in Medical Visas as India Becomes Medical Tourism Hub,” </w:t>
      </w:r>
      <w:proofErr w:type="spellStart"/>
      <w:r w:rsidRPr="00F902A0">
        <w:rPr>
          <w:bCs/>
          <w:i/>
          <w:color w:val="222222"/>
          <w:shd w:val="clear" w:color="auto" w:fill="FFFFFF"/>
          <w:lang w:val="en-GB"/>
        </w:rPr>
        <w:t>Live</w:t>
      </w:r>
      <w:r>
        <w:rPr>
          <w:bCs/>
          <w:i/>
          <w:color w:val="222222"/>
          <w:shd w:val="clear" w:color="auto" w:fill="FFFFFF"/>
          <w:lang w:val="en-GB"/>
        </w:rPr>
        <w:t>m</w:t>
      </w:r>
      <w:r w:rsidRPr="00F902A0">
        <w:rPr>
          <w:bCs/>
          <w:i/>
          <w:color w:val="222222"/>
          <w:shd w:val="clear" w:color="auto" w:fill="FFFFFF"/>
          <w:lang w:val="en-GB"/>
        </w:rPr>
        <w:t>int</w:t>
      </w:r>
      <w:proofErr w:type="spellEnd"/>
      <w:r w:rsidRPr="00F902A0">
        <w:rPr>
          <w:bCs/>
          <w:color w:val="222222"/>
          <w:shd w:val="clear" w:color="auto" w:fill="FFFFFF"/>
          <w:lang w:val="en-GB"/>
        </w:rPr>
        <w:t xml:space="preserve">, July 27, 2017, accessed March 13, 2018, </w:t>
      </w:r>
      <w:r w:rsidRPr="00F902A0">
        <w:rPr>
          <w:bCs/>
          <w:shd w:val="clear" w:color="auto" w:fill="FFFFFF"/>
          <w:lang w:val="en-GB"/>
        </w:rPr>
        <w:t>https://www.livemint.com/Politics/uZVQVrUTyDNIjLKxiXKRZN/Steep-rise-in-medical-visas-as-India-becomes-medical-tourism.html</w:t>
      </w:r>
      <w:r w:rsidRPr="00F902A0">
        <w:rPr>
          <w:bCs/>
          <w:color w:val="222222"/>
          <w:shd w:val="clear" w:color="auto" w:fill="FFFFFF"/>
          <w:lang w:val="en-GB"/>
        </w:rPr>
        <w:t>.</w:t>
      </w:r>
    </w:p>
  </w:footnote>
  <w:footnote w:id="7">
    <w:p w14:paraId="34B9F160" w14:textId="5D86E98C" w:rsidR="00F902A0" w:rsidRPr="00F902A0" w:rsidRDefault="00F902A0" w:rsidP="00EA42BA">
      <w:pPr>
        <w:pStyle w:val="Footnote"/>
        <w:rPr>
          <w:lang w:val="en-GB"/>
        </w:rPr>
      </w:pPr>
      <w:r w:rsidRPr="00F902A0">
        <w:rPr>
          <w:rStyle w:val="FootnoteReference"/>
          <w:lang w:val="en-GB"/>
        </w:rPr>
        <w:footnoteRef/>
      </w:r>
      <w:r>
        <w:rPr>
          <w:shd w:val="clear" w:color="auto" w:fill="FFFFFF"/>
          <w:lang w:val="en-GB"/>
        </w:rPr>
        <w:t xml:space="preserve"> </w:t>
      </w:r>
      <w:r w:rsidRPr="00F902A0">
        <w:rPr>
          <w:shd w:val="clear" w:color="auto" w:fill="FFFFFF"/>
          <w:lang w:val="en-GB"/>
        </w:rPr>
        <w:t xml:space="preserve">World Economic Forum, </w:t>
      </w:r>
      <w:r w:rsidRPr="00F902A0">
        <w:rPr>
          <w:i/>
          <w:shd w:val="clear" w:color="auto" w:fill="FFFFFF"/>
          <w:lang w:val="en-GB"/>
        </w:rPr>
        <w:t>The Travel &amp; Tourism Competitiveness Report 2017: Paving the Way for a More Sustainable and Inclusive Future</w:t>
      </w:r>
      <w:r w:rsidRPr="00F902A0">
        <w:rPr>
          <w:shd w:val="clear" w:color="auto" w:fill="FFFFFF"/>
          <w:lang w:val="en-GB"/>
        </w:rPr>
        <w:t>, January 2017, accessed April 6, 2018,</w:t>
      </w:r>
      <w:r>
        <w:rPr>
          <w:shd w:val="clear" w:color="auto" w:fill="FFFFFF"/>
          <w:lang w:val="en-GB"/>
        </w:rPr>
        <w:t xml:space="preserve"> </w:t>
      </w:r>
      <w:r w:rsidRPr="00F902A0">
        <w:rPr>
          <w:shd w:val="clear" w:color="auto" w:fill="FFFFFF"/>
          <w:lang w:val="en-GB"/>
        </w:rPr>
        <w:t>www3.weforum.org/docs/WEF_TTCR_2017_web_0401.pdf.</w:t>
      </w:r>
    </w:p>
  </w:footnote>
  <w:footnote w:id="8">
    <w:p w14:paraId="5C6DCC56" w14:textId="600049FA" w:rsidR="00F902A0" w:rsidRPr="00F902A0" w:rsidRDefault="00F902A0" w:rsidP="00F22813">
      <w:pPr>
        <w:pStyle w:val="Footnote"/>
        <w:rPr>
          <w:lang w:val="en-GB"/>
        </w:rPr>
      </w:pPr>
      <w:r w:rsidRPr="00F902A0">
        <w:rPr>
          <w:rStyle w:val="FootnoteReference"/>
          <w:lang w:val="en-GB"/>
        </w:rPr>
        <w:footnoteRef/>
      </w:r>
      <w:r>
        <w:rPr>
          <w:lang w:val="en-GB"/>
        </w:rPr>
        <w:t xml:space="preserve"> </w:t>
      </w:r>
      <w:r w:rsidRPr="00F902A0">
        <w:rPr>
          <w:lang w:val="en-GB"/>
        </w:rPr>
        <w:t xml:space="preserve">India Brand Equity Foundation, </w:t>
      </w:r>
      <w:r w:rsidRPr="009C36AA">
        <w:rPr>
          <w:i/>
          <w:lang w:val="en-GB"/>
        </w:rPr>
        <w:t>Health C</w:t>
      </w:r>
      <w:r w:rsidRPr="00F902A0">
        <w:rPr>
          <w:i/>
          <w:lang w:val="en-GB"/>
        </w:rPr>
        <w:t>are</w:t>
      </w:r>
      <w:r w:rsidRPr="00F902A0">
        <w:rPr>
          <w:lang w:val="en-GB"/>
        </w:rPr>
        <w:t>, January, 2017, accessed April 12, 2018, https://www.ibef.org/download/Health care-January-2017.pdf.</w:t>
      </w:r>
    </w:p>
  </w:footnote>
  <w:footnote w:id="9">
    <w:p w14:paraId="7B44DE9F" w14:textId="6EADA44A" w:rsidR="00F902A0" w:rsidRPr="00F902A0" w:rsidRDefault="00F902A0" w:rsidP="00F22813">
      <w:pPr>
        <w:pStyle w:val="Footnote"/>
        <w:rPr>
          <w:lang w:val="en-GB"/>
        </w:rPr>
      </w:pPr>
      <w:r w:rsidRPr="00F902A0">
        <w:rPr>
          <w:rStyle w:val="FootnoteReference"/>
          <w:lang w:val="en-GB"/>
        </w:rPr>
        <w:footnoteRef/>
      </w:r>
      <w:r>
        <w:rPr>
          <w:lang w:val="en-GB"/>
        </w:rPr>
        <w:t xml:space="preserve"> </w:t>
      </w:r>
      <w:hyperlink r:id="rId3" w:history="1">
        <w:r w:rsidRPr="00F902A0">
          <w:rPr>
            <w:bCs/>
            <w:lang w:val="en-GB"/>
          </w:rPr>
          <w:t>Dipti Jain</w:t>
        </w:r>
      </w:hyperlink>
      <w:r w:rsidRPr="00F902A0">
        <w:rPr>
          <w:bCs/>
          <w:lang w:val="en-GB"/>
        </w:rPr>
        <w:t xml:space="preserve">, “Budget 2018: India’s Health Sector Needs More Funds and Better Management,” </w:t>
      </w:r>
      <w:proofErr w:type="spellStart"/>
      <w:r w:rsidRPr="00F902A0">
        <w:rPr>
          <w:bCs/>
          <w:i/>
          <w:lang w:val="en-GB"/>
        </w:rPr>
        <w:t>Livemint</w:t>
      </w:r>
      <w:proofErr w:type="spellEnd"/>
      <w:r w:rsidRPr="00F902A0">
        <w:rPr>
          <w:bCs/>
          <w:lang w:val="en-GB"/>
        </w:rPr>
        <w:t>, January 25, 2018, accessed March 12, 2018, www.livemint.com/Politics/drnszDrkbt418WpuQEHfZI/Budget-2018-Indias-health-sector-needs-more-funds-and-bett.html.</w:t>
      </w:r>
    </w:p>
  </w:footnote>
  <w:footnote w:id="10">
    <w:p w14:paraId="1C1D82BC" w14:textId="61E2A6B7" w:rsidR="00F902A0" w:rsidRPr="00F902A0" w:rsidRDefault="00F902A0" w:rsidP="00F22813">
      <w:pPr>
        <w:pStyle w:val="Footnote"/>
        <w:rPr>
          <w:lang w:val="en-GB"/>
        </w:rPr>
      </w:pPr>
      <w:r w:rsidRPr="00F902A0">
        <w:rPr>
          <w:rStyle w:val="FootnoteReference"/>
          <w:lang w:val="en-GB"/>
        </w:rPr>
        <w:footnoteRef/>
      </w:r>
      <w:r>
        <w:rPr>
          <w:lang w:val="en-GB"/>
        </w:rPr>
        <w:t xml:space="preserve"> </w:t>
      </w:r>
      <w:r w:rsidRPr="00F902A0">
        <w:rPr>
          <w:lang w:val="en-GB"/>
        </w:rPr>
        <w:t>India Brand Equity Foundation, op. cit</w:t>
      </w:r>
      <w:r>
        <w:rPr>
          <w:lang w:val="en-GB"/>
        </w:rPr>
        <w:t>.</w:t>
      </w:r>
    </w:p>
  </w:footnote>
  <w:footnote w:id="11">
    <w:p w14:paraId="332D1B46" w14:textId="1684AE89" w:rsidR="00F902A0" w:rsidRPr="00F902A0" w:rsidRDefault="00F902A0" w:rsidP="00F22813">
      <w:pPr>
        <w:pStyle w:val="Footnote"/>
        <w:rPr>
          <w:lang w:val="en-GB"/>
        </w:rPr>
      </w:pPr>
      <w:r w:rsidRPr="00F902A0">
        <w:rPr>
          <w:rStyle w:val="FootnoteReference"/>
          <w:lang w:val="en-GB"/>
        </w:rPr>
        <w:footnoteRef/>
      </w:r>
      <w:r>
        <w:rPr>
          <w:lang w:val="en-GB"/>
        </w:rPr>
        <w:t xml:space="preserve"> </w:t>
      </w:r>
      <w:r w:rsidRPr="004C38A3">
        <w:rPr>
          <w:spacing w:val="-3"/>
          <w:kern w:val="17"/>
          <w:lang w:val="en-GB"/>
        </w:rPr>
        <w:t xml:space="preserve">PricewaterhouseCoopers, </w:t>
      </w:r>
      <w:r w:rsidRPr="004C38A3">
        <w:rPr>
          <w:i/>
          <w:spacing w:val="-3"/>
          <w:kern w:val="17"/>
          <w:lang w:val="en-GB"/>
        </w:rPr>
        <w:t>Funding Indian Health Care: Catalysing the Next Wave of Growth</w:t>
      </w:r>
      <w:r w:rsidRPr="004C38A3">
        <w:rPr>
          <w:spacing w:val="-3"/>
          <w:kern w:val="17"/>
          <w:lang w:val="en-GB"/>
        </w:rPr>
        <w:t>, January 2017, accessed February 15, 2018, www.pwc.in/assets/pdfs/publications/2017/funding-indian-health care-catalysing-the-next-wave-of-growth.pdf</w:t>
      </w:r>
      <w:r w:rsidRPr="00F902A0">
        <w:rPr>
          <w:lang w:val="en-GB"/>
        </w:rPr>
        <w:t>.</w:t>
      </w:r>
    </w:p>
  </w:footnote>
  <w:footnote w:id="12">
    <w:p w14:paraId="647C1003" w14:textId="152677CE" w:rsidR="00F902A0" w:rsidRPr="00F902A0" w:rsidRDefault="00F902A0" w:rsidP="00F22813">
      <w:pPr>
        <w:pStyle w:val="Footnote"/>
        <w:rPr>
          <w:lang w:val="en-GB"/>
        </w:rPr>
      </w:pPr>
      <w:r w:rsidRPr="00F902A0">
        <w:rPr>
          <w:rStyle w:val="FootnoteReference"/>
          <w:lang w:val="en-GB"/>
        </w:rPr>
        <w:footnoteRef/>
      </w:r>
      <w:r>
        <w:rPr>
          <w:lang w:val="en-GB"/>
        </w:rPr>
        <w:t xml:space="preserve"> </w:t>
      </w:r>
      <w:r w:rsidRPr="00F902A0">
        <w:rPr>
          <w:lang w:val="en-GB"/>
        </w:rPr>
        <w:t xml:space="preserve">“Cost Comparison of Medical Treatment,” </w:t>
      </w:r>
      <w:proofErr w:type="spellStart"/>
      <w:r w:rsidRPr="00F902A0">
        <w:rPr>
          <w:lang w:val="en-GB"/>
        </w:rPr>
        <w:t>Medi</w:t>
      </w:r>
      <w:r>
        <w:rPr>
          <w:lang w:val="en-GB"/>
        </w:rPr>
        <w:t>C</w:t>
      </w:r>
      <w:r w:rsidRPr="00F902A0">
        <w:rPr>
          <w:lang w:val="en-GB"/>
        </w:rPr>
        <w:t>onnect</w:t>
      </w:r>
      <w:proofErr w:type="spellEnd"/>
      <w:r>
        <w:rPr>
          <w:lang w:val="en-GB"/>
        </w:rPr>
        <w:t xml:space="preserve"> India</w:t>
      </w:r>
      <w:r w:rsidRPr="00F902A0">
        <w:rPr>
          <w:lang w:val="en-GB"/>
        </w:rPr>
        <w:t>, accessed March 13, 2018, www.medicalindiatourism.com/treatment-cost.html.</w:t>
      </w:r>
    </w:p>
  </w:footnote>
  <w:footnote w:id="13">
    <w:p w14:paraId="067F3D27" w14:textId="7FCEDB8B" w:rsidR="00F902A0" w:rsidRPr="00F902A0" w:rsidRDefault="00F902A0" w:rsidP="001B599A">
      <w:pPr>
        <w:pStyle w:val="Footnote"/>
        <w:rPr>
          <w:lang w:val="en-GB"/>
        </w:rPr>
      </w:pPr>
      <w:r w:rsidRPr="00F902A0">
        <w:rPr>
          <w:rStyle w:val="FootnoteReference"/>
          <w:lang w:val="en-GB"/>
        </w:rPr>
        <w:footnoteRef/>
      </w:r>
      <w:r>
        <w:rPr>
          <w:lang w:val="en-GB"/>
        </w:rPr>
        <w:t xml:space="preserve"> </w:t>
      </w:r>
      <w:r w:rsidRPr="00F902A0">
        <w:rPr>
          <w:lang w:val="en-GB"/>
        </w:rPr>
        <w:t xml:space="preserve">Vijay </w:t>
      </w:r>
      <w:proofErr w:type="spellStart"/>
      <w:r w:rsidRPr="00F902A0">
        <w:rPr>
          <w:lang w:val="en-GB"/>
        </w:rPr>
        <w:t>Govindarajan</w:t>
      </w:r>
      <w:proofErr w:type="spellEnd"/>
      <w:r w:rsidRPr="00F902A0">
        <w:rPr>
          <w:lang w:val="en-GB"/>
        </w:rPr>
        <w:t xml:space="preserve"> and Ravi </w:t>
      </w:r>
      <w:proofErr w:type="spellStart"/>
      <w:r w:rsidRPr="00F902A0">
        <w:rPr>
          <w:lang w:val="en-GB"/>
        </w:rPr>
        <w:t>Ramamurti</w:t>
      </w:r>
      <w:proofErr w:type="spellEnd"/>
      <w:r w:rsidRPr="00F902A0">
        <w:rPr>
          <w:lang w:val="en-GB"/>
        </w:rPr>
        <w:t xml:space="preserve">, “Delivering World Class </w:t>
      </w:r>
      <w:r w:rsidRPr="009C36AA">
        <w:rPr>
          <w:lang w:val="en-GB"/>
        </w:rPr>
        <w:t>Health C</w:t>
      </w:r>
      <w:r w:rsidRPr="00F902A0">
        <w:rPr>
          <w:lang w:val="en-GB"/>
        </w:rPr>
        <w:t xml:space="preserve">are, Affordably,” </w:t>
      </w:r>
      <w:r w:rsidRPr="00F902A0">
        <w:rPr>
          <w:i/>
          <w:lang w:val="en-GB"/>
        </w:rPr>
        <w:t>Harvard Business Review</w:t>
      </w:r>
      <w:r>
        <w:rPr>
          <w:i/>
          <w:lang w:val="en-GB"/>
        </w:rPr>
        <w:t xml:space="preserve"> </w:t>
      </w:r>
      <w:r w:rsidRPr="00F902A0">
        <w:rPr>
          <w:lang w:val="en-GB"/>
        </w:rPr>
        <w:t>91, no. 11 (2013): 117–122.</w:t>
      </w:r>
    </w:p>
  </w:footnote>
  <w:footnote w:id="14">
    <w:p w14:paraId="5A59B085" w14:textId="0BC75D97" w:rsidR="00F902A0" w:rsidRPr="00F902A0" w:rsidRDefault="00F902A0" w:rsidP="001B599A">
      <w:pPr>
        <w:pStyle w:val="Footnote"/>
        <w:rPr>
          <w:lang w:val="en-GB"/>
        </w:rPr>
      </w:pPr>
      <w:r w:rsidRPr="00F902A0">
        <w:rPr>
          <w:rStyle w:val="FootnoteReference"/>
          <w:lang w:val="en-GB"/>
        </w:rPr>
        <w:footnoteRef/>
      </w:r>
      <w:r w:rsidRPr="00F902A0">
        <w:rPr>
          <w:lang w:val="en-GB"/>
        </w:rPr>
        <w:t xml:space="preserve"> JCI was a U.S.-based</w:t>
      </w:r>
      <w:r w:rsidR="008B156C">
        <w:rPr>
          <w:lang w:val="en-GB"/>
        </w:rPr>
        <w:t>,</w:t>
      </w:r>
      <w:r w:rsidRPr="00F902A0">
        <w:rPr>
          <w:lang w:val="en-GB"/>
        </w:rPr>
        <w:t xml:space="preserve"> non-profit organization that accredited health care organizations, medical services, and programs worldwide.</w:t>
      </w:r>
    </w:p>
  </w:footnote>
  <w:footnote w:id="15">
    <w:p w14:paraId="3DD5D6BA" w14:textId="73BA67E9" w:rsidR="00F902A0" w:rsidRPr="00F902A0" w:rsidRDefault="00F902A0" w:rsidP="001B599A">
      <w:pPr>
        <w:pStyle w:val="Footnote"/>
        <w:rPr>
          <w:lang w:val="en-GB"/>
        </w:rPr>
      </w:pPr>
      <w:r w:rsidRPr="00F902A0">
        <w:rPr>
          <w:rStyle w:val="FootnoteReference"/>
          <w:lang w:val="en-GB"/>
        </w:rPr>
        <w:footnoteRef/>
      </w:r>
      <w:r w:rsidRPr="00F902A0">
        <w:rPr>
          <w:lang w:val="en-GB"/>
        </w:rPr>
        <w:t xml:space="preserve"> ACHS was a health care accreditation body based in Australia; it also met overseas requests for quality accreditation programs through ACHS International.</w:t>
      </w:r>
    </w:p>
  </w:footnote>
  <w:footnote w:id="16">
    <w:p w14:paraId="4F9B7370" w14:textId="34019E30" w:rsidR="00F902A0" w:rsidRPr="00F902A0" w:rsidRDefault="00F902A0" w:rsidP="001B599A">
      <w:pPr>
        <w:pStyle w:val="Footnote"/>
        <w:rPr>
          <w:lang w:val="en-GB"/>
        </w:rPr>
      </w:pPr>
      <w:r w:rsidRPr="00F902A0">
        <w:rPr>
          <w:rStyle w:val="FootnoteReference"/>
          <w:lang w:val="en-GB"/>
        </w:rPr>
        <w:footnoteRef/>
      </w:r>
      <w:r w:rsidRPr="00F902A0">
        <w:rPr>
          <w:lang w:val="en-GB"/>
        </w:rPr>
        <w:t xml:space="preserve"> Headquartered in Ottawa, Canada, Accreditation Canada</w:t>
      </w:r>
      <w:r w:rsidR="008B156C">
        <w:rPr>
          <w:lang w:val="en-GB"/>
        </w:rPr>
        <w:t xml:space="preserve"> </w:t>
      </w:r>
      <w:r w:rsidRPr="00F902A0">
        <w:rPr>
          <w:lang w:val="en-GB"/>
        </w:rPr>
        <w:t xml:space="preserve">was a </w:t>
      </w:r>
      <w:r w:rsidRPr="00F902A0">
        <w:rPr>
          <w:color w:val="221F1F"/>
          <w:shd w:val="clear" w:color="auto" w:fill="FFFFFF"/>
          <w:lang w:val="en-GB"/>
        </w:rPr>
        <w:t>no</w:t>
      </w:r>
      <w:r>
        <w:rPr>
          <w:color w:val="221F1F"/>
          <w:shd w:val="clear" w:color="auto" w:fill="FFFFFF"/>
          <w:lang w:val="en-GB"/>
        </w:rPr>
        <w:t>n-profit</w:t>
      </w:r>
      <w:r w:rsidRPr="00F902A0">
        <w:rPr>
          <w:color w:val="221F1F"/>
          <w:shd w:val="clear" w:color="auto" w:fill="FFFFFF"/>
          <w:lang w:val="en-GB"/>
        </w:rPr>
        <w:t xml:space="preserve"> organization</w:t>
      </w:r>
      <w:r w:rsidRPr="00F902A0">
        <w:rPr>
          <w:lang w:val="en-GB"/>
        </w:rPr>
        <w:t xml:space="preserve"> offering accreditation programs throughout the world.</w:t>
      </w:r>
    </w:p>
  </w:footnote>
  <w:footnote w:id="17">
    <w:p w14:paraId="19A86FAC" w14:textId="2C5E5CE1" w:rsidR="00F902A0" w:rsidRPr="00F902A0" w:rsidRDefault="00F902A0" w:rsidP="001B599A">
      <w:pPr>
        <w:pStyle w:val="Footnote"/>
        <w:rPr>
          <w:lang w:val="en-GB"/>
        </w:rPr>
      </w:pPr>
      <w:r w:rsidRPr="00F902A0">
        <w:rPr>
          <w:rStyle w:val="FootnoteReference"/>
          <w:lang w:val="en-GB"/>
        </w:rPr>
        <w:footnoteRef/>
      </w:r>
      <w:r>
        <w:rPr>
          <w:shd w:val="clear" w:color="auto" w:fill="FFFFFF"/>
          <w:lang w:val="en-GB"/>
        </w:rPr>
        <w:t xml:space="preserve"> </w:t>
      </w:r>
      <w:r w:rsidRPr="00F902A0">
        <w:rPr>
          <w:shd w:val="clear" w:color="auto" w:fill="FFFFFF"/>
          <w:lang w:val="en-GB"/>
        </w:rPr>
        <w:t>“NABH Accredited Hospitals,”</w:t>
      </w:r>
      <w:r>
        <w:rPr>
          <w:shd w:val="clear" w:color="auto" w:fill="FFFFFF"/>
          <w:lang w:val="en-GB"/>
        </w:rPr>
        <w:t xml:space="preserve"> </w:t>
      </w:r>
      <w:r w:rsidRPr="00DB4C09">
        <w:rPr>
          <w:shd w:val="clear" w:color="auto" w:fill="FFFFFF"/>
          <w:lang w:val="en-GB"/>
        </w:rPr>
        <w:t>National Accreditation Board for Hospitals &amp; Health Care Providers</w:t>
      </w:r>
      <w:r w:rsidRPr="00F902A0">
        <w:rPr>
          <w:shd w:val="clear" w:color="auto" w:fill="FFFFFF"/>
          <w:lang w:val="en-GB"/>
        </w:rPr>
        <w:t xml:space="preserve">, accessed March 15, 2018, </w:t>
      </w:r>
      <w:r w:rsidRPr="00F902A0">
        <w:rPr>
          <w:lang w:val="en-GB"/>
        </w:rPr>
        <w:t>www.nabh.co/frmViewAccreditedHosp.aspx.</w:t>
      </w:r>
    </w:p>
  </w:footnote>
  <w:footnote w:id="18">
    <w:p w14:paraId="6DD0E71C" w14:textId="3D1E57A7" w:rsidR="00F902A0" w:rsidRPr="00F902A0" w:rsidRDefault="00F902A0" w:rsidP="001B599A">
      <w:pPr>
        <w:pStyle w:val="Footnote"/>
        <w:rPr>
          <w:lang w:val="en-GB"/>
        </w:rPr>
      </w:pPr>
      <w:r w:rsidRPr="00F902A0">
        <w:rPr>
          <w:rStyle w:val="FootnoteReference"/>
          <w:lang w:val="en-GB"/>
        </w:rPr>
        <w:footnoteRef/>
      </w:r>
      <w:r>
        <w:rPr>
          <w:lang w:val="en-GB"/>
        </w:rPr>
        <w:t xml:space="preserve"> </w:t>
      </w:r>
      <w:r w:rsidRPr="00F902A0">
        <w:rPr>
          <w:lang w:val="en-GB"/>
        </w:rPr>
        <w:t xml:space="preserve">“JCI-Accredited Organizations,” </w:t>
      </w:r>
      <w:r w:rsidRPr="00DB4C09">
        <w:rPr>
          <w:lang w:val="en-GB"/>
        </w:rPr>
        <w:t xml:space="preserve">Joint Commission International, </w:t>
      </w:r>
      <w:r w:rsidRPr="00F902A0">
        <w:rPr>
          <w:lang w:val="en-GB"/>
        </w:rPr>
        <w:t>accessed March 18, 2018, www.jointcommissioninternational.org/about-jci/jci-accredited-organizations/?c=India.</w:t>
      </w:r>
    </w:p>
  </w:footnote>
  <w:footnote w:id="19">
    <w:p w14:paraId="023EFDE9" w14:textId="6C7CD29A" w:rsidR="00F902A0" w:rsidRPr="00F902A0" w:rsidRDefault="00F902A0" w:rsidP="001B599A">
      <w:pPr>
        <w:pStyle w:val="Footnote"/>
        <w:rPr>
          <w:lang w:val="en-GB"/>
        </w:rPr>
      </w:pPr>
      <w:r w:rsidRPr="00F902A0">
        <w:rPr>
          <w:rStyle w:val="FootnoteReference"/>
          <w:lang w:val="en-GB"/>
        </w:rPr>
        <w:footnoteRef/>
      </w:r>
      <w:r>
        <w:rPr>
          <w:lang w:val="en-GB"/>
        </w:rPr>
        <w:t xml:space="preserve"> </w:t>
      </w:r>
      <w:r w:rsidRPr="00F902A0">
        <w:rPr>
          <w:lang w:val="en-GB"/>
        </w:rPr>
        <w:t xml:space="preserve">PTI, “To Attract More Foreigners, Government Relaxes E-Visa Regime,” </w:t>
      </w:r>
      <w:r w:rsidRPr="00F902A0">
        <w:rPr>
          <w:i/>
          <w:lang w:val="en-GB"/>
        </w:rPr>
        <w:t>Times of India</w:t>
      </w:r>
      <w:r w:rsidRPr="00F902A0">
        <w:rPr>
          <w:lang w:val="en-GB"/>
        </w:rPr>
        <w:t xml:space="preserve">, March </w:t>
      </w:r>
      <w:r w:rsidR="008B156C">
        <w:rPr>
          <w:lang w:val="en-GB"/>
        </w:rPr>
        <w:t>31, 2017, accessed February 11, 2018, </w:t>
      </w:r>
      <w:r w:rsidRPr="00F902A0">
        <w:rPr>
          <w:lang w:val="en-GB"/>
        </w:rPr>
        <w:t>https://timesofindia.indiatimes.com/india/to-attract-more-foreigners-government-relaxes-e-visa-regime/</w:t>
      </w:r>
      <w:r w:rsidR="008B156C">
        <w:rPr>
          <w:lang w:val="en-GB"/>
        </w:rPr>
        <w:t xml:space="preserve"> </w:t>
      </w:r>
      <w:proofErr w:type="spellStart"/>
      <w:r w:rsidRPr="00F902A0">
        <w:rPr>
          <w:lang w:val="en-GB"/>
        </w:rPr>
        <w:t>articleshow</w:t>
      </w:r>
      <w:proofErr w:type="spellEnd"/>
      <w:r w:rsidRPr="00F902A0">
        <w:rPr>
          <w:lang w:val="en-GB"/>
        </w:rPr>
        <w:t>/57945801</w:t>
      </w:r>
      <w:r w:rsidR="008B156C">
        <w:rPr>
          <w:lang w:val="en-GB"/>
        </w:rPr>
        <w:t xml:space="preserve"> </w:t>
      </w:r>
      <w:r w:rsidRPr="00F902A0">
        <w:rPr>
          <w:lang w:val="en-GB"/>
        </w:rPr>
        <w:t>.</w:t>
      </w:r>
      <w:proofErr w:type="spellStart"/>
      <w:r w:rsidRPr="00F902A0">
        <w:rPr>
          <w:lang w:val="en-GB"/>
        </w:rPr>
        <w:t>cms</w:t>
      </w:r>
      <w:proofErr w:type="spellEnd"/>
      <w:r w:rsidRPr="00F902A0">
        <w:rPr>
          <w:lang w:val="en-GB"/>
        </w:rPr>
        <w:t>.</w:t>
      </w:r>
    </w:p>
  </w:footnote>
  <w:footnote w:id="20">
    <w:p w14:paraId="459F73F0" w14:textId="08FD63C9" w:rsidR="00F902A0" w:rsidRPr="00F902A0" w:rsidRDefault="00F902A0" w:rsidP="00612808">
      <w:pPr>
        <w:pStyle w:val="Footnote"/>
        <w:rPr>
          <w:lang w:val="en-GB"/>
        </w:rPr>
      </w:pPr>
      <w:r w:rsidRPr="00F902A0">
        <w:rPr>
          <w:rStyle w:val="FootnoteReference"/>
          <w:lang w:val="en-GB"/>
        </w:rPr>
        <w:footnoteRef/>
      </w:r>
      <w:r>
        <w:rPr>
          <w:lang w:val="en-GB"/>
        </w:rPr>
        <w:t xml:space="preserve"> </w:t>
      </w:r>
      <w:r w:rsidRPr="00F902A0">
        <w:rPr>
          <w:lang w:val="en-GB"/>
        </w:rPr>
        <w:t xml:space="preserve">Government of India, “Wellness and Medical Tourism,” Ministry of Tourism, accessed March 19, 2018, </w:t>
      </w:r>
      <w:r w:rsidRPr="00C348FF">
        <w:rPr>
          <w:lang w:val="en-GB"/>
        </w:rPr>
        <w:t>http://tourism.gov.in/wellness-medical-tourism</w:t>
      </w:r>
      <w:r w:rsidRPr="00F902A0">
        <w:rPr>
          <w:lang w:val="en-GB"/>
        </w:rPr>
        <w:t>.</w:t>
      </w:r>
    </w:p>
  </w:footnote>
  <w:footnote w:id="21">
    <w:p w14:paraId="112FA30C" w14:textId="7BE9CE23" w:rsidR="00F902A0" w:rsidRPr="00F902A0" w:rsidRDefault="00F902A0" w:rsidP="00612808">
      <w:pPr>
        <w:pStyle w:val="Footnote"/>
        <w:rPr>
          <w:lang w:val="en-GB"/>
        </w:rPr>
      </w:pPr>
      <w:r w:rsidRPr="00F902A0">
        <w:rPr>
          <w:rStyle w:val="FootnoteReference"/>
          <w:lang w:val="en-GB"/>
        </w:rPr>
        <w:footnoteRef/>
      </w:r>
      <w:r w:rsidRPr="00F902A0">
        <w:rPr>
          <w:lang w:val="en-GB"/>
        </w:rPr>
        <w:t xml:space="preserve"> “About ISO</w:t>
      </w:r>
      <w:r>
        <w:rPr>
          <w:lang w:val="en-GB"/>
        </w:rPr>
        <w:t>,</w:t>
      </w:r>
      <w:r w:rsidRPr="00F902A0">
        <w:rPr>
          <w:lang w:val="en-GB"/>
        </w:rPr>
        <w:t>” International Organization for Standardization, accessed July 26, 2018, https://www.iso.org/about-us.html.</w:t>
      </w:r>
    </w:p>
  </w:footnote>
  <w:footnote w:id="22">
    <w:p w14:paraId="6B8EBA34" w14:textId="3B51CFA7" w:rsidR="00F902A0" w:rsidRPr="00F902A0" w:rsidRDefault="00F902A0" w:rsidP="00217169">
      <w:pPr>
        <w:pStyle w:val="Footnote"/>
        <w:rPr>
          <w:color w:val="000000" w:themeColor="text1"/>
          <w:lang w:val="en-GB"/>
        </w:rPr>
      </w:pPr>
      <w:r w:rsidRPr="00F902A0">
        <w:rPr>
          <w:rStyle w:val="FootnoteReference"/>
          <w:color w:val="000000" w:themeColor="text1"/>
          <w:lang w:val="en-GB"/>
        </w:rPr>
        <w:footnoteRef/>
      </w:r>
      <w:r>
        <w:rPr>
          <w:color w:val="000000" w:themeColor="text1"/>
          <w:shd w:val="clear" w:color="auto" w:fill="FFFFFF"/>
          <w:lang w:val="en-GB"/>
        </w:rPr>
        <w:t xml:space="preserve"> </w:t>
      </w:r>
      <w:r w:rsidRPr="00F902A0">
        <w:rPr>
          <w:color w:val="000000" w:themeColor="text1"/>
          <w:shd w:val="clear" w:color="auto" w:fill="FFFFFF"/>
          <w:lang w:val="en-GB"/>
        </w:rPr>
        <w:t xml:space="preserve">Federation of Indian Chambers of Commerce and Industry, op. cit. </w:t>
      </w:r>
    </w:p>
  </w:footnote>
  <w:footnote w:id="23">
    <w:p w14:paraId="5D8A5B98" w14:textId="4C981142" w:rsidR="00F902A0" w:rsidRPr="00F902A0" w:rsidRDefault="00F902A0" w:rsidP="0000456F">
      <w:pPr>
        <w:pStyle w:val="Footnote"/>
        <w:rPr>
          <w:color w:val="000000" w:themeColor="text1"/>
          <w:lang w:val="en-GB"/>
        </w:rPr>
      </w:pPr>
      <w:r w:rsidRPr="00F902A0">
        <w:rPr>
          <w:rStyle w:val="FootnoteReference"/>
          <w:color w:val="000000" w:themeColor="text1"/>
          <w:lang w:val="en-GB"/>
        </w:rPr>
        <w:footnoteRef/>
      </w:r>
      <w:r>
        <w:rPr>
          <w:color w:val="000000" w:themeColor="text1"/>
          <w:shd w:val="clear" w:color="auto" w:fill="FFFFFF"/>
          <w:lang w:val="en-GB"/>
        </w:rPr>
        <w:t xml:space="preserve"> </w:t>
      </w:r>
      <w:r w:rsidRPr="00F902A0">
        <w:rPr>
          <w:color w:val="000000" w:themeColor="text1"/>
          <w:shd w:val="clear" w:color="auto" w:fill="FFFFFF"/>
          <w:lang w:val="en-GB"/>
        </w:rPr>
        <w:t xml:space="preserve">National Accreditation Board for Hospitals &amp; </w:t>
      </w:r>
      <w:r w:rsidRPr="009C36AA">
        <w:rPr>
          <w:color w:val="000000" w:themeColor="text1"/>
          <w:shd w:val="clear" w:color="auto" w:fill="FFFFFF"/>
          <w:lang w:val="en-GB"/>
        </w:rPr>
        <w:t>Health C</w:t>
      </w:r>
      <w:r w:rsidRPr="00F902A0">
        <w:rPr>
          <w:color w:val="000000" w:themeColor="text1"/>
          <w:shd w:val="clear" w:color="auto" w:fill="FFFFFF"/>
          <w:lang w:val="en-GB"/>
        </w:rPr>
        <w:t>are Providers, “Medical Value Travel Facilitator,” NABH.co, accessed April 5, 2018,</w:t>
      </w:r>
      <w:r>
        <w:rPr>
          <w:color w:val="000000" w:themeColor="text1"/>
          <w:shd w:val="clear" w:color="auto" w:fill="FFFFFF"/>
          <w:lang w:val="en-GB"/>
        </w:rPr>
        <w:t xml:space="preserve"> </w:t>
      </w:r>
      <w:r w:rsidRPr="00F902A0">
        <w:rPr>
          <w:color w:val="000000" w:themeColor="text1"/>
          <w:lang w:val="en-GB"/>
        </w:rPr>
        <w:t>www.nabh.co/MVTF.aspx.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B5059" w14:textId="4AB34352" w:rsidR="00F902A0" w:rsidRPr="00C92CC4" w:rsidRDefault="00F902A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A246A">
      <w:rPr>
        <w:rFonts w:ascii="Arial" w:hAnsi="Arial"/>
        <w:b/>
        <w:noProof/>
      </w:rPr>
      <w:t>10</w:t>
    </w:r>
    <w:r>
      <w:rPr>
        <w:rFonts w:ascii="Arial" w:hAnsi="Arial"/>
        <w:b/>
      </w:rPr>
      <w:fldChar w:fldCharType="end"/>
    </w:r>
    <w:r>
      <w:rPr>
        <w:rFonts w:ascii="Arial" w:hAnsi="Arial"/>
        <w:b/>
      </w:rPr>
      <w:tab/>
    </w:r>
    <w:r w:rsidR="0052588D">
      <w:rPr>
        <w:rFonts w:ascii="Arial" w:hAnsi="Arial"/>
        <w:b/>
      </w:rPr>
      <w:t>9B18M122</w:t>
    </w:r>
  </w:p>
  <w:p w14:paraId="3206366E" w14:textId="77777777" w:rsidR="00F902A0" w:rsidRDefault="00F902A0" w:rsidP="00D13667">
    <w:pPr>
      <w:pStyle w:val="Header"/>
      <w:tabs>
        <w:tab w:val="clear" w:pos="4680"/>
      </w:tabs>
      <w:rPr>
        <w:sz w:val="18"/>
        <w:szCs w:val="18"/>
      </w:rPr>
    </w:pPr>
  </w:p>
  <w:p w14:paraId="3362FA78" w14:textId="77777777" w:rsidR="00F902A0" w:rsidRPr="00C92CC4" w:rsidRDefault="00F902A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cs="Times New Roman"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CF6D9D"/>
    <w:multiLevelType w:val="multilevel"/>
    <w:tmpl w:val="C8EEC68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rPr>
        <w:rFonts w:cs="Times New Roman"/>
      </w:rPr>
    </w:lvl>
    <w:lvl w:ilvl="1" w:tplc="BEBE2F52" w:tentative="1">
      <w:start w:val="1"/>
      <w:numFmt w:val="decimal"/>
      <w:lvlText w:val="%2."/>
      <w:lvlJc w:val="left"/>
      <w:pPr>
        <w:tabs>
          <w:tab w:val="num" w:pos="1440"/>
        </w:tabs>
        <w:ind w:left="1440" w:hanging="360"/>
      </w:pPr>
      <w:rPr>
        <w:rFonts w:cs="Times New Roman"/>
      </w:rPr>
    </w:lvl>
    <w:lvl w:ilvl="2" w:tplc="E836E7D6" w:tentative="1">
      <w:start w:val="1"/>
      <w:numFmt w:val="decimal"/>
      <w:lvlText w:val="%3."/>
      <w:lvlJc w:val="left"/>
      <w:pPr>
        <w:tabs>
          <w:tab w:val="num" w:pos="2160"/>
        </w:tabs>
        <w:ind w:left="2160" w:hanging="360"/>
      </w:pPr>
      <w:rPr>
        <w:rFonts w:cs="Times New Roman"/>
      </w:rPr>
    </w:lvl>
    <w:lvl w:ilvl="3" w:tplc="BC98AF2A" w:tentative="1">
      <w:start w:val="1"/>
      <w:numFmt w:val="decimal"/>
      <w:lvlText w:val="%4."/>
      <w:lvlJc w:val="left"/>
      <w:pPr>
        <w:tabs>
          <w:tab w:val="num" w:pos="2880"/>
        </w:tabs>
        <w:ind w:left="2880" w:hanging="360"/>
      </w:pPr>
      <w:rPr>
        <w:rFonts w:cs="Times New Roman"/>
      </w:rPr>
    </w:lvl>
    <w:lvl w:ilvl="4" w:tplc="53789B4C" w:tentative="1">
      <w:start w:val="1"/>
      <w:numFmt w:val="decimal"/>
      <w:lvlText w:val="%5."/>
      <w:lvlJc w:val="left"/>
      <w:pPr>
        <w:tabs>
          <w:tab w:val="num" w:pos="3600"/>
        </w:tabs>
        <w:ind w:left="3600" w:hanging="360"/>
      </w:pPr>
      <w:rPr>
        <w:rFonts w:cs="Times New Roman"/>
      </w:rPr>
    </w:lvl>
    <w:lvl w:ilvl="5" w:tplc="2DB6F7C8" w:tentative="1">
      <w:start w:val="1"/>
      <w:numFmt w:val="decimal"/>
      <w:lvlText w:val="%6."/>
      <w:lvlJc w:val="left"/>
      <w:pPr>
        <w:tabs>
          <w:tab w:val="num" w:pos="4320"/>
        </w:tabs>
        <w:ind w:left="4320" w:hanging="360"/>
      </w:pPr>
      <w:rPr>
        <w:rFonts w:cs="Times New Roman"/>
      </w:rPr>
    </w:lvl>
    <w:lvl w:ilvl="6" w:tplc="3426E984" w:tentative="1">
      <w:start w:val="1"/>
      <w:numFmt w:val="decimal"/>
      <w:lvlText w:val="%7."/>
      <w:lvlJc w:val="left"/>
      <w:pPr>
        <w:tabs>
          <w:tab w:val="num" w:pos="5040"/>
        </w:tabs>
        <w:ind w:left="5040" w:hanging="360"/>
      </w:pPr>
      <w:rPr>
        <w:rFonts w:cs="Times New Roman"/>
      </w:rPr>
    </w:lvl>
    <w:lvl w:ilvl="7" w:tplc="3460BBFE" w:tentative="1">
      <w:start w:val="1"/>
      <w:numFmt w:val="decimal"/>
      <w:lvlText w:val="%8."/>
      <w:lvlJc w:val="left"/>
      <w:pPr>
        <w:tabs>
          <w:tab w:val="num" w:pos="5760"/>
        </w:tabs>
        <w:ind w:left="5760" w:hanging="360"/>
      </w:pPr>
      <w:rPr>
        <w:rFonts w:cs="Times New Roman"/>
      </w:rPr>
    </w:lvl>
    <w:lvl w:ilvl="8" w:tplc="AEB00602" w:tentative="1">
      <w:start w:val="1"/>
      <w:numFmt w:val="decimal"/>
      <w:lvlText w:val="%9."/>
      <w:lvlJc w:val="left"/>
      <w:pPr>
        <w:tabs>
          <w:tab w:val="num" w:pos="6480"/>
        </w:tabs>
        <w:ind w:left="6480" w:hanging="360"/>
      </w:pPr>
      <w:rPr>
        <w:rFonts w:cs="Times New Roman"/>
      </w:r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EDF01A3"/>
    <w:multiLevelType w:val="hybridMultilevel"/>
    <w:tmpl w:val="368AC978"/>
    <w:lvl w:ilvl="0" w:tplc="DAA4472A">
      <w:numFmt w:val="bullet"/>
      <w:lvlText w:val="-"/>
      <w:lvlJc w:val="left"/>
      <w:pPr>
        <w:ind w:left="720" w:hanging="360"/>
      </w:pPr>
      <w:rPr>
        <w:rFonts w:ascii="Arial" w:eastAsiaTheme="minorEastAsia" w:hAnsi="Arial" w:hint="default"/>
        <w:color w:val="666666"/>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cs="Times New Roman" w:hint="default"/>
        <w:b w:val="0"/>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A30D6F"/>
    <w:multiLevelType w:val="multilevel"/>
    <w:tmpl w:val="151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AC469B"/>
    <w:multiLevelType w:val="hybridMultilevel"/>
    <w:tmpl w:val="21E49C62"/>
    <w:lvl w:ilvl="0" w:tplc="E5661A7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669245A4"/>
    <w:multiLevelType w:val="multilevel"/>
    <w:tmpl w:val="BEA2C71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15:restartNumberingAfterBreak="0">
    <w:nsid w:val="6B3510A0"/>
    <w:multiLevelType w:val="hybridMultilevel"/>
    <w:tmpl w:val="19A41218"/>
    <w:lvl w:ilvl="0" w:tplc="AA8A1C4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BC358F5"/>
    <w:multiLevelType w:val="hybridMultilevel"/>
    <w:tmpl w:val="05D04DF2"/>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2"/>
  </w:num>
  <w:num w:numId="2">
    <w:abstractNumId w:val="36"/>
  </w:num>
  <w:num w:numId="3">
    <w:abstractNumId w:val="33"/>
  </w:num>
  <w:num w:numId="4">
    <w:abstractNumId w:val="14"/>
  </w:num>
  <w:num w:numId="5">
    <w:abstractNumId w:val="26"/>
  </w:num>
  <w:num w:numId="6">
    <w:abstractNumId w:val="31"/>
  </w:num>
  <w:num w:numId="7">
    <w:abstractNumId w:val="23"/>
  </w:num>
  <w:num w:numId="8">
    <w:abstractNumId w:val="32"/>
  </w:num>
  <w:num w:numId="9">
    <w:abstractNumId w:val="11"/>
  </w:num>
  <w:num w:numId="10">
    <w:abstractNumId w:val="18"/>
  </w:num>
  <w:num w:numId="11">
    <w:abstractNumId w:val="12"/>
  </w:num>
  <w:num w:numId="12">
    <w:abstractNumId w:val="39"/>
  </w:num>
  <w:num w:numId="13">
    <w:abstractNumId w:val="15"/>
  </w:num>
  <w:num w:numId="14">
    <w:abstractNumId w:val="30"/>
  </w:num>
  <w:num w:numId="15">
    <w:abstractNumId w:val="40"/>
  </w:num>
  <w:num w:numId="16">
    <w:abstractNumId w:val="17"/>
  </w:num>
  <w:num w:numId="17">
    <w:abstractNumId w:val="25"/>
  </w:num>
  <w:num w:numId="18">
    <w:abstractNumId w:val="16"/>
  </w:num>
  <w:num w:numId="19">
    <w:abstractNumId w:val="21"/>
  </w:num>
  <w:num w:numId="20">
    <w:abstractNumId w:val="37"/>
  </w:num>
  <w:num w:numId="21">
    <w:abstractNumId w:val="27"/>
  </w:num>
  <w:num w:numId="22">
    <w:abstractNumId w:val="28"/>
  </w:num>
  <w:num w:numId="23">
    <w:abstractNumId w:val="10"/>
  </w:num>
  <w:num w:numId="24">
    <w:abstractNumId w:val="13"/>
  </w:num>
  <w:num w:numId="25">
    <w:abstractNumId w:val="41"/>
  </w:num>
  <w:num w:numId="26">
    <w:abstractNumId w:val="42"/>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29"/>
  </w:num>
  <w:num w:numId="41">
    <w:abstractNumId w:val="38"/>
  </w:num>
  <w:num w:numId="42">
    <w:abstractNumId w:val="20"/>
  </w:num>
  <w:num w:numId="43">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56F"/>
    <w:rsid w:val="00005B71"/>
    <w:rsid w:val="000067D7"/>
    <w:rsid w:val="00013360"/>
    <w:rsid w:val="00016759"/>
    <w:rsid w:val="000216CE"/>
    <w:rsid w:val="00024ED4"/>
    <w:rsid w:val="00025DC7"/>
    <w:rsid w:val="00026FA3"/>
    <w:rsid w:val="00035F09"/>
    <w:rsid w:val="00044ECC"/>
    <w:rsid w:val="000531D3"/>
    <w:rsid w:val="0005646B"/>
    <w:rsid w:val="00057588"/>
    <w:rsid w:val="00074448"/>
    <w:rsid w:val="00075705"/>
    <w:rsid w:val="000764BB"/>
    <w:rsid w:val="0008102D"/>
    <w:rsid w:val="00081C73"/>
    <w:rsid w:val="000879E4"/>
    <w:rsid w:val="00094C0E"/>
    <w:rsid w:val="000B277D"/>
    <w:rsid w:val="000B7F13"/>
    <w:rsid w:val="000C2685"/>
    <w:rsid w:val="000D3813"/>
    <w:rsid w:val="000D7091"/>
    <w:rsid w:val="000F0C22"/>
    <w:rsid w:val="000F6B09"/>
    <w:rsid w:val="000F6FDC"/>
    <w:rsid w:val="001017C5"/>
    <w:rsid w:val="00104567"/>
    <w:rsid w:val="00104916"/>
    <w:rsid w:val="00104AA7"/>
    <w:rsid w:val="00105216"/>
    <w:rsid w:val="001177A8"/>
    <w:rsid w:val="001240F1"/>
    <w:rsid w:val="0012732D"/>
    <w:rsid w:val="00131EC8"/>
    <w:rsid w:val="00143F25"/>
    <w:rsid w:val="00152682"/>
    <w:rsid w:val="00154FC9"/>
    <w:rsid w:val="00164CCC"/>
    <w:rsid w:val="001766B4"/>
    <w:rsid w:val="00184656"/>
    <w:rsid w:val="0019241A"/>
    <w:rsid w:val="001A22D1"/>
    <w:rsid w:val="001A6B38"/>
    <w:rsid w:val="001A752D"/>
    <w:rsid w:val="001A757E"/>
    <w:rsid w:val="001B074A"/>
    <w:rsid w:val="001B5032"/>
    <w:rsid w:val="001B51DE"/>
    <w:rsid w:val="001B599A"/>
    <w:rsid w:val="001C1252"/>
    <w:rsid w:val="001C7777"/>
    <w:rsid w:val="001D63D8"/>
    <w:rsid w:val="001D6C66"/>
    <w:rsid w:val="001E15CA"/>
    <w:rsid w:val="001E364F"/>
    <w:rsid w:val="001F4222"/>
    <w:rsid w:val="002020A4"/>
    <w:rsid w:val="00203AA1"/>
    <w:rsid w:val="00212052"/>
    <w:rsid w:val="00213E98"/>
    <w:rsid w:val="00214AE0"/>
    <w:rsid w:val="00217169"/>
    <w:rsid w:val="00226461"/>
    <w:rsid w:val="0023081A"/>
    <w:rsid w:val="00231D47"/>
    <w:rsid w:val="00232D39"/>
    <w:rsid w:val="0025767D"/>
    <w:rsid w:val="00262C7D"/>
    <w:rsid w:val="00277E38"/>
    <w:rsid w:val="00290FFD"/>
    <w:rsid w:val="00291A85"/>
    <w:rsid w:val="00291CBC"/>
    <w:rsid w:val="0029533F"/>
    <w:rsid w:val="002955E2"/>
    <w:rsid w:val="002A256E"/>
    <w:rsid w:val="002A7716"/>
    <w:rsid w:val="002B43BD"/>
    <w:rsid w:val="002B49A6"/>
    <w:rsid w:val="002B7C8B"/>
    <w:rsid w:val="002D120D"/>
    <w:rsid w:val="002E72B8"/>
    <w:rsid w:val="002F0ABC"/>
    <w:rsid w:val="002F1208"/>
    <w:rsid w:val="002F460C"/>
    <w:rsid w:val="002F48D6"/>
    <w:rsid w:val="00302D3D"/>
    <w:rsid w:val="00312C77"/>
    <w:rsid w:val="00317391"/>
    <w:rsid w:val="00326216"/>
    <w:rsid w:val="003275B7"/>
    <w:rsid w:val="00336580"/>
    <w:rsid w:val="00341100"/>
    <w:rsid w:val="00345492"/>
    <w:rsid w:val="00354899"/>
    <w:rsid w:val="00354E4C"/>
    <w:rsid w:val="00355FD6"/>
    <w:rsid w:val="00364A5C"/>
    <w:rsid w:val="00367931"/>
    <w:rsid w:val="00373FB1"/>
    <w:rsid w:val="003769E6"/>
    <w:rsid w:val="00377C06"/>
    <w:rsid w:val="00380BC9"/>
    <w:rsid w:val="00390D38"/>
    <w:rsid w:val="00396C76"/>
    <w:rsid w:val="00397DE8"/>
    <w:rsid w:val="003A15FD"/>
    <w:rsid w:val="003A2A5C"/>
    <w:rsid w:val="003B040F"/>
    <w:rsid w:val="003B30D8"/>
    <w:rsid w:val="003B5A33"/>
    <w:rsid w:val="003B7D22"/>
    <w:rsid w:val="003B7EF2"/>
    <w:rsid w:val="003C25A9"/>
    <w:rsid w:val="003C3FA4"/>
    <w:rsid w:val="003D0BA1"/>
    <w:rsid w:val="003F2B0C"/>
    <w:rsid w:val="003F3502"/>
    <w:rsid w:val="003F6138"/>
    <w:rsid w:val="004022D8"/>
    <w:rsid w:val="0040504E"/>
    <w:rsid w:val="004105B2"/>
    <w:rsid w:val="00412900"/>
    <w:rsid w:val="004221E4"/>
    <w:rsid w:val="004273F8"/>
    <w:rsid w:val="00432638"/>
    <w:rsid w:val="004355A3"/>
    <w:rsid w:val="00435E8A"/>
    <w:rsid w:val="00437751"/>
    <w:rsid w:val="0044039B"/>
    <w:rsid w:val="004413D2"/>
    <w:rsid w:val="00446546"/>
    <w:rsid w:val="00452769"/>
    <w:rsid w:val="0045759A"/>
    <w:rsid w:val="0046387B"/>
    <w:rsid w:val="00465348"/>
    <w:rsid w:val="0047311D"/>
    <w:rsid w:val="00490AEC"/>
    <w:rsid w:val="004B0E87"/>
    <w:rsid w:val="004B1CCB"/>
    <w:rsid w:val="004B6160"/>
    <w:rsid w:val="004B632F"/>
    <w:rsid w:val="004B788C"/>
    <w:rsid w:val="004C38A3"/>
    <w:rsid w:val="004C621D"/>
    <w:rsid w:val="004C734A"/>
    <w:rsid w:val="004D3FB1"/>
    <w:rsid w:val="004D6F21"/>
    <w:rsid w:val="004D73A5"/>
    <w:rsid w:val="004E08AC"/>
    <w:rsid w:val="004E7467"/>
    <w:rsid w:val="00502914"/>
    <w:rsid w:val="00511C9E"/>
    <w:rsid w:val="005160F1"/>
    <w:rsid w:val="00524F2F"/>
    <w:rsid w:val="0052588D"/>
    <w:rsid w:val="00527E5C"/>
    <w:rsid w:val="00532CF5"/>
    <w:rsid w:val="005528CB"/>
    <w:rsid w:val="005615A2"/>
    <w:rsid w:val="005618E3"/>
    <w:rsid w:val="00566771"/>
    <w:rsid w:val="005671AB"/>
    <w:rsid w:val="0057746E"/>
    <w:rsid w:val="005813E6"/>
    <w:rsid w:val="00581E2E"/>
    <w:rsid w:val="00584F15"/>
    <w:rsid w:val="00591168"/>
    <w:rsid w:val="0059514B"/>
    <w:rsid w:val="005A1B0F"/>
    <w:rsid w:val="005A31BB"/>
    <w:rsid w:val="005A3E7A"/>
    <w:rsid w:val="005C6333"/>
    <w:rsid w:val="005D3C0E"/>
    <w:rsid w:val="005E63BF"/>
    <w:rsid w:val="005E70C0"/>
    <w:rsid w:val="005F13BC"/>
    <w:rsid w:val="005F5C3D"/>
    <w:rsid w:val="00603AB6"/>
    <w:rsid w:val="00612808"/>
    <w:rsid w:val="00612FC3"/>
    <w:rsid w:val="00613BD6"/>
    <w:rsid w:val="00613C4A"/>
    <w:rsid w:val="00615E68"/>
    <w:rsid w:val="006163F7"/>
    <w:rsid w:val="00621071"/>
    <w:rsid w:val="006231C8"/>
    <w:rsid w:val="00624558"/>
    <w:rsid w:val="00626F5C"/>
    <w:rsid w:val="00627C63"/>
    <w:rsid w:val="0063350B"/>
    <w:rsid w:val="00652606"/>
    <w:rsid w:val="00662370"/>
    <w:rsid w:val="00670A4E"/>
    <w:rsid w:val="00681CF3"/>
    <w:rsid w:val="006946EE"/>
    <w:rsid w:val="00696C62"/>
    <w:rsid w:val="0069776A"/>
    <w:rsid w:val="006A58A9"/>
    <w:rsid w:val="006A606D"/>
    <w:rsid w:val="006A6E40"/>
    <w:rsid w:val="006C0371"/>
    <w:rsid w:val="006C08B6"/>
    <w:rsid w:val="006C0B1A"/>
    <w:rsid w:val="006C25D5"/>
    <w:rsid w:val="006C481F"/>
    <w:rsid w:val="006C6065"/>
    <w:rsid w:val="006C7F9F"/>
    <w:rsid w:val="006D4A6C"/>
    <w:rsid w:val="006D5864"/>
    <w:rsid w:val="006E2F6D"/>
    <w:rsid w:val="006E58F6"/>
    <w:rsid w:val="006E77E1"/>
    <w:rsid w:val="006F131D"/>
    <w:rsid w:val="006F3D0F"/>
    <w:rsid w:val="006F7660"/>
    <w:rsid w:val="00711642"/>
    <w:rsid w:val="0072054A"/>
    <w:rsid w:val="00725D68"/>
    <w:rsid w:val="00734FA9"/>
    <w:rsid w:val="007407F7"/>
    <w:rsid w:val="00741B25"/>
    <w:rsid w:val="00742523"/>
    <w:rsid w:val="007507C6"/>
    <w:rsid w:val="00751E0B"/>
    <w:rsid w:val="00752BCD"/>
    <w:rsid w:val="00762674"/>
    <w:rsid w:val="00766DA1"/>
    <w:rsid w:val="00774497"/>
    <w:rsid w:val="00780D94"/>
    <w:rsid w:val="00783949"/>
    <w:rsid w:val="00785444"/>
    <w:rsid w:val="007866A6"/>
    <w:rsid w:val="0078768F"/>
    <w:rsid w:val="007A09BC"/>
    <w:rsid w:val="007A130D"/>
    <w:rsid w:val="007A1B96"/>
    <w:rsid w:val="007A6589"/>
    <w:rsid w:val="007B3744"/>
    <w:rsid w:val="007B3D0C"/>
    <w:rsid w:val="007B6A9B"/>
    <w:rsid w:val="007C79C4"/>
    <w:rsid w:val="007D1A2D"/>
    <w:rsid w:val="007D4102"/>
    <w:rsid w:val="007E75EF"/>
    <w:rsid w:val="007F43B7"/>
    <w:rsid w:val="00821FFC"/>
    <w:rsid w:val="0082266F"/>
    <w:rsid w:val="0082547E"/>
    <w:rsid w:val="008271CA"/>
    <w:rsid w:val="008308C8"/>
    <w:rsid w:val="00830A01"/>
    <w:rsid w:val="008312C1"/>
    <w:rsid w:val="0084143C"/>
    <w:rsid w:val="00845C40"/>
    <w:rsid w:val="008467D5"/>
    <w:rsid w:val="00863FB8"/>
    <w:rsid w:val="00867F2B"/>
    <w:rsid w:val="00870DCB"/>
    <w:rsid w:val="00882978"/>
    <w:rsid w:val="0088702B"/>
    <w:rsid w:val="008A0B5F"/>
    <w:rsid w:val="008A1C05"/>
    <w:rsid w:val="008A4DC4"/>
    <w:rsid w:val="008B156C"/>
    <w:rsid w:val="008B438C"/>
    <w:rsid w:val="008B6F7F"/>
    <w:rsid w:val="008C4753"/>
    <w:rsid w:val="008D06CA"/>
    <w:rsid w:val="008D3A46"/>
    <w:rsid w:val="008E0D06"/>
    <w:rsid w:val="008E263D"/>
    <w:rsid w:val="008E75C3"/>
    <w:rsid w:val="009067A4"/>
    <w:rsid w:val="00911EC7"/>
    <w:rsid w:val="0092416D"/>
    <w:rsid w:val="00930885"/>
    <w:rsid w:val="00933D68"/>
    <w:rsid w:val="009340DB"/>
    <w:rsid w:val="00936645"/>
    <w:rsid w:val="0094172C"/>
    <w:rsid w:val="00944DF5"/>
    <w:rsid w:val="0094618C"/>
    <w:rsid w:val="009506B6"/>
    <w:rsid w:val="0095684B"/>
    <w:rsid w:val="00972498"/>
    <w:rsid w:val="009736C7"/>
    <w:rsid w:val="00974643"/>
    <w:rsid w:val="0097481F"/>
    <w:rsid w:val="00974CC6"/>
    <w:rsid w:val="009766F0"/>
    <w:rsid w:val="00976AD4"/>
    <w:rsid w:val="009770E8"/>
    <w:rsid w:val="009819FA"/>
    <w:rsid w:val="009833BE"/>
    <w:rsid w:val="00984BB5"/>
    <w:rsid w:val="009947C6"/>
    <w:rsid w:val="00995547"/>
    <w:rsid w:val="009A312F"/>
    <w:rsid w:val="009A5348"/>
    <w:rsid w:val="009A5C79"/>
    <w:rsid w:val="009B0756"/>
    <w:rsid w:val="009B0AB7"/>
    <w:rsid w:val="009B0BA1"/>
    <w:rsid w:val="009B6BE6"/>
    <w:rsid w:val="009C36AA"/>
    <w:rsid w:val="009C76D5"/>
    <w:rsid w:val="009D628A"/>
    <w:rsid w:val="009F3516"/>
    <w:rsid w:val="009F69AD"/>
    <w:rsid w:val="009F7AA4"/>
    <w:rsid w:val="00A0265C"/>
    <w:rsid w:val="00A10AD7"/>
    <w:rsid w:val="00A128AA"/>
    <w:rsid w:val="00A201C3"/>
    <w:rsid w:val="00A25228"/>
    <w:rsid w:val="00A2623B"/>
    <w:rsid w:val="00A348D2"/>
    <w:rsid w:val="00A355D1"/>
    <w:rsid w:val="00A4072C"/>
    <w:rsid w:val="00A418A8"/>
    <w:rsid w:val="00A45CE8"/>
    <w:rsid w:val="00A50ED6"/>
    <w:rsid w:val="00A54D58"/>
    <w:rsid w:val="00A559DB"/>
    <w:rsid w:val="00A569EA"/>
    <w:rsid w:val="00A57873"/>
    <w:rsid w:val="00A57940"/>
    <w:rsid w:val="00A655B8"/>
    <w:rsid w:val="00A81E2A"/>
    <w:rsid w:val="00A966E4"/>
    <w:rsid w:val="00A97435"/>
    <w:rsid w:val="00AA5557"/>
    <w:rsid w:val="00AB47B2"/>
    <w:rsid w:val="00AD71EC"/>
    <w:rsid w:val="00AE43A4"/>
    <w:rsid w:val="00AE7748"/>
    <w:rsid w:val="00AF35FC"/>
    <w:rsid w:val="00AF5556"/>
    <w:rsid w:val="00AF6690"/>
    <w:rsid w:val="00AF7DA1"/>
    <w:rsid w:val="00B02C7F"/>
    <w:rsid w:val="00B03639"/>
    <w:rsid w:val="00B0652A"/>
    <w:rsid w:val="00B07F6E"/>
    <w:rsid w:val="00B11BA6"/>
    <w:rsid w:val="00B15906"/>
    <w:rsid w:val="00B262D4"/>
    <w:rsid w:val="00B264A8"/>
    <w:rsid w:val="00B2709E"/>
    <w:rsid w:val="00B301D1"/>
    <w:rsid w:val="00B36287"/>
    <w:rsid w:val="00B40937"/>
    <w:rsid w:val="00B413AA"/>
    <w:rsid w:val="00B423EF"/>
    <w:rsid w:val="00B453DE"/>
    <w:rsid w:val="00B72597"/>
    <w:rsid w:val="00B87790"/>
    <w:rsid w:val="00B87CEE"/>
    <w:rsid w:val="00B901F9"/>
    <w:rsid w:val="00B9099F"/>
    <w:rsid w:val="00B929A2"/>
    <w:rsid w:val="00B93E69"/>
    <w:rsid w:val="00BA4439"/>
    <w:rsid w:val="00BB3214"/>
    <w:rsid w:val="00BB45F8"/>
    <w:rsid w:val="00BB55F6"/>
    <w:rsid w:val="00BC5563"/>
    <w:rsid w:val="00BC71D8"/>
    <w:rsid w:val="00BD377C"/>
    <w:rsid w:val="00BD4C58"/>
    <w:rsid w:val="00BD6883"/>
    <w:rsid w:val="00BD68AF"/>
    <w:rsid w:val="00BD6EFB"/>
    <w:rsid w:val="00BF3537"/>
    <w:rsid w:val="00C01A84"/>
    <w:rsid w:val="00C0213D"/>
    <w:rsid w:val="00C021F2"/>
    <w:rsid w:val="00C06C22"/>
    <w:rsid w:val="00C12779"/>
    <w:rsid w:val="00C1584D"/>
    <w:rsid w:val="00C15BE2"/>
    <w:rsid w:val="00C166C7"/>
    <w:rsid w:val="00C24F88"/>
    <w:rsid w:val="00C3447F"/>
    <w:rsid w:val="00C348FF"/>
    <w:rsid w:val="00C37D5A"/>
    <w:rsid w:val="00C40BCE"/>
    <w:rsid w:val="00C51DAF"/>
    <w:rsid w:val="00C65EFF"/>
    <w:rsid w:val="00C67102"/>
    <w:rsid w:val="00C81491"/>
    <w:rsid w:val="00C81676"/>
    <w:rsid w:val="00C85C5D"/>
    <w:rsid w:val="00C864D9"/>
    <w:rsid w:val="00C929E9"/>
    <w:rsid w:val="00C92CC4"/>
    <w:rsid w:val="00C946FB"/>
    <w:rsid w:val="00C94733"/>
    <w:rsid w:val="00CA0AFB"/>
    <w:rsid w:val="00CA2CE1"/>
    <w:rsid w:val="00CA3976"/>
    <w:rsid w:val="00CA50E3"/>
    <w:rsid w:val="00CA757B"/>
    <w:rsid w:val="00CB0151"/>
    <w:rsid w:val="00CB1A5F"/>
    <w:rsid w:val="00CC1787"/>
    <w:rsid w:val="00CC182C"/>
    <w:rsid w:val="00CC354A"/>
    <w:rsid w:val="00CC5CA5"/>
    <w:rsid w:val="00CD0824"/>
    <w:rsid w:val="00CD2908"/>
    <w:rsid w:val="00CE21F6"/>
    <w:rsid w:val="00CE6D6C"/>
    <w:rsid w:val="00CF07BB"/>
    <w:rsid w:val="00CF2739"/>
    <w:rsid w:val="00CF7A36"/>
    <w:rsid w:val="00CF7B37"/>
    <w:rsid w:val="00D02735"/>
    <w:rsid w:val="00D03A82"/>
    <w:rsid w:val="00D13667"/>
    <w:rsid w:val="00D15344"/>
    <w:rsid w:val="00D176AD"/>
    <w:rsid w:val="00D23F57"/>
    <w:rsid w:val="00D31BEC"/>
    <w:rsid w:val="00D33321"/>
    <w:rsid w:val="00D46D9C"/>
    <w:rsid w:val="00D477BA"/>
    <w:rsid w:val="00D62921"/>
    <w:rsid w:val="00D63150"/>
    <w:rsid w:val="00D636BA"/>
    <w:rsid w:val="00D64A32"/>
    <w:rsid w:val="00D64EFC"/>
    <w:rsid w:val="00D65F41"/>
    <w:rsid w:val="00D7151B"/>
    <w:rsid w:val="00D72F6C"/>
    <w:rsid w:val="00D7379A"/>
    <w:rsid w:val="00D75295"/>
    <w:rsid w:val="00D76CE9"/>
    <w:rsid w:val="00D810DE"/>
    <w:rsid w:val="00D871F1"/>
    <w:rsid w:val="00D87277"/>
    <w:rsid w:val="00D9793E"/>
    <w:rsid w:val="00D97F12"/>
    <w:rsid w:val="00DA6095"/>
    <w:rsid w:val="00DB42E7"/>
    <w:rsid w:val="00DC1A1A"/>
    <w:rsid w:val="00DC6F01"/>
    <w:rsid w:val="00DD59A9"/>
    <w:rsid w:val="00DD7842"/>
    <w:rsid w:val="00DE01A6"/>
    <w:rsid w:val="00DE241A"/>
    <w:rsid w:val="00DE5B9E"/>
    <w:rsid w:val="00DE7A98"/>
    <w:rsid w:val="00DF127D"/>
    <w:rsid w:val="00DF32C2"/>
    <w:rsid w:val="00DF6B3A"/>
    <w:rsid w:val="00E06160"/>
    <w:rsid w:val="00E23AB7"/>
    <w:rsid w:val="00E359D6"/>
    <w:rsid w:val="00E41C9F"/>
    <w:rsid w:val="00E471A7"/>
    <w:rsid w:val="00E473DA"/>
    <w:rsid w:val="00E635CF"/>
    <w:rsid w:val="00E7106D"/>
    <w:rsid w:val="00E7479B"/>
    <w:rsid w:val="00E8416B"/>
    <w:rsid w:val="00E860E9"/>
    <w:rsid w:val="00E9100D"/>
    <w:rsid w:val="00E928C1"/>
    <w:rsid w:val="00E96416"/>
    <w:rsid w:val="00EA11C5"/>
    <w:rsid w:val="00EA3229"/>
    <w:rsid w:val="00EA42BA"/>
    <w:rsid w:val="00EA45BD"/>
    <w:rsid w:val="00EA5806"/>
    <w:rsid w:val="00EB4919"/>
    <w:rsid w:val="00EC12BD"/>
    <w:rsid w:val="00EC6E0A"/>
    <w:rsid w:val="00ED4E18"/>
    <w:rsid w:val="00EE1F37"/>
    <w:rsid w:val="00EE534F"/>
    <w:rsid w:val="00EE61EF"/>
    <w:rsid w:val="00F0064C"/>
    <w:rsid w:val="00F0159C"/>
    <w:rsid w:val="00F029CB"/>
    <w:rsid w:val="00F04AC4"/>
    <w:rsid w:val="00F04E17"/>
    <w:rsid w:val="00F105B7"/>
    <w:rsid w:val="00F1148D"/>
    <w:rsid w:val="00F1280C"/>
    <w:rsid w:val="00F13220"/>
    <w:rsid w:val="00F1719C"/>
    <w:rsid w:val="00F17A21"/>
    <w:rsid w:val="00F22813"/>
    <w:rsid w:val="00F37B27"/>
    <w:rsid w:val="00F43436"/>
    <w:rsid w:val="00F46556"/>
    <w:rsid w:val="00F50E91"/>
    <w:rsid w:val="00F529AC"/>
    <w:rsid w:val="00F57118"/>
    <w:rsid w:val="00F57D29"/>
    <w:rsid w:val="00F60B66"/>
    <w:rsid w:val="00F705A7"/>
    <w:rsid w:val="00F706B1"/>
    <w:rsid w:val="00F73F10"/>
    <w:rsid w:val="00F75A64"/>
    <w:rsid w:val="00F75E93"/>
    <w:rsid w:val="00F902A0"/>
    <w:rsid w:val="00F9340F"/>
    <w:rsid w:val="00F96201"/>
    <w:rsid w:val="00FA0AFC"/>
    <w:rsid w:val="00FA246A"/>
    <w:rsid w:val="00FB6980"/>
    <w:rsid w:val="00FC5706"/>
    <w:rsid w:val="00FC6892"/>
    <w:rsid w:val="00FD0B18"/>
    <w:rsid w:val="00FD2FAD"/>
    <w:rsid w:val="00FE40A7"/>
    <w:rsid w:val="00FE714F"/>
    <w:rsid w:val="00FE7C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D5A0FB"/>
  <w15:docId w15:val="{24C475BE-32FD-4D4C-85CB-0DF9B8BE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5B9E"/>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qFormat/>
    <w:rsid w:val="00DE5B9E"/>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DE5B9E"/>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DE5B9E"/>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nhideWhenUsed/>
    <w:qFormat/>
    <w:rsid w:val="00DE5B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E5B9E"/>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E5B9E"/>
    <w:pPr>
      <w:keepNext/>
      <w:outlineLvl w:val="6"/>
    </w:pPr>
    <w:rPr>
      <w:b/>
      <w:bCs/>
      <w:sz w:val="24"/>
      <w:szCs w:val="24"/>
      <w:lang w:val="en-GB"/>
    </w:rPr>
  </w:style>
  <w:style w:type="paragraph" w:styleId="Heading8">
    <w:name w:val="heading 8"/>
    <w:basedOn w:val="Normal"/>
    <w:next w:val="Normal"/>
    <w:link w:val="Heading8Char"/>
    <w:qFormat/>
    <w:rsid w:val="00DE5B9E"/>
    <w:pPr>
      <w:tabs>
        <w:tab w:val="left" w:pos="0"/>
      </w:tabs>
      <w:jc w:val="center"/>
      <w:outlineLvl w:val="7"/>
    </w:pPr>
    <w:rPr>
      <w:b/>
      <w:sz w:val="18"/>
      <w:lang w:val="en-AU"/>
    </w:rPr>
  </w:style>
  <w:style w:type="paragraph" w:styleId="Heading9">
    <w:name w:val="heading 9"/>
    <w:basedOn w:val="Normal"/>
    <w:next w:val="Normal"/>
    <w:link w:val="Heading9Char"/>
    <w:qFormat/>
    <w:rsid w:val="00DE5B9E"/>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DE5B9E"/>
    <w:rPr>
      <w:rFonts w:ascii="Arial" w:hAnsi="Arial" w:cs="Times New Roman"/>
      <w:b/>
      <w:bCs/>
      <w:color w:val="365F91"/>
      <w:sz w:val="20"/>
      <w:szCs w:val="28"/>
    </w:rPr>
  </w:style>
  <w:style w:type="character" w:customStyle="1" w:styleId="Heading2Char">
    <w:name w:val="Heading 2 Char"/>
    <w:basedOn w:val="DefaultParagraphFont"/>
    <w:link w:val="Heading2"/>
    <w:uiPriority w:val="9"/>
    <w:locked/>
    <w:rsid w:val="00DE5B9E"/>
    <w:rPr>
      <w:rFonts w:ascii="Arial" w:hAnsi="Arial" w:cs="Times New Roman"/>
      <w:b/>
      <w:bCs/>
      <w:color w:val="4F81BD"/>
      <w:sz w:val="20"/>
      <w:szCs w:val="26"/>
    </w:rPr>
  </w:style>
  <w:style w:type="character" w:customStyle="1" w:styleId="Heading3Char">
    <w:name w:val="Heading 3 Char"/>
    <w:basedOn w:val="DefaultParagraphFont"/>
    <w:link w:val="Heading3"/>
    <w:uiPriority w:val="9"/>
    <w:locked/>
    <w:rsid w:val="00DE5B9E"/>
    <w:rPr>
      <w:rFonts w:ascii="Cambria" w:hAnsi="Cambria" w:cs="Times New Roman"/>
      <w:b/>
      <w:bCs/>
      <w:color w:val="4F81BD"/>
      <w:sz w:val="20"/>
      <w:szCs w:val="20"/>
    </w:rPr>
  </w:style>
  <w:style w:type="character" w:customStyle="1" w:styleId="Heading4Char">
    <w:name w:val="Heading 4 Char"/>
    <w:basedOn w:val="DefaultParagraphFont"/>
    <w:link w:val="Heading4"/>
    <w:locked/>
    <w:rsid w:val="00DE5B9E"/>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locked/>
    <w:rsid w:val="00DE5B9E"/>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locked/>
    <w:rsid w:val="00DE5B9E"/>
    <w:rPr>
      <w:rFonts w:ascii="Times New Roman" w:hAnsi="Times New Roman" w:cs="Times New Roman"/>
      <w:b/>
      <w:bCs/>
      <w:sz w:val="24"/>
      <w:szCs w:val="24"/>
      <w:lang w:val="en-GB"/>
    </w:rPr>
  </w:style>
  <w:style w:type="character" w:customStyle="1" w:styleId="Heading8Char">
    <w:name w:val="Heading 8 Char"/>
    <w:basedOn w:val="DefaultParagraphFont"/>
    <w:link w:val="Heading8"/>
    <w:locked/>
    <w:rsid w:val="00DE5B9E"/>
    <w:rPr>
      <w:rFonts w:ascii="Times New Roman" w:hAnsi="Times New Roman" w:cs="Times New Roman"/>
      <w:b/>
      <w:sz w:val="18"/>
      <w:szCs w:val="20"/>
      <w:lang w:val="en-AU"/>
    </w:rPr>
  </w:style>
  <w:style w:type="character" w:customStyle="1" w:styleId="Heading9Char">
    <w:name w:val="Heading 9 Char"/>
    <w:basedOn w:val="DefaultParagraphFont"/>
    <w:link w:val="Heading9"/>
    <w:locked/>
    <w:rsid w:val="00DE5B9E"/>
    <w:rPr>
      <w:rFonts w:ascii="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DE5B9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5B9E"/>
    <w:rPr>
      <w:rFonts w:ascii="Tahoma" w:hAnsi="Tahoma" w:cs="Tahoma"/>
      <w:sz w:val="16"/>
      <w:szCs w:val="16"/>
    </w:rPr>
  </w:style>
  <w:style w:type="paragraph" w:customStyle="1" w:styleId="MainTitle">
    <w:name w:val="MainTitle"/>
    <w:basedOn w:val="Normal"/>
    <w:link w:val="MainTitleChar"/>
    <w:uiPriority w:val="99"/>
    <w:rsid w:val="00DE5B9E"/>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locked/>
    <w:rsid w:val="00DE5B9E"/>
    <w:rPr>
      <w:rFonts w:ascii="Arial" w:eastAsiaTheme="minorHAnsi" w:hAnsi="Arial" w:cs="Arial"/>
      <w:b/>
      <w:bCs/>
      <w:caps/>
      <w:color w:val="000000"/>
      <w:sz w:val="28"/>
      <w:szCs w:val="28"/>
    </w:rPr>
  </w:style>
  <w:style w:type="paragraph" w:customStyle="1" w:styleId="CopyrightStatement">
    <w:name w:val="CopyrightStatement"/>
    <w:basedOn w:val="Normal"/>
    <w:uiPriority w:val="99"/>
    <w:rsid w:val="00DE5B9E"/>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DE5B9E"/>
    <w:pPr>
      <w:jc w:val="both"/>
    </w:pPr>
    <w:rPr>
      <w:sz w:val="22"/>
      <w:szCs w:val="22"/>
    </w:rPr>
  </w:style>
  <w:style w:type="character" w:customStyle="1" w:styleId="BodyTextMainChar">
    <w:name w:val="Body Text Main Char"/>
    <w:basedOn w:val="DefaultParagraphFont"/>
    <w:link w:val="BodyTextMain"/>
    <w:locked/>
    <w:rsid w:val="00DE5B9E"/>
    <w:rPr>
      <w:rFonts w:ascii="Times New Roman" w:hAnsi="Times New Roman" w:cs="Times New Roman"/>
    </w:rPr>
  </w:style>
  <w:style w:type="paragraph" w:customStyle="1" w:styleId="Casehead1">
    <w:name w:val="Casehead 1"/>
    <w:basedOn w:val="BodyTextMain"/>
    <w:link w:val="Casehead1Char"/>
    <w:qFormat/>
    <w:rsid w:val="00DE5B9E"/>
    <w:rPr>
      <w:rFonts w:ascii="Arial" w:hAnsi="Arial" w:cs="Arial"/>
      <w:b/>
      <w:caps/>
      <w:sz w:val="20"/>
      <w:szCs w:val="20"/>
    </w:rPr>
  </w:style>
  <w:style w:type="character" w:customStyle="1" w:styleId="Casehead1Char">
    <w:name w:val="Casehead 1 Char"/>
    <w:basedOn w:val="BodyTextMainChar"/>
    <w:link w:val="Casehead1"/>
    <w:locked/>
    <w:rsid w:val="00DE5B9E"/>
    <w:rPr>
      <w:rFonts w:ascii="Arial" w:hAnsi="Arial" w:cs="Arial"/>
      <w:b/>
      <w:caps/>
      <w:sz w:val="20"/>
      <w:szCs w:val="20"/>
    </w:rPr>
  </w:style>
  <w:style w:type="paragraph" w:customStyle="1" w:styleId="Casehead2">
    <w:name w:val="Casehead 2"/>
    <w:basedOn w:val="Casehead1"/>
    <w:link w:val="Casehead2Char"/>
    <w:qFormat/>
    <w:rsid w:val="00DE5B9E"/>
    <w:rPr>
      <w:caps w:val="0"/>
    </w:rPr>
  </w:style>
  <w:style w:type="character" w:customStyle="1" w:styleId="Casehead2Char">
    <w:name w:val="Casehead 2 Char"/>
    <w:basedOn w:val="Casehead1Char"/>
    <w:link w:val="Casehead2"/>
    <w:locked/>
    <w:rsid w:val="00DE5B9E"/>
    <w:rPr>
      <w:rFonts w:ascii="Arial" w:hAnsi="Arial" w:cs="Arial"/>
      <w:b/>
      <w:caps w:val="0"/>
      <w:sz w:val="20"/>
      <w:szCs w:val="20"/>
    </w:rPr>
  </w:style>
  <w:style w:type="paragraph" w:customStyle="1" w:styleId="Casehead3">
    <w:name w:val="Casehead 3"/>
    <w:basedOn w:val="Casehead2"/>
    <w:link w:val="Casehead3Char"/>
    <w:qFormat/>
    <w:rsid w:val="00DE5B9E"/>
    <w:rPr>
      <w:rFonts w:ascii="Times New Roman" w:hAnsi="Times New Roman" w:cs="Times New Roman"/>
      <w:b w:val="0"/>
      <w:u w:val="single"/>
    </w:rPr>
  </w:style>
  <w:style w:type="character" w:customStyle="1" w:styleId="Casehead3Char">
    <w:name w:val="Casehead 3 Char"/>
    <w:basedOn w:val="Casehead2Char"/>
    <w:link w:val="Casehead3"/>
    <w:locked/>
    <w:rsid w:val="00DE5B9E"/>
    <w:rPr>
      <w:rFonts w:ascii="Times New Roman" w:hAnsi="Times New Roman" w:cs="Times New Roman"/>
      <w:b w:val="0"/>
      <w:caps w:val="0"/>
      <w:sz w:val="20"/>
      <w:szCs w:val="20"/>
      <w:u w:val="single"/>
    </w:rPr>
  </w:style>
  <w:style w:type="paragraph" w:customStyle="1" w:styleId="Casehead4">
    <w:name w:val="Casehead 4"/>
    <w:basedOn w:val="Casehead3"/>
    <w:link w:val="Casehead4Char"/>
    <w:qFormat/>
    <w:rsid w:val="00DE5B9E"/>
    <w:rPr>
      <w:i/>
    </w:rPr>
  </w:style>
  <w:style w:type="character" w:customStyle="1" w:styleId="Casehead4Char">
    <w:name w:val="Casehead 4 Char"/>
    <w:basedOn w:val="Casehead3Char"/>
    <w:link w:val="Casehead4"/>
    <w:locked/>
    <w:rsid w:val="00DE5B9E"/>
    <w:rPr>
      <w:rFonts w:ascii="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DE5B9E"/>
  </w:style>
  <w:style w:type="character" w:customStyle="1" w:styleId="FootnoteTextChar">
    <w:name w:val="Footnote Text Char"/>
    <w:basedOn w:val="DefaultParagraphFont"/>
    <w:link w:val="FootnoteText"/>
    <w:uiPriority w:val="99"/>
    <w:locked/>
    <w:rsid w:val="00DE5B9E"/>
    <w:rPr>
      <w:rFonts w:ascii="Times New Roman" w:hAnsi="Times New Roman" w:cs="Times New Roman"/>
      <w:sz w:val="20"/>
      <w:szCs w:val="20"/>
    </w:rPr>
  </w:style>
  <w:style w:type="character" w:styleId="FootnoteReference">
    <w:name w:val="footnote reference"/>
    <w:basedOn w:val="DefaultParagraphFont"/>
    <w:uiPriority w:val="99"/>
    <w:unhideWhenUsed/>
    <w:rsid w:val="00DE5B9E"/>
    <w:rPr>
      <w:vertAlign w:val="superscript"/>
    </w:rPr>
  </w:style>
  <w:style w:type="paragraph" w:customStyle="1" w:styleId="Footnote">
    <w:name w:val="Footnote"/>
    <w:basedOn w:val="FootnoteText"/>
    <w:link w:val="FootnoteChar"/>
    <w:qFormat/>
    <w:rsid w:val="00DE5B9E"/>
    <w:pPr>
      <w:jc w:val="both"/>
    </w:pPr>
    <w:rPr>
      <w:rFonts w:ascii="Arial" w:hAnsi="Arial" w:cs="Arial"/>
      <w:sz w:val="17"/>
      <w:szCs w:val="17"/>
    </w:rPr>
  </w:style>
  <w:style w:type="character" w:customStyle="1" w:styleId="FootnoteChar">
    <w:name w:val="Footnote Char"/>
    <w:basedOn w:val="FootnoteTextChar"/>
    <w:link w:val="Footnote"/>
    <w:locked/>
    <w:rsid w:val="00DE5B9E"/>
    <w:rPr>
      <w:rFonts w:ascii="Arial" w:hAnsi="Arial" w:cs="Arial"/>
      <w:sz w:val="17"/>
      <w:szCs w:val="17"/>
    </w:rPr>
  </w:style>
  <w:style w:type="paragraph" w:customStyle="1" w:styleId="Quotation3Lines">
    <w:name w:val="Quotation (3+ Lines)"/>
    <w:basedOn w:val="BodyTextMain"/>
    <w:link w:val="Quotation3LinesChar"/>
    <w:qFormat/>
    <w:rsid w:val="00DE5B9E"/>
    <w:pPr>
      <w:ind w:left="720" w:right="720"/>
    </w:pPr>
  </w:style>
  <w:style w:type="character" w:customStyle="1" w:styleId="Quotation3LinesChar">
    <w:name w:val="Quotation (3+ Lines) Char"/>
    <w:basedOn w:val="BodyTextMainChar"/>
    <w:link w:val="Quotation3Lines"/>
    <w:locked/>
    <w:rsid w:val="00DE5B9E"/>
    <w:rPr>
      <w:rFonts w:ascii="Times New Roman" w:hAnsi="Times New Roman" w:cs="Times New Roman"/>
    </w:rPr>
  </w:style>
  <w:style w:type="paragraph" w:customStyle="1" w:styleId="ExhibitNumber">
    <w:name w:val="Exhibit Number"/>
    <w:basedOn w:val="BodyTextMain"/>
    <w:link w:val="ExhibitNumberChar"/>
    <w:qFormat/>
    <w:rsid w:val="00DE5B9E"/>
    <w:pPr>
      <w:jc w:val="center"/>
    </w:pPr>
    <w:rPr>
      <w:rFonts w:ascii="Arial" w:hAnsi="Arial" w:cs="Arial"/>
      <w:b/>
      <w:sz w:val="20"/>
      <w:szCs w:val="20"/>
    </w:rPr>
  </w:style>
  <w:style w:type="character" w:customStyle="1" w:styleId="ExhibitNumberChar">
    <w:name w:val="Exhibit Number Char"/>
    <w:basedOn w:val="BodyTextMainChar"/>
    <w:link w:val="ExhibitNumber"/>
    <w:locked/>
    <w:rsid w:val="00DE5B9E"/>
    <w:rPr>
      <w:rFonts w:ascii="Arial" w:hAnsi="Arial" w:cs="Arial"/>
      <w:b/>
      <w:sz w:val="20"/>
      <w:szCs w:val="20"/>
    </w:rPr>
  </w:style>
  <w:style w:type="paragraph" w:customStyle="1" w:styleId="ExhibitHeading">
    <w:name w:val="Exhibit Heading"/>
    <w:basedOn w:val="BodyTextMain"/>
    <w:link w:val="ExhibitHeadingChar"/>
    <w:qFormat/>
    <w:rsid w:val="00DE5B9E"/>
    <w:pPr>
      <w:jc w:val="center"/>
    </w:pPr>
    <w:rPr>
      <w:rFonts w:ascii="Arial" w:hAnsi="Arial" w:cs="Arial"/>
      <w:b/>
      <w:caps/>
      <w:sz w:val="20"/>
      <w:szCs w:val="20"/>
    </w:rPr>
  </w:style>
  <w:style w:type="character" w:customStyle="1" w:styleId="ExhibitHeadingChar">
    <w:name w:val="Exhibit Heading Char"/>
    <w:basedOn w:val="BodyTextMainChar"/>
    <w:link w:val="ExhibitHeading"/>
    <w:locked/>
    <w:rsid w:val="00DE5B9E"/>
    <w:rPr>
      <w:rFonts w:ascii="Arial" w:hAnsi="Arial" w:cs="Arial"/>
      <w:b/>
      <w:caps/>
      <w:sz w:val="20"/>
      <w:szCs w:val="20"/>
    </w:rPr>
  </w:style>
  <w:style w:type="paragraph" w:customStyle="1" w:styleId="CaseTitle">
    <w:name w:val="Case Title"/>
    <w:basedOn w:val="MainTitle"/>
    <w:link w:val="CaseTitleChar"/>
    <w:qFormat/>
    <w:rsid w:val="00DE5B9E"/>
  </w:style>
  <w:style w:type="character" w:customStyle="1" w:styleId="CaseTitleChar">
    <w:name w:val="Case Title Char"/>
    <w:basedOn w:val="MainTitleChar"/>
    <w:link w:val="CaseTitle"/>
    <w:locked/>
    <w:rsid w:val="00DE5B9E"/>
    <w:rPr>
      <w:rFonts w:ascii="Arial" w:eastAsiaTheme="minorHAnsi" w:hAnsi="Arial" w:cs="Arial"/>
      <w:b/>
      <w:bCs/>
      <w:caps/>
      <w:color w:val="000000"/>
      <w:sz w:val="28"/>
      <w:szCs w:val="28"/>
    </w:rPr>
  </w:style>
  <w:style w:type="paragraph" w:customStyle="1" w:styleId="TeachingNoteTitle">
    <w:name w:val="Teaching Note Title"/>
    <w:basedOn w:val="CaseTitle"/>
    <w:link w:val="TeachingNoteTitleChar"/>
    <w:qFormat/>
    <w:rsid w:val="00DE5B9E"/>
    <w:pPr>
      <w:jc w:val="center"/>
    </w:pPr>
  </w:style>
  <w:style w:type="character" w:customStyle="1" w:styleId="TeachingNoteTitleChar">
    <w:name w:val="Teaching Note Title Char"/>
    <w:basedOn w:val="CaseTitleChar"/>
    <w:link w:val="TeachingNoteTitle"/>
    <w:locked/>
    <w:rsid w:val="00DE5B9E"/>
    <w:rPr>
      <w:rFonts w:ascii="Arial" w:eastAsiaTheme="minorHAnsi" w:hAnsi="Arial" w:cs="Arial"/>
      <w:b/>
      <w:bCs/>
      <w:caps/>
      <w:color w:val="000000"/>
      <w:sz w:val="28"/>
      <w:szCs w:val="28"/>
    </w:rPr>
  </w:style>
  <w:style w:type="paragraph" w:customStyle="1" w:styleId="ProductNumber">
    <w:name w:val="Product Number"/>
    <w:basedOn w:val="Normal"/>
    <w:link w:val="ProductNumberChar"/>
    <w:qFormat/>
    <w:rsid w:val="00DE5B9E"/>
    <w:pPr>
      <w:jc w:val="right"/>
    </w:pPr>
    <w:rPr>
      <w:rFonts w:ascii="Arial" w:hAnsi="Arial"/>
      <w:b/>
      <w:caps/>
      <w:sz w:val="24"/>
    </w:rPr>
  </w:style>
  <w:style w:type="character" w:customStyle="1" w:styleId="ProductNumberChar">
    <w:name w:val="Product Number Char"/>
    <w:basedOn w:val="DefaultParagraphFont"/>
    <w:link w:val="ProductNumber"/>
    <w:locked/>
    <w:rsid w:val="00DE5B9E"/>
    <w:rPr>
      <w:rFonts w:ascii="Arial" w:hAnsi="Arial" w:cs="Times New Roman"/>
      <w:b/>
      <w:caps/>
      <w:sz w:val="24"/>
      <w:szCs w:val="20"/>
    </w:rPr>
  </w:style>
  <w:style w:type="paragraph" w:customStyle="1" w:styleId="ExhibitText">
    <w:name w:val="Exhibit Text"/>
    <w:basedOn w:val="BodyTextMain"/>
    <w:link w:val="ExhibitTextChar"/>
    <w:qFormat/>
    <w:rsid w:val="00DE5B9E"/>
    <w:rPr>
      <w:rFonts w:ascii="Arial" w:hAnsi="Arial" w:cs="Arial"/>
      <w:sz w:val="20"/>
      <w:szCs w:val="20"/>
    </w:rPr>
  </w:style>
  <w:style w:type="character" w:customStyle="1" w:styleId="ExhibitTextChar">
    <w:name w:val="Exhibit Text Char"/>
    <w:basedOn w:val="BodyTextMainChar"/>
    <w:link w:val="ExhibitText"/>
    <w:locked/>
    <w:rsid w:val="00DE5B9E"/>
    <w:rPr>
      <w:rFonts w:ascii="Arial" w:hAnsi="Arial" w:cs="Arial"/>
      <w:sz w:val="20"/>
      <w:szCs w:val="20"/>
    </w:rPr>
  </w:style>
  <w:style w:type="paragraph" w:styleId="Header">
    <w:name w:val="header"/>
    <w:basedOn w:val="Normal"/>
    <w:link w:val="HeaderChar"/>
    <w:uiPriority w:val="99"/>
    <w:unhideWhenUsed/>
    <w:rsid w:val="00DE5B9E"/>
    <w:pPr>
      <w:tabs>
        <w:tab w:val="center" w:pos="4680"/>
        <w:tab w:val="right" w:pos="9360"/>
      </w:tabs>
    </w:pPr>
  </w:style>
  <w:style w:type="character" w:customStyle="1" w:styleId="HeaderChar">
    <w:name w:val="Header Char"/>
    <w:basedOn w:val="DefaultParagraphFont"/>
    <w:link w:val="Header"/>
    <w:uiPriority w:val="99"/>
    <w:locked/>
    <w:rsid w:val="00DE5B9E"/>
    <w:rPr>
      <w:rFonts w:ascii="Times New Roman" w:hAnsi="Times New Roman" w:cs="Times New Roman"/>
      <w:sz w:val="20"/>
      <w:szCs w:val="20"/>
    </w:rPr>
  </w:style>
  <w:style w:type="paragraph" w:styleId="Footer">
    <w:name w:val="footer"/>
    <w:basedOn w:val="Normal"/>
    <w:link w:val="FooterChar"/>
    <w:uiPriority w:val="99"/>
    <w:unhideWhenUsed/>
    <w:rsid w:val="00DE5B9E"/>
    <w:pPr>
      <w:tabs>
        <w:tab w:val="center" w:pos="4680"/>
        <w:tab w:val="right" w:pos="9360"/>
      </w:tabs>
    </w:pPr>
  </w:style>
  <w:style w:type="character" w:customStyle="1" w:styleId="FooterChar">
    <w:name w:val="Footer Char"/>
    <w:basedOn w:val="DefaultParagraphFont"/>
    <w:link w:val="Footer"/>
    <w:uiPriority w:val="99"/>
    <w:locked/>
    <w:rsid w:val="00DE5B9E"/>
    <w:rPr>
      <w:rFonts w:ascii="Times New Roman" w:hAnsi="Times New Roman" w:cs="Times New Roman"/>
      <w:sz w:val="20"/>
      <w:szCs w:val="20"/>
    </w:rPr>
  </w:style>
  <w:style w:type="character" w:styleId="Hyperlink">
    <w:name w:val="Hyperlink"/>
    <w:basedOn w:val="DefaultParagraphFont"/>
    <w:uiPriority w:val="99"/>
    <w:unhideWhenUsed/>
    <w:rsid w:val="00DE5B9E"/>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DE5B9E"/>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DE5B9E"/>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DE5B9E"/>
    <w:pPr>
      <w:pBdr>
        <w:top w:val="none" w:sz="0" w:space="0" w:color="auto"/>
      </w:pBdr>
    </w:pPr>
  </w:style>
  <w:style w:type="paragraph" w:styleId="BodyText">
    <w:name w:val="Body Text"/>
    <w:basedOn w:val="Normal"/>
    <w:link w:val="BodyTextChar"/>
    <w:unhideWhenUsed/>
    <w:rsid w:val="00DE5B9E"/>
    <w:pPr>
      <w:spacing w:after="120"/>
    </w:pPr>
  </w:style>
  <w:style w:type="character" w:customStyle="1" w:styleId="BodyTextChar">
    <w:name w:val="Body Text Char"/>
    <w:basedOn w:val="DefaultParagraphFont"/>
    <w:link w:val="BodyText"/>
    <w:locked/>
    <w:rsid w:val="00DE5B9E"/>
    <w:rPr>
      <w:rFonts w:ascii="Times New Roman" w:hAnsi="Times New Roman" w:cs="Times New Roman"/>
      <w:sz w:val="20"/>
      <w:szCs w:val="20"/>
    </w:rPr>
  </w:style>
  <w:style w:type="paragraph" w:styleId="ListParagraph">
    <w:name w:val="List Paragraph"/>
    <w:basedOn w:val="Normal"/>
    <w:uiPriority w:val="34"/>
    <w:qFormat/>
    <w:rsid w:val="00DE5B9E"/>
    <w:pPr>
      <w:ind w:left="720"/>
      <w:contextualSpacing/>
      <w:jc w:val="both"/>
    </w:pPr>
    <w:rPr>
      <w:rFonts w:eastAsia="Calibri"/>
      <w:sz w:val="22"/>
      <w:szCs w:val="22"/>
    </w:rPr>
  </w:style>
  <w:style w:type="character" w:styleId="CommentReference">
    <w:name w:val="annotation reference"/>
    <w:uiPriority w:val="99"/>
    <w:semiHidden/>
    <w:unhideWhenUsed/>
    <w:rsid w:val="00DE5B9E"/>
    <w:rPr>
      <w:sz w:val="16"/>
      <w:szCs w:val="16"/>
    </w:rPr>
  </w:style>
  <w:style w:type="paragraph" w:styleId="CommentText">
    <w:name w:val="annotation text"/>
    <w:basedOn w:val="Normal"/>
    <w:link w:val="CommentTextChar"/>
    <w:uiPriority w:val="99"/>
    <w:semiHidden/>
    <w:unhideWhenUsed/>
    <w:rsid w:val="00DE5B9E"/>
  </w:style>
  <w:style w:type="character" w:customStyle="1" w:styleId="CommentTextChar">
    <w:name w:val="Comment Text Char"/>
    <w:basedOn w:val="DefaultParagraphFont"/>
    <w:link w:val="CommentText"/>
    <w:uiPriority w:val="99"/>
    <w:semiHidden/>
    <w:locked/>
    <w:rsid w:val="00DE5B9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5B9E"/>
    <w:rPr>
      <w:b/>
      <w:bCs/>
    </w:rPr>
  </w:style>
  <w:style w:type="character" w:customStyle="1" w:styleId="CommentSubjectChar">
    <w:name w:val="Comment Subject Char"/>
    <w:basedOn w:val="CommentTextChar"/>
    <w:link w:val="CommentSubject"/>
    <w:uiPriority w:val="99"/>
    <w:semiHidden/>
    <w:locked/>
    <w:rsid w:val="00DE5B9E"/>
    <w:rPr>
      <w:rFonts w:ascii="Times New Roman" w:hAnsi="Times New Roman" w:cs="Times New Roman"/>
      <w:b/>
      <w:bCs/>
      <w:sz w:val="20"/>
      <w:szCs w:val="20"/>
    </w:rPr>
  </w:style>
  <w:style w:type="paragraph" w:customStyle="1" w:styleId="FootnoteText1">
    <w:name w:val="Footnote Text1"/>
    <w:basedOn w:val="Normal"/>
    <w:next w:val="BodyText"/>
    <w:uiPriority w:val="99"/>
    <w:rsid w:val="00DE5B9E"/>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DE5B9E"/>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DE5B9E"/>
  </w:style>
  <w:style w:type="character" w:customStyle="1" w:styleId="apple-converted-space">
    <w:name w:val="apple-converted-space"/>
    <w:basedOn w:val="DefaultParagraphFont"/>
    <w:rsid w:val="00DE5B9E"/>
  </w:style>
  <w:style w:type="character" w:styleId="Strong">
    <w:name w:val="Strong"/>
    <w:uiPriority w:val="22"/>
    <w:qFormat/>
    <w:rsid w:val="00DE5B9E"/>
    <w:rPr>
      <w:b/>
      <w:bCs/>
    </w:rPr>
  </w:style>
  <w:style w:type="character" w:styleId="IntenseReference">
    <w:name w:val="Intense Reference"/>
    <w:uiPriority w:val="32"/>
    <w:qFormat/>
    <w:rsid w:val="00DE5B9E"/>
    <w:rPr>
      <w:b/>
      <w:bCs/>
      <w:smallCaps/>
      <w:color w:val="C0504D"/>
      <w:spacing w:val="5"/>
      <w:u w:val="single"/>
    </w:rPr>
  </w:style>
  <w:style w:type="paragraph" w:styleId="EndnoteText">
    <w:name w:val="endnote text"/>
    <w:basedOn w:val="Normal"/>
    <w:link w:val="EndnoteTextChar"/>
    <w:uiPriority w:val="99"/>
    <w:unhideWhenUsed/>
    <w:rsid w:val="00DE5B9E"/>
    <w:rPr>
      <w:rFonts w:ascii="Calibri" w:eastAsia="Calibri" w:hAnsi="Calibri"/>
    </w:rPr>
  </w:style>
  <w:style w:type="character" w:customStyle="1" w:styleId="EndnoteTextChar">
    <w:name w:val="Endnote Text Char"/>
    <w:basedOn w:val="DefaultParagraphFont"/>
    <w:link w:val="EndnoteText"/>
    <w:uiPriority w:val="99"/>
    <w:locked/>
    <w:rsid w:val="00DE5B9E"/>
    <w:rPr>
      <w:rFonts w:ascii="Calibri" w:eastAsia="Calibri" w:hAnsi="Calibri" w:cs="Times New Roman"/>
      <w:sz w:val="20"/>
      <w:szCs w:val="20"/>
    </w:rPr>
  </w:style>
  <w:style w:type="character" w:styleId="EndnoteReference">
    <w:name w:val="endnote reference"/>
    <w:uiPriority w:val="99"/>
    <w:unhideWhenUsed/>
    <w:qFormat/>
    <w:rsid w:val="00DE5B9E"/>
    <w:rPr>
      <w:vertAlign w:val="superscript"/>
    </w:rPr>
  </w:style>
  <w:style w:type="paragraph" w:styleId="NoSpacing">
    <w:name w:val="No Spacing"/>
    <w:link w:val="NoSpacingChar"/>
    <w:uiPriority w:val="1"/>
    <w:qFormat/>
    <w:rsid w:val="00DE5B9E"/>
    <w:pPr>
      <w:spacing w:after="0" w:line="240" w:lineRule="auto"/>
    </w:pPr>
    <w:rPr>
      <w:rFonts w:ascii="Calibri" w:eastAsia="Calibri" w:hAnsi="Calibri" w:cs="Times New Roman"/>
      <w:lang w:val="en-IN"/>
    </w:rPr>
  </w:style>
  <w:style w:type="character" w:customStyle="1" w:styleId="NoSpacingChar">
    <w:name w:val="No Spacing Char"/>
    <w:link w:val="NoSpacing"/>
    <w:uiPriority w:val="1"/>
    <w:locked/>
    <w:rsid w:val="00DE5B9E"/>
    <w:rPr>
      <w:rFonts w:ascii="Calibri" w:eastAsia="Calibri" w:hAnsi="Calibri" w:cs="Times New Roman"/>
      <w:lang w:val="en-IN"/>
    </w:rPr>
  </w:style>
  <w:style w:type="character" w:styleId="FollowedHyperlink">
    <w:name w:val="FollowedHyperlink"/>
    <w:uiPriority w:val="99"/>
    <w:semiHidden/>
    <w:unhideWhenUsed/>
    <w:rsid w:val="00DE5B9E"/>
    <w:rPr>
      <w:color w:val="800080"/>
      <w:u w:val="single"/>
    </w:rPr>
  </w:style>
  <w:style w:type="paragraph" w:customStyle="1" w:styleId="Casehead40">
    <w:name w:val="Casehead4"/>
    <w:basedOn w:val="Normal"/>
    <w:next w:val="Normal"/>
    <w:rsid w:val="00DE5B9E"/>
    <w:pPr>
      <w:tabs>
        <w:tab w:val="left" w:pos="-1440"/>
        <w:tab w:val="left" w:pos="-720"/>
        <w:tab w:val="left" w:pos="1"/>
      </w:tabs>
      <w:jc w:val="both"/>
    </w:pPr>
    <w:rPr>
      <w:i/>
      <w:noProof/>
      <w:sz w:val="24"/>
    </w:rPr>
  </w:style>
  <w:style w:type="table" w:styleId="TableGrid">
    <w:name w:val="Table Grid"/>
    <w:basedOn w:val="TableNormal"/>
    <w:uiPriority w:val="59"/>
    <w:rsid w:val="00DE5B9E"/>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5B9E"/>
    <w:pPr>
      <w:spacing w:after="120"/>
      <w:ind w:left="360"/>
    </w:pPr>
  </w:style>
  <w:style w:type="character" w:customStyle="1" w:styleId="BodyTextIndentChar">
    <w:name w:val="Body Text Indent Char"/>
    <w:basedOn w:val="DefaultParagraphFont"/>
    <w:link w:val="BodyTextIndent"/>
    <w:locked/>
    <w:rsid w:val="00DE5B9E"/>
    <w:rPr>
      <w:rFonts w:ascii="Times New Roman" w:hAnsi="Times New Roman" w:cs="Times New Roman"/>
      <w:sz w:val="20"/>
      <w:szCs w:val="20"/>
    </w:rPr>
  </w:style>
  <w:style w:type="paragraph" w:customStyle="1" w:styleId="NormalJustified">
    <w:name w:val="Normal + Justified"/>
    <w:basedOn w:val="BodyText"/>
    <w:rsid w:val="00DE5B9E"/>
    <w:pPr>
      <w:spacing w:after="0"/>
      <w:jc w:val="both"/>
    </w:pPr>
    <w:rPr>
      <w:sz w:val="24"/>
      <w:szCs w:val="24"/>
    </w:rPr>
  </w:style>
  <w:style w:type="paragraph" w:customStyle="1" w:styleId="nsource1">
    <w:name w:val="nsource1"/>
    <w:basedOn w:val="Normal"/>
    <w:rsid w:val="00DE5B9E"/>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DE5B9E"/>
    <w:pPr>
      <w:spacing w:after="120"/>
      <w:ind w:left="360"/>
    </w:pPr>
    <w:rPr>
      <w:sz w:val="16"/>
      <w:szCs w:val="16"/>
    </w:rPr>
  </w:style>
  <w:style w:type="character" w:customStyle="1" w:styleId="BodyTextIndent3Char">
    <w:name w:val="Body Text Indent 3 Char"/>
    <w:basedOn w:val="DefaultParagraphFont"/>
    <w:link w:val="BodyTextIndent3"/>
    <w:locked/>
    <w:rsid w:val="00DE5B9E"/>
    <w:rPr>
      <w:rFonts w:ascii="Times New Roman" w:hAnsi="Times New Roman" w:cs="Times New Roman"/>
      <w:sz w:val="16"/>
      <w:szCs w:val="16"/>
    </w:rPr>
  </w:style>
  <w:style w:type="character" w:styleId="PageNumber">
    <w:name w:val="page number"/>
    <w:basedOn w:val="DefaultParagraphFont"/>
    <w:rsid w:val="00DE5B9E"/>
  </w:style>
  <w:style w:type="paragraph" w:styleId="Title">
    <w:name w:val="Title"/>
    <w:basedOn w:val="Normal"/>
    <w:link w:val="TitleChar"/>
    <w:qFormat/>
    <w:rsid w:val="00DE5B9E"/>
    <w:pPr>
      <w:spacing w:after="240"/>
      <w:jc w:val="center"/>
    </w:pPr>
    <w:rPr>
      <w:b/>
      <w:sz w:val="24"/>
      <w:lang w:val="en-AU"/>
    </w:rPr>
  </w:style>
  <w:style w:type="character" w:customStyle="1" w:styleId="TitleChar">
    <w:name w:val="Title Char"/>
    <w:basedOn w:val="DefaultParagraphFont"/>
    <w:link w:val="Title"/>
    <w:locked/>
    <w:rsid w:val="00DE5B9E"/>
    <w:rPr>
      <w:rFonts w:ascii="Times New Roman" w:hAnsi="Times New Roman" w:cs="Times New Roman"/>
      <w:b/>
      <w:sz w:val="24"/>
      <w:szCs w:val="20"/>
      <w:lang w:val="en-AU"/>
    </w:rPr>
  </w:style>
  <w:style w:type="character" w:styleId="Emphasis">
    <w:name w:val="Emphasis"/>
    <w:uiPriority w:val="20"/>
    <w:qFormat/>
    <w:rsid w:val="00DE5B9E"/>
    <w:rPr>
      <w:i/>
      <w:iCs/>
    </w:rPr>
  </w:style>
  <w:style w:type="character" w:customStyle="1" w:styleId="citation">
    <w:name w:val="citation"/>
    <w:basedOn w:val="DefaultParagraphFont"/>
    <w:rsid w:val="00DE5B9E"/>
  </w:style>
  <w:style w:type="character" w:customStyle="1" w:styleId="reference-accessdate">
    <w:name w:val="reference-accessdate"/>
    <w:basedOn w:val="DefaultParagraphFont"/>
    <w:rsid w:val="00DE5B9E"/>
  </w:style>
  <w:style w:type="character" w:customStyle="1" w:styleId="xn-person">
    <w:name w:val="xn-person"/>
    <w:basedOn w:val="DefaultParagraphFont"/>
    <w:rsid w:val="00DE5B9E"/>
  </w:style>
  <w:style w:type="character" w:customStyle="1" w:styleId="bold01">
    <w:name w:val="bold_01"/>
    <w:basedOn w:val="DefaultParagraphFont"/>
    <w:rsid w:val="00DE5B9E"/>
  </w:style>
  <w:style w:type="character" w:customStyle="1" w:styleId="cst-tbl-subtitle">
    <w:name w:val="cst-tbl-subtitle"/>
    <w:basedOn w:val="DefaultParagraphFont"/>
    <w:rsid w:val="00DE5B9E"/>
  </w:style>
  <w:style w:type="paragraph" w:styleId="Revision">
    <w:name w:val="Revision"/>
    <w:hidden/>
    <w:uiPriority w:val="99"/>
    <w:semiHidden/>
    <w:rsid w:val="0023081A"/>
    <w:pPr>
      <w:spacing w:after="0" w:line="240" w:lineRule="auto"/>
    </w:pPr>
    <w:rPr>
      <w:rFonts w:ascii="Times New Roman" w:hAnsi="Times New Roman" w:cs="Times New Roman"/>
      <w:sz w:val="20"/>
      <w:szCs w:val="20"/>
    </w:rPr>
  </w:style>
  <w:style w:type="paragraph" w:customStyle="1" w:styleId="casehead10">
    <w:name w:val="casehead1"/>
    <w:basedOn w:val="Normal"/>
    <w:next w:val="BodyText"/>
    <w:rsid w:val="00DE5B9E"/>
    <w:rPr>
      <w:rFonts w:ascii="Arial" w:hAnsi="Arial"/>
      <w:b/>
      <w:caps/>
      <w:lang w:eastAsia="en-CA"/>
    </w:rPr>
  </w:style>
  <w:style w:type="paragraph" w:customStyle="1" w:styleId="casehead20">
    <w:name w:val="casehead2"/>
    <w:basedOn w:val="Normal"/>
    <w:next w:val="BodyText"/>
    <w:rsid w:val="00DE5B9E"/>
    <w:rPr>
      <w:rFonts w:ascii="Arial" w:hAnsi="Arial"/>
      <w:b/>
      <w:lang w:eastAsia="en-CA"/>
    </w:rPr>
  </w:style>
  <w:style w:type="character" w:customStyle="1" w:styleId="a">
    <w:name w:val="a"/>
    <w:basedOn w:val="DefaultParagraphFont"/>
    <w:rsid w:val="00D810DE"/>
    <w:rPr>
      <w:rFonts w:cs="Times New Roman"/>
    </w:rPr>
  </w:style>
  <w:style w:type="character" w:customStyle="1" w:styleId="l6">
    <w:name w:val="l6"/>
    <w:basedOn w:val="DefaultParagraphFont"/>
    <w:rsid w:val="00D810DE"/>
    <w:rPr>
      <w:rFonts w:cs="Times New Roman"/>
    </w:rPr>
  </w:style>
  <w:style w:type="character" w:styleId="HTMLCite">
    <w:name w:val="HTML Cite"/>
    <w:basedOn w:val="DefaultParagraphFont"/>
    <w:uiPriority w:val="99"/>
    <w:semiHidden/>
    <w:unhideWhenUsed/>
    <w:rsid w:val="00D810DE"/>
    <w:rPr>
      <w:rFonts w:cs="Times New Roman"/>
      <w:i/>
      <w:iCs/>
    </w:rPr>
  </w:style>
  <w:style w:type="table" w:customStyle="1" w:styleId="TableGrid1">
    <w:name w:val="Table Grid1"/>
    <w:basedOn w:val="TableNormal"/>
    <w:next w:val="TableGrid"/>
    <w:uiPriority w:val="59"/>
    <w:rsid w:val="00A45CE8"/>
    <w:pPr>
      <w:spacing w:after="0" w:line="240" w:lineRule="auto"/>
    </w:pPr>
    <w:rPr>
      <w:rFonts w:eastAsiaTheme="minorEastAsia"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rsid w:val="00DE5B9E"/>
    <w:pPr>
      <w:pBdr>
        <w:top w:val="nil"/>
        <w:left w:val="nil"/>
        <w:bottom w:val="nil"/>
        <w:right w:val="nil"/>
        <w:between w:val="nil"/>
      </w:pBd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4068">
      <w:marLeft w:val="0"/>
      <w:marRight w:val="0"/>
      <w:marTop w:val="0"/>
      <w:marBottom w:val="0"/>
      <w:divBdr>
        <w:top w:val="none" w:sz="0" w:space="0" w:color="auto"/>
        <w:left w:val="none" w:sz="0" w:space="0" w:color="auto"/>
        <w:bottom w:val="none" w:sz="0" w:space="0" w:color="auto"/>
        <w:right w:val="none" w:sz="0" w:space="0" w:color="auto"/>
      </w:divBdr>
    </w:div>
    <w:div w:id="214318406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livemint.com/Search/Link/Author/Dipti%20Jain" TargetMode="External"/><Relationship Id="rId2" Type="http://schemas.openxmlformats.org/officeDocument/2006/relationships/hyperlink" Target="https://www.livemint.com/Search/Link/Author/Neetu%20Chandra%20Sharma" TargetMode="External"/><Relationship Id="rId1" Type="http://schemas.openxmlformats.org/officeDocument/2006/relationships/hyperlink" Target="http://www.business-standard.com/author/search/keyword/sharath-chowd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679EBB-77AC-4537-BB1E-3DED6C86485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5945FCD-D4A9-4198-A0D3-7429322830F7}">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C43E4-8077-484B-9204-EA66731B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4711</Words>
  <Characters>27279</Characters>
  <Application>Microsoft Office Word</Application>
  <DocSecurity>0</DocSecurity>
  <Lines>580</Lines>
  <Paragraphs>246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19</cp:revision>
  <cp:lastPrinted>2018-08-16T19:51:00Z</cp:lastPrinted>
  <dcterms:created xsi:type="dcterms:W3CDTF">2018-08-16T19:47:00Z</dcterms:created>
  <dcterms:modified xsi:type="dcterms:W3CDTF">2018-08-22T19:57:00Z</dcterms:modified>
</cp:coreProperties>
</file>