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335E8" w14:textId="334DB475" w:rsidR="001D5C5C" w:rsidRPr="005A4C1A" w:rsidRDefault="0025190B">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rPr>
        <w:drawing>
          <wp:inline distT="0" distB="0" distL="0" distR="0" wp14:anchorId="61DB4EA3" wp14:editId="72A80827">
            <wp:extent cx="2609850" cy="548005"/>
            <wp:effectExtent l="0" t="0" r="0" b="444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609850" cy="548005"/>
                    </a:xfrm>
                    <a:prstGeom prst="rect">
                      <a:avLst/>
                    </a:prstGeom>
                    <a:noFill/>
                    <a:ln>
                      <a:noFill/>
                    </a:ln>
                  </pic:spPr>
                </pic:pic>
              </a:graphicData>
            </a:graphic>
          </wp:inline>
        </w:drawing>
      </w:r>
    </w:p>
    <w:p w14:paraId="3237DEAC" w14:textId="1B22FB75" w:rsidR="001D5C5C" w:rsidRPr="005A4C1A" w:rsidRDefault="00B60B6A">
      <w:pPr>
        <w:pStyle w:val="ProductNumber"/>
        <w:rPr>
          <w:lang w:val="en-GB"/>
        </w:rPr>
      </w:pPr>
      <w:r>
        <w:rPr>
          <w:lang w:val="en-GB"/>
        </w:rPr>
        <w:t>9B18M124</w:t>
      </w:r>
    </w:p>
    <w:p w14:paraId="24663AB6" w14:textId="77777777" w:rsidR="001D5C5C" w:rsidRPr="005A4C1A" w:rsidRDefault="001D5C5C">
      <w:pPr>
        <w:jc w:val="right"/>
        <w:rPr>
          <w:rFonts w:ascii="Arial" w:hAnsi="Arial"/>
          <w:b/>
          <w:sz w:val="28"/>
          <w:szCs w:val="28"/>
          <w:lang w:val="en-GB"/>
        </w:rPr>
      </w:pPr>
    </w:p>
    <w:p w14:paraId="00E723E0" w14:textId="77777777" w:rsidR="001D5C5C" w:rsidRPr="005A4C1A" w:rsidRDefault="001D5C5C">
      <w:pPr>
        <w:jc w:val="right"/>
        <w:rPr>
          <w:rFonts w:ascii="Arial" w:hAnsi="Arial"/>
          <w:b/>
          <w:sz w:val="28"/>
          <w:szCs w:val="28"/>
          <w:lang w:val="en-GB"/>
        </w:rPr>
      </w:pPr>
    </w:p>
    <w:p w14:paraId="3E57EDFD" w14:textId="77777777" w:rsidR="001D5C5C" w:rsidRPr="005A4C1A" w:rsidRDefault="001D5C5C">
      <w:pPr>
        <w:pStyle w:val="CaseTitle"/>
        <w:spacing w:after="0" w:line="240" w:lineRule="auto"/>
        <w:rPr>
          <w:lang w:val="en-GB"/>
        </w:rPr>
      </w:pPr>
      <w:r w:rsidRPr="005A4C1A">
        <w:rPr>
          <w:lang w:val="en-GB"/>
        </w:rPr>
        <w:t>WEstern regions gas pipeline company: the joint ventures</w:t>
      </w:r>
    </w:p>
    <w:p w14:paraId="4E51E3CB" w14:textId="77777777" w:rsidR="001D5C5C" w:rsidRPr="005A4C1A" w:rsidRDefault="001D5C5C">
      <w:pPr>
        <w:pStyle w:val="CaseTitle"/>
        <w:spacing w:after="0" w:line="240" w:lineRule="auto"/>
        <w:rPr>
          <w:sz w:val="20"/>
          <w:szCs w:val="20"/>
          <w:lang w:val="en-GB"/>
        </w:rPr>
      </w:pPr>
    </w:p>
    <w:p w14:paraId="36E74D8F" w14:textId="77777777" w:rsidR="001D5C5C" w:rsidRPr="005A4C1A" w:rsidRDefault="001D5C5C">
      <w:pPr>
        <w:pStyle w:val="CaseTitle"/>
        <w:spacing w:after="0" w:line="240" w:lineRule="auto"/>
        <w:rPr>
          <w:sz w:val="20"/>
          <w:szCs w:val="20"/>
          <w:lang w:val="en-GB"/>
        </w:rPr>
      </w:pPr>
    </w:p>
    <w:p w14:paraId="629747AE" w14:textId="692E9FD2" w:rsidR="001D5C5C" w:rsidRPr="005A4C1A" w:rsidRDefault="001D5C5C">
      <w:pPr>
        <w:pStyle w:val="StyleCopyrightStatementAfter0ptBottomSinglesolidline1"/>
        <w:rPr>
          <w:lang w:val="en-GB"/>
        </w:rPr>
      </w:pPr>
      <w:r w:rsidRPr="005A4C1A">
        <w:rPr>
          <w:rFonts w:eastAsia="SimSun"/>
          <w:lang w:val="en-GB" w:eastAsia="zh-CN"/>
        </w:rPr>
        <w:t xml:space="preserve">Xiuqin Wang and </w:t>
      </w:r>
      <w:r w:rsidRPr="005A4C1A">
        <w:rPr>
          <w:lang w:val="en-GB"/>
        </w:rPr>
        <w:t>Professor Paul W. Beamish wrote this case solely to provide material for class discussion. The authors do not intend to illustrate either effective or</w:t>
      </w:r>
      <w:bookmarkStart w:id="0" w:name="_GoBack"/>
      <w:bookmarkEnd w:id="0"/>
      <w:r w:rsidRPr="005A4C1A">
        <w:rPr>
          <w:lang w:val="en-GB"/>
        </w:rPr>
        <w:t xml:space="preserve"> ineffective handling of a managerial situation. The authors may have disguised certain names and other identifying information to protect confidentiality.</w:t>
      </w:r>
    </w:p>
    <w:p w14:paraId="60A5CB28" w14:textId="77777777" w:rsidR="001D5C5C" w:rsidRPr="005A4C1A" w:rsidRDefault="001D5C5C">
      <w:pPr>
        <w:pStyle w:val="StyleCopyrightStatementAfter0ptBottomSinglesolidline1"/>
        <w:rPr>
          <w:lang w:val="en-GB"/>
        </w:rPr>
      </w:pPr>
    </w:p>
    <w:p w14:paraId="3B316700" w14:textId="77777777" w:rsidR="005A4C1A" w:rsidRPr="00E23AB7" w:rsidRDefault="005A4C1A"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8"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9" w:history="1">
        <w:r w:rsidRPr="00E23AB7">
          <w:rPr>
            <w:rFonts w:ascii="Arial" w:hAnsi="Arial"/>
            <w:i/>
            <w:iCs/>
            <w:color w:val="000000"/>
            <w:sz w:val="16"/>
          </w:rPr>
          <w:t>www.iveycases.com</w:t>
        </w:r>
      </w:hyperlink>
      <w:r w:rsidRPr="00E23AB7">
        <w:rPr>
          <w:rFonts w:ascii="Arial" w:hAnsi="Arial"/>
          <w:i/>
          <w:iCs/>
          <w:color w:val="000000"/>
          <w:sz w:val="16"/>
        </w:rPr>
        <w:t>.</w:t>
      </w:r>
    </w:p>
    <w:p w14:paraId="536F9B6A" w14:textId="59F69450" w:rsidR="001D5C5C" w:rsidRPr="005A4C1A" w:rsidRDefault="001D5C5C">
      <w:pPr>
        <w:pStyle w:val="StyleStyleCopyrightStatementAfter0ptBottomSinglesolid"/>
        <w:rPr>
          <w:lang w:val="en-GB"/>
        </w:rPr>
      </w:pPr>
    </w:p>
    <w:p w14:paraId="443F62CB" w14:textId="50D1E700" w:rsidR="001D5C5C" w:rsidRPr="005A4C1A" w:rsidRDefault="005A4C1A">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1D5C5C" w:rsidRPr="005A4C1A">
        <w:rPr>
          <w:lang w:val="en-GB"/>
        </w:rPr>
        <w:tab/>
        <w:t>Version: 2018-0</w:t>
      </w:r>
      <w:r w:rsidR="00294F7B" w:rsidRPr="005A4C1A">
        <w:rPr>
          <w:rFonts w:eastAsia="SimSun"/>
          <w:lang w:val="en-GB" w:eastAsia="zh-CN"/>
        </w:rPr>
        <w:t>8</w:t>
      </w:r>
      <w:r w:rsidR="001D5C5C" w:rsidRPr="005A4C1A">
        <w:rPr>
          <w:lang w:val="en-GB"/>
        </w:rPr>
        <w:t>-</w:t>
      </w:r>
      <w:r w:rsidR="00694D71">
        <w:rPr>
          <w:rFonts w:eastAsia="SimSun"/>
          <w:lang w:val="en-GB" w:eastAsia="zh-CN"/>
        </w:rPr>
        <w:t>31</w:t>
      </w:r>
    </w:p>
    <w:p w14:paraId="4EBDD911" w14:textId="77777777" w:rsidR="001D5C5C" w:rsidRPr="00B60B6A" w:rsidRDefault="001D5C5C">
      <w:pPr>
        <w:pStyle w:val="StyleCopyrightStatementAfter0ptBottomSinglesolidline1"/>
        <w:rPr>
          <w:rFonts w:ascii="Times New Roman" w:hAnsi="Times New Roman"/>
          <w:sz w:val="20"/>
          <w:lang w:val="en-GB"/>
        </w:rPr>
      </w:pPr>
    </w:p>
    <w:p w14:paraId="6AD951C0" w14:textId="77777777" w:rsidR="005A4C1A" w:rsidRPr="00B60B6A" w:rsidRDefault="005A4C1A">
      <w:pPr>
        <w:pStyle w:val="StyleCopyrightStatementAfter0ptBottomSinglesolidline1"/>
        <w:rPr>
          <w:rFonts w:ascii="Times New Roman" w:hAnsi="Times New Roman"/>
          <w:sz w:val="20"/>
          <w:lang w:val="en-GB"/>
        </w:rPr>
      </w:pPr>
    </w:p>
    <w:p w14:paraId="643D3A6A" w14:textId="767023C0" w:rsidR="001D5C5C" w:rsidRPr="005A4C1A" w:rsidRDefault="001D5C5C">
      <w:pPr>
        <w:jc w:val="both"/>
        <w:rPr>
          <w:sz w:val="22"/>
          <w:lang w:val="en-GB"/>
        </w:rPr>
      </w:pPr>
      <w:r w:rsidRPr="005A4C1A">
        <w:rPr>
          <w:sz w:val="22"/>
          <w:lang w:val="en-GB"/>
        </w:rPr>
        <w:t xml:space="preserve">In August 2015, </w:t>
      </w:r>
      <w:r w:rsidR="007819B3" w:rsidRPr="005A4C1A">
        <w:rPr>
          <w:sz w:val="22"/>
          <w:lang w:val="en-GB"/>
        </w:rPr>
        <w:t xml:space="preserve">Ma </w:t>
      </w:r>
      <w:r w:rsidRPr="005A4C1A">
        <w:rPr>
          <w:sz w:val="22"/>
          <w:lang w:val="en-GB"/>
        </w:rPr>
        <w:t>Haiyang, general manager of Western Regions Gas Pipeline Company (</w:t>
      </w:r>
      <w:bookmarkStart w:id="1" w:name="_Hlk501544815"/>
      <w:r w:rsidRPr="005A4C1A">
        <w:rPr>
          <w:sz w:val="22"/>
          <w:lang w:val="en-GB"/>
        </w:rPr>
        <w:t>Western Regions Company</w:t>
      </w:r>
      <w:bookmarkEnd w:id="1"/>
      <w:r w:rsidRPr="005A4C1A">
        <w:rPr>
          <w:sz w:val="22"/>
          <w:lang w:val="en-GB"/>
        </w:rPr>
        <w:t xml:space="preserve">), was </w:t>
      </w:r>
      <w:r w:rsidR="00B94C99" w:rsidRPr="005A4C1A">
        <w:rPr>
          <w:sz w:val="22"/>
          <w:lang w:val="en-GB"/>
        </w:rPr>
        <w:t>gazing at</w:t>
      </w:r>
      <w:r w:rsidRPr="005A4C1A">
        <w:rPr>
          <w:sz w:val="22"/>
          <w:lang w:val="en-GB"/>
        </w:rPr>
        <w:t xml:space="preserve"> a natural gas pipeline map </w:t>
      </w:r>
      <w:r w:rsidR="00B94C99" w:rsidRPr="005A4C1A">
        <w:rPr>
          <w:sz w:val="22"/>
          <w:lang w:val="en-GB"/>
        </w:rPr>
        <w:t>in</w:t>
      </w:r>
      <w:r w:rsidRPr="005A4C1A">
        <w:rPr>
          <w:sz w:val="22"/>
          <w:lang w:val="en-GB"/>
        </w:rPr>
        <w:t xml:space="preserve"> his Beijing office. The </w:t>
      </w:r>
      <w:r w:rsidR="008D2751" w:rsidRPr="005A4C1A">
        <w:rPr>
          <w:sz w:val="22"/>
          <w:lang w:val="en-GB"/>
        </w:rPr>
        <w:t>m</w:t>
      </w:r>
      <w:r w:rsidRPr="005A4C1A">
        <w:rPr>
          <w:sz w:val="22"/>
          <w:lang w:val="en-GB"/>
        </w:rPr>
        <w:t xml:space="preserve">ultinational </w:t>
      </w:r>
      <w:r w:rsidR="008D2751" w:rsidRPr="005A4C1A">
        <w:rPr>
          <w:sz w:val="22"/>
          <w:lang w:val="en-GB"/>
        </w:rPr>
        <w:t>n</w:t>
      </w:r>
      <w:r w:rsidRPr="005A4C1A">
        <w:rPr>
          <w:sz w:val="22"/>
          <w:lang w:val="en-GB"/>
        </w:rPr>
        <w:t xml:space="preserve">atural </w:t>
      </w:r>
      <w:r w:rsidR="008D2751" w:rsidRPr="005A4C1A">
        <w:rPr>
          <w:sz w:val="22"/>
          <w:lang w:val="en-GB"/>
        </w:rPr>
        <w:t>g</w:t>
      </w:r>
      <w:r w:rsidRPr="005A4C1A">
        <w:rPr>
          <w:sz w:val="22"/>
          <w:lang w:val="en-GB"/>
        </w:rPr>
        <w:t xml:space="preserve">as </w:t>
      </w:r>
      <w:r w:rsidR="008D2751" w:rsidRPr="005A4C1A">
        <w:rPr>
          <w:sz w:val="22"/>
          <w:lang w:val="en-GB"/>
        </w:rPr>
        <w:t>p</w:t>
      </w:r>
      <w:r w:rsidRPr="005A4C1A">
        <w:rPr>
          <w:sz w:val="22"/>
          <w:lang w:val="en-GB"/>
        </w:rPr>
        <w:t>ipeline (MNGP)</w:t>
      </w:r>
      <w:r w:rsidR="00B94C99" w:rsidRPr="005A4C1A">
        <w:rPr>
          <w:sz w:val="22"/>
          <w:lang w:val="en-GB"/>
        </w:rPr>
        <w:t xml:space="preserve"> shown on </w:t>
      </w:r>
      <w:r w:rsidRPr="005A4C1A">
        <w:rPr>
          <w:sz w:val="22"/>
          <w:lang w:val="en-GB"/>
        </w:rPr>
        <w:t xml:space="preserve">the map would deliver natural gas from the Republic of Timur (Timur) to China through the Republic of Frespirit (Frespirit). The construction of the pipeline was at the planning stage. </w:t>
      </w:r>
      <w:r w:rsidR="00E4089F" w:rsidRPr="005A4C1A">
        <w:rPr>
          <w:sz w:val="22"/>
          <w:lang w:val="en-GB"/>
        </w:rPr>
        <w:t>T</w:t>
      </w:r>
      <w:r w:rsidRPr="005A4C1A">
        <w:rPr>
          <w:sz w:val="22"/>
          <w:lang w:val="en-GB"/>
        </w:rPr>
        <w:t xml:space="preserve">o construct and operate </w:t>
      </w:r>
      <w:r w:rsidR="00E4089F" w:rsidRPr="005A4C1A">
        <w:rPr>
          <w:sz w:val="22"/>
          <w:lang w:val="en-GB"/>
        </w:rPr>
        <w:t xml:space="preserve">the </w:t>
      </w:r>
      <w:r w:rsidRPr="005A4C1A">
        <w:rPr>
          <w:sz w:val="22"/>
          <w:lang w:val="en-GB"/>
        </w:rPr>
        <w:t xml:space="preserve">MNGP, Western Regions Company </w:t>
      </w:r>
      <w:r w:rsidR="00B94C99" w:rsidRPr="005A4C1A">
        <w:rPr>
          <w:sz w:val="22"/>
          <w:lang w:val="en-GB"/>
        </w:rPr>
        <w:t xml:space="preserve">was legally required to </w:t>
      </w:r>
      <w:r w:rsidRPr="005A4C1A">
        <w:rPr>
          <w:sz w:val="22"/>
          <w:lang w:val="en-GB"/>
        </w:rPr>
        <w:t xml:space="preserve">set up </w:t>
      </w:r>
      <w:r w:rsidR="00B94C99" w:rsidRPr="005A4C1A">
        <w:rPr>
          <w:sz w:val="22"/>
          <w:lang w:val="en-GB"/>
        </w:rPr>
        <w:t xml:space="preserve">a </w:t>
      </w:r>
      <w:r w:rsidRPr="005A4C1A">
        <w:rPr>
          <w:sz w:val="22"/>
          <w:lang w:val="en-GB"/>
        </w:rPr>
        <w:t xml:space="preserve">joint venture </w:t>
      </w:r>
      <w:r w:rsidR="00BD20FC" w:rsidRPr="005A4C1A">
        <w:rPr>
          <w:sz w:val="22"/>
          <w:lang w:val="en-GB"/>
        </w:rPr>
        <w:t xml:space="preserve">(JV) </w:t>
      </w:r>
      <w:r w:rsidRPr="005A4C1A">
        <w:rPr>
          <w:sz w:val="22"/>
          <w:lang w:val="en-GB"/>
        </w:rPr>
        <w:t xml:space="preserve">with </w:t>
      </w:r>
      <w:r w:rsidR="00B94C99" w:rsidRPr="005A4C1A">
        <w:rPr>
          <w:sz w:val="22"/>
          <w:lang w:val="en-GB"/>
        </w:rPr>
        <w:t>a local company in each</w:t>
      </w:r>
      <w:r w:rsidRPr="005A4C1A">
        <w:rPr>
          <w:sz w:val="22"/>
          <w:lang w:val="en-GB"/>
        </w:rPr>
        <w:t xml:space="preserve"> of the transit countries. However, the construction period </w:t>
      </w:r>
      <w:r w:rsidR="001F1DAE" w:rsidRPr="005A4C1A">
        <w:rPr>
          <w:sz w:val="22"/>
          <w:lang w:val="en-GB"/>
        </w:rPr>
        <w:t>for</w:t>
      </w:r>
      <w:r w:rsidRPr="005A4C1A">
        <w:rPr>
          <w:sz w:val="22"/>
          <w:lang w:val="en-GB"/>
        </w:rPr>
        <w:t xml:space="preserve"> </w:t>
      </w:r>
      <w:r w:rsidR="001F1DAE" w:rsidRPr="005A4C1A">
        <w:rPr>
          <w:sz w:val="22"/>
          <w:lang w:val="en-GB"/>
        </w:rPr>
        <w:t xml:space="preserve">the </w:t>
      </w:r>
      <w:r w:rsidRPr="005A4C1A">
        <w:rPr>
          <w:sz w:val="22"/>
          <w:lang w:val="en-GB"/>
        </w:rPr>
        <w:t xml:space="preserve">MNGP was extremely </w:t>
      </w:r>
      <w:r w:rsidR="00694D71">
        <w:rPr>
          <w:sz w:val="22"/>
          <w:lang w:val="en-GB"/>
        </w:rPr>
        <w:t>short</w:t>
      </w:r>
      <w:r w:rsidRPr="005A4C1A">
        <w:rPr>
          <w:sz w:val="22"/>
          <w:lang w:val="en-GB"/>
        </w:rPr>
        <w:t xml:space="preserve">, and the relationships between the stakeholders were quite complicated. How to </w:t>
      </w:r>
      <w:r w:rsidR="00B94C99" w:rsidRPr="005A4C1A">
        <w:rPr>
          <w:sz w:val="22"/>
          <w:lang w:val="en-GB"/>
        </w:rPr>
        <w:t xml:space="preserve">exercise </w:t>
      </w:r>
      <w:r w:rsidRPr="005A4C1A">
        <w:rPr>
          <w:sz w:val="22"/>
          <w:lang w:val="en-GB"/>
        </w:rPr>
        <w:t xml:space="preserve">control </w:t>
      </w:r>
      <w:r w:rsidR="00B94C99" w:rsidRPr="005A4C1A">
        <w:rPr>
          <w:sz w:val="22"/>
          <w:lang w:val="en-GB"/>
        </w:rPr>
        <w:t xml:space="preserve">in </w:t>
      </w:r>
      <w:r w:rsidRPr="005A4C1A">
        <w:rPr>
          <w:sz w:val="22"/>
          <w:lang w:val="en-GB"/>
        </w:rPr>
        <w:t xml:space="preserve">the </w:t>
      </w:r>
      <w:r w:rsidR="00BD20FC" w:rsidRPr="005A4C1A">
        <w:rPr>
          <w:sz w:val="22"/>
          <w:lang w:val="en-GB"/>
        </w:rPr>
        <w:t>JVs</w:t>
      </w:r>
      <w:r w:rsidRPr="005A4C1A">
        <w:rPr>
          <w:sz w:val="22"/>
          <w:lang w:val="en-GB"/>
        </w:rPr>
        <w:t xml:space="preserve"> to ensure the smooth construction and then operation of </w:t>
      </w:r>
      <w:r w:rsidR="00E4089F" w:rsidRPr="005A4C1A">
        <w:rPr>
          <w:sz w:val="22"/>
          <w:lang w:val="en-GB"/>
        </w:rPr>
        <w:t xml:space="preserve">the </w:t>
      </w:r>
      <w:r w:rsidRPr="005A4C1A">
        <w:rPr>
          <w:sz w:val="22"/>
          <w:lang w:val="en-GB"/>
        </w:rPr>
        <w:t xml:space="preserve">MNGP had become a thorny issue for </w:t>
      </w:r>
      <w:r w:rsidR="007819B3" w:rsidRPr="005A4C1A">
        <w:rPr>
          <w:sz w:val="22"/>
          <w:lang w:val="en-GB"/>
        </w:rPr>
        <w:t>Haiyang.</w:t>
      </w:r>
      <w:r w:rsidRPr="005A4C1A">
        <w:rPr>
          <w:sz w:val="22"/>
          <w:lang w:val="en-GB"/>
        </w:rPr>
        <w:t xml:space="preserve"> </w:t>
      </w:r>
    </w:p>
    <w:p w14:paraId="1BF6DB29" w14:textId="77777777" w:rsidR="001D5C5C" w:rsidRPr="005A4C1A" w:rsidRDefault="001D5C5C" w:rsidP="00B60B6A">
      <w:pPr>
        <w:pStyle w:val="BodyTextMain"/>
        <w:rPr>
          <w:lang w:val="en-GB"/>
        </w:rPr>
      </w:pPr>
    </w:p>
    <w:p w14:paraId="684287E3" w14:textId="77777777" w:rsidR="001D5C5C" w:rsidRPr="005A4C1A" w:rsidRDefault="001D5C5C" w:rsidP="00B60B6A">
      <w:pPr>
        <w:pStyle w:val="BodyTextMain"/>
        <w:rPr>
          <w:lang w:val="en-GB"/>
        </w:rPr>
      </w:pPr>
    </w:p>
    <w:p w14:paraId="5B64010E" w14:textId="77777777" w:rsidR="001D5C5C" w:rsidRPr="005A4C1A" w:rsidRDefault="001D5C5C">
      <w:pPr>
        <w:rPr>
          <w:rFonts w:ascii="Arial" w:hAnsi="Arial" w:cs="Arial"/>
          <w:b/>
          <w:lang w:val="en-GB"/>
        </w:rPr>
      </w:pPr>
      <w:r w:rsidRPr="005A4C1A">
        <w:rPr>
          <w:rFonts w:ascii="Arial" w:hAnsi="Arial" w:cs="Arial"/>
          <w:b/>
          <w:lang w:val="en-GB"/>
        </w:rPr>
        <w:t>BACKGROUND</w:t>
      </w:r>
    </w:p>
    <w:p w14:paraId="26895E03" w14:textId="77777777" w:rsidR="001D5C5C" w:rsidRPr="005A4C1A" w:rsidRDefault="001D5C5C" w:rsidP="00B60B6A">
      <w:pPr>
        <w:pStyle w:val="BodyTextMain"/>
        <w:rPr>
          <w:lang w:val="en-GB"/>
        </w:rPr>
      </w:pPr>
    </w:p>
    <w:p w14:paraId="7EE87074" w14:textId="47C21475" w:rsidR="001D5C5C" w:rsidRPr="005A4C1A" w:rsidRDefault="001D5C5C">
      <w:pPr>
        <w:jc w:val="both"/>
        <w:rPr>
          <w:sz w:val="22"/>
          <w:szCs w:val="24"/>
          <w:lang w:val="en-GB"/>
        </w:rPr>
      </w:pPr>
      <w:r w:rsidRPr="005A4C1A">
        <w:rPr>
          <w:sz w:val="22"/>
          <w:szCs w:val="24"/>
          <w:lang w:val="en-GB"/>
        </w:rPr>
        <w:t xml:space="preserve">As part of the trend of green and sustainable development, and specifically to move away from the use of coal and oil, </w:t>
      </w:r>
      <w:r w:rsidR="00A169CC" w:rsidRPr="005A4C1A">
        <w:rPr>
          <w:sz w:val="22"/>
          <w:szCs w:val="24"/>
          <w:lang w:val="en-GB"/>
        </w:rPr>
        <w:t>China</w:t>
      </w:r>
      <w:r w:rsidR="00A169CC">
        <w:rPr>
          <w:sz w:val="22"/>
          <w:szCs w:val="24"/>
          <w:lang w:val="en-GB"/>
        </w:rPr>
        <w:t xml:space="preserve"> had been drastically increasing its</w:t>
      </w:r>
      <w:r w:rsidR="00A169CC" w:rsidRPr="005A4C1A">
        <w:rPr>
          <w:sz w:val="22"/>
          <w:szCs w:val="24"/>
          <w:lang w:val="en-GB"/>
        </w:rPr>
        <w:t xml:space="preserve"> </w:t>
      </w:r>
      <w:r w:rsidRPr="005A4C1A">
        <w:rPr>
          <w:sz w:val="22"/>
          <w:szCs w:val="24"/>
          <w:lang w:val="en-GB"/>
        </w:rPr>
        <w:t xml:space="preserve">natural gas consumption </w:t>
      </w:r>
      <w:r w:rsidR="00E4089F" w:rsidRPr="005A4C1A">
        <w:rPr>
          <w:sz w:val="22"/>
          <w:szCs w:val="24"/>
          <w:lang w:val="en-GB"/>
        </w:rPr>
        <w:t>since</w:t>
      </w:r>
      <w:r w:rsidRPr="005A4C1A">
        <w:rPr>
          <w:sz w:val="22"/>
          <w:szCs w:val="24"/>
          <w:lang w:val="en-GB"/>
        </w:rPr>
        <w:t xml:space="preserve"> the early 2000s. In 2015, China’s natural gas consumption reached 17</w:t>
      </w:r>
      <w:r w:rsidR="00694D71">
        <w:rPr>
          <w:sz w:val="22"/>
          <w:szCs w:val="24"/>
          <w:lang w:val="en-GB"/>
        </w:rPr>
        <w:t>.8 billion</w:t>
      </w:r>
      <w:r w:rsidRPr="005A4C1A">
        <w:rPr>
          <w:sz w:val="22"/>
          <w:szCs w:val="24"/>
          <w:lang w:val="en-GB"/>
        </w:rPr>
        <w:t xml:space="preserve"> ton</w:t>
      </w:r>
      <w:r w:rsidR="002B3804" w:rsidRPr="005A4C1A">
        <w:rPr>
          <w:sz w:val="22"/>
          <w:szCs w:val="24"/>
          <w:lang w:val="en-GB"/>
        </w:rPr>
        <w:t>ne</w:t>
      </w:r>
      <w:r w:rsidRPr="005A4C1A">
        <w:rPr>
          <w:sz w:val="22"/>
          <w:szCs w:val="24"/>
          <w:lang w:val="en-GB"/>
        </w:rPr>
        <w:t>s of oil equivalent. As a result, China had become the third</w:t>
      </w:r>
      <w:r w:rsidR="002B3804" w:rsidRPr="005A4C1A">
        <w:rPr>
          <w:sz w:val="22"/>
          <w:szCs w:val="24"/>
          <w:lang w:val="en-GB"/>
        </w:rPr>
        <w:t>-</w:t>
      </w:r>
      <w:r w:rsidRPr="005A4C1A">
        <w:rPr>
          <w:sz w:val="22"/>
          <w:szCs w:val="24"/>
          <w:lang w:val="en-GB"/>
        </w:rPr>
        <w:t>largest natural gas consumer in the world</w:t>
      </w:r>
      <w:r w:rsidR="002B3804" w:rsidRPr="005A4C1A">
        <w:rPr>
          <w:sz w:val="22"/>
          <w:szCs w:val="24"/>
          <w:lang w:val="en-GB"/>
        </w:rPr>
        <w:t>.</w:t>
      </w:r>
      <w:r w:rsidRPr="005A4C1A">
        <w:rPr>
          <w:rStyle w:val="FootnoteReference"/>
          <w:sz w:val="22"/>
          <w:szCs w:val="24"/>
          <w:lang w:val="en-GB"/>
        </w:rPr>
        <w:footnoteReference w:id="1"/>
      </w:r>
      <w:r w:rsidRPr="005A4C1A">
        <w:rPr>
          <w:sz w:val="22"/>
          <w:szCs w:val="24"/>
          <w:lang w:val="en-GB"/>
        </w:rPr>
        <w:t xml:space="preserve"> The huge gas demand certainly </w:t>
      </w:r>
      <w:r w:rsidR="00F70629">
        <w:rPr>
          <w:sz w:val="22"/>
          <w:szCs w:val="24"/>
          <w:lang w:val="en-GB"/>
        </w:rPr>
        <w:t>intensified</w:t>
      </w:r>
      <w:r w:rsidR="00F70629" w:rsidRPr="005A4C1A">
        <w:rPr>
          <w:sz w:val="22"/>
          <w:szCs w:val="24"/>
          <w:lang w:val="en-GB"/>
        </w:rPr>
        <w:t xml:space="preserve"> </w:t>
      </w:r>
      <w:r w:rsidRPr="005A4C1A">
        <w:rPr>
          <w:sz w:val="22"/>
          <w:szCs w:val="24"/>
          <w:lang w:val="en-GB"/>
        </w:rPr>
        <w:t>China</w:t>
      </w:r>
      <w:r w:rsidR="002B3804" w:rsidRPr="005A4C1A">
        <w:rPr>
          <w:sz w:val="22"/>
          <w:szCs w:val="24"/>
          <w:lang w:val="en-GB"/>
        </w:rPr>
        <w:t>’s</w:t>
      </w:r>
      <w:r w:rsidRPr="005A4C1A">
        <w:rPr>
          <w:sz w:val="22"/>
          <w:szCs w:val="24"/>
          <w:lang w:val="en-GB"/>
        </w:rPr>
        <w:t xml:space="preserve"> natural gas imports.</w:t>
      </w:r>
    </w:p>
    <w:p w14:paraId="362F0A67" w14:textId="77777777" w:rsidR="001D5C5C" w:rsidRPr="005A4C1A" w:rsidRDefault="001D5C5C" w:rsidP="00B60B6A">
      <w:pPr>
        <w:pStyle w:val="BodyTextMain"/>
        <w:rPr>
          <w:lang w:val="en-GB"/>
        </w:rPr>
      </w:pPr>
    </w:p>
    <w:p w14:paraId="45AED96D" w14:textId="1DF1DD1F" w:rsidR="001D5C5C" w:rsidRPr="005A4C1A" w:rsidRDefault="001D5C5C">
      <w:pPr>
        <w:jc w:val="both"/>
        <w:rPr>
          <w:rFonts w:ascii="Arial" w:hAnsi="Arial" w:cs="Arial"/>
          <w:b/>
          <w:spacing w:val="-2"/>
          <w:kern w:val="2"/>
          <w:lang w:val="en-GB"/>
        </w:rPr>
      </w:pPr>
      <w:r w:rsidRPr="005A4C1A">
        <w:rPr>
          <w:spacing w:val="-2"/>
          <w:kern w:val="2"/>
          <w:sz w:val="22"/>
          <w:lang w:val="en-GB"/>
        </w:rPr>
        <w:t>In April 2014, China N</w:t>
      </w:r>
      <w:r w:rsidRPr="005A4C1A">
        <w:rPr>
          <w:rFonts w:eastAsia="SimSun"/>
          <w:spacing w:val="-2"/>
          <w:kern w:val="2"/>
          <w:sz w:val="22"/>
          <w:lang w:val="en-GB" w:eastAsia="zh-CN"/>
        </w:rPr>
        <w:t>ew</w:t>
      </w:r>
      <w:r w:rsidRPr="005A4C1A">
        <w:rPr>
          <w:spacing w:val="-2"/>
          <w:kern w:val="2"/>
          <w:sz w:val="22"/>
          <w:lang w:val="en-GB"/>
        </w:rPr>
        <w:t xml:space="preserve"> Group Corporation (</w:t>
      </w:r>
      <w:bookmarkStart w:id="2" w:name="_Hlk500401402"/>
      <w:r w:rsidRPr="005A4C1A">
        <w:rPr>
          <w:spacing w:val="-2"/>
          <w:kern w:val="2"/>
          <w:sz w:val="22"/>
          <w:lang w:val="en-GB"/>
        </w:rPr>
        <w:t>CNGC</w:t>
      </w:r>
      <w:bookmarkEnd w:id="2"/>
      <w:r w:rsidRPr="005A4C1A">
        <w:rPr>
          <w:spacing w:val="-2"/>
          <w:kern w:val="2"/>
          <w:sz w:val="22"/>
          <w:lang w:val="en-GB"/>
        </w:rPr>
        <w:t>)</w:t>
      </w:r>
      <w:r w:rsidRPr="005A4C1A">
        <w:rPr>
          <w:rStyle w:val="FootnoteReference"/>
          <w:spacing w:val="-2"/>
          <w:kern w:val="2"/>
          <w:sz w:val="22"/>
          <w:lang w:val="en-GB"/>
        </w:rPr>
        <w:footnoteReference w:id="2"/>
      </w:r>
      <w:r w:rsidRPr="005A4C1A">
        <w:rPr>
          <w:spacing w:val="-2"/>
          <w:kern w:val="2"/>
          <w:sz w:val="22"/>
          <w:lang w:val="en-GB"/>
        </w:rPr>
        <w:t xml:space="preserve"> signed an agreement, The Basic Principles of Establishing a Gas Pipeline from Timur to China</w:t>
      </w:r>
      <w:r w:rsidR="00357B20">
        <w:rPr>
          <w:spacing w:val="-2"/>
          <w:kern w:val="2"/>
          <w:sz w:val="22"/>
          <w:lang w:val="en-GB"/>
        </w:rPr>
        <w:t xml:space="preserve"> (Basic Principles)</w:t>
      </w:r>
      <w:r w:rsidRPr="005A4C1A">
        <w:rPr>
          <w:spacing w:val="-2"/>
          <w:kern w:val="2"/>
          <w:sz w:val="22"/>
          <w:lang w:val="en-GB"/>
        </w:rPr>
        <w:t xml:space="preserve">, with the Energy Department of Timur. The agreement stipulated that CNGC would </w:t>
      </w:r>
      <w:r w:rsidRPr="005A4C1A">
        <w:rPr>
          <w:rFonts w:eastAsia="SimSun"/>
          <w:spacing w:val="-2"/>
          <w:kern w:val="2"/>
          <w:sz w:val="22"/>
          <w:lang w:val="en-GB" w:eastAsia="zh-CN"/>
        </w:rPr>
        <w:t xml:space="preserve">take the lead </w:t>
      </w:r>
      <w:r w:rsidR="00A169CC">
        <w:rPr>
          <w:rFonts w:eastAsia="SimSun"/>
          <w:spacing w:val="-2"/>
          <w:kern w:val="2"/>
          <w:sz w:val="22"/>
          <w:lang w:val="en-GB" w:eastAsia="zh-CN"/>
        </w:rPr>
        <w:t>in</w:t>
      </w:r>
      <w:r w:rsidR="00A169CC" w:rsidRPr="005A4C1A">
        <w:rPr>
          <w:rFonts w:eastAsia="SimSun"/>
          <w:spacing w:val="-2"/>
          <w:kern w:val="2"/>
          <w:sz w:val="22"/>
          <w:lang w:val="en-GB" w:eastAsia="zh-CN"/>
        </w:rPr>
        <w:t xml:space="preserve"> </w:t>
      </w:r>
      <w:r w:rsidRPr="005A4C1A">
        <w:rPr>
          <w:rFonts w:eastAsia="SimSun"/>
          <w:spacing w:val="-2"/>
          <w:kern w:val="2"/>
          <w:sz w:val="22"/>
          <w:lang w:val="en-GB" w:eastAsia="zh-CN"/>
        </w:rPr>
        <w:t xml:space="preserve">financing and </w:t>
      </w:r>
      <w:r w:rsidRPr="005A4C1A">
        <w:rPr>
          <w:spacing w:val="-2"/>
          <w:kern w:val="2"/>
          <w:sz w:val="22"/>
          <w:lang w:val="en-GB"/>
        </w:rPr>
        <w:t>build</w:t>
      </w:r>
      <w:r w:rsidR="00A169CC">
        <w:rPr>
          <w:spacing w:val="-2"/>
          <w:kern w:val="2"/>
          <w:sz w:val="22"/>
          <w:lang w:val="en-GB"/>
        </w:rPr>
        <w:t>ing</w:t>
      </w:r>
      <w:r w:rsidRPr="005A4C1A">
        <w:rPr>
          <w:spacing w:val="-2"/>
          <w:kern w:val="2"/>
          <w:sz w:val="22"/>
          <w:lang w:val="en-GB"/>
        </w:rPr>
        <w:t xml:space="preserve"> a land-based MNGP from Timur to China by the end of 2017 and that Timur </w:t>
      </w:r>
      <w:r w:rsidR="002045EA" w:rsidRPr="005A4C1A">
        <w:rPr>
          <w:spacing w:val="-2"/>
          <w:kern w:val="2"/>
          <w:sz w:val="22"/>
          <w:lang w:val="en-GB"/>
        </w:rPr>
        <w:t>would</w:t>
      </w:r>
      <w:r w:rsidRPr="005A4C1A">
        <w:rPr>
          <w:spacing w:val="-2"/>
          <w:kern w:val="2"/>
          <w:sz w:val="22"/>
          <w:lang w:val="en-GB"/>
        </w:rPr>
        <w:t xml:space="preserve"> export 30 billion cubic met</w:t>
      </w:r>
      <w:r w:rsidR="002045EA" w:rsidRPr="005A4C1A">
        <w:rPr>
          <w:spacing w:val="-2"/>
          <w:kern w:val="2"/>
          <w:sz w:val="22"/>
          <w:lang w:val="en-GB"/>
        </w:rPr>
        <w:t>r</w:t>
      </w:r>
      <w:r w:rsidRPr="005A4C1A">
        <w:rPr>
          <w:spacing w:val="-2"/>
          <w:kern w:val="2"/>
          <w:sz w:val="22"/>
          <w:lang w:val="en-GB"/>
        </w:rPr>
        <w:t>es of natural gas to China annually through the pipeline for 30 years</w:t>
      </w:r>
      <w:r w:rsidR="00A169CC">
        <w:rPr>
          <w:spacing w:val="-2"/>
          <w:kern w:val="2"/>
          <w:sz w:val="22"/>
          <w:lang w:val="en-GB"/>
        </w:rPr>
        <w:t>,</w:t>
      </w:r>
      <w:r w:rsidRPr="005A4C1A">
        <w:rPr>
          <w:spacing w:val="-2"/>
          <w:kern w:val="2"/>
          <w:sz w:val="22"/>
          <w:lang w:val="en-GB"/>
        </w:rPr>
        <w:t xml:space="preserve"> starting from 2017.</w:t>
      </w:r>
      <w:r w:rsidRPr="005A4C1A">
        <w:rPr>
          <w:rFonts w:eastAsia="SimSun"/>
          <w:spacing w:val="-2"/>
          <w:kern w:val="2"/>
          <w:sz w:val="22"/>
          <w:lang w:val="en-GB" w:eastAsia="zh-CN"/>
        </w:rPr>
        <w:t xml:space="preserve"> </w:t>
      </w:r>
      <w:r w:rsidRPr="005A4C1A">
        <w:rPr>
          <w:spacing w:val="-2"/>
          <w:kern w:val="2"/>
          <w:sz w:val="22"/>
          <w:lang w:val="en-GB"/>
        </w:rPr>
        <w:t>However,</w:t>
      </w:r>
      <w:r w:rsidRPr="005A4C1A">
        <w:rPr>
          <w:spacing w:val="-2"/>
          <w:kern w:val="2"/>
          <w:lang w:val="en-GB"/>
        </w:rPr>
        <w:t xml:space="preserve"> </w:t>
      </w:r>
      <w:r w:rsidRPr="005A4C1A">
        <w:rPr>
          <w:spacing w:val="-2"/>
          <w:kern w:val="2"/>
          <w:sz w:val="22"/>
          <w:lang w:val="en-GB"/>
        </w:rPr>
        <w:t xml:space="preserve">China and Timur </w:t>
      </w:r>
      <w:r w:rsidR="002045EA" w:rsidRPr="005A4C1A">
        <w:rPr>
          <w:spacing w:val="-2"/>
          <w:kern w:val="2"/>
          <w:sz w:val="22"/>
          <w:lang w:val="en-GB"/>
        </w:rPr>
        <w:t>did</w:t>
      </w:r>
      <w:r w:rsidRPr="005A4C1A">
        <w:rPr>
          <w:spacing w:val="-2"/>
          <w:kern w:val="2"/>
          <w:sz w:val="22"/>
          <w:lang w:val="en-GB"/>
        </w:rPr>
        <w:t xml:space="preserve"> not border</w:t>
      </w:r>
      <w:r w:rsidR="002045EA" w:rsidRPr="005A4C1A">
        <w:rPr>
          <w:spacing w:val="-2"/>
          <w:kern w:val="2"/>
          <w:sz w:val="22"/>
          <w:lang w:val="en-GB"/>
        </w:rPr>
        <w:t xml:space="preserve"> each other</w:t>
      </w:r>
      <w:r w:rsidRPr="005A4C1A">
        <w:rPr>
          <w:spacing w:val="-2"/>
          <w:kern w:val="2"/>
          <w:sz w:val="22"/>
          <w:lang w:val="en-GB"/>
        </w:rPr>
        <w:t xml:space="preserve">, so the gas pipeline needed to go through </w:t>
      </w:r>
      <w:r w:rsidRPr="005A4C1A">
        <w:rPr>
          <w:rFonts w:eastAsia="SimSun"/>
          <w:spacing w:val="-2"/>
          <w:kern w:val="2"/>
          <w:sz w:val="22"/>
          <w:lang w:val="en-GB" w:eastAsia="zh-CN"/>
        </w:rPr>
        <w:t xml:space="preserve">a </w:t>
      </w:r>
      <w:r w:rsidRPr="005A4C1A">
        <w:rPr>
          <w:spacing w:val="-2"/>
          <w:kern w:val="2"/>
          <w:sz w:val="22"/>
          <w:lang w:val="en-GB"/>
        </w:rPr>
        <w:t>third countr</w:t>
      </w:r>
      <w:r w:rsidRPr="005A4C1A">
        <w:rPr>
          <w:rFonts w:eastAsia="SimSun"/>
          <w:spacing w:val="-2"/>
          <w:kern w:val="2"/>
          <w:sz w:val="22"/>
          <w:lang w:val="en-GB" w:eastAsia="zh-CN"/>
        </w:rPr>
        <w:t>y</w:t>
      </w:r>
      <w:r w:rsidRPr="005A4C1A">
        <w:rPr>
          <w:spacing w:val="-2"/>
          <w:kern w:val="2"/>
          <w:sz w:val="22"/>
          <w:lang w:val="en-GB"/>
        </w:rPr>
        <w:t xml:space="preserve">. Among a number of alternative routes, the route through Frespirit was the </w:t>
      </w:r>
      <w:r w:rsidRPr="005A4C1A">
        <w:rPr>
          <w:rFonts w:eastAsia="SimSun"/>
          <w:spacing w:val="-2"/>
          <w:kern w:val="2"/>
          <w:sz w:val="22"/>
          <w:lang w:val="en-GB" w:eastAsia="zh-CN"/>
        </w:rPr>
        <w:t>safest</w:t>
      </w:r>
      <w:r w:rsidR="002C0A36" w:rsidRPr="005A4C1A">
        <w:rPr>
          <w:rFonts w:eastAsia="SimSun"/>
          <w:spacing w:val="-2"/>
          <w:kern w:val="2"/>
          <w:sz w:val="22"/>
          <w:lang w:val="en-GB" w:eastAsia="zh-CN"/>
        </w:rPr>
        <w:t>, though not the shortest</w:t>
      </w:r>
      <w:r w:rsidRPr="005A4C1A">
        <w:rPr>
          <w:spacing w:val="-2"/>
          <w:kern w:val="2"/>
          <w:sz w:val="22"/>
          <w:lang w:val="en-GB"/>
        </w:rPr>
        <w:t xml:space="preserve">. Taking into account the long-term operation of the pipeline, CNGC decided to build </w:t>
      </w:r>
      <w:r w:rsidRPr="005A4C1A">
        <w:rPr>
          <w:rFonts w:eastAsia="SimSun"/>
          <w:spacing w:val="-2"/>
          <w:kern w:val="2"/>
          <w:sz w:val="22"/>
          <w:lang w:val="en-GB" w:eastAsia="zh-CN"/>
        </w:rPr>
        <w:t xml:space="preserve">the </w:t>
      </w:r>
      <w:r w:rsidRPr="005A4C1A">
        <w:rPr>
          <w:spacing w:val="-2"/>
          <w:kern w:val="2"/>
          <w:sz w:val="22"/>
          <w:lang w:val="en-GB"/>
        </w:rPr>
        <w:t>gas pipeline from Timur to China through Frespirit.</w:t>
      </w:r>
    </w:p>
    <w:p w14:paraId="7AA28BB7" w14:textId="77777777" w:rsidR="001D5C5C" w:rsidRPr="005A4C1A" w:rsidRDefault="001D5C5C" w:rsidP="005A4C1A">
      <w:pPr>
        <w:pStyle w:val="BodyTextMain"/>
        <w:rPr>
          <w:sz w:val="18"/>
          <w:szCs w:val="18"/>
          <w:lang w:val="en-GB"/>
        </w:rPr>
      </w:pPr>
    </w:p>
    <w:p w14:paraId="7481B3E8" w14:textId="779647A3" w:rsidR="001D5C5C" w:rsidRPr="005A4C1A" w:rsidRDefault="001D5C5C">
      <w:pPr>
        <w:rPr>
          <w:rFonts w:ascii="Arial" w:hAnsi="Arial" w:cs="Arial"/>
          <w:b/>
          <w:lang w:val="en-GB"/>
        </w:rPr>
      </w:pPr>
      <w:r w:rsidRPr="005A4C1A">
        <w:rPr>
          <w:rFonts w:ascii="Arial" w:hAnsi="Arial" w:cs="Arial"/>
          <w:b/>
          <w:lang w:val="en-GB"/>
        </w:rPr>
        <w:lastRenderedPageBreak/>
        <w:t>MULTINATIONAL NATURAL GAS PIPELINE</w:t>
      </w:r>
    </w:p>
    <w:p w14:paraId="2EDFC51E" w14:textId="77777777" w:rsidR="001D5C5C" w:rsidRPr="005A4C1A" w:rsidRDefault="001D5C5C" w:rsidP="00B60B6A">
      <w:pPr>
        <w:pStyle w:val="BodyTextMain"/>
        <w:rPr>
          <w:lang w:val="en-GB"/>
        </w:rPr>
      </w:pPr>
    </w:p>
    <w:p w14:paraId="5999D0DC" w14:textId="0B9E9FF2" w:rsidR="001D5C5C" w:rsidRPr="005A4C1A" w:rsidRDefault="001D5C5C">
      <w:pPr>
        <w:jc w:val="both"/>
        <w:rPr>
          <w:spacing w:val="-2"/>
          <w:kern w:val="22"/>
          <w:sz w:val="22"/>
          <w:lang w:val="en-GB"/>
        </w:rPr>
      </w:pPr>
      <w:r w:rsidRPr="005A4C1A">
        <w:rPr>
          <w:spacing w:val="-2"/>
          <w:kern w:val="22"/>
          <w:sz w:val="22"/>
          <w:lang w:val="en-GB"/>
        </w:rPr>
        <w:t xml:space="preserve">The MNGP started from Timur </w:t>
      </w:r>
      <w:r w:rsidR="002C0A36" w:rsidRPr="005A4C1A">
        <w:rPr>
          <w:spacing w:val="-2"/>
          <w:kern w:val="22"/>
          <w:sz w:val="22"/>
          <w:lang w:val="en-GB"/>
        </w:rPr>
        <w:t>and ran through</w:t>
      </w:r>
      <w:r w:rsidRPr="005A4C1A">
        <w:rPr>
          <w:spacing w:val="-2"/>
          <w:kern w:val="22"/>
          <w:sz w:val="22"/>
          <w:lang w:val="en-GB"/>
        </w:rPr>
        <w:t xml:space="preserve"> Frespirit </w:t>
      </w:r>
      <w:r w:rsidR="0046682B" w:rsidRPr="005A4C1A">
        <w:rPr>
          <w:spacing w:val="-2"/>
          <w:kern w:val="22"/>
          <w:sz w:val="22"/>
          <w:lang w:val="en-GB"/>
        </w:rPr>
        <w:t>before</w:t>
      </w:r>
      <w:r w:rsidRPr="005A4C1A">
        <w:rPr>
          <w:spacing w:val="-2"/>
          <w:kern w:val="22"/>
          <w:sz w:val="22"/>
          <w:lang w:val="en-GB"/>
        </w:rPr>
        <w:t xml:space="preserve"> entering China</w:t>
      </w:r>
      <w:r w:rsidR="0046682B" w:rsidRPr="005A4C1A">
        <w:rPr>
          <w:spacing w:val="-2"/>
          <w:kern w:val="22"/>
          <w:sz w:val="22"/>
          <w:lang w:val="en-GB"/>
        </w:rPr>
        <w:t>,</w:t>
      </w:r>
      <w:r w:rsidRPr="005A4C1A">
        <w:rPr>
          <w:spacing w:val="-2"/>
          <w:kern w:val="22"/>
          <w:sz w:val="22"/>
          <w:lang w:val="en-GB"/>
        </w:rPr>
        <w:t xml:space="preserve"> with a total length of 2,000 k</w:t>
      </w:r>
      <w:r w:rsidR="002C0A36" w:rsidRPr="005A4C1A">
        <w:rPr>
          <w:spacing w:val="-2"/>
          <w:kern w:val="22"/>
          <w:sz w:val="22"/>
          <w:lang w:val="en-GB"/>
        </w:rPr>
        <w:t>ilo</w:t>
      </w:r>
      <w:r w:rsidRPr="005A4C1A">
        <w:rPr>
          <w:spacing w:val="-2"/>
          <w:kern w:val="22"/>
          <w:sz w:val="22"/>
          <w:lang w:val="en-GB"/>
        </w:rPr>
        <w:t>m</w:t>
      </w:r>
      <w:r w:rsidR="002C0A36" w:rsidRPr="005A4C1A">
        <w:rPr>
          <w:spacing w:val="-2"/>
          <w:kern w:val="22"/>
          <w:sz w:val="22"/>
          <w:lang w:val="en-GB"/>
        </w:rPr>
        <w:t>etres</w:t>
      </w:r>
      <w:r w:rsidRPr="005A4C1A">
        <w:rPr>
          <w:spacing w:val="-2"/>
          <w:kern w:val="22"/>
          <w:sz w:val="22"/>
          <w:lang w:val="en-GB"/>
        </w:rPr>
        <w:t xml:space="preserve"> </w:t>
      </w:r>
      <w:r w:rsidR="002C0A36" w:rsidRPr="005A4C1A">
        <w:rPr>
          <w:spacing w:val="-2"/>
          <w:kern w:val="22"/>
          <w:sz w:val="22"/>
          <w:lang w:val="en-GB"/>
        </w:rPr>
        <w:t xml:space="preserve">(km) </w:t>
      </w:r>
      <w:r w:rsidRPr="005A4C1A">
        <w:rPr>
          <w:spacing w:val="-2"/>
          <w:kern w:val="22"/>
          <w:sz w:val="22"/>
          <w:lang w:val="en-GB"/>
        </w:rPr>
        <w:t xml:space="preserve">and a planned total investment of </w:t>
      </w:r>
      <w:r w:rsidR="0060066D" w:rsidRPr="005A4C1A">
        <w:rPr>
          <w:spacing w:val="-2"/>
          <w:kern w:val="22"/>
          <w:sz w:val="22"/>
          <w:lang w:val="en-GB"/>
        </w:rPr>
        <w:t>US</w:t>
      </w:r>
      <w:r w:rsidRPr="005A4C1A">
        <w:rPr>
          <w:spacing w:val="-2"/>
          <w:kern w:val="22"/>
          <w:sz w:val="22"/>
          <w:lang w:val="en-GB"/>
        </w:rPr>
        <w:t xml:space="preserve">$10 billion. In Timur, the pipeline was 500 km long and the investment was about </w:t>
      </w:r>
      <w:r w:rsidR="0060066D" w:rsidRPr="005A4C1A">
        <w:rPr>
          <w:spacing w:val="-2"/>
          <w:kern w:val="22"/>
          <w:sz w:val="22"/>
          <w:lang w:val="en-GB"/>
        </w:rPr>
        <w:t>US</w:t>
      </w:r>
      <w:r w:rsidRPr="005A4C1A">
        <w:rPr>
          <w:spacing w:val="-2"/>
          <w:kern w:val="22"/>
          <w:sz w:val="22"/>
          <w:lang w:val="en-GB"/>
        </w:rPr>
        <w:t>$3 billion. In Frespirit, the pipeline was 1,500 k</w:t>
      </w:r>
      <w:r w:rsidR="002C0A36" w:rsidRPr="005A4C1A">
        <w:rPr>
          <w:spacing w:val="-2"/>
          <w:kern w:val="22"/>
          <w:sz w:val="22"/>
          <w:lang w:val="en-GB"/>
        </w:rPr>
        <w:t>m</w:t>
      </w:r>
      <w:r w:rsidRPr="005A4C1A">
        <w:rPr>
          <w:spacing w:val="-2"/>
          <w:kern w:val="22"/>
          <w:sz w:val="22"/>
          <w:lang w:val="en-GB"/>
        </w:rPr>
        <w:t xml:space="preserve"> long and the investment was about</w:t>
      </w:r>
      <w:r w:rsidR="0060066D" w:rsidRPr="005A4C1A">
        <w:rPr>
          <w:spacing w:val="-2"/>
          <w:kern w:val="22"/>
          <w:sz w:val="22"/>
          <w:lang w:val="en-GB"/>
        </w:rPr>
        <w:t xml:space="preserve"> US$7 billion</w:t>
      </w:r>
      <w:r w:rsidRPr="005A4C1A">
        <w:rPr>
          <w:spacing w:val="-2"/>
          <w:kern w:val="22"/>
          <w:sz w:val="22"/>
          <w:lang w:val="en-GB"/>
        </w:rPr>
        <w:t xml:space="preserve">. The operating period of </w:t>
      </w:r>
      <w:r w:rsidR="004017F5" w:rsidRPr="005A4C1A">
        <w:rPr>
          <w:spacing w:val="-2"/>
          <w:kern w:val="22"/>
          <w:sz w:val="22"/>
          <w:lang w:val="en-GB"/>
        </w:rPr>
        <w:t xml:space="preserve">the </w:t>
      </w:r>
      <w:r w:rsidRPr="005A4C1A">
        <w:rPr>
          <w:spacing w:val="-2"/>
          <w:kern w:val="22"/>
          <w:sz w:val="22"/>
          <w:lang w:val="en-GB"/>
        </w:rPr>
        <w:t xml:space="preserve">MNGP was 30 years, starting </w:t>
      </w:r>
      <w:r w:rsidR="00694D71">
        <w:rPr>
          <w:spacing w:val="-2"/>
          <w:kern w:val="22"/>
          <w:sz w:val="22"/>
          <w:lang w:val="en-GB"/>
        </w:rPr>
        <w:t>at</w:t>
      </w:r>
      <w:r w:rsidRPr="005A4C1A">
        <w:rPr>
          <w:spacing w:val="-2"/>
          <w:kern w:val="22"/>
          <w:sz w:val="22"/>
          <w:lang w:val="en-GB"/>
        </w:rPr>
        <w:t xml:space="preserve"> the end of 2017.</w:t>
      </w:r>
    </w:p>
    <w:p w14:paraId="7CEE7444" w14:textId="77777777" w:rsidR="001D5C5C" w:rsidRPr="005A4C1A" w:rsidRDefault="001D5C5C" w:rsidP="00B60B6A">
      <w:pPr>
        <w:pStyle w:val="BodyTextMain"/>
        <w:rPr>
          <w:lang w:val="en-GB"/>
        </w:rPr>
      </w:pPr>
    </w:p>
    <w:p w14:paraId="62EF4791" w14:textId="490AE10E" w:rsidR="001D5C5C" w:rsidRPr="005A4C1A" w:rsidRDefault="001D5C5C">
      <w:pPr>
        <w:jc w:val="both"/>
        <w:rPr>
          <w:sz w:val="22"/>
          <w:lang w:val="en-GB"/>
        </w:rPr>
      </w:pPr>
      <w:r w:rsidRPr="005A4C1A">
        <w:rPr>
          <w:sz w:val="22"/>
          <w:lang w:val="en-GB"/>
        </w:rPr>
        <w:t xml:space="preserve">After the signing of the </w:t>
      </w:r>
      <w:r w:rsidR="00357B20">
        <w:rPr>
          <w:sz w:val="22"/>
          <w:lang w:val="en-GB"/>
        </w:rPr>
        <w:t xml:space="preserve">Basic Principles </w:t>
      </w:r>
      <w:r w:rsidRPr="005A4C1A">
        <w:rPr>
          <w:sz w:val="22"/>
          <w:lang w:val="en-GB"/>
        </w:rPr>
        <w:t xml:space="preserve">agreement </w:t>
      </w:r>
      <w:r w:rsidRPr="005A4C1A">
        <w:rPr>
          <w:iCs/>
          <w:sz w:val="22"/>
          <w:lang w:val="en-GB"/>
        </w:rPr>
        <w:t xml:space="preserve">in </w:t>
      </w:r>
      <w:r w:rsidRPr="005A4C1A">
        <w:rPr>
          <w:sz w:val="22"/>
          <w:lang w:val="en-GB"/>
        </w:rPr>
        <w:t xml:space="preserve">April 2014, the president of Timur </w:t>
      </w:r>
      <w:r w:rsidRPr="005A4C1A">
        <w:rPr>
          <w:rFonts w:eastAsia="SimSun"/>
          <w:sz w:val="22"/>
          <w:lang w:val="en-GB" w:eastAsia="zh-CN"/>
        </w:rPr>
        <w:t>resigned</w:t>
      </w:r>
      <w:r w:rsidRPr="005A4C1A">
        <w:rPr>
          <w:sz w:val="22"/>
          <w:lang w:val="en-GB"/>
        </w:rPr>
        <w:t xml:space="preserve">, which hindered the trade of natural gas between China and Timur. In July 2015, CNGC signed a </w:t>
      </w:r>
      <w:r w:rsidR="00A169CC">
        <w:rPr>
          <w:sz w:val="22"/>
          <w:lang w:val="en-GB"/>
        </w:rPr>
        <w:t>g</w:t>
      </w:r>
      <w:r w:rsidR="00A169CC" w:rsidRPr="005A4C1A">
        <w:rPr>
          <w:sz w:val="22"/>
          <w:lang w:val="en-GB"/>
        </w:rPr>
        <w:t xml:space="preserve">as </w:t>
      </w:r>
      <w:r w:rsidR="00A169CC">
        <w:rPr>
          <w:sz w:val="22"/>
          <w:lang w:val="en-GB"/>
        </w:rPr>
        <w:t>s</w:t>
      </w:r>
      <w:r w:rsidR="00A169CC" w:rsidRPr="005A4C1A">
        <w:rPr>
          <w:sz w:val="22"/>
          <w:lang w:val="en-GB"/>
        </w:rPr>
        <w:t xml:space="preserve">ales </w:t>
      </w:r>
      <w:r w:rsidRPr="005A4C1A">
        <w:rPr>
          <w:sz w:val="22"/>
          <w:lang w:val="en-GB"/>
        </w:rPr>
        <w:t xml:space="preserve">and </w:t>
      </w:r>
      <w:r w:rsidR="00A169CC">
        <w:rPr>
          <w:sz w:val="22"/>
          <w:lang w:val="en-GB"/>
        </w:rPr>
        <w:t>p</w:t>
      </w:r>
      <w:r w:rsidR="00A169CC" w:rsidRPr="005A4C1A">
        <w:rPr>
          <w:sz w:val="22"/>
          <w:lang w:val="en-GB"/>
        </w:rPr>
        <w:t xml:space="preserve">urchase </w:t>
      </w:r>
      <w:r w:rsidR="00A169CC">
        <w:rPr>
          <w:sz w:val="22"/>
          <w:lang w:val="en-GB"/>
        </w:rPr>
        <w:t>a</w:t>
      </w:r>
      <w:r w:rsidR="00A169CC" w:rsidRPr="005A4C1A">
        <w:rPr>
          <w:sz w:val="22"/>
          <w:lang w:val="en-GB"/>
        </w:rPr>
        <w:t xml:space="preserve">greement </w:t>
      </w:r>
      <w:r w:rsidRPr="005A4C1A">
        <w:rPr>
          <w:sz w:val="22"/>
          <w:lang w:val="en-GB"/>
        </w:rPr>
        <w:t xml:space="preserve">with the Energy Department of Timur. However, the deadline for completion was still the end of 2017, which meant that CNGC </w:t>
      </w:r>
      <w:r w:rsidR="00357B20">
        <w:rPr>
          <w:sz w:val="22"/>
          <w:lang w:val="en-GB"/>
        </w:rPr>
        <w:t>had</w:t>
      </w:r>
      <w:r w:rsidR="00357B20" w:rsidRPr="005A4C1A">
        <w:rPr>
          <w:sz w:val="22"/>
          <w:lang w:val="en-GB"/>
        </w:rPr>
        <w:t xml:space="preserve"> </w:t>
      </w:r>
      <w:r w:rsidRPr="005A4C1A">
        <w:rPr>
          <w:sz w:val="22"/>
          <w:lang w:val="en-GB"/>
        </w:rPr>
        <w:t xml:space="preserve">only 28 months. </w:t>
      </w:r>
      <w:r w:rsidR="001F1DAE" w:rsidRPr="005A4C1A">
        <w:rPr>
          <w:sz w:val="22"/>
          <w:lang w:val="en-GB"/>
        </w:rPr>
        <w:t>(</w:t>
      </w:r>
      <w:r w:rsidRPr="005A4C1A">
        <w:rPr>
          <w:sz w:val="22"/>
          <w:lang w:val="en-GB"/>
        </w:rPr>
        <w:t>To put this in context, the construction period of the Maghreb</w:t>
      </w:r>
      <w:r w:rsidR="0046682B" w:rsidRPr="005A4C1A">
        <w:rPr>
          <w:sz w:val="22"/>
          <w:lang w:val="en-GB"/>
        </w:rPr>
        <w:t>–</w:t>
      </w:r>
      <w:r w:rsidRPr="005A4C1A">
        <w:rPr>
          <w:sz w:val="22"/>
          <w:lang w:val="en-GB"/>
        </w:rPr>
        <w:t>Europe Gas Pipeline</w:t>
      </w:r>
      <w:r w:rsidR="0046682B" w:rsidRPr="005A4C1A">
        <w:rPr>
          <w:sz w:val="22"/>
          <w:lang w:val="en-GB"/>
        </w:rPr>
        <w:t>,</w:t>
      </w:r>
      <w:r w:rsidRPr="005A4C1A">
        <w:rPr>
          <w:sz w:val="22"/>
          <w:lang w:val="en-GB"/>
        </w:rPr>
        <w:t xml:space="preserve"> </w:t>
      </w:r>
      <w:r w:rsidR="0046682B" w:rsidRPr="005A4C1A">
        <w:rPr>
          <w:sz w:val="22"/>
          <w:lang w:val="en-GB"/>
        </w:rPr>
        <w:t xml:space="preserve">a pipeline </w:t>
      </w:r>
      <w:r w:rsidRPr="005A4C1A">
        <w:rPr>
          <w:sz w:val="22"/>
          <w:lang w:val="en-GB"/>
        </w:rPr>
        <w:t>of the same length</w:t>
      </w:r>
      <w:r w:rsidR="0046682B" w:rsidRPr="005A4C1A">
        <w:rPr>
          <w:sz w:val="22"/>
          <w:lang w:val="en-GB"/>
        </w:rPr>
        <w:t>,</w:t>
      </w:r>
      <w:r w:rsidRPr="005A4C1A">
        <w:rPr>
          <w:sz w:val="22"/>
          <w:lang w:val="en-GB"/>
        </w:rPr>
        <w:t xml:space="preserve"> had been about </w:t>
      </w:r>
      <w:r w:rsidR="0046682B" w:rsidRPr="005A4C1A">
        <w:rPr>
          <w:sz w:val="22"/>
          <w:lang w:val="en-GB"/>
        </w:rPr>
        <w:t>six</w:t>
      </w:r>
      <w:r w:rsidRPr="005A4C1A">
        <w:rPr>
          <w:sz w:val="22"/>
          <w:lang w:val="en-GB"/>
        </w:rPr>
        <w:t xml:space="preserve"> years.</w:t>
      </w:r>
      <w:r w:rsidR="001F1DAE" w:rsidRPr="005A4C1A">
        <w:rPr>
          <w:sz w:val="22"/>
          <w:lang w:val="en-GB"/>
        </w:rPr>
        <w:t>)</w:t>
      </w:r>
    </w:p>
    <w:p w14:paraId="1099710D" w14:textId="77777777" w:rsidR="001D5C5C" w:rsidRPr="005A4C1A" w:rsidRDefault="001D5C5C" w:rsidP="00B60B6A">
      <w:pPr>
        <w:pStyle w:val="BodyTextMain"/>
        <w:rPr>
          <w:lang w:val="en-GB"/>
        </w:rPr>
      </w:pPr>
    </w:p>
    <w:p w14:paraId="6992BE5C" w14:textId="4168B0AD" w:rsidR="001D5C5C" w:rsidRPr="005A4C1A" w:rsidRDefault="001D5C5C">
      <w:pPr>
        <w:jc w:val="both"/>
        <w:rPr>
          <w:sz w:val="22"/>
          <w:lang w:val="en-GB"/>
        </w:rPr>
      </w:pPr>
      <w:r w:rsidRPr="005A4C1A">
        <w:rPr>
          <w:sz w:val="22"/>
          <w:lang w:val="en-GB"/>
        </w:rPr>
        <w:t>In August 2015, CNGC set up a wholly</w:t>
      </w:r>
      <w:r w:rsidR="00357B20">
        <w:rPr>
          <w:sz w:val="22"/>
          <w:lang w:val="en-GB"/>
        </w:rPr>
        <w:t xml:space="preserve"> </w:t>
      </w:r>
      <w:r w:rsidRPr="005A4C1A">
        <w:rPr>
          <w:sz w:val="22"/>
          <w:lang w:val="en-GB"/>
        </w:rPr>
        <w:t>owned subsidiary in Beijing, namely, Western Regions Company</w:t>
      </w:r>
      <w:r w:rsidR="001F1DAE" w:rsidRPr="005A4C1A">
        <w:rPr>
          <w:sz w:val="22"/>
          <w:lang w:val="en-GB"/>
        </w:rPr>
        <w:t>,</w:t>
      </w:r>
      <w:r w:rsidRPr="005A4C1A">
        <w:rPr>
          <w:sz w:val="22"/>
          <w:lang w:val="en-GB"/>
        </w:rPr>
        <w:t xml:space="preserve"> </w:t>
      </w:r>
      <w:r w:rsidR="001F1DAE" w:rsidRPr="005A4C1A">
        <w:rPr>
          <w:sz w:val="22"/>
          <w:lang w:val="en-GB"/>
        </w:rPr>
        <w:t>which</w:t>
      </w:r>
      <w:r w:rsidRPr="005A4C1A">
        <w:rPr>
          <w:sz w:val="22"/>
          <w:lang w:val="en-GB"/>
        </w:rPr>
        <w:t xml:space="preserve"> was responsible for the construction and eventual operation of </w:t>
      </w:r>
      <w:r w:rsidR="004017F5" w:rsidRPr="005A4C1A">
        <w:rPr>
          <w:sz w:val="22"/>
          <w:lang w:val="en-GB"/>
        </w:rPr>
        <w:t xml:space="preserve">the </w:t>
      </w:r>
      <w:r w:rsidRPr="005A4C1A">
        <w:rPr>
          <w:sz w:val="22"/>
          <w:lang w:val="en-GB"/>
        </w:rPr>
        <w:t xml:space="preserve">MNGP. According to the laws of the transit countries, foreign companies </w:t>
      </w:r>
      <w:r w:rsidR="0046682B" w:rsidRPr="005A4C1A">
        <w:rPr>
          <w:sz w:val="22"/>
          <w:lang w:val="en-GB"/>
        </w:rPr>
        <w:t>had to</w:t>
      </w:r>
      <w:r w:rsidRPr="005A4C1A">
        <w:rPr>
          <w:sz w:val="22"/>
          <w:lang w:val="en-GB"/>
        </w:rPr>
        <w:t xml:space="preserve"> set up </w:t>
      </w:r>
      <w:r w:rsidR="0046682B" w:rsidRPr="005A4C1A">
        <w:rPr>
          <w:sz w:val="22"/>
          <w:lang w:val="en-GB"/>
        </w:rPr>
        <w:t xml:space="preserve">JVs </w:t>
      </w:r>
      <w:r w:rsidRPr="005A4C1A">
        <w:rPr>
          <w:sz w:val="22"/>
          <w:lang w:val="en-GB"/>
        </w:rPr>
        <w:t>with local companies to construct and operate the pipelines. In these JVs, the proportion of foreign ownership c</w:t>
      </w:r>
      <w:r w:rsidR="004017F5" w:rsidRPr="005A4C1A">
        <w:rPr>
          <w:sz w:val="22"/>
          <w:lang w:val="en-GB"/>
        </w:rPr>
        <w:t xml:space="preserve">ould </w:t>
      </w:r>
      <w:r w:rsidRPr="005A4C1A">
        <w:rPr>
          <w:sz w:val="22"/>
          <w:lang w:val="en-GB"/>
        </w:rPr>
        <w:t>not exceed 50</w:t>
      </w:r>
      <w:r w:rsidR="004017F5" w:rsidRPr="005A4C1A">
        <w:rPr>
          <w:sz w:val="22"/>
          <w:lang w:val="en-GB"/>
        </w:rPr>
        <w:t xml:space="preserve"> per cent</w:t>
      </w:r>
      <w:r w:rsidRPr="005A4C1A">
        <w:rPr>
          <w:sz w:val="22"/>
          <w:lang w:val="en-GB"/>
        </w:rPr>
        <w:t xml:space="preserve">. </w:t>
      </w:r>
    </w:p>
    <w:p w14:paraId="3D9DC9EE" w14:textId="77777777" w:rsidR="001D5C5C" w:rsidRPr="005A4C1A" w:rsidRDefault="001D5C5C" w:rsidP="00B60B6A">
      <w:pPr>
        <w:pStyle w:val="BodyTextMain"/>
        <w:rPr>
          <w:lang w:val="en-GB"/>
        </w:rPr>
      </w:pPr>
    </w:p>
    <w:p w14:paraId="695888A0" w14:textId="684EA779" w:rsidR="001D5C5C" w:rsidRPr="005A4C1A" w:rsidRDefault="001D5C5C">
      <w:pPr>
        <w:jc w:val="both"/>
        <w:rPr>
          <w:sz w:val="22"/>
          <w:lang w:val="en-GB"/>
        </w:rPr>
      </w:pPr>
      <w:r w:rsidRPr="005A4C1A">
        <w:rPr>
          <w:sz w:val="22"/>
          <w:lang w:val="en-GB"/>
        </w:rPr>
        <w:t xml:space="preserve">At the beginning of 2016, Western Regions Company established </w:t>
      </w:r>
      <w:bookmarkStart w:id="3" w:name="_Hlk501545256"/>
      <w:r w:rsidRPr="005A4C1A">
        <w:rPr>
          <w:sz w:val="22"/>
          <w:lang w:val="en-GB"/>
        </w:rPr>
        <w:t>Western Timur</w:t>
      </w:r>
      <w:bookmarkEnd w:id="3"/>
      <w:r w:rsidRPr="005A4C1A">
        <w:rPr>
          <w:sz w:val="22"/>
          <w:lang w:val="en-GB"/>
        </w:rPr>
        <w:t xml:space="preserve"> Gas Pipeline Company (</w:t>
      </w:r>
      <w:bookmarkStart w:id="4" w:name="_Hlk501545276"/>
      <w:r w:rsidRPr="005A4C1A">
        <w:rPr>
          <w:sz w:val="22"/>
          <w:lang w:val="en-GB"/>
        </w:rPr>
        <w:t>Western Timur Company</w:t>
      </w:r>
      <w:bookmarkEnd w:id="4"/>
      <w:r w:rsidRPr="005A4C1A">
        <w:rPr>
          <w:sz w:val="22"/>
          <w:lang w:val="en-GB"/>
        </w:rPr>
        <w:t xml:space="preserve">) with Timur National Oil Holdings Group (TNG), and Western Frespirit Gas Pipeline Company (Western Frespirit Company) with Frespirit Gas Transmission Group (FTG). Western Timur Company was in charge of the construction and operation of </w:t>
      </w:r>
      <w:r w:rsidR="004017F5" w:rsidRPr="005A4C1A">
        <w:rPr>
          <w:sz w:val="22"/>
          <w:lang w:val="en-GB"/>
        </w:rPr>
        <w:t xml:space="preserve">the </w:t>
      </w:r>
      <w:r w:rsidRPr="005A4C1A">
        <w:rPr>
          <w:sz w:val="22"/>
          <w:lang w:val="en-GB"/>
        </w:rPr>
        <w:t>MNGP in the Timur section</w:t>
      </w:r>
      <w:r w:rsidR="004017F5" w:rsidRPr="005A4C1A">
        <w:rPr>
          <w:sz w:val="22"/>
          <w:lang w:val="en-GB"/>
        </w:rPr>
        <w:t>,</w:t>
      </w:r>
      <w:r w:rsidRPr="005A4C1A">
        <w:rPr>
          <w:sz w:val="22"/>
          <w:lang w:val="en-GB"/>
        </w:rPr>
        <w:t xml:space="preserve"> and Western Frespirit Company was responsible for the part </w:t>
      </w:r>
      <w:r w:rsidR="004017F5" w:rsidRPr="005A4C1A">
        <w:rPr>
          <w:sz w:val="22"/>
          <w:lang w:val="en-GB"/>
        </w:rPr>
        <w:t xml:space="preserve">of the MNGP </w:t>
      </w:r>
      <w:r w:rsidRPr="005A4C1A">
        <w:rPr>
          <w:sz w:val="22"/>
          <w:lang w:val="en-GB"/>
        </w:rPr>
        <w:t xml:space="preserve">in Frespirit. </w:t>
      </w:r>
    </w:p>
    <w:p w14:paraId="047E41D0" w14:textId="77777777" w:rsidR="001D5C5C" w:rsidRPr="00B60B6A" w:rsidRDefault="001D5C5C" w:rsidP="00B60B6A">
      <w:pPr>
        <w:pStyle w:val="BodyTextMain"/>
      </w:pPr>
    </w:p>
    <w:p w14:paraId="7AAF7A50" w14:textId="77777777" w:rsidR="001D5C5C" w:rsidRPr="00B60B6A" w:rsidRDefault="001D5C5C" w:rsidP="00B60B6A">
      <w:pPr>
        <w:pStyle w:val="BodyTextMain"/>
      </w:pPr>
    </w:p>
    <w:p w14:paraId="38F44048" w14:textId="7814F305" w:rsidR="001D5C5C" w:rsidRPr="005A4C1A" w:rsidRDefault="001D5C5C">
      <w:pPr>
        <w:rPr>
          <w:rFonts w:ascii="Arial" w:hAnsi="Arial" w:cs="Arial"/>
          <w:b/>
          <w:lang w:val="en-GB"/>
        </w:rPr>
      </w:pPr>
      <w:r w:rsidRPr="005A4C1A">
        <w:rPr>
          <w:rFonts w:ascii="Arial" w:hAnsi="Arial" w:cs="Arial"/>
          <w:b/>
          <w:lang w:val="en-GB"/>
        </w:rPr>
        <w:t>CHINA N</w:t>
      </w:r>
      <w:r w:rsidRPr="005A4C1A">
        <w:rPr>
          <w:rFonts w:ascii="Arial" w:eastAsia="SimSun" w:hAnsi="Arial" w:cs="Arial"/>
          <w:b/>
          <w:lang w:val="en-GB" w:eastAsia="zh-CN"/>
        </w:rPr>
        <w:t>EW</w:t>
      </w:r>
      <w:r w:rsidRPr="005A4C1A">
        <w:rPr>
          <w:rFonts w:ascii="Arial" w:hAnsi="Arial" w:cs="Arial"/>
          <w:b/>
          <w:lang w:val="en-GB"/>
        </w:rPr>
        <w:t xml:space="preserve"> GROUP CORPORATION</w:t>
      </w:r>
    </w:p>
    <w:p w14:paraId="0D52CF52" w14:textId="77777777" w:rsidR="001D5C5C" w:rsidRPr="005A4C1A" w:rsidRDefault="001D5C5C" w:rsidP="00B60B6A">
      <w:pPr>
        <w:pStyle w:val="BodyTextMain"/>
        <w:rPr>
          <w:lang w:val="en-GB"/>
        </w:rPr>
      </w:pPr>
    </w:p>
    <w:p w14:paraId="3CE82301" w14:textId="07FB6A42" w:rsidR="001D5C5C" w:rsidRPr="005A4C1A" w:rsidRDefault="001D5C5C">
      <w:pPr>
        <w:jc w:val="both"/>
        <w:rPr>
          <w:sz w:val="32"/>
          <w:shd w:val="clear" w:color="auto" w:fill="FFFF00"/>
          <w:lang w:val="en-GB"/>
        </w:rPr>
      </w:pPr>
      <w:r w:rsidRPr="005A4C1A">
        <w:rPr>
          <w:sz w:val="22"/>
          <w:lang w:val="en-GB"/>
        </w:rPr>
        <w:t xml:space="preserve">CNGC was a large-scale company in China </w:t>
      </w:r>
      <w:r w:rsidR="004017F5" w:rsidRPr="005A4C1A">
        <w:rPr>
          <w:sz w:val="22"/>
          <w:lang w:val="en-GB"/>
        </w:rPr>
        <w:t>that</w:t>
      </w:r>
      <w:r w:rsidRPr="005A4C1A">
        <w:rPr>
          <w:sz w:val="22"/>
          <w:lang w:val="en-GB"/>
        </w:rPr>
        <w:t xml:space="preserve"> played a leading role in China</w:t>
      </w:r>
      <w:r w:rsidR="00262120" w:rsidRPr="005A4C1A">
        <w:rPr>
          <w:sz w:val="22"/>
          <w:lang w:val="en-GB"/>
        </w:rPr>
        <w:t>’</w:t>
      </w:r>
      <w:r w:rsidRPr="005A4C1A">
        <w:rPr>
          <w:sz w:val="22"/>
          <w:lang w:val="en-GB"/>
        </w:rPr>
        <w:t xml:space="preserve">s petroleum industry. It was also among the world’s largest oil companies. </w:t>
      </w:r>
    </w:p>
    <w:p w14:paraId="3093A944" w14:textId="77777777" w:rsidR="001D5C5C" w:rsidRPr="005A4C1A" w:rsidRDefault="001D5C5C" w:rsidP="00B60B6A">
      <w:pPr>
        <w:pStyle w:val="BodyTextMain"/>
        <w:rPr>
          <w:lang w:val="en-GB"/>
        </w:rPr>
      </w:pPr>
    </w:p>
    <w:p w14:paraId="2BD16F9E" w14:textId="2C7BC9DD" w:rsidR="001D5C5C" w:rsidRPr="005A4C1A" w:rsidRDefault="001D5C5C">
      <w:pPr>
        <w:jc w:val="both"/>
        <w:rPr>
          <w:sz w:val="22"/>
          <w:lang w:val="en-GB"/>
        </w:rPr>
      </w:pPr>
      <w:r w:rsidRPr="005A4C1A">
        <w:rPr>
          <w:sz w:val="22"/>
          <w:lang w:val="en-GB"/>
        </w:rPr>
        <w:t xml:space="preserve">In the 1990s, CNGC </w:t>
      </w:r>
      <w:r w:rsidR="00C9037D" w:rsidRPr="005A4C1A">
        <w:rPr>
          <w:sz w:val="22"/>
          <w:lang w:val="en-GB"/>
        </w:rPr>
        <w:t xml:space="preserve">successively </w:t>
      </w:r>
      <w:r w:rsidRPr="005A4C1A">
        <w:rPr>
          <w:sz w:val="22"/>
          <w:lang w:val="en-GB"/>
        </w:rPr>
        <w:t xml:space="preserve">opened up markets in </w:t>
      </w:r>
      <w:r w:rsidRPr="005A4C1A">
        <w:rPr>
          <w:sz w:val="22"/>
          <w:szCs w:val="22"/>
          <w:lang w:val="en-GB" w:eastAsia="zh-CN"/>
        </w:rPr>
        <w:t>Latin America</w:t>
      </w:r>
      <w:r w:rsidRPr="005A4C1A">
        <w:rPr>
          <w:sz w:val="22"/>
          <w:szCs w:val="22"/>
          <w:lang w:val="en-GB"/>
        </w:rPr>
        <w:t xml:space="preserve">, </w:t>
      </w:r>
      <w:r w:rsidR="00262120" w:rsidRPr="005A4C1A">
        <w:rPr>
          <w:sz w:val="22"/>
          <w:szCs w:val="22"/>
          <w:lang w:val="en-GB"/>
        </w:rPr>
        <w:t xml:space="preserve">the </w:t>
      </w:r>
      <w:r w:rsidRPr="005A4C1A">
        <w:rPr>
          <w:sz w:val="22"/>
          <w:szCs w:val="22"/>
          <w:lang w:val="en-GB" w:eastAsia="zh-CN"/>
        </w:rPr>
        <w:t>Middle East</w:t>
      </w:r>
      <w:r w:rsidRPr="005A4C1A">
        <w:rPr>
          <w:sz w:val="22"/>
          <w:lang w:val="en-GB"/>
        </w:rPr>
        <w:t>, Frespirit</w:t>
      </w:r>
      <w:r w:rsidR="00262120" w:rsidRPr="005A4C1A">
        <w:rPr>
          <w:sz w:val="22"/>
          <w:lang w:val="en-GB"/>
        </w:rPr>
        <w:t>,</w:t>
      </w:r>
      <w:r w:rsidRPr="005A4C1A">
        <w:rPr>
          <w:sz w:val="22"/>
          <w:lang w:val="en-GB"/>
        </w:rPr>
        <w:t xml:space="preserve"> and other countries. The Sino</w:t>
      </w:r>
      <w:r w:rsidR="001F1DAE" w:rsidRPr="005A4C1A">
        <w:rPr>
          <w:sz w:val="22"/>
          <w:lang w:val="en-GB"/>
        </w:rPr>
        <w:t>–</w:t>
      </w:r>
      <w:r w:rsidRPr="005A4C1A">
        <w:rPr>
          <w:sz w:val="22"/>
          <w:lang w:val="en-GB"/>
        </w:rPr>
        <w:t xml:space="preserve">Frespirit crude oil pipeline of CNGC and FTG was built in 2011. </w:t>
      </w:r>
      <w:r w:rsidRPr="005A4C1A">
        <w:rPr>
          <w:rFonts w:eastAsia="SimSun"/>
          <w:sz w:val="22"/>
          <w:lang w:val="en-GB" w:eastAsia="zh-CN"/>
        </w:rPr>
        <w:t>By</w:t>
      </w:r>
      <w:r w:rsidRPr="005A4C1A">
        <w:rPr>
          <w:sz w:val="22"/>
          <w:lang w:val="en-GB"/>
        </w:rPr>
        <w:t xml:space="preserve"> 2015, CNGC </w:t>
      </w:r>
      <w:r w:rsidR="00262120" w:rsidRPr="005A4C1A">
        <w:rPr>
          <w:sz w:val="22"/>
          <w:lang w:val="en-GB"/>
        </w:rPr>
        <w:t xml:space="preserve">had </w:t>
      </w:r>
      <w:r w:rsidRPr="005A4C1A">
        <w:rPr>
          <w:sz w:val="22"/>
          <w:lang w:val="en-GB"/>
        </w:rPr>
        <w:t xml:space="preserve">also completed </w:t>
      </w:r>
      <w:r w:rsidRPr="005A4C1A">
        <w:rPr>
          <w:rFonts w:eastAsia="SimSun"/>
          <w:sz w:val="22"/>
          <w:lang w:val="en-GB" w:eastAsia="zh-CN"/>
        </w:rPr>
        <w:t>pipeline</w:t>
      </w:r>
      <w:r w:rsidRPr="005A4C1A">
        <w:rPr>
          <w:sz w:val="22"/>
          <w:lang w:val="en-GB"/>
        </w:rPr>
        <w:t xml:space="preserve"> project</w:t>
      </w:r>
      <w:r w:rsidRPr="005A4C1A">
        <w:rPr>
          <w:rFonts w:eastAsia="SimSun"/>
          <w:sz w:val="22"/>
          <w:lang w:val="en-GB" w:eastAsia="zh-CN"/>
        </w:rPr>
        <w:t>s</w:t>
      </w:r>
      <w:r w:rsidRPr="005A4C1A">
        <w:rPr>
          <w:sz w:val="22"/>
          <w:lang w:val="en-GB"/>
        </w:rPr>
        <w:t xml:space="preserve"> </w:t>
      </w:r>
      <w:r w:rsidRPr="005A4C1A">
        <w:rPr>
          <w:rFonts w:eastAsia="SimSun"/>
          <w:sz w:val="22"/>
          <w:lang w:val="en-GB" w:eastAsia="zh-CN"/>
        </w:rPr>
        <w:t>in China</w:t>
      </w:r>
      <w:r w:rsidRPr="005A4C1A">
        <w:rPr>
          <w:sz w:val="22"/>
          <w:lang w:val="en-GB"/>
        </w:rPr>
        <w:t xml:space="preserve"> with a total length of </w:t>
      </w:r>
      <w:r w:rsidRPr="005A4C1A">
        <w:rPr>
          <w:rFonts w:eastAsia="SimSun"/>
          <w:sz w:val="22"/>
          <w:lang w:val="en-GB" w:eastAsia="zh-CN"/>
        </w:rPr>
        <w:t xml:space="preserve">more than </w:t>
      </w:r>
      <w:r w:rsidRPr="005A4C1A">
        <w:rPr>
          <w:sz w:val="22"/>
          <w:lang w:val="en-GB"/>
        </w:rPr>
        <w:t xml:space="preserve">4,200 km and an investment of more than </w:t>
      </w:r>
      <w:r w:rsidR="00262120" w:rsidRPr="005A4C1A">
        <w:rPr>
          <w:sz w:val="22"/>
          <w:szCs w:val="22"/>
          <w:shd w:val="clear" w:color="auto" w:fill="FFFFFF"/>
          <w:lang w:val="en-GB"/>
        </w:rPr>
        <w:t>¥</w:t>
      </w:r>
      <w:r w:rsidRPr="005A4C1A">
        <w:rPr>
          <w:sz w:val="22"/>
          <w:lang w:val="en-GB"/>
        </w:rPr>
        <w:t>140 billion.</w:t>
      </w:r>
      <w:r w:rsidR="00262120" w:rsidRPr="005A4C1A">
        <w:rPr>
          <w:rStyle w:val="FootnoteReference"/>
          <w:sz w:val="22"/>
          <w:lang w:val="en-GB"/>
        </w:rPr>
        <w:footnoteReference w:id="3"/>
      </w:r>
      <w:r w:rsidRPr="005A4C1A">
        <w:rPr>
          <w:sz w:val="22"/>
          <w:lang w:val="en-GB"/>
        </w:rPr>
        <w:t xml:space="preserve"> </w:t>
      </w:r>
    </w:p>
    <w:p w14:paraId="1CB3D90B" w14:textId="77777777" w:rsidR="001D5C5C" w:rsidRPr="005A4C1A" w:rsidRDefault="001D5C5C" w:rsidP="00B60B6A">
      <w:pPr>
        <w:pStyle w:val="BodyTextMain"/>
        <w:rPr>
          <w:lang w:val="en-GB"/>
        </w:rPr>
      </w:pPr>
    </w:p>
    <w:p w14:paraId="3A9A29E7" w14:textId="774AE41A" w:rsidR="001D5C5C" w:rsidRPr="005A4C1A" w:rsidRDefault="001D5C5C">
      <w:pPr>
        <w:jc w:val="both"/>
        <w:rPr>
          <w:sz w:val="22"/>
          <w:lang w:val="en-GB"/>
        </w:rPr>
      </w:pPr>
      <w:r w:rsidRPr="005A4C1A">
        <w:rPr>
          <w:sz w:val="22"/>
          <w:lang w:val="en-GB"/>
        </w:rPr>
        <w:t xml:space="preserve">After signing </w:t>
      </w:r>
      <w:r w:rsidR="00FE66FA">
        <w:rPr>
          <w:sz w:val="22"/>
          <w:lang w:val="en-GB"/>
        </w:rPr>
        <w:t>t</w:t>
      </w:r>
      <w:r w:rsidR="00FE66FA" w:rsidRPr="005A4C1A">
        <w:rPr>
          <w:sz w:val="22"/>
          <w:lang w:val="en-GB"/>
        </w:rPr>
        <w:t xml:space="preserve">he </w:t>
      </w:r>
      <w:r w:rsidRPr="005A4C1A">
        <w:rPr>
          <w:sz w:val="22"/>
          <w:lang w:val="en-GB"/>
        </w:rPr>
        <w:t xml:space="preserve">Basic Principles </w:t>
      </w:r>
      <w:r w:rsidR="00FE66FA">
        <w:rPr>
          <w:sz w:val="22"/>
          <w:lang w:val="en-GB"/>
        </w:rPr>
        <w:t>agreement</w:t>
      </w:r>
      <w:r w:rsidRPr="005A4C1A">
        <w:rPr>
          <w:sz w:val="22"/>
          <w:lang w:val="en-GB"/>
        </w:rPr>
        <w:t xml:space="preserve"> in 2014, and in order to ensure the MNGP’s completion by the end of 2017, CNGC presided over the feasibility study, preliminary design, early procurement of pipe materials</w:t>
      </w:r>
      <w:r w:rsidR="00262120" w:rsidRPr="005A4C1A">
        <w:rPr>
          <w:sz w:val="22"/>
          <w:lang w:val="en-GB"/>
        </w:rPr>
        <w:t>,</w:t>
      </w:r>
      <w:r w:rsidRPr="005A4C1A">
        <w:rPr>
          <w:sz w:val="22"/>
          <w:lang w:val="en-GB"/>
        </w:rPr>
        <w:t xml:space="preserve"> and project financing of </w:t>
      </w:r>
      <w:r w:rsidR="00262120" w:rsidRPr="005A4C1A">
        <w:rPr>
          <w:sz w:val="22"/>
          <w:lang w:val="en-GB"/>
        </w:rPr>
        <w:t xml:space="preserve">the </w:t>
      </w:r>
      <w:r w:rsidRPr="005A4C1A">
        <w:rPr>
          <w:sz w:val="22"/>
          <w:lang w:val="en-GB"/>
        </w:rPr>
        <w:t>MNGP. In August 2015, Western Regions Company, the wholly</w:t>
      </w:r>
      <w:r w:rsidR="00FE66FA">
        <w:rPr>
          <w:sz w:val="22"/>
          <w:lang w:val="en-GB"/>
        </w:rPr>
        <w:t xml:space="preserve"> </w:t>
      </w:r>
      <w:r w:rsidRPr="005A4C1A">
        <w:rPr>
          <w:sz w:val="22"/>
          <w:lang w:val="en-GB"/>
        </w:rPr>
        <w:t xml:space="preserve">owned subsidiary of </w:t>
      </w:r>
      <w:r w:rsidRPr="005A4C1A">
        <w:rPr>
          <w:rStyle w:val="BodyTextMainChar"/>
          <w:sz w:val="22"/>
          <w:lang w:val="en-GB"/>
        </w:rPr>
        <w:t>CNGC,</w:t>
      </w:r>
      <w:r w:rsidRPr="005A4C1A">
        <w:rPr>
          <w:sz w:val="24"/>
          <w:szCs w:val="22"/>
          <w:lang w:val="en-GB"/>
        </w:rPr>
        <w:t xml:space="preserve"> </w:t>
      </w:r>
      <w:r w:rsidRPr="005A4C1A">
        <w:rPr>
          <w:sz w:val="22"/>
          <w:lang w:val="en-GB"/>
        </w:rPr>
        <w:t xml:space="preserve">was established in Beijing, </w:t>
      </w:r>
      <w:r w:rsidR="00262120" w:rsidRPr="005A4C1A">
        <w:rPr>
          <w:sz w:val="22"/>
          <w:lang w:val="en-GB"/>
        </w:rPr>
        <w:t>and it</w:t>
      </w:r>
      <w:r w:rsidRPr="005A4C1A">
        <w:rPr>
          <w:sz w:val="22"/>
          <w:lang w:val="en-GB"/>
        </w:rPr>
        <w:t xml:space="preserve"> took charge of the investment, construction, technology development, technical consulting</w:t>
      </w:r>
      <w:r w:rsidR="00262120" w:rsidRPr="005A4C1A">
        <w:rPr>
          <w:sz w:val="22"/>
          <w:lang w:val="en-GB"/>
        </w:rPr>
        <w:t>,</w:t>
      </w:r>
      <w:r w:rsidRPr="005A4C1A">
        <w:rPr>
          <w:sz w:val="22"/>
          <w:lang w:val="en-GB"/>
        </w:rPr>
        <w:t xml:space="preserve"> and operation management of </w:t>
      </w:r>
      <w:r w:rsidR="00262120" w:rsidRPr="005A4C1A">
        <w:rPr>
          <w:sz w:val="22"/>
          <w:lang w:val="en-GB"/>
        </w:rPr>
        <w:t xml:space="preserve">the </w:t>
      </w:r>
      <w:r w:rsidRPr="005A4C1A">
        <w:rPr>
          <w:sz w:val="22"/>
          <w:lang w:val="en-GB"/>
        </w:rPr>
        <w:t>MNGP.</w:t>
      </w:r>
      <w:r w:rsidRPr="005A4C1A">
        <w:rPr>
          <w:rStyle w:val="BodyTextMainChar"/>
          <w:lang w:val="en-GB"/>
        </w:rPr>
        <w:t xml:space="preserve"> </w:t>
      </w:r>
      <w:r w:rsidRPr="005A4C1A">
        <w:rPr>
          <w:rStyle w:val="BodyTextMainChar"/>
          <w:sz w:val="22"/>
          <w:lang w:val="en-GB"/>
        </w:rPr>
        <w:t>CN</w:t>
      </w:r>
      <w:r w:rsidR="002B3804" w:rsidRPr="005A4C1A">
        <w:rPr>
          <w:rStyle w:val="BodyTextMainChar"/>
          <w:sz w:val="22"/>
          <w:lang w:val="en-GB"/>
        </w:rPr>
        <w:t>E</w:t>
      </w:r>
      <w:r w:rsidRPr="005A4C1A">
        <w:rPr>
          <w:rStyle w:val="BodyTextMainChar"/>
          <w:sz w:val="22"/>
          <w:lang w:val="en-GB"/>
        </w:rPr>
        <w:t>GC</w:t>
      </w:r>
      <w:r w:rsidRPr="005A4C1A">
        <w:rPr>
          <w:rStyle w:val="BodyTextMainChar"/>
          <w:szCs w:val="22"/>
          <w:lang w:val="en-GB"/>
        </w:rPr>
        <w:t xml:space="preserve"> </w:t>
      </w:r>
      <w:r w:rsidRPr="005A4C1A">
        <w:rPr>
          <w:sz w:val="22"/>
          <w:lang w:val="en-GB"/>
        </w:rPr>
        <w:t>dispatched excellent project managers and technical personnel to join Western Regions Company</w:t>
      </w:r>
      <w:r w:rsidR="00DD6E1A">
        <w:rPr>
          <w:sz w:val="22"/>
          <w:lang w:val="en-GB"/>
        </w:rPr>
        <w:t xml:space="preserve">; </w:t>
      </w:r>
      <w:r w:rsidR="007819B3" w:rsidRPr="005A4C1A">
        <w:rPr>
          <w:sz w:val="22"/>
          <w:lang w:val="en-GB"/>
        </w:rPr>
        <w:t>Haiyang</w:t>
      </w:r>
      <w:r w:rsidRPr="005A4C1A">
        <w:rPr>
          <w:sz w:val="22"/>
          <w:lang w:val="en-GB"/>
        </w:rPr>
        <w:t xml:space="preserve"> was one of them.</w:t>
      </w:r>
      <w:r w:rsidR="007819B3" w:rsidRPr="005A4C1A">
        <w:rPr>
          <w:sz w:val="22"/>
          <w:lang w:val="en-GB"/>
        </w:rPr>
        <w:t xml:space="preserve"> Haiyang </w:t>
      </w:r>
      <w:r w:rsidRPr="005A4C1A">
        <w:rPr>
          <w:sz w:val="22"/>
          <w:lang w:val="en-GB"/>
        </w:rPr>
        <w:t xml:space="preserve">had been engaged in overseas petroleum engineering construction since 1996 </w:t>
      </w:r>
      <w:r w:rsidR="00262120" w:rsidRPr="005A4C1A">
        <w:rPr>
          <w:sz w:val="22"/>
          <w:lang w:val="en-GB"/>
        </w:rPr>
        <w:t>a</w:t>
      </w:r>
      <w:r w:rsidRPr="005A4C1A">
        <w:rPr>
          <w:sz w:val="22"/>
          <w:lang w:val="en-GB"/>
        </w:rPr>
        <w:t xml:space="preserve">nd had been responsible for </w:t>
      </w:r>
      <w:r w:rsidR="00262120" w:rsidRPr="005A4C1A">
        <w:rPr>
          <w:sz w:val="22"/>
          <w:lang w:val="en-GB"/>
        </w:rPr>
        <w:t>CNGC’s</w:t>
      </w:r>
      <w:r w:rsidRPr="005A4C1A">
        <w:rPr>
          <w:sz w:val="22"/>
          <w:lang w:val="en-GB"/>
        </w:rPr>
        <w:t xml:space="preserve"> oil and gas exploration projects in Venezuela and Sudan, </w:t>
      </w:r>
      <w:r w:rsidR="00DD6E1A">
        <w:rPr>
          <w:sz w:val="22"/>
          <w:lang w:val="en-GB"/>
        </w:rPr>
        <w:t xml:space="preserve">which had </w:t>
      </w:r>
      <w:r w:rsidR="00DD6E1A" w:rsidRPr="005A4C1A">
        <w:rPr>
          <w:sz w:val="22"/>
          <w:lang w:val="en-GB"/>
        </w:rPr>
        <w:t>provid</w:t>
      </w:r>
      <w:r w:rsidR="00DD6E1A">
        <w:rPr>
          <w:sz w:val="22"/>
          <w:lang w:val="en-GB"/>
        </w:rPr>
        <w:t>ed</w:t>
      </w:r>
      <w:r w:rsidR="00DD6E1A" w:rsidRPr="005A4C1A">
        <w:rPr>
          <w:sz w:val="22"/>
          <w:lang w:val="en-GB"/>
        </w:rPr>
        <w:t xml:space="preserve"> </w:t>
      </w:r>
      <w:r w:rsidRPr="005A4C1A">
        <w:rPr>
          <w:sz w:val="22"/>
          <w:lang w:val="en-GB"/>
        </w:rPr>
        <w:t>him with rich experience in construction.</w:t>
      </w:r>
    </w:p>
    <w:p w14:paraId="47465185" w14:textId="77777777" w:rsidR="001D5C5C" w:rsidRPr="005A4C1A" w:rsidRDefault="001D5C5C" w:rsidP="00B60B6A">
      <w:pPr>
        <w:pStyle w:val="BodyTextMain"/>
        <w:rPr>
          <w:lang w:val="en-GB"/>
        </w:rPr>
      </w:pPr>
    </w:p>
    <w:p w14:paraId="6FB2238B" w14:textId="4FDCB774" w:rsidR="001D5C5C" w:rsidRPr="005A4C1A" w:rsidRDefault="001D5C5C">
      <w:pPr>
        <w:jc w:val="both"/>
        <w:rPr>
          <w:sz w:val="22"/>
          <w:lang w:val="en-GB"/>
        </w:rPr>
      </w:pPr>
      <w:r w:rsidRPr="005A4C1A">
        <w:rPr>
          <w:sz w:val="22"/>
          <w:lang w:val="en-GB"/>
        </w:rPr>
        <w:t>CNGC’s Western Regions Company was Western Timur Company’s parent company from China</w:t>
      </w:r>
      <w:r w:rsidR="00ED4E0E" w:rsidRPr="005A4C1A">
        <w:rPr>
          <w:sz w:val="22"/>
          <w:lang w:val="en-GB"/>
        </w:rPr>
        <w:t>,</w:t>
      </w:r>
      <w:r w:rsidRPr="005A4C1A">
        <w:rPr>
          <w:sz w:val="22"/>
          <w:lang w:val="en-GB"/>
        </w:rPr>
        <w:t xml:space="preserve"> while TNG was Western Timur Company’s parent company from Timur.</w:t>
      </w:r>
    </w:p>
    <w:p w14:paraId="200A8F99" w14:textId="77777777" w:rsidR="001D5C5C" w:rsidRDefault="001D5C5C" w:rsidP="005A4C1A">
      <w:pPr>
        <w:pStyle w:val="BodyTextMain"/>
        <w:rPr>
          <w:sz w:val="18"/>
          <w:szCs w:val="18"/>
          <w:lang w:val="en-GB"/>
        </w:rPr>
      </w:pPr>
    </w:p>
    <w:p w14:paraId="671CC59A" w14:textId="18C06FB9" w:rsidR="001D5C5C" w:rsidRPr="005A4C1A" w:rsidRDefault="001D5C5C">
      <w:pPr>
        <w:rPr>
          <w:rFonts w:ascii="Arial" w:hAnsi="Arial" w:cs="Arial"/>
          <w:b/>
          <w:lang w:val="en-GB"/>
        </w:rPr>
      </w:pPr>
      <w:r w:rsidRPr="005A4C1A">
        <w:rPr>
          <w:rFonts w:ascii="Arial" w:hAnsi="Arial" w:cs="Arial"/>
          <w:b/>
          <w:lang w:val="en-GB"/>
        </w:rPr>
        <w:lastRenderedPageBreak/>
        <w:t xml:space="preserve">TIMUR NATIONAL OIL HOLDINGS GROUP </w:t>
      </w:r>
      <w:r w:rsidR="00FE66FA">
        <w:rPr>
          <w:rFonts w:ascii="Arial" w:hAnsi="Arial" w:cs="Arial"/>
          <w:b/>
          <w:lang w:val="en-GB"/>
        </w:rPr>
        <w:t>(</w:t>
      </w:r>
      <w:r w:rsidRPr="005A4C1A">
        <w:rPr>
          <w:rFonts w:ascii="Arial" w:hAnsi="Arial" w:cs="Arial"/>
          <w:b/>
          <w:lang w:val="en-GB"/>
        </w:rPr>
        <w:t>TNG</w:t>
      </w:r>
      <w:r w:rsidR="00FE66FA">
        <w:rPr>
          <w:rFonts w:ascii="Arial" w:hAnsi="Arial" w:cs="Arial"/>
          <w:b/>
          <w:lang w:val="en-GB"/>
        </w:rPr>
        <w:t>)</w:t>
      </w:r>
    </w:p>
    <w:p w14:paraId="55D58288" w14:textId="77777777" w:rsidR="001D5C5C" w:rsidRPr="005A4C1A" w:rsidRDefault="001D5C5C" w:rsidP="00B60B6A">
      <w:pPr>
        <w:pStyle w:val="BodyTextMain"/>
        <w:rPr>
          <w:lang w:val="en-GB"/>
        </w:rPr>
      </w:pPr>
    </w:p>
    <w:p w14:paraId="7AFD7039" w14:textId="0F1DB4DB" w:rsidR="001D5C5C" w:rsidRPr="005A4C1A" w:rsidRDefault="001D5C5C">
      <w:pPr>
        <w:jc w:val="both"/>
        <w:rPr>
          <w:sz w:val="22"/>
          <w:lang w:val="en-GB"/>
        </w:rPr>
      </w:pPr>
      <w:r w:rsidRPr="005A4C1A">
        <w:rPr>
          <w:sz w:val="22"/>
          <w:lang w:val="en-GB"/>
        </w:rPr>
        <w:t>TNG was a state-owned monopoly of oil and natural gas in Timur. In 2014, Timur</w:t>
      </w:r>
      <w:r w:rsidR="00ED4E0E" w:rsidRPr="005A4C1A">
        <w:rPr>
          <w:sz w:val="22"/>
          <w:lang w:val="en-GB"/>
        </w:rPr>
        <w:t>’</w:t>
      </w:r>
      <w:r w:rsidRPr="005A4C1A">
        <w:rPr>
          <w:sz w:val="22"/>
          <w:lang w:val="en-GB"/>
        </w:rPr>
        <w:t xml:space="preserve">s </w:t>
      </w:r>
      <w:r w:rsidR="00ED4E0E" w:rsidRPr="005A4C1A">
        <w:rPr>
          <w:sz w:val="22"/>
          <w:lang w:val="en-GB"/>
        </w:rPr>
        <w:t>gross domestic product (</w:t>
      </w:r>
      <w:r w:rsidRPr="005A4C1A">
        <w:rPr>
          <w:sz w:val="22"/>
          <w:lang w:val="en-GB"/>
        </w:rPr>
        <w:t>GDP</w:t>
      </w:r>
      <w:r w:rsidR="00ED4E0E" w:rsidRPr="005A4C1A">
        <w:rPr>
          <w:sz w:val="22"/>
          <w:lang w:val="en-GB"/>
        </w:rPr>
        <w:t>)</w:t>
      </w:r>
      <w:r w:rsidRPr="005A4C1A">
        <w:rPr>
          <w:sz w:val="22"/>
          <w:lang w:val="en-GB"/>
        </w:rPr>
        <w:t xml:space="preserve"> was </w:t>
      </w:r>
      <w:r w:rsidR="00ED4E0E" w:rsidRPr="005A4C1A">
        <w:rPr>
          <w:sz w:val="22"/>
          <w:lang w:val="en-GB"/>
        </w:rPr>
        <w:t>US$</w:t>
      </w:r>
      <w:r w:rsidRPr="005A4C1A">
        <w:rPr>
          <w:sz w:val="22"/>
          <w:lang w:val="en-GB"/>
        </w:rPr>
        <w:t xml:space="preserve">171 billion, ranking 95th in the world. The pillar industries of the national economy were the </w:t>
      </w:r>
      <w:r w:rsidR="006075A9" w:rsidRPr="005A4C1A">
        <w:rPr>
          <w:sz w:val="22"/>
          <w:lang w:val="en-GB"/>
        </w:rPr>
        <w:t>“</w:t>
      </w:r>
      <w:r w:rsidRPr="005A4C1A">
        <w:rPr>
          <w:sz w:val="22"/>
          <w:lang w:val="en-GB"/>
        </w:rPr>
        <w:t>four golds</w:t>
      </w:r>
      <w:r w:rsidR="006075A9" w:rsidRPr="005A4C1A">
        <w:rPr>
          <w:sz w:val="22"/>
          <w:lang w:val="en-GB"/>
        </w:rPr>
        <w:t>”—</w:t>
      </w:r>
      <w:r w:rsidRPr="005A4C1A">
        <w:rPr>
          <w:sz w:val="22"/>
          <w:lang w:val="en-GB"/>
        </w:rPr>
        <w:t xml:space="preserve">gold, </w:t>
      </w:r>
      <w:r w:rsidR="006075A9" w:rsidRPr="005A4C1A">
        <w:rPr>
          <w:sz w:val="22"/>
          <w:lang w:val="en-GB"/>
        </w:rPr>
        <w:t>“</w:t>
      </w:r>
      <w:r w:rsidRPr="005A4C1A">
        <w:rPr>
          <w:sz w:val="22"/>
          <w:lang w:val="en-GB"/>
        </w:rPr>
        <w:t>white gold</w:t>
      </w:r>
      <w:r w:rsidR="006075A9" w:rsidRPr="005A4C1A">
        <w:rPr>
          <w:sz w:val="22"/>
          <w:lang w:val="en-GB"/>
        </w:rPr>
        <w:t>”</w:t>
      </w:r>
      <w:r w:rsidRPr="005A4C1A">
        <w:rPr>
          <w:sz w:val="22"/>
          <w:lang w:val="en-GB"/>
        </w:rPr>
        <w:t xml:space="preserve"> (cotton), </w:t>
      </w:r>
      <w:r w:rsidR="00FE66FA">
        <w:rPr>
          <w:sz w:val="22"/>
          <w:lang w:val="en-GB"/>
        </w:rPr>
        <w:t>“</w:t>
      </w:r>
      <w:r w:rsidRPr="005A4C1A">
        <w:rPr>
          <w:sz w:val="22"/>
          <w:lang w:val="en-GB"/>
        </w:rPr>
        <w:t>black gold</w:t>
      </w:r>
      <w:r w:rsidR="006075A9" w:rsidRPr="005A4C1A">
        <w:rPr>
          <w:sz w:val="22"/>
          <w:lang w:val="en-GB"/>
        </w:rPr>
        <w:t>”</w:t>
      </w:r>
      <w:r w:rsidRPr="005A4C1A">
        <w:rPr>
          <w:sz w:val="22"/>
          <w:lang w:val="en-GB"/>
        </w:rPr>
        <w:t xml:space="preserve"> (oil)</w:t>
      </w:r>
      <w:r w:rsidR="006075A9" w:rsidRPr="005A4C1A">
        <w:rPr>
          <w:sz w:val="22"/>
          <w:lang w:val="en-GB"/>
        </w:rPr>
        <w:t>,</w:t>
      </w:r>
      <w:r w:rsidRPr="005A4C1A">
        <w:rPr>
          <w:sz w:val="22"/>
          <w:lang w:val="en-GB"/>
        </w:rPr>
        <w:t xml:space="preserve"> and </w:t>
      </w:r>
      <w:r w:rsidR="006075A9" w:rsidRPr="005A4C1A">
        <w:rPr>
          <w:sz w:val="22"/>
          <w:lang w:val="en-GB"/>
        </w:rPr>
        <w:t>“</w:t>
      </w:r>
      <w:r w:rsidRPr="005A4C1A">
        <w:rPr>
          <w:sz w:val="22"/>
          <w:lang w:val="en-GB"/>
        </w:rPr>
        <w:t>blue gold</w:t>
      </w:r>
      <w:r w:rsidR="006075A9" w:rsidRPr="005A4C1A">
        <w:rPr>
          <w:sz w:val="22"/>
          <w:lang w:val="en-GB"/>
        </w:rPr>
        <w:t>”</w:t>
      </w:r>
      <w:r w:rsidRPr="005A4C1A">
        <w:rPr>
          <w:sz w:val="22"/>
          <w:lang w:val="en-GB"/>
        </w:rPr>
        <w:t xml:space="preserve"> (natural gas). Timur had a single economic structure with developed agriculture, livestock husbandry</w:t>
      </w:r>
      <w:r w:rsidR="006075A9" w:rsidRPr="005A4C1A">
        <w:rPr>
          <w:sz w:val="22"/>
          <w:lang w:val="en-GB"/>
        </w:rPr>
        <w:t>,</w:t>
      </w:r>
      <w:r w:rsidRPr="005A4C1A">
        <w:rPr>
          <w:sz w:val="22"/>
          <w:lang w:val="en-GB"/>
        </w:rPr>
        <w:t xml:space="preserve"> and mining industries</w:t>
      </w:r>
      <w:r w:rsidR="001F1DAE" w:rsidRPr="005A4C1A">
        <w:rPr>
          <w:sz w:val="22"/>
          <w:lang w:val="en-GB"/>
        </w:rPr>
        <w:t>;</w:t>
      </w:r>
      <w:r w:rsidRPr="005A4C1A">
        <w:rPr>
          <w:sz w:val="22"/>
          <w:lang w:val="en-GB"/>
        </w:rPr>
        <w:t xml:space="preserve"> </w:t>
      </w:r>
      <w:r w:rsidR="006075A9" w:rsidRPr="005A4C1A">
        <w:rPr>
          <w:sz w:val="22"/>
          <w:lang w:val="en-GB"/>
        </w:rPr>
        <w:t xml:space="preserve">for </w:t>
      </w:r>
      <w:r w:rsidRPr="005A4C1A">
        <w:rPr>
          <w:sz w:val="22"/>
          <w:lang w:val="en-GB"/>
        </w:rPr>
        <w:t>more industrial products such as machinery and equipment</w:t>
      </w:r>
      <w:r w:rsidR="00FE66FA">
        <w:rPr>
          <w:sz w:val="22"/>
          <w:lang w:val="en-GB"/>
        </w:rPr>
        <w:t>,</w:t>
      </w:r>
      <w:r w:rsidRPr="005A4C1A">
        <w:rPr>
          <w:sz w:val="22"/>
          <w:lang w:val="en-GB"/>
        </w:rPr>
        <w:t xml:space="preserve"> </w:t>
      </w:r>
      <w:r w:rsidR="006075A9" w:rsidRPr="005A4C1A">
        <w:rPr>
          <w:sz w:val="22"/>
          <w:lang w:val="en-GB"/>
        </w:rPr>
        <w:t xml:space="preserve">it </w:t>
      </w:r>
      <w:r w:rsidRPr="005A4C1A">
        <w:rPr>
          <w:sz w:val="22"/>
          <w:lang w:val="en-GB"/>
        </w:rPr>
        <w:t>rel</w:t>
      </w:r>
      <w:r w:rsidR="006075A9" w:rsidRPr="005A4C1A">
        <w:rPr>
          <w:sz w:val="22"/>
          <w:lang w:val="en-GB"/>
        </w:rPr>
        <w:t>ied</w:t>
      </w:r>
      <w:r w:rsidRPr="005A4C1A">
        <w:rPr>
          <w:sz w:val="22"/>
          <w:lang w:val="en-GB"/>
        </w:rPr>
        <w:t xml:space="preserve"> on imports.</w:t>
      </w:r>
    </w:p>
    <w:p w14:paraId="67C72C39" w14:textId="77777777" w:rsidR="001D5C5C" w:rsidRPr="005A4C1A" w:rsidRDefault="001D5C5C" w:rsidP="00B60B6A">
      <w:pPr>
        <w:pStyle w:val="BodyTextMain"/>
        <w:rPr>
          <w:lang w:val="en-GB"/>
        </w:rPr>
      </w:pPr>
    </w:p>
    <w:p w14:paraId="5EF867BD" w14:textId="01AFEF55" w:rsidR="001D5C5C" w:rsidRPr="005A4C1A" w:rsidRDefault="001D5C5C">
      <w:pPr>
        <w:jc w:val="both"/>
        <w:rPr>
          <w:sz w:val="22"/>
          <w:lang w:val="en-GB"/>
        </w:rPr>
      </w:pPr>
      <w:r w:rsidRPr="005A4C1A">
        <w:rPr>
          <w:sz w:val="22"/>
          <w:lang w:val="en-GB"/>
        </w:rPr>
        <w:t xml:space="preserve">TNG controlled natural gas mining and transportation in Timur. </w:t>
      </w:r>
      <w:r w:rsidR="006075A9" w:rsidRPr="005A4C1A">
        <w:rPr>
          <w:sz w:val="22"/>
          <w:lang w:val="en-GB"/>
        </w:rPr>
        <w:t>As i</w:t>
      </w:r>
      <w:r w:rsidRPr="005A4C1A">
        <w:rPr>
          <w:sz w:val="22"/>
          <w:lang w:val="en-GB"/>
        </w:rPr>
        <w:t>t was difficult for foreign petrochemical enterprises to set up wholly</w:t>
      </w:r>
      <w:r w:rsidR="00FE66FA">
        <w:rPr>
          <w:sz w:val="22"/>
          <w:lang w:val="en-GB"/>
        </w:rPr>
        <w:t xml:space="preserve"> </w:t>
      </w:r>
      <w:r w:rsidRPr="005A4C1A">
        <w:rPr>
          <w:sz w:val="22"/>
          <w:lang w:val="en-GB"/>
        </w:rPr>
        <w:t xml:space="preserve">owned subsidiaries in Timur, Western Regions Company and TNG set up a </w:t>
      </w:r>
      <w:r w:rsidR="00BD20FC" w:rsidRPr="005A4C1A">
        <w:rPr>
          <w:sz w:val="22"/>
          <w:lang w:val="en-GB"/>
        </w:rPr>
        <w:t>JV</w:t>
      </w:r>
      <w:r w:rsidRPr="005A4C1A">
        <w:rPr>
          <w:sz w:val="22"/>
          <w:lang w:val="en-GB"/>
        </w:rPr>
        <w:t xml:space="preserve"> </w:t>
      </w:r>
      <w:r w:rsidR="006075A9" w:rsidRPr="005A4C1A">
        <w:rPr>
          <w:sz w:val="22"/>
          <w:lang w:val="en-GB"/>
        </w:rPr>
        <w:t>there that was</w:t>
      </w:r>
      <w:r w:rsidRPr="005A4C1A">
        <w:rPr>
          <w:sz w:val="22"/>
          <w:lang w:val="en-GB"/>
        </w:rPr>
        <w:t xml:space="preserve"> responsible for </w:t>
      </w:r>
      <w:r w:rsidR="006075A9" w:rsidRPr="005A4C1A">
        <w:rPr>
          <w:sz w:val="22"/>
          <w:lang w:val="en-GB"/>
        </w:rPr>
        <w:t xml:space="preserve">the </w:t>
      </w:r>
      <w:r w:rsidRPr="005A4C1A">
        <w:rPr>
          <w:sz w:val="22"/>
          <w:lang w:val="en-GB"/>
        </w:rPr>
        <w:t>MNGP’s construction and operation.</w:t>
      </w:r>
    </w:p>
    <w:p w14:paraId="7AB0A01D" w14:textId="77777777" w:rsidR="001D5C5C" w:rsidRPr="005A4C1A" w:rsidRDefault="001D5C5C" w:rsidP="00B60B6A">
      <w:pPr>
        <w:pStyle w:val="BodyTextMain"/>
        <w:rPr>
          <w:lang w:val="en-GB"/>
        </w:rPr>
      </w:pPr>
    </w:p>
    <w:p w14:paraId="64FB6C4C" w14:textId="557D4514" w:rsidR="001D5C5C" w:rsidRPr="005A4C1A" w:rsidRDefault="001D5C5C">
      <w:pPr>
        <w:jc w:val="both"/>
        <w:rPr>
          <w:sz w:val="22"/>
          <w:lang w:val="en-GB"/>
        </w:rPr>
      </w:pPr>
      <w:r w:rsidRPr="005A4C1A">
        <w:rPr>
          <w:sz w:val="22"/>
          <w:lang w:val="en-GB"/>
        </w:rPr>
        <w:t>The experience of using natural gas for a long time and operating a domestic natural gas pipeline of over 10,000 k</w:t>
      </w:r>
      <w:r w:rsidR="006075A9" w:rsidRPr="005A4C1A">
        <w:rPr>
          <w:sz w:val="22"/>
          <w:lang w:val="en-GB"/>
        </w:rPr>
        <w:t>m</w:t>
      </w:r>
      <w:r w:rsidRPr="005A4C1A">
        <w:rPr>
          <w:sz w:val="22"/>
          <w:lang w:val="en-GB"/>
        </w:rPr>
        <w:t xml:space="preserve"> provided TNG with pipeline construction and operation capacity. However, as most of the pipelines in Timur </w:t>
      </w:r>
      <w:r w:rsidR="006075A9" w:rsidRPr="005A4C1A">
        <w:rPr>
          <w:sz w:val="22"/>
          <w:lang w:val="en-GB"/>
        </w:rPr>
        <w:t>had been</w:t>
      </w:r>
      <w:r w:rsidRPr="005A4C1A">
        <w:rPr>
          <w:sz w:val="22"/>
          <w:lang w:val="en-GB"/>
        </w:rPr>
        <w:t xml:space="preserve"> constructed </w:t>
      </w:r>
      <w:r w:rsidR="001F1DAE" w:rsidRPr="005A4C1A">
        <w:rPr>
          <w:sz w:val="22"/>
          <w:lang w:val="en-GB"/>
        </w:rPr>
        <w:t>50</w:t>
      </w:r>
      <w:r w:rsidRPr="005A4C1A">
        <w:rPr>
          <w:sz w:val="22"/>
          <w:lang w:val="en-GB"/>
        </w:rPr>
        <w:t xml:space="preserve"> years </w:t>
      </w:r>
      <w:r w:rsidR="001F1DAE" w:rsidRPr="005A4C1A">
        <w:rPr>
          <w:sz w:val="22"/>
          <w:lang w:val="en-GB"/>
        </w:rPr>
        <w:t>earlier</w:t>
      </w:r>
      <w:r w:rsidRPr="005A4C1A">
        <w:rPr>
          <w:sz w:val="22"/>
          <w:lang w:val="en-GB"/>
        </w:rPr>
        <w:t xml:space="preserve"> and pipe diameters were small, TNG had no experience in building and operating a modern</w:t>
      </w:r>
      <w:r w:rsidR="00FE66FA">
        <w:rPr>
          <w:sz w:val="22"/>
          <w:lang w:val="en-GB"/>
        </w:rPr>
        <w:t>,</w:t>
      </w:r>
      <w:r w:rsidRPr="005A4C1A">
        <w:rPr>
          <w:sz w:val="22"/>
          <w:lang w:val="en-GB"/>
        </w:rPr>
        <w:t xml:space="preserve"> high-pressure</w:t>
      </w:r>
      <w:r w:rsidR="006075A9" w:rsidRPr="005A4C1A">
        <w:rPr>
          <w:sz w:val="22"/>
          <w:lang w:val="en-GB"/>
        </w:rPr>
        <w:t>,</w:t>
      </w:r>
      <w:r w:rsidRPr="005A4C1A">
        <w:rPr>
          <w:sz w:val="22"/>
          <w:lang w:val="en-GB"/>
        </w:rPr>
        <w:t xml:space="preserve"> long-distance natural gas pipeline.</w:t>
      </w:r>
    </w:p>
    <w:p w14:paraId="1C7691E1" w14:textId="77777777" w:rsidR="001D5C5C" w:rsidRPr="005A4C1A" w:rsidRDefault="001D5C5C" w:rsidP="00B60B6A">
      <w:pPr>
        <w:pStyle w:val="BodyTextMain"/>
        <w:rPr>
          <w:lang w:val="en-GB"/>
        </w:rPr>
      </w:pPr>
    </w:p>
    <w:p w14:paraId="0BC7184B" w14:textId="7F7BFD57" w:rsidR="001D5C5C" w:rsidRPr="005A4C1A" w:rsidRDefault="001D5C5C">
      <w:pPr>
        <w:jc w:val="both"/>
        <w:rPr>
          <w:sz w:val="22"/>
          <w:lang w:val="en-GB"/>
        </w:rPr>
      </w:pPr>
      <w:r w:rsidRPr="005A4C1A">
        <w:rPr>
          <w:sz w:val="22"/>
          <w:lang w:val="en-GB"/>
        </w:rPr>
        <w:t xml:space="preserve">Based on its own experience, TNG did not believe the pipeline could be completed within a period of only 28 months and </w:t>
      </w:r>
      <w:r w:rsidR="004E708E" w:rsidRPr="005A4C1A">
        <w:rPr>
          <w:sz w:val="22"/>
          <w:lang w:val="en-GB"/>
        </w:rPr>
        <w:t xml:space="preserve">thus </w:t>
      </w:r>
      <w:r w:rsidRPr="005A4C1A">
        <w:rPr>
          <w:sz w:val="22"/>
          <w:lang w:val="en-GB"/>
        </w:rPr>
        <w:t xml:space="preserve">did not pay any attention to the duration. In addition, TNG did not want to invest more equity money </w:t>
      </w:r>
      <w:r w:rsidR="004E708E" w:rsidRPr="005A4C1A">
        <w:rPr>
          <w:sz w:val="22"/>
          <w:lang w:val="en-GB"/>
        </w:rPr>
        <w:t>in</w:t>
      </w:r>
      <w:r w:rsidRPr="005A4C1A">
        <w:rPr>
          <w:sz w:val="22"/>
          <w:lang w:val="en-GB"/>
        </w:rPr>
        <w:t xml:space="preserve"> </w:t>
      </w:r>
      <w:r w:rsidR="004E708E" w:rsidRPr="005A4C1A">
        <w:rPr>
          <w:sz w:val="22"/>
          <w:lang w:val="en-GB"/>
        </w:rPr>
        <w:t xml:space="preserve">the </w:t>
      </w:r>
      <w:r w:rsidRPr="005A4C1A">
        <w:rPr>
          <w:sz w:val="22"/>
          <w:lang w:val="en-GB"/>
        </w:rPr>
        <w:t xml:space="preserve">MNGP. However, TNG required that Timur’s construction company should take part in the construction of </w:t>
      </w:r>
      <w:r w:rsidR="004E708E" w:rsidRPr="005A4C1A">
        <w:rPr>
          <w:sz w:val="22"/>
          <w:lang w:val="en-GB"/>
        </w:rPr>
        <w:t xml:space="preserve">the </w:t>
      </w:r>
      <w:r w:rsidRPr="005A4C1A">
        <w:rPr>
          <w:sz w:val="22"/>
          <w:lang w:val="en-GB"/>
        </w:rPr>
        <w:t>MNGP. TNG hoped to negotiate with Western Regions Company to determine a high pipeline transportation fee.</w:t>
      </w:r>
    </w:p>
    <w:p w14:paraId="6FFBA785" w14:textId="77777777" w:rsidR="001D5C5C" w:rsidRPr="00B60B6A" w:rsidRDefault="001D5C5C" w:rsidP="00B60B6A">
      <w:pPr>
        <w:pStyle w:val="BodyTextMain"/>
      </w:pPr>
    </w:p>
    <w:p w14:paraId="245694F3" w14:textId="77777777" w:rsidR="001D5C5C" w:rsidRPr="00B60B6A" w:rsidRDefault="001D5C5C" w:rsidP="00B60B6A">
      <w:pPr>
        <w:pStyle w:val="BodyTextMain"/>
      </w:pPr>
    </w:p>
    <w:p w14:paraId="289CFD07" w14:textId="63314DC0" w:rsidR="001D5C5C" w:rsidRPr="005A4C1A" w:rsidRDefault="001D5C5C">
      <w:pPr>
        <w:rPr>
          <w:rFonts w:ascii="Arial" w:hAnsi="Arial" w:cs="Arial"/>
          <w:b/>
          <w:lang w:val="en-GB"/>
        </w:rPr>
      </w:pPr>
      <w:r w:rsidRPr="005A4C1A">
        <w:rPr>
          <w:rFonts w:ascii="Arial" w:hAnsi="Arial" w:cs="Arial"/>
          <w:b/>
          <w:lang w:val="en-GB"/>
        </w:rPr>
        <w:t>FRESPIRIT GAS TRANSMISSION GROUP</w:t>
      </w:r>
      <w:r w:rsidR="00FE66FA">
        <w:rPr>
          <w:rFonts w:ascii="Arial" w:hAnsi="Arial" w:cs="Arial"/>
          <w:b/>
          <w:lang w:val="en-GB"/>
        </w:rPr>
        <w:t xml:space="preserve"> (FTG)</w:t>
      </w:r>
    </w:p>
    <w:p w14:paraId="29A3CBB6" w14:textId="77777777" w:rsidR="001D5C5C" w:rsidRPr="005A4C1A" w:rsidRDefault="001D5C5C" w:rsidP="00B60B6A">
      <w:pPr>
        <w:pStyle w:val="BodyTextMain"/>
        <w:rPr>
          <w:lang w:val="en-GB"/>
        </w:rPr>
      </w:pPr>
    </w:p>
    <w:p w14:paraId="0BCADA9D" w14:textId="41CFE8C2" w:rsidR="001D5C5C" w:rsidRPr="005A4C1A" w:rsidRDefault="001D5C5C">
      <w:pPr>
        <w:jc w:val="both"/>
        <w:rPr>
          <w:sz w:val="22"/>
          <w:lang w:val="en-GB"/>
        </w:rPr>
      </w:pPr>
      <w:r w:rsidRPr="005A4C1A">
        <w:rPr>
          <w:sz w:val="22"/>
          <w:lang w:val="en-GB"/>
        </w:rPr>
        <w:t>FTG was Western Frespirit Company’s parent compan</w:t>
      </w:r>
      <w:r w:rsidR="004E708E" w:rsidRPr="005A4C1A">
        <w:rPr>
          <w:sz w:val="22"/>
          <w:lang w:val="en-GB"/>
        </w:rPr>
        <w:t>y</w:t>
      </w:r>
      <w:r w:rsidRPr="005A4C1A">
        <w:rPr>
          <w:sz w:val="22"/>
          <w:lang w:val="en-GB"/>
        </w:rPr>
        <w:t xml:space="preserve"> from Frespirit. The GDP of Frespirit in 2014 was </w:t>
      </w:r>
      <w:r w:rsidR="004E708E" w:rsidRPr="005A4C1A">
        <w:rPr>
          <w:sz w:val="22"/>
          <w:lang w:val="en-GB"/>
        </w:rPr>
        <w:t>US</w:t>
      </w:r>
      <w:r w:rsidRPr="005A4C1A">
        <w:rPr>
          <w:sz w:val="22"/>
          <w:lang w:val="en-GB"/>
        </w:rPr>
        <w:t>$810 billion, ranking 55th in the world. Its economy was dominated by oil, gas, mining, coal</w:t>
      </w:r>
      <w:r w:rsidR="004E708E" w:rsidRPr="005A4C1A">
        <w:rPr>
          <w:sz w:val="22"/>
          <w:lang w:val="en-GB"/>
        </w:rPr>
        <w:t>,</w:t>
      </w:r>
      <w:r w:rsidRPr="005A4C1A">
        <w:rPr>
          <w:sz w:val="22"/>
          <w:lang w:val="en-GB"/>
        </w:rPr>
        <w:t xml:space="preserve"> agriculture</w:t>
      </w:r>
      <w:r w:rsidR="00FE66FA">
        <w:rPr>
          <w:sz w:val="22"/>
          <w:lang w:val="en-GB"/>
        </w:rPr>
        <w:t>,</w:t>
      </w:r>
      <w:r w:rsidRPr="005A4C1A">
        <w:rPr>
          <w:sz w:val="22"/>
          <w:lang w:val="en-GB"/>
        </w:rPr>
        <w:t xml:space="preserve"> and animal husbandry, while </w:t>
      </w:r>
      <w:r w:rsidR="00FE66FA">
        <w:rPr>
          <w:sz w:val="22"/>
          <w:lang w:val="en-GB"/>
        </w:rPr>
        <w:t xml:space="preserve">its </w:t>
      </w:r>
      <w:r w:rsidRPr="005A4C1A">
        <w:rPr>
          <w:sz w:val="22"/>
          <w:lang w:val="en-GB"/>
        </w:rPr>
        <w:t xml:space="preserve">processing and light industries were relatively backward. Frespirit had implemented economic reforms, including </w:t>
      </w:r>
      <w:r w:rsidR="004E708E" w:rsidRPr="005A4C1A">
        <w:rPr>
          <w:sz w:val="22"/>
          <w:lang w:val="en-GB"/>
        </w:rPr>
        <w:t xml:space="preserve">the </w:t>
      </w:r>
      <w:r w:rsidRPr="005A4C1A">
        <w:rPr>
          <w:sz w:val="22"/>
          <w:lang w:val="en-GB"/>
        </w:rPr>
        <w:t>introduction of a market economy in stages and privatization. Owing to this, Frespirit’s economy had achieved rapid growth. Its average economic growth rate between 2008</w:t>
      </w:r>
      <w:r w:rsidR="00E84C8D" w:rsidRPr="005A4C1A">
        <w:rPr>
          <w:sz w:val="22"/>
          <w:lang w:val="en-GB"/>
        </w:rPr>
        <w:t xml:space="preserve"> and </w:t>
      </w:r>
      <w:r w:rsidRPr="005A4C1A">
        <w:rPr>
          <w:sz w:val="22"/>
          <w:lang w:val="en-GB"/>
        </w:rPr>
        <w:t>2014 exceeded 9</w:t>
      </w:r>
      <w:r w:rsidR="00E84C8D" w:rsidRPr="005A4C1A">
        <w:rPr>
          <w:sz w:val="22"/>
          <w:lang w:val="en-GB"/>
        </w:rPr>
        <w:t xml:space="preserve"> per cent</w:t>
      </w:r>
      <w:r w:rsidRPr="005A4C1A">
        <w:rPr>
          <w:sz w:val="22"/>
          <w:lang w:val="en-GB"/>
        </w:rPr>
        <w:t xml:space="preserve">. </w:t>
      </w:r>
    </w:p>
    <w:p w14:paraId="0031762E" w14:textId="77777777" w:rsidR="001D5C5C" w:rsidRPr="005A4C1A" w:rsidRDefault="001D5C5C" w:rsidP="00B60B6A">
      <w:pPr>
        <w:pStyle w:val="BodyTextMain"/>
        <w:rPr>
          <w:lang w:val="en-GB"/>
        </w:rPr>
      </w:pPr>
    </w:p>
    <w:p w14:paraId="048F7E95" w14:textId="4C3872A8" w:rsidR="001D5C5C" w:rsidRDefault="001D5C5C">
      <w:pPr>
        <w:jc w:val="both"/>
        <w:rPr>
          <w:sz w:val="22"/>
          <w:lang w:val="en-GB"/>
        </w:rPr>
      </w:pPr>
      <w:r w:rsidRPr="005A4C1A">
        <w:rPr>
          <w:sz w:val="22"/>
          <w:lang w:val="en-GB"/>
        </w:rPr>
        <w:t xml:space="preserve">FTG was the major state-owned oil company in Frespirit. It </w:t>
      </w:r>
      <w:r w:rsidR="00E84C8D" w:rsidRPr="005A4C1A">
        <w:rPr>
          <w:sz w:val="22"/>
          <w:lang w:val="en-GB"/>
        </w:rPr>
        <w:t xml:space="preserve">had </w:t>
      </w:r>
      <w:r w:rsidRPr="005A4C1A">
        <w:rPr>
          <w:sz w:val="22"/>
          <w:lang w:val="en-GB"/>
        </w:rPr>
        <w:t>played a decisive role in the development of Frespirit’s oil and gas industry. In 2013, the company produced 9.4 million tons of liquid hydrocarbons, holding majority ownership in several large-scale projects. Approximately 35 million tons of oil were involved in mining, which was more than 50</w:t>
      </w:r>
      <w:r w:rsidR="00E84C8D" w:rsidRPr="005A4C1A">
        <w:rPr>
          <w:sz w:val="22"/>
          <w:lang w:val="en-GB"/>
        </w:rPr>
        <w:t xml:space="preserve"> per cent</w:t>
      </w:r>
      <w:r w:rsidRPr="005A4C1A">
        <w:rPr>
          <w:sz w:val="22"/>
          <w:lang w:val="en-GB"/>
        </w:rPr>
        <w:t xml:space="preserve"> of Frespirit</w:t>
      </w:r>
      <w:r w:rsidR="00E84C8D" w:rsidRPr="005A4C1A">
        <w:rPr>
          <w:sz w:val="22"/>
          <w:lang w:val="en-GB"/>
        </w:rPr>
        <w:t>’</w:t>
      </w:r>
      <w:r w:rsidRPr="005A4C1A">
        <w:rPr>
          <w:sz w:val="22"/>
          <w:lang w:val="en-GB"/>
        </w:rPr>
        <w:t>s total oil production. The company accounted for almost 8</w:t>
      </w:r>
      <w:r w:rsidR="00E84C8D" w:rsidRPr="005A4C1A">
        <w:rPr>
          <w:sz w:val="22"/>
          <w:lang w:val="en-GB"/>
        </w:rPr>
        <w:t xml:space="preserve"> per cent</w:t>
      </w:r>
      <w:r w:rsidRPr="005A4C1A">
        <w:rPr>
          <w:sz w:val="22"/>
          <w:lang w:val="en-GB"/>
        </w:rPr>
        <w:t xml:space="preserve"> of Frespirit’s GDP and 8</w:t>
      </w:r>
      <w:r w:rsidR="00E84C8D" w:rsidRPr="005A4C1A">
        <w:rPr>
          <w:sz w:val="22"/>
          <w:lang w:val="en-GB"/>
        </w:rPr>
        <w:t xml:space="preserve"> per cent</w:t>
      </w:r>
      <w:r w:rsidRPr="005A4C1A">
        <w:rPr>
          <w:sz w:val="22"/>
          <w:lang w:val="en-GB"/>
        </w:rPr>
        <w:t xml:space="preserve"> of its national budgetary revenues. In addition, </w:t>
      </w:r>
      <w:r w:rsidR="00E84C8D" w:rsidRPr="005A4C1A">
        <w:rPr>
          <w:sz w:val="22"/>
          <w:lang w:val="en-GB"/>
        </w:rPr>
        <w:t>FTG</w:t>
      </w:r>
      <w:r w:rsidRPr="005A4C1A">
        <w:rPr>
          <w:sz w:val="22"/>
          <w:lang w:val="en-GB"/>
        </w:rPr>
        <w:t xml:space="preserve"> owned more than 60</w:t>
      </w:r>
      <w:r w:rsidR="00E84C8D" w:rsidRPr="005A4C1A">
        <w:rPr>
          <w:sz w:val="22"/>
          <w:lang w:val="en-GB"/>
        </w:rPr>
        <w:t xml:space="preserve"> per cent</w:t>
      </w:r>
      <w:r w:rsidRPr="005A4C1A">
        <w:rPr>
          <w:sz w:val="22"/>
          <w:lang w:val="en-GB"/>
        </w:rPr>
        <w:t xml:space="preserve"> of pipeline capacity and 30</w:t>
      </w:r>
      <w:r w:rsidR="00E84C8D" w:rsidRPr="005A4C1A">
        <w:rPr>
          <w:sz w:val="22"/>
          <w:lang w:val="en-GB"/>
        </w:rPr>
        <w:t xml:space="preserve"> per cent</w:t>
      </w:r>
      <w:r w:rsidRPr="005A4C1A">
        <w:rPr>
          <w:sz w:val="22"/>
          <w:lang w:val="en-GB"/>
        </w:rPr>
        <w:t xml:space="preserve"> of oil processing capacity in Frespirit. The company had worked with CNGC to build and operate a crude oil pipeline in Central Asia. Western Regions Company and FTG </w:t>
      </w:r>
      <w:r w:rsidR="00E84C8D" w:rsidRPr="005A4C1A">
        <w:rPr>
          <w:sz w:val="22"/>
          <w:lang w:val="en-GB"/>
        </w:rPr>
        <w:t xml:space="preserve">had </w:t>
      </w:r>
      <w:r w:rsidRPr="005A4C1A">
        <w:rPr>
          <w:sz w:val="22"/>
          <w:lang w:val="en-GB"/>
        </w:rPr>
        <w:t xml:space="preserve">set up a </w:t>
      </w:r>
      <w:r w:rsidR="00E84C8D" w:rsidRPr="005A4C1A">
        <w:rPr>
          <w:sz w:val="22"/>
          <w:lang w:val="en-GB"/>
        </w:rPr>
        <w:t>JV</w:t>
      </w:r>
      <w:r w:rsidRPr="005A4C1A">
        <w:rPr>
          <w:sz w:val="22"/>
          <w:lang w:val="en-GB"/>
        </w:rPr>
        <w:t xml:space="preserve"> in Frespirit </w:t>
      </w:r>
      <w:r w:rsidR="00E84C8D" w:rsidRPr="005A4C1A">
        <w:rPr>
          <w:sz w:val="22"/>
          <w:lang w:val="en-GB"/>
        </w:rPr>
        <w:t>that</w:t>
      </w:r>
      <w:r w:rsidRPr="005A4C1A">
        <w:rPr>
          <w:sz w:val="22"/>
          <w:lang w:val="en-GB"/>
        </w:rPr>
        <w:t xml:space="preserve"> was responsible for the construction and operation of </w:t>
      </w:r>
      <w:r w:rsidR="00E84C8D" w:rsidRPr="005A4C1A">
        <w:rPr>
          <w:sz w:val="22"/>
          <w:lang w:val="en-GB"/>
        </w:rPr>
        <w:t xml:space="preserve">the </w:t>
      </w:r>
      <w:r w:rsidR="006A586C" w:rsidRPr="005A4C1A">
        <w:rPr>
          <w:sz w:val="22"/>
          <w:lang w:val="en-GB"/>
        </w:rPr>
        <w:t xml:space="preserve">Frespirit </w:t>
      </w:r>
      <w:r w:rsidR="00E84C8D" w:rsidRPr="005A4C1A">
        <w:rPr>
          <w:sz w:val="22"/>
          <w:lang w:val="en-GB"/>
        </w:rPr>
        <w:t xml:space="preserve">section of </w:t>
      </w:r>
      <w:r w:rsidRPr="005A4C1A">
        <w:rPr>
          <w:sz w:val="22"/>
          <w:lang w:val="en-GB"/>
        </w:rPr>
        <w:t xml:space="preserve">the </w:t>
      </w:r>
      <w:r w:rsidR="00E84C8D" w:rsidRPr="005A4C1A">
        <w:rPr>
          <w:sz w:val="22"/>
          <w:lang w:val="en-GB"/>
        </w:rPr>
        <w:t>MNGP</w:t>
      </w:r>
      <w:r w:rsidRPr="005A4C1A">
        <w:rPr>
          <w:sz w:val="22"/>
          <w:lang w:val="en-GB"/>
        </w:rPr>
        <w:t>.</w:t>
      </w:r>
    </w:p>
    <w:p w14:paraId="6D36E938" w14:textId="77777777" w:rsidR="005A4C1A" w:rsidRPr="005A4C1A" w:rsidRDefault="005A4C1A" w:rsidP="00B60B6A">
      <w:pPr>
        <w:pStyle w:val="BodyTextMain"/>
        <w:rPr>
          <w:lang w:val="en-GB"/>
        </w:rPr>
      </w:pPr>
    </w:p>
    <w:p w14:paraId="31582AB0" w14:textId="5858556C" w:rsidR="001D5C5C" w:rsidRPr="005A4C1A" w:rsidRDefault="001D5C5C">
      <w:pPr>
        <w:jc w:val="both"/>
        <w:rPr>
          <w:sz w:val="22"/>
          <w:lang w:val="en-GB"/>
        </w:rPr>
      </w:pPr>
      <w:r w:rsidRPr="005A4C1A">
        <w:rPr>
          <w:sz w:val="22"/>
          <w:lang w:val="en-GB"/>
        </w:rPr>
        <w:t>FTG also did not believe the pipeline could be completed within a mere 28 months and did not want to invest more. Consequently</w:t>
      </w:r>
      <w:r w:rsidR="00440441" w:rsidRPr="005A4C1A">
        <w:rPr>
          <w:sz w:val="22"/>
          <w:lang w:val="en-GB"/>
        </w:rPr>
        <w:t>,</w:t>
      </w:r>
      <w:r w:rsidRPr="005A4C1A">
        <w:rPr>
          <w:sz w:val="22"/>
          <w:lang w:val="en-GB"/>
        </w:rPr>
        <w:t xml:space="preserve"> </w:t>
      </w:r>
      <w:r w:rsidR="00C13D65" w:rsidRPr="005A4C1A">
        <w:rPr>
          <w:sz w:val="22"/>
          <w:lang w:val="en-GB"/>
        </w:rPr>
        <w:t>the group</w:t>
      </w:r>
      <w:r w:rsidRPr="005A4C1A">
        <w:rPr>
          <w:sz w:val="22"/>
          <w:lang w:val="en-GB"/>
        </w:rPr>
        <w:t xml:space="preserve"> did not focus on the project deadline. </w:t>
      </w:r>
      <w:r w:rsidR="00440441" w:rsidRPr="005A4C1A">
        <w:rPr>
          <w:sz w:val="22"/>
          <w:lang w:val="en-GB"/>
        </w:rPr>
        <w:t>Furthermore</w:t>
      </w:r>
      <w:r w:rsidRPr="005A4C1A">
        <w:rPr>
          <w:sz w:val="22"/>
          <w:lang w:val="en-GB"/>
        </w:rPr>
        <w:t xml:space="preserve">, </w:t>
      </w:r>
      <w:r w:rsidR="00440441" w:rsidRPr="005A4C1A">
        <w:rPr>
          <w:sz w:val="22"/>
          <w:lang w:val="en-GB"/>
        </w:rPr>
        <w:t>it</w:t>
      </w:r>
      <w:r w:rsidRPr="005A4C1A">
        <w:rPr>
          <w:sz w:val="22"/>
          <w:lang w:val="en-GB"/>
        </w:rPr>
        <w:t xml:space="preserve"> proposed that the project </w:t>
      </w:r>
      <w:r w:rsidR="00FE66FA" w:rsidRPr="005A4C1A">
        <w:rPr>
          <w:sz w:val="22"/>
          <w:lang w:val="en-GB"/>
        </w:rPr>
        <w:t>be construct</w:t>
      </w:r>
      <w:r w:rsidR="00FE66FA">
        <w:rPr>
          <w:sz w:val="22"/>
          <w:lang w:val="en-GB"/>
        </w:rPr>
        <w:t>ed</w:t>
      </w:r>
      <w:r w:rsidR="00FE66FA" w:rsidRPr="005A4C1A">
        <w:rPr>
          <w:sz w:val="22"/>
          <w:lang w:val="en-GB"/>
        </w:rPr>
        <w:t xml:space="preserve"> </w:t>
      </w:r>
      <w:r w:rsidRPr="005A4C1A">
        <w:rPr>
          <w:sz w:val="22"/>
          <w:lang w:val="en-GB"/>
        </w:rPr>
        <w:t xml:space="preserve">by </w:t>
      </w:r>
      <w:r w:rsidR="00440441" w:rsidRPr="005A4C1A">
        <w:rPr>
          <w:sz w:val="22"/>
          <w:lang w:val="en-GB"/>
        </w:rPr>
        <w:t>its</w:t>
      </w:r>
      <w:r w:rsidRPr="005A4C1A">
        <w:rPr>
          <w:sz w:val="22"/>
          <w:lang w:val="en-GB"/>
        </w:rPr>
        <w:t xml:space="preserve"> own engineering team. In addition, </w:t>
      </w:r>
      <w:r w:rsidR="00440441" w:rsidRPr="005A4C1A">
        <w:rPr>
          <w:sz w:val="22"/>
          <w:lang w:val="en-GB"/>
        </w:rPr>
        <w:t>it</w:t>
      </w:r>
      <w:r w:rsidRPr="005A4C1A">
        <w:rPr>
          <w:sz w:val="22"/>
          <w:lang w:val="en-GB"/>
        </w:rPr>
        <w:t xml:space="preserve"> </w:t>
      </w:r>
      <w:r w:rsidR="00FE66FA">
        <w:rPr>
          <w:sz w:val="22"/>
          <w:lang w:val="en-GB"/>
        </w:rPr>
        <w:t>asked</w:t>
      </w:r>
      <w:r w:rsidR="00FE66FA" w:rsidRPr="005A4C1A">
        <w:rPr>
          <w:sz w:val="22"/>
          <w:lang w:val="en-GB"/>
        </w:rPr>
        <w:t xml:space="preserve"> </w:t>
      </w:r>
      <w:r w:rsidRPr="005A4C1A">
        <w:rPr>
          <w:sz w:val="22"/>
          <w:lang w:val="en-GB"/>
        </w:rPr>
        <w:t xml:space="preserve">CNGP to pay an additional transit fee. At the same time, FTG wanted to </w:t>
      </w:r>
      <w:r w:rsidR="00440441" w:rsidRPr="005A4C1A">
        <w:rPr>
          <w:sz w:val="22"/>
          <w:lang w:val="en-GB"/>
        </w:rPr>
        <w:t xml:space="preserve">greatly </w:t>
      </w:r>
      <w:r w:rsidRPr="005A4C1A">
        <w:rPr>
          <w:sz w:val="22"/>
          <w:lang w:val="en-GB"/>
        </w:rPr>
        <w:t xml:space="preserve">limit the proportion of Chinese personnel and believed that it was necessary for </w:t>
      </w:r>
      <w:r w:rsidR="00440441" w:rsidRPr="005A4C1A">
        <w:rPr>
          <w:sz w:val="22"/>
          <w:lang w:val="en-GB"/>
        </w:rPr>
        <w:t>it</w:t>
      </w:r>
      <w:r w:rsidRPr="005A4C1A">
        <w:rPr>
          <w:sz w:val="22"/>
          <w:lang w:val="en-GB"/>
        </w:rPr>
        <w:t xml:space="preserve"> to have dominant control of the </w:t>
      </w:r>
      <w:r w:rsidR="00E84C8D" w:rsidRPr="005A4C1A">
        <w:rPr>
          <w:sz w:val="22"/>
          <w:lang w:val="en-GB"/>
        </w:rPr>
        <w:t>JV</w:t>
      </w:r>
      <w:r w:rsidRPr="005A4C1A">
        <w:rPr>
          <w:sz w:val="22"/>
          <w:lang w:val="en-GB"/>
        </w:rPr>
        <w:t>, which was troublesome for</w:t>
      </w:r>
      <w:r w:rsidR="007819B3" w:rsidRPr="005A4C1A">
        <w:rPr>
          <w:sz w:val="22"/>
          <w:lang w:val="en-GB"/>
        </w:rPr>
        <w:t xml:space="preserve"> Haiyang</w:t>
      </w:r>
      <w:r w:rsidRPr="005A4C1A">
        <w:rPr>
          <w:sz w:val="22"/>
          <w:lang w:val="en-GB"/>
        </w:rPr>
        <w:t xml:space="preserve"> and his team</w:t>
      </w:r>
      <w:r w:rsidR="00440441" w:rsidRPr="005A4C1A">
        <w:rPr>
          <w:sz w:val="22"/>
          <w:lang w:val="en-GB"/>
        </w:rPr>
        <w:t>,</w:t>
      </w:r>
      <w:r w:rsidRPr="005A4C1A">
        <w:rPr>
          <w:sz w:val="22"/>
          <w:lang w:val="en-GB"/>
        </w:rPr>
        <w:t xml:space="preserve"> as they also wanted to control the JVs.</w:t>
      </w:r>
    </w:p>
    <w:p w14:paraId="1E6A7E70" w14:textId="77777777" w:rsidR="001D5C5C" w:rsidRPr="005A4C1A" w:rsidRDefault="001D5C5C">
      <w:pPr>
        <w:rPr>
          <w:sz w:val="18"/>
          <w:szCs w:val="18"/>
          <w:lang w:val="en-GB"/>
        </w:rPr>
      </w:pPr>
    </w:p>
    <w:p w14:paraId="5C0E563D" w14:textId="2FB74642" w:rsidR="001D5C5C" w:rsidRPr="005A4C1A" w:rsidRDefault="001D5C5C" w:rsidP="005A4C1A">
      <w:pPr>
        <w:keepNext/>
        <w:rPr>
          <w:rFonts w:ascii="Arial" w:hAnsi="Arial" w:cs="Arial"/>
          <w:b/>
          <w:lang w:val="en-GB"/>
        </w:rPr>
      </w:pPr>
      <w:r w:rsidRPr="005A4C1A">
        <w:rPr>
          <w:rFonts w:ascii="Arial" w:hAnsi="Arial" w:cs="Arial"/>
          <w:b/>
          <w:lang w:val="en-GB"/>
        </w:rPr>
        <w:lastRenderedPageBreak/>
        <w:t>J</w:t>
      </w:r>
      <w:r w:rsidR="001F29EB" w:rsidRPr="005A4C1A">
        <w:rPr>
          <w:rFonts w:ascii="Arial" w:hAnsi="Arial" w:cs="Arial"/>
          <w:b/>
          <w:lang w:val="en-GB"/>
        </w:rPr>
        <w:t>V</w:t>
      </w:r>
      <w:r w:rsidRPr="005A4C1A">
        <w:rPr>
          <w:rFonts w:ascii="Arial" w:hAnsi="Arial" w:cs="Arial"/>
          <w:b/>
          <w:lang w:val="en-GB"/>
        </w:rPr>
        <w:t xml:space="preserve"> ISSUES</w:t>
      </w:r>
    </w:p>
    <w:p w14:paraId="2D0F3DCD" w14:textId="77777777" w:rsidR="001D5C5C" w:rsidRPr="005A4C1A" w:rsidRDefault="001D5C5C" w:rsidP="005A4C1A">
      <w:pPr>
        <w:pStyle w:val="BodyTextMain"/>
        <w:keepNext/>
        <w:rPr>
          <w:sz w:val="18"/>
          <w:szCs w:val="18"/>
          <w:lang w:val="en-GB"/>
        </w:rPr>
      </w:pPr>
    </w:p>
    <w:p w14:paraId="1F53C426" w14:textId="6B98AC89" w:rsidR="00C13D65" w:rsidRPr="005A4C1A" w:rsidRDefault="00C13D65" w:rsidP="00294F7B">
      <w:pPr>
        <w:pStyle w:val="Casehead2"/>
        <w:rPr>
          <w:lang w:val="en-GB"/>
        </w:rPr>
      </w:pPr>
      <w:r w:rsidRPr="005A4C1A">
        <w:rPr>
          <w:lang w:val="en-GB"/>
        </w:rPr>
        <w:t>Equity Ratio in JVs</w:t>
      </w:r>
    </w:p>
    <w:p w14:paraId="10B09641" w14:textId="77777777" w:rsidR="001D5C5C" w:rsidRPr="005A4C1A" w:rsidRDefault="001D5C5C" w:rsidP="005A4C1A">
      <w:pPr>
        <w:pStyle w:val="BodyTextMain"/>
        <w:rPr>
          <w:sz w:val="18"/>
          <w:szCs w:val="18"/>
          <w:lang w:val="en-GB"/>
        </w:rPr>
      </w:pPr>
    </w:p>
    <w:p w14:paraId="6180EC77" w14:textId="3D38A4E8" w:rsidR="001D5C5C" w:rsidRPr="005A4C1A" w:rsidRDefault="001D5C5C">
      <w:pPr>
        <w:pStyle w:val="ListParagraph"/>
        <w:ind w:left="0"/>
        <w:rPr>
          <w:lang w:val="en-GB"/>
        </w:rPr>
      </w:pPr>
      <w:r w:rsidRPr="005A4C1A">
        <w:rPr>
          <w:lang w:val="en-GB"/>
        </w:rPr>
        <w:t xml:space="preserve">To complete the MNGP within the stipulated time and exercise control over the decision-making power of the </w:t>
      </w:r>
      <w:r w:rsidR="00E84C8D" w:rsidRPr="005A4C1A">
        <w:rPr>
          <w:lang w:val="en-GB"/>
        </w:rPr>
        <w:t>JVs</w:t>
      </w:r>
      <w:r w:rsidRPr="005A4C1A">
        <w:rPr>
          <w:lang w:val="en-GB"/>
        </w:rPr>
        <w:t xml:space="preserve"> during both project construction and </w:t>
      </w:r>
      <w:r w:rsidR="00F94A3A" w:rsidRPr="005A4C1A">
        <w:rPr>
          <w:lang w:val="en-GB"/>
        </w:rPr>
        <w:t xml:space="preserve">project </w:t>
      </w:r>
      <w:r w:rsidRPr="005A4C1A">
        <w:rPr>
          <w:lang w:val="en-GB"/>
        </w:rPr>
        <w:t xml:space="preserve">operation, CNGC had proposed to hold over </w:t>
      </w:r>
      <w:r w:rsidR="00FE66FA" w:rsidRPr="005A4C1A">
        <w:rPr>
          <w:lang w:val="en-GB"/>
        </w:rPr>
        <w:t>50</w:t>
      </w:r>
      <w:r w:rsidR="00FE66FA">
        <w:rPr>
          <w:lang w:val="en-GB"/>
        </w:rPr>
        <w:t> </w:t>
      </w:r>
      <w:r w:rsidR="00E84C8D" w:rsidRPr="005A4C1A">
        <w:rPr>
          <w:lang w:val="en-GB"/>
        </w:rPr>
        <w:t>per cent</w:t>
      </w:r>
      <w:r w:rsidRPr="005A4C1A">
        <w:rPr>
          <w:lang w:val="en-GB"/>
        </w:rPr>
        <w:t xml:space="preserve"> of the equity interest in the </w:t>
      </w:r>
      <w:r w:rsidR="00F94A3A" w:rsidRPr="005A4C1A">
        <w:rPr>
          <w:lang w:val="en-GB"/>
        </w:rPr>
        <w:t>JV</w:t>
      </w:r>
      <w:r w:rsidRPr="005A4C1A">
        <w:rPr>
          <w:lang w:val="en-GB"/>
        </w:rPr>
        <w:t xml:space="preserve"> company</w:t>
      </w:r>
      <w:r w:rsidR="00FE66FA">
        <w:rPr>
          <w:lang w:val="en-GB"/>
        </w:rPr>
        <w:t>;</w:t>
      </w:r>
      <w:r w:rsidR="00FE66FA" w:rsidRPr="005A4C1A">
        <w:rPr>
          <w:lang w:val="en-GB"/>
        </w:rPr>
        <w:t xml:space="preserve"> </w:t>
      </w:r>
      <w:r w:rsidRPr="005A4C1A">
        <w:rPr>
          <w:lang w:val="en-GB"/>
        </w:rPr>
        <w:t>TNG and FTG</w:t>
      </w:r>
      <w:r w:rsidR="00FE66FA" w:rsidRPr="00FE66FA">
        <w:rPr>
          <w:lang w:val="en-GB"/>
        </w:rPr>
        <w:t xml:space="preserve"> </w:t>
      </w:r>
      <w:r w:rsidR="00FE66FA">
        <w:rPr>
          <w:lang w:val="en-GB"/>
        </w:rPr>
        <w:t xml:space="preserve">both </w:t>
      </w:r>
      <w:r w:rsidR="00FE66FA" w:rsidRPr="005A4C1A">
        <w:rPr>
          <w:lang w:val="en-GB"/>
        </w:rPr>
        <w:t xml:space="preserve">opposed </w:t>
      </w:r>
      <w:r w:rsidR="00FE66FA">
        <w:rPr>
          <w:lang w:val="en-GB"/>
        </w:rPr>
        <w:t>this proposal</w:t>
      </w:r>
      <w:r w:rsidRPr="005A4C1A">
        <w:rPr>
          <w:lang w:val="en-GB"/>
        </w:rPr>
        <w:t>. As a result, both sides in each JV held 50</w:t>
      </w:r>
      <w:r w:rsidR="00E84C8D" w:rsidRPr="005A4C1A">
        <w:rPr>
          <w:lang w:val="en-GB"/>
        </w:rPr>
        <w:t xml:space="preserve"> per cent</w:t>
      </w:r>
      <w:r w:rsidRPr="005A4C1A">
        <w:rPr>
          <w:lang w:val="en-GB"/>
        </w:rPr>
        <w:t xml:space="preserve"> of the equity.</w:t>
      </w:r>
    </w:p>
    <w:p w14:paraId="29FC7B8E" w14:textId="77777777" w:rsidR="001D5C5C" w:rsidRPr="005A4C1A" w:rsidRDefault="001D5C5C" w:rsidP="00294F7B">
      <w:pPr>
        <w:pStyle w:val="BodyTextMain"/>
        <w:rPr>
          <w:sz w:val="18"/>
          <w:szCs w:val="18"/>
          <w:lang w:val="en-GB"/>
        </w:rPr>
      </w:pPr>
    </w:p>
    <w:p w14:paraId="2DDFDDFD" w14:textId="77777777" w:rsidR="00C13D65" w:rsidRPr="005A4C1A" w:rsidRDefault="00C13D65" w:rsidP="00294F7B">
      <w:pPr>
        <w:pStyle w:val="BodyTextMain"/>
        <w:rPr>
          <w:sz w:val="18"/>
          <w:szCs w:val="18"/>
          <w:lang w:val="en-GB"/>
        </w:rPr>
      </w:pPr>
    </w:p>
    <w:p w14:paraId="15E4D160" w14:textId="0641011C" w:rsidR="00C13D65" w:rsidRPr="005A4C1A" w:rsidRDefault="00C13D65" w:rsidP="00294F7B">
      <w:pPr>
        <w:pStyle w:val="Casehead2"/>
        <w:rPr>
          <w:lang w:val="en-GB"/>
        </w:rPr>
      </w:pPr>
      <w:r w:rsidRPr="005A4C1A">
        <w:rPr>
          <w:lang w:val="en-GB"/>
        </w:rPr>
        <w:t>Equity Capital of JVs</w:t>
      </w:r>
    </w:p>
    <w:p w14:paraId="2901E7F4" w14:textId="77777777" w:rsidR="001D5C5C" w:rsidRPr="005A4C1A" w:rsidRDefault="001D5C5C" w:rsidP="005A4C1A">
      <w:pPr>
        <w:pStyle w:val="BodyTextMain"/>
        <w:rPr>
          <w:sz w:val="18"/>
          <w:szCs w:val="18"/>
          <w:lang w:val="en-GB"/>
        </w:rPr>
      </w:pPr>
    </w:p>
    <w:p w14:paraId="492C4F8F" w14:textId="7BB6F215" w:rsidR="001D5C5C" w:rsidRPr="005A4C1A" w:rsidRDefault="001D5C5C">
      <w:pPr>
        <w:jc w:val="both"/>
        <w:rPr>
          <w:spacing w:val="-2"/>
          <w:kern w:val="22"/>
          <w:sz w:val="22"/>
          <w:lang w:val="en-GB"/>
        </w:rPr>
      </w:pPr>
      <w:r w:rsidRPr="005A4C1A">
        <w:rPr>
          <w:spacing w:val="-2"/>
          <w:kern w:val="22"/>
          <w:sz w:val="22"/>
          <w:lang w:val="en-GB"/>
        </w:rPr>
        <w:t xml:space="preserve">TNG and FTG were reluctant to invest too much capital in the </w:t>
      </w:r>
      <w:r w:rsidR="00F94A3A" w:rsidRPr="005A4C1A">
        <w:rPr>
          <w:spacing w:val="-2"/>
          <w:kern w:val="22"/>
          <w:sz w:val="22"/>
          <w:lang w:val="en-GB"/>
        </w:rPr>
        <w:t>JVs</w:t>
      </w:r>
      <w:r w:rsidRPr="005A4C1A">
        <w:rPr>
          <w:spacing w:val="-2"/>
          <w:kern w:val="22"/>
          <w:sz w:val="22"/>
          <w:lang w:val="en-GB"/>
        </w:rPr>
        <w:t xml:space="preserve">. Due to restrictions on shareholding, Western Regions Company could only invest the same amount of capital as domestic parties, which resulted in little capital available for the </w:t>
      </w:r>
      <w:r w:rsidR="00F94A3A" w:rsidRPr="005A4C1A">
        <w:rPr>
          <w:spacing w:val="-2"/>
          <w:kern w:val="22"/>
          <w:sz w:val="22"/>
          <w:lang w:val="en-GB"/>
        </w:rPr>
        <w:t>JV</w:t>
      </w:r>
      <w:r w:rsidRPr="005A4C1A">
        <w:rPr>
          <w:spacing w:val="-2"/>
          <w:kern w:val="22"/>
          <w:sz w:val="22"/>
          <w:lang w:val="en-GB"/>
        </w:rPr>
        <w:t>. In Western Timur Company, Western Regions Company and TNG each invested US$1.5 million. In Western Frespirit Company</w:t>
      </w:r>
      <w:r w:rsidR="00F94A3A" w:rsidRPr="005A4C1A">
        <w:rPr>
          <w:spacing w:val="-2"/>
          <w:kern w:val="22"/>
          <w:sz w:val="22"/>
          <w:lang w:val="en-GB"/>
        </w:rPr>
        <w:t>,</w:t>
      </w:r>
      <w:r w:rsidRPr="005A4C1A">
        <w:rPr>
          <w:spacing w:val="-2"/>
          <w:kern w:val="22"/>
          <w:sz w:val="22"/>
          <w:lang w:val="en-GB"/>
        </w:rPr>
        <w:t xml:space="preserve"> both Western Regions Company and FTG invested US$5 million. The capital of the two </w:t>
      </w:r>
      <w:r w:rsidR="00F94A3A" w:rsidRPr="005A4C1A">
        <w:rPr>
          <w:spacing w:val="-2"/>
          <w:kern w:val="22"/>
          <w:sz w:val="22"/>
          <w:lang w:val="en-GB"/>
        </w:rPr>
        <w:t>JVs</w:t>
      </w:r>
      <w:r w:rsidRPr="005A4C1A">
        <w:rPr>
          <w:spacing w:val="-2"/>
          <w:kern w:val="22"/>
          <w:sz w:val="22"/>
          <w:lang w:val="en-GB"/>
        </w:rPr>
        <w:t xml:space="preserve"> accounted for less than 1</w:t>
      </w:r>
      <w:r w:rsidR="00F94A3A" w:rsidRPr="005A4C1A">
        <w:rPr>
          <w:spacing w:val="-2"/>
          <w:kern w:val="22"/>
          <w:sz w:val="22"/>
          <w:lang w:val="en-GB"/>
        </w:rPr>
        <w:t xml:space="preserve"> per cent</w:t>
      </w:r>
      <w:r w:rsidRPr="005A4C1A">
        <w:rPr>
          <w:spacing w:val="-2"/>
          <w:kern w:val="22"/>
          <w:sz w:val="22"/>
          <w:lang w:val="en-GB"/>
        </w:rPr>
        <w:t xml:space="preserve"> of the total investment</w:t>
      </w:r>
      <w:r w:rsidR="00D817DB" w:rsidRPr="005A4C1A">
        <w:rPr>
          <w:spacing w:val="-2"/>
          <w:kern w:val="22"/>
          <w:sz w:val="22"/>
          <w:lang w:val="en-GB"/>
        </w:rPr>
        <w:t>—</w:t>
      </w:r>
      <w:r w:rsidRPr="005A4C1A">
        <w:rPr>
          <w:spacing w:val="-2"/>
          <w:kern w:val="22"/>
          <w:sz w:val="22"/>
          <w:lang w:val="en-GB"/>
        </w:rPr>
        <w:t>the proportion of the equity capital in comparable international project</w:t>
      </w:r>
      <w:r w:rsidR="00C63FFD" w:rsidRPr="005A4C1A">
        <w:rPr>
          <w:spacing w:val="-2"/>
          <w:kern w:val="22"/>
          <w:sz w:val="22"/>
          <w:lang w:val="en-GB"/>
        </w:rPr>
        <w:t>s</w:t>
      </w:r>
      <w:r w:rsidRPr="005A4C1A">
        <w:rPr>
          <w:spacing w:val="-2"/>
          <w:kern w:val="22"/>
          <w:sz w:val="22"/>
          <w:lang w:val="en-GB"/>
        </w:rPr>
        <w:t xml:space="preserve"> was usually 20</w:t>
      </w:r>
      <w:r w:rsidR="00F94A3A" w:rsidRPr="005A4C1A">
        <w:rPr>
          <w:spacing w:val="-2"/>
          <w:kern w:val="22"/>
          <w:sz w:val="22"/>
          <w:lang w:val="en-GB"/>
        </w:rPr>
        <w:t>–</w:t>
      </w:r>
      <w:r w:rsidRPr="005A4C1A">
        <w:rPr>
          <w:spacing w:val="-2"/>
          <w:kern w:val="22"/>
          <w:sz w:val="22"/>
          <w:lang w:val="en-GB"/>
        </w:rPr>
        <w:t>30</w:t>
      </w:r>
      <w:r w:rsidR="00F94A3A" w:rsidRPr="005A4C1A">
        <w:rPr>
          <w:spacing w:val="-2"/>
          <w:kern w:val="22"/>
          <w:sz w:val="22"/>
          <w:lang w:val="en-GB"/>
        </w:rPr>
        <w:t xml:space="preserve"> per cent</w:t>
      </w:r>
      <w:r w:rsidRPr="005A4C1A">
        <w:rPr>
          <w:spacing w:val="-2"/>
          <w:kern w:val="22"/>
          <w:sz w:val="22"/>
          <w:lang w:val="en-GB"/>
        </w:rPr>
        <w:t>.</w:t>
      </w:r>
    </w:p>
    <w:p w14:paraId="43F50B92" w14:textId="77777777" w:rsidR="001D5C5C" w:rsidRPr="005A4C1A" w:rsidRDefault="001D5C5C">
      <w:pPr>
        <w:jc w:val="both"/>
        <w:rPr>
          <w:sz w:val="18"/>
          <w:szCs w:val="18"/>
          <w:lang w:val="en-GB"/>
        </w:rPr>
      </w:pPr>
    </w:p>
    <w:p w14:paraId="2AC9CC16" w14:textId="411B2C5A" w:rsidR="001D5C5C" w:rsidRPr="005A4C1A" w:rsidRDefault="001D5C5C">
      <w:pPr>
        <w:jc w:val="both"/>
        <w:rPr>
          <w:sz w:val="22"/>
          <w:lang w:val="en-GB"/>
        </w:rPr>
      </w:pPr>
      <w:r w:rsidRPr="005A4C1A">
        <w:rPr>
          <w:sz w:val="22"/>
          <w:lang w:val="en-GB"/>
        </w:rPr>
        <w:t>The lack of equity capital caused</w:t>
      </w:r>
      <w:r w:rsidR="007819B3" w:rsidRPr="005A4C1A">
        <w:rPr>
          <w:sz w:val="22"/>
          <w:lang w:val="en-GB"/>
        </w:rPr>
        <w:t xml:space="preserve"> Haiyang </w:t>
      </w:r>
      <w:r w:rsidRPr="005A4C1A">
        <w:rPr>
          <w:sz w:val="22"/>
          <w:lang w:val="en-GB"/>
        </w:rPr>
        <w:t>distress. Traditional corporate financing could not solve the project</w:t>
      </w:r>
      <w:r w:rsidR="00C63FFD" w:rsidRPr="005A4C1A">
        <w:rPr>
          <w:sz w:val="22"/>
          <w:lang w:val="en-GB"/>
        </w:rPr>
        <w:t>’</w:t>
      </w:r>
      <w:r w:rsidRPr="005A4C1A">
        <w:rPr>
          <w:sz w:val="22"/>
          <w:lang w:val="en-GB"/>
        </w:rPr>
        <w:t>s huge financing need.</w:t>
      </w:r>
      <w:r w:rsidR="007819B3" w:rsidRPr="005A4C1A">
        <w:rPr>
          <w:sz w:val="22"/>
          <w:lang w:val="en-GB"/>
        </w:rPr>
        <w:t xml:space="preserve"> Haiyang </w:t>
      </w:r>
      <w:r w:rsidRPr="005A4C1A">
        <w:rPr>
          <w:sz w:val="22"/>
          <w:lang w:val="en-GB"/>
        </w:rPr>
        <w:t xml:space="preserve">finally decided </w:t>
      </w:r>
      <w:r w:rsidRPr="005A4C1A">
        <w:rPr>
          <w:rFonts w:eastAsia="SimSun"/>
          <w:sz w:val="22"/>
          <w:lang w:val="en-GB" w:eastAsia="zh-CN"/>
        </w:rPr>
        <w:t xml:space="preserve">to </w:t>
      </w:r>
      <w:r w:rsidRPr="005A4C1A">
        <w:rPr>
          <w:sz w:val="22"/>
          <w:lang w:val="en-GB"/>
        </w:rPr>
        <w:t>adopt a project financing model</w:t>
      </w:r>
      <w:r w:rsidRPr="005A4C1A">
        <w:rPr>
          <w:rStyle w:val="FootnoteReference"/>
          <w:sz w:val="22"/>
          <w:lang w:val="en-GB"/>
        </w:rPr>
        <w:footnoteReference w:id="4"/>
      </w:r>
      <w:r w:rsidRPr="005A4C1A">
        <w:rPr>
          <w:sz w:val="22"/>
          <w:lang w:val="en-GB"/>
        </w:rPr>
        <w:t xml:space="preserve"> after several brainstorming sessions with his finance team.</w:t>
      </w:r>
      <w:r w:rsidRPr="005A4C1A">
        <w:rPr>
          <w:sz w:val="22"/>
          <w:lang w:val="en-GB" w:eastAsia="zh-CN"/>
        </w:rPr>
        <w:t xml:space="preserve"> During the financing negotiation, </w:t>
      </w:r>
      <w:r w:rsidRPr="005A4C1A">
        <w:rPr>
          <w:sz w:val="22"/>
          <w:lang w:val="en-GB"/>
        </w:rPr>
        <w:t>the lending banks</w:t>
      </w:r>
      <w:r w:rsidRPr="005A4C1A">
        <w:rPr>
          <w:sz w:val="22"/>
          <w:lang w:val="en-GB" w:eastAsia="zh-CN"/>
        </w:rPr>
        <w:t xml:space="preserve"> required </w:t>
      </w:r>
      <w:r w:rsidR="00C63FFD" w:rsidRPr="005A4C1A">
        <w:rPr>
          <w:sz w:val="22"/>
          <w:lang w:val="en-GB" w:eastAsia="zh-CN"/>
        </w:rPr>
        <w:t xml:space="preserve">a </w:t>
      </w:r>
      <w:r w:rsidRPr="005A4C1A">
        <w:rPr>
          <w:sz w:val="22"/>
          <w:lang w:val="en-GB" w:eastAsia="zh-CN"/>
        </w:rPr>
        <w:t>s</w:t>
      </w:r>
      <w:r w:rsidRPr="005A4C1A">
        <w:rPr>
          <w:sz w:val="22"/>
          <w:lang w:val="en-GB"/>
        </w:rPr>
        <w:t xml:space="preserve">hareholders’ </w:t>
      </w:r>
      <w:r w:rsidRPr="005A4C1A">
        <w:rPr>
          <w:sz w:val="22"/>
          <w:lang w:val="en-GB" w:eastAsia="zh-CN"/>
        </w:rPr>
        <w:t>s</w:t>
      </w:r>
      <w:r w:rsidRPr="005A4C1A">
        <w:rPr>
          <w:sz w:val="22"/>
          <w:lang w:val="en-GB"/>
        </w:rPr>
        <w:t xml:space="preserve">upport </w:t>
      </w:r>
      <w:r w:rsidRPr="005A4C1A">
        <w:rPr>
          <w:sz w:val="22"/>
          <w:lang w:val="en-GB" w:eastAsia="zh-CN"/>
        </w:rPr>
        <w:t>a</w:t>
      </w:r>
      <w:r w:rsidRPr="005A4C1A">
        <w:rPr>
          <w:sz w:val="22"/>
          <w:lang w:val="en-GB"/>
        </w:rPr>
        <w:t>greement</w:t>
      </w:r>
      <w:r w:rsidRPr="005A4C1A">
        <w:rPr>
          <w:rFonts w:eastAsia="SimSun"/>
          <w:sz w:val="22"/>
          <w:lang w:val="en-GB" w:eastAsia="zh-CN"/>
        </w:rPr>
        <w:t xml:space="preserve"> and</w:t>
      </w:r>
      <w:r w:rsidRPr="005A4C1A">
        <w:rPr>
          <w:sz w:val="22"/>
          <w:lang w:val="en-GB" w:eastAsia="zh-CN"/>
        </w:rPr>
        <w:t xml:space="preserve"> a c</w:t>
      </w:r>
      <w:r w:rsidRPr="005A4C1A">
        <w:rPr>
          <w:sz w:val="22"/>
          <w:szCs w:val="22"/>
          <w:lang w:val="en-GB" w:eastAsia="zh-CN"/>
        </w:rPr>
        <w:t xml:space="preserve">ross-default agreement between the two JVs </w:t>
      </w:r>
      <w:r w:rsidR="00122D6B">
        <w:rPr>
          <w:sz w:val="22"/>
          <w:szCs w:val="22"/>
          <w:lang w:val="en-GB" w:eastAsia="zh-CN"/>
        </w:rPr>
        <w:t>in addition to</w:t>
      </w:r>
      <w:r w:rsidR="00122D6B" w:rsidRPr="005A4C1A">
        <w:rPr>
          <w:sz w:val="22"/>
          <w:szCs w:val="22"/>
          <w:lang w:val="en-GB" w:eastAsia="zh-CN"/>
        </w:rPr>
        <w:t xml:space="preserve"> </w:t>
      </w:r>
      <w:r w:rsidR="00B92A34" w:rsidRPr="005A4C1A">
        <w:rPr>
          <w:sz w:val="22"/>
          <w:szCs w:val="22"/>
          <w:lang w:val="en-GB" w:eastAsia="zh-CN"/>
        </w:rPr>
        <w:t xml:space="preserve">the usual </w:t>
      </w:r>
      <w:r w:rsidRPr="005A4C1A">
        <w:rPr>
          <w:sz w:val="22"/>
          <w:szCs w:val="22"/>
          <w:lang w:val="en-GB" w:eastAsia="zh-CN"/>
        </w:rPr>
        <w:t>project financing credit support</w:t>
      </w:r>
      <w:r w:rsidR="00C63FFD" w:rsidRPr="005A4C1A">
        <w:rPr>
          <w:sz w:val="22"/>
          <w:szCs w:val="22"/>
          <w:lang w:val="en-GB" w:eastAsia="zh-CN"/>
        </w:rPr>
        <w:t>.</w:t>
      </w:r>
      <w:r w:rsidRPr="005A4C1A">
        <w:rPr>
          <w:rStyle w:val="FootnoteReference"/>
          <w:sz w:val="22"/>
          <w:lang w:val="en-GB"/>
        </w:rPr>
        <w:footnoteReference w:id="5"/>
      </w:r>
      <w:r w:rsidRPr="005A4C1A">
        <w:rPr>
          <w:sz w:val="22"/>
          <w:szCs w:val="22"/>
          <w:lang w:val="en-GB" w:eastAsia="zh-CN"/>
        </w:rPr>
        <w:t xml:space="preserve"> </w:t>
      </w:r>
    </w:p>
    <w:p w14:paraId="1AA73EFD" w14:textId="77777777" w:rsidR="001D5C5C" w:rsidRPr="005A4C1A" w:rsidRDefault="001D5C5C" w:rsidP="005A4C1A">
      <w:pPr>
        <w:pStyle w:val="BodyTextMain"/>
        <w:rPr>
          <w:sz w:val="18"/>
          <w:szCs w:val="18"/>
          <w:lang w:val="en-GB"/>
        </w:rPr>
      </w:pPr>
    </w:p>
    <w:p w14:paraId="1D281EF8" w14:textId="77777777" w:rsidR="001D5C5C" w:rsidRPr="005A4C1A" w:rsidRDefault="001D5C5C" w:rsidP="005A4C1A">
      <w:pPr>
        <w:pStyle w:val="BodyTextMain"/>
        <w:rPr>
          <w:sz w:val="18"/>
          <w:szCs w:val="18"/>
          <w:lang w:val="en-GB"/>
        </w:rPr>
      </w:pPr>
    </w:p>
    <w:p w14:paraId="2738C645" w14:textId="77777777" w:rsidR="001D5C5C" w:rsidRPr="005A4C1A" w:rsidRDefault="001D5C5C">
      <w:pPr>
        <w:rPr>
          <w:rFonts w:ascii="Arial" w:hAnsi="Arial" w:cs="Arial"/>
          <w:b/>
          <w:lang w:val="en-GB"/>
        </w:rPr>
      </w:pPr>
      <w:r w:rsidRPr="005A4C1A">
        <w:rPr>
          <w:rFonts w:ascii="Arial" w:hAnsi="Arial" w:cs="Arial"/>
          <w:b/>
          <w:lang w:val="en-GB"/>
        </w:rPr>
        <w:t>DECISION-MAKING MECHANISM</w:t>
      </w:r>
    </w:p>
    <w:p w14:paraId="481B050E" w14:textId="77777777" w:rsidR="001D5C5C" w:rsidRPr="005A4C1A" w:rsidRDefault="001D5C5C">
      <w:pPr>
        <w:rPr>
          <w:sz w:val="18"/>
          <w:szCs w:val="18"/>
          <w:lang w:val="en-GB"/>
        </w:rPr>
      </w:pPr>
    </w:p>
    <w:p w14:paraId="4F9DC892" w14:textId="1A8BBD61" w:rsidR="001D5C5C" w:rsidRPr="005A4C1A" w:rsidRDefault="001D5C5C">
      <w:pPr>
        <w:jc w:val="both"/>
        <w:rPr>
          <w:sz w:val="22"/>
          <w:lang w:val="en-GB"/>
        </w:rPr>
      </w:pPr>
      <w:r w:rsidRPr="005A4C1A">
        <w:rPr>
          <w:sz w:val="22"/>
          <w:lang w:val="en-GB"/>
        </w:rPr>
        <w:t xml:space="preserve">The highest decision-making </w:t>
      </w:r>
      <w:r w:rsidR="00122D6B" w:rsidRPr="005A4C1A">
        <w:rPr>
          <w:sz w:val="22"/>
          <w:lang w:val="en-GB"/>
        </w:rPr>
        <w:t>bod</w:t>
      </w:r>
      <w:r w:rsidR="00122D6B">
        <w:rPr>
          <w:sz w:val="22"/>
          <w:lang w:val="en-GB"/>
        </w:rPr>
        <w:t>ies</w:t>
      </w:r>
      <w:r w:rsidR="00122D6B" w:rsidRPr="005A4C1A">
        <w:rPr>
          <w:sz w:val="22"/>
          <w:lang w:val="en-GB"/>
        </w:rPr>
        <w:t xml:space="preserve"> </w:t>
      </w:r>
      <w:r w:rsidRPr="005A4C1A">
        <w:rPr>
          <w:sz w:val="22"/>
          <w:lang w:val="en-GB"/>
        </w:rPr>
        <w:t>of Western Timur Company and Western Frespirit Company w</w:t>
      </w:r>
      <w:r w:rsidR="00B92A34" w:rsidRPr="005A4C1A">
        <w:rPr>
          <w:sz w:val="22"/>
          <w:lang w:val="en-GB"/>
        </w:rPr>
        <w:t>ere</w:t>
      </w:r>
      <w:r w:rsidRPr="005A4C1A">
        <w:rPr>
          <w:sz w:val="22"/>
          <w:lang w:val="en-GB"/>
        </w:rPr>
        <w:t xml:space="preserve"> the shareholders</w:t>
      </w:r>
      <w:r w:rsidR="00122D6B">
        <w:rPr>
          <w:sz w:val="22"/>
          <w:lang w:val="en-GB"/>
        </w:rPr>
        <w:t xml:space="preserve">. Shareholder groups were </w:t>
      </w:r>
      <w:r w:rsidRPr="005A4C1A">
        <w:rPr>
          <w:sz w:val="22"/>
          <w:lang w:val="en-GB"/>
        </w:rPr>
        <w:t xml:space="preserve">composed of the same number of </w:t>
      </w:r>
      <w:r w:rsidR="00122D6B">
        <w:rPr>
          <w:sz w:val="22"/>
          <w:lang w:val="en-GB"/>
        </w:rPr>
        <w:t>people</w:t>
      </w:r>
      <w:r w:rsidR="00122D6B" w:rsidRPr="005A4C1A">
        <w:rPr>
          <w:sz w:val="22"/>
          <w:lang w:val="en-GB"/>
        </w:rPr>
        <w:t xml:space="preserve"> </w:t>
      </w:r>
      <w:r w:rsidRPr="005A4C1A">
        <w:rPr>
          <w:sz w:val="22"/>
          <w:lang w:val="en-GB"/>
        </w:rPr>
        <w:t>from each side.</w:t>
      </w:r>
    </w:p>
    <w:p w14:paraId="732464C0" w14:textId="77777777" w:rsidR="001D5C5C" w:rsidRPr="005A4C1A" w:rsidRDefault="001D5C5C">
      <w:pPr>
        <w:jc w:val="both"/>
        <w:rPr>
          <w:sz w:val="18"/>
          <w:szCs w:val="18"/>
          <w:lang w:val="en-GB"/>
        </w:rPr>
      </w:pPr>
    </w:p>
    <w:p w14:paraId="563A002D" w14:textId="5561E9ED" w:rsidR="001D5C5C" w:rsidRPr="005A4C1A" w:rsidRDefault="001D5C5C">
      <w:pPr>
        <w:jc w:val="both"/>
        <w:rPr>
          <w:spacing w:val="-2"/>
          <w:kern w:val="22"/>
          <w:sz w:val="22"/>
          <w:lang w:val="en-GB"/>
        </w:rPr>
      </w:pPr>
      <w:r w:rsidRPr="005A4C1A">
        <w:rPr>
          <w:spacing w:val="-2"/>
          <w:kern w:val="22"/>
          <w:sz w:val="22"/>
          <w:lang w:val="en-GB"/>
        </w:rPr>
        <w:t>In Western Timur Company, shareholders agreed that</w:t>
      </w:r>
      <w:r w:rsidR="008F3A4E" w:rsidRPr="005A4C1A">
        <w:rPr>
          <w:spacing w:val="-2"/>
          <w:kern w:val="22"/>
          <w:sz w:val="22"/>
          <w:lang w:val="en-GB"/>
        </w:rPr>
        <w:t xml:space="preserve"> Xiao Yue</w:t>
      </w:r>
      <w:r w:rsidRPr="005A4C1A">
        <w:rPr>
          <w:spacing w:val="-2"/>
          <w:kern w:val="22"/>
          <w:sz w:val="22"/>
          <w:lang w:val="en-GB"/>
        </w:rPr>
        <w:t xml:space="preserve"> </w:t>
      </w:r>
      <w:r w:rsidRPr="005A4C1A">
        <w:rPr>
          <w:rFonts w:eastAsia="SimSun"/>
          <w:spacing w:val="-2"/>
          <w:kern w:val="22"/>
          <w:sz w:val="22"/>
          <w:lang w:val="en-GB" w:eastAsia="zh-CN"/>
        </w:rPr>
        <w:t>P</w:t>
      </w:r>
      <w:r w:rsidRPr="005A4C1A">
        <w:rPr>
          <w:spacing w:val="-2"/>
          <w:kern w:val="22"/>
          <w:sz w:val="22"/>
          <w:lang w:val="en-GB"/>
        </w:rPr>
        <w:t xml:space="preserve">eng, who was from Western Regions Company, could serve as </w:t>
      </w:r>
      <w:bookmarkStart w:id="5" w:name="OLE_LINK3"/>
      <w:r w:rsidRPr="005A4C1A">
        <w:rPr>
          <w:spacing w:val="-2"/>
          <w:kern w:val="22"/>
          <w:sz w:val="22"/>
          <w:lang w:val="en-GB"/>
        </w:rPr>
        <w:t xml:space="preserve">general </w:t>
      </w:r>
      <w:bookmarkEnd w:id="5"/>
      <w:r w:rsidRPr="005A4C1A">
        <w:rPr>
          <w:spacing w:val="-2"/>
          <w:kern w:val="22"/>
          <w:sz w:val="22"/>
          <w:lang w:val="en-GB"/>
        </w:rPr>
        <w:t xml:space="preserve">manager of the </w:t>
      </w:r>
      <w:r w:rsidR="009B2482" w:rsidRPr="005A4C1A">
        <w:rPr>
          <w:spacing w:val="-2"/>
          <w:kern w:val="22"/>
          <w:sz w:val="22"/>
          <w:lang w:val="en-GB"/>
        </w:rPr>
        <w:t>JV</w:t>
      </w:r>
      <w:r w:rsidRPr="005A4C1A">
        <w:rPr>
          <w:spacing w:val="-2"/>
          <w:kern w:val="22"/>
          <w:sz w:val="22"/>
          <w:lang w:val="en-GB"/>
        </w:rPr>
        <w:t xml:space="preserve"> and</w:t>
      </w:r>
      <w:r w:rsidR="00122D6B">
        <w:rPr>
          <w:spacing w:val="-2"/>
          <w:kern w:val="22"/>
          <w:sz w:val="22"/>
          <w:lang w:val="en-GB"/>
        </w:rPr>
        <w:t xml:space="preserve"> that</w:t>
      </w:r>
      <w:r w:rsidR="009B2482" w:rsidRPr="005A4C1A">
        <w:rPr>
          <w:spacing w:val="-2"/>
          <w:kern w:val="22"/>
          <w:sz w:val="22"/>
          <w:lang w:val="en-GB"/>
        </w:rPr>
        <w:t xml:space="preserve"> </w:t>
      </w:r>
      <w:r w:rsidRPr="005A4C1A">
        <w:rPr>
          <w:spacing w:val="-2"/>
          <w:kern w:val="22"/>
          <w:sz w:val="22"/>
          <w:lang w:val="en-GB"/>
        </w:rPr>
        <w:t>someone from TNG</w:t>
      </w:r>
      <w:r w:rsidR="00122D6B">
        <w:rPr>
          <w:spacing w:val="-2"/>
          <w:kern w:val="22"/>
          <w:sz w:val="22"/>
          <w:lang w:val="en-GB"/>
        </w:rPr>
        <w:t xml:space="preserve"> could serve</w:t>
      </w:r>
      <w:r w:rsidR="00122D6B" w:rsidRPr="005A4C1A">
        <w:rPr>
          <w:spacing w:val="-2"/>
          <w:kern w:val="22"/>
          <w:sz w:val="22"/>
          <w:lang w:val="en-GB"/>
        </w:rPr>
        <w:t xml:space="preserve"> </w:t>
      </w:r>
      <w:r w:rsidRPr="005A4C1A">
        <w:rPr>
          <w:spacing w:val="-2"/>
          <w:kern w:val="22"/>
          <w:sz w:val="22"/>
          <w:lang w:val="en-GB"/>
        </w:rPr>
        <w:t>as the chief vice</w:t>
      </w:r>
      <w:r w:rsidR="009B2482" w:rsidRPr="005A4C1A">
        <w:rPr>
          <w:spacing w:val="-2"/>
          <w:kern w:val="22"/>
          <w:sz w:val="22"/>
          <w:lang w:val="en-GB"/>
        </w:rPr>
        <w:t>-</w:t>
      </w:r>
      <w:r w:rsidRPr="005A4C1A">
        <w:rPr>
          <w:spacing w:val="-2"/>
          <w:kern w:val="22"/>
          <w:sz w:val="22"/>
          <w:lang w:val="en-GB"/>
        </w:rPr>
        <w:t xml:space="preserve">general manager until the project loan was repaid. Also, the general manager in charge of </w:t>
      </w:r>
      <w:r w:rsidR="00122D6B">
        <w:rPr>
          <w:spacing w:val="-2"/>
          <w:kern w:val="22"/>
          <w:sz w:val="22"/>
          <w:lang w:val="en-GB"/>
        </w:rPr>
        <w:t>c</w:t>
      </w:r>
      <w:r w:rsidRPr="005A4C1A">
        <w:rPr>
          <w:spacing w:val="-2"/>
          <w:kern w:val="22"/>
          <w:sz w:val="22"/>
          <w:lang w:val="en-GB"/>
        </w:rPr>
        <w:t xml:space="preserve">onstruction, the general manager in charge of </w:t>
      </w:r>
      <w:r w:rsidR="00122D6B">
        <w:rPr>
          <w:spacing w:val="-2"/>
          <w:kern w:val="22"/>
          <w:sz w:val="22"/>
          <w:lang w:val="en-GB"/>
        </w:rPr>
        <w:t>o</w:t>
      </w:r>
      <w:r w:rsidRPr="005A4C1A">
        <w:rPr>
          <w:spacing w:val="-2"/>
          <w:kern w:val="22"/>
          <w:sz w:val="22"/>
          <w:lang w:val="en-GB"/>
        </w:rPr>
        <w:t>perations</w:t>
      </w:r>
      <w:r w:rsidR="009B2482" w:rsidRPr="005A4C1A">
        <w:rPr>
          <w:spacing w:val="-2"/>
          <w:kern w:val="22"/>
          <w:sz w:val="22"/>
          <w:lang w:val="en-GB"/>
        </w:rPr>
        <w:t>,</w:t>
      </w:r>
      <w:r w:rsidRPr="005A4C1A">
        <w:rPr>
          <w:spacing w:val="-2"/>
          <w:kern w:val="22"/>
          <w:sz w:val="22"/>
          <w:lang w:val="en-GB"/>
        </w:rPr>
        <w:t xml:space="preserve"> and the vice</w:t>
      </w:r>
      <w:r w:rsidR="009B2482" w:rsidRPr="005A4C1A">
        <w:rPr>
          <w:spacing w:val="-2"/>
          <w:kern w:val="22"/>
          <w:sz w:val="22"/>
          <w:lang w:val="en-GB"/>
        </w:rPr>
        <w:t>-</w:t>
      </w:r>
      <w:r w:rsidRPr="005A4C1A">
        <w:rPr>
          <w:spacing w:val="-2"/>
          <w:kern w:val="22"/>
          <w:sz w:val="22"/>
          <w:lang w:val="en-GB"/>
        </w:rPr>
        <w:t xml:space="preserve">general manager in charge of </w:t>
      </w:r>
      <w:r w:rsidR="00122D6B">
        <w:rPr>
          <w:spacing w:val="-2"/>
          <w:kern w:val="22"/>
          <w:sz w:val="22"/>
          <w:lang w:val="en-GB"/>
        </w:rPr>
        <w:t>b</w:t>
      </w:r>
      <w:r w:rsidRPr="005A4C1A">
        <w:rPr>
          <w:spacing w:val="-2"/>
          <w:kern w:val="22"/>
          <w:sz w:val="22"/>
          <w:lang w:val="en-GB"/>
        </w:rPr>
        <w:t>usiness were from Western Regions Company, while the chief accountant and the vice</w:t>
      </w:r>
      <w:r w:rsidR="009B2482" w:rsidRPr="005A4C1A">
        <w:rPr>
          <w:spacing w:val="-2"/>
          <w:kern w:val="22"/>
          <w:sz w:val="22"/>
          <w:lang w:val="en-GB"/>
        </w:rPr>
        <w:t>-</w:t>
      </w:r>
      <w:r w:rsidRPr="005A4C1A">
        <w:rPr>
          <w:spacing w:val="-2"/>
          <w:kern w:val="22"/>
          <w:sz w:val="22"/>
          <w:lang w:val="en-GB"/>
        </w:rPr>
        <w:t xml:space="preserve">general manager in charge of </w:t>
      </w:r>
      <w:r w:rsidR="00122D6B">
        <w:rPr>
          <w:spacing w:val="-2"/>
          <w:kern w:val="22"/>
          <w:sz w:val="22"/>
          <w:lang w:val="en-GB"/>
        </w:rPr>
        <w:t>a</w:t>
      </w:r>
      <w:r w:rsidRPr="005A4C1A">
        <w:rPr>
          <w:spacing w:val="-2"/>
          <w:kern w:val="22"/>
          <w:sz w:val="22"/>
          <w:lang w:val="en-GB"/>
        </w:rPr>
        <w:t>dministration were from TNG</w:t>
      </w:r>
      <w:r w:rsidR="00122D6B">
        <w:rPr>
          <w:spacing w:val="-2"/>
          <w:kern w:val="22"/>
          <w:sz w:val="22"/>
          <w:lang w:val="en-GB"/>
        </w:rPr>
        <w:t xml:space="preserve"> (s</w:t>
      </w:r>
      <w:r w:rsidR="009B2482" w:rsidRPr="005A4C1A">
        <w:rPr>
          <w:spacing w:val="-2"/>
          <w:kern w:val="22"/>
          <w:sz w:val="22"/>
          <w:lang w:val="en-GB"/>
        </w:rPr>
        <w:t xml:space="preserve">ee </w:t>
      </w:r>
      <w:r w:rsidRPr="005A4C1A">
        <w:rPr>
          <w:spacing w:val="-2"/>
          <w:kern w:val="22"/>
          <w:sz w:val="22"/>
          <w:lang w:val="en-GB"/>
        </w:rPr>
        <w:t>Exhibit 1</w:t>
      </w:r>
      <w:r w:rsidR="00122D6B">
        <w:rPr>
          <w:spacing w:val="-2"/>
          <w:kern w:val="22"/>
          <w:sz w:val="22"/>
          <w:lang w:val="en-GB"/>
        </w:rPr>
        <w:t>).</w:t>
      </w:r>
    </w:p>
    <w:p w14:paraId="0A25A3E1" w14:textId="77777777" w:rsidR="001D5C5C" w:rsidRPr="005A4C1A" w:rsidRDefault="001D5C5C">
      <w:pPr>
        <w:jc w:val="both"/>
        <w:rPr>
          <w:sz w:val="18"/>
          <w:szCs w:val="18"/>
          <w:lang w:val="en-GB"/>
        </w:rPr>
      </w:pPr>
    </w:p>
    <w:p w14:paraId="3D6D0181" w14:textId="21202A7C" w:rsidR="001D5C5C" w:rsidRDefault="001D5C5C" w:rsidP="005F1D1E">
      <w:pPr>
        <w:pStyle w:val="BodyTextMain"/>
        <w:rPr>
          <w:lang w:val="en-GB"/>
        </w:rPr>
      </w:pPr>
      <w:r w:rsidRPr="005A4C1A">
        <w:rPr>
          <w:lang w:val="en-GB"/>
        </w:rPr>
        <w:t xml:space="preserve">In Western Frespirit Company, FTG insisted that the first general manager should be from FTG. </w:t>
      </w:r>
      <w:r w:rsidR="009B2482" w:rsidRPr="005A4C1A">
        <w:rPr>
          <w:lang w:val="en-GB"/>
        </w:rPr>
        <w:t>It</w:t>
      </w:r>
      <w:r w:rsidRPr="005A4C1A">
        <w:rPr>
          <w:lang w:val="en-GB"/>
        </w:rPr>
        <w:t xml:space="preserve"> felt that this would allow </w:t>
      </w:r>
      <w:r w:rsidR="009B2482" w:rsidRPr="005A4C1A">
        <w:rPr>
          <w:lang w:val="en-GB"/>
        </w:rPr>
        <w:t>FTG</w:t>
      </w:r>
      <w:r w:rsidRPr="005A4C1A">
        <w:rPr>
          <w:lang w:val="en-GB"/>
        </w:rPr>
        <w:t xml:space="preserve"> to more easily coordinate with other parties in Frespirit, such as the government and suppliers. </w:t>
      </w:r>
      <w:r w:rsidR="009B2482" w:rsidRPr="005A4C1A">
        <w:rPr>
          <w:lang w:val="en-GB"/>
        </w:rPr>
        <w:t>I</w:t>
      </w:r>
      <w:r w:rsidRPr="005A4C1A">
        <w:rPr>
          <w:lang w:val="en-GB"/>
        </w:rPr>
        <w:t xml:space="preserve">t was also an issue of national pride. </w:t>
      </w:r>
      <w:r w:rsidR="007819B3" w:rsidRPr="005A4C1A">
        <w:rPr>
          <w:lang w:val="en-GB"/>
        </w:rPr>
        <w:t xml:space="preserve">Haiyang </w:t>
      </w:r>
      <w:r w:rsidRPr="005A4C1A">
        <w:rPr>
          <w:lang w:val="en-GB"/>
        </w:rPr>
        <w:t xml:space="preserve">agreed, but he </w:t>
      </w:r>
      <w:r w:rsidR="009B2482" w:rsidRPr="005A4C1A">
        <w:rPr>
          <w:lang w:val="en-GB"/>
        </w:rPr>
        <w:t>proposed</w:t>
      </w:r>
      <w:r w:rsidRPr="005A4C1A">
        <w:rPr>
          <w:lang w:val="en-GB"/>
        </w:rPr>
        <w:t xml:space="preserve"> that a </w:t>
      </w:r>
      <w:r w:rsidR="009B2482" w:rsidRPr="005A4C1A">
        <w:rPr>
          <w:lang w:val="en-GB"/>
        </w:rPr>
        <w:t>p</w:t>
      </w:r>
      <w:r w:rsidRPr="005A4C1A">
        <w:rPr>
          <w:lang w:val="en-GB"/>
        </w:rPr>
        <w:t xml:space="preserve">roject </w:t>
      </w:r>
      <w:r w:rsidR="009B2482" w:rsidRPr="005A4C1A">
        <w:rPr>
          <w:lang w:val="en-GB"/>
        </w:rPr>
        <w:t>m</w:t>
      </w:r>
      <w:r w:rsidRPr="005A4C1A">
        <w:rPr>
          <w:lang w:val="en-GB"/>
        </w:rPr>
        <w:t xml:space="preserve">anagement </w:t>
      </w:r>
      <w:r w:rsidR="009B2482" w:rsidRPr="005A4C1A">
        <w:rPr>
          <w:lang w:val="en-GB"/>
        </w:rPr>
        <w:t>t</w:t>
      </w:r>
      <w:r w:rsidRPr="005A4C1A">
        <w:rPr>
          <w:lang w:val="en-GB"/>
        </w:rPr>
        <w:t>eam (PMT)</w:t>
      </w:r>
      <w:r w:rsidRPr="005A4C1A">
        <w:rPr>
          <w:rStyle w:val="FootnoteReference"/>
          <w:lang w:val="en-GB"/>
        </w:rPr>
        <w:footnoteReference w:id="6"/>
      </w:r>
      <w:r w:rsidRPr="005A4C1A">
        <w:rPr>
          <w:lang w:val="en-GB"/>
        </w:rPr>
        <w:t xml:space="preserve"> </w:t>
      </w:r>
      <w:r w:rsidR="009B2482" w:rsidRPr="005A4C1A">
        <w:rPr>
          <w:lang w:val="en-GB"/>
        </w:rPr>
        <w:t>should</w:t>
      </w:r>
      <w:r w:rsidRPr="005A4C1A">
        <w:rPr>
          <w:lang w:val="en-GB"/>
        </w:rPr>
        <w:t xml:space="preserve"> be set up in the organization. The PMT </w:t>
      </w:r>
      <w:r w:rsidR="009B2482" w:rsidRPr="005A4C1A">
        <w:rPr>
          <w:lang w:val="en-GB"/>
        </w:rPr>
        <w:t>w</w:t>
      </w:r>
      <w:r w:rsidRPr="005A4C1A">
        <w:rPr>
          <w:lang w:val="en-GB"/>
        </w:rPr>
        <w:t xml:space="preserve">ould be responsible for the construction of the project, and Chinese personnel </w:t>
      </w:r>
      <w:r w:rsidR="000D3789" w:rsidRPr="005A4C1A">
        <w:rPr>
          <w:lang w:val="en-GB"/>
        </w:rPr>
        <w:t>w</w:t>
      </w:r>
      <w:r w:rsidRPr="005A4C1A">
        <w:rPr>
          <w:lang w:val="en-GB"/>
        </w:rPr>
        <w:t xml:space="preserve">ould </w:t>
      </w:r>
      <w:r w:rsidR="000D3789" w:rsidRPr="005A4C1A">
        <w:rPr>
          <w:lang w:val="en-GB"/>
        </w:rPr>
        <w:t>fill the roles of</w:t>
      </w:r>
      <w:r w:rsidRPr="005A4C1A">
        <w:rPr>
          <w:lang w:val="en-GB"/>
        </w:rPr>
        <w:t xml:space="preserve"> not only chief vice</w:t>
      </w:r>
      <w:r w:rsidR="009B2482" w:rsidRPr="005A4C1A">
        <w:rPr>
          <w:lang w:val="en-GB"/>
        </w:rPr>
        <w:t>-</w:t>
      </w:r>
      <w:r w:rsidRPr="005A4C1A">
        <w:rPr>
          <w:lang w:val="en-GB"/>
        </w:rPr>
        <w:t xml:space="preserve">general manager but also PMT </w:t>
      </w:r>
      <w:r w:rsidR="009B2482" w:rsidRPr="005A4C1A">
        <w:rPr>
          <w:lang w:val="en-GB"/>
        </w:rPr>
        <w:t>l</w:t>
      </w:r>
      <w:r w:rsidRPr="005A4C1A">
        <w:rPr>
          <w:lang w:val="en-GB"/>
        </w:rPr>
        <w:t>eader. For the sake of reciprocity, besides the general manager and the vice</w:t>
      </w:r>
      <w:r w:rsidR="000D3789" w:rsidRPr="005A4C1A">
        <w:rPr>
          <w:lang w:val="en-GB"/>
        </w:rPr>
        <w:t>-</w:t>
      </w:r>
      <w:r w:rsidRPr="005A4C1A">
        <w:rPr>
          <w:lang w:val="en-GB"/>
        </w:rPr>
        <w:t xml:space="preserve">general manager, both Western </w:t>
      </w:r>
      <w:r w:rsidRPr="005A4C1A">
        <w:rPr>
          <w:lang w:val="en-GB"/>
        </w:rPr>
        <w:lastRenderedPageBreak/>
        <w:t>Regions Company and FTG could choose one person to be the PMT vice</w:t>
      </w:r>
      <w:r w:rsidR="000D3789" w:rsidRPr="005A4C1A">
        <w:rPr>
          <w:lang w:val="en-GB"/>
        </w:rPr>
        <w:t>-</w:t>
      </w:r>
      <w:r w:rsidRPr="005A4C1A">
        <w:rPr>
          <w:lang w:val="en-GB"/>
        </w:rPr>
        <w:t xml:space="preserve">leader. </w:t>
      </w:r>
      <w:r w:rsidR="000D3789" w:rsidRPr="005A4C1A">
        <w:rPr>
          <w:lang w:val="en-GB"/>
        </w:rPr>
        <w:t>S</w:t>
      </w:r>
      <w:r w:rsidRPr="005A4C1A">
        <w:rPr>
          <w:lang w:val="en-GB"/>
        </w:rPr>
        <w:t>taff from Western Regions Company would serve as chief accountant and vice</w:t>
      </w:r>
      <w:r w:rsidR="000D3789" w:rsidRPr="005A4C1A">
        <w:rPr>
          <w:lang w:val="en-GB"/>
        </w:rPr>
        <w:t>-</w:t>
      </w:r>
      <w:r w:rsidRPr="005A4C1A">
        <w:rPr>
          <w:lang w:val="en-GB"/>
        </w:rPr>
        <w:t xml:space="preserve">general manager in charge of </w:t>
      </w:r>
      <w:r w:rsidR="00122D6B">
        <w:rPr>
          <w:lang w:val="en-GB"/>
        </w:rPr>
        <w:t>a</w:t>
      </w:r>
      <w:r w:rsidRPr="005A4C1A">
        <w:rPr>
          <w:lang w:val="en-GB"/>
        </w:rPr>
        <w:t xml:space="preserve">dministration, and </w:t>
      </w:r>
      <w:r w:rsidR="00122D6B">
        <w:rPr>
          <w:lang w:val="en-GB"/>
        </w:rPr>
        <w:t xml:space="preserve">an </w:t>
      </w:r>
      <w:r w:rsidRPr="005A4C1A">
        <w:rPr>
          <w:lang w:val="en-GB"/>
        </w:rPr>
        <w:t xml:space="preserve">FTG staff </w:t>
      </w:r>
      <w:r w:rsidR="00122D6B">
        <w:rPr>
          <w:lang w:val="en-GB"/>
        </w:rPr>
        <w:t xml:space="preserve">member </w:t>
      </w:r>
      <w:r w:rsidR="00122D6B" w:rsidRPr="00122D6B">
        <w:rPr>
          <w:lang w:val="en-GB"/>
        </w:rPr>
        <w:t xml:space="preserve">would serve </w:t>
      </w:r>
      <w:r w:rsidRPr="005A4C1A">
        <w:rPr>
          <w:lang w:val="en-GB"/>
        </w:rPr>
        <w:t>as vice</w:t>
      </w:r>
      <w:r w:rsidR="000D3789" w:rsidRPr="005A4C1A">
        <w:rPr>
          <w:lang w:val="en-GB"/>
        </w:rPr>
        <w:t>-</w:t>
      </w:r>
      <w:r w:rsidRPr="005A4C1A">
        <w:rPr>
          <w:lang w:val="en-GB"/>
        </w:rPr>
        <w:t xml:space="preserve">general manager of </w:t>
      </w:r>
      <w:r w:rsidR="00122D6B">
        <w:rPr>
          <w:lang w:val="en-GB"/>
        </w:rPr>
        <w:t>e</w:t>
      </w:r>
      <w:r w:rsidRPr="005A4C1A">
        <w:rPr>
          <w:lang w:val="en-GB"/>
        </w:rPr>
        <w:t xml:space="preserve">conomy. </w:t>
      </w:r>
      <w:r w:rsidR="000D3789" w:rsidRPr="005A4C1A">
        <w:rPr>
          <w:lang w:val="en-GB"/>
        </w:rPr>
        <w:t>Furthermore</w:t>
      </w:r>
      <w:r w:rsidRPr="005A4C1A">
        <w:rPr>
          <w:lang w:val="en-GB"/>
        </w:rPr>
        <w:t>,</w:t>
      </w:r>
      <w:r w:rsidR="007819B3" w:rsidRPr="005A4C1A">
        <w:rPr>
          <w:lang w:val="en-GB"/>
        </w:rPr>
        <w:t xml:space="preserve"> Haiyang </w:t>
      </w:r>
      <w:r w:rsidRPr="005A4C1A">
        <w:rPr>
          <w:lang w:val="en-GB"/>
        </w:rPr>
        <w:t xml:space="preserve">proposed that </w:t>
      </w:r>
      <w:r w:rsidR="000D3789" w:rsidRPr="005A4C1A">
        <w:rPr>
          <w:lang w:val="en-GB"/>
        </w:rPr>
        <w:t xml:space="preserve">the </w:t>
      </w:r>
      <w:r w:rsidRPr="005A4C1A">
        <w:rPr>
          <w:lang w:val="en-GB"/>
        </w:rPr>
        <w:t xml:space="preserve">PMT should include a </w:t>
      </w:r>
      <w:r w:rsidR="00122D6B">
        <w:rPr>
          <w:lang w:val="en-GB"/>
        </w:rPr>
        <w:t>t</w:t>
      </w:r>
      <w:r w:rsidRPr="005A4C1A">
        <w:rPr>
          <w:lang w:val="en-GB"/>
        </w:rPr>
        <w:t>echnical department</w:t>
      </w:r>
      <w:r w:rsidR="000D3789" w:rsidRPr="005A4C1A">
        <w:rPr>
          <w:lang w:val="en-GB"/>
        </w:rPr>
        <w:t>;</w:t>
      </w:r>
      <w:r w:rsidRPr="005A4C1A">
        <w:rPr>
          <w:lang w:val="en-GB"/>
        </w:rPr>
        <w:t xml:space="preserve"> </w:t>
      </w:r>
      <w:r w:rsidR="00122D6B">
        <w:rPr>
          <w:lang w:val="en-GB"/>
        </w:rPr>
        <w:t>c</w:t>
      </w:r>
      <w:r w:rsidRPr="005A4C1A">
        <w:rPr>
          <w:lang w:val="en-GB"/>
        </w:rPr>
        <w:t>ontrol department</w:t>
      </w:r>
      <w:r w:rsidR="000D3789" w:rsidRPr="005A4C1A">
        <w:rPr>
          <w:lang w:val="en-GB"/>
        </w:rPr>
        <w:t>;</w:t>
      </w:r>
      <w:r w:rsidRPr="005A4C1A">
        <w:rPr>
          <w:lang w:val="en-GB"/>
        </w:rPr>
        <w:t xml:space="preserve"> </w:t>
      </w:r>
      <w:r w:rsidR="00122D6B">
        <w:rPr>
          <w:lang w:val="en-GB"/>
        </w:rPr>
        <w:t>h</w:t>
      </w:r>
      <w:r w:rsidRPr="005A4C1A">
        <w:rPr>
          <w:lang w:val="en-GB"/>
        </w:rPr>
        <w:t xml:space="preserve">ealth, </w:t>
      </w:r>
      <w:r w:rsidR="00122D6B">
        <w:rPr>
          <w:lang w:val="en-GB"/>
        </w:rPr>
        <w:t>s</w:t>
      </w:r>
      <w:r w:rsidRPr="005A4C1A">
        <w:rPr>
          <w:lang w:val="en-GB"/>
        </w:rPr>
        <w:t>afety</w:t>
      </w:r>
      <w:r w:rsidR="000D3789" w:rsidRPr="005A4C1A">
        <w:rPr>
          <w:lang w:val="en-GB"/>
        </w:rPr>
        <w:t>,</w:t>
      </w:r>
      <w:r w:rsidRPr="005A4C1A">
        <w:rPr>
          <w:lang w:val="en-GB"/>
        </w:rPr>
        <w:t xml:space="preserve"> and </w:t>
      </w:r>
      <w:r w:rsidR="00122D6B">
        <w:rPr>
          <w:lang w:val="en-GB"/>
        </w:rPr>
        <w:t>e</w:t>
      </w:r>
      <w:r w:rsidRPr="005A4C1A">
        <w:rPr>
          <w:lang w:val="en-GB"/>
        </w:rPr>
        <w:t>nvironment department</w:t>
      </w:r>
      <w:r w:rsidR="000D3789" w:rsidRPr="005A4C1A">
        <w:rPr>
          <w:lang w:val="en-GB"/>
        </w:rPr>
        <w:t>;</w:t>
      </w:r>
      <w:r w:rsidRPr="005A4C1A">
        <w:rPr>
          <w:lang w:val="en-GB"/>
        </w:rPr>
        <w:t xml:space="preserve"> </w:t>
      </w:r>
      <w:r w:rsidR="00122D6B">
        <w:rPr>
          <w:lang w:val="en-GB"/>
        </w:rPr>
        <w:t>d</w:t>
      </w:r>
      <w:r w:rsidRPr="005A4C1A">
        <w:rPr>
          <w:lang w:val="en-GB"/>
        </w:rPr>
        <w:t xml:space="preserve">ocument </w:t>
      </w:r>
      <w:r w:rsidR="00122D6B">
        <w:rPr>
          <w:lang w:val="en-GB"/>
        </w:rPr>
        <w:t>c</w:t>
      </w:r>
      <w:r w:rsidRPr="005A4C1A">
        <w:rPr>
          <w:lang w:val="en-GB"/>
        </w:rPr>
        <w:t>ontrol department</w:t>
      </w:r>
      <w:r w:rsidR="000D3789" w:rsidRPr="005A4C1A">
        <w:rPr>
          <w:lang w:val="en-GB"/>
        </w:rPr>
        <w:t>;</w:t>
      </w:r>
      <w:r w:rsidRPr="005A4C1A">
        <w:rPr>
          <w:lang w:val="en-GB"/>
        </w:rPr>
        <w:t xml:space="preserve"> </w:t>
      </w:r>
      <w:r w:rsidR="00122D6B">
        <w:rPr>
          <w:lang w:val="en-GB"/>
        </w:rPr>
        <w:t>c</w:t>
      </w:r>
      <w:r w:rsidRPr="005A4C1A">
        <w:rPr>
          <w:lang w:val="en-GB"/>
        </w:rPr>
        <w:t>onstruction department</w:t>
      </w:r>
      <w:r w:rsidR="000D3789" w:rsidRPr="005A4C1A">
        <w:rPr>
          <w:lang w:val="en-GB"/>
        </w:rPr>
        <w:t>;</w:t>
      </w:r>
      <w:r w:rsidRPr="005A4C1A">
        <w:rPr>
          <w:lang w:val="en-GB"/>
        </w:rPr>
        <w:t xml:space="preserve"> and </w:t>
      </w:r>
      <w:r w:rsidR="00122D6B">
        <w:rPr>
          <w:lang w:val="en-GB"/>
        </w:rPr>
        <w:t>p</w:t>
      </w:r>
      <w:r w:rsidRPr="005A4C1A">
        <w:rPr>
          <w:lang w:val="en-GB"/>
        </w:rPr>
        <w:t>rocurement department</w:t>
      </w:r>
      <w:r w:rsidR="00122D6B">
        <w:rPr>
          <w:lang w:val="en-GB"/>
        </w:rPr>
        <w:t xml:space="preserve"> (see </w:t>
      </w:r>
      <w:r w:rsidRPr="005A4C1A">
        <w:rPr>
          <w:lang w:val="en-GB"/>
        </w:rPr>
        <w:t>Exhibit 2</w:t>
      </w:r>
      <w:r w:rsidR="00122D6B">
        <w:rPr>
          <w:lang w:val="en-GB"/>
        </w:rPr>
        <w:t>).</w:t>
      </w:r>
    </w:p>
    <w:p w14:paraId="20F52E38" w14:textId="77777777" w:rsidR="00122D6B" w:rsidRPr="005A4C1A" w:rsidRDefault="00122D6B" w:rsidP="005F1D1E">
      <w:pPr>
        <w:pStyle w:val="BodyTextMain"/>
        <w:rPr>
          <w:lang w:val="en-GB"/>
        </w:rPr>
      </w:pPr>
    </w:p>
    <w:p w14:paraId="19DF942C" w14:textId="78869618" w:rsidR="001D5C5C" w:rsidRPr="005A4C1A" w:rsidRDefault="001D5C5C">
      <w:pPr>
        <w:jc w:val="both"/>
        <w:rPr>
          <w:sz w:val="22"/>
          <w:lang w:val="en-GB"/>
        </w:rPr>
      </w:pPr>
      <w:r w:rsidRPr="005A4C1A">
        <w:rPr>
          <w:sz w:val="22"/>
          <w:lang w:val="en-GB"/>
        </w:rPr>
        <w:t>In Western Frespirit Company, besides guaranteeing the equal right of decision</w:t>
      </w:r>
      <w:r w:rsidR="00B0028F" w:rsidRPr="005A4C1A">
        <w:rPr>
          <w:sz w:val="22"/>
          <w:lang w:val="en-GB"/>
        </w:rPr>
        <w:t xml:space="preserve"> </w:t>
      </w:r>
      <w:r w:rsidRPr="005A4C1A">
        <w:rPr>
          <w:sz w:val="22"/>
          <w:lang w:val="en-GB"/>
        </w:rPr>
        <w:t xml:space="preserve">making in major incidents, both sides also agreed to implement a dual signature mechanism to ensure the safety of funds. Both the department manager and </w:t>
      </w:r>
      <w:r w:rsidR="00920E16" w:rsidRPr="005A4C1A">
        <w:rPr>
          <w:sz w:val="22"/>
          <w:lang w:val="en-GB"/>
        </w:rPr>
        <w:t xml:space="preserve">the </w:t>
      </w:r>
      <w:r w:rsidRPr="005A4C1A">
        <w:rPr>
          <w:sz w:val="22"/>
          <w:lang w:val="en-GB"/>
        </w:rPr>
        <w:t xml:space="preserve">deputy manager, or </w:t>
      </w:r>
      <w:r w:rsidR="00920E16" w:rsidRPr="005A4C1A">
        <w:rPr>
          <w:sz w:val="22"/>
          <w:lang w:val="en-GB"/>
        </w:rPr>
        <w:t xml:space="preserve">the </w:t>
      </w:r>
      <w:r w:rsidRPr="005A4C1A">
        <w:rPr>
          <w:sz w:val="22"/>
          <w:lang w:val="en-GB"/>
        </w:rPr>
        <w:t xml:space="preserve">general manager and </w:t>
      </w:r>
      <w:r w:rsidR="00920E16" w:rsidRPr="005A4C1A">
        <w:rPr>
          <w:sz w:val="22"/>
          <w:lang w:val="en-GB"/>
        </w:rPr>
        <w:t xml:space="preserve">the </w:t>
      </w:r>
      <w:r w:rsidRPr="005A4C1A">
        <w:rPr>
          <w:sz w:val="22"/>
          <w:lang w:val="en-GB"/>
        </w:rPr>
        <w:t>vice</w:t>
      </w:r>
      <w:r w:rsidR="00920E16" w:rsidRPr="005A4C1A">
        <w:rPr>
          <w:sz w:val="22"/>
          <w:lang w:val="en-GB"/>
        </w:rPr>
        <w:t>-</w:t>
      </w:r>
      <w:r w:rsidRPr="005A4C1A">
        <w:rPr>
          <w:sz w:val="22"/>
          <w:lang w:val="en-GB"/>
        </w:rPr>
        <w:t xml:space="preserve">general manager would need to follow it. Any payment documents would be accepted by the bank </w:t>
      </w:r>
      <w:r w:rsidR="00920E16" w:rsidRPr="005A4C1A">
        <w:rPr>
          <w:sz w:val="22"/>
          <w:lang w:val="en-GB"/>
        </w:rPr>
        <w:t xml:space="preserve">only </w:t>
      </w:r>
      <w:r w:rsidRPr="005A4C1A">
        <w:rPr>
          <w:sz w:val="22"/>
          <w:lang w:val="en-GB"/>
        </w:rPr>
        <w:t>with the signature of both the general manager and the chief accountant.</w:t>
      </w:r>
    </w:p>
    <w:p w14:paraId="31441B73" w14:textId="77777777" w:rsidR="001D5C5C" w:rsidRPr="005A4C1A" w:rsidRDefault="001D5C5C" w:rsidP="005A4C1A">
      <w:pPr>
        <w:pStyle w:val="BodyTextMain"/>
        <w:rPr>
          <w:sz w:val="18"/>
          <w:szCs w:val="18"/>
          <w:lang w:val="en-GB"/>
        </w:rPr>
      </w:pPr>
    </w:p>
    <w:p w14:paraId="1CDDDED9" w14:textId="77777777" w:rsidR="001D5C5C" w:rsidRPr="005A4C1A" w:rsidRDefault="001D5C5C" w:rsidP="005A4C1A">
      <w:pPr>
        <w:pStyle w:val="BodyTextMain"/>
        <w:rPr>
          <w:sz w:val="18"/>
          <w:szCs w:val="18"/>
          <w:lang w:val="en-GB"/>
        </w:rPr>
      </w:pPr>
    </w:p>
    <w:p w14:paraId="06BAFD08" w14:textId="77777777" w:rsidR="001D5C5C" w:rsidRPr="005A4C1A" w:rsidRDefault="001D5C5C">
      <w:pPr>
        <w:rPr>
          <w:rFonts w:ascii="Arial" w:hAnsi="Arial" w:cs="Arial"/>
          <w:b/>
          <w:lang w:val="en-GB"/>
        </w:rPr>
      </w:pPr>
      <w:r w:rsidRPr="005A4C1A">
        <w:rPr>
          <w:rFonts w:ascii="Arial" w:hAnsi="Arial" w:cs="Arial"/>
          <w:b/>
          <w:lang w:val="en-GB"/>
        </w:rPr>
        <w:t>STAFFING</w:t>
      </w:r>
    </w:p>
    <w:p w14:paraId="4E89D959" w14:textId="77777777" w:rsidR="001D5C5C" w:rsidRPr="005A4C1A" w:rsidRDefault="001D5C5C">
      <w:pPr>
        <w:rPr>
          <w:sz w:val="18"/>
          <w:szCs w:val="18"/>
          <w:lang w:val="en-GB"/>
        </w:rPr>
      </w:pPr>
    </w:p>
    <w:p w14:paraId="19640313" w14:textId="2AAA542F" w:rsidR="001D5C5C" w:rsidRPr="005A4C1A" w:rsidRDefault="00694D71">
      <w:pPr>
        <w:jc w:val="both"/>
        <w:rPr>
          <w:sz w:val="22"/>
          <w:lang w:val="en-GB"/>
        </w:rPr>
      </w:pPr>
      <w:r>
        <w:rPr>
          <w:sz w:val="22"/>
          <w:lang w:val="en-GB"/>
        </w:rPr>
        <w:t>The JV needed to address the ratio of staff issue</w:t>
      </w:r>
      <w:r w:rsidR="001D5C5C" w:rsidRPr="005A4C1A">
        <w:rPr>
          <w:sz w:val="22"/>
          <w:lang w:val="en-GB"/>
        </w:rPr>
        <w:t xml:space="preserve">. Restrictions on foreign workers </w:t>
      </w:r>
      <w:r w:rsidR="00920E16" w:rsidRPr="005A4C1A">
        <w:rPr>
          <w:sz w:val="22"/>
          <w:lang w:val="en-GB"/>
        </w:rPr>
        <w:t xml:space="preserve">in </w:t>
      </w:r>
      <w:r w:rsidR="001D5C5C" w:rsidRPr="005A4C1A">
        <w:rPr>
          <w:sz w:val="22"/>
          <w:lang w:val="en-GB"/>
        </w:rPr>
        <w:t xml:space="preserve">both Timur and Frespirit were very strict, as reflected in the </w:t>
      </w:r>
      <w:r w:rsidR="008F3A4E" w:rsidRPr="005A4C1A">
        <w:rPr>
          <w:sz w:val="22"/>
          <w:lang w:val="en-GB"/>
        </w:rPr>
        <w:t xml:space="preserve">difficulty of obtaining </w:t>
      </w:r>
      <w:r w:rsidR="001D5C5C" w:rsidRPr="005A4C1A">
        <w:rPr>
          <w:sz w:val="22"/>
          <w:lang w:val="en-GB"/>
        </w:rPr>
        <w:t xml:space="preserve">visas and the proportion of employees in the </w:t>
      </w:r>
      <w:r w:rsidR="00920E16" w:rsidRPr="005A4C1A">
        <w:rPr>
          <w:sz w:val="22"/>
          <w:lang w:val="en-GB"/>
        </w:rPr>
        <w:t>JV</w:t>
      </w:r>
      <w:r w:rsidR="00122D6B">
        <w:rPr>
          <w:sz w:val="22"/>
          <w:lang w:val="en-GB"/>
        </w:rPr>
        <w:t xml:space="preserve">; </w:t>
      </w:r>
      <w:r w:rsidR="00DA7DD0" w:rsidRPr="005A4C1A">
        <w:rPr>
          <w:sz w:val="22"/>
          <w:lang w:val="en-GB"/>
        </w:rPr>
        <w:t>a</w:t>
      </w:r>
      <w:r w:rsidR="001D5C5C" w:rsidRPr="005A4C1A">
        <w:rPr>
          <w:sz w:val="22"/>
          <w:lang w:val="en-GB"/>
        </w:rPr>
        <w:t xml:space="preserve">ccording to normal procedures, it was difficult for Chinese personnel to get visas and </w:t>
      </w:r>
      <w:r w:rsidR="00FD76E1" w:rsidRPr="005A4C1A">
        <w:rPr>
          <w:sz w:val="22"/>
          <w:lang w:val="en-GB"/>
        </w:rPr>
        <w:t xml:space="preserve">to </w:t>
      </w:r>
      <w:r w:rsidR="001D5C5C" w:rsidRPr="005A4C1A">
        <w:rPr>
          <w:sz w:val="22"/>
          <w:lang w:val="en-GB"/>
        </w:rPr>
        <w:t xml:space="preserve">enter Timur and Frespirit to carry out their work. </w:t>
      </w:r>
      <w:r w:rsidR="00FD76E1" w:rsidRPr="005A4C1A">
        <w:rPr>
          <w:sz w:val="22"/>
          <w:lang w:val="en-GB"/>
        </w:rPr>
        <w:t>Moreover</w:t>
      </w:r>
      <w:r w:rsidR="001D5C5C" w:rsidRPr="005A4C1A">
        <w:rPr>
          <w:sz w:val="22"/>
          <w:lang w:val="en-GB"/>
        </w:rPr>
        <w:t>, the domestic parties insisted that Chinese personnel should not exceed 10</w:t>
      </w:r>
      <w:r w:rsidR="0045418C" w:rsidRPr="005A4C1A">
        <w:rPr>
          <w:sz w:val="22"/>
          <w:lang w:val="en-GB"/>
        </w:rPr>
        <w:t xml:space="preserve"> per cent</w:t>
      </w:r>
      <w:r w:rsidR="001D5C5C" w:rsidRPr="005A4C1A">
        <w:rPr>
          <w:sz w:val="22"/>
          <w:lang w:val="en-GB"/>
        </w:rPr>
        <w:t xml:space="preserve"> of the total number of staff of the </w:t>
      </w:r>
      <w:r w:rsidR="00BD20FC" w:rsidRPr="005A4C1A">
        <w:rPr>
          <w:sz w:val="22"/>
          <w:lang w:val="en-GB"/>
        </w:rPr>
        <w:t>JVs</w:t>
      </w:r>
      <w:r w:rsidR="001D5C5C" w:rsidRPr="005A4C1A">
        <w:rPr>
          <w:sz w:val="22"/>
          <w:lang w:val="en-GB"/>
        </w:rPr>
        <w:t>. Facing these two issues,</w:t>
      </w:r>
      <w:r w:rsidR="007819B3" w:rsidRPr="005A4C1A">
        <w:rPr>
          <w:sz w:val="22"/>
          <w:lang w:val="en-GB"/>
        </w:rPr>
        <w:t xml:space="preserve"> Haiyang </w:t>
      </w:r>
      <w:r w:rsidR="001D5C5C" w:rsidRPr="005A4C1A">
        <w:rPr>
          <w:sz w:val="22"/>
          <w:lang w:val="en-GB"/>
        </w:rPr>
        <w:t xml:space="preserve">turned to China’s Ministry of Foreign Affairs, who helped Western Regions Company to negotiate with the </w:t>
      </w:r>
      <w:r w:rsidR="00122D6B">
        <w:rPr>
          <w:sz w:val="22"/>
          <w:lang w:val="en-GB"/>
        </w:rPr>
        <w:t>f</w:t>
      </w:r>
      <w:r w:rsidR="00122D6B" w:rsidRPr="005A4C1A">
        <w:rPr>
          <w:sz w:val="22"/>
          <w:lang w:val="en-GB"/>
        </w:rPr>
        <w:t xml:space="preserve">oreign </w:t>
      </w:r>
      <w:r w:rsidR="00122D6B">
        <w:rPr>
          <w:sz w:val="22"/>
          <w:lang w:val="en-GB"/>
        </w:rPr>
        <w:t>a</w:t>
      </w:r>
      <w:r w:rsidR="00122D6B" w:rsidRPr="005A4C1A">
        <w:rPr>
          <w:sz w:val="22"/>
          <w:lang w:val="en-GB"/>
        </w:rPr>
        <w:t xml:space="preserve">ffairs </w:t>
      </w:r>
      <w:r w:rsidR="00122D6B">
        <w:rPr>
          <w:sz w:val="22"/>
          <w:lang w:val="en-GB"/>
        </w:rPr>
        <w:t>m</w:t>
      </w:r>
      <w:r w:rsidR="00122D6B" w:rsidRPr="005A4C1A">
        <w:rPr>
          <w:sz w:val="22"/>
          <w:lang w:val="en-GB"/>
        </w:rPr>
        <w:t>inistr</w:t>
      </w:r>
      <w:r w:rsidR="00122D6B">
        <w:rPr>
          <w:sz w:val="22"/>
          <w:lang w:val="en-GB"/>
        </w:rPr>
        <w:t>ies</w:t>
      </w:r>
      <w:r w:rsidR="00122D6B" w:rsidRPr="005A4C1A">
        <w:rPr>
          <w:sz w:val="22"/>
          <w:lang w:val="en-GB"/>
        </w:rPr>
        <w:t xml:space="preserve"> </w:t>
      </w:r>
      <w:r w:rsidR="001D5C5C" w:rsidRPr="005A4C1A">
        <w:rPr>
          <w:sz w:val="22"/>
          <w:lang w:val="en-GB"/>
        </w:rPr>
        <w:t>of the two countries. About the ratio of staff, after multiple rounds of negotiation</w:t>
      </w:r>
      <w:r w:rsidR="00BD20FC" w:rsidRPr="005A4C1A">
        <w:rPr>
          <w:sz w:val="22"/>
          <w:lang w:val="en-GB"/>
        </w:rPr>
        <w:t>s</w:t>
      </w:r>
      <w:r w:rsidR="001D5C5C" w:rsidRPr="005A4C1A">
        <w:rPr>
          <w:sz w:val="22"/>
          <w:lang w:val="en-GB"/>
        </w:rPr>
        <w:t xml:space="preserve"> with the domestic parties, </w:t>
      </w:r>
      <w:r w:rsidR="004040D9" w:rsidRPr="005A4C1A">
        <w:rPr>
          <w:sz w:val="22"/>
          <w:lang w:val="en-GB"/>
        </w:rPr>
        <w:t xml:space="preserve">an </w:t>
      </w:r>
      <w:r w:rsidR="00100FB4" w:rsidRPr="005A4C1A">
        <w:rPr>
          <w:sz w:val="22"/>
          <w:lang w:val="en-GB"/>
        </w:rPr>
        <w:t xml:space="preserve">agreement was reached </w:t>
      </w:r>
      <w:r w:rsidR="001D5C5C" w:rsidRPr="005A4C1A">
        <w:rPr>
          <w:sz w:val="22"/>
          <w:lang w:val="en-GB"/>
        </w:rPr>
        <w:t xml:space="preserve">that more Chinese </w:t>
      </w:r>
      <w:bookmarkStart w:id="6" w:name="_Hlk500524972"/>
      <w:r w:rsidR="001D5C5C" w:rsidRPr="005A4C1A">
        <w:rPr>
          <w:sz w:val="22"/>
          <w:lang w:val="en-GB"/>
        </w:rPr>
        <w:t>personnel</w:t>
      </w:r>
      <w:bookmarkEnd w:id="6"/>
      <w:r w:rsidR="001D5C5C" w:rsidRPr="005A4C1A">
        <w:rPr>
          <w:sz w:val="22"/>
          <w:lang w:val="en-GB"/>
        </w:rPr>
        <w:t xml:space="preserve"> could be appointed during the construction period, </w:t>
      </w:r>
      <w:r w:rsidR="00BD20FC" w:rsidRPr="005A4C1A">
        <w:rPr>
          <w:sz w:val="22"/>
          <w:lang w:val="en-GB"/>
        </w:rPr>
        <w:t>with</w:t>
      </w:r>
      <w:r w:rsidR="001D5C5C" w:rsidRPr="005A4C1A">
        <w:rPr>
          <w:sz w:val="22"/>
          <w:lang w:val="en-GB"/>
        </w:rPr>
        <w:t xml:space="preserve"> the rate gradually reduced to 10</w:t>
      </w:r>
      <w:r w:rsidR="00BD20FC" w:rsidRPr="005A4C1A">
        <w:rPr>
          <w:sz w:val="22"/>
          <w:lang w:val="en-GB"/>
        </w:rPr>
        <w:t xml:space="preserve"> per cent</w:t>
      </w:r>
      <w:r w:rsidR="001D5C5C" w:rsidRPr="005A4C1A">
        <w:rPr>
          <w:sz w:val="22"/>
          <w:lang w:val="en-GB"/>
        </w:rPr>
        <w:t xml:space="preserve"> by the time of operation. Western Timur Company employed 448 staff</w:t>
      </w:r>
      <w:r w:rsidR="00122D6B">
        <w:rPr>
          <w:sz w:val="22"/>
          <w:lang w:val="en-GB"/>
        </w:rPr>
        <w:t xml:space="preserve"> members</w:t>
      </w:r>
      <w:r w:rsidR="001D5C5C" w:rsidRPr="005A4C1A">
        <w:rPr>
          <w:sz w:val="22"/>
          <w:lang w:val="en-GB"/>
        </w:rPr>
        <w:t>, including 153 Chinese employees and 295 Timur employees. There were 42 employees in the construction-related departments: 13 from Western Regions Company and 29 from TNG. Western Frespirit Company employed 1</w:t>
      </w:r>
      <w:r w:rsidR="00BD20FC" w:rsidRPr="005A4C1A">
        <w:rPr>
          <w:sz w:val="22"/>
          <w:lang w:val="en-GB"/>
        </w:rPr>
        <w:t>,</w:t>
      </w:r>
      <w:r w:rsidR="001D5C5C" w:rsidRPr="005A4C1A">
        <w:rPr>
          <w:sz w:val="22"/>
          <w:lang w:val="en-GB"/>
        </w:rPr>
        <w:t>100 staff</w:t>
      </w:r>
      <w:r w:rsidR="00122D6B">
        <w:rPr>
          <w:sz w:val="22"/>
          <w:lang w:val="en-GB"/>
        </w:rPr>
        <w:t xml:space="preserve"> members</w:t>
      </w:r>
      <w:r w:rsidR="001D5C5C" w:rsidRPr="005A4C1A">
        <w:rPr>
          <w:sz w:val="22"/>
          <w:lang w:val="en-GB"/>
        </w:rPr>
        <w:t xml:space="preserve">, including 121 Chinese employees and 979 Timur employees. There were 135 staff </w:t>
      </w:r>
      <w:r w:rsidR="00122D6B">
        <w:rPr>
          <w:sz w:val="22"/>
          <w:lang w:val="en-GB"/>
        </w:rPr>
        <w:t xml:space="preserve">members </w:t>
      </w:r>
      <w:r w:rsidR="001D5C5C" w:rsidRPr="005A4C1A">
        <w:rPr>
          <w:sz w:val="22"/>
          <w:lang w:val="en-GB"/>
        </w:rPr>
        <w:t>in construction-related departments: 30 from Western Regions Company and 105 from FTG.</w:t>
      </w:r>
    </w:p>
    <w:p w14:paraId="2CD6BE47" w14:textId="77777777" w:rsidR="001D5C5C" w:rsidRPr="005A4C1A" w:rsidRDefault="001D5C5C">
      <w:pPr>
        <w:jc w:val="both"/>
        <w:rPr>
          <w:sz w:val="18"/>
          <w:szCs w:val="18"/>
          <w:lang w:val="en-GB"/>
        </w:rPr>
      </w:pPr>
    </w:p>
    <w:p w14:paraId="454E837B" w14:textId="4F749B47" w:rsidR="001D5C5C" w:rsidRDefault="00BD20FC">
      <w:pPr>
        <w:jc w:val="both"/>
        <w:rPr>
          <w:sz w:val="22"/>
          <w:lang w:val="en-GB"/>
        </w:rPr>
      </w:pPr>
      <w:r w:rsidRPr="005A4C1A">
        <w:rPr>
          <w:sz w:val="22"/>
          <w:lang w:val="en-GB"/>
        </w:rPr>
        <w:t>Haiyang</w:t>
      </w:r>
      <w:r w:rsidR="001D5C5C" w:rsidRPr="005A4C1A">
        <w:rPr>
          <w:sz w:val="22"/>
          <w:lang w:val="en-GB"/>
        </w:rPr>
        <w:t xml:space="preserve"> was also focused on key positions. In Western Timur Company, Western Regions Company controlled the </w:t>
      </w:r>
      <w:r w:rsidR="00122D6B">
        <w:rPr>
          <w:sz w:val="22"/>
          <w:lang w:val="en-GB"/>
        </w:rPr>
        <w:t>c</w:t>
      </w:r>
      <w:r w:rsidR="00122D6B" w:rsidRPr="005A4C1A">
        <w:rPr>
          <w:sz w:val="22"/>
          <w:lang w:val="en-GB"/>
        </w:rPr>
        <w:t xml:space="preserve">onstruction </w:t>
      </w:r>
      <w:r w:rsidR="001D5C5C" w:rsidRPr="005A4C1A">
        <w:rPr>
          <w:sz w:val="22"/>
          <w:lang w:val="en-GB"/>
        </w:rPr>
        <w:t xml:space="preserve">and </w:t>
      </w:r>
      <w:r w:rsidR="00122D6B">
        <w:rPr>
          <w:sz w:val="22"/>
          <w:lang w:val="en-GB"/>
        </w:rPr>
        <w:t>o</w:t>
      </w:r>
      <w:r w:rsidR="00122D6B" w:rsidRPr="005A4C1A">
        <w:rPr>
          <w:sz w:val="22"/>
          <w:lang w:val="en-GB"/>
        </w:rPr>
        <w:t xml:space="preserve">peration </w:t>
      </w:r>
      <w:r w:rsidR="001D5C5C" w:rsidRPr="005A4C1A">
        <w:rPr>
          <w:sz w:val="22"/>
          <w:lang w:val="en-GB"/>
        </w:rPr>
        <w:t xml:space="preserve">departments, </w:t>
      </w:r>
      <w:bookmarkStart w:id="7" w:name="OLE_LINK1"/>
      <w:r w:rsidR="001D5C5C" w:rsidRPr="005A4C1A">
        <w:rPr>
          <w:sz w:val="22"/>
          <w:lang w:val="en-GB"/>
        </w:rPr>
        <w:t>which were headed by Chinese personnel as department managers.</w:t>
      </w:r>
      <w:bookmarkEnd w:id="7"/>
      <w:r w:rsidR="001D5C5C" w:rsidRPr="005A4C1A">
        <w:rPr>
          <w:sz w:val="22"/>
          <w:lang w:val="en-GB"/>
        </w:rPr>
        <w:t xml:space="preserve"> However, in Western Frespirit Company, in addition to providing the first deputy general manager and PMT </w:t>
      </w:r>
      <w:r w:rsidRPr="005A4C1A">
        <w:rPr>
          <w:sz w:val="22"/>
          <w:lang w:val="en-GB"/>
        </w:rPr>
        <w:t>l</w:t>
      </w:r>
      <w:r w:rsidR="001D5C5C" w:rsidRPr="005A4C1A">
        <w:rPr>
          <w:sz w:val="22"/>
          <w:lang w:val="en-GB"/>
        </w:rPr>
        <w:t>eader in charge of the company</w:t>
      </w:r>
      <w:r w:rsidR="001F29EB" w:rsidRPr="005A4C1A">
        <w:rPr>
          <w:sz w:val="22"/>
          <w:lang w:val="en-GB"/>
        </w:rPr>
        <w:t>’</w:t>
      </w:r>
      <w:r w:rsidR="001D5C5C" w:rsidRPr="005A4C1A">
        <w:rPr>
          <w:sz w:val="22"/>
          <w:lang w:val="en-GB"/>
        </w:rPr>
        <w:t>s project construction, the Chinese side in the project’s construction-related department suppl</w:t>
      </w:r>
      <w:r w:rsidR="001F29EB" w:rsidRPr="005A4C1A">
        <w:rPr>
          <w:sz w:val="22"/>
          <w:lang w:val="en-GB"/>
        </w:rPr>
        <w:t>ied</w:t>
      </w:r>
      <w:r w:rsidR="001D5C5C" w:rsidRPr="005A4C1A">
        <w:rPr>
          <w:sz w:val="22"/>
          <w:lang w:val="en-GB"/>
        </w:rPr>
        <w:t xml:space="preserve"> a high number of professional and technical personnel. Western Regions Company was able to staff such positions as the </w:t>
      </w:r>
      <w:r w:rsidR="001F29EB" w:rsidRPr="005A4C1A">
        <w:rPr>
          <w:sz w:val="22"/>
          <w:lang w:val="en-GB"/>
        </w:rPr>
        <w:t>m</w:t>
      </w:r>
      <w:r w:rsidR="001D5C5C" w:rsidRPr="005A4C1A">
        <w:rPr>
          <w:sz w:val="22"/>
          <w:lang w:val="en-GB"/>
        </w:rPr>
        <w:t>anager</w:t>
      </w:r>
      <w:r w:rsidR="005577EA" w:rsidRPr="005A4C1A">
        <w:rPr>
          <w:sz w:val="22"/>
          <w:lang w:val="en-GB"/>
        </w:rPr>
        <w:t>s</w:t>
      </w:r>
      <w:r w:rsidR="001D5C5C" w:rsidRPr="005A4C1A">
        <w:rPr>
          <w:sz w:val="22"/>
          <w:lang w:val="en-GB"/>
        </w:rPr>
        <w:t xml:space="preserve"> of </w:t>
      </w:r>
      <w:r w:rsidR="001F29EB" w:rsidRPr="005A4C1A">
        <w:rPr>
          <w:sz w:val="22"/>
          <w:lang w:val="en-GB"/>
        </w:rPr>
        <w:t xml:space="preserve">the </w:t>
      </w:r>
      <w:r w:rsidR="00D4559A">
        <w:rPr>
          <w:sz w:val="22"/>
          <w:lang w:val="en-GB"/>
        </w:rPr>
        <w:t>e</w:t>
      </w:r>
      <w:r w:rsidR="001D5C5C" w:rsidRPr="005A4C1A">
        <w:rPr>
          <w:sz w:val="22"/>
          <w:lang w:val="en-GB"/>
        </w:rPr>
        <w:t xml:space="preserve">ngineering and </w:t>
      </w:r>
      <w:r w:rsidR="00D4559A">
        <w:rPr>
          <w:sz w:val="22"/>
          <w:lang w:val="en-GB"/>
        </w:rPr>
        <w:t>t</w:t>
      </w:r>
      <w:r w:rsidR="001D5C5C" w:rsidRPr="005A4C1A">
        <w:rPr>
          <w:sz w:val="22"/>
          <w:lang w:val="en-GB"/>
        </w:rPr>
        <w:t xml:space="preserve">echnology department, </w:t>
      </w:r>
      <w:r w:rsidR="001F29EB" w:rsidRPr="005A4C1A">
        <w:rPr>
          <w:sz w:val="22"/>
          <w:lang w:val="en-GB"/>
        </w:rPr>
        <w:t xml:space="preserve">the </w:t>
      </w:r>
      <w:r w:rsidR="00D4559A">
        <w:rPr>
          <w:sz w:val="22"/>
          <w:lang w:val="en-GB"/>
        </w:rPr>
        <w:t>d</w:t>
      </w:r>
      <w:r w:rsidR="001D5C5C" w:rsidRPr="005A4C1A">
        <w:rPr>
          <w:sz w:val="22"/>
          <w:lang w:val="en-GB"/>
        </w:rPr>
        <w:t xml:space="preserve">ocument </w:t>
      </w:r>
      <w:r w:rsidR="00D4559A">
        <w:rPr>
          <w:sz w:val="22"/>
          <w:lang w:val="en-GB"/>
        </w:rPr>
        <w:t>c</w:t>
      </w:r>
      <w:r w:rsidR="001D5C5C" w:rsidRPr="005A4C1A">
        <w:rPr>
          <w:sz w:val="22"/>
          <w:lang w:val="en-GB"/>
        </w:rPr>
        <w:t>ontrol department</w:t>
      </w:r>
      <w:r w:rsidR="001F29EB" w:rsidRPr="005A4C1A">
        <w:rPr>
          <w:sz w:val="22"/>
          <w:lang w:val="en-GB"/>
        </w:rPr>
        <w:t>,</w:t>
      </w:r>
      <w:r w:rsidR="001D5C5C" w:rsidRPr="005A4C1A">
        <w:rPr>
          <w:sz w:val="22"/>
          <w:lang w:val="en-GB"/>
        </w:rPr>
        <w:t xml:space="preserve"> and </w:t>
      </w:r>
      <w:r w:rsidR="001F29EB" w:rsidRPr="005A4C1A">
        <w:rPr>
          <w:sz w:val="22"/>
          <w:lang w:val="en-GB"/>
        </w:rPr>
        <w:t xml:space="preserve">the </w:t>
      </w:r>
      <w:r w:rsidR="00D4559A">
        <w:rPr>
          <w:sz w:val="22"/>
          <w:lang w:val="en-GB"/>
        </w:rPr>
        <w:t>p</w:t>
      </w:r>
      <w:r w:rsidR="001D5C5C" w:rsidRPr="005A4C1A">
        <w:rPr>
          <w:sz w:val="22"/>
          <w:lang w:val="en-GB"/>
        </w:rPr>
        <w:t>urchasing department.</w:t>
      </w:r>
    </w:p>
    <w:p w14:paraId="6E9E0460" w14:textId="77777777" w:rsidR="005A4C1A" w:rsidRPr="005A4C1A" w:rsidRDefault="005A4C1A">
      <w:pPr>
        <w:jc w:val="both"/>
        <w:rPr>
          <w:sz w:val="18"/>
          <w:szCs w:val="18"/>
          <w:lang w:val="en-GB"/>
        </w:rPr>
      </w:pPr>
    </w:p>
    <w:p w14:paraId="3F1ABA9B" w14:textId="77777777" w:rsidR="005A4C1A" w:rsidRPr="005A4C1A" w:rsidRDefault="005A4C1A">
      <w:pPr>
        <w:jc w:val="both"/>
        <w:rPr>
          <w:sz w:val="18"/>
          <w:szCs w:val="18"/>
          <w:lang w:val="en-GB"/>
        </w:rPr>
      </w:pPr>
    </w:p>
    <w:p w14:paraId="1779BD70" w14:textId="77777777" w:rsidR="001D5C5C" w:rsidRPr="005A4C1A" w:rsidRDefault="001D5C5C">
      <w:pPr>
        <w:rPr>
          <w:rFonts w:ascii="Arial" w:hAnsi="Arial" w:cs="Arial"/>
          <w:lang w:val="en-GB"/>
        </w:rPr>
      </w:pPr>
      <w:r w:rsidRPr="005A4C1A">
        <w:rPr>
          <w:rFonts w:ascii="Arial" w:hAnsi="Arial" w:cs="Arial"/>
          <w:b/>
          <w:lang w:val="en-GB"/>
        </w:rPr>
        <w:t>PROBLEM TO BE SOLVED</w:t>
      </w:r>
    </w:p>
    <w:p w14:paraId="34652517" w14:textId="77777777" w:rsidR="001D5C5C" w:rsidRPr="005A4C1A" w:rsidRDefault="001D5C5C">
      <w:pPr>
        <w:rPr>
          <w:sz w:val="18"/>
          <w:szCs w:val="18"/>
          <w:lang w:val="en-GB"/>
        </w:rPr>
      </w:pPr>
    </w:p>
    <w:p w14:paraId="00B34FC7" w14:textId="7B4B6E51" w:rsidR="00BC51C0" w:rsidRDefault="001D5C5C" w:rsidP="005F1D1E">
      <w:pPr>
        <w:pStyle w:val="BodyTextMain"/>
        <w:rPr>
          <w:lang w:val="en-GB"/>
        </w:rPr>
      </w:pPr>
      <w:r w:rsidRPr="005A4C1A">
        <w:rPr>
          <w:lang w:val="en-GB"/>
        </w:rPr>
        <w:t xml:space="preserve">Haiyang and his team had struggled to define better JV </w:t>
      </w:r>
      <w:bookmarkStart w:id="8" w:name="OLE_LINK2"/>
      <w:r w:rsidRPr="005A4C1A">
        <w:rPr>
          <w:lang w:val="en-GB"/>
        </w:rPr>
        <w:t>structure</w:t>
      </w:r>
      <w:bookmarkEnd w:id="8"/>
      <w:r w:rsidRPr="005A4C1A">
        <w:rPr>
          <w:lang w:val="en-GB"/>
        </w:rPr>
        <w:t xml:space="preserve">s with TNG and FTG. However, the present design of the </w:t>
      </w:r>
      <w:r w:rsidR="00C13D65" w:rsidRPr="005A4C1A">
        <w:rPr>
          <w:lang w:val="en-GB"/>
        </w:rPr>
        <w:t>JV</w:t>
      </w:r>
      <w:r w:rsidRPr="005A4C1A">
        <w:rPr>
          <w:lang w:val="en-GB"/>
        </w:rPr>
        <w:t>s</w:t>
      </w:r>
      <w:r w:rsidR="005577EA" w:rsidRPr="005A4C1A">
        <w:rPr>
          <w:lang w:val="en-GB"/>
        </w:rPr>
        <w:t>’</w:t>
      </w:r>
      <w:r w:rsidRPr="005A4C1A">
        <w:rPr>
          <w:lang w:val="en-GB"/>
        </w:rPr>
        <w:t xml:space="preserve"> organizational structure was mainly for control of the JVs in the construction period. When it was time to operate </w:t>
      </w:r>
      <w:r w:rsidR="00C13D65" w:rsidRPr="005A4C1A">
        <w:rPr>
          <w:lang w:val="en-GB"/>
        </w:rPr>
        <w:t xml:space="preserve">the </w:t>
      </w:r>
      <w:r w:rsidRPr="005A4C1A">
        <w:rPr>
          <w:lang w:val="en-GB"/>
        </w:rPr>
        <w:t>MNGP, would the control measures in the construction period also be effective during the operation stage? If not, what control methods should be adopted?</w:t>
      </w:r>
    </w:p>
    <w:p w14:paraId="6AAC2B85" w14:textId="77777777" w:rsidR="00BC51C0" w:rsidRDefault="00BC51C0">
      <w:pPr>
        <w:rPr>
          <w:lang w:val="en-GB"/>
        </w:rPr>
        <w:sectPr w:rsidR="00BC51C0">
          <w:headerReference w:type="default" r:id="rId10"/>
          <w:endnotePr>
            <w:numFmt w:val="decimal"/>
          </w:endnotePr>
          <w:pgSz w:w="12240" w:h="15840"/>
          <w:pgMar w:top="1080" w:right="1440" w:bottom="1440" w:left="1440" w:header="1080" w:footer="720" w:gutter="0"/>
          <w:cols w:space="720"/>
          <w:titlePg/>
          <w:docGrid w:linePitch="360"/>
        </w:sectPr>
      </w:pPr>
      <w:r>
        <w:rPr>
          <w:lang w:val="en-GB"/>
        </w:rPr>
        <w:br w:type="page"/>
      </w:r>
    </w:p>
    <w:p w14:paraId="43BE52F6" w14:textId="79856605" w:rsidR="001D5C5C" w:rsidRPr="005A4C1A" w:rsidRDefault="001D5C5C">
      <w:pPr>
        <w:pStyle w:val="ExhibitHeading"/>
        <w:rPr>
          <w:lang w:val="en-GB"/>
        </w:rPr>
      </w:pPr>
      <w:r w:rsidRPr="005A4C1A">
        <w:rPr>
          <w:lang w:val="en-GB"/>
        </w:rPr>
        <w:lastRenderedPageBreak/>
        <w:t>EXHIBIT 1</w:t>
      </w:r>
      <w:r w:rsidR="00C13D65" w:rsidRPr="005A4C1A">
        <w:rPr>
          <w:lang w:val="en-GB"/>
        </w:rPr>
        <w:t>: organization</w:t>
      </w:r>
      <w:r w:rsidR="00D4559A">
        <w:rPr>
          <w:lang w:val="en-GB"/>
        </w:rPr>
        <w:t>al</w:t>
      </w:r>
      <w:r w:rsidR="00C13D65" w:rsidRPr="005A4C1A">
        <w:rPr>
          <w:lang w:val="en-GB"/>
        </w:rPr>
        <w:t xml:space="preserve"> structure of western timur company</w:t>
      </w:r>
    </w:p>
    <w:p w14:paraId="4A6FF221" w14:textId="77777777" w:rsidR="001D5C5C" w:rsidRPr="005A4C1A" w:rsidRDefault="001D5C5C" w:rsidP="005A4C1A">
      <w:pPr>
        <w:pStyle w:val="ExhibitText"/>
        <w:rPr>
          <w:lang w:val="en-GB"/>
        </w:rPr>
      </w:pPr>
    </w:p>
    <w:p w14:paraId="43A8C8EF" w14:textId="6620AF84" w:rsidR="001D5C5C" w:rsidRPr="005A4C1A" w:rsidRDefault="0025190B">
      <w:pPr>
        <w:jc w:val="center"/>
        <w:rPr>
          <w:lang w:val="en-GB"/>
        </w:rPr>
      </w:pPr>
      <w:r>
        <w:rPr>
          <w:noProof/>
        </w:rPr>
        <w:drawing>
          <wp:inline distT="0" distB="0" distL="0" distR="0" wp14:anchorId="1DCF1D23" wp14:editId="337D5437">
            <wp:extent cx="7790402" cy="482803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824663" cy="4849265"/>
                    </a:xfrm>
                    <a:prstGeom prst="rect">
                      <a:avLst/>
                    </a:prstGeom>
                    <a:noFill/>
                    <a:ln>
                      <a:noFill/>
                    </a:ln>
                  </pic:spPr>
                </pic:pic>
              </a:graphicData>
            </a:graphic>
          </wp:inline>
        </w:drawing>
      </w:r>
    </w:p>
    <w:p w14:paraId="3D3156B6" w14:textId="77777777" w:rsidR="001D5C5C" w:rsidRPr="005A4C1A" w:rsidRDefault="001D5C5C">
      <w:pPr>
        <w:rPr>
          <w:rFonts w:ascii="Arial" w:hAnsi="Arial" w:cs="Arial"/>
          <w:iCs/>
          <w:sz w:val="17"/>
          <w:szCs w:val="17"/>
          <w:lang w:val="en-GB"/>
        </w:rPr>
      </w:pPr>
    </w:p>
    <w:p w14:paraId="131009FD" w14:textId="28B9A66A" w:rsidR="005577EA" w:rsidRPr="005A4C1A" w:rsidRDefault="005577EA">
      <w:pPr>
        <w:rPr>
          <w:rFonts w:ascii="Arial" w:hAnsi="Arial" w:cs="Arial"/>
          <w:iCs/>
          <w:sz w:val="17"/>
          <w:szCs w:val="17"/>
          <w:lang w:val="en-GB"/>
        </w:rPr>
      </w:pPr>
      <w:r w:rsidRPr="005A4C1A">
        <w:rPr>
          <w:rFonts w:ascii="Arial" w:hAnsi="Arial" w:cs="Arial"/>
          <w:iCs/>
          <w:sz w:val="17"/>
          <w:szCs w:val="17"/>
          <w:lang w:val="en-GB"/>
        </w:rPr>
        <w:t>Note: QHSE = quality, health, safety, and environment</w:t>
      </w:r>
      <w:r w:rsidR="00D4559A">
        <w:rPr>
          <w:rFonts w:ascii="Arial" w:hAnsi="Arial" w:cs="Arial"/>
          <w:iCs/>
          <w:sz w:val="17"/>
          <w:szCs w:val="17"/>
          <w:lang w:val="en-GB"/>
        </w:rPr>
        <w:t>.</w:t>
      </w:r>
    </w:p>
    <w:p w14:paraId="7F399CE6" w14:textId="77777777" w:rsidR="00BC51C0" w:rsidRDefault="001D5C5C" w:rsidP="00BC51C0">
      <w:pPr>
        <w:rPr>
          <w:rFonts w:ascii="Arial" w:hAnsi="Arial" w:cs="Arial"/>
          <w:iCs/>
          <w:sz w:val="17"/>
          <w:szCs w:val="17"/>
          <w:lang w:val="en-GB"/>
        </w:rPr>
      </w:pPr>
      <w:r w:rsidRPr="005A4C1A">
        <w:rPr>
          <w:rFonts w:ascii="Arial" w:hAnsi="Arial" w:cs="Arial"/>
          <w:iCs/>
          <w:sz w:val="17"/>
          <w:szCs w:val="17"/>
          <w:lang w:val="en-GB"/>
        </w:rPr>
        <w:t>Source</w:t>
      </w:r>
      <w:r w:rsidRPr="005A4C1A">
        <w:rPr>
          <w:rStyle w:val="FootnoteChar"/>
          <w:rFonts w:eastAsia="MS Gothic"/>
          <w:lang w:val="en-GB"/>
        </w:rPr>
        <w:t>:</w:t>
      </w:r>
      <w:r w:rsidRPr="005A4C1A">
        <w:rPr>
          <w:rFonts w:ascii="MS Gothic" w:eastAsia="MS Gothic" w:hAnsi="MS Gothic" w:cs="MS Gothic"/>
          <w:iCs/>
          <w:sz w:val="17"/>
          <w:szCs w:val="17"/>
          <w:lang w:val="en-GB"/>
        </w:rPr>
        <w:t xml:space="preserve"> </w:t>
      </w:r>
      <w:r w:rsidR="00694D71">
        <w:rPr>
          <w:rFonts w:ascii="Arial" w:hAnsi="Arial" w:cs="Arial"/>
          <w:iCs/>
          <w:sz w:val="17"/>
          <w:szCs w:val="17"/>
          <w:lang w:val="en-GB"/>
        </w:rPr>
        <w:t>Company</w:t>
      </w:r>
      <w:r w:rsidRPr="005A4C1A">
        <w:rPr>
          <w:rFonts w:ascii="Arial" w:hAnsi="Arial" w:cs="Arial"/>
          <w:iCs/>
          <w:sz w:val="17"/>
          <w:szCs w:val="17"/>
          <w:lang w:val="en-GB"/>
        </w:rPr>
        <w:t xml:space="preserve"> files</w:t>
      </w:r>
      <w:r w:rsidR="00C13D65" w:rsidRPr="005A4C1A">
        <w:rPr>
          <w:rFonts w:ascii="Arial" w:hAnsi="Arial" w:cs="Arial"/>
          <w:iCs/>
          <w:sz w:val="17"/>
          <w:szCs w:val="17"/>
          <w:lang w:val="en-GB"/>
        </w:rPr>
        <w:t>.</w:t>
      </w:r>
    </w:p>
    <w:p w14:paraId="582053B9" w14:textId="77777777" w:rsidR="00BC51C0" w:rsidRDefault="00BC51C0">
      <w:pPr>
        <w:rPr>
          <w:rFonts w:ascii="Arial" w:hAnsi="Arial" w:cs="Arial"/>
          <w:iCs/>
          <w:sz w:val="17"/>
          <w:szCs w:val="17"/>
          <w:lang w:val="en-GB"/>
        </w:rPr>
      </w:pPr>
      <w:r>
        <w:rPr>
          <w:rFonts w:ascii="Arial" w:hAnsi="Arial" w:cs="Arial"/>
          <w:iCs/>
          <w:sz w:val="17"/>
          <w:szCs w:val="17"/>
          <w:lang w:val="en-GB"/>
        </w:rPr>
        <w:br w:type="page"/>
      </w:r>
    </w:p>
    <w:p w14:paraId="5CEF93DE" w14:textId="6B38B7B9" w:rsidR="001D5C5C" w:rsidRPr="00BC51C0" w:rsidRDefault="001D5C5C" w:rsidP="00BC51C0">
      <w:pPr>
        <w:pStyle w:val="ExhibitHeading"/>
        <w:rPr>
          <w:bCs/>
          <w:color w:val="000000"/>
          <w:sz w:val="17"/>
          <w:szCs w:val="17"/>
          <w:lang w:val="en-GB"/>
        </w:rPr>
      </w:pPr>
      <w:r w:rsidRPr="005A4C1A">
        <w:rPr>
          <w:lang w:val="en-GB"/>
        </w:rPr>
        <w:lastRenderedPageBreak/>
        <w:t>EXHIBIT 2</w:t>
      </w:r>
      <w:r w:rsidR="00C13D65" w:rsidRPr="005A4C1A">
        <w:rPr>
          <w:lang w:val="en-GB"/>
        </w:rPr>
        <w:t>: organization</w:t>
      </w:r>
      <w:r w:rsidR="00D4559A">
        <w:rPr>
          <w:lang w:val="en-GB"/>
        </w:rPr>
        <w:t>al</w:t>
      </w:r>
      <w:r w:rsidR="00C13D65" w:rsidRPr="005A4C1A">
        <w:rPr>
          <w:lang w:val="en-GB"/>
        </w:rPr>
        <w:t xml:space="preserve"> structure of western frespirit company</w:t>
      </w:r>
    </w:p>
    <w:p w14:paraId="1980C331" w14:textId="77777777" w:rsidR="001D5C5C" w:rsidRPr="005A4C1A" w:rsidRDefault="001D5C5C" w:rsidP="00BC51C0">
      <w:pPr>
        <w:pStyle w:val="ExhibitText"/>
        <w:rPr>
          <w:lang w:val="en-GB"/>
        </w:rPr>
      </w:pPr>
    </w:p>
    <w:p w14:paraId="7BCCE532" w14:textId="0D36E533" w:rsidR="001D5C5C" w:rsidRPr="005A4C1A" w:rsidRDefault="0025190B">
      <w:pPr>
        <w:spacing w:before="156" w:after="156"/>
        <w:jc w:val="center"/>
        <w:rPr>
          <w:lang w:val="en-GB"/>
        </w:rPr>
      </w:pPr>
      <w:r>
        <w:rPr>
          <w:noProof/>
        </w:rPr>
        <w:drawing>
          <wp:inline distT="0" distB="0" distL="0" distR="0" wp14:anchorId="5D917388" wp14:editId="55D65276">
            <wp:extent cx="6785020" cy="479877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6812136" cy="4817949"/>
                    </a:xfrm>
                    <a:prstGeom prst="rect">
                      <a:avLst/>
                    </a:prstGeom>
                    <a:noFill/>
                    <a:ln>
                      <a:noFill/>
                    </a:ln>
                  </pic:spPr>
                </pic:pic>
              </a:graphicData>
            </a:graphic>
          </wp:inline>
        </w:drawing>
      </w:r>
    </w:p>
    <w:p w14:paraId="7E81AA6B" w14:textId="77777777" w:rsidR="001D5C5C" w:rsidRPr="005A4C1A" w:rsidRDefault="001D5C5C">
      <w:pPr>
        <w:jc w:val="center"/>
        <w:rPr>
          <w:rFonts w:ascii="Arial" w:hAnsi="Arial" w:cs="Arial"/>
          <w:i/>
          <w:iCs/>
          <w:sz w:val="17"/>
          <w:szCs w:val="17"/>
          <w:lang w:val="en-GB"/>
        </w:rPr>
      </w:pPr>
    </w:p>
    <w:p w14:paraId="7076EA7B" w14:textId="1AC6D563" w:rsidR="005577EA" w:rsidRPr="005A4C1A" w:rsidRDefault="005577EA">
      <w:pPr>
        <w:rPr>
          <w:rFonts w:ascii="Arial" w:hAnsi="Arial" w:cs="Arial"/>
          <w:iCs/>
          <w:sz w:val="17"/>
          <w:szCs w:val="17"/>
          <w:lang w:val="en-GB"/>
        </w:rPr>
      </w:pPr>
      <w:r w:rsidRPr="005A4C1A">
        <w:rPr>
          <w:rFonts w:ascii="Arial" w:hAnsi="Arial" w:cs="Arial"/>
          <w:iCs/>
          <w:sz w:val="17"/>
          <w:szCs w:val="17"/>
          <w:lang w:val="en-GB"/>
        </w:rPr>
        <w:t>Note: PMT = project management team; HSE = health, safety, and environment; IT = information technology</w:t>
      </w:r>
      <w:r w:rsidR="00D4559A">
        <w:rPr>
          <w:rFonts w:ascii="Arial" w:hAnsi="Arial" w:cs="Arial"/>
          <w:iCs/>
          <w:sz w:val="17"/>
          <w:szCs w:val="17"/>
          <w:lang w:val="en-GB"/>
        </w:rPr>
        <w:t>.</w:t>
      </w:r>
    </w:p>
    <w:p w14:paraId="271D36D8" w14:textId="7C7ED977" w:rsidR="001D5C5C" w:rsidRPr="00BC51C0" w:rsidRDefault="001D5C5C" w:rsidP="00BC51C0">
      <w:pPr>
        <w:rPr>
          <w:rFonts w:ascii="Arial" w:hAnsi="Arial" w:cs="Arial"/>
          <w:sz w:val="17"/>
          <w:szCs w:val="17"/>
          <w:lang w:val="en-GB"/>
        </w:rPr>
      </w:pPr>
      <w:r w:rsidRPr="005A4C1A">
        <w:rPr>
          <w:rFonts w:ascii="Arial" w:hAnsi="Arial" w:cs="Arial"/>
          <w:iCs/>
          <w:sz w:val="17"/>
          <w:szCs w:val="17"/>
          <w:lang w:val="en-GB"/>
        </w:rPr>
        <w:t xml:space="preserve">Source: </w:t>
      </w:r>
      <w:r w:rsidR="00BC51C0">
        <w:rPr>
          <w:rFonts w:ascii="Arial" w:hAnsi="Arial" w:cs="Arial"/>
          <w:iCs/>
          <w:sz w:val="17"/>
          <w:szCs w:val="17"/>
          <w:lang w:val="en-GB"/>
        </w:rPr>
        <w:t>Company</w:t>
      </w:r>
      <w:r w:rsidRPr="005A4C1A">
        <w:rPr>
          <w:rFonts w:ascii="Arial" w:hAnsi="Arial" w:cs="Arial"/>
          <w:iCs/>
          <w:sz w:val="17"/>
          <w:szCs w:val="17"/>
          <w:lang w:val="en-GB"/>
        </w:rPr>
        <w:t xml:space="preserve"> files</w:t>
      </w:r>
      <w:r w:rsidR="00C13D65" w:rsidRPr="005A4C1A">
        <w:rPr>
          <w:rFonts w:ascii="Arial" w:hAnsi="Arial" w:cs="Arial"/>
          <w:iCs/>
          <w:sz w:val="17"/>
          <w:szCs w:val="17"/>
          <w:lang w:val="en-GB"/>
        </w:rPr>
        <w:t>.</w:t>
      </w:r>
    </w:p>
    <w:sectPr w:rsidR="001D5C5C" w:rsidRPr="00BC51C0" w:rsidSect="00BC51C0">
      <w:headerReference w:type="default" r:id="rId13"/>
      <w:endnotePr>
        <w:numFmt w:val="decimal"/>
      </w:endnotePr>
      <w:pgSz w:w="15840" w:h="12240" w:orient="landscape"/>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45905" w14:textId="77777777" w:rsidR="00E06F24" w:rsidRDefault="00E06F24">
      <w:r>
        <w:separator/>
      </w:r>
    </w:p>
  </w:endnote>
  <w:endnote w:type="continuationSeparator" w:id="0">
    <w:p w14:paraId="7607559B" w14:textId="77777777" w:rsidR="00E06F24" w:rsidRDefault="00E0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8952A" w14:textId="77777777" w:rsidR="00E06F24" w:rsidRDefault="00E06F24">
      <w:r>
        <w:separator/>
      </w:r>
    </w:p>
  </w:footnote>
  <w:footnote w:type="continuationSeparator" w:id="0">
    <w:p w14:paraId="00C9D62F" w14:textId="77777777" w:rsidR="00E06F24" w:rsidRDefault="00E06F24">
      <w:r>
        <w:continuationSeparator/>
      </w:r>
    </w:p>
  </w:footnote>
  <w:footnote w:id="1">
    <w:p w14:paraId="58289F38" w14:textId="0A55FC08" w:rsidR="0044269D" w:rsidRDefault="0044269D" w:rsidP="00294F7B">
      <w:pPr>
        <w:pStyle w:val="FootnoteText"/>
        <w:jc w:val="both"/>
        <w:rPr>
          <w:rFonts w:ascii="Arial" w:hAnsi="Arial" w:cs="Arial"/>
          <w:sz w:val="17"/>
          <w:szCs w:val="17"/>
        </w:rPr>
      </w:pPr>
      <w:r>
        <w:rPr>
          <w:rStyle w:val="FootnoteReference"/>
          <w:rFonts w:ascii="Arial" w:hAnsi="Arial" w:cs="Arial"/>
          <w:sz w:val="17"/>
          <w:szCs w:val="17"/>
        </w:rPr>
        <w:footnoteRef/>
      </w:r>
      <w:r w:rsidR="00B60B6A">
        <w:rPr>
          <w:rFonts w:ascii="Arial" w:hAnsi="Arial" w:cs="Arial"/>
          <w:sz w:val="17"/>
          <w:szCs w:val="17"/>
        </w:rPr>
        <w:t>“Statistical Review of World Energy,” BP </w:t>
      </w:r>
      <w:r>
        <w:rPr>
          <w:rFonts w:ascii="Arial" w:hAnsi="Arial" w:cs="Arial"/>
          <w:sz w:val="17"/>
          <w:szCs w:val="17"/>
        </w:rPr>
        <w:t>Global</w:t>
      </w:r>
      <w:r w:rsidR="00B60B6A">
        <w:rPr>
          <w:rFonts w:ascii="Arial" w:hAnsi="Arial" w:cs="Arial"/>
          <w:sz w:val="17"/>
          <w:szCs w:val="17"/>
        </w:rPr>
        <w:t>, </w:t>
      </w:r>
      <w:r w:rsidRPr="00DB4914">
        <w:rPr>
          <w:rFonts w:ascii="Arial" w:hAnsi="Arial" w:cs="Arial"/>
          <w:sz w:val="17"/>
          <w:szCs w:val="17"/>
        </w:rPr>
        <w:t>accessed</w:t>
      </w:r>
      <w:r w:rsidR="00B60B6A">
        <w:rPr>
          <w:rFonts w:ascii="Arial" w:hAnsi="Arial" w:cs="Arial"/>
          <w:sz w:val="17"/>
          <w:szCs w:val="17"/>
        </w:rPr>
        <w:t> January 18, </w:t>
      </w:r>
      <w:r w:rsidR="005A4C1A" w:rsidRPr="00DB4914">
        <w:rPr>
          <w:rFonts w:ascii="Arial" w:hAnsi="Arial" w:cs="Arial"/>
          <w:sz w:val="17"/>
          <w:szCs w:val="17"/>
        </w:rPr>
        <w:t>2018,</w:t>
      </w:r>
      <w:r w:rsidR="00B60B6A">
        <w:rPr>
          <w:rFonts w:ascii="Arial" w:hAnsi="Arial" w:cs="Arial"/>
          <w:sz w:val="17"/>
          <w:szCs w:val="17"/>
        </w:rPr>
        <w:t> </w:t>
      </w:r>
      <w:r w:rsidRPr="00DB4914">
        <w:rPr>
          <w:rFonts w:ascii="Arial" w:hAnsi="Arial" w:cs="Arial"/>
          <w:sz w:val="17"/>
          <w:szCs w:val="17"/>
        </w:rPr>
        <w:t>https://www.bp.com/en/global/corporate/energy-economics/statistical-review-of-</w:t>
      </w:r>
      <w:r>
        <w:rPr>
          <w:rFonts w:ascii="Arial" w:hAnsi="Arial" w:cs="Arial"/>
          <w:sz w:val="17"/>
          <w:szCs w:val="17"/>
        </w:rPr>
        <w:t>world-energy.html.</w:t>
      </w:r>
    </w:p>
  </w:footnote>
  <w:footnote w:id="2">
    <w:p w14:paraId="2970F964" w14:textId="4775C2BE" w:rsidR="0044269D" w:rsidRDefault="0044269D">
      <w:pPr>
        <w:pStyle w:val="FootnoteText"/>
      </w:pPr>
      <w:r>
        <w:rPr>
          <w:rStyle w:val="FootnoteReference"/>
          <w:rFonts w:ascii="Arial" w:hAnsi="Arial" w:cs="Arial"/>
          <w:sz w:val="17"/>
          <w:szCs w:val="17"/>
        </w:rPr>
        <w:footnoteRef/>
      </w:r>
      <w:r>
        <w:rPr>
          <w:rFonts w:ascii="Arial" w:hAnsi="Arial" w:cs="Arial"/>
          <w:sz w:val="17"/>
          <w:szCs w:val="17"/>
        </w:rPr>
        <w:t xml:space="preserve"> CNGC was the parent company of Western Regions Company.</w:t>
      </w:r>
    </w:p>
  </w:footnote>
  <w:footnote w:id="3">
    <w:p w14:paraId="0B3ABBB2" w14:textId="119A755F" w:rsidR="0044269D" w:rsidRPr="00294F7B" w:rsidRDefault="0044269D" w:rsidP="00294F7B">
      <w:pPr>
        <w:pStyle w:val="Footnote"/>
        <w:rPr>
          <w:lang w:val="en-CA"/>
        </w:rPr>
      </w:pPr>
      <w:r>
        <w:rPr>
          <w:rStyle w:val="FootnoteReference"/>
        </w:rPr>
        <w:footnoteRef/>
      </w:r>
      <w:r>
        <w:t xml:space="preserve"> </w:t>
      </w:r>
      <w:r w:rsidRPr="00262120">
        <w:rPr>
          <w:shd w:val="clear" w:color="auto" w:fill="FFFFFF"/>
        </w:rPr>
        <w:t>¥</w:t>
      </w:r>
      <w:r>
        <w:rPr>
          <w:shd w:val="clear" w:color="auto" w:fill="FFFFFF"/>
        </w:rPr>
        <w:t xml:space="preserve"> = CNY = Chinese yuan</w:t>
      </w:r>
      <w:r w:rsidR="00FE66FA">
        <w:rPr>
          <w:shd w:val="clear" w:color="auto" w:fill="FFFFFF"/>
        </w:rPr>
        <w:t xml:space="preserve"> renminbi</w:t>
      </w:r>
      <w:r>
        <w:rPr>
          <w:shd w:val="clear" w:color="auto" w:fill="FFFFFF"/>
        </w:rPr>
        <w:t>; US$1</w:t>
      </w:r>
      <w:r w:rsidR="00FE66FA">
        <w:rPr>
          <w:shd w:val="clear" w:color="auto" w:fill="FFFFFF"/>
        </w:rPr>
        <w:t>.00</w:t>
      </w:r>
      <w:r>
        <w:rPr>
          <w:shd w:val="clear" w:color="auto" w:fill="FFFFFF"/>
        </w:rPr>
        <w:t xml:space="preserve"> = </w:t>
      </w:r>
      <w:r w:rsidRPr="00262120">
        <w:rPr>
          <w:shd w:val="clear" w:color="auto" w:fill="FFFFFF"/>
        </w:rPr>
        <w:t xml:space="preserve">¥6.3852 </w:t>
      </w:r>
      <w:r>
        <w:rPr>
          <w:shd w:val="clear" w:color="auto" w:fill="FFFFFF"/>
        </w:rPr>
        <w:t>on August 31, 2015.</w:t>
      </w:r>
    </w:p>
  </w:footnote>
  <w:footnote w:id="4">
    <w:p w14:paraId="6E1C4732" w14:textId="0BBCC599" w:rsidR="0044269D" w:rsidRDefault="0044269D">
      <w:pPr>
        <w:pStyle w:val="FootnoteText"/>
        <w:jc w:val="both"/>
        <w:rPr>
          <w:rFonts w:ascii="Arial" w:hAnsi="Arial" w:cs="Arial"/>
          <w:sz w:val="17"/>
          <w:szCs w:val="17"/>
        </w:rPr>
      </w:pPr>
      <w:r>
        <w:rPr>
          <w:rStyle w:val="FootnoteReference"/>
          <w:rFonts w:ascii="Arial" w:hAnsi="Arial" w:cs="Arial"/>
          <w:sz w:val="17"/>
          <w:szCs w:val="17"/>
        </w:rPr>
        <w:footnoteRef/>
      </w:r>
      <w:r>
        <w:rPr>
          <w:rFonts w:ascii="Arial" w:hAnsi="Arial" w:cs="Arial"/>
          <w:sz w:val="17"/>
          <w:szCs w:val="17"/>
        </w:rPr>
        <w:t xml:space="preserve"> Project financing was the raising of funds on a limited-recourse or nonrecourse basis to finance an economically separable capital investment project, in which the providers of the funds looked primarily to the cash flow from the project as the source to service the loans; John D. Finnerty, </w:t>
      </w:r>
      <w:r w:rsidRPr="00294F7B">
        <w:rPr>
          <w:rFonts w:ascii="Arial" w:hAnsi="Arial" w:cs="Arial"/>
          <w:i/>
          <w:sz w:val="17"/>
          <w:szCs w:val="17"/>
        </w:rPr>
        <w:t>Project Financing: Asset-</w:t>
      </w:r>
      <w:r w:rsidR="00326208">
        <w:rPr>
          <w:rFonts w:ascii="Arial" w:hAnsi="Arial" w:cs="Arial"/>
          <w:i/>
          <w:sz w:val="17"/>
          <w:szCs w:val="17"/>
        </w:rPr>
        <w:t>B</w:t>
      </w:r>
      <w:r w:rsidR="00326208" w:rsidRPr="00294F7B">
        <w:rPr>
          <w:rFonts w:ascii="Arial" w:hAnsi="Arial" w:cs="Arial"/>
          <w:i/>
          <w:sz w:val="17"/>
          <w:szCs w:val="17"/>
        </w:rPr>
        <w:t xml:space="preserve">ased </w:t>
      </w:r>
      <w:r w:rsidRPr="00294F7B">
        <w:rPr>
          <w:rFonts w:ascii="Arial" w:hAnsi="Arial" w:cs="Arial"/>
          <w:i/>
          <w:sz w:val="17"/>
          <w:szCs w:val="17"/>
        </w:rPr>
        <w:t>Financial Engineering</w:t>
      </w:r>
      <w:r>
        <w:rPr>
          <w:rFonts w:ascii="Arial" w:hAnsi="Arial" w:cs="Arial"/>
          <w:sz w:val="17"/>
          <w:szCs w:val="17"/>
        </w:rPr>
        <w:t>, 2nd ed., (Hoboken, NJ: John Wiley &amp; Sons, Inc., 2007)</w:t>
      </w:r>
      <w:r w:rsidR="00326208">
        <w:rPr>
          <w:rFonts w:ascii="Arial" w:hAnsi="Arial" w:cs="Arial"/>
          <w:sz w:val="17"/>
          <w:szCs w:val="17"/>
        </w:rPr>
        <w:t>,</w:t>
      </w:r>
      <w:r>
        <w:rPr>
          <w:rFonts w:ascii="Arial" w:hAnsi="Arial" w:cs="Arial"/>
          <w:sz w:val="17"/>
          <w:szCs w:val="17"/>
        </w:rPr>
        <w:t xml:space="preserve"> </w:t>
      </w:r>
      <w:r>
        <w:rPr>
          <w:rFonts w:ascii="Arial" w:eastAsia="SimSun" w:hAnsi="Arial" w:cs="Arial" w:hint="eastAsia"/>
          <w:sz w:val="17"/>
          <w:szCs w:val="17"/>
          <w:lang w:eastAsia="zh-CN"/>
        </w:rPr>
        <w:t>1</w:t>
      </w:r>
      <w:r>
        <w:rPr>
          <w:rFonts w:ascii="Arial" w:hAnsi="Arial" w:cs="Arial"/>
          <w:sz w:val="17"/>
          <w:szCs w:val="17"/>
        </w:rPr>
        <w:t>.</w:t>
      </w:r>
    </w:p>
  </w:footnote>
  <w:footnote w:id="5">
    <w:p w14:paraId="4DE42926" w14:textId="763788DD" w:rsidR="0044269D" w:rsidRDefault="0044269D">
      <w:pPr>
        <w:pStyle w:val="FootnoteText"/>
        <w:jc w:val="both"/>
        <w:rPr>
          <w:rFonts w:ascii="Arial" w:hAnsi="Arial" w:cs="Arial"/>
          <w:sz w:val="17"/>
          <w:szCs w:val="17"/>
        </w:rPr>
      </w:pPr>
      <w:r>
        <w:rPr>
          <w:rStyle w:val="FootnoteReference"/>
          <w:rFonts w:ascii="Arial" w:hAnsi="Arial" w:cs="Arial"/>
          <w:sz w:val="17"/>
          <w:szCs w:val="17"/>
        </w:rPr>
        <w:footnoteRef/>
      </w:r>
      <w:r>
        <w:rPr>
          <w:rFonts w:ascii="Arial" w:hAnsi="Arial" w:cs="Arial"/>
          <w:sz w:val="17"/>
          <w:szCs w:val="17"/>
        </w:rPr>
        <w:t xml:space="preserve"> Sufficient credit support for a project loan</w:t>
      </w:r>
      <w:r w:rsidR="00326208">
        <w:rPr>
          <w:rFonts w:ascii="Arial" w:hAnsi="Arial" w:cs="Arial"/>
          <w:sz w:val="17"/>
          <w:szCs w:val="17"/>
        </w:rPr>
        <w:t>—</w:t>
      </w:r>
      <w:r>
        <w:rPr>
          <w:rFonts w:ascii="Arial" w:hAnsi="Arial" w:cs="Arial"/>
          <w:sz w:val="17"/>
          <w:szCs w:val="17"/>
          <w:lang w:eastAsia="zh-CN"/>
        </w:rPr>
        <w:t xml:space="preserve">such as the requirement of a </w:t>
      </w:r>
      <w:r w:rsidR="00326208">
        <w:rPr>
          <w:rFonts w:ascii="Arial" w:hAnsi="Arial" w:cs="Arial"/>
          <w:sz w:val="17"/>
          <w:szCs w:val="17"/>
          <w:lang w:eastAsia="zh-CN"/>
        </w:rPr>
        <w:t>construction-</w:t>
      </w:r>
      <w:r>
        <w:rPr>
          <w:rFonts w:ascii="Arial" w:hAnsi="Arial" w:cs="Arial"/>
          <w:sz w:val="17"/>
          <w:szCs w:val="17"/>
          <w:lang w:eastAsia="zh-CN"/>
        </w:rPr>
        <w:t xml:space="preserve">completion guarantee, a </w:t>
      </w:r>
      <w:r w:rsidR="00326208">
        <w:rPr>
          <w:rFonts w:ascii="Arial" w:hAnsi="Arial" w:cs="Arial"/>
          <w:sz w:val="17"/>
          <w:szCs w:val="17"/>
          <w:lang w:eastAsia="zh-CN"/>
        </w:rPr>
        <w:t>take-or-</w:t>
      </w:r>
      <w:r>
        <w:rPr>
          <w:rFonts w:ascii="Arial" w:hAnsi="Arial" w:cs="Arial"/>
          <w:sz w:val="17"/>
          <w:szCs w:val="17"/>
          <w:lang w:eastAsia="zh-CN"/>
        </w:rPr>
        <w:t xml:space="preserve">pay agreement, a </w:t>
      </w:r>
      <w:r w:rsidR="00326208">
        <w:rPr>
          <w:rFonts w:ascii="Arial" w:hAnsi="Arial" w:cs="Arial"/>
          <w:sz w:val="17"/>
          <w:szCs w:val="17"/>
          <w:lang w:eastAsia="zh-CN"/>
        </w:rPr>
        <w:t>cash-</w:t>
      </w:r>
      <w:r>
        <w:rPr>
          <w:rFonts w:ascii="Arial" w:hAnsi="Arial" w:cs="Arial"/>
          <w:sz w:val="17"/>
          <w:szCs w:val="17"/>
          <w:lang w:eastAsia="zh-CN"/>
        </w:rPr>
        <w:t>deficiency agreement, or a project’s assets as collateral</w:t>
      </w:r>
      <w:r w:rsidR="00326208">
        <w:rPr>
          <w:rFonts w:ascii="Arial" w:hAnsi="Arial" w:cs="Arial"/>
          <w:sz w:val="17"/>
          <w:szCs w:val="17"/>
          <w:lang w:eastAsia="zh-CN"/>
        </w:rPr>
        <w:t>—</w:t>
      </w:r>
      <w:r>
        <w:rPr>
          <w:rFonts w:ascii="Arial" w:hAnsi="Arial" w:cs="Arial"/>
          <w:sz w:val="17"/>
          <w:szCs w:val="17"/>
        </w:rPr>
        <w:t>was a necessary precondition to successful project finance arrangements; John D. Finnerty, op. cit.</w:t>
      </w:r>
    </w:p>
  </w:footnote>
  <w:footnote w:id="6">
    <w:p w14:paraId="450B6481" w14:textId="61DBA51A" w:rsidR="0044269D" w:rsidRDefault="0044269D" w:rsidP="00294F7B">
      <w:pPr>
        <w:pStyle w:val="FootnoteText"/>
        <w:jc w:val="both"/>
        <w:rPr>
          <w:rFonts w:ascii="Arial" w:hAnsi="Arial" w:cs="Arial"/>
          <w:sz w:val="17"/>
          <w:szCs w:val="17"/>
        </w:rPr>
      </w:pPr>
      <w:r>
        <w:rPr>
          <w:rStyle w:val="FootnoteReference"/>
          <w:rFonts w:ascii="Arial" w:hAnsi="Arial" w:cs="Arial"/>
          <w:sz w:val="17"/>
          <w:szCs w:val="17"/>
        </w:rPr>
        <w:footnoteRef/>
      </w:r>
      <w:r>
        <w:t xml:space="preserve"> </w:t>
      </w:r>
      <w:r>
        <w:rPr>
          <w:rFonts w:ascii="Arial" w:hAnsi="Arial" w:cs="Arial"/>
          <w:sz w:val="17"/>
          <w:szCs w:val="17"/>
        </w:rPr>
        <w:t xml:space="preserve">PMT (Project Management Team) </w:t>
      </w:r>
      <w:r w:rsidR="00BD20FC">
        <w:rPr>
          <w:rFonts w:ascii="Arial" w:hAnsi="Arial" w:cs="Arial"/>
          <w:sz w:val="17"/>
          <w:szCs w:val="17"/>
        </w:rPr>
        <w:t>was</w:t>
      </w:r>
      <w:r>
        <w:rPr>
          <w:rFonts w:ascii="Arial" w:hAnsi="Arial" w:cs="Arial"/>
          <w:sz w:val="17"/>
          <w:szCs w:val="17"/>
        </w:rPr>
        <w:t xml:space="preserve"> an owner-oriented organizational management method commonly used by owners of large-scale construction projects during the construction period.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8211" w14:textId="5CC94978" w:rsidR="0044269D" w:rsidRDefault="0044269D">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C51C0">
      <w:rPr>
        <w:rFonts w:ascii="Arial" w:hAnsi="Arial"/>
        <w:b/>
        <w:noProof/>
      </w:rPr>
      <w:t>5</w:t>
    </w:r>
    <w:r>
      <w:rPr>
        <w:rFonts w:ascii="Arial" w:hAnsi="Arial"/>
        <w:b/>
      </w:rPr>
      <w:fldChar w:fldCharType="end"/>
    </w:r>
    <w:r>
      <w:rPr>
        <w:rFonts w:ascii="Arial" w:hAnsi="Arial"/>
        <w:b/>
      </w:rPr>
      <w:tab/>
    </w:r>
    <w:r w:rsidR="00B60B6A">
      <w:rPr>
        <w:rFonts w:ascii="Arial" w:hAnsi="Arial"/>
        <w:b/>
      </w:rPr>
      <w:t>9B18M124</w:t>
    </w:r>
  </w:p>
  <w:p w14:paraId="3DE6E242" w14:textId="77777777" w:rsidR="0044269D" w:rsidRDefault="0044269D">
    <w:pPr>
      <w:pStyle w:val="Header"/>
      <w:rPr>
        <w:sz w:val="18"/>
        <w:szCs w:val="18"/>
      </w:rPr>
    </w:pPr>
  </w:p>
  <w:p w14:paraId="5D82D976" w14:textId="77777777" w:rsidR="0044269D" w:rsidRDefault="0044269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DB2F7" w14:textId="77777777" w:rsidR="00BC51C0" w:rsidRDefault="00BC51C0" w:rsidP="00BC51C0">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7</w:t>
    </w:r>
    <w:r>
      <w:rPr>
        <w:rFonts w:ascii="Arial" w:hAnsi="Arial"/>
        <w:b/>
      </w:rPr>
      <w:fldChar w:fldCharType="end"/>
    </w:r>
    <w:r>
      <w:rPr>
        <w:rFonts w:ascii="Arial" w:hAnsi="Arial"/>
        <w:b/>
      </w:rPr>
      <w:tab/>
      <w:t>9B18M124</w:t>
    </w:r>
  </w:p>
  <w:p w14:paraId="6A078180" w14:textId="77777777" w:rsidR="00BC51C0" w:rsidRDefault="00BC51C0" w:rsidP="00BC51C0">
    <w:pPr>
      <w:pStyle w:val="Header"/>
      <w:tabs>
        <w:tab w:val="clear" w:pos="4680"/>
        <w:tab w:val="clear" w:pos="9360"/>
        <w:tab w:val="right" w:pos="12960"/>
      </w:tabs>
      <w:rPr>
        <w:sz w:val="18"/>
        <w:szCs w:val="18"/>
      </w:rPr>
    </w:pPr>
  </w:p>
  <w:p w14:paraId="3CFFE830" w14:textId="77777777" w:rsidR="00BC51C0" w:rsidRDefault="00BC51C0" w:rsidP="00BC51C0">
    <w:pPr>
      <w:tabs>
        <w:tab w:val="right" w:pos="129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C37"/>
    <w:rsid w:val="00013360"/>
    <w:rsid w:val="000216CE"/>
    <w:rsid w:val="00025DC7"/>
    <w:rsid w:val="00026486"/>
    <w:rsid w:val="00044ECC"/>
    <w:rsid w:val="000531D3"/>
    <w:rsid w:val="0005646B"/>
    <w:rsid w:val="0006178B"/>
    <w:rsid w:val="0008102D"/>
    <w:rsid w:val="00094C0E"/>
    <w:rsid w:val="000B2B9D"/>
    <w:rsid w:val="000D3789"/>
    <w:rsid w:val="000D655B"/>
    <w:rsid w:val="000E3720"/>
    <w:rsid w:val="000F0C22"/>
    <w:rsid w:val="000F6B09"/>
    <w:rsid w:val="000F6FDC"/>
    <w:rsid w:val="00100FB4"/>
    <w:rsid w:val="00104567"/>
    <w:rsid w:val="00117487"/>
    <w:rsid w:val="00122D6B"/>
    <w:rsid w:val="0012732D"/>
    <w:rsid w:val="00154FC9"/>
    <w:rsid w:val="001773B9"/>
    <w:rsid w:val="0019241A"/>
    <w:rsid w:val="001A5335"/>
    <w:rsid w:val="001A752D"/>
    <w:rsid w:val="001D5C5C"/>
    <w:rsid w:val="001E70BB"/>
    <w:rsid w:val="001F1DAE"/>
    <w:rsid w:val="001F29EB"/>
    <w:rsid w:val="00203AA1"/>
    <w:rsid w:val="002045EA"/>
    <w:rsid w:val="00213E98"/>
    <w:rsid w:val="0025190B"/>
    <w:rsid w:val="00262120"/>
    <w:rsid w:val="00294F7B"/>
    <w:rsid w:val="002965A5"/>
    <w:rsid w:val="002B3804"/>
    <w:rsid w:val="002C0A36"/>
    <w:rsid w:val="002E32F0"/>
    <w:rsid w:val="002F460C"/>
    <w:rsid w:val="002F48D6"/>
    <w:rsid w:val="00326208"/>
    <w:rsid w:val="00343565"/>
    <w:rsid w:val="00354899"/>
    <w:rsid w:val="00355FD6"/>
    <w:rsid w:val="00357B20"/>
    <w:rsid w:val="00361C8E"/>
    <w:rsid w:val="00364A5C"/>
    <w:rsid w:val="00371A00"/>
    <w:rsid w:val="00373FB1"/>
    <w:rsid w:val="003B30D8"/>
    <w:rsid w:val="003B7EF2"/>
    <w:rsid w:val="003C3FA4"/>
    <w:rsid w:val="003F2B0C"/>
    <w:rsid w:val="004017F5"/>
    <w:rsid w:val="004040D9"/>
    <w:rsid w:val="00417D25"/>
    <w:rsid w:val="004221E4"/>
    <w:rsid w:val="00440441"/>
    <w:rsid w:val="0044269D"/>
    <w:rsid w:val="0045418C"/>
    <w:rsid w:val="0046682B"/>
    <w:rsid w:val="00471088"/>
    <w:rsid w:val="00483AF9"/>
    <w:rsid w:val="004B1CCB"/>
    <w:rsid w:val="004C067C"/>
    <w:rsid w:val="004D73A5"/>
    <w:rsid w:val="004E2AC6"/>
    <w:rsid w:val="004E708E"/>
    <w:rsid w:val="00506DE1"/>
    <w:rsid w:val="00532CF5"/>
    <w:rsid w:val="005528CB"/>
    <w:rsid w:val="005577EA"/>
    <w:rsid w:val="00566771"/>
    <w:rsid w:val="00581E2E"/>
    <w:rsid w:val="00584F15"/>
    <w:rsid w:val="005A4C1A"/>
    <w:rsid w:val="005F1D1E"/>
    <w:rsid w:val="0060066D"/>
    <w:rsid w:val="006075A9"/>
    <w:rsid w:val="006163F7"/>
    <w:rsid w:val="00620FFA"/>
    <w:rsid w:val="00652606"/>
    <w:rsid w:val="00682754"/>
    <w:rsid w:val="00694D71"/>
    <w:rsid w:val="006A586C"/>
    <w:rsid w:val="006A58A9"/>
    <w:rsid w:val="006A606D"/>
    <w:rsid w:val="006A72FA"/>
    <w:rsid w:val="006B7F7A"/>
    <w:rsid w:val="006C0371"/>
    <w:rsid w:val="006C08B6"/>
    <w:rsid w:val="006C0B1A"/>
    <w:rsid w:val="006C4384"/>
    <w:rsid w:val="006C6065"/>
    <w:rsid w:val="006C7F9F"/>
    <w:rsid w:val="006D1DBC"/>
    <w:rsid w:val="006E2F6D"/>
    <w:rsid w:val="006E58F6"/>
    <w:rsid w:val="006E77E1"/>
    <w:rsid w:val="006F131D"/>
    <w:rsid w:val="006F551D"/>
    <w:rsid w:val="006F59A1"/>
    <w:rsid w:val="00743886"/>
    <w:rsid w:val="00752BCD"/>
    <w:rsid w:val="00765A77"/>
    <w:rsid w:val="00766DA1"/>
    <w:rsid w:val="007819B3"/>
    <w:rsid w:val="007866A6"/>
    <w:rsid w:val="007A130D"/>
    <w:rsid w:val="007D4102"/>
    <w:rsid w:val="007E5921"/>
    <w:rsid w:val="00821FFC"/>
    <w:rsid w:val="008271CA"/>
    <w:rsid w:val="00830E7C"/>
    <w:rsid w:val="00831962"/>
    <w:rsid w:val="008467D5"/>
    <w:rsid w:val="00856D9F"/>
    <w:rsid w:val="008575B3"/>
    <w:rsid w:val="00866F6D"/>
    <w:rsid w:val="008A4DC4"/>
    <w:rsid w:val="008D2751"/>
    <w:rsid w:val="008F3A4E"/>
    <w:rsid w:val="00904BA1"/>
    <w:rsid w:val="009067A4"/>
    <w:rsid w:val="0090722E"/>
    <w:rsid w:val="00920E16"/>
    <w:rsid w:val="0092505A"/>
    <w:rsid w:val="009340DB"/>
    <w:rsid w:val="00972498"/>
    <w:rsid w:val="00974CC6"/>
    <w:rsid w:val="00976AD4"/>
    <w:rsid w:val="009A312F"/>
    <w:rsid w:val="009A5348"/>
    <w:rsid w:val="009A67BB"/>
    <w:rsid w:val="009B2482"/>
    <w:rsid w:val="009C76D5"/>
    <w:rsid w:val="009F7AA4"/>
    <w:rsid w:val="00A169CC"/>
    <w:rsid w:val="00A559DB"/>
    <w:rsid w:val="00A677EF"/>
    <w:rsid w:val="00A717A1"/>
    <w:rsid w:val="00AE5DAA"/>
    <w:rsid w:val="00AF35FC"/>
    <w:rsid w:val="00B0028F"/>
    <w:rsid w:val="00B03639"/>
    <w:rsid w:val="00B0652A"/>
    <w:rsid w:val="00B307B6"/>
    <w:rsid w:val="00B3757D"/>
    <w:rsid w:val="00B40937"/>
    <w:rsid w:val="00B423EF"/>
    <w:rsid w:val="00B453DE"/>
    <w:rsid w:val="00B4742F"/>
    <w:rsid w:val="00B60B6A"/>
    <w:rsid w:val="00B901F9"/>
    <w:rsid w:val="00B92A34"/>
    <w:rsid w:val="00B94C99"/>
    <w:rsid w:val="00BA236E"/>
    <w:rsid w:val="00BC51C0"/>
    <w:rsid w:val="00BD20FC"/>
    <w:rsid w:val="00BD6EFB"/>
    <w:rsid w:val="00BD7DD8"/>
    <w:rsid w:val="00C13D65"/>
    <w:rsid w:val="00C15BE2"/>
    <w:rsid w:val="00C22219"/>
    <w:rsid w:val="00C2664B"/>
    <w:rsid w:val="00C3447F"/>
    <w:rsid w:val="00C63FFD"/>
    <w:rsid w:val="00C81491"/>
    <w:rsid w:val="00C81676"/>
    <w:rsid w:val="00C9037D"/>
    <w:rsid w:val="00C92CC4"/>
    <w:rsid w:val="00CA0AFB"/>
    <w:rsid w:val="00CA2CE1"/>
    <w:rsid w:val="00CA3976"/>
    <w:rsid w:val="00CA6D79"/>
    <w:rsid w:val="00CA757B"/>
    <w:rsid w:val="00CC0F9B"/>
    <w:rsid w:val="00CC1787"/>
    <w:rsid w:val="00CC182C"/>
    <w:rsid w:val="00CD0824"/>
    <w:rsid w:val="00CD2908"/>
    <w:rsid w:val="00D02FA3"/>
    <w:rsid w:val="00D03A82"/>
    <w:rsid w:val="00D079E4"/>
    <w:rsid w:val="00D15344"/>
    <w:rsid w:val="00D31BEC"/>
    <w:rsid w:val="00D4559A"/>
    <w:rsid w:val="00D63150"/>
    <w:rsid w:val="00D64A32"/>
    <w:rsid w:val="00D64EFC"/>
    <w:rsid w:val="00D75295"/>
    <w:rsid w:val="00D76CE9"/>
    <w:rsid w:val="00D817DB"/>
    <w:rsid w:val="00D85BF1"/>
    <w:rsid w:val="00D97F12"/>
    <w:rsid w:val="00DA7DD0"/>
    <w:rsid w:val="00DB42E7"/>
    <w:rsid w:val="00DB4914"/>
    <w:rsid w:val="00DD6E1A"/>
    <w:rsid w:val="00DF32C2"/>
    <w:rsid w:val="00E00856"/>
    <w:rsid w:val="00E06F24"/>
    <w:rsid w:val="00E4089F"/>
    <w:rsid w:val="00E471A7"/>
    <w:rsid w:val="00E635CF"/>
    <w:rsid w:val="00E84C8D"/>
    <w:rsid w:val="00EB5410"/>
    <w:rsid w:val="00EC6E0A"/>
    <w:rsid w:val="00ED4E0E"/>
    <w:rsid w:val="00ED4E18"/>
    <w:rsid w:val="00EE1F37"/>
    <w:rsid w:val="00F0159C"/>
    <w:rsid w:val="00F105B7"/>
    <w:rsid w:val="00F17A21"/>
    <w:rsid w:val="00F50E91"/>
    <w:rsid w:val="00F57D29"/>
    <w:rsid w:val="00F70629"/>
    <w:rsid w:val="00F834AF"/>
    <w:rsid w:val="00F91AC2"/>
    <w:rsid w:val="00F92A99"/>
    <w:rsid w:val="00F94A3A"/>
    <w:rsid w:val="00F95712"/>
    <w:rsid w:val="00F96201"/>
    <w:rsid w:val="00FC30E9"/>
    <w:rsid w:val="00FD0B18"/>
    <w:rsid w:val="00FD0F82"/>
    <w:rsid w:val="00FD76E1"/>
    <w:rsid w:val="00FE66FA"/>
    <w:rsid w:val="00FE714F"/>
    <w:rsid w:val="01AA60D9"/>
    <w:rsid w:val="08CA32B1"/>
    <w:rsid w:val="0B1B0D3C"/>
    <w:rsid w:val="0B7912E1"/>
    <w:rsid w:val="0E8308B7"/>
    <w:rsid w:val="27651925"/>
    <w:rsid w:val="27B947AF"/>
    <w:rsid w:val="3026763D"/>
    <w:rsid w:val="38977C6B"/>
    <w:rsid w:val="42791AF8"/>
    <w:rsid w:val="4C5648A5"/>
    <w:rsid w:val="4E6B761F"/>
    <w:rsid w:val="627755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D699B8"/>
  <w15:chartTrackingRefBased/>
  <w15:docId w15:val="{4237E378-6D93-4A02-925C-4F880CB4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Pr>
      <w:rFonts w:ascii="Times New Roman" w:hAnsi="Times New Roman"/>
      <w:caps w:val="0"/>
      <w:smallCaps w:val="0"/>
      <w:strike w:val="0"/>
      <w:dstrike w:val="0"/>
      <w:vanish w:val="0"/>
      <w:sz w:val="22"/>
      <w:vertAlign w:val="baseline"/>
    </w:rPr>
  </w:style>
  <w:style w:type="character" w:customStyle="1" w:styleId="Casehead4Char">
    <w:name w:val="Casehead 4 Char"/>
    <w:link w:val="Casehead4"/>
    <w:rPr>
      <w:rFonts w:ascii="Times New Roman" w:eastAsia="Times New Roman" w:hAnsi="Times New Roman" w:cs="Times New Roman"/>
      <w:b w:val="0"/>
      <w:i/>
      <w:caps w:val="0"/>
      <w:sz w:val="20"/>
      <w:szCs w:val="20"/>
      <w:u w:val="single"/>
    </w:rPr>
  </w:style>
  <w:style w:type="character" w:customStyle="1" w:styleId="Casehead1Char">
    <w:name w:val="Casehead 1 Char"/>
    <w:link w:val="Casehead1"/>
    <w:rPr>
      <w:rFonts w:ascii="Arial" w:eastAsia="Times New Roman" w:hAnsi="Arial" w:cs="Arial"/>
      <w:b/>
      <w:caps/>
      <w:sz w:val="20"/>
      <w:szCs w:val="20"/>
    </w:rPr>
  </w:style>
  <w:style w:type="character" w:customStyle="1" w:styleId="ExhibitHeadingChar">
    <w:name w:val="Exhibit Heading Char"/>
    <w:link w:val="ExhibitHeading"/>
    <w:rPr>
      <w:rFonts w:ascii="Arial" w:eastAsia="Times New Roman" w:hAnsi="Arial" w:cs="Arial"/>
      <w:b/>
      <w:caps/>
      <w:sz w:val="20"/>
      <w:szCs w:val="20"/>
    </w:rPr>
  </w:style>
  <w:style w:type="character" w:customStyle="1" w:styleId="BodyTextMainChar">
    <w:name w:val="Body Text Main Char"/>
    <w:link w:val="BodyTextMain"/>
    <w:rPr>
      <w:rFonts w:ascii="Times New Roman" w:eastAsia="Times New Roman" w:hAnsi="Times New Roman" w:cs="Times New Roman"/>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MainTitleChar">
    <w:name w:val="MainTitle Char"/>
    <w:link w:val="MainTitle"/>
    <w:uiPriority w:val="99"/>
    <w:rPr>
      <w:rFonts w:ascii="Arial" w:hAnsi="Arial" w:cs="Arial"/>
      <w:b/>
      <w:bCs/>
      <w:caps/>
      <w:color w:val="000000"/>
      <w:sz w:val="28"/>
      <w:szCs w:val="28"/>
    </w:rPr>
  </w:style>
  <w:style w:type="character" w:customStyle="1" w:styleId="ExhibitNumberChar">
    <w:name w:val="Exhibit Number Char"/>
    <w:link w:val="ExhibitNumber"/>
    <w:rPr>
      <w:rFonts w:ascii="Arial" w:eastAsia="Times New Roman" w:hAnsi="Arial" w:cs="Arial"/>
      <w:b/>
      <w:sz w:val="20"/>
      <w:szCs w:val="20"/>
    </w:rPr>
  </w:style>
  <w:style w:type="character" w:customStyle="1" w:styleId="TeachingNoteTitleChar">
    <w:name w:val="Teaching Note Title Char"/>
    <w:link w:val="TeachingNoteTitle"/>
    <w:rPr>
      <w:rFonts w:ascii="Arial" w:hAnsi="Arial" w:cs="Arial"/>
      <w:b/>
      <w:bCs/>
      <w:caps/>
      <w:color w:val="000000"/>
      <w:sz w:val="28"/>
      <w:szCs w:val="28"/>
    </w:rPr>
  </w:style>
  <w:style w:type="character" w:customStyle="1" w:styleId="EndnoteTextChar">
    <w:name w:val="Endnote Text Char"/>
    <w:link w:val="EndnoteText"/>
    <w:uiPriority w:val="99"/>
    <w:semiHidden/>
    <w:rPr>
      <w:rFonts w:ascii="Times New Roman" w:eastAsia="Times New Roman" w:hAnsi="Times New Roman" w:cs="Times New Roman"/>
      <w:sz w:val="20"/>
      <w:szCs w:val="20"/>
    </w:rPr>
  </w:style>
  <w:style w:type="character" w:customStyle="1" w:styleId="HeaderChar">
    <w:name w:val="Header Char"/>
    <w:link w:val="Header"/>
    <w:uiPriority w:val="99"/>
    <w:rPr>
      <w:rFonts w:ascii="Times New Roman" w:eastAsia="Times New Roman" w:hAnsi="Times New Roman" w:cs="Times New Roman"/>
      <w:sz w:val="20"/>
      <w:szCs w:val="20"/>
    </w:rPr>
  </w:style>
  <w:style w:type="character" w:customStyle="1" w:styleId="CaseTitleChar">
    <w:name w:val="Case Title Char"/>
    <w:link w:val="CaseTitle"/>
    <w:rPr>
      <w:rFonts w:ascii="Arial" w:hAnsi="Arial" w:cs="Arial"/>
      <w:b/>
      <w:bCs/>
      <w:caps/>
      <w:color w:val="000000"/>
      <w:sz w:val="28"/>
      <w:szCs w:val="28"/>
    </w:rPr>
  </w:style>
  <w:style w:type="character" w:customStyle="1" w:styleId="CommentTextChar">
    <w:name w:val="Comment Text Char"/>
    <w:link w:val="CommentText"/>
    <w:rPr>
      <w:rFonts w:ascii="Times New Roman" w:eastAsia="Times New Roman" w:hAnsi="Times New Roman" w:cs="Times New Roman"/>
      <w:sz w:val="20"/>
      <w:szCs w:val="20"/>
    </w:rPr>
  </w:style>
  <w:style w:type="character" w:customStyle="1" w:styleId="Casehead3Char">
    <w:name w:val="Casehead 3 Char"/>
    <w:link w:val="Casehead3"/>
    <w:rPr>
      <w:rFonts w:ascii="Times New Roman" w:eastAsia="Times New Roman" w:hAnsi="Times New Roman" w:cs="Times New Roman"/>
      <w:b w:val="0"/>
      <w:caps w:val="0"/>
      <w:sz w:val="20"/>
      <w:szCs w:val="20"/>
      <w:u w:val="single"/>
    </w:rPr>
  </w:style>
  <w:style w:type="character" w:customStyle="1" w:styleId="ProductNumberChar">
    <w:name w:val="Product Number Char"/>
    <w:link w:val="ProductNumber"/>
    <w:rPr>
      <w:rFonts w:ascii="Arial" w:eastAsia="Times New Roman" w:hAnsi="Arial" w:cs="Times New Roman"/>
      <w:b/>
      <w:caps/>
      <w:sz w:val="24"/>
      <w:szCs w:val="20"/>
    </w:rPr>
  </w:style>
  <w:style w:type="character" w:customStyle="1" w:styleId="FootnoteChar">
    <w:name w:val="Footnote Char"/>
    <w:link w:val="Footnote"/>
    <w:rPr>
      <w:rFonts w:ascii="Arial" w:eastAsia="Times New Roman" w:hAnsi="Arial" w:cs="Arial"/>
      <w:sz w:val="17"/>
      <w:szCs w:val="17"/>
    </w:rPr>
  </w:style>
  <w:style w:type="character" w:customStyle="1" w:styleId="FooterChar">
    <w:name w:val="Footer Char"/>
    <w:link w:val="Footer"/>
    <w:uiPriority w:val="99"/>
    <w:rPr>
      <w:rFonts w:ascii="Times New Roman" w:eastAsia="Times New Roman" w:hAnsi="Times New Roman" w:cs="Times New Roman"/>
      <w:sz w:val="20"/>
      <w:szCs w:val="20"/>
    </w:rPr>
  </w:style>
  <w:style w:type="character" w:styleId="Strong">
    <w:name w:val="Strong"/>
    <w:uiPriority w:val="99"/>
    <w:qFormat/>
    <w:rPr>
      <w:b/>
      <w:bCs/>
    </w:rPr>
  </w:style>
  <w:style w:type="character" w:customStyle="1" w:styleId="FootnoteTextChar">
    <w:name w:val="Footnote Text Char"/>
    <w:link w:val="FootnoteText"/>
    <w:uiPriority w:val="99"/>
    <w:qFormat/>
    <w:rPr>
      <w:rFonts w:ascii="Times New Roman" w:eastAsia="Times New Roman" w:hAnsi="Times New Roman" w:cs="Times New Roman"/>
      <w:sz w:val="20"/>
      <w:szCs w:val="20"/>
    </w:rPr>
  </w:style>
  <w:style w:type="character" w:customStyle="1" w:styleId="PlainTextChar">
    <w:name w:val="Plain Text Char"/>
    <w:link w:val="PlainText"/>
    <w:uiPriority w:val="99"/>
    <w:rPr>
      <w:rFonts w:ascii="Consolas" w:eastAsia="Times New Roman" w:hAnsi="Consolas" w:cs="Consolas"/>
      <w:sz w:val="21"/>
      <w:szCs w:val="21"/>
      <w:lang w:eastAsia="zh-CN"/>
    </w:rPr>
  </w:style>
  <w:style w:type="character" w:customStyle="1" w:styleId="Casehead2Char">
    <w:name w:val="Casehead 2 Char"/>
    <w:link w:val="Casehead2"/>
    <w:rPr>
      <w:rFonts w:ascii="Arial" w:eastAsia="Times New Roman" w:hAnsi="Arial" w:cs="Arial"/>
      <w:b/>
      <w:caps w:val="0"/>
      <w:sz w:val="20"/>
      <w:szCs w:val="20"/>
    </w:rPr>
  </w:style>
  <w:style w:type="character" w:customStyle="1" w:styleId="Title1">
    <w:name w:val="Title1"/>
    <w:basedOn w:val="DefaultParagraphFont"/>
    <w:uiPriority w:val="99"/>
  </w:style>
  <w:style w:type="character" w:styleId="EndnoteReference">
    <w:name w:val="endnote reference"/>
    <w:uiPriority w:val="99"/>
    <w:unhideWhenUsed/>
    <w:rPr>
      <w:vertAlign w:val="superscript"/>
    </w:rPr>
  </w:style>
  <w:style w:type="character" w:styleId="Emphasis">
    <w:name w:val="Emphasis"/>
    <w:uiPriority w:val="99"/>
    <w:qFormat/>
    <w:rPr>
      <w:i/>
      <w:iCs/>
    </w:rPr>
  </w:style>
  <w:style w:type="character" w:styleId="Hyperlink">
    <w:name w:val="Hyperlink"/>
    <w:uiPriority w:val="99"/>
    <w:unhideWhenUsed/>
    <w:rPr>
      <w:color w:val="0000FF"/>
      <w:u w:val="single"/>
    </w:rPr>
  </w:style>
  <w:style w:type="character" w:styleId="CommentReference">
    <w:name w:val="annotation reference"/>
    <w:uiPriority w:val="99"/>
    <w:unhideWhenUsed/>
    <w:rPr>
      <w:sz w:val="16"/>
      <w:szCs w:val="16"/>
    </w:rPr>
  </w:style>
  <w:style w:type="character" w:styleId="FootnoteReference">
    <w:name w:val="footnote reference"/>
    <w:unhideWhenUsed/>
    <w:qFormat/>
    <w:rPr>
      <w:vertAlign w:val="superscript"/>
    </w:rPr>
  </w:style>
  <w:style w:type="character" w:customStyle="1" w:styleId="ExhibitTextChar">
    <w:name w:val="Exhibit Text Char"/>
    <w:link w:val="ExhibitText"/>
    <w:rPr>
      <w:rFonts w:ascii="Arial" w:eastAsia="Times New Roman" w:hAnsi="Arial" w:cs="Arial"/>
      <w:sz w:val="20"/>
      <w:szCs w:val="20"/>
    </w:rPr>
  </w:style>
  <w:style w:type="character" w:customStyle="1" w:styleId="BodyTextChar">
    <w:name w:val="Body Text Char"/>
    <w:link w:val="BodyText"/>
    <w:rPr>
      <w:rFonts w:ascii="Times New Roman" w:eastAsia="Times New Roman" w:hAnsi="Times New Roman" w:cs="Times New Roman"/>
      <w:sz w:val="20"/>
      <w:szCs w:val="20"/>
    </w:rPr>
  </w:style>
  <w:style w:type="character" w:customStyle="1" w:styleId="CommentSubjectChar">
    <w:name w:val="Comment Subject Char"/>
    <w:link w:val="CommentSubject"/>
    <w:uiPriority w:val="99"/>
    <w:semiHidden/>
    <w:rPr>
      <w:rFonts w:ascii="Times New Roman" w:eastAsia="Times New Roman" w:hAnsi="Times New Roman" w:cs="Times New Roman"/>
      <w:b/>
      <w:bCs/>
      <w:sz w:val="20"/>
      <w:szCs w:val="20"/>
    </w:rPr>
  </w:style>
  <w:style w:type="character" w:customStyle="1" w:styleId="apple-converted-space">
    <w:name w:val="apple-converted-space"/>
    <w:basedOn w:val="DefaultParagraphFont"/>
  </w:style>
  <w:style w:type="character" w:customStyle="1" w:styleId="Quotation3LinesChar">
    <w:name w:val="Quotation (3+ Lines) Char"/>
    <w:link w:val="Quotation3Lines"/>
    <w:rPr>
      <w:rFonts w:ascii="Times New Roman" w:eastAsia="Times New Roman" w:hAnsi="Times New Roman" w:cs="Times New Roman"/>
    </w:rPr>
  </w:style>
  <w:style w:type="paragraph" w:customStyle="1" w:styleId="CopyrightStatement">
    <w:name w:val="CopyrightStatement"/>
    <w:basedOn w:val="Normal"/>
    <w:uiPriority w:val="99"/>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Calibri" w:hAnsi="Arial" w:cs="Arial"/>
      <w:i/>
      <w:iCs/>
      <w:color w:val="000000"/>
      <w:sz w:val="16"/>
      <w:szCs w:val="16"/>
    </w:rPr>
  </w:style>
  <w:style w:type="paragraph" w:customStyle="1" w:styleId="StyleStyleCopyrightStatementAfter0ptBottomSinglesolid">
    <w:name w:val="Style Style CopyrightStatement + After:  0 pt Bottom: (Single solid..."/>
    <w:basedOn w:val="StyleCopyrightStatementAfter0ptBottomSinglesolidline1"/>
    <w:pPr>
      <w:pBdr>
        <w:top w:val="none" w:sz="0" w:space="0" w:color="auto"/>
      </w:pBdr>
    </w:pPr>
  </w:style>
  <w:style w:type="paragraph" w:styleId="EndnoteText">
    <w:name w:val="endnote text"/>
    <w:basedOn w:val="Normal"/>
    <w:link w:val="EndnoteTextChar"/>
    <w:uiPriority w:val="99"/>
    <w:unhideWhenUsed/>
  </w:style>
  <w:style w:type="paragraph" w:styleId="NormalWeb">
    <w:name w:val="Normal (Web)"/>
    <w:basedOn w:val="Normal"/>
    <w:uiPriority w:val="99"/>
    <w:semiHidden/>
    <w:pPr>
      <w:spacing w:before="100" w:beforeAutospacing="1" w:after="100" w:afterAutospacing="1"/>
    </w:pPr>
    <w:rPr>
      <w:rFonts w:ascii="PMingLiU" w:hAnsi="PMingLiU" w:cs="PMingLiU"/>
      <w:sz w:val="24"/>
      <w:szCs w:val="24"/>
      <w:lang w:eastAsia="zh-TW"/>
    </w:rPr>
  </w:style>
  <w:style w:type="paragraph" w:styleId="Header">
    <w:name w:val="header"/>
    <w:basedOn w:val="Normal"/>
    <w:link w:val="HeaderChar"/>
    <w:uiPriority w:val="99"/>
    <w:unhideWhenUsed/>
    <w:pPr>
      <w:tabs>
        <w:tab w:val="center" w:pos="4680"/>
        <w:tab w:val="right" w:pos="9360"/>
      </w:tabs>
    </w:p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paragraph" w:customStyle="1" w:styleId="MainTitle">
    <w:name w:val="MainTitle"/>
    <w:basedOn w:val="Normal"/>
    <w:link w:val="MainTitleChar"/>
    <w:uiPriority w:val="99"/>
    <w:pPr>
      <w:autoSpaceDE w:val="0"/>
      <w:autoSpaceDN w:val="0"/>
      <w:adjustRightInd w:val="0"/>
      <w:spacing w:after="576" w:line="288" w:lineRule="auto"/>
      <w:textAlignment w:val="center"/>
    </w:pPr>
    <w:rPr>
      <w:rFonts w:ascii="Arial" w:eastAsia="Calibri" w:hAnsi="Arial" w:cs="Arial"/>
      <w:b/>
      <w:bCs/>
      <w:caps/>
      <w:color w:val="000000"/>
      <w:sz w:val="28"/>
      <w:szCs w:val="28"/>
    </w:rPr>
  </w:style>
  <w:style w:type="paragraph" w:customStyle="1" w:styleId="StyleCopyrightStatementAfter0ptBottomSinglesolidline1">
    <w:name w:val="Style CopyrightStatement + After:  0 pt Bottom: (Single solid line...1"/>
    <w:basedOn w:val="CopyrightStatement"/>
    <w:pPr>
      <w:pBdr>
        <w:top w:val="single" w:sz="8" w:space="4" w:color="auto"/>
        <w:bottom w:val="none" w:sz="0" w:space="0" w:color="auto"/>
      </w:pBdr>
      <w:spacing w:after="0" w:line="240" w:lineRule="auto"/>
    </w:pPr>
    <w:rPr>
      <w:rFonts w:eastAsia="Times New Roman" w:cs="Times New Roman"/>
      <w:szCs w:val="20"/>
    </w:rPr>
  </w:style>
  <w:style w:type="paragraph" w:styleId="Footer">
    <w:name w:val="footer"/>
    <w:basedOn w:val="Normal"/>
    <w:link w:val="FooterChar"/>
    <w:uiPriority w:val="99"/>
    <w:unhideWhenUsed/>
    <w:pPr>
      <w:tabs>
        <w:tab w:val="center" w:pos="4680"/>
        <w:tab w:val="right" w:pos="9360"/>
      </w:tabs>
    </w:pPr>
  </w:style>
  <w:style w:type="paragraph" w:customStyle="1" w:styleId="Casehead4">
    <w:name w:val="Casehead 4"/>
    <w:basedOn w:val="Casehead3"/>
    <w:link w:val="Casehead4Char"/>
    <w:qFormat/>
    <w:rPr>
      <w:i/>
      <w:u w:val="none"/>
    </w:rPr>
  </w:style>
  <w:style w:type="paragraph" w:styleId="BodyText">
    <w:name w:val="Body Text"/>
    <w:basedOn w:val="Normal"/>
    <w:link w:val="BodyTextChar"/>
    <w:unhideWhenUsed/>
    <w:pPr>
      <w:spacing w:after="120"/>
    </w:pPr>
  </w:style>
  <w:style w:type="paragraph" w:styleId="PlainText">
    <w:name w:val="Plain Text"/>
    <w:basedOn w:val="Normal"/>
    <w:link w:val="PlainTextChar"/>
    <w:uiPriority w:val="99"/>
    <w:rPr>
      <w:rFonts w:ascii="Consolas" w:hAnsi="Consolas" w:cs="Consolas"/>
      <w:sz w:val="21"/>
      <w:szCs w:val="21"/>
      <w:lang w:eastAsia="zh-CN"/>
    </w:rPr>
  </w:style>
  <w:style w:type="paragraph" w:styleId="BalloonText">
    <w:name w:val="Balloon Text"/>
    <w:basedOn w:val="Normal"/>
    <w:link w:val="BalloonTextChar"/>
    <w:uiPriority w:val="99"/>
    <w:unhideWhenUsed/>
    <w:rPr>
      <w:rFonts w:ascii="Tahoma" w:hAnsi="Tahoma" w:cs="Tahoma"/>
      <w:sz w:val="16"/>
      <w:szCs w:val="16"/>
    </w:rPr>
  </w:style>
  <w:style w:type="paragraph" w:styleId="CommentText">
    <w:name w:val="annotation text"/>
    <w:basedOn w:val="Normal"/>
    <w:link w:val="CommentTextChar"/>
    <w:unhideWhenUsed/>
  </w:style>
  <w:style w:type="paragraph" w:customStyle="1" w:styleId="StyleCopyrightStatementAfter0ptBottomSinglesolidline">
    <w:name w:val="Style CopyrightStatement + After:  0 pt Bottom: (Single solid line..."/>
    <w:basedOn w:val="CopyrightStatement"/>
    <w:pPr>
      <w:pBdr>
        <w:bottom w:val="single" w:sz="8" w:space="1" w:color="auto"/>
      </w:pBdr>
      <w:spacing w:after="0" w:line="240" w:lineRule="auto"/>
    </w:pPr>
    <w:rPr>
      <w:rFonts w:eastAsia="Times New Roman" w:cs="Times New Roman"/>
      <w:szCs w:val="20"/>
    </w:rPr>
  </w:style>
  <w:style w:type="paragraph" w:customStyle="1" w:styleId="TeachingNoteTitle">
    <w:name w:val="Teaching Note Title"/>
    <w:basedOn w:val="CaseTitle"/>
    <w:link w:val="TeachingNoteTitleChar"/>
    <w:qFormat/>
    <w:pPr>
      <w:jc w:val="center"/>
    </w:pPr>
  </w:style>
  <w:style w:type="paragraph" w:styleId="Revision">
    <w:name w:val="Revision"/>
    <w:uiPriority w:val="99"/>
    <w:semiHidden/>
    <w:rPr>
      <w:rFonts w:eastAsia="Times New Roman" w:cs="Calibri"/>
      <w:sz w:val="22"/>
      <w:szCs w:val="22"/>
      <w:lang w:eastAsia="zh-CN"/>
    </w:rPr>
  </w:style>
  <w:style w:type="paragraph" w:customStyle="1" w:styleId="BodyTextMain">
    <w:name w:val="Body Text Main"/>
    <w:basedOn w:val="Normal"/>
    <w:link w:val="BodyTextMainChar"/>
    <w:qFormat/>
    <w:pPr>
      <w:jc w:val="both"/>
    </w:pPr>
    <w:rPr>
      <w:sz w:val="22"/>
      <w:szCs w:val="22"/>
    </w:rPr>
  </w:style>
  <w:style w:type="paragraph" w:styleId="CommentSubject">
    <w:name w:val="annotation subject"/>
    <w:basedOn w:val="CommentText"/>
    <w:next w:val="CommentText"/>
    <w:link w:val="CommentSubjectChar"/>
    <w:uiPriority w:val="99"/>
    <w:unhideWhenUsed/>
    <w:rPr>
      <w:b/>
      <w:bCs/>
    </w:rPr>
  </w:style>
  <w:style w:type="paragraph" w:customStyle="1" w:styleId="FootnoteText1">
    <w:name w:val="Footnote Text1"/>
    <w:basedOn w:val="Normal"/>
    <w:next w:val="BodyText"/>
    <w:uiPriority w:val="99"/>
    <w:pPr>
      <w:tabs>
        <w:tab w:val="left" w:pos="-1440"/>
        <w:tab w:val="left" w:pos="-720"/>
        <w:tab w:val="left" w:pos="1"/>
        <w:tab w:val="right" w:pos="9000"/>
      </w:tabs>
      <w:jc w:val="both"/>
    </w:pPr>
    <w:rPr>
      <w:rFonts w:ascii="Arial" w:hAnsi="Arial" w:cs="Arial"/>
      <w:i/>
      <w:iCs/>
      <w:sz w:val="17"/>
      <w:szCs w:val="17"/>
    </w:rPr>
  </w:style>
  <w:style w:type="paragraph" w:customStyle="1" w:styleId="ProductNumber">
    <w:name w:val="Product Number"/>
    <w:basedOn w:val="Normal"/>
    <w:link w:val="ProductNumberChar"/>
    <w:qFormat/>
    <w:pPr>
      <w:jc w:val="right"/>
    </w:pPr>
    <w:rPr>
      <w:rFonts w:ascii="Arial" w:hAnsi="Arial"/>
      <w:b/>
      <w:caps/>
      <w:sz w:val="24"/>
    </w:rPr>
  </w:style>
  <w:style w:type="paragraph" w:customStyle="1" w:styleId="ExhibitText">
    <w:name w:val="Exhibit Text"/>
    <w:basedOn w:val="BodyTextMain"/>
    <w:link w:val="ExhibitTextChar"/>
    <w:qFormat/>
    <w:rPr>
      <w:rFonts w:ascii="Arial" w:hAnsi="Arial" w:cs="Arial"/>
      <w:sz w:val="20"/>
      <w:szCs w:val="20"/>
    </w:rPr>
  </w:style>
  <w:style w:type="paragraph" w:customStyle="1" w:styleId="CaseTitle">
    <w:name w:val="Case Title"/>
    <w:basedOn w:val="MainTitle"/>
    <w:link w:val="CaseTitleChar"/>
    <w:qFormat/>
  </w:style>
  <w:style w:type="paragraph" w:styleId="FootnoteText">
    <w:name w:val="footnote text"/>
    <w:basedOn w:val="Normal"/>
    <w:link w:val="FootnoteTextChar"/>
    <w:uiPriority w:val="99"/>
    <w:unhideWhenUsed/>
    <w:qFormat/>
  </w:style>
  <w:style w:type="paragraph" w:customStyle="1" w:styleId="Footnote">
    <w:name w:val="Footnote"/>
    <w:basedOn w:val="FootnoteText"/>
    <w:link w:val="FootnoteChar"/>
    <w:qFormat/>
    <w:pPr>
      <w:jc w:val="both"/>
    </w:pPr>
    <w:rPr>
      <w:rFonts w:ascii="Arial" w:hAnsi="Arial" w:cs="Arial"/>
      <w:sz w:val="17"/>
      <w:szCs w:val="17"/>
    </w:rPr>
  </w:style>
  <w:style w:type="paragraph" w:customStyle="1" w:styleId="Quotation3Lines">
    <w:name w:val="Quotation (3+ Lines)"/>
    <w:basedOn w:val="BodyTextMain"/>
    <w:link w:val="Quotation3LinesChar"/>
    <w:qFormat/>
    <w:pPr>
      <w:ind w:left="720" w:right="720"/>
    </w:pPr>
  </w:style>
  <w:style w:type="paragraph" w:styleId="ListParagraph">
    <w:name w:val="List Paragraph"/>
    <w:basedOn w:val="Normal"/>
    <w:uiPriority w:val="34"/>
    <w:qFormat/>
    <w:pPr>
      <w:ind w:left="720"/>
      <w:contextualSpacing/>
      <w:jc w:val="both"/>
    </w:pPr>
    <w:rPr>
      <w:rFonts w:eastAsia="Calibri"/>
      <w:sz w:val="22"/>
      <w:szCs w:val="22"/>
    </w:rPr>
  </w:style>
  <w:style w:type="paragraph" w:customStyle="1" w:styleId="Casehead1">
    <w:name w:val="Casehead 1"/>
    <w:basedOn w:val="BodyTextMain"/>
    <w:link w:val="Casehead1Char"/>
    <w:qFormat/>
    <w:rPr>
      <w:rFonts w:ascii="Arial" w:hAnsi="Arial" w:cs="Arial"/>
      <w:b/>
      <w:caps/>
      <w:sz w:val="20"/>
      <w:szCs w:val="20"/>
    </w:rPr>
  </w:style>
  <w:style w:type="paragraph" w:customStyle="1" w:styleId="ExhibitHeading">
    <w:name w:val="Exhibit Heading"/>
    <w:basedOn w:val="BodyTextMain"/>
    <w:link w:val="ExhibitHeadingChar"/>
    <w:qFormat/>
    <w:pPr>
      <w:jc w:val="center"/>
    </w:pPr>
    <w:rPr>
      <w:rFonts w:ascii="Arial" w:hAnsi="Arial" w:cs="Arial"/>
      <w:b/>
      <w:caps/>
      <w:sz w:val="20"/>
      <w:szCs w:val="20"/>
    </w:rPr>
  </w:style>
  <w:style w:type="paragraph" w:customStyle="1" w:styleId="Casehead2">
    <w:name w:val="Casehead 2"/>
    <w:basedOn w:val="Casehead1"/>
    <w:link w:val="Casehead2Char"/>
    <w:qFormat/>
    <w:rPr>
      <w:caps w:val="0"/>
    </w:rPr>
  </w:style>
  <w:style w:type="table" w:styleId="TableGrid">
    <w:name w:val="Table Grid"/>
    <w:basedOn w:val="TableNormal"/>
    <w:uiPriority w:val="99"/>
    <w:rPr>
      <w:rFonts w:ascii="Calibri" w:eastAsia="Times New Roman" w:hAnsi="Calibri" w:cs="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s@ivey.c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veycas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C4E0991-F21E-419F-8BC2-860A31DA4D7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98A2AE9-F129-4571-9AD3-AA0280C5BE7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DC439-CB53-4196-B9E8-DF6974A6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2018-08-01T19:12:00Z</cp:lastPrinted>
  <dcterms:created xsi:type="dcterms:W3CDTF">2018-08-23T13:52:00Z</dcterms:created>
  <dcterms:modified xsi:type="dcterms:W3CDTF">2018-08-31T13:17:00Z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