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A5983" w14:textId="38A915D4" w:rsidR="00330D80" w:rsidRDefault="00A34BA3" w:rsidP="008467D5">
      <w:pPr>
        <w:pBdr>
          <w:bottom w:val="single" w:sz="18" w:space="1" w:color="auto"/>
        </w:pBdr>
        <w:tabs>
          <w:tab w:val="left" w:pos="-1440"/>
          <w:tab w:val="left" w:pos="-720"/>
          <w:tab w:val="left" w:pos="1"/>
        </w:tabs>
        <w:jc w:val="both"/>
        <w:rPr>
          <w:rFonts w:ascii="Arial" w:hAnsi="Arial"/>
          <w:b/>
          <w:noProof/>
          <w:sz w:val="24"/>
        </w:rPr>
      </w:pPr>
      <w:r w:rsidRPr="00A34BA3">
        <w:rPr>
          <w:rFonts w:ascii="Arial" w:hAnsi="Arial"/>
          <w:b/>
          <w:noProof/>
          <w:sz w:val="24"/>
          <w:lang w:val="en-US"/>
        </w:rPr>
        <w:drawing>
          <wp:inline distT="0" distB="0" distL="0" distR="0" wp14:anchorId="28FD003F" wp14:editId="0CFF493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FD8B0F6" w14:textId="4427FC3B" w:rsidR="00D75295" w:rsidRDefault="00A34BA3" w:rsidP="00EC35B5">
      <w:pPr>
        <w:pStyle w:val="ProductNumber"/>
        <w:outlineLvl w:val="0"/>
      </w:pPr>
      <w:r>
        <w:t>9B18M</w:t>
      </w:r>
      <w:r w:rsidR="008F6306">
        <w:t>126</w:t>
      </w:r>
    </w:p>
    <w:p w14:paraId="270993F4" w14:textId="77777777" w:rsidR="00D75295" w:rsidRPr="003D0BA1" w:rsidRDefault="00D75295" w:rsidP="00D75295">
      <w:pPr>
        <w:jc w:val="right"/>
        <w:rPr>
          <w:rFonts w:ascii="Arial" w:hAnsi="Arial"/>
          <w:b/>
          <w:sz w:val="28"/>
          <w:szCs w:val="28"/>
        </w:rPr>
      </w:pPr>
    </w:p>
    <w:p w14:paraId="357DAF2A" w14:textId="77777777" w:rsidR="00013360" w:rsidRPr="003D0BA1" w:rsidRDefault="00013360" w:rsidP="00D75295">
      <w:pPr>
        <w:jc w:val="right"/>
        <w:rPr>
          <w:rFonts w:ascii="Arial" w:hAnsi="Arial"/>
          <w:b/>
          <w:sz w:val="28"/>
          <w:szCs w:val="28"/>
        </w:rPr>
      </w:pPr>
    </w:p>
    <w:p w14:paraId="31B5A896" w14:textId="77777777" w:rsidR="00013360" w:rsidRDefault="00330D80" w:rsidP="00EC35B5">
      <w:pPr>
        <w:pStyle w:val="CaseTitle"/>
        <w:spacing w:after="0" w:line="240" w:lineRule="auto"/>
        <w:outlineLvl w:val="0"/>
        <w:rPr>
          <w:sz w:val="20"/>
          <w:szCs w:val="20"/>
        </w:rPr>
      </w:pPr>
      <w:r w:rsidRPr="00330D80">
        <w:rPr>
          <w:rFonts w:eastAsia="Times New Roman"/>
          <w:szCs w:val="20"/>
          <w:lang w:val="en-CA"/>
        </w:rPr>
        <w:t>Banff Aspen Lodge: Evolving the Business Strategy</w:t>
      </w:r>
    </w:p>
    <w:p w14:paraId="21116387" w14:textId="77777777" w:rsidR="00CA3976" w:rsidRDefault="00CA3976" w:rsidP="00013360">
      <w:pPr>
        <w:pStyle w:val="CaseTitle"/>
        <w:spacing w:after="0" w:line="240" w:lineRule="auto"/>
        <w:rPr>
          <w:sz w:val="20"/>
          <w:szCs w:val="20"/>
        </w:rPr>
      </w:pPr>
    </w:p>
    <w:p w14:paraId="3323EE23" w14:textId="77777777" w:rsidR="00013360" w:rsidRPr="00013360" w:rsidRDefault="00013360" w:rsidP="00013360">
      <w:pPr>
        <w:pStyle w:val="CaseTitle"/>
        <w:spacing w:after="0" w:line="240" w:lineRule="auto"/>
        <w:rPr>
          <w:sz w:val="20"/>
          <w:szCs w:val="20"/>
        </w:rPr>
      </w:pPr>
    </w:p>
    <w:p w14:paraId="0473821F" w14:textId="520A69B4" w:rsidR="00627C63" w:rsidRPr="00627C63" w:rsidRDefault="00226C43" w:rsidP="00627C63">
      <w:pPr>
        <w:pStyle w:val="StyleCopyrightStatementAfter0ptBottomSinglesolidline1"/>
      </w:pPr>
      <w:hyperlink r:id="rId9" w:history="1">
        <w:r w:rsidR="00330D80" w:rsidRPr="00330D80">
          <w:rPr>
            <w:rStyle w:val="Hyperlink"/>
            <w:color w:val="auto"/>
            <w:u w:val="none"/>
          </w:rPr>
          <w:t xml:space="preserve">Laurie </w:t>
        </w:r>
        <w:r w:rsidR="00397F63">
          <w:rPr>
            <w:rStyle w:val="Hyperlink"/>
            <w:color w:val="auto"/>
            <w:u w:val="none"/>
          </w:rPr>
          <w:t xml:space="preserve">George </w:t>
        </w:r>
        <w:proofErr w:type="spellStart"/>
        <w:r w:rsidR="00330D80" w:rsidRPr="00330D80">
          <w:rPr>
            <w:rStyle w:val="Hyperlink"/>
            <w:color w:val="auto"/>
            <w:u w:val="none"/>
          </w:rPr>
          <w:t>Busuttil</w:t>
        </w:r>
        <w:proofErr w:type="spellEnd"/>
      </w:hyperlink>
      <w:r w:rsidR="00330D80" w:rsidRPr="00330D80">
        <w:rPr>
          <w:color w:val="auto"/>
        </w:rPr>
        <w:t xml:space="preserve"> and </w:t>
      </w:r>
      <w:r w:rsidR="00330D80" w:rsidRPr="00330D80">
        <w:rPr>
          <w:color w:val="auto"/>
        </w:rPr>
        <w:tab/>
      </w:r>
      <w:r w:rsidR="00330D80" w:rsidRPr="00330D80">
        <w:t xml:space="preserve">Susan Van </w:t>
      </w:r>
      <w:proofErr w:type="spellStart"/>
      <w:r w:rsidR="00330D80" w:rsidRPr="00330D80">
        <w:t>Weelden</w:t>
      </w:r>
      <w:proofErr w:type="spellEnd"/>
      <w:r w:rsidR="00330D80" w:rsidRPr="00330D80">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5E5384B9" w14:textId="77777777" w:rsidR="00751E0B" w:rsidRDefault="00751E0B" w:rsidP="00751E0B">
      <w:pPr>
        <w:pStyle w:val="StyleCopyrightStatementAfter0ptBottomSinglesolidline1"/>
      </w:pPr>
    </w:p>
    <w:p w14:paraId="1380532C" w14:textId="77777777" w:rsidR="00A34BA3" w:rsidRPr="00E23AB7" w:rsidRDefault="00A34BA3" w:rsidP="00455BA9">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4517A684" w14:textId="7976480F" w:rsidR="00330D80" w:rsidRDefault="00330D80" w:rsidP="00751E0B">
      <w:pPr>
        <w:pStyle w:val="StyleCopyrightStatementAfter0ptBottomSinglesolidline1"/>
      </w:pPr>
    </w:p>
    <w:p w14:paraId="393E8FD2" w14:textId="393862B4" w:rsidR="00751E0B" w:rsidRDefault="00A34BA3" w:rsidP="00EC35B5">
      <w:pPr>
        <w:pStyle w:val="StyleStyleCopyrightStatementAfter0ptBottomSinglesolid"/>
        <w:outlineLvl w:val="0"/>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Pr>
          <w:rFonts w:cs="Arial"/>
          <w:szCs w:val="16"/>
          <w:lang w:val="en-CA"/>
        </w:rPr>
        <w:tab/>
      </w:r>
      <w:r w:rsidR="00751E0B">
        <w:t xml:space="preserve">Version: </w:t>
      </w:r>
      <w:r w:rsidR="003D0BA1">
        <w:t>20</w:t>
      </w:r>
      <w:r w:rsidR="00330D80">
        <w:t>18</w:t>
      </w:r>
      <w:r w:rsidR="001C7777">
        <w:t>-</w:t>
      </w:r>
      <w:r w:rsidR="00D03193">
        <w:t>0</w:t>
      </w:r>
      <w:r w:rsidR="00856F43">
        <w:t>8</w:t>
      </w:r>
      <w:r w:rsidR="00751E0B">
        <w:t>-</w:t>
      </w:r>
      <w:r w:rsidR="00226C43">
        <w:t>31</w:t>
      </w:r>
    </w:p>
    <w:p w14:paraId="3020394A" w14:textId="77777777" w:rsidR="00751E0B" w:rsidRPr="003B7EF2" w:rsidRDefault="00751E0B" w:rsidP="00751E0B">
      <w:pPr>
        <w:pStyle w:val="StyleCopyrightStatementAfter0ptBottomSinglesolidline1"/>
        <w:rPr>
          <w:rFonts w:ascii="Times New Roman" w:hAnsi="Times New Roman"/>
          <w:sz w:val="20"/>
        </w:rPr>
      </w:pPr>
    </w:p>
    <w:p w14:paraId="5F42A918" w14:textId="77777777" w:rsidR="004B632F" w:rsidRDefault="004B632F" w:rsidP="004B632F">
      <w:pPr>
        <w:pStyle w:val="StyleCopyrightStatementAfter0ptBottomSinglesolidline1"/>
        <w:rPr>
          <w:rFonts w:ascii="Times New Roman" w:hAnsi="Times New Roman"/>
          <w:sz w:val="20"/>
        </w:rPr>
      </w:pPr>
    </w:p>
    <w:p w14:paraId="1B5DD610" w14:textId="3964A722" w:rsidR="00330D80" w:rsidRPr="00A34BA3" w:rsidRDefault="00824D60" w:rsidP="00330D80">
      <w:pPr>
        <w:pStyle w:val="BodyTextMain"/>
        <w:rPr>
          <w:spacing w:val="-2"/>
          <w:kern w:val="22"/>
          <w:lang w:val="en-CA" w:eastAsia="en-CA"/>
        </w:rPr>
      </w:pPr>
      <w:r w:rsidRPr="00A34BA3">
        <w:rPr>
          <w:spacing w:val="-2"/>
          <w:kern w:val="22"/>
          <w:lang w:val="en-CA" w:eastAsia="en-CA"/>
        </w:rPr>
        <w:t>I</w:t>
      </w:r>
      <w:r w:rsidR="00330D80" w:rsidRPr="00A34BA3">
        <w:rPr>
          <w:spacing w:val="-2"/>
          <w:kern w:val="22"/>
          <w:lang w:val="en-CA" w:eastAsia="en-CA"/>
        </w:rPr>
        <w:t xml:space="preserve">n June 2013, Chris Barr, </w:t>
      </w:r>
      <w:r w:rsidR="003971C9" w:rsidRPr="00A34BA3">
        <w:rPr>
          <w:spacing w:val="-2"/>
          <w:kern w:val="22"/>
          <w:lang w:val="en-CA" w:eastAsia="en-CA"/>
        </w:rPr>
        <w:t>g</w:t>
      </w:r>
      <w:r w:rsidR="00330D80" w:rsidRPr="00A34BA3">
        <w:rPr>
          <w:spacing w:val="-2"/>
          <w:kern w:val="22"/>
          <w:lang w:val="en-CA" w:eastAsia="en-CA"/>
        </w:rPr>
        <w:t xml:space="preserve">eneral </w:t>
      </w:r>
      <w:r w:rsidR="003971C9" w:rsidRPr="00A34BA3">
        <w:rPr>
          <w:spacing w:val="-2"/>
          <w:kern w:val="22"/>
          <w:lang w:val="en-CA" w:eastAsia="en-CA"/>
        </w:rPr>
        <w:t>m</w:t>
      </w:r>
      <w:r w:rsidR="00330D80" w:rsidRPr="00A34BA3">
        <w:rPr>
          <w:spacing w:val="-2"/>
          <w:kern w:val="22"/>
          <w:lang w:val="en-CA" w:eastAsia="en-CA"/>
        </w:rPr>
        <w:t>anager of the Banff Aspen Lodge (</w:t>
      </w:r>
      <w:r w:rsidR="00F42A8E">
        <w:rPr>
          <w:spacing w:val="-2"/>
          <w:kern w:val="22"/>
          <w:lang w:val="en-CA" w:eastAsia="en-CA"/>
        </w:rPr>
        <w:t xml:space="preserve">the </w:t>
      </w:r>
      <w:r w:rsidR="00330D80" w:rsidRPr="00A34BA3">
        <w:rPr>
          <w:spacing w:val="-2"/>
          <w:kern w:val="22"/>
          <w:lang w:val="en-CA" w:eastAsia="en-CA"/>
        </w:rPr>
        <w:t xml:space="preserve">Aspen) in Alberta, Canada, sized up the prime corner space formerly occupied by a gift shop within the lobby of the hotel. Barr was eager to deliver on the hotel’s mission to provide every guest with an exceptional experience and wondered if he should add a new guest service to replace the gift shop. With high occupancy rates and no immediate pressure to add significantly to the hotel’s bottom line, Barr had the luxury of experimenting with complementary service offerings. However, he was concerned about potentially diverting critical resources from the core hotel business, and he had to work within the hotel’s footprint. </w:t>
      </w:r>
      <w:r w:rsidR="001E34C8">
        <w:rPr>
          <w:spacing w:val="-2"/>
          <w:kern w:val="22"/>
          <w:lang w:val="en-CA" w:eastAsia="en-CA"/>
        </w:rPr>
        <w:t>Barr wondered w</w:t>
      </w:r>
      <w:r w:rsidR="00330D80" w:rsidRPr="00A34BA3">
        <w:rPr>
          <w:spacing w:val="-2"/>
          <w:kern w:val="22"/>
          <w:lang w:val="en-CA" w:eastAsia="en-CA"/>
        </w:rPr>
        <w:t xml:space="preserve">hat </w:t>
      </w:r>
      <w:r w:rsidR="001E34C8">
        <w:rPr>
          <w:spacing w:val="-2"/>
          <w:kern w:val="22"/>
          <w:lang w:val="en-CA" w:eastAsia="en-CA"/>
        </w:rPr>
        <w:t xml:space="preserve">he </w:t>
      </w:r>
      <w:r w:rsidR="00330D80" w:rsidRPr="00A34BA3">
        <w:rPr>
          <w:spacing w:val="-2"/>
          <w:kern w:val="22"/>
          <w:lang w:val="en-CA" w:eastAsia="en-CA"/>
        </w:rPr>
        <w:t>should do with the space</w:t>
      </w:r>
      <w:r w:rsidR="001E34C8">
        <w:rPr>
          <w:spacing w:val="-2"/>
          <w:kern w:val="22"/>
          <w:lang w:val="en-CA" w:eastAsia="en-CA"/>
        </w:rPr>
        <w:t>.</w:t>
      </w:r>
      <w:r w:rsidR="00330D80" w:rsidRPr="00A34BA3">
        <w:rPr>
          <w:spacing w:val="-2"/>
          <w:kern w:val="22"/>
          <w:lang w:val="en-CA" w:eastAsia="en-CA"/>
        </w:rPr>
        <w:t xml:space="preserve"> Should he enhance the Aspen’s guest experience in new ways; if so, how? Should he instead focus his attention on developing new target markets and providing the best possible service to ensure repeat customers?</w:t>
      </w:r>
      <w:r w:rsidR="00397F63" w:rsidRPr="00A34BA3">
        <w:rPr>
          <w:spacing w:val="-2"/>
          <w:kern w:val="22"/>
          <w:lang w:val="en-CA" w:eastAsia="en-CA"/>
        </w:rPr>
        <w:t xml:space="preserve"> </w:t>
      </w:r>
    </w:p>
    <w:p w14:paraId="79E9DD34" w14:textId="77777777" w:rsidR="00330D80" w:rsidRDefault="00330D80" w:rsidP="00330D80">
      <w:pPr>
        <w:pStyle w:val="BodyTextMain"/>
        <w:rPr>
          <w:lang w:val="en-CA" w:eastAsia="en-CA"/>
        </w:rPr>
      </w:pPr>
    </w:p>
    <w:p w14:paraId="1BD81957" w14:textId="77777777" w:rsidR="00330D80" w:rsidRPr="00330D80" w:rsidRDefault="00330D80" w:rsidP="00330D80">
      <w:pPr>
        <w:pStyle w:val="BodyTextMain"/>
        <w:rPr>
          <w:lang w:val="en-CA" w:eastAsia="en-CA"/>
        </w:rPr>
      </w:pPr>
    </w:p>
    <w:p w14:paraId="4C50E56A" w14:textId="77777777" w:rsidR="00330D80" w:rsidRDefault="00330D80" w:rsidP="00EC35B5">
      <w:pPr>
        <w:pStyle w:val="Casehead1"/>
        <w:outlineLvl w:val="0"/>
        <w:rPr>
          <w:lang w:val="en-CA" w:eastAsia="en-CA"/>
        </w:rPr>
      </w:pPr>
      <w:r w:rsidRPr="00330D80">
        <w:rPr>
          <w:lang w:val="en-CA" w:eastAsia="en-CA"/>
        </w:rPr>
        <w:t>THE ACCOMMODATION INDUSTRY</w:t>
      </w:r>
    </w:p>
    <w:p w14:paraId="567DDFEF" w14:textId="77777777" w:rsidR="00330D80" w:rsidRPr="00330D80" w:rsidRDefault="00330D80" w:rsidP="00330D80">
      <w:pPr>
        <w:pStyle w:val="BodyTextMain"/>
        <w:rPr>
          <w:lang w:val="en-CA" w:eastAsia="en-CA"/>
        </w:rPr>
      </w:pPr>
    </w:p>
    <w:p w14:paraId="3604B827" w14:textId="77777777" w:rsidR="00330D80" w:rsidRDefault="00330D80" w:rsidP="00EC35B5">
      <w:pPr>
        <w:pStyle w:val="Casehead2"/>
        <w:outlineLvl w:val="0"/>
        <w:rPr>
          <w:lang w:val="en-CA" w:eastAsia="en-CA"/>
        </w:rPr>
      </w:pPr>
      <w:r w:rsidRPr="00330D80">
        <w:rPr>
          <w:lang w:val="en-CA" w:eastAsia="en-CA"/>
        </w:rPr>
        <w:t>Canadian Accommodation Industry</w:t>
      </w:r>
    </w:p>
    <w:p w14:paraId="6E199252" w14:textId="77777777" w:rsidR="00330D80" w:rsidRPr="00330D80" w:rsidRDefault="00330D80" w:rsidP="00330D80">
      <w:pPr>
        <w:pStyle w:val="BodyTextMain"/>
        <w:rPr>
          <w:lang w:val="en-CA" w:eastAsia="en-CA"/>
        </w:rPr>
      </w:pPr>
    </w:p>
    <w:p w14:paraId="1A663314" w14:textId="656C8D74" w:rsidR="00A34CC7" w:rsidRPr="00A34BA3" w:rsidRDefault="00330D80" w:rsidP="00330D80">
      <w:pPr>
        <w:pStyle w:val="BodyTextMain"/>
        <w:rPr>
          <w:spacing w:val="-2"/>
          <w:kern w:val="22"/>
          <w:lang w:val="en-CA" w:eastAsia="en-CA"/>
        </w:rPr>
      </w:pPr>
      <w:r w:rsidRPr="00A34BA3">
        <w:rPr>
          <w:spacing w:val="-2"/>
          <w:kern w:val="22"/>
          <w:lang w:val="en-CA" w:eastAsia="en-CA"/>
        </w:rPr>
        <w:t>Since 2010, the Canadian accommodation industry had been characterized by modest growth, with actual revenue increases of 7.8</w:t>
      </w:r>
      <w:r w:rsidR="00284FB7" w:rsidRPr="00A34BA3">
        <w:rPr>
          <w:spacing w:val="-2"/>
          <w:kern w:val="22"/>
          <w:lang w:val="en-CA" w:eastAsia="en-CA"/>
        </w:rPr>
        <w:t xml:space="preserve"> per cent</w:t>
      </w:r>
      <w:r w:rsidRPr="00A34BA3">
        <w:rPr>
          <w:spacing w:val="-2"/>
          <w:kern w:val="22"/>
          <w:lang w:val="en-CA" w:eastAsia="en-CA"/>
        </w:rPr>
        <w:t xml:space="preserve"> in 2010, 5.7</w:t>
      </w:r>
      <w:r w:rsidR="00284FB7" w:rsidRPr="00A34BA3">
        <w:rPr>
          <w:spacing w:val="-2"/>
          <w:kern w:val="22"/>
          <w:lang w:val="en-CA" w:eastAsia="en-CA"/>
        </w:rPr>
        <w:t xml:space="preserve"> per cent</w:t>
      </w:r>
      <w:r w:rsidRPr="00A34BA3">
        <w:rPr>
          <w:spacing w:val="-2"/>
          <w:kern w:val="22"/>
          <w:lang w:val="en-CA" w:eastAsia="en-CA"/>
        </w:rPr>
        <w:t xml:space="preserve"> in 2011, and 4.3</w:t>
      </w:r>
      <w:r w:rsidR="00284FB7" w:rsidRPr="00A34BA3">
        <w:rPr>
          <w:spacing w:val="-2"/>
          <w:kern w:val="22"/>
          <w:lang w:val="en-CA" w:eastAsia="en-CA"/>
        </w:rPr>
        <w:t xml:space="preserve"> per cent</w:t>
      </w:r>
      <w:r w:rsidRPr="00A34BA3">
        <w:rPr>
          <w:spacing w:val="-2"/>
          <w:kern w:val="22"/>
          <w:lang w:val="en-CA" w:eastAsia="en-CA"/>
        </w:rPr>
        <w:t xml:space="preserve"> in 2013. Forecasted revenue increases were 3.4</w:t>
      </w:r>
      <w:r w:rsidR="00284FB7" w:rsidRPr="00A34BA3">
        <w:rPr>
          <w:spacing w:val="-2"/>
          <w:kern w:val="22"/>
          <w:lang w:val="en-CA" w:eastAsia="en-CA"/>
        </w:rPr>
        <w:t xml:space="preserve"> per cent</w:t>
      </w:r>
      <w:r w:rsidRPr="00A34BA3">
        <w:rPr>
          <w:spacing w:val="-2"/>
          <w:kern w:val="22"/>
          <w:lang w:val="en-CA" w:eastAsia="en-CA"/>
        </w:rPr>
        <w:t xml:space="preserve"> in 2013 and ranged between 4.0</w:t>
      </w:r>
      <w:r w:rsidR="00284FB7" w:rsidRPr="00A34BA3">
        <w:rPr>
          <w:spacing w:val="-2"/>
          <w:kern w:val="22"/>
          <w:lang w:val="en-CA" w:eastAsia="en-CA"/>
        </w:rPr>
        <w:t xml:space="preserve"> per cent</w:t>
      </w:r>
      <w:r w:rsidRPr="00A34BA3">
        <w:rPr>
          <w:spacing w:val="-2"/>
          <w:kern w:val="22"/>
          <w:lang w:val="en-CA" w:eastAsia="en-CA"/>
        </w:rPr>
        <w:t xml:space="preserve"> and 4.2</w:t>
      </w:r>
      <w:r w:rsidR="00284FB7" w:rsidRPr="00A34BA3">
        <w:rPr>
          <w:spacing w:val="-2"/>
          <w:kern w:val="22"/>
          <w:lang w:val="en-CA" w:eastAsia="en-CA"/>
        </w:rPr>
        <w:t xml:space="preserve"> per cent</w:t>
      </w:r>
      <w:r w:rsidRPr="00A34BA3">
        <w:rPr>
          <w:spacing w:val="-2"/>
          <w:kern w:val="22"/>
          <w:lang w:val="en-CA" w:eastAsia="en-CA"/>
        </w:rPr>
        <w:t xml:space="preserve"> for 2014 through 2017. The Conference Board of Canada described profits as “healthy,” with an actual profit margin of 5.4</w:t>
      </w:r>
      <w:r w:rsidR="00284FB7" w:rsidRPr="00A34BA3">
        <w:rPr>
          <w:spacing w:val="-2"/>
          <w:kern w:val="22"/>
          <w:lang w:val="en-CA" w:eastAsia="en-CA"/>
        </w:rPr>
        <w:t xml:space="preserve"> per cent</w:t>
      </w:r>
      <w:r w:rsidRPr="00A34BA3">
        <w:rPr>
          <w:spacing w:val="-2"/>
          <w:kern w:val="22"/>
          <w:lang w:val="en-CA" w:eastAsia="en-CA"/>
        </w:rPr>
        <w:t xml:space="preserve"> in 2012, a forecasted profit margin of 6.1</w:t>
      </w:r>
      <w:r w:rsidR="00284FB7" w:rsidRPr="00A34BA3">
        <w:rPr>
          <w:spacing w:val="-2"/>
          <w:kern w:val="22"/>
          <w:lang w:val="en-CA" w:eastAsia="en-CA"/>
        </w:rPr>
        <w:t xml:space="preserve"> per cent</w:t>
      </w:r>
      <w:r w:rsidRPr="00A34BA3">
        <w:rPr>
          <w:spacing w:val="-2"/>
          <w:kern w:val="22"/>
          <w:lang w:val="en-CA" w:eastAsia="en-CA"/>
        </w:rPr>
        <w:t xml:space="preserve"> for 2013 that would return the industry to its pre-recession peak, and forecasted profit margins of between 5.5</w:t>
      </w:r>
      <w:r w:rsidR="00284FB7" w:rsidRPr="00A34BA3">
        <w:rPr>
          <w:spacing w:val="-2"/>
          <w:kern w:val="22"/>
          <w:lang w:val="en-CA" w:eastAsia="en-CA"/>
        </w:rPr>
        <w:t xml:space="preserve"> per cent</w:t>
      </w:r>
      <w:r w:rsidRPr="00A34BA3">
        <w:rPr>
          <w:spacing w:val="-2"/>
          <w:kern w:val="22"/>
          <w:lang w:val="en-CA" w:eastAsia="en-CA"/>
        </w:rPr>
        <w:t xml:space="preserve"> and 5.6</w:t>
      </w:r>
      <w:r w:rsidR="00284FB7" w:rsidRPr="00A34BA3">
        <w:rPr>
          <w:spacing w:val="-2"/>
          <w:kern w:val="22"/>
          <w:lang w:val="en-CA" w:eastAsia="en-CA"/>
        </w:rPr>
        <w:t xml:space="preserve"> per cent</w:t>
      </w:r>
      <w:r w:rsidRPr="00A34BA3">
        <w:rPr>
          <w:spacing w:val="-2"/>
          <w:kern w:val="22"/>
          <w:lang w:val="en-CA" w:eastAsia="en-CA"/>
        </w:rPr>
        <w:t xml:space="preserve"> </w:t>
      </w:r>
      <w:r w:rsidR="00F42A8E">
        <w:rPr>
          <w:spacing w:val="-2"/>
          <w:kern w:val="22"/>
          <w:lang w:val="en-CA" w:eastAsia="en-CA"/>
        </w:rPr>
        <w:t>for</w:t>
      </w:r>
      <w:r w:rsidR="00F42A8E" w:rsidRPr="00A34BA3">
        <w:rPr>
          <w:spacing w:val="-2"/>
          <w:kern w:val="22"/>
          <w:lang w:val="en-CA" w:eastAsia="en-CA"/>
        </w:rPr>
        <w:t xml:space="preserve"> </w:t>
      </w:r>
      <w:r w:rsidRPr="00A34BA3">
        <w:rPr>
          <w:spacing w:val="-2"/>
          <w:kern w:val="22"/>
          <w:lang w:val="en-CA" w:eastAsia="en-CA"/>
        </w:rPr>
        <w:t>2014 through 2017.</w:t>
      </w:r>
      <w:r w:rsidR="00A34CC7" w:rsidRPr="00A34BA3">
        <w:rPr>
          <w:rStyle w:val="EndnoteReference"/>
          <w:spacing w:val="-2"/>
          <w:kern w:val="22"/>
        </w:rPr>
        <w:endnoteReference w:id="1"/>
      </w:r>
      <w:r w:rsidR="00A34CC7" w:rsidRPr="00A34BA3">
        <w:rPr>
          <w:spacing w:val="-2"/>
          <w:kern w:val="22"/>
          <w:lang w:val="en-CA" w:eastAsia="en-CA"/>
        </w:rPr>
        <w:t xml:space="preserve"> </w:t>
      </w:r>
    </w:p>
    <w:p w14:paraId="7EB824FE" w14:textId="77777777" w:rsidR="00A34CC7" w:rsidRDefault="00A34CC7" w:rsidP="00330D80">
      <w:pPr>
        <w:pStyle w:val="BodyTextMain"/>
        <w:rPr>
          <w:lang w:val="en-CA" w:eastAsia="en-CA"/>
        </w:rPr>
      </w:pPr>
    </w:p>
    <w:p w14:paraId="660F520B" w14:textId="5DC236AB" w:rsidR="00A34CC7" w:rsidRDefault="00A34CC7" w:rsidP="00330D80">
      <w:pPr>
        <w:pStyle w:val="BodyTextMain"/>
        <w:rPr>
          <w:lang w:val="en-CA" w:eastAsia="en-CA"/>
        </w:rPr>
      </w:pPr>
      <w:r w:rsidRPr="00330D80">
        <w:rPr>
          <w:lang w:val="en-CA" w:eastAsia="en-CA"/>
        </w:rPr>
        <w:t xml:space="preserve">A key threat faced by the industry was Canada’s soft domestic economy, leading to “flat” demand from Canadian tourists. Although the </w:t>
      </w:r>
      <w:r>
        <w:rPr>
          <w:lang w:val="en-CA" w:eastAsia="en-CA"/>
        </w:rPr>
        <w:t>American</w:t>
      </w:r>
      <w:r w:rsidRPr="00330D80">
        <w:rPr>
          <w:lang w:val="en-CA" w:eastAsia="en-CA"/>
        </w:rPr>
        <w:t xml:space="preserve"> economy was improving, it was not leading to a significant increase in overnight visits to Canada, and austerity measures in Europe continued to dampen consumer spending. Therefore, the industry was looking to develop new markets.</w:t>
      </w:r>
    </w:p>
    <w:p w14:paraId="74CB4C61" w14:textId="77777777" w:rsidR="00A34CC7" w:rsidRPr="00330D80" w:rsidRDefault="00A34CC7" w:rsidP="00330D80">
      <w:pPr>
        <w:pStyle w:val="BodyTextMain"/>
        <w:rPr>
          <w:lang w:val="en-CA" w:eastAsia="en-CA"/>
        </w:rPr>
      </w:pPr>
    </w:p>
    <w:p w14:paraId="2C6FA044" w14:textId="0243536E" w:rsidR="00A34CC7" w:rsidRPr="00A34BA3" w:rsidRDefault="00A34CC7" w:rsidP="00330D80">
      <w:pPr>
        <w:pStyle w:val="BodyTextMain"/>
        <w:rPr>
          <w:spacing w:val="-4"/>
          <w:kern w:val="22"/>
          <w:lang w:val="en-CA" w:eastAsia="en-CA"/>
        </w:rPr>
      </w:pPr>
      <w:r w:rsidRPr="00A34BA3">
        <w:rPr>
          <w:spacing w:val="-4"/>
          <w:kern w:val="22"/>
        </w:rPr>
        <w:t>Residents from the United States contributed the most to Canada’s international tourism spending. Chinese travellers were next with</w:t>
      </w:r>
      <w:r w:rsidRPr="00A34BA3">
        <w:rPr>
          <w:spacing w:val="-4"/>
          <w:kern w:val="22"/>
          <w:lang w:val="en-CA" w:eastAsia="en-CA"/>
        </w:rPr>
        <w:t xml:space="preserve"> China being the third</w:t>
      </w:r>
      <w:r w:rsidR="001E34C8">
        <w:rPr>
          <w:spacing w:val="-4"/>
          <w:kern w:val="22"/>
          <w:lang w:val="en-CA" w:eastAsia="en-CA"/>
        </w:rPr>
        <w:t>-</w:t>
      </w:r>
      <w:r w:rsidRPr="00A34BA3">
        <w:rPr>
          <w:spacing w:val="-4"/>
          <w:kern w:val="22"/>
          <w:lang w:val="en-CA" w:eastAsia="en-CA"/>
        </w:rPr>
        <w:t>largest outbound tourism market in the world.</w:t>
      </w:r>
      <w:r w:rsidRPr="00A34BA3">
        <w:rPr>
          <w:rStyle w:val="EndnoteReference"/>
          <w:spacing w:val="-4"/>
          <w:kern w:val="22"/>
        </w:rPr>
        <w:endnoteReference w:id="2"/>
      </w:r>
      <w:r w:rsidRPr="00A34BA3">
        <w:rPr>
          <w:spacing w:val="-4"/>
          <w:kern w:val="22"/>
          <w:lang w:val="en-CA" w:eastAsia="en-CA"/>
        </w:rPr>
        <w:t xml:space="preserve"> In Canada, from 2010 through 2012, the number of visitors from China increased from 170,000 to 300,000, and increased again by another 20 per cent through the first half of 2013. The recently expanded air transport agreement between Canada and China was expected to continue to result in double-digit growth in the number of travellers from the </w:t>
      </w:r>
      <w:r w:rsidRPr="00A34BA3">
        <w:rPr>
          <w:spacing w:val="-4"/>
          <w:kern w:val="22"/>
          <w:lang w:val="en-CA" w:eastAsia="en-CA"/>
        </w:rPr>
        <w:lastRenderedPageBreak/>
        <w:t>Chinese mainland.</w:t>
      </w:r>
      <w:r w:rsidRPr="00A34BA3">
        <w:rPr>
          <w:rStyle w:val="EndnoteReference"/>
          <w:spacing w:val="-4"/>
          <w:kern w:val="22"/>
        </w:rPr>
        <w:endnoteReference w:id="3"/>
      </w:r>
      <w:r w:rsidRPr="00A34BA3">
        <w:rPr>
          <w:spacing w:val="-4"/>
          <w:kern w:val="22"/>
          <w:lang w:val="en-CA" w:eastAsia="en-CA"/>
        </w:rPr>
        <w:t xml:space="preserve"> A survey reported by the Canadian Tourism Commission in </w:t>
      </w:r>
      <w:r w:rsidRPr="00A34BA3">
        <w:rPr>
          <w:i/>
          <w:spacing w:val="-4"/>
          <w:kern w:val="22"/>
          <w:lang w:val="en-CA"/>
        </w:rPr>
        <w:t>Global Tourism Watch</w:t>
      </w:r>
      <w:r w:rsidRPr="00A34BA3">
        <w:rPr>
          <w:spacing w:val="-4"/>
          <w:kern w:val="22"/>
          <w:lang w:val="en-CA" w:eastAsia="en-CA"/>
        </w:rPr>
        <w:t xml:space="preserve"> predicted that China would become the largest tourism-generating market by 2020.</w:t>
      </w:r>
      <w:r w:rsidR="00824D60" w:rsidRPr="00A34BA3">
        <w:rPr>
          <w:rStyle w:val="EndnoteReference"/>
          <w:spacing w:val="-4"/>
          <w:kern w:val="22"/>
          <w:lang w:val="en-CA" w:eastAsia="en-CA"/>
        </w:rPr>
        <w:endnoteReference w:id="4"/>
      </w:r>
      <w:r w:rsidRPr="00A34BA3">
        <w:rPr>
          <w:spacing w:val="-4"/>
          <w:kern w:val="22"/>
          <w:lang w:val="en-CA" w:eastAsia="en-CA"/>
        </w:rPr>
        <w:t xml:space="preserve"> </w:t>
      </w:r>
    </w:p>
    <w:p w14:paraId="0AA42977" w14:textId="77777777" w:rsidR="00A34CC7" w:rsidRDefault="00A34CC7" w:rsidP="00330D80">
      <w:pPr>
        <w:pStyle w:val="BodyTextMain"/>
        <w:rPr>
          <w:lang w:val="en-CA" w:eastAsia="en-CA"/>
        </w:rPr>
      </w:pPr>
    </w:p>
    <w:p w14:paraId="363E2405" w14:textId="58E9BE94" w:rsidR="00A34CC7" w:rsidRDefault="00A34CC7" w:rsidP="00330D80">
      <w:pPr>
        <w:pStyle w:val="BodyTextMain"/>
        <w:rPr>
          <w:lang w:val="en-CA" w:eastAsia="en-CA"/>
        </w:rPr>
      </w:pPr>
      <w:r w:rsidRPr="00330D80">
        <w:rPr>
          <w:lang w:val="en-CA" w:eastAsia="en-CA"/>
        </w:rPr>
        <w:t>Long-haul travel was expected to grow from just under 14 million trips in 2011 to 20 million trips by 2015. An estimated 1.5 million long-haul travellers either planned to</w:t>
      </w:r>
      <w:r>
        <w:rPr>
          <w:lang w:val="en-CA" w:eastAsia="en-CA"/>
        </w:rPr>
        <w:t>,</w:t>
      </w:r>
      <w:r w:rsidRPr="00330D80">
        <w:rPr>
          <w:lang w:val="en-CA" w:eastAsia="en-CA"/>
        </w:rPr>
        <w:t xml:space="preserve"> or were likely to</w:t>
      </w:r>
      <w:r>
        <w:rPr>
          <w:lang w:val="en-CA" w:eastAsia="en-CA"/>
        </w:rPr>
        <w:t>,</w:t>
      </w:r>
      <w:r w:rsidRPr="00330D80">
        <w:rPr>
          <w:lang w:val="en-CA" w:eastAsia="en-CA"/>
        </w:rPr>
        <w:t xml:space="preserve"> visit Canada in the next two years, and 29</w:t>
      </w:r>
      <w:r>
        <w:rPr>
          <w:lang w:val="en-CA" w:eastAsia="en-CA"/>
        </w:rPr>
        <w:t xml:space="preserve"> per cent</w:t>
      </w:r>
      <w:r w:rsidRPr="00330D80">
        <w:rPr>
          <w:lang w:val="en-CA" w:eastAsia="en-CA"/>
        </w:rPr>
        <w:t xml:space="preserve"> of them (439,000) were likely to visit Alberta.</w:t>
      </w:r>
      <w:r w:rsidRPr="00EC35B5">
        <w:rPr>
          <w:rStyle w:val="EndnoteReference"/>
        </w:rPr>
        <w:endnoteReference w:id="5"/>
      </w:r>
    </w:p>
    <w:p w14:paraId="08F8942F" w14:textId="77777777" w:rsidR="00A34CC7" w:rsidRPr="00330D80" w:rsidRDefault="00A34CC7" w:rsidP="00330D80">
      <w:pPr>
        <w:pStyle w:val="BodyTextMain"/>
        <w:rPr>
          <w:lang w:val="en-CA" w:eastAsia="en-CA"/>
        </w:rPr>
      </w:pPr>
    </w:p>
    <w:p w14:paraId="435983AD" w14:textId="5FBCC90B" w:rsidR="00A34CC7" w:rsidRDefault="00A34CC7" w:rsidP="00330D80">
      <w:pPr>
        <w:pStyle w:val="BodyTextMain"/>
        <w:rPr>
          <w:lang w:val="en-CA" w:eastAsia="en-CA"/>
        </w:rPr>
      </w:pPr>
      <w:r w:rsidRPr="00330D80">
        <w:rPr>
          <w:lang w:val="en-CA" w:eastAsia="en-CA"/>
        </w:rPr>
        <w:t xml:space="preserve">Canada was perceived to be friendly and beautiful. It ranked highest among seven destination countries </w:t>
      </w:r>
      <w:r w:rsidR="0000444F">
        <w:rPr>
          <w:lang w:val="en-CA" w:eastAsia="en-CA"/>
        </w:rPr>
        <w:t>for product interest associations with</w:t>
      </w:r>
      <w:r w:rsidRPr="00330D80">
        <w:rPr>
          <w:lang w:val="en-CA" w:eastAsia="en-CA"/>
        </w:rPr>
        <w:t xml:space="preserve"> skiing and snowboarding</w:t>
      </w:r>
      <w:r w:rsidR="00A637FF">
        <w:rPr>
          <w:lang w:val="en-CA" w:eastAsia="en-CA"/>
        </w:rPr>
        <w:t xml:space="preserve"> and other winter activities. Fo</w:t>
      </w:r>
      <w:r w:rsidR="00550388">
        <w:rPr>
          <w:lang w:val="en-CA" w:eastAsia="en-CA"/>
        </w:rPr>
        <w:t>rty-one</w:t>
      </w:r>
      <w:r w:rsidR="00A637FF">
        <w:rPr>
          <w:lang w:val="en-CA" w:eastAsia="en-CA"/>
        </w:rPr>
        <w:t xml:space="preserve"> </w:t>
      </w:r>
      <w:r w:rsidR="0000444F">
        <w:rPr>
          <w:lang w:val="en-CA" w:eastAsia="en-CA"/>
        </w:rPr>
        <w:t>per cent of survey respondents associat</w:t>
      </w:r>
      <w:r w:rsidR="00A637FF">
        <w:rPr>
          <w:lang w:val="en-CA" w:eastAsia="en-CA"/>
        </w:rPr>
        <w:t>ed</w:t>
      </w:r>
      <w:r w:rsidR="0000444F">
        <w:rPr>
          <w:lang w:val="en-CA" w:eastAsia="en-CA"/>
        </w:rPr>
        <w:t xml:space="preserve"> Canada with </w:t>
      </w:r>
      <w:r w:rsidR="00A637FF">
        <w:rPr>
          <w:lang w:val="en-CA" w:eastAsia="en-CA"/>
        </w:rPr>
        <w:t xml:space="preserve">skiing and snowboarding and 46 per cent of survey respondents </w:t>
      </w:r>
      <w:r w:rsidR="00550388">
        <w:rPr>
          <w:lang w:val="en-CA" w:eastAsia="en-CA"/>
        </w:rPr>
        <w:t xml:space="preserve">associated Canada </w:t>
      </w:r>
      <w:r w:rsidR="00A637FF">
        <w:rPr>
          <w:lang w:val="en-CA" w:eastAsia="en-CA"/>
        </w:rPr>
        <w:t xml:space="preserve">with </w:t>
      </w:r>
      <w:r w:rsidRPr="00330D80">
        <w:rPr>
          <w:lang w:val="en-CA" w:eastAsia="en-CA"/>
        </w:rPr>
        <w:t>participating in other winter activities</w:t>
      </w:r>
      <w:r w:rsidR="00A637FF">
        <w:rPr>
          <w:lang w:val="en-CA" w:eastAsia="en-CA"/>
        </w:rPr>
        <w:t>.</w:t>
      </w:r>
      <w:r w:rsidR="0000444F">
        <w:rPr>
          <w:lang w:val="en-CA" w:eastAsia="en-CA"/>
        </w:rPr>
        <w:t xml:space="preserve"> However, </w:t>
      </w:r>
      <w:r w:rsidRPr="00330D80">
        <w:rPr>
          <w:lang w:val="en-CA" w:eastAsia="en-CA"/>
        </w:rPr>
        <w:t xml:space="preserve">these </w:t>
      </w:r>
      <w:r w:rsidR="0000444F">
        <w:rPr>
          <w:lang w:val="en-CA" w:eastAsia="en-CA"/>
        </w:rPr>
        <w:t>products</w:t>
      </w:r>
      <w:r w:rsidRPr="00330D80">
        <w:rPr>
          <w:lang w:val="en-CA" w:eastAsia="en-CA"/>
        </w:rPr>
        <w:t xml:space="preserve"> were of relatively low importance when choosing a destination</w:t>
      </w:r>
      <w:r w:rsidR="0000444F">
        <w:rPr>
          <w:lang w:val="en-CA" w:eastAsia="en-CA"/>
        </w:rPr>
        <w:t>,</w:t>
      </w:r>
      <w:r w:rsidRPr="00330D80">
        <w:rPr>
          <w:lang w:val="en-CA" w:eastAsia="en-CA"/>
        </w:rPr>
        <w:t xml:space="preserve"> </w:t>
      </w:r>
      <w:r w:rsidR="0000444F">
        <w:rPr>
          <w:lang w:val="en-CA" w:eastAsia="en-CA"/>
        </w:rPr>
        <w:t xml:space="preserve">with only 41 per cent of respondents always or often being interested in </w:t>
      </w:r>
      <w:r w:rsidR="00824D60">
        <w:rPr>
          <w:lang w:val="en-CA" w:eastAsia="en-CA"/>
        </w:rPr>
        <w:t xml:space="preserve">skiing </w:t>
      </w:r>
      <w:r w:rsidRPr="00330D80">
        <w:rPr>
          <w:lang w:val="en-CA" w:eastAsia="en-CA"/>
        </w:rPr>
        <w:t xml:space="preserve">and </w:t>
      </w:r>
      <w:r w:rsidR="00856F43">
        <w:rPr>
          <w:lang w:val="en-CA" w:eastAsia="en-CA"/>
        </w:rPr>
        <w:t>snowboarding</w:t>
      </w:r>
      <w:r w:rsidR="0000444F">
        <w:rPr>
          <w:lang w:val="en-CA" w:eastAsia="en-CA"/>
        </w:rPr>
        <w:t xml:space="preserve"> and 45 per cent of respondents always or often being interested in other winter activities</w:t>
      </w:r>
      <w:r w:rsidRPr="00330D80">
        <w:rPr>
          <w:lang w:val="en-CA" w:eastAsia="en-CA"/>
        </w:rPr>
        <w:t xml:space="preserve">. </w:t>
      </w:r>
      <w:r>
        <w:rPr>
          <w:lang w:val="en-CA" w:eastAsia="en-CA"/>
        </w:rPr>
        <w:t>Canada</w:t>
      </w:r>
      <w:r w:rsidRPr="00330D80">
        <w:rPr>
          <w:lang w:val="en-CA" w:eastAsia="en-CA"/>
        </w:rPr>
        <w:t xml:space="preserve"> ranked a close second behind Australia, for </w:t>
      </w:r>
      <w:r w:rsidR="0000444F">
        <w:rPr>
          <w:lang w:val="en-CA" w:eastAsia="en-CA"/>
        </w:rPr>
        <w:t xml:space="preserve">being associated with </w:t>
      </w:r>
      <w:r w:rsidRPr="00330D80">
        <w:rPr>
          <w:lang w:val="en-CA" w:eastAsia="en-CA"/>
        </w:rPr>
        <w:t>seeing beautiful scenery</w:t>
      </w:r>
      <w:r w:rsidR="0000444F">
        <w:rPr>
          <w:lang w:val="en-CA" w:eastAsia="en-CA"/>
        </w:rPr>
        <w:t xml:space="preserve"> (by 38 per cent of respondents). Seeing beautiful scenery </w:t>
      </w:r>
      <w:r w:rsidRPr="00330D80">
        <w:rPr>
          <w:lang w:val="en-CA" w:eastAsia="en-CA"/>
        </w:rPr>
        <w:t xml:space="preserve">was the most important </w:t>
      </w:r>
      <w:r w:rsidR="00A637FF">
        <w:rPr>
          <w:lang w:val="en-CA" w:eastAsia="en-CA"/>
        </w:rPr>
        <w:t>product interest</w:t>
      </w:r>
      <w:r w:rsidR="00A637FF" w:rsidRPr="00330D80">
        <w:rPr>
          <w:lang w:val="en-CA" w:eastAsia="en-CA"/>
        </w:rPr>
        <w:t xml:space="preserve"> </w:t>
      </w:r>
      <w:r w:rsidRPr="00330D80">
        <w:rPr>
          <w:lang w:val="en-CA" w:eastAsia="en-CA"/>
        </w:rPr>
        <w:t>when choosing a destination (</w:t>
      </w:r>
      <w:r w:rsidR="0000444F">
        <w:rPr>
          <w:lang w:val="en-CA" w:eastAsia="en-CA"/>
        </w:rPr>
        <w:t xml:space="preserve">with </w:t>
      </w:r>
      <w:r w:rsidRPr="00330D80">
        <w:rPr>
          <w:lang w:val="en-CA" w:eastAsia="en-CA"/>
        </w:rPr>
        <w:t>8</w:t>
      </w:r>
      <w:r w:rsidR="0000444F">
        <w:rPr>
          <w:lang w:val="en-CA" w:eastAsia="en-CA"/>
        </w:rPr>
        <w:t>6</w:t>
      </w:r>
      <w:r>
        <w:rPr>
          <w:lang w:val="en-CA" w:eastAsia="en-CA"/>
        </w:rPr>
        <w:t xml:space="preserve"> per cent</w:t>
      </w:r>
      <w:r w:rsidR="0000444F">
        <w:rPr>
          <w:lang w:val="en-CA" w:eastAsia="en-CA"/>
        </w:rPr>
        <w:t xml:space="preserve"> of respondents always or often being interested in this product</w:t>
      </w:r>
      <w:r w:rsidRPr="00330D80">
        <w:rPr>
          <w:lang w:val="en-CA" w:eastAsia="en-CA"/>
        </w:rPr>
        <w:t>).</w:t>
      </w:r>
      <w:r w:rsidRPr="00EC35B5">
        <w:rPr>
          <w:rStyle w:val="EndnoteReference"/>
        </w:rPr>
        <w:endnoteReference w:id="6"/>
      </w:r>
      <w:r w:rsidRPr="00330D80">
        <w:rPr>
          <w:lang w:val="en-CA" w:eastAsia="en-CA"/>
        </w:rPr>
        <w:t xml:space="preserve"> </w:t>
      </w:r>
    </w:p>
    <w:p w14:paraId="5C1D4AF4" w14:textId="77777777" w:rsidR="00A34CC7" w:rsidRPr="00330D80" w:rsidRDefault="00A34CC7" w:rsidP="00330D80">
      <w:pPr>
        <w:pStyle w:val="BodyTextMain"/>
        <w:rPr>
          <w:lang w:val="en-CA" w:eastAsia="en-CA"/>
        </w:rPr>
      </w:pPr>
    </w:p>
    <w:p w14:paraId="6AD15AF0" w14:textId="7F266173" w:rsidR="00A34CC7" w:rsidRDefault="00856F43" w:rsidP="00330D80">
      <w:pPr>
        <w:pStyle w:val="BodyTextMain"/>
        <w:rPr>
          <w:lang w:val="en-CA" w:eastAsia="en-CA"/>
        </w:rPr>
      </w:pPr>
      <w:r>
        <w:rPr>
          <w:lang w:val="en-CA" w:eastAsia="en-CA"/>
        </w:rPr>
        <w:t>K</w:t>
      </w:r>
      <w:r w:rsidR="00A34CC7" w:rsidRPr="00330D80">
        <w:rPr>
          <w:lang w:val="en-CA" w:eastAsia="en-CA"/>
        </w:rPr>
        <w:t>ey success factors for the accommodation industry included access to a multi-skilled and flexible workforce, being part of a franchised chain, and word-of-mouth recommendations.</w:t>
      </w:r>
      <w:r w:rsidR="00A34CC7" w:rsidRPr="00EC35B5">
        <w:rPr>
          <w:rStyle w:val="EndnoteReference"/>
        </w:rPr>
        <w:endnoteReference w:id="7"/>
      </w:r>
      <w:r w:rsidR="00A34CC7" w:rsidRPr="00330D80">
        <w:rPr>
          <w:lang w:val="en-CA" w:eastAsia="en-CA"/>
        </w:rPr>
        <w:t xml:space="preserve"> Close monitoring and managing of listings on online travel agencies such as Expedia and Hotwire</w:t>
      </w:r>
      <w:r w:rsidR="00A34CC7">
        <w:rPr>
          <w:lang w:val="en-CA" w:eastAsia="en-CA"/>
        </w:rPr>
        <w:t xml:space="preserve"> and with</w:t>
      </w:r>
      <w:r w:rsidR="00A34CC7" w:rsidRPr="00330D80">
        <w:rPr>
          <w:lang w:val="en-CA" w:eastAsia="en-CA"/>
        </w:rPr>
        <w:t xml:space="preserve"> metasearch engines such as TripAdvisor, Kayak, and </w:t>
      </w:r>
      <w:proofErr w:type="spellStart"/>
      <w:r w:rsidR="00A34CC7" w:rsidRPr="00330D80">
        <w:rPr>
          <w:lang w:val="en-CA" w:eastAsia="en-CA"/>
        </w:rPr>
        <w:t>Trivago</w:t>
      </w:r>
      <w:proofErr w:type="spellEnd"/>
      <w:r w:rsidR="00A34CC7" w:rsidRPr="00330D80">
        <w:rPr>
          <w:lang w:val="en-CA" w:eastAsia="en-CA"/>
        </w:rPr>
        <w:t xml:space="preserve"> were important given customer desires to read other users’ feedback.</w:t>
      </w:r>
      <w:r w:rsidR="00A34CC7" w:rsidRPr="00EC35B5">
        <w:rPr>
          <w:rStyle w:val="EndnoteReference"/>
        </w:rPr>
        <w:endnoteReference w:id="8"/>
      </w:r>
      <w:r w:rsidR="00A34CC7" w:rsidRPr="00330D80">
        <w:rPr>
          <w:lang w:val="en-CA" w:eastAsia="en-CA"/>
        </w:rPr>
        <w:t xml:space="preserve"> Being listed on online travel agencies significantly increased the number of reservations made directly on a hotel’s website.</w:t>
      </w:r>
      <w:r w:rsidR="00A34CC7" w:rsidRPr="00EC35B5">
        <w:rPr>
          <w:rStyle w:val="EndnoteReference"/>
        </w:rPr>
        <w:endnoteReference w:id="9"/>
      </w:r>
      <w:r w:rsidR="00A34CC7" w:rsidRPr="00330D80">
        <w:rPr>
          <w:lang w:val="en-CA" w:eastAsia="en-CA"/>
        </w:rPr>
        <w:t xml:space="preserve"> Such bookings were welcomed by a hotel because there was no need to pay commission to resellers.</w:t>
      </w:r>
    </w:p>
    <w:p w14:paraId="7C9AA364" w14:textId="77777777" w:rsidR="00A34CC7" w:rsidRPr="00330D80" w:rsidRDefault="00A34CC7" w:rsidP="00330D80">
      <w:pPr>
        <w:pStyle w:val="BodyTextMain"/>
        <w:rPr>
          <w:lang w:val="en-CA" w:eastAsia="en-CA"/>
        </w:rPr>
      </w:pPr>
    </w:p>
    <w:p w14:paraId="537B3D6C" w14:textId="62134D2A" w:rsidR="00A34CC7" w:rsidRDefault="00A34CC7" w:rsidP="00330D80">
      <w:pPr>
        <w:pStyle w:val="BodyTextMain"/>
        <w:rPr>
          <w:lang w:val="en-CA" w:eastAsia="en-CA"/>
        </w:rPr>
      </w:pPr>
      <w:r w:rsidRPr="00330D80">
        <w:rPr>
          <w:lang w:val="en-CA" w:eastAsia="en-CA"/>
        </w:rPr>
        <w:t>Canada’s top two hotel companies</w:t>
      </w:r>
      <w:r w:rsidR="00F42A8E">
        <w:rPr>
          <w:lang w:val="en-CA" w:eastAsia="en-CA"/>
        </w:rPr>
        <w:t xml:space="preserve"> at the time</w:t>
      </w:r>
      <w:r w:rsidRPr="00330D80">
        <w:rPr>
          <w:lang w:val="en-CA" w:eastAsia="en-CA"/>
        </w:rPr>
        <w:t xml:space="preserve">, Four Seasons Hotels and Resorts and Fairmont </w:t>
      </w:r>
      <w:r w:rsidR="00FB5B64">
        <w:rPr>
          <w:lang w:val="en-CA" w:eastAsia="en-CA"/>
        </w:rPr>
        <w:t xml:space="preserve">Raffles </w:t>
      </w:r>
      <w:r>
        <w:rPr>
          <w:lang w:val="en-CA" w:eastAsia="en-CA"/>
        </w:rPr>
        <w:t xml:space="preserve">Hotels </w:t>
      </w:r>
      <w:r w:rsidR="00FB5B64">
        <w:rPr>
          <w:lang w:val="en-CA" w:eastAsia="en-CA"/>
        </w:rPr>
        <w:t>International</w:t>
      </w:r>
      <w:r w:rsidRPr="00330D80">
        <w:rPr>
          <w:lang w:val="en-CA" w:eastAsia="en-CA"/>
        </w:rPr>
        <w:t>, were global players who dominated hotel revenue in Canada, with 24</w:t>
      </w:r>
      <w:r>
        <w:rPr>
          <w:lang w:val="en-CA" w:eastAsia="en-CA"/>
        </w:rPr>
        <w:t xml:space="preserve"> per cent</w:t>
      </w:r>
      <w:r w:rsidRPr="00330D80">
        <w:rPr>
          <w:lang w:val="en-CA" w:eastAsia="en-CA"/>
        </w:rPr>
        <w:t xml:space="preserve"> and 22</w:t>
      </w:r>
      <w:r>
        <w:rPr>
          <w:lang w:val="en-CA" w:eastAsia="en-CA"/>
        </w:rPr>
        <w:t xml:space="preserve"> per cent</w:t>
      </w:r>
      <w:r w:rsidR="00563ABA">
        <w:rPr>
          <w:lang w:val="en-CA" w:eastAsia="en-CA"/>
        </w:rPr>
        <w:t>,</w:t>
      </w:r>
      <w:r w:rsidRPr="00330D80">
        <w:rPr>
          <w:lang w:val="en-CA" w:eastAsia="en-CA"/>
        </w:rPr>
        <w:t xml:space="preserve"> respectively</w:t>
      </w:r>
      <w:r w:rsidR="00563ABA">
        <w:rPr>
          <w:lang w:val="en-CA" w:eastAsia="en-CA"/>
        </w:rPr>
        <w:t>,</w:t>
      </w:r>
      <w:r w:rsidRPr="00330D80">
        <w:rPr>
          <w:lang w:val="en-CA" w:eastAsia="en-CA"/>
        </w:rPr>
        <w:t xml:space="preserve"> of Canada’s 2011 national accommodation revenue</w:t>
      </w:r>
      <w:r>
        <w:rPr>
          <w:lang w:val="en-CA" w:eastAsia="en-CA"/>
        </w:rPr>
        <w:t xml:space="preserve"> of </w:t>
      </w:r>
      <w:r w:rsidRPr="00330D80">
        <w:rPr>
          <w:lang w:val="en-CA" w:eastAsia="en-CA"/>
        </w:rPr>
        <w:t>$16.4 billion</w:t>
      </w:r>
      <w:r>
        <w:rPr>
          <w:lang w:val="en-CA" w:eastAsia="en-CA"/>
        </w:rPr>
        <w:t>.</w:t>
      </w:r>
      <w:r>
        <w:rPr>
          <w:rStyle w:val="EndnoteReference"/>
          <w:lang w:val="en-CA" w:eastAsia="en-CA"/>
        </w:rPr>
        <w:endnoteReference w:id="10"/>
      </w:r>
      <w:r w:rsidRPr="00330D80">
        <w:rPr>
          <w:lang w:val="en-CA" w:eastAsia="en-CA"/>
        </w:rPr>
        <w:t xml:space="preserve"> The next eight</w:t>
      </w:r>
      <w:r w:rsidR="00563ABA">
        <w:rPr>
          <w:lang w:val="en-CA" w:eastAsia="en-CA"/>
        </w:rPr>
        <w:t>-</w:t>
      </w:r>
      <w:r w:rsidRPr="00330D80">
        <w:rPr>
          <w:lang w:val="en-CA" w:eastAsia="en-CA"/>
        </w:rPr>
        <w:t>largest hotel companies by revenue generated another 33</w:t>
      </w:r>
      <w:r>
        <w:rPr>
          <w:lang w:val="en-CA" w:eastAsia="en-CA"/>
        </w:rPr>
        <w:t xml:space="preserve"> per cent</w:t>
      </w:r>
      <w:r w:rsidRPr="00330D80">
        <w:rPr>
          <w:lang w:val="en-CA" w:eastAsia="en-CA"/>
        </w:rPr>
        <w:t xml:space="preserve"> of Canada’s 2011 national accommodation revenue. </w:t>
      </w:r>
      <w:r w:rsidR="00563ABA">
        <w:rPr>
          <w:lang w:val="en-CA" w:eastAsia="en-CA"/>
        </w:rPr>
        <w:t>T</w:t>
      </w:r>
      <w:r w:rsidRPr="00330D80">
        <w:rPr>
          <w:lang w:val="en-CA" w:eastAsia="en-CA"/>
        </w:rPr>
        <w:t>here</w:t>
      </w:r>
      <w:r w:rsidR="00563ABA">
        <w:rPr>
          <w:lang w:val="en-CA" w:eastAsia="en-CA"/>
        </w:rPr>
        <w:t>fore,</w:t>
      </w:r>
      <w:r w:rsidRPr="00330D80">
        <w:rPr>
          <w:lang w:val="en-CA" w:eastAsia="en-CA"/>
        </w:rPr>
        <w:t xml:space="preserve"> many small </w:t>
      </w:r>
      <w:r w:rsidR="00563ABA">
        <w:rPr>
          <w:lang w:val="en-CA" w:eastAsia="en-CA"/>
        </w:rPr>
        <w:t>companies competed</w:t>
      </w:r>
      <w:r w:rsidRPr="00330D80">
        <w:rPr>
          <w:lang w:val="en-CA" w:eastAsia="en-CA"/>
        </w:rPr>
        <w:t xml:space="preserve"> in the Canadian accommodation industry, where </w:t>
      </w:r>
      <w:r w:rsidR="00563ABA">
        <w:rPr>
          <w:lang w:val="en-CA" w:eastAsia="en-CA"/>
        </w:rPr>
        <w:t xml:space="preserve">in 2013, the </w:t>
      </w:r>
      <w:r w:rsidRPr="00330D80">
        <w:rPr>
          <w:lang w:val="en-CA" w:eastAsia="en-CA"/>
        </w:rPr>
        <w:t>occupancy rate</w:t>
      </w:r>
      <w:r w:rsidR="00563ABA">
        <w:rPr>
          <w:lang w:val="en-CA" w:eastAsia="en-CA"/>
        </w:rPr>
        <w:t xml:space="preserve"> wa</w:t>
      </w:r>
      <w:r w:rsidRPr="00330D80">
        <w:rPr>
          <w:lang w:val="en-CA" w:eastAsia="en-CA"/>
        </w:rPr>
        <w:t>s</w:t>
      </w:r>
      <w:r>
        <w:rPr>
          <w:lang w:val="en-CA" w:eastAsia="en-CA"/>
        </w:rPr>
        <w:t xml:space="preserve"> forecasted </w:t>
      </w:r>
      <w:r w:rsidR="00563ABA">
        <w:rPr>
          <w:lang w:val="en-CA" w:eastAsia="en-CA"/>
        </w:rPr>
        <w:t>at</w:t>
      </w:r>
      <w:r>
        <w:rPr>
          <w:lang w:val="en-CA" w:eastAsia="en-CA"/>
        </w:rPr>
        <w:t xml:space="preserve"> 63 per cent</w:t>
      </w:r>
      <w:r w:rsidR="00563ABA">
        <w:rPr>
          <w:lang w:val="en-CA" w:eastAsia="en-CA"/>
        </w:rPr>
        <w:t>,</w:t>
      </w:r>
      <w:r w:rsidRPr="00330D80">
        <w:rPr>
          <w:lang w:val="en-CA" w:eastAsia="en-CA"/>
        </w:rPr>
        <w:t xml:space="preserve"> </w:t>
      </w:r>
      <w:r w:rsidR="00563ABA">
        <w:rPr>
          <w:lang w:val="en-CA" w:eastAsia="en-CA"/>
        </w:rPr>
        <w:t xml:space="preserve">the </w:t>
      </w:r>
      <w:r w:rsidRPr="00330D80">
        <w:rPr>
          <w:lang w:val="en-CA" w:eastAsia="en-CA"/>
        </w:rPr>
        <w:t>average daily rate</w:t>
      </w:r>
      <w:r>
        <w:rPr>
          <w:lang w:val="en-CA" w:eastAsia="en-CA"/>
        </w:rPr>
        <w:t xml:space="preserve"> (ADR)</w:t>
      </w:r>
      <w:r w:rsidR="00563ABA">
        <w:rPr>
          <w:lang w:val="en-CA" w:eastAsia="en-CA"/>
        </w:rPr>
        <w:t xml:space="preserve"> at</w:t>
      </w:r>
      <w:r>
        <w:rPr>
          <w:lang w:val="en-CA" w:eastAsia="en-CA"/>
        </w:rPr>
        <w:t xml:space="preserve"> $133</w:t>
      </w:r>
      <w:r w:rsidR="00563ABA">
        <w:rPr>
          <w:lang w:val="en-CA" w:eastAsia="en-CA"/>
        </w:rPr>
        <w:t>,</w:t>
      </w:r>
      <w:r w:rsidRPr="00330D80">
        <w:rPr>
          <w:lang w:val="en-CA" w:eastAsia="en-CA"/>
        </w:rPr>
        <w:t xml:space="preserve"> and revenue per available room (RevPAR</w:t>
      </w:r>
      <w:r w:rsidR="00563ABA">
        <w:rPr>
          <w:lang w:val="en-CA" w:eastAsia="en-CA"/>
        </w:rPr>
        <w:t>)</w:t>
      </w:r>
      <w:r w:rsidRPr="00330D80">
        <w:rPr>
          <w:lang w:val="en-CA" w:eastAsia="en-CA"/>
        </w:rPr>
        <w:t xml:space="preserve"> </w:t>
      </w:r>
      <w:r w:rsidR="008F6306" w:rsidRPr="00330D80">
        <w:rPr>
          <w:color w:val="000000"/>
          <w:lang w:val="en-CA" w:eastAsia="en-CA"/>
        </w:rPr>
        <w:t>a</w:t>
      </w:r>
      <w:r w:rsidR="008F6306">
        <w:rPr>
          <w:color w:val="000000"/>
          <w:lang w:val="en-CA" w:eastAsia="en-CA"/>
        </w:rPr>
        <w:t>t</w:t>
      </w:r>
      <w:r w:rsidR="008F6306" w:rsidRPr="00330D80">
        <w:rPr>
          <w:color w:val="000000"/>
          <w:lang w:val="en-CA" w:eastAsia="en-CA"/>
        </w:rPr>
        <w:t xml:space="preserve"> </w:t>
      </w:r>
      <w:r w:rsidR="008F6306" w:rsidRPr="00330D80">
        <w:rPr>
          <w:lang w:val="en-CA" w:eastAsia="en-CA"/>
        </w:rPr>
        <w:t>$</w:t>
      </w:r>
      <w:r w:rsidRPr="00330D80">
        <w:rPr>
          <w:lang w:val="en-CA" w:eastAsia="en-CA"/>
        </w:rPr>
        <w:t>83.</w:t>
      </w:r>
      <w:r w:rsidRPr="00EC35B5">
        <w:rPr>
          <w:rStyle w:val="EndnoteReference"/>
        </w:rPr>
        <w:endnoteReference w:id="11"/>
      </w:r>
      <w:r w:rsidR="00563ABA">
        <w:rPr>
          <w:lang w:val="en-CA" w:eastAsia="en-CA"/>
        </w:rPr>
        <w:t xml:space="preserve"> The RevPAR was a </w:t>
      </w:r>
      <w:r w:rsidR="00563ABA" w:rsidRPr="00330D80">
        <w:rPr>
          <w:color w:val="000000"/>
          <w:lang w:val="en-CA" w:eastAsia="en-CA"/>
        </w:rPr>
        <w:t>performance metric calculated by multiplying a hotel’s ADR by its occupancy rate</w:t>
      </w:r>
      <w:r w:rsidR="00563ABA">
        <w:rPr>
          <w:color w:val="000000"/>
          <w:lang w:val="en-CA" w:eastAsia="en-CA"/>
        </w:rPr>
        <w:t>.</w:t>
      </w:r>
    </w:p>
    <w:p w14:paraId="39F02915" w14:textId="77777777" w:rsidR="00A34CC7" w:rsidRDefault="00A34CC7" w:rsidP="00330D80">
      <w:pPr>
        <w:pStyle w:val="BodyTextMain"/>
        <w:rPr>
          <w:lang w:val="en-CA" w:eastAsia="en-CA"/>
        </w:rPr>
      </w:pPr>
    </w:p>
    <w:p w14:paraId="4D64E418" w14:textId="77777777" w:rsidR="00A34CC7" w:rsidRPr="00330D80" w:rsidRDefault="00A34CC7" w:rsidP="00330D80">
      <w:pPr>
        <w:pStyle w:val="BodyTextMain"/>
        <w:rPr>
          <w:lang w:val="en-CA" w:eastAsia="en-CA"/>
        </w:rPr>
      </w:pPr>
    </w:p>
    <w:p w14:paraId="328F41EA" w14:textId="77777777" w:rsidR="00A34CC7" w:rsidRDefault="00A34CC7" w:rsidP="00EC35B5">
      <w:pPr>
        <w:pStyle w:val="Casehead2"/>
        <w:outlineLvl w:val="0"/>
        <w:rPr>
          <w:lang w:val="en-CA" w:eastAsia="en-CA"/>
        </w:rPr>
      </w:pPr>
      <w:r w:rsidRPr="00330D80">
        <w:rPr>
          <w:lang w:val="en-CA" w:eastAsia="en-CA"/>
        </w:rPr>
        <w:t>Alberta Accommodation Industry</w:t>
      </w:r>
    </w:p>
    <w:p w14:paraId="3CE075A4" w14:textId="77777777" w:rsidR="00A34CC7" w:rsidRPr="00330D80" w:rsidRDefault="00A34CC7" w:rsidP="00330D80">
      <w:pPr>
        <w:pStyle w:val="BodyTextMain"/>
        <w:rPr>
          <w:lang w:val="en-CA" w:eastAsia="en-CA"/>
        </w:rPr>
      </w:pPr>
    </w:p>
    <w:p w14:paraId="517AE7D2" w14:textId="1E1DFC5E" w:rsidR="00A34CC7" w:rsidRPr="00330D80" w:rsidRDefault="00A34CC7" w:rsidP="00330D80">
      <w:pPr>
        <w:pStyle w:val="BodyTextMain"/>
        <w:rPr>
          <w:lang w:val="en-CA" w:eastAsia="en-CA"/>
        </w:rPr>
      </w:pPr>
      <w:r w:rsidRPr="00330D80">
        <w:rPr>
          <w:lang w:val="en-CA" w:eastAsia="en-CA"/>
        </w:rPr>
        <w:t>Western Canada was projected to lead the country</w:t>
      </w:r>
      <w:r>
        <w:rPr>
          <w:lang w:val="en-CA" w:eastAsia="en-CA"/>
        </w:rPr>
        <w:t>’s accommodation market</w:t>
      </w:r>
      <w:r w:rsidRPr="00330D80">
        <w:rPr>
          <w:lang w:val="en-CA" w:eastAsia="en-CA"/>
        </w:rPr>
        <w:t>, with 2013 forecasts of 64</w:t>
      </w:r>
      <w:r>
        <w:rPr>
          <w:lang w:val="en-CA" w:eastAsia="en-CA"/>
        </w:rPr>
        <w:t xml:space="preserve"> per cent</w:t>
      </w:r>
      <w:r w:rsidRPr="00330D80">
        <w:rPr>
          <w:lang w:val="en-CA" w:eastAsia="en-CA"/>
        </w:rPr>
        <w:t xml:space="preserve"> occupancy rates, $136 </w:t>
      </w:r>
      <w:r>
        <w:rPr>
          <w:lang w:val="en-CA" w:eastAsia="en-CA"/>
        </w:rPr>
        <w:t>ADR</w:t>
      </w:r>
      <w:r w:rsidRPr="00330D80">
        <w:rPr>
          <w:lang w:val="en-CA" w:eastAsia="en-CA"/>
        </w:rPr>
        <w:t xml:space="preserve">, and $87 </w:t>
      </w:r>
      <w:r>
        <w:rPr>
          <w:lang w:val="en-CA" w:eastAsia="en-CA"/>
        </w:rPr>
        <w:t>RevPAR</w:t>
      </w:r>
      <w:r w:rsidRPr="00330D80">
        <w:rPr>
          <w:lang w:val="en-CA" w:eastAsia="en-CA"/>
        </w:rPr>
        <w:t>.</w:t>
      </w:r>
      <w:r w:rsidRPr="00EC35B5">
        <w:rPr>
          <w:rStyle w:val="EndnoteReference"/>
        </w:rPr>
        <w:endnoteReference w:id="12"/>
      </w:r>
      <w:r w:rsidRPr="00330D80">
        <w:rPr>
          <w:lang w:val="en-CA" w:eastAsia="en-CA"/>
        </w:rPr>
        <w:t xml:space="preserve"> From January to June 2013, Alberta had posted the second</w:t>
      </w:r>
      <w:r w:rsidR="00563ABA">
        <w:rPr>
          <w:lang w:val="en-CA" w:eastAsia="en-CA"/>
        </w:rPr>
        <w:t>-</w:t>
      </w:r>
      <w:r w:rsidRPr="00330D80">
        <w:rPr>
          <w:lang w:val="en-CA" w:eastAsia="en-CA"/>
        </w:rPr>
        <w:t>highest growth in room demand in Canada, at close to 4</w:t>
      </w:r>
      <w:r>
        <w:rPr>
          <w:lang w:val="en-CA" w:eastAsia="en-CA"/>
        </w:rPr>
        <w:t xml:space="preserve"> per cent</w:t>
      </w:r>
      <w:r w:rsidRPr="00330D80">
        <w:rPr>
          <w:lang w:val="en-CA" w:eastAsia="en-CA"/>
        </w:rPr>
        <w:t>.</w:t>
      </w:r>
      <w:r w:rsidRPr="00EC35B5">
        <w:rPr>
          <w:rStyle w:val="EndnoteReference"/>
        </w:rPr>
        <w:endnoteReference w:id="13"/>
      </w:r>
    </w:p>
    <w:p w14:paraId="731C4990" w14:textId="4257AA87" w:rsidR="00A34CC7" w:rsidRDefault="00A34CC7" w:rsidP="003B5A7D">
      <w:pPr>
        <w:pStyle w:val="BodyTextMain"/>
        <w:spacing w:before="240"/>
        <w:rPr>
          <w:lang w:val="en-CA" w:eastAsia="en-CA"/>
        </w:rPr>
      </w:pPr>
      <w:r w:rsidRPr="00330D80">
        <w:rPr>
          <w:lang w:val="en-CA" w:eastAsia="en-CA"/>
        </w:rPr>
        <w:t>The Alberta accommodation industry was highly dependent on tourism. During 2012, visitors spent approximately 46.1 million nights in Alberta, with 13.778 million nights spent in hotels, motels, resorts, cottages, bed and breakfasts, and other commercial roofed properties. Of the 13.778 million person nights, 5.519 million were spent by Albertans, 4.315 million were spent by other Canadians, 1.955 million were spent by Americans, and 1.989 million were spent by overseas visitors. Overseas visitors had the longest average stay, at 11.7 nights, followed by American visitors with an average of 5 nights. Visitors from within Canada stayed between 2.4 nights per visit (</w:t>
      </w:r>
      <w:r w:rsidR="00E24A6A">
        <w:rPr>
          <w:lang w:val="en-CA" w:eastAsia="en-CA"/>
        </w:rPr>
        <w:t xml:space="preserve">from </w:t>
      </w:r>
      <w:r w:rsidRPr="00330D80">
        <w:rPr>
          <w:lang w:val="en-CA" w:eastAsia="en-CA"/>
        </w:rPr>
        <w:t>Alberta) and 5.1 nights per visit (</w:t>
      </w:r>
      <w:r w:rsidR="00E24A6A">
        <w:rPr>
          <w:lang w:val="en-CA" w:eastAsia="en-CA"/>
        </w:rPr>
        <w:t xml:space="preserve">from </w:t>
      </w:r>
      <w:r w:rsidRPr="00330D80">
        <w:rPr>
          <w:lang w:val="en-CA" w:eastAsia="en-CA"/>
        </w:rPr>
        <w:t>Ontario).</w:t>
      </w:r>
      <w:r w:rsidRPr="00EC35B5">
        <w:rPr>
          <w:rStyle w:val="EndnoteReference"/>
        </w:rPr>
        <w:endnoteReference w:id="14"/>
      </w:r>
    </w:p>
    <w:p w14:paraId="372B36E8" w14:textId="77777777" w:rsidR="00A34CC7" w:rsidRDefault="00A34CC7" w:rsidP="00EC35B5">
      <w:pPr>
        <w:pStyle w:val="Casehead2"/>
        <w:outlineLvl w:val="0"/>
        <w:rPr>
          <w:lang w:val="en-CA" w:eastAsia="en-CA"/>
        </w:rPr>
      </w:pPr>
      <w:r w:rsidRPr="00330D80">
        <w:rPr>
          <w:lang w:val="en-CA" w:eastAsia="en-CA"/>
        </w:rPr>
        <w:lastRenderedPageBreak/>
        <w:t>Tourism and Accommodation in the Canadian Rockies and the Banff Region</w:t>
      </w:r>
    </w:p>
    <w:p w14:paraId="0FE624E5" w14:textId="77777777" w:rsidR="00A34CC7" w:rsidRPr="00330D80" w:rsidRDefault="00A34CC7" w:rsidP="00330D80">
      <w:pPr>
        <w:pStyle w:val="BodyTextMain"/>
        <w:rPr>
          <w:lang w:val="en-CA" w:eastAsia="en-CA"/>
        </w:rPr>
      </w:pPr>
    </w:p>
    <w:p w14:paraId="0B222B07" w14:textId="77777777" w:rsidR="00A34CC7" w:rsidRPr="008F6306" w:rsidRDefault="00A34CC7" w:rsidP="00330D80">
      <w:pPr>
        <w:pStyle w:val="BodyTextMain"/>
        <w:rPr>
          <w:lang w:val="en-CA" w:eastAsia="en-CA"/>
        </w:rPr>
      </w:pPr>
      <w:r w:rsidRPr="008F6306">
        <w:rPr>
          <w:lang w:val="en-CA" w:eastAsia="en-CA"/>
        </w:rPr>
        <w:t>Travel to the Canadian Rockies had fluctuated between 2010 and 2012, with 3.208 million person-visits in 2010, 4.376 million in 2011, and 4.271 million in 2012 (see Exhibit 1). The highest per-person spending on accommodation, food, and beverage came from overseas visitors and other Canadian visitors (non-Albertans).</w:t>
      </w:r>
      <w:r w:rsidRPr="008F6306">
        <w:rPr>
          <w:rStyle w:val="EndnoteReference"/>
        </w:rPr>
        <w:endnoteReference w:id="15"/>
      </w:r>
      <w:r w:rsidRPr="008F6306">
        <w:rPr>
          <w:lang w:val="en-CA" w:eastAsia="en-CA"/>
        </w:rPr>
        <w:t xml:space="preserve"> </w:t>
      </w:r>
    </w:p>
    <w:p w14:paraId="38D96A1C" w14:textId="77777777" w:rsidR="00A34CC7" w:rsidRPr="00330D80" w:rsidRDefault="00A34CC7" w:rsidP="00330D80">
      <w:pPr>
        <w:pStyle w:val="BodyTextMain"/>
        <w:rPr>
          <w:lang w:val="en-CA" w:eastAsia="en-CA"/>
        </w:rPr>
      </w:pPr>
    </w:p>
    <w:p w14:paraId="07C8815A" w14:textId="7D3F5BA0" w:rsidR="00A34CC7" w:rsidRPr="00A34BA3" w:rsidRDefault="00A34CC7" w:rsidP="00330D80">
      <w:pPr>
        <w:pStyle w:val="BodyTextMain"/>
        <w:rPr>
          <w:spacing w:val="-2"/>
          <w:kern w:val="22"/>
          <w:lang w:val="en-CA" w:eastAsia="en-CA"/>
        </w:rPr>
      </w:pPr>
      <w:r w:rsidRPr="00A34BA3">
        <w:rPr>
          <w:spacing w:val="-2"/>
          <w:kern w:val="22"/>
          <w:lang w:val="en-CA" w:eastAsia="en-CA"/>
        </w:rPr>
        <w:t>The 4.271 million person-visits in 2012 yielded 2.14 million overnight visits. Residents of Calgary and Edmonton comprised the largest group of overnight visitors, at 23 per cent and 15 per cent, but the region was also a popular overnight spot for visitors from Europe (11 per cent) and the Asia Pacific region (8 per cent).</w:t>
      </w:r>
      <w:r w:rsidRPr="00A34BA3">
        <w:rPr>
          <w:rStyle w:val="EndnoteReference"/>
          <w:spacing w:val="-2"/>
          <w:kern w:val="22"/>
        </w:rPr>
        <w:endnoteReference w:id="16"/>
      </w:r>
    </w:p>
    <w:p w14:paraId="3217109E" w14:textId="77777777" w:rsidR="00A34CC7" w:rsidRPr="00330D80" w:rsidRDefault="00A34CC7" w:rsidP="00330D80">
      <w:pPr>
        <w:pStyle w:val="BodyTextMain"/>
        <w:rPr>
          <w:lang w:val="en-CA" w:eastAsia="en-CA"/>
        </w:rPr>
      </w:pPr>
    </w:p>
    <w:p w14:paraId="39E55CB5" w14:textId="3835D53C" w:rsidR="00A34CC7" w:rsidRPr="00330D80" w:rsidRDefault="00A34CC7" w:rsidP="00330D80">
      <w:pPr>
        <w:pStyle w:val="BodyTextMain"/>
        <w:rPr>
          <w:color w:val="000000"/>
          <w:lang w:val="en-CA" w:eastAsia="en-CA"/>
        </w:rPr>
      </w:pPr>
      <w:r w:rsidRPr="00330D80">
        <w:rPr>
          <w:lang w:val="en-CA" w:eastAsia="en-CA"/>
        </w:rPr>
        <w:t>T</w:t>
      </w:r>
      <w:r w:rsidRPr="00330D80">
        <w:rPr>
          <w:color w:val="000000"/>
          <w:lang w:val="en-CA" w:eastAsia="en-CA"/>
        </w:rPr>
        <w:t xml:space="preserve">he dramatic increase in outbound Chinese travellers was attracting attention from the ski industry worldwide, including in Canada. According to a 2011 survey </w:t>
      </w:r>
      <w:r>
        <w:rPr>
          <w:color w:val="000000"/>
          <w:lang w:val="en-CA" w:eastAsia="en-CA"/>
        </w:rPr>
        <w:t xml:space="preserve">reported by the </w:t>
      </w:r>
      <w:r w:rsidRPr="00330D80">
        <w:rPr>
          <w:color w:val="000000"/>
          <w:lang w:val="en-CA" w:eastAsia="en-CA"/>
        </w:rPr>
        <w:t>Canadian Tourism Commission</w:t>
      </w:r>
      <w:r>
        <w:rPr>
          <w:color w:val="000000"/>
          <w:lang w:val="en-CA" w:eastAsia="en-CA"/>
        </w:rPr>
        <w:t xml:space="preserve"> in</w:t>
      </w:r>
      <w:r w:rsidRPr="00330D80">
        <w:rPr>
          <w:color w:val="000000"/>
          <w:lang w:val="en-CA" w:eastAsia="en-CA"/>
        </w:rPr>
        <w:t xml:space="preserve"> </w:t>
      </w:r>
      <w:r w:rsidRPr="00EC35B5">
        <w:rPr>
          <w:i/>
          <w:color w:val="000000"/>
          <w:lang w:val="en-CA"/>
        </w:rPr>
        <w:t>Global Tourism Watch</w:t>
      </w:r>
      <w:r w:rsidRPr="00330D80">
        <w:rPr>
          <w:color w:val="000000"/>
          <w:lang w:val="en-CA" w:eastAsia="en-CA"/>
        </w:rPr>
        <w:t>, 14</w:t>
      </w:r>
      <w:r>
        <w:rPr>
          <w:color w:val="000000"/>
          <w:lang w:val="en-CA" w:eastAsia="en-CA"/>
        </w:rPr>
        <w:t xml:space="preserve"> per cent</w:t>
      </w:r>
      <w:r w:rsidRPr="00330D80">
        <w:rPr>
          <w:color w:val="000000"/>
          <w:lang w:val="en-CA" w:eastAsia="en-CA"/>
        </w:rPr>
        <w:t xml:space="preserve"> of respondents listed skiing and snowboarding as the “top Can</w:t>
      </w:r>
      <w:r>
        <w:rPr>
          <w:color w:val="000000"/>
          <w:lang w:val="en-CA" w:eastAsia="en-CA"/>
        </w:rPr>
        <w:t>adian dream vacation experience</w:t>
      </w:r>
      <w:r w:rsidR="00191802">
        <w:rPr>
          <w:color w:val="000000"/>
          <w:lang w:val="en-CA" w:eastAsia="en-CA"/>
        </w:rPr>
        <w:t>.</w:t>
      </w:r>
      <w:r w:rsidRPr="00330D80">
        <w:rPr>
          <w:color w:val="000000"/>
          <w:lang w:val="en-CA" w:eastAsia="en-CA"/>
        </w:rPr>
        <w:t>”</w:t>
      </w:r>
      <w:r w:rsidR="00191802">
        <w:rPr>
          <w:color w:val="000000"/>
          <w:lang w:val="en-CA" w:eastAsia="en-CA"/>
        </w:rPr>
        <w:t xml:space="preserve"> The survey also found that</w:t>
      </w:r>
      <w:r w:rsidRPr="00330D80">
        <w:rPr>
          <w:color w:val="000000"/>
          <w:lang w:val="en-CA" w:eastAsia="en-CA"/>
        </w:rPr>
        <w:t xml:space="preserve"> </w:t>
      </w:r>
      <w:r>
        <w:rPr>
          <w:color w:val="000000"/>
          <w:lang w:val="en-CA" w:eastAsia="en-CA"/>
        </w:rPr>
        <w:t>8 per cent</w:t>
      </w:r>
      <w:r w:rsidRPr="00330D80">
        <w:rPr>
          <w:color w:val="000000"/>
          <w:lang w:val="en-CA" w:eastAsia="en-CA"/>
        </w:rPr>
        <w:t xml:space="preserve"> of China’s likely visitors said they would</w:t>
      </w:r>
      <w:r w:rsidR="00824D60">
        <w:rPr>
          <w:color w:val="000000"/>
          <w:lang w:val="en-CA" w:eastAsia="en-CA"/>
        </w:rPr>
        <w:t xml:space="preserve"> probably</w:t>
      </w:r>
      <w:r w:rsidRPr="00330D80">
        <w:rPr>
          <w:color w:val="000000"/>
          <w:lang w:val="en-CA" w:eastAsia="en-CA"/>
        </w:rPr>
        <w:t xml:space="preserve"> visit Banff (compared to 12</w:t>
      </w:r>
      <w:r>
        <w:rPr>
          <w:color w:val="000000"/>
          <w:lang w:val="en-CA" w:eastAsia="en-CA"/>
        </w:rPr>
        <w:t xml:space="preserve"> per cent</w:t>
      </w:r>
      <w:r w:rsidRPr="00330D80">
        <w:rPr>
          <w:color w:val="000000"/>
          <w:lang w:val="en-CA" w:eastAsia="en-CA"/>
        </w:rPr>
        <w:t xml:space="preserve"> for Whistler and 5</w:t>
      </w:r>
      <w:r>
        <w:rPr>
          <w:color w:val="000000"/>
          <w:lang w:val="en-CA" w:eastAsia="en-CA"/>
        </w:rPr>
        <w:t xml:space="preserve"> per cent</w:t>
      </w:r>
      <w:r w:rsidRPr="00330D80">
        <w:rPr>
          <w:color w:val="000000"/>
          <w:lang w:val="en-CA" w:eastAsia="en-CA"/>
        </w:rPr>
        <w:t xml:space="preserve"> for Jasper).</w:t>
      </w:r>
      <w:r w:rsidRPr="00EC35B5">
        <w:rPr>
          <w:rStyle w:val="EndnoteReference"/>
        </w:rPr>
        <w:endnoteReference w:id="17"/>
      </w:r>
      <w:r w:rsidRPr="00330D80">
        <w:rPr>
          <w:color w:val="000000"/>
          <w:lang w:val="en-CA" w:eastAsia="en-CA"/>
        </w:rPr>
        <w:t xml:space="preserve"> </w:t>
      </w:r>
    </w:p>
    <w:p w14:paraId="2F226764" w14:textId="77777777" w:rsidR="00A34CC7" w:rsidRPr="00330D80" w:rsidRDefault="00A34CC7" w:rsidP="00330D80">
      <w:pPr>
        <w:pStyle w:val="BodyTextMain"/>
        <w:rPr>
          <w:lang w:val="en-CA" w:eastAsia="en-CA"/>
        </w:rPr>
      </w:pPr>
    </w:p>
    <w:p w14:paraId="55E546C9" w14:textId="0442309F" w:rsidR="00A34CC7" w:rsidRDefault="00A34CC7" w:rsidP="00330D80">
      <w:pPr>
        <w:pStyle w:val="BodyTextMain"/>
        <w:rPr>
          <w:lang w:val="en-CA" w:eastAsia="en-CA"/>
        </w:rPr>
      </w:pPr>
      <w:r>
        <w:rPr>
          <w:lang w:val="en-CA" w:eastAsia="en-CA"/>
        </w:rPr>
        <w:t xml:space="preserve">In 2011, the </w:t>
      </w:r>
      <w:r w:rsidRPr="00330D80">
        <w:rPr>
          <w:lang w:val="en-CA" w:eastAsia="en-CA"/>
        </w:rPr>
        <w:t>Banff Region (the broader Banff</w:t>
      </w:r>
      <w:r>
        <w:rPr>
          <w:lang w:val="en-CA" w:eastAsia="en-CA"/>
        </w:rPr>
        <w:t>–</w:t>
      </w:r>
      <w:r w:rsidRPr="00330D80">
        <w:rPr>
          <w:lang w:val="en-CA" w:eastAsia="en-CA"/>
        </w:rPr>
        <w:t>Jasper</w:t>
      </w:r>
      <w:r>
        <w:rPr>
          <w:lang w:val="en-CA" w:eastAsia="en-CA"/>
        </w:rPr>
        <w:t>–</w:t>
      </w:r>
      <w:r w:rsidRPr="00330D80">
        <w:rPr>
          <w:lang w:val="en-CA" w:eastAsia="en-CA"/>
        </w:rPr>
        <w:t xml:space="preserve">Rockies region, including </w:t>
      </w:r>
      <w:r>
        <w:rPr>
          <w:lang w:val="en-CA" w:eastAsia="en-CA"/>
        </w:rPr>
        <w:t xml:space="preserve">the towns of </w:t>
      </w:r>
      <w:r w:rsidRPr="00330D80">
        <w:rPr>
          <w:lang w:val="en-CA" w:eastAsia="en-CA"/>
        </w:rPr>
        <w:t>Banff, Jasper, and Rocky Mountain House) experienced a total of 3.2 million visits. Overnight visits totalled 2.4 million, comprised of 1.6 million in the summer and 0.8 million in the winter. The Banff Region experienced a 3.4</w:t>
      </w:r>
      <w:r>
        <w:rPr>
          <w:lang w:val="en-CA" w:eastAsia="en-CA"/>
        </w:rPr>
        <w:t xml:space="preserve"> per cent</w:t>
      </w:r>
      <w:r w:rsidRPr="00330D80">
        <w:rPr>
          <w:lang w:val="en-CA" w:eastAsia="en-CA"/>
        </w:rPr>
        <w:t xml:space="preserve"> compound annual growth rate in tourism from 2007 to 2011, which was lower than Alberta’s growth of 5.7</w:t>
      </w:r>
      <w:r>
        <w:rPr>
          <w:lang w:val="en-CA" w:eastAsia="en-CA"/>
        </w:rPr>
        <w:t xml:space="preserve"> per cent</w:t>
      </w:r>
      <w:r w:rsidRPr="00330D80">
        <w:rPr>
          <w:lang w:val="en-CA" w:eastAsia="en-CA"/>
        </w:rPr>
        <w:t xml:space="preserve"> but higher than the national rate of </w:t>
      </w:r>
      <w:r>
        <w:rPr>
          <w:lang w:val="en-CA" w:eastAsia="en-CA"/>
        </w:rPr>
        <w:t>−</w:t>
      </w:r>
      <w:r w:rsidRPr="00330D80">
        <w:rPr>
          <w:lang w:val="en-CA" w:eastAsia="en-CA"/>
        </w:rPr>
        <w:t>0.3</w:t>
      </w:r>
      <w:r>
        <w:rPr>
          <w:lang w:val="en-CA" w:eastAsia="en-CA"/>
        </w:rPr>
        <w:t xml:space="preserve"> per cent</w:t>
      </w:r>
      <w:r w:rsidRPr="00330D80">
        <w:rPr>
          <w:lang w:val="en-CA" w:eastAsia="en-CA"/>
        </w:rPr>
        <w:t>. For the summer, the compound annual growth rate of 2.2</w:t>
      </w:r>
      <w:r>
        <w:rPr>
          <w:lang w:val="en-CA" w:eastAsia="en-CA"/>
        </w:rPr>
        <w:t xml:space="preserve"> per cent</w:t>
      </w:r>
      <w:r w:rsidRPr="00330D80">
        <w:rPr>
          <w:lang w:val="en-CA" w:eastAsia="en-CA"/>
        </w:rPr>
        <w:t xml:space="preserve"> was lower than Alberta’s rate of 6.2</w:t>
      </w:r>
      <w:r>
        <w:rPr>
          <w:lang w:val="en-CA" w:eastAsia="en-CA"/>
        </w:rPr>
        <w:t xml:space="preserve"> per cent</w:t>
      </w:r>
      <w:r w:rsidRPr="00330D80">
        <w:rPr>
          <w:lang w:val="en-CA" w:eastAsia="en-CA"/>
        </w:rPr>
        <w:t xml:space="preserve"> but higher than the national rate of 0.3</w:t>
      </w:r>
      <w:r>
        <w:rPr>
          <w:lang w:val="en-CA" w:eastAsia="en-CA"/>
        </w:rPr>
        <w:t xml:space="preserve"> per cent</w:t>
      </w:r>
      <w:r w:rsidRPr="00330D80">
        <w:rPr>
          <w:lang w:val="en-CA" w:eastAsia="en-CA"/>
        </w:rPr>
        <w:t>; however, the winter growth rate of 5.7</w:t>
      </w:r>
      <w:r>
        <w:rPr>
          <w:lang w:val="en-CA" w:eastAsia="en-CA"/>
        </w:rPr>
        <w:t xml:space="preserve"> per cent</w:t>
      </w:r>
      <w:r w:rsidRPr="00330D80">
        <w:rPr>
          <w:lang w:val="en-CA" w:eastAsia="en-CA"/>
        </w:rPr>
        <w:t xml:space="preserve"> exceeded that of both Alberta (5.1</w:t>
      </w:r>
      <w:r>
        <w:rPr>
          <w:lang w:val="en-CA" w:eastAsia="en-CA"/>
        </w:rPr>
        <w:t xml:space="preserve"> per cent</w:t>
      </w:r>
      <w:r w:rsidRPr="00330D80">
        <w:rPr>
          <w:lang w:val="en-CA" w:eastAsia="en-CA"/>
        </w:rPr>
        <w:t>) and Canada (0</w:t>
      </w:r>
      <w:r>
        <w:rPr>
          <w:lang w:val="en-CA" w:eastAsia="en-CA"/>
        </w:rPr>
        <w:t xml:space="preserve"> per cent</w:t>
      </w:r>
      <w:r w:rsidRPr="00330D80">
        <w:rPr>
          <w:lang w:val="en-CA" w:eastAsia="en-CA"/>
        </w:rPr>
        <w:t xml:space="preserve">). Overall tourism spending in 2011 </w:t>
      </w:r>
      <w:r w:rsidR="00F1551F">
        <w:rPr>
          <w:lang w:val="en-CA" w:eastAsia="en-CA"/>
        </w:rPr>
        <w:t xml:space="preserve">in the Banff Region </w:t>
      </w:r>
      <w:r w:rsidRPr="00330D80">
        <w:rPr>
          <w:lang w:val="en-CA" w:eastAsia="en-CA"/>
        </w:rPr>
        <w:t xml:space="preserve">was estimated at $1.1 million, with </w:t>
      </w:r>
      <w:r w:rsidR="00616B40">
        <w:rPr>
          <w:lang w:val="en-CA" w:eastAsia="en-CA"/>
        </w:rPr>
        <w:t>a</w:t>
      </w:r>
      <w:r w:rsidRPr="00330D80">
        <w:rPr>
          <w:lang w:val="en-CA" w:eastAsia="en-CA"/>
        </w:rPr>
        <w:t xml:space="preserve"> compound average growth rate of </w:t>
      </w:r>
      <w:r>
        <w:rPr>
          <w:lang w:val="en-CA" w:eastAsia="en-CA"/>
        </w:rPr>
        <w:t>−</w:t>
      </w:r>
      <w:r w:rsidRPr="00330D80">
        <w:rPr>
          <w:lang w:val="en-CA" w:eastAsia="en-CA"/>
        </w:rPr>
        <w:t>0.3</w:t>
      </w:r>
      <w:r>
        <w:rPr>
          <w:lang w:val="en-CA" w:eastAsia="en-CA"/>
        </w:rPr>
        <w:t xml:space="preserve"> per cent</w:t>
      </w:r>
      <w:r w:rsidRPr="00330D80">
        <w:rPr>
          <w:lang w:val="en-CA" w:eastAsia="en-CA"/>
        </w:rPr>
        <w:t xml:space="preserve"> between 2007 and 2010.</w:t>
      </w:r>
      <w:r w:rsidRPr="00EC35B5">
        <w:rPr>
          <w:rStyle w:val="EndnoteReference"/>
        </w:rPr>
        <w:endnoteReference w:id="18"/>
      </w:r>
    </w:p>
    <w:p w14:paraId="57D97698" w14:textId="77777777" w:rsidR="00A34CC7" w:rsidRPr="00330D80" w:rsidRDefault="00A34CC7" w:rsidP="00330D80">
      <w:pPr>
        <w:pStyle w:val="BodyTextMain"/>
        <w:rPr>
          <w:lang w:val="en-CA" w:eastAsia="en-CA"/>
        </w:rPr>
      </w:pPr>
    </w:p>
    <w:p w14:paraId="4CA77C6F" w14:textId="3B4DB5E5" w:rsidR="00A34CC7" w:rsidRDefault="00A34CC7" w:rsidP="00330D80">
      <w:pPr>
        <w:pStyle w:val="BodyTextMain"/>
        <w:rPr>
          <w:lang w:val="en-CA" w:eastAsia="en-CA"/>
        </w:rPr>
      </w:pPr>
      <w:r w:rsidRPr="00330D80">
        <w:rPr>
          <w:lang w:val="en-CA" w:eastAsia="en-CA"/>
        </w:rPr>
        <w:t>In 2012, STR Global</w:t>
      </w:r>
      <w:r>
        <w:rPr>
          <w:lang w:val="en-CA" w:eastAsia="en-CA"/>
        </w:rPr>
        <w:t xml:space="preserve"> </w:t>
      </w:r>
      <w:r w:rsidRPr="00330D80">
        <w:rPr>
          <w:lang w:val="en-CA" w:eastAsia="en-CA"/>
        </w:rPr>
        <w:t>reported that the Banff Region had an annual occupancy rate of 62</w:t>
      </w:r>
      <w:r>
        <w:rPr>
          <w:lang w:val="en-CA" w:eastAsia="en-CA"/>
        </w:rPr>
        <w:t xml:space="preserve"> per cent</w:t>
      </w:r>
      <w:r w:rsidRPr="00330D80">
        <w:rPr>
          <w:lang w:val="en-CA" w:eastAsia="en-CA"/>
        </w:rPr>
        <w:t xml:space="preserve"> (74</w:t>
      </w:r>
      <w:r>
        <w:rPr>
          <w:lang w:val="en-CA" w:eastAsia="en-CA"/>
        </w:rPr>
        <w:t xml:space="preserve"> per cent</w:t>
      </w:r>
      <w:r w:rsidRPr="00330D80">
        <w:rPr>
          <w:lang w:val="en-CA" w:eastAsia="en-CA"/>
        </w:rPr>
        <w:t xml:space="preserve"> in summer, 49</w:t>
      </w:r>
      <w:r>
        <w:rPr>
          <w:lang w:val="en-CA" w:eastAsia="en-CA"/>
        </w:rPr>
        <w:t xml:space="preserve"> per cent</w:t>
      </w:r>
      <w:r w:rsidRPr="00330D80">
        <w:rPr>
          <w:lang w:val="en-CA" w:eastAsia="en-CA"/>
        </w:rPr>
        <w:t xml:space="preserve"> in winter), with an </w:t>
      </w:r>
      <w:r>
        <w:rPr>
          <w:lang w:val="en-CA" w:eastAsia="en-CA"/>
        </w:rPr>
        <w:t>ADR</w:t>
      </w:r>
      <w:r w:rsidRPr="00330D80">
        <w:rPr>
          <w:lang w:val="en-CA" w:eastAsia="en-CA"/>
        </w:rPr>
        <w:t xml:space="preserve"> of $180 ($189 in summer and $156 in winter), up from $170 in 2009, and higher than the rates of $129 and $139 for Canada and Alberta, respectively.</w:t>
      </w:r>
      <w:r w:rsidR="00F1551F">
        <w:rPr>
          <w:lang w:val="en-CA" w:eastAsia="en-CA"/>
        </w:rPr>
        <w:t xml:space="preserve"> The</w:t>
      </w:r>
      <w:r w:rsidRPr="00330D80">
        <w:rPr>
          <w:lang w:val="en-CA" w:eastAsia="en-CA"/>
        </w:rPr>
        <w:t xml:space="preserve"> Banff </w:t>
      </w:r>
      <w:r w:rsidR="00F1551F">
        <w:rPr>
          <w:lang w:val="en-CA" w:eastAsia="en-CA"/>
        </w:rPr>
        <w:t xml:space="preserve">Region’s </w:t>
      </w:r>
      <w:r w:rsidRPr="00330D80">
        <w:rPr>
          <w:lang w:val="en-CA" w:eastAsia="en-CA"/>
        </w:rPr>
        <w:t xml:space="preserve">2012 </w:t>
      </w:r>
      <w:r>
        <w:rPr>
          <w:lang w:val="en-CA" w:eastAsia="en-CA"/>
        </w:rPr>
        <w:t xml:space="preserve">RevPAR </w:t>
      </w:r>
      <w:r w:rsidRPr="00330D80">
        <w:rPr>
          <w:lang w:val="en-CA" w:eastAsia="en-CA"/>
        </w:rPr>
        <w:t>was $111 ($144 in summer and $77 in winter), up from $100 in 2009, and higher than the national average of $80 and the provincial average of $91.</w:t>
      </w:r>
      <w:r w:rsidRPr="00EC35B5">
        <w:rPr>
          <w:rStyle w:val="EndnoteReference"/>
        </w:rPr>
        <w:endnoteReference w:id="19"/>
      </w:r>
      <w:r w:rsidRPr="00330D80">
        <w:rPr>
          <w:lang w:val="en-CA" w:eastAsia="en-CA"/>
        </w:rPr>
        <w:t xml:space="preserve"> </w:t>
      </w:r>
    </w:p>
    <w:p w14:paraId="505D98A6" w14:textId="77777777" w:rsidR="00A34CC7" w:rsidRPr="00330D80" w:rsidRDefault="00A34CC7" w:rsidP="00330D80">
      <w:pPr>
        <w:pStyle w:val="BodyTextMain"/>
        <w:rPr>
          <w:lang w:val="en-CA" w:eastAsia="en-CA"/>
        </w:rPr>
      </w:pPr>
    </w:p>
    <w:p w14:paraId="31B5E87B" w14:textId="2BA0CD20" w:rsidR="00A34CC7" w:rsidRDefault="00A34CC7" w:rsidP="00330D80">
      <w:pPr>
        <w:pStyle w:val="BodyTextMain"/>
        <w:rPr>
          <w:lang w:val="en-CA" w:eastAsia="en-CA"/>
        </w:rPr>
      </w:pPr>
      <w:r w:rsidRPr="00330D80">
        <w:rPr>
          <w:lang w:val="en-CA" w:eastAsia="en-CA"/>
        </w:rPr>
        <w:t xml:space="preserve">There were 33 hotel properties in the town of Banff, a picturesque community located in Banff National Park, in the heart of the Canadian Rockies. With a government-imposed moratorium on building in Banff, these properties encountered significant constraints on increasing their physical footprints (either building out or building up). As well, </w:t>
      </w:r>
      <w:r>
        <w:rPr>
          <w:lang w:val="en-CA" w:eastAsia="en-CA"/>
        </w:rPr>
        <w:t>the moratorium</w:t>
      </w:r>
      <w:r w:rsidRPr="00330D80">
        <w:rPr>
          <w:lang w:val="en-CA" w:eastAsia="en-CA"/>
        </w:rPr>
        <w:t xml:space="preserve"> meant no new properties could be developed.</w:t>
      </w:r>
    </w:p>
    <w:p w14:paraId="2AA477CC" w14:textId="77777777" w:rsidR="00A34CC7" w:rsidRPr="00330D80" w:rsidRDefault="00A34CC7" w:rsidP="00330D80">
      <w:pPr>
        <w:pStyle w:val="BodyTextMain"/>
        <w:rPr>
          <w:lang w:val="en-CA" w:eastAsia="en-CA"/>
        </w:rPr>
      </w:pPr>
    </w:p>
    <w:p w14:paraId="7B30DA35" w14:textId="7A5004B9" w:rsidR="00A34CC7" w:rsidRDefault="00A34CC7" w:rsidP="00330D80">
      <w:pPr>
        <w:pStyle w:val="BodyTextMain"/>
        <w:rPr>
          <w:lang w:val="en-CA" w:eastAsia="en-CA"/>
        </w:rPr>
      </w:pPr>
      <w:r w:rsidRPr="00330D80">
        <w:rPr>
          <w:lang w:val="en-CA" w:eastAsia="en-CA"/>
        </w:rPr>
        <w:t xml:space="preserve">A 2009 visitor survey conducted by Zins </w:t>
      </w:r>
      <w:proofErr w:type="spellStart"/>
      <w:r w:rsidRPr="00330D80">
        <w:rPr>
          <w:lang w:val="en-CA" w:eastAsia="en-CA"/>
        </w:rPr>
        <w:t>Beauchesne</w:t>
      </w:r>
      <w:proofErr w:type="spellEnd"/>
      <w:r w:rsidRPr="00330D80">
        <w:rPr>
          <w:lang w:val="en-CA" w:eastAsia="en-CA"/>
        </w:rPr>
        <w:t xml:space="preserve"> </w:t>
      </w:r>
      <w:r>
        <w:rPr>
          <w:lang w:val="en-CA" w:eastAsia="en-CA"/>
        </w:rPr>
        <w:t>and</w:t>
      </w:r>
      <w:r w:rsidRPr="00330D80">
        <w:rPr>
          <w:lang w:val="en-CA" w:eastAsia="en-CA"/>
        </w:rPr>
        <w:t xml:space="preserve"> Associates suggested that the </w:t>
      </w:r>
      <w:r>
        <w:rPr>
          <w:lang w:val="en-CA" w:eastAsia="en-CA"/>
        </w:rPr>
        <w:t>t</w:t>
      </w:r>
      <w:r w:rsidRPr="00330D80">
        <w:rPr>
          <w:lang w:val="en-CA" w:eastAsia="en-CA"/>
        </w:rPr>
        <w:t>own of Banff had a reputation for a negative visitor experience, with a “value for money in accommodations” satisfaction ranking of 32</w:t>
      </w:r>
      <w:proofErr w:type="spellStart"/>
      <w:r w:rsidRPr="00EC35B5">
        <w:t>nd</w:t>
      </w:r>
      <w:proofErr w:type="spellEnd"/>
      <w:r w:rsidRPr="00330D80">
        <w:rPr>
          <w:lang w:val="en-CA" w:eastAsia="en-CA"/>
        </w:rPr>
        <w:t xml:space="preserve"> out of 34</w:t>
      </w:r>
      <w:r>
        <w:rPr>
          <w:lang w:val="en-CA" w:eastAsia="en-CA"/>
        </w:rPr>
        <w:t xml:space="preserve"> items</w:t>
      </w:r>
      <w:r w:rsidRPr="00330D80">
        <w:rPr>
          <w:lang w:val="en-CA" w:eastAsia="en-CA"/>
        </w:rPr>
        <w:t xml:space="preserve"> on this number one ranked area </w:t>
      </w:r>
      <w:r w:rsidR="00616B40">
        <w:rPr>
          <w:lang w:val="en-CA" w:eastAsia="en-CA"/>
        </w:rPr>
        <w:t>in</w:t>
      </w:r>
      <w:r w:rsidRPr="00330D80">
        <w:rPr>
          <w:lang w:val="en-CA" w:eastAsia="en-CA"/>
        </w:rPr>
        <w:t xml:space="preserve"> importance.</w:t>
      </w:r>
      <w:r w:rsidR="00F1551F">
        <w:rPr>
          <w:rStyle w:val="EndnoteReference"/>
          <w:lang w:val="en-CA" w:eastAsia="en-CA"/>
        </w:rPr>
        <w:endnoteReference w:id="20"/>
      </w:r>
      <w:r w:rsidRPr="00330D80">
        <w:rPr>
          <w:lang w:val="en-CA" w:eastAsia="en-CA"/>
        </w:rPr>
        <w:t xml:space="preserve"> </w:t>
      </w:r>
    </w:p>
    <w:p w14:paraId="7BB9493F" w14:textId="77777777" w:rsidR="00A34CC7" w:rsidRDefault="00A34CC7" w:rsidP="00330D80">
      <w:pPr>
        <w:pStyle w:val="BodyTextMain"/>
        <w:rPr>
          <w:lang w:val="en-CA" w:eastAsia="en-CA"/>
        </w:rPr>
      </w:pPr>
    </w:p>
    <w:p w14:paraId="0294A108" w14:textId="2F47DA33" w:rsidR="00A34CC7" w:rsidRDefault="00A34CC7" w:rsidP="00330D80">
      <w:pPr>
        <w:pStyle w:val="BodyTextMain"/>
        <w:rPr>
          <w:lang w:val="en-CA" w:eastAsia="en-CA"/>
        </w:rPr>
      </w:pPr>
      <w:proofErr w:type="spellStart"/>
      <w:r w:rsidRPr="00330D80">
        <w:rPr>
          <w:lang w:val="en-CA" w:eastAsia="en-CA"/>
        </w:rPr>
        <w:t>Euromonitor</w:t>
      </w:r>
      <w:proofErr w:type="spellEnd"/>
      <w:r w:rsidRPr="00330D80">
        <w:rPr>
          <w:lang w:val="en-CA" w:eastAsia="en-CA"/>
        </w:rPr>
        <w:t xml:space="preserve"> forecasted that from 2012 to 2017, arts and culture would increasingly draw tourists </w:t>
      </w:r>
      <w:r w:rsidR="00F1551F">
        <w:rPr>
          <w:lang w:val="en-CA" w:eastAsia="en-CA"/>
        </w:rPr>
        <w:t>to</w:t>
      </w:r>
      <w:r w:rsidRPr="00330D80">
        <w:rPr>
          <w:lang w:val="en-CA" w:eastAsia="en-CA"/>
        </w:rPr>
        <w:t xml:space="preserve"> Canada. Theatres, art galleries, and museums had forecast compound average growth rates of 2.6</w:t>
      </w:r>
      <w:r>
        <w:rPr>
          <w:lang w:val="en-CA" w:eastAsia="en-CA"/>
        </w:rPr>
        <w:t xml:space="preserve"> per cent</w:t>
      </w:r>
      <w:r w:rsidRPr="00330D80">
        <w:rPr>
          <w:lang w:val="en-CA" w:eastAsia="en-CA"/>
        </w:rPr>
        <w:t>, 2.5</w:t>
      </w:r>
      <w:r>
        <w:rPr>
          <w:lang w:val="en-CA" w:eastAsia="en-CA"/>
        </w:rPr>
        <w:t xml:space="preserve"> per cent</w:t>
      </w:r>
      <w:r w:rsidRPr="00330D80">
        <w:rPr>
          <w:lang w:val="en-CA" w:eastAsia="en-CA"/>
        </w:rPr>
        <w:t>, and 1.6</w:t>
      </w:r>
      <w:r>
        <w:rPr>
          <w:lang w:val="en-CA" w:eastAsia="en-CA"/>
        </w:rPr>
        <w:t xml:space="preserve"> per cent</w:t>
      </w:r>
      <w:r w:rsidRPr="00330D80">
        <w:rPr>
          <w:lang w:val="en-CA" w:eastAsia="en-CA"/>
        </w:rPr>
        <w:t>, compared to the forecast growth rate of 1.4</w:t>
      </w:r>
      <w:r>
        <w:rPr>
          <w:lang w:val="en-CA" w:eastAsia="en-CA"/>
        </w:rPr>
        <w:t xml:space="preserve"> per cent</w:t>
      </w:r>
      <w:r w:rsidRPr="00330D80">
        <w:rPr>
          <w:lang w:val="en-CA" w:eastAsia="en-CA"/>
        </w:rPr>
        <w:t xml:space="preserve"> for national parks and areas of natural beauty. </w:t>
      </w:r>
      <w:r>
        <w:rPr>
          <w:lang w:val="en-CA" w:eastAsia="en-CA"/>
        </w:rPr>
        <w:t xml:space="preserve">The </w:t>
      </w:r>
      <w:proofErr w:type="spellStart"/>
      <w:r>
        <w:rPr>
          <w:lang w:val="en-CA" w:eastAsia="en-CA"/>
        </w:rPr>
        <w:t>Euromonitor</w:t>
      </w:r>
      <w:proofErr w:type="spellEnd"/>
      <w:r>
        <w:rPr>
          <w:lang w:val="en-CA" w:eastAsia="en-CA"/>
        </w:rPr>
        <w:t xml:space="preserve"> forecast and the Zins </w:t>
      </w:r>
      <w:proofErr w:type="spellStart"/>
      <w:r>
        <w:rPr>
          <w:lang w:val="en-CA" w:eastAsia="en-CA"/>
        </w:rPr>
        <w:t>Beauchesne</w:t>
      </w:r>
      <w:proofErr w:type="spellEnd"/>
      <w:r>
        <w:rPr>
          <w:lang w:val="en-CA" w:eastAsia="en-CA"/>
        </w:rPr>
        <w:t xml:space="preserve"> survey both</w:t>
      </w:r>
      <w:r w:rsidRPr="00330D80">
        <w:rPr>
          <w:lang w:val="en-CA" w:eastAsia="en-CA"/>
        </w:rPr>
        <w:t xml:space="preserve"> pointed to the need for innovation and a willingness to cater to changing customer tastes.</w:t>
      </w:r>
      <w:r w:rsidRPr="00EC35B5">
        <w:rPr>
          <w:rStyle w:val="EndnoteReference"/>
        </w:rPr>
        <w:endnoteReference w:id="21"/>
      </w:r>
    </w:p>
    <w:p w14:paraId="1AF2742B" w14:textId="77777777" w:rsidR="00A34CC7" w:rsidRDefault="00A34CC7" w:rsidP="00330D80">
      <w:pPr>
        <w:pStyle w:val="BodyTextMain"/>
        <w:rPr>
          <w:lang w:val="en-CA" w:eastAsia="en-CA"/>
        </w:rPr>
      </w:pPr>
    </w:p>
    <w:p w14:paraId="625F5B4E" w14:textId="77777777" w:rsidR="00A34CC7" w:rsidRPr="00330D80" w:rsidRDefault="00A34CC7" w:rsidP="00330D80">
      <w:pPr>
        <w:pStyle w:val="BodyTextMain"/>
        <w:rPr>
          <w:lang w:val="en-CA" w:eastAsia="en-CA"/>
        </w:rPr>
      </w:pPr>
    </w:p>
    <w:p w14:paraId="7F3EAD54" w14:textId="77777777" w:rsidR="00A34CC7" w:rsidRDefault="00A34CC7" w:rsidP="00EC35B5">
      <w:pPr>
        <w:pStyle w:val="Casehead1"/>
        <w:outlineLvl w:val="0"/>
        <w:rPr>
          <w:lang w:val="en-CA" w:eastAsia="en-CA"/>
        </w:rPr>
      </w:pPr>
      <w:r w:rsidRPr="00330D80">
        <w:rPr>
          <w:lang w:val="en-CA" w:eastAsia="en-CA"/>
        </w:rPr>
        <w:lastRenderedPageBreak/>
        <w:t>The Banff Aspen Lodge</w:t>
      </w:r>
    </w:p>
    <w:p w14:paraId="228C623C" w14:textId="77777777" w:rsidR="00A34CC7" w:rsidRPr="008F6306" w:rsidRDefault="00A34CC7" w:rsidP="00EC35B5">
      <w:pPr>
        <w:pStyle w:val="BodyTextMain"/>
        <w:keepNext/>
        <w:rPr>
          <w:sz w:val="18"/>
          <w:szCs w:val="18"/>
          <w:lang w:val="en-CA" w:eastAsia="en-CA"/>
        </w:rPr>
      </w:pPr>
    </w:p>
    <w:p w14:paraId="7EA14EDE" w14:textId="25035B08" w:rsidR="00A34CC7" w:rsidRDefault="00A34CC7" w:rsidP="00330D80">
      <w:pPr>
        <w:pStyle w:val="BodyTextMain"/>
        <w:rPr>
          <w:lang w:val="en-CA" w:eastAsia="en-CA"/>
        </w:rPr>
      </w:pPr>
      <w:r w:rsidRPr="00330D80">
        <w:rPr>
          <w:lang w:val="en-CA" w:eastAsia="en-CA"/>
        </w:rPr>
        <w:t xml:space="preserve">The Aspen was a three-story, 89-unit hotel on Banff Avenue, the main street of the </w:t>
      </w:r>
      <w:r>
        <w:rPr>
          <w:lang w:val="en-CA" w:eastAsia="en-CA"/>
        </w:rPr>
        <w:t>t</w:t>
      </w:r>
      <w:r w:rsidRPr="00330D80">
        <w:rPr>
          <w:lang w:val="en-CA" w:eastAsia="en-CA"/>
        </w:rPr>
        <w:t xml:space="preserve">own of Banff. It was one of </w:t>
      </w:r>
      <w:r>
        <w:rPr>
          <w:lang w:val="en-CA" w:eastAsia="en-CA"/>
        </w:rPr>
        <w:t>17</w:t>
      </w:r>
      <w:r w:rsidRPr="00330D80">
        <w:rPr>
          <w:lang w:val="en-CA" w:eastAsia="en-CA"/>
        </w:rPr>
        <w:t xml:space="preserve"> hotels located on a five-block stretch of Banff Avenue. The Aspen was currently ranked eighth by Canadian Hotel Guide, with an average guest rating of 8.3 out of 10.</w:t>
      </w:r>
      <w:r w:rsidRPr="00EC35B5">
        <w:rPr>
          <w:rStyle w:val="EndnoteReference"/>
        </w:rPr>
        <w:endnoteReference w:id="22"/>
      </w:r>
      <w:r w:rsidRPr="00330D80">
        <w:rPr>
          <w:lang w:val="en-CA" w:eastAsia="en-CA"/>
        </w:rPr>
        <w:t xml:space="preserve"> It was one of the few remaining family-owned hotels in Banff, in an era of consolidation w</w:t>
      </w:r>
      <w:r>
        <w:rPr>
          <w:lang w:val="en-CA" w:eastAsia="en-CA"/>
        </w:rPr>
        <w:t>ithin the hospitality industry.</w:t>
      </w:r>
    </w:p>
    <w:p w14:paraId="3F75AD1B" w14:textId="77777777" w:rsidR="00A34CC7" w:rsidRPr="008F6306" w:rsidRDefault="00A34CC7" w:rsidP="00330D80">
      <w:pPr>
        <w:pStyle w:val="BodyTextMain"/>
        <w:rPr>
          <w:sz w:val="18"/>
          <w:szCs w:val="18"/>
          <w:lang w:val="en-CA" w:eastAsia="en-CA"/>
        </w:rPr>
      </w:pPr>
    </w:p>
    <w:p w14:paraId="0D5B87E6" w14:textId="0CC80904" w:rsidR="00A34CC7" w:rsidRDefault="00A34CC7" w:rsidP="00330D80">
      <w:pPr>
        <w:pStyle w:val="BodyTextMain"/>
        <w:rPr>
          <w:lang w:val="en-CA" w:eastAsia="en-CA"/>
        </w:rPr>
      </w:pPr>
      <w:r w:rsidRPr="00330D80">
        <w:rPr>
          <w:lang w:val="en-CA" w:eastAsia="en-CA"/>
        </w:rPr>
        <w:t xml:space="preserve">The Aspen was a four-minute walk from the town centre, with its many quaint shops and numerous restaurants; a four-minute drive from the Trans-Canada Highway; and a nine-minute drive from the Banff </w:t>
      </w:r>
      <w:r>
        <w:rPr>
          <w:lang w:val="en-CA" w:eastAsia="en-CA"/>
        </w:rPr>
        <w:t xml:space="preserve">Upper </w:t>
      </w:r>
      <w:r w:rsidRPr="00330D80">
        <w:rPr>
          <w:lang w:val="en-CA" w:eastAsia="en-CA"/>
        </w:rPr>
        <w:t xml:space="preserve">Hot Springs and </w:t>
      </w:r>
      <w:r>
        <w:rPr>
          <w:lang w:val="en-CA" w:eastAsia="en-CA"/>
        </w:rPr>
        <w:t xml:space="preserve">the Banff Gondola at </w:t>
      </w:r>
      <w:r w:rsidRPr="00330D80">
        <w:rPr>
          <w:lang w:val="en-CA" w:eastAsia="en-CA"/>
        </w:rPr>
        <w:t xml:space="preserve">Sulphur Mountain. </w:t>
      </w:r>
      <w:r>
        <w:rPr>
          <w:lang w:val="en-CA" w:eastAsia="en-CA"/>
        </w:rPr>
        <w:t>The hotel</w:t>
      </w:r>
      <w:r w:rsidRPr="00330D80">
        <w:rPr>
          <w:lang w:val="en-CA" w:eastAsia="en-CA"/>
        </w:rPr>
        <w:t xml:space="preserve"> featured quiet, clean, comfortable rooms with mountain views and a courtyard with two hot pools. A deluxe breakfast buffet plus underground and outdoor parking were included in room rates to provide a simple, single, moderately-priced </w:t>
      </w:r>
      <w:r>
        <w:rPr>
          <w:lang w:val="en-CA" w:eastAsia="en-CA"/>
        </w:rPr>
        <w:t>hotel experience.</w:t>
      </w:r>
    </w:p>
    <w:p w14:paraId="0B792FBD" w14:textId="77777777" w:rsidR="00A34CC7" w:rsidRPr="008F6306" w:rsidRDefault="00A34CC7" w:rsidP="00330D80">
      <w:pPr>
        <w:pStyle w:val="BodyTextMain"/>
        <w:rPr>
          <w:sz w:val="18"/>
          <w:szCs w:val="18"/>
          <w:lang w:val="en-CA" w:eastAsia="en-CA"/>
        </w:rPr>
      </w:pPr>
    </w:p>
    <w:p w14:paraId="43292D71" w14:textId="77777777" w:rsidR="00A34CC7" w:rsidRDefault="00A34CC7" w:rsidP="00330D80">
      <w:pPr>
        <w:pStyle w:val="BodyTextMain"/>
        <w:rPr>
          <w:lang w:val="en-CA" w:eastAsia="en-CA"/>
        </w:rPr>
      </w:pPr>
      <w:r w:rsidRPr="00330D80">
        <w:rPr>
          <w:lang w:val="en-CA" w:eastAsia="en-CA"/>
        </w:rPr>
        <w:t>The Aspen’s mission was to “create an exceptional guest experience by providing outstanding service and value.” Its value proposition was as follows:</w:t>
      </w:r>
    </w:p>
    <w:p w14:paraId="1DC12257" w14:textId="77777777" w:rsidR="00A34CC7" w:rsidRPr="008F6306" w:rsidRDefault="00A34CC7" w:rsidP="00330D80">
      <w:pPr>
        <w:pStyle w:val="BodyTextMain"/>
        <w:rPr>
          <w:sz w:val="18"/>
          <w:szCs w:val="18"/>
          <w:lang w:val="en-CA" w:eastAsia="en-CA"/>
        </w:rPr>
      </w:pPr>
    </w:p>
    <w:p w14:paraId="154F38BA" w14:textId="710EA063" w:rsidR="00A34CC7" w:rsidRPr="00A34BA3" w:rsidRDefault="00A34CC7" w:rsidP="00330D80">
      <w:pPr>
        <w:pStyle w:val="BodyTextMain"/>
        <w:ind w:left="720"/>
        <w:rPr>
          <w:spacing w:val="-4"/>
          <w:kern w:val="22"/>
          <w:lang w:val="en-CA" w:eastAsia="en-CA"/>
        </w:rPr>
      </w:pPr>
      <w:r w:rsidRPr="00A34BA3">
        <w:rPr>
          <w:spacing w:val="-4"/>
          <w:kern w:val="22"/>
          <w:lang w:val="en-CA" w:eastAsia="en-CA"/>
        </w:rPr>
        <w:t>We are a leader in the hospitality industry. We are focused on creating exceptional experiences for every guest, every time. We have an innovative, multi-skilled team, within a respectful work environment.</w:t>
      </w:r>
    </w:p>
    <w:p w14:paraId="1B3FF83C" w14:textId="77777777" w:rsidR="00A34CC7" w:rsidRPr="008F6306" w:rsidRDefault="00A34CC7" w:rsidP="00330D80">
      <w:pPr>
        <w:pStyle w:val="BodyTextMain"/>
        <w:rPr>
          <w:sz w:val="18"/>
          <w:szCs w:val="18"/>
          <w:lang w:val="en-CA" w:eastAsia="en-CA"/>
        </w:rPr>
      </w:pPr>
    </w:p>
    <w:p w14:paraId="0022E646" w14:textId="0E99FD21" w:rsidR="00A34CC7" w:rsidRDefault="00A34CC7" w:rsidP="00330D80">
      <w:pPr>
        <w:pStyle w:val="BodyTextMain"/>
        <w:rPr>
          <w:lang w:val="en-CA" w:eastAsia="en-CA"/>
        </w:rPr>
      </w:pPr>
      <w:r w:rsidRPr="00330D80">
        <w:rPr>
          <w:lang w:val="en-CA" w:eastAsia="en-CA"/>
        </w:rPr>
        <w:t>That “exceptional guest experience” was engrained into all staff, creating a culture of friendly and innovative customer service. Guests arrived to find a personalized welcome note on their bed in their favourite room. If an extra blanket had been requested during a previous stay, the correct bed in the room would be made up accordingly, based on a customer profile that was maintained for repeat guests. If a guest mentioned to housekeeping that dark coffee was a favourite, the coffee maker would be regularly replenished with a dark roast. Guests enjoyed fresh-cut fruit salad, home-made granola, and locally-sourced bacon and sausages at the breakfast buffet; they were welcomed to stay for an extra cup of coffee even if it was past closing time. At night, if guests were returning late from the day’s sightseeing excursion, a phone call with an estimated arrival time was sufficient to keep the parking garage open. Employees were empowered to create positive experiences for</w:t>
      </w:r>
      <w:r w:rsidR="00F1551F">
        <w:rPr>
          <w:lang w:val="en-CA" w:eastAsia="en-CA"/>
        </w:rPr>
        <w:t xml:space="preserve"> each and</w:t>
      </w:r>
      <w:r w:rsidRPr="00330D80">
        <w:rPr>
          <w:lang w:val="en-CA" w:eastAsia="en-CA"/>
        </w:rPr>
        <w:t xml:space="preserve"> every guest throughout their stay.</w:t>
      </w:r>
    </w:p>
    <w:p w14:paraId="55E8C20D" w14:textId="77777777" w:rsidR="00A34CC7" w:rsidRPr="008F6306" w:rsidRDefault="00A34CC7" w:rsidP="00330D80">
      <w:pPr>
        <w:pStyle w:val="BodyTextMain"/>
        <w:rPr>
          <w:sz w:val="18"/>
          <w:szCs w:val="18"/>
          <w:lang w:val="en-CA" w:eastAsia="en-CA"/>
        </w:rPr>
      </w:pPr>
    </w:p>
    <w:p w14:paraId="5D695685" w14:textId="04E713AB" w:rsidR="00A34CC7" w:rsidRDefault="00A34CC7" w:rsidP="00330D80">
      <w:pPr>
        <w:pStyle w:val="BodyTextMain"/>
        <w:rPr>
          <w:lang w:val="en-CA" w:eastAsia="en-CA"/>
        </w:rPr>
      </w:pPr>
      <w:r w:rsidRPr="00330D80">
        <w:rPr>
          <w:lang w:val="en-CA" w:eastAsia="en-CA"/>
        </w:rPr>
        <w:t>According to Barr, the Aspen aimed to position itself as the number one mid-scale property in Banff. Its primary target markets were the Unite</w:t>
      </w:r>
      <w:r>
        <w:rPr>
          <w:lang w:val="en-CA" w:eastAsia="en-CA"/>
        </w:rPr>
        <w:t>d States, Calgary, and Edmonton.</w:t>
      </w:r>
      <w:r w:rsidRPr="00330D80">
        <w:rPr>
          <w:lang w:val="en-CA" w:eastAsia="en-CA"/>
        </w:rPr>
        <w:t xml:space="preserve"> </w:t>
      </w:r>
      <w:r>
        <w:rPr>
          <w:lang w:val="en-CA" w:eastAsia="en-CA"/>
        </w:rPr>
        <w:t>I</w:t>
      </w:r>
      <w:r w:rsidRPr="00330D80">
        <w:rPr>
          <w:lang w:val="en-CA" w:eastAsia="en-CA"/>
        </w:rPr>
        <w:t>t attracted many repeat customers because of the relationships staff developed with guests. The Aspen also served the tour market, but it limited group bookings to no more than 40</w:t>
      </w:r>
      <w:r>
        <w:rPr>
          <w:lang w:val="en-CA" w:eastAsia="en-CA"/>
        </w:rPr>
        <w:t xml:space="preserve"> per cent</w:t>
      </w:r>
      <w:r w:rsidRPr="00330D80">
        <w:rPr>
          <w:lang w:val="en-CA" w:eastAsia="en-CA"/>
        </w:rPr>
        <w:t xml:space="preserve"> of rooms because it could get a higher price from individual bookings and because the breakfast room only held 60 people at a time. Tour groups came primarily from the United States and Asia—mostly Japan or Korea</w:t>
      </w:r>
      <w:r w:rsidR="00FB5B64">
        <w:rPr>
          <w:lang w:val="en-CA" w:eastAsia="en-CA"/>
        </w:rPr>
        <w:t xml:space="preserve">, </w:t>
      </w:r>
      <w:r w:rsidRPr="00330D80">
        <w:rPr>
          <w:lang w:val="en-CA" w:eastAsia="en-CA"/>
        </w:rPr>
        <w:t>but China was identified as a new source of tour revenue. In recent years, Barr had made annual trips to China in an effort to develop business from that country. He recognized that continually looking to new opportunities was crucial in the volatile and rapidly-changing hotel marketplace. He also realized that new business development in foreign markets, such as China, was a lengthy proce</w:t>
      </w:r>
      <w:r>
        <w:rPr>
          <w:lang w:val="en-CA" w:eastAsia="en-CA"/>
        </w:rPr>
        <w:t>ss of developing relationships.</w:t>
      </w:r>
    </w:p>
    <w:p w14:paraId="2D2926D3" w14:textId="77777777" w:rsidR="00A34CC7" w:rsidRPr="008F6306" w:rsidRDefault="00A34CC7" w:rsidP="00330D80">
      <w:pPr>
        <w:pStyle w:val="BodyTextMain"/>
        <w:rPr>
          <w:sz w:val="18"/>
          <w:szCs w:val="18"/>
          <w:lang w:val="en-CA" w:eastAsia="en-CA"/>
        </w:rPr>
      </w:pPr>
    </w:p>
    <w:p w14:paraId="1EC345D2" w14:textId="6FEE8302" w:rsidR="00A34CC7" w:rsidRDefault="00A34CC7" w:rsidP="0014004C">
      <w:pPr>
        <w:pStyle w:val="BodyTextMain"/>
        <w:rPr>
          <w:lang w:val="en-CA" w:eastAsia="en-CA"/>
        </w:rPr>
      </w:pPr>
      <w:r w:rsidRPr="00330D80">
        <w:rPr>
          <w:lang w:val="en-CA" w:eastAsia="en-CA"/>
        </w:rPr>
        <w:t xml:space="preserve">The Aspen’s capacity was 356 people, bounded by the 89 rooms in the property and seating in the breakfast room. </w:t>
      </w:r>
      <w:r>
        <w:rPr>
          <w:lang w:val="en-CA" w:eastAsia="en-CA"/>
        </w:rPr>
        <w:t>O</w:t>
      </w:r>
      <w:r w:rsidRPr="00330D80">
        <w:rPr>
          <w:lang w:val="en-CA" w:eastAsia="en-CA"/>
        </w:rPr>
        <w:t xml:space="preserve">ccupancy rates ranged from </w:t>
      </w:r>
      <w:r w:rsidR="004E389B">
        <w:rPr>
          <w:lang w:val="en-CA" w:eastAsia="en-CA"/>
        </w:rPr>
        <w:t>51</w:t>
      </w:r>
      <w:r>
        <w:rPr>
          <w:lang w:val="en-CA" w:eastAsia="en-CA"/>
        </w:rPr>
        <w:t xml:space="preserve"> per cent</w:t>
      </w:r>
      <w:r w:rsidRPr="00330D80">
        <w:rPr>
          <w:lang w:val="en-CA" w:eastAsia="en-CA"/>
        </w:rPr>
        <w:t xml:space="preserve"> in late fall to over </w:t>
      </w:r>
      <w:r>
        <w:rPr>
          <w:lang w:val="en-CA" w:eastAsia="en-CA"/>
        </w:rPr>
        <w:t>90 per cent</w:t>
      </w:r>
      <w:r w:rsidRPr="00330D80">
        <w:rPr>
          <w:lang w:val="en-CA" w:eastAsia="en-CA"/>
        </w:rPr>
        <w:t xml:space="preserve"> in July and August</w:t>
      </w:r>
      <w:r>
        <w:rPr>
          <w:lang w:val="en-CA" w:eastAsia="en-CA"/>
        </w:rPr>
        <w:t xml:space="preserve"> (see</w:t>
      </w:r>
      <w:r w:rsidRPr="00330D80">
        <w:rPr>
          <w:lang w:val="en-CA" w:eastAsia="en-CA"/>
        </w:rPr>
        <w:t xml:space="preserve"> </w:t>
      </w:r>
      <w:r>
        <w:rPr>
          <w:lang w:val="en-CA" w:eastAsia="en-CA"/>
        </w:rPr>
        <w:t>E</w:t>
      </w:r>
      <w:r w:rsidRPr="00330D80">
        <w:rPr>
          <w:lang w:val="en-CA" w:eastAsia="en-CA"/>
        </w:rPr>
        <w:t>xhibit 2</w:t>
      </w:r>
      <w:r>
        <w:rPr>
          <w:lang w:val="en-CA" w:eastAsia="en-CA"/>
        </w:rPr>
        <w:t>)</w:t>
      </w:r>
      <w:r w:rsidRPr="00330D80">
        <w:rPr>
          <w:lang w:val="en-CA" w:eastAsia="en-CA"/>
        </w:rPr>
        <w:t xml:space="preserve">. </w:t>
      </w:r>
    </w:p>
    <w:p w14:paraId="445A429C" w14:textId="77777777" w:rsidR="00A34CC7" w:rsidRPr="008F6306" w:rsidRDefault="00A34CC7" w:rsidP="00330D80">
      <w:pPr>
        <w:pStyle w:val="BodyTextMain"/>
        <w:rPr>
          <w:sz w:val="18"/>
          <w:szCs w:val="18"/>
          <w:lang w:val="en-CA" w:eastAsia="en-CA"/>
        </w:rPr>
      </w:pPr>
    </w:p>
    <w:p w14:paraId="55BA32C9" w14:textId="3C38FC1C" w:rsidR="00A34CC7" w:rsidRDefault="00A34CC7" w:rsidP="00330D80">
      <w:pPr>
        <w:pStyle w:val="BodyTextMain"/>
        <w:rPr>
          <w:lang w:val="en-CA" w:eastAsia="en-CA"/>
        </w:rPr>
      </w:pPr>
      <w:r w:rsidRPr="00330D80">
        <w:rPr>
          <w:lang w:val="en-CA" w:eastAsia="en-CA"/>
        </w:rPr>
        <w:t>One of the Aspen’s key challenges, with its emphasis on an exceptional guest experience, was attracting and retaining staff. The 2011 census indicated that the population of the Town of Banff was only 6,245,</w:t>
      </w:r>
      <w:r w:rsidRPr="00EC35B5">
        <w:rPr>
          <w:rStyle w:val="EndnoteReference"/>
        </w:rPr>
        <w:endnoteReference w:id="23"/>
      </w:r>
      <w:r w:rsidRPr="00330D80">
        <w:rPr>
          <w:lang w:val="en-CA" w:eastAsia="en-CA"/>
        </w:rPr>
        <w:t xml:space="preserve"> so there was a very small local talent pool. Like most hotels in Banff, the Aspen relied heavily on the W</w:t>
      </w:r>
      <w:r>
        <w:rPr>
          <w:lang w:val="en-CA" w:eastAsia="en-CA"/>
        </w:rPr>
        <w:t>orking Holiday P</w:t>
      </w:r>
      <w:r w:rsidRPr="00330D80">
        <w:rPr>
          <w:lang w:val="en-CA" w:eastAsia="en-CA"/>
        </w:rPr>
        <w:t>rogram</w:t>
      </w:r>
      <w:r w:rsidRPr="00EC35B5">
        <w:rPr>
          <w:rStyle w:val="EndnoteReference"/>
        </w:rPr>
        <w:endnoteReference w:id="24"/>
      </w:r>
      <w:r w:rsidRPr="00330D80">
        <w:rPr>
          <w:lang w:val="en-CA" w:eastAsia="en-CA"/>
        </w:rPr>
        <w:t xml:space="preserve"> (which allowed adults from a list of developed countries who </w:t>
      </w:r>
      <w:r>
        <w:rPr>
          <w:lang w:val="en-CA" w:eastAsia="en-CA"/>
        </w:rPr>
        <w:t>were</w:t>
      </w:r>
      <w:r w:rsidRPr="00330D80">
        <w:rPr>
          <w:lang w:val="en-CA" w:eastAsia="en-CA"/>
        </w:rPr>
        <w:t xml:space="preserve"> between the ages of 18 and 30 to work or study for up to 24 months in Canada) and on exchange programs with </w:t>
      </w:r>
      <w:r w:rsidRPr="00330D80">
        <w:rPr>
          <w:lang w:val="en-CA" w:eastAsia="en-CA"/>
        </w:rPr>
        <w:lastRenderedPageBreak/>
        <w:t>Korea, New Zealand, and the United Kingdom. To ensure that guests were provided with an exceptional experience through outstanding service, the Aspen devoted significant time to training</w:t>
      </w:r>
      <w:r>
        <w:rPr>
          <w:lang w:val="en-CA" w:eastAsia="en-CA"/>
        </w:rPr>
        <w:t xml:space="preserve"> staff</w:t>
      </w:r>
      <w:r w:rsidRPr="00330D80">
        <w:rPr>
          <w:lang w:val="en-CA" w:eastAsia="en-CA"/>
        </w:rPr>
        <w:t xml:space="preserve">, having new employees shadow veterans before working on their own. </w:t>
      </w:r>
    </w:p>
    <w:p w14:paraId="633B3A3C" w14:textId="77777777" w:rsidR="00A34CC7" w:rsidRPr="008F6306" w:rsidRDefault="00A34CC7" w:rsidP="00330D80">
      <w:pPr>
        <w:pStyle w:val="BodyTextMain"/>
        <w:rPr>
          <w:sz w:val="18"/>
          <w:szCs w:val="18"/>
          <w:lang w:val="en-CA" w:eastAsia="en-CA"/>
        </w:rPr>
      </w:pPr>
    </w:p>
    <w:p w14:paraId="7235FB3E" w14:textId="77777777" w:rsidR="00A34CC7" w:rsidRPr="008F6306" w:rsidRDefault="00A34CC7" w:rsidP="00330D80">
      <w:pPr>
        <w:pStyle w:val="BodyTextMain"/>
        <w:rPr>
          <w:sz w:val="18"/>
          <w:szCs w:val="18"/>
          <w:lang w:val="en-CA" w:eastAsia="en-CA"/>
        </w:rPr>
      </w:pPr>
    </w:p>
    <w:p w14:paraId="1BF4657F" w14:textId="77777777" w:rsidR="00A34CC7" w:rsidRDefault="00A34CC7" w:rsidP="00EC35B5">
      <w:pPr>
        <w:pStyle w:val="Casehead2"/>
        <w:outlineLvl w:val="0"/>
        <w:rPr>
          <w:lang w:val="en-CA" w:eastAsia="en-CA"/>
        </w:rPr>
      </w:pPr>
      <w:r w:rsidRPr="00330D80">
        <w:rPr>
          <w:lang w:val="en-CA" w:eastAsia="en-CA"/>
        </w:rPr>
        <w:t>The Gift Shop</w:t>
      </w:r>
    </w:p>
    <w:p w14:paraId="09E6893D" w14:textId="77777777" w:rsidR="00A34CC7" w:rsidRPr="008F6306" w:rsidRDefault="00A34CC7" w:rsidP="00330D80">
      <w:pPr>
        <w:pStyle w:val="BodyTextMain"/>
        <w:rPr>
          <w:sz w:val="18"/>
          <w:szCs w:val="18"/>
          <w:lang w:val="en-CA" w:eastAsia="en-CA"/>
        </w:rPr>
      </w:pPr>
    </w:p>
    <w:p w14:paraId="6C2BA34D" w14:textId="712C977C" w:rsidR="00A34CC7" w:rsidRDefault="00A34CC7" w:rsidP="00330D80">
      <w:pPr>
        <w:pStyle w:val="BodyTextMain"/>
        <w:rPr>
          <w:lang w:val="en-CA" w:eastAsia="en-CA"/>
        </w:rPr>
      </w:pPr>
      <w:r w:rsidRPr="00330D80">
        <w:rPr>
          <w:lang w:val="en-CA" w:eastAsia="en-CA"/>
        </w:rPr>
        <w:t>The gift and souvenir shop industry in Canada encompassed just under 3,000 businesses with revenue of approximately $1 billion. Industry revenue had declined by almost 6</w:t>
      </w:r>
      <w:r>
        <w:rPr>
          <w:lang w:val="en-CA" w:eastAsia="en-CA"/>
        </w:rPr>
        <w:t xml:space="preserve"> per cent</w:t>
      </w:r>
      <w:r w:rsidRPr="00330D80">
        <w:rPr>
          <w:lang w:val="en-CA" w:eastAsia="en-CA"/>
        </w:rPr>
        <w:t xml:space="preserve"> between 2008 and 2011. With the economic recession of those years, the per capita income of shoppers, on which sales were dependent, also had declined. External competition for disposable income, along with rising internal competition from other retailers, hurt gift shops. The outlook was not positive, either. While projections suggested an annual growth rate of 0.6</w:t>
      </w:r>
      <w:r>
        <w:rPr>
          <w:lang w:val="en-CA" w:eastAsia="en-CA"/>
        </w:rPr>
        <w:t xml:space="preserve"> per cent</w:t>
      </w:r>
      <w:r w:rsidRPr="00330D80">
        <w:rPr>
          <w:lang w:val="en-CA" w:eastAsia="en-CA"/>
        </w:rPr>
        <w:t xml:space="preserve"> between 2011 and 2016, the following five years, 2016 to 2021, were expected to see an annual decline in revenue of 1.2</w:t>
      </w:r>
      <w:r>
        <w:rPr>
          <w:lang w:val="en-CA" w:eastAsia="en-CA"/>
        </w:rPr>
        <w:t xml:space="preserve"> per cent</w:t>
      </w:r>
      <w:r w:rsidRPr="00330D80">
        <w:rPr>
          <w:lang w:val="en-CA" w:eastAsia="en-CA"/>
        </w:rPr>
        <w:t>.</w:t>
      </w:r>
      <w:r w:rsidRPr="00EC35B5">
        <w:rPr>
          <w:rStyle w:val="EndnoteReference"/>
        </w:rPr>
        <w:endnoteReference w:id="25"/>
      </w:r>
      <w:r w:rsidRPr="00330D80">
        <w:rPr>
          <w:lang w:val="en-CA" w:eastAsia="en-CA"/>
        </w:rPr>
        <w:t xml:space="preserve"> </w:t>
      </w:r>
    </w:p>
    <w:p w14:paraId="6124BF60" w14:textId="77777777" w:rsidR="00A34CC7" w:rsidRPr="008F6306" w:rsidRDefault="00A34CC7" w:rsidP="00330D80">
      <w:pPr>
        <w:pStyle w:val="BodyTextMain"/>
        <w:rPr>
          <w:sz w:val="18"/>
          <w:szCs w:val="18"/>
          <w:lang w:val="en-CA" w:eastAsia="en-CA"/>
        </w:rPr>
      </w:pPr>
    </w:p>
    <w:p w14:paraId="694A64B3" w14:textId="3830B9EF" w:rsidR="00A34CC7" w:rsidRDefault="00A34CC7" w:rsidP="00330D80">
      <w:pPr>
        <w:pStyle w:val="BodyTextMain"/>
        <w:rPr>
          <w:lang w:val="en-CA" w:eastAsia="en-CA"/>
        </w:rPr>
      </w:pPr>
      <w:r w:rsidRPr="00330D80">
        <w:rPr>
          <w:lang w:val="en-CA" w:eastAsia="en-CA"/>
        </w:rPr>
        <w:t xml:space="preserve">In 2013, the gift shop’s declining revenues led Sam Hong to conclude that it was time to close the shop that he had owned and operated for 25 years since emigrating from Korea. His monthly rent to the Aspen over the past year had been $1,204. He had offered </w:t>
      </w:r>
      <w:r>
        <w:rPr>
          <w:lang w:val="en-CA" w:eastAsia="en-CA"/>
        </w:rPr>
        <w:t xml:space="preserve">his customers </w:t>
      </w:r>
      <w:r w:rsidRPr="00330D80">
        <w:rPr>
          <w:lang w:val="en-CA" w:eastAsia="en-CA"/>
        </w:rPr>
        <w:t xml:space="preserve">a best price guarantee and had a quieter location than gift shops in the downtown core. However, his </w:t>
      </w:r>
      <w:r>
        <w:rPr>
          <w:lang w:val="en-CA" w:eastAsia="en-CA"/>
        </w:rPr>
        <w:t>340</w:t>
      </w:r>
      <w:r w:rsidR="004E389B">
        <w:rPr>
          <w:lang w:val="en-CA" w:eastAsia="en-CA"/>
        </w:rPr>
        <w:t>-</w:t>
      </w:r>
      <w:r>
        <w:rPr>
          <w:lang w:val="en-CA" w:eastAsia="en-CA"/>
        </w:rPr>
        <w:t>square</w:t>
      </w:r>
      <w:r w:rsidR="004E389B">
        <w:rPr>
          <w:lang w:val="en-CA" w:eastAsia="en-CA"/>
        </w:rPr>
        <w:t>-</w:t>
      </w:r>
      <w:r>
        <w:rPr>
          <w:lang w:val="en-CA" w:eastAsia="en-CA"/>
        </w:rPr>
        <w:t>foot (31.6</w:t>
      </w:r>
      <w:r w:rsidR="004E389B">
        <w:rPr>
          <w:lang w:val="en-CA" w:eastAsia="en-CA"/>
        </w:rPr>
        <w:t>-</w:t>
      </w:r>
      <w:r>
        <w:rPr>
          <w:lang w:val="en-CA" w:eastAsia="en-CA"/>
        </w:rPr>
        <w:t>square</w:t>
      </w:r>
      <w:r w:rsidR="004E389B">
        <w:rPr>
          <w:lang w:val="en-CA" w:eastAsia="en-CA"/>
        </w:rPr>
        <w:t>-</w:t>
      </w:r>
      <w:r>
        <w:rPr>
          <w:lang w:val="en-CA" w:eastAsia="en-CA"/>
        </w:rPr>
        <w:t xml:space="preserve">metre) </w:t>
      </w:r>
      <w:r w:rsidRPr="00330D80">
        <w:rPr>
          <w:lang w:val="en-CA" w:eastAsia="en-CA"/>
        </w:rPr>
        <w:t>shop faced stiff competition from an array of gift shops, both within Banff and two other t</w:t>
      </w:r>
      <w:r>
        <w:rPr>
          <w:lang w:val="en-CA" w:eastAsia="en-CA"/>
        </w:rPr>
        <w:t>ourist communities</w:t>
      </w:r>
      <w:r w:rsidR="004E389B">
        <w:rPr>
          <w:lang w:val="en-CA" w:eastAsia="en-CA"/>
        </w:rPr>
        <w:t>—</w:t>
      </w:r>
      <w:r w:rsidRPr="00330D80">
        <w:rPr>
          <w:lang w:val="en-CA" w:eastAsia="en-CA"/>
        </w:rPr>
        <w:t>Lake Louise and Jasper. The industry was going through a period of consolidation, and this was evident even in Banff. Three of the larger gift and souvenir shops on Banff Avenue were owned by the same company, and they were just two blocks away from the Aspen.</w:t>
      </w:r>
      <w:r>
        <w:rPr>
          <w:lang w:val="en-CA" w:eastAsia="en-CA"/>
        </w:rPr>
        <w:t xml:space="preserve"> </w:t>
      </w:r>
      <w:r w:rsidRPr="00330D80">
        <w:rPr>
          <w:lang w:val="en-CA" w:eastAsia="en-CA"/>
        </w:rPr>
        <w:t xml:space="preserve">Since </w:t>
      </w:r>
      <w:r>
        <w:rPr>
          <w:lang w:val="en-CA" w:eastAsia="en-CA"/>
        </w:rPr>
        <w:t>Hong</w:t>
      </w:r>
      <w:r w:rsidRPr="00330D80">
        <w:rPr>
          <w:lang w:val="en-CA" w:eastAsia="en-CA"/>
        </w:rPr>
        <w:t xml:space="preserve"> also managed the hotel’s breakfast room, </w:t>
      </w:r>
      <w:r>
        <w:rPr>
          <w:lang w:val="en-CA" w:eastAsia="en-CA"/>
        </w:rPr>
        <w:t>he</w:t>
      </w:r>
      <w:r w:rsidRPr="00330D80">
        <w:rPr>
          <w:lang w:val="en-CA" w:eastAsia="en-CA"/>
        </w:rPr>
        <w:t xml:space="preserve"> would continue to work for the Aspen, but the closure of the gift shop meant that his wife would be out of a job.</w:t>
      </w:r>
    </w:p>
    <w:p w14:paraId="66060E80" w14:textId="77777777" w:rsidR="00A34CC7" w:rsidRPr="008F6306" w:rsidRDefault="00A34CC7" w:rsidP="00330D80">
      <w:pPr>
        <w:pStyle w:val="BodyTextMain"/>
        <w:rPr>
          <w:sz w:val="18"/>
          <w:szCs w:val="18"/>
          <w:lang w:val="en-CA" w:eastAsia="en-CA"/>
        </w:rPr>
      </w:pPr>
    </w:p>
    <w:p w14:paraId="11673EC9" w14:textId="77777777" w:rsidR="00A34CC7" w:rsidRPr="008F6306" w:rsidRDefault="00A34CC7" w:rsidP="00330D80">
      <w:pPr>
        <w:pStyle w:val="BodyTextMain"/>
        <w:rPr>
          <w:sz w:val="18"/>
          <w:szCs w:val="18"/>
          <w:lang w:val="en-CA" w:eastAsia="en-CA"/>
        </w:rPr>
      </w:pPr>
    </w:p>
    <w:p w14:paraId="40E06948" w14:textId="77777777" w:rsidR="00A34CC7" w:rsidRDefault="00A34CC7" w:rsidP="00EC35B5">
      <w:pPr>
        <w:pStyle w:val="Casehead1"/>
        <w:outlineLvl w:val="0"/>
        <w:rPr>
          <w:lang w:val="en-CA" w:eastAsia="en-CA"/>
        </w:rPr>
      </w:pPr>
      <w:r w:rsidRPr="00330D80">
        <w:rPr>
          <w:lang w:val="en-CA" w:eastAsia="en-CA"/>
        </w:rPr>
        <w:t>Options under Consideration</w:t>
      </w:r>
    </w:p>
    <w:p w14:paraId="7C33B4D6" w14:textId="77777777" w:rsidR="00A34CC7" w:rsidRPr="008F6306" w:rsidRDefault="00A34CC7" w:rsidP="00330D80">
      <w:pPr>
        <w:pStyle w:val="BodyTextMain"/>
        <w:rPr>
          <w:sz w:val="18"/>
          <w:szCs w:val="18"/>
          <w:lang w:val="en-CA" w:eastAsia="en-CA"/>
        </w:rPr>
      </w:pPr>
    </w:p>
    <w:p w14:paraId="66AD7318" w14:textId="00678B54" w:rsidR="00A34CC7" w:rsidRDefault="00A34CC7" w:rsidP="00330D80">
      <w:pPr>
        <w:pStyle w:val="BodyTextMain"/>
        <w:rPr>
          <w:lang w:val="en-CA" w:eastAsia="en-CA"/>
        </w:rPr>
      </w:pPr>
      <w:r w:rsidRPr="00330D80">
        <w:rPr>
          <w:lang w:val="en-CA" w:eastAsia="en-CA"/>
        </w:rPr>
        <w:t xml:space="preserve">With the closure of the gift shop, Barr was considering other potential uses for the space (see Exhibit 3) that would fit with the Aspen’s differentiation strategy. Alternatives he was considering included opening a café, opening a restaurant, or using the space as a second lounge area for guests so he could focus on making the Aspen the number one mid-scale property in Banff by developing new potential markets and by continuing to enhance customer service to ensure repeat customers. </w:t>
      </w:r>
    </w:p>
    <w:p w14:paraId="27255B94" w14:textId="77777777" w:rsidR="00A34CC7" w:rsidRPr="008F6306" w:rsidRDefault="00A34CC7" w:rsidP="00330D80">
      <w:pPr>
        <w:pStyle w:val="BodyTextMain"/>
        <w:rPr>
          <w:sz w:val="18"/>
          <w:szCs w:val="18"/>
          <w:lang w:val="en-CA" w:eastAsia="en-CA"/>
        </w:rPr>
      </w:pPr>
    </w:p>
    <w:p w14:paraId="5F36F9E8" w14:textId="3E135BAA" w:rsidR="00A34CC7" w:rsidRDefault="00A34CC7" w:rsidP="00330D80">
      <w:pPr>
        <w:pStyle w:val="BodyTextMain"/>
        <w:rPr>
          <w:lang w:val="en-CA" w:eastAsia="en-CA"/>
        </w:rPr>
      </w:pPr>
      <w:r w:rsidRPr="00330D80">
        <w:rPr>
          <w:lang w:val="en-CA" w:eastAsia="en-CA"/>
        </w:rPr>
        <w:t>Opening a café or restaurant would give the Aspen greater access to the food and beverage sector of the tourism economy in Banff. Roughly 75 cents was spent on food and beverage</w:t>
      </w:r>
      <w:r>
        <w:rPr>
          <w:lang w:val="en-CA" w:eastAsia="en-CA"/>
        </w:rPr>
        <w:t>s</w:t>
      </w:r>
      <w:r w:rsidRPr="00330D80">
        <w:rPr>
          <w:lang w:val="en-CA" w:eastAsia="en-CA"/>
        </w:rPr>
        <w:t xml:space="preserve"> for every dollar spent on accommodation in Banff.</w:t>
      </w:r>
      <w:r w:rsidRPr="00EC35B5">
        <w:rPr>
          <w:rStyle w:val="EndnoteReference"/>
        </w:rPr>
        <w:endnoteReference w:id="26"/>
      </w:r>
      <w:r w:rsidRPr="00330D80">
        <w:rPr>
          <w:lang w:val="en-CA" w:eastAsia="en-CA"/>
        </w:rPr>
        <w:t xml:space="preserve"> </w:t>
      </w:r>
    </w:p>
    <w:p w14:paraId="5B1E1B83" w14:textId="77777777" w:rsidR="00A34CC7" w:rsidRPr="008F6306" w:rsidRDefault="00A34CC7" w:rsidP="00330D80">
      <w:pPr>
        <w:pStyle w:val="BodyTextMain"/>
        <w:rPr>
          <w:sz w:val="18"/>
          <w:szCs w:val="18"/>
          <w:lang w:val="en-CA" w:eastAsia="en-CA"/>
        </w:rPr>
      </w:pPr>
    </w:p>
    <w:p w14:paraId="2D124F73" w14:textId="77777777" w:rsidR="00A34CC7" w:rsidRDefault="00A34CC7" w:rsidP="00330D80">
      <w:pPr>
        <w:pStyle w:val="BodyTextMain"/>
        <w:rPr>
          <w:lang w:val="en-CA" w:eastAsia="en-CA"/>
        </w:rPr>
      </w:pPr>
      <w:r w:rsidRPr="00330D80">
        <w:rPr>
          <w:lang w:val="en-CA" w:eastAsia="en-CA"/>
        </w:rPr>
        <w:t>The gift shop had been run by Hong and his wife, but the Aspen would be responsible for staffing either a café or restaurant. While resort employees and managers were flexible and well-trained, and retention rates were higher than industry norms, Barr knew it would be a challenge to ensure that the Aspen’s exceptional service was maintained across complementary products and services provided by a café or restaurant. Managing and staffing a restaurant, in particular, would require a significant number of new hires. And, while the Aspen was famous for its breakfast buffet, managing a full-service restaurant would be significantly more time-consuming.</w:t>
      </w:r>
    </w:p>
    <w:p w14:paraId="327EC6F8" w14:textId="77777777" w:rsidR="00A34CC7" w:rsidRPr="008F6306" w:rsidRDefault="00A34CC7" w:rsidP="00330D80">
      <w:pPr>
        <w:pStyle w:val="BodyTextMain"/>
        <w:rPr>
          <w:sz w:val="18"/>
          <w:szCs w:val="18"/>
          <w:lang w:val="en-CA" w:eastAsia="en-CA"/>
        </w:rPr>
      </w:pPr>
    </w:p>
    <w:p w14:paraId="44A3E9EA" w14:textId="77777777" w:rsidR="00A34CC7" w:rsidRPr="008F6306" w:rsidRDefault="00A34CC7" w:rsidP="00330D80">
      <w:pPr>
        <w:pStyle w:val="BodyTextMain"/>
        <w:rPr>
          <w:sz w:val="18"/>
          <w:szCs w:val="18"/>
          <w:lang w:val="en-CA" w:eastAsia="en-CA"/>
        </w:rPr>
      </w:pPr>
    </w:p>
    <w:p w14:paraId="5F519D55" w14:textId="77777777" w:rsidR="00A34CC7" w:rsidRDefault="00A34CC7" w:rsidP="00EC35B5">
      <w:pPr>
        <w:pStyle w:val="Casehead2"/>
        <w:outlineLvl w:val="0"/>
        <w:rPr>
          <w:lang w:val="en-CA" w:eastAsia="en-CA"/>
        </w:rPr>
      </w:pPr>
      <w:r w:rsidRPr="00330D80">
        <w:rPr>
          <w:lang w:val="en-CA" w:eastAsia="en-CA"/>
        </w:rPr>
        <w:t xml:space="preserve">Café </w:t>
      </w:r>
    </w:p>
    <w:p w14:paraId="590DB239" w14:textId="77777777" w:rsidR="00A34CC7" w:rsidRPr="008F6306" w:rsidRDefault="00A34CC7" w:rsidP="00330D80">
      <w:pPr>
        <w:pStyle w:val="BodyTextMain"/>
        <w:rPr>
          <w:sz w:val="18"/>
          <w:szCs w:val="18"/>
          <w:lang w:val="en-CA" w:eastAsia="en-CA"/>
        </w:rPr>
      </w:pPr>
    </w:p>
    <w:p w14:paraId="7D7B2792" w14:textId="1E8DF01B" w:rsidR="00A34CC7" w:rsidRDefault="00A34CC7" w:rsidP="00330D80">
      <w:pPr>
        <w:pStyle w:val="BodyTextMain"/>
        <w:rPr>
          <w:lang w:val="en-CA" w:eastAsia="en-CA"/>
        </w:rPr>
      </w:pPr>
      <w:r w:rsidRPr="00330D80">
        <w:rPr>
          <w:lang w:val="en-CA" w:eastAsia="en-CA"/>
        </w:rPr>
        <w:t xml:space="preserve">A daughter of the hotel’s owner, whose interests did not lie in the hotel industry itself, was interested in turning the gift shop space into a small café. However, a café would face competition </w:t>
      </w:r>
      <w:r>
        <w:rPr>
          <w:lang w:val="en-CA" w:eastAsia="en-CA"/>
        </w:rPr>
        <w:t xml:space="preserve">from the </w:t>
      </w:r>
      <w:r w:rsidRPr="00330D80">
        <w:rPr>
          <w:lang w:val="en-CA" w:eastAsia="en-CA"/>
        </w:rPr>
        <w:t xml:space="preserve">Wild Flour </w:t>
      </w:r>
      <w:r>
        <w:rPr>
          <w:lang w:val="en-CA" w:eastAsia="en-CA"/>
        </w:rPr>
        <w:t>Bakery</w:t>
      </w:r>
      <w:r w:rsidRPr="00330D80">
        <w:rPr>
          <w:lang w:val="en-CA" w:eastAsia="en-CA"/>
        </w:rPr>
        <w:t xml:space="preserve">, Banff’s “artisan bakery café,” and franchises such as Starbucks and Evelyn’s </w:t>
      </w:r>
      <w:r>
        <w:rPr>
          <w:lang w:val="en-CA" w:eastAsia="en-CA"/>
        </w:rPr>
        <w:t xml:space="preserve">Coffee Bar, </w:t>
      </w:r>
      <w:r w:rsidRPr="00330D80">
        <w:rPr>
          <w:lang w:val="en-CA" w:eastAsia="en-CA"/>
        </w:rPr>
        <w:t xml:space="preserve">just a </w:t>
      </w:r>
      <w:r w:rsidRPr="00330D80">
        <w:rPr>
          <w:lang w:val="en-CA" w:eastAsia="en-CA"/>
        </w:rPr>
        <w:lastRenderedPageBreak/>
        <w:t xml:space="preserve">few blocks down Banff Avenue. The only Tim Hortons was located near the train and bus terminal several blocks from downtown. For tourists and locals, the Aspen’s corner location on Banff Avenue and Moose Street would be a convenient place to stop. However, a café would be expected to primarily serve hotel guests. Given the Aspen’s goal to become Banff’s number one mid-scale hotel, enhancing the customer experience of guests was more important to the management team than the revenue </w:t>
      </w:r>
      <w:r w:rsidR="00FB5B64">
        <w:rPr>
          <w:lang w:val="en-CA" w:eastAsia="en-CA"/>
        </w:rPr>
        <w:t xml:space="preserve">a café </w:t>
      </w:r>
      <w:r w:rsidRPr="00330D80">
        <w:rPr>
          <w:lang w:val="en-CA" w:eastAsia="en-CA"/>
        </w:rPr>
        <w:t>would generate.</w:t>
      </w:r>
    </w:p>
    <w:p w14:paraId="78A9F755" w14:textId="77777777" w:rsidR="00A34CC7" w:rsidRPr="008F6306" w:rsidRDefault="00A34CC7" w:rsidP="00330D80">
      <w:pPr>
        <w:pStyle w:val="BodyTextMain"/>
        <w:rPr>
          <w:sz w:val="18"/>
          <w:szCs w:val="18"/>
          <w:lang w:val="en-CA" w:eastAsia="en-CA"/>
        </w:rPr>
      </w:pPr>
    </w:p>
    <w:p w14:paraId="2B827C47" w14:textId="4059D805" w:rsidR="00A34CC7" w:rsidRPr="00A34BA3" w:rsidRDefault="00A34CC7" w:rsidP="00330D80">
      <w:pPr>
        <w:pStyle w:val="BodyTextMain"/>
        <w:rPr>
          <w:spacing w:val="-2"/>
          <w:kern w:val="22"/>
          <w:lang w:val="en-CA" w:eastAsia="en-CA"/>
        </w:rPr>
      </w:pPr>
      <w:r w:rsidRPr="00A34BA3">
        <w:rPr>
          <w:spacing w:val="-2"/>
          <w:kern w:val="22"/>
          <w:lang w:val="en-CA" w:eastAsia="en-CA"/>
        </w:rPr>
        <w:t>The coffee industry had seen average annual growth in revenue of 5.7 per cent with profit margins of 7 per cent between 2006 and 2012, and strong growth was expected to continue, particularly for specialty coffee. Two players dominated the coffee shop market space in Canada</w:t>
      </w:r>
      <w:r w:rsidR="00E27091">
        <w:rPr>
          <w:spacing w:val="-2"/>
          <w:kern w:val="22"/>
          <w:lang w:val="en-CA" w:eastAsia="en-CA"/>
        </w:rPr>
        <w:t>—</w:t>
      </w:r>
      <w:r w:rsidRPr="00A34BA3">
        <w:rPr>
          <w:spacing w:val="-2"/>
          <w:kern w:val="22"/>
          <w:lang w:val="en-CA" w:eastAsia="en-CA"/>
        </w:rPr>
        <w:t>Tim Hortons and Starbucks. Fierce competition was expected over the next five years between these large chains and smaller, independent cafés as consumers’ expectations for quality and price were refined. Demand determinants included a higher level of disposable income, convenience, and a rising consciousness about high quality and healthy food choices.</w:t>
      </w:r>
      <w:r w:rsidRPr="00A34BA3">
        <w:rPr>
          <w:rStyle w:val="EndnoteReference"/>
          <w:spacing w:val="-2"/>
          <w:kern w:val="22"/>
        </w:rPr>
        <w:endnoteReference w:id="27"/>
      </w:r>
      <w:r w:rsidRPr="00A34BA3">
        <w:rPr>
          <w:spacing w:val="-2"/>
          <w:kern w:val="22"/>
          <w:lang w:val="en-CA" w:eastAsia="en-CA"/>
        </w:rPr>
        <w:t xml:space="preserve"> </w:t>
      </w:r>
    </w:p>
    <w:p w14:paraId="47E68822" w14:textId="77777777" w:rsidR="00A34CC7" w:rsidRPr="008F6306" w:rsidRDefault="00A34CC7" w:rsidP="00330D80">
      <w:pPr>
        <w:pStyle w:val="BodyTextMain"/>
        <w:rPr>
          <w:sz w:val="18"/>
          <w:szCs w:val="18"/>
          <w:lang w:val="en-CA" w:eastAsia="en-CA"/>
        </w:rPr>
      </w:pPr>
    </w:p>
    <w:p w14:paraId="7201601B" w14:textId="5163C248" w:rsidR="00A34CC7" w:rsidRDefault="00A34CC7" w:rsidP="00330D80">
      <w:pPr>
        <w:pStyle w:val="BodyTextMain"/>
        <w:rPr>
          <w:lang w:val="en-CA" w:eastAsia="en-CA"/>
        </w:rPr>
      </w:pPr>
      <w:r w:rsidRPr="00330D80">
        <w:rPr>
          <w:lang w:val="en-CA" w:eastAsia="en-CA"/>
        </w:rPr>
        <w:t>Key success factors for cafés reflected the concentration and maturity of the industry:</w:t>
      </w:r>
      <w:r w:rsidR="00FB5B64">
        <w:rPr>
          <w:lang w:val="en-CA" w:eastAsia="en-CA"/>
        </w:rPr>
        <w:t xml:space="preserve"> a clear market position against the competition; careful control of costs and waste; </w:t>
      </w:r>
      <w:r w:rsidR="00550388">
        <w:rPr>
          <w:lang w:val="en-CA" w:eastAsia="en-CA"/>
        </w:rPr>
        <w:t xml:space="preserve">the </w:t>
      </w:r>
      <w:r w:rsidR="00FB5B64">
        <w:rPr>
          <w:lang w:val="en-CA" w:eastAsia="en-CA"/>
        </w:rPr>
        <w:t>ability to franchise; access to a multi-skilled and flexible workforce; and a high profile location with easy access and parking.</w:t>
      </w:r>
      <w:r w:rsidRPr="00EC35B5">
        <w:rPr>
          <w:rStyle w:val="EndnoteReference"/>
        </w:rPr>
        <w:endnoteReference w:id="28"/>
      </w:r>
    </w:p>
    <w:p w14:paraId="39D0F142" w14:textId="77777777" w:rsidR="00A34CC7" w:rsidRPr="008F6306" w:rsidRDefault="00A34CC7" w:rsidP="00330D80">
      <w:pPr>
        <w:pStyle w:val="BodyTextMain"/>
        <w:rPr>
          <w:sz w:val="18"/>
          <w:szCs w:val="18"/>
          <w:lang w:val="en-CA" w:eastAsia="en-CA"/>
        </w:rPr>
      </w:pPr>
    </w:p>
    <w:p w14:paraId="1FC437C9" w14:textId="7B7679D5" w:rsidR="00A34CC7" w:rsidRDefault="00A34CC7" w:rsidP="00330D80">
      <w:pPr>
        <w:pStyle w:val="BodyTextMain"/>
        <w:rPr>
          <w:lang w:val="en-CA" w:eastAsia="en-CA"/>
        </w:rPr>
      </w:pPr>
      <w:r w:rsidRPr="00330D80">
        <w:rPr>
          <w:lang w:val="en-CA" w:eastAsia="en-CA"/>
        </w:rPr>
        <w:t xml:space="preserve">A small </w:t>
      </w:r>
      <w:r>
        <w:rPr>
          <w:lang w:val="en-CA" w:eastAsia="en-CA"/>
        </w:rPr>
        <w:t>storefront</w:t>
      </w:r>
      <w:r w:rsidRPr="00330D80">
        <w:rPr>
          <w:lang w:val="en-CA" w:eastAsia="en-CA"/>
        </w:rPr>
        <w:t xml:space="preserve"> café could be added for a minimal capital investment of approximately $60,000. The Aspen’s breakfast room was known for the fresh muffins and sweet</w:t>
      </w:r>
      <w:r>
        <w:rPr>
          <w:lang w:val="en-CA" w:eastAsia="en-CA"/>
        </w:rPr>
        <w:t xml:space="preserve"> loaves</w:t>
      </w:r>
      <w:r w:rsidRPr="00330D80">
        <w:rPr>
          <w:lang w:val="en-CA" w:eastAsia="en-CA"/>
        </w:rPr>
        <w:t xml:space="preserve"> offered as part of its breakfast buffet. </w:t>
      </w:r>
      <w:r>
        <w:rPr>
          <w:lang w:val="en-CA" w:eastAsia="en-CA"/>
        </w:rPr>
        <w:t>The hotel’s</w:t>
      </w:r>
      <w:r w:rsidRPr="00330D80">
        <w:rPr>
          <w:lang w:val="en-CA" w:eastAsia="en-CA"/>
        </w:rPr>
        <w:t xml:space="preserve"> small kitchen could supply the café with a limited menu of quiches and baked goods by extending the baker’s hours, but food would have to be transported from the basement kitchen to the café </w:t>
      </w:r>
      <w:r>
        <w:rPr>
          <w:lang w:val="en-CA" w:eastAsia="en-CA"/>
        </w:rPr>
        <w:t>using</w:t>
      </w:r>
      <w:r w:rsidRPr="00330D80">
        <w:rPr>
          <w:lang w:val="en-CA" w:eastAsia="en-CA"/>
        </w:rPr>
        <w:t xml:space="preserve"> the stairs </w:t>
      </w:r>
      <w:r>
        <w:rPr>
          <w:lang w:val="en-CA" w:eastAsia="en-CA"/>
        </w:rPr>
        <w:t>or the hotel’s single elevator.</w:t>
      </w:r>
    </w:p>
    <w:p w14:paraId="459CE672" w14:textId="77777777" w:rsidR="00A34CC7" w:rsidRPr="008F6306" w:rsidRDefault="00A34CC7" w:rsidP="00330D80">
      <w:pPr>
        <w:pStyle w:val="BodyTextMain"/>
        <w:rPr>
          <w:sz w:val="18"/>
          <w:szCs w:val="18"/>
          <w:lang w:val="en-CA" w:eastAsia="en-CA"/>
        </w:rPr>
      </w:pPr>
    </w:p>
    <w:p w14:paraId="2F4187BF" w14:textId="3B82108C" w:rsidR="00A34CC7" w:rsidRDefault="00A34CC7" w:rsidP="00330D80">
      <w:pPr>
        <w:pStyle w:val="BodyTextMain"/>
        <w:rPr>
          <w:lang w:val="en-CA" w:eastAsia="en-CA"/>
        </w:rPr>
      </w:pPr>
      <w:r w:rsidRPr="00330D80">
        <w:rPr>
          <w:lang w:val="en-CA" w:eastAsia="en-CA"/>
        </w:rPr>
        <w:t xml:space="preserve">Fair trade, organic coffee could be sourced from </w:t>
      </w:r>
      <w:proofErr w:type="spellStart"/>
      <w:r w:rsidRPr="00330D80">
        <w:rPr>
          <w:lang w:val="en-CA" w:eastAsia="en-CA"/>
        </w:rPr>
        <w:t>Moja</w:t>
      </w:r>
      <w:proofErr w:type="spellEnd"/>
      <w:r w:rsidRPr="00330D80">
        <w:rPr>
          <w:lang w:val="en-CA" w:eastAsia="en-CA"/>
        </w:rPr>
        <w:t xml:space="preserve"> Coffee in North Vancouver, and teas were readily available from the Banff Tea Company. This would enable the Aspen to compete in the speciality coffee segment, where coffee was considered an artisanal product</w:t>
      </w:r>
      <w:r w:rsidR="00E27091">
        <w:rPr>
          <w:lang w:val="en-CA" w:eastAsia="en-CA"/>
        </w:rPr>
        <w:t>,</w:t>
      </w:r>
      <w:r w:rsidRPr="00330D80">
        <w:rPr>
          <w:lang w:val="en-CA" w:eastAsia="en-CA"/>
        </w:rPr>
        <w:t xml:space="preserve"> instead of a commodity</w:t>
      </w:r>
      <w:r w:rsidR="00E27091">
        <w:rPr>
          <w:lang w:val="en-CA" w:eastAsia="en-CA"/>
        </w:rPr>
        <w:t>,</w:t>
      </w:r>
      <w:r w:rsidRPr="00330D80">
        <w:rPr>
          <w:lang w:val="en-CA" w:eastAsia="en-CA"/>
        </w:rPr>
        <w:t xml:space="preserve"> and the focus was on creating an experience for the customer. Specialty coffee was one of the fastest-growing segments of the industry.</w:t>
      </w:r>
      <w:r w:rsidRPr="00EC35B5">
        <w:rPr>
          <w:rStyle w:val="EndnoteReference"/>
        </w:rPr>
        <w:endnoteReference w:id="29"/>
      </w:r>
      <w:r w:rsidRPr="00330D80">
        <w:rPr>
          <w:lang w:val="en-CA" w:eastAsia="en-CA"/>
        </w:rPr>
        <w:t xml:space="preserve"> </w:t>
      </w:r>
      <w:r w:rsidR="00AB141C">
        <w:rPr>
          <w:lang w:val="en-CA" w:eastAsia="en-CA"/>
        </w:rPr>
        <w:t>T</w:t>
      </w:r>
      <w:r w:rsidRPr="00330D80">
        <w:rPr>
          <w:lang w:val="en-CA" w:eastAsia="en-CA"/>
        </w:rPr>
        <w:t>he space occupied by the gift shop would not be big enough to provide non-hotel patrons with seating beyond the outside courtyard</w:t>
      </w:r>
      <w:r w:rsidR="00AB141C">
        <w:rPr>
          <w:lang w:val="en-CA" w:eastAsia="en-CA"/>
        </w:rPr>
        <w:t xml:space="preserve">. This courtyard would be a pleasant </w:t>
      </w:r>
      <w:r w:rsidRPr="00330D80">
        <w:rPr>
          <w:lang w:val="en-CA" w:eastAsia="en-CA"/>
        </w:rPr>
        <w:t xml:space="preserve">place to sit in </w:t>
      </w:r>
      <w:r w:rsidR="00AB141C">
        <w:rPr>
          <w:lang w:val="en-CA" w:eastAsia="en-CA"/>
        </w:rPr>
        <w:t xml:space="preserve">late spring, summer, and early fall, but it would be a chilly place to sit in </w:t>
      </w:r>
      <w:r w:rsidRPr="00330D80">
        <w:rPr>
          <w:lang w:val="en-CA" w:eastAsia="en-CA"/>
        </w:rPr>
        <w:t>the Alberta winter!</w:t>
      </w:r>
      <w:r w:rsidR="00AB141C">
        <w:rPr>
          <w:lang w:val="en-CA" w:eastAsia="en-CA"/>
        </w:rPr>
        <w:t xml:space="preserve"> </w:t>
      </w:r>
    </w:p>
    <w:p w14:paraId="0001662F" w14:textId="77777777" w:rsidR="00A34CC7" w:rsidRPr="008F6306" w:rsidRDefault="00A34CC7" w:rsidP="00330D80">
      <w:pPr>
        <w:pStyle w:val="BodyTextMain"/>
        <w:rPr>
          <w:sz w:val="18"/>
          <w:szCs w:val="18"/>
          <w:lang w:val="en-CA" w:eastAsia="en-CA"/>
        </w:rPr>
      </w:pPr>
    </w:p>
    <w:p w14:paraId="50B9CA9A" w14:textId="51C11B9F" w:rsidR="00A34CC7" w:rsidRDefault="00A34CC7" w:rsidP="00330D80">
      <w:pPr>
        <w:pStyle w:val="BodyTextMain"/>
        <w:rPr>
          <w:lang w:val="en-CA" w:eastAsia="en-CA"/>
        </w:rPr>
      </w:pPr>
      <w:r w:rsidRPr="00330D80">
        <w:rPr>
          <w:lang w:val="en-CA" w:eastAsia="en-CA"/>
        </w:rPr>
        <w:t>Barr conservatively estimated that a café could serve 20 customers per hour over the course of an 11-hour day, from 6:30 a.m. to 5:30 p.m. Purchases such as a cappuccino or latt</w:t>
      </w:r>
      <w:r w:rsidR="00E27091">
        <w:rPr>
          <w:lang w:val="en-CA" w:eastAsia="en-CA"/>
        </w:rPr>
        <w:t>e</w:t>
      </w:r>
      <w:r w:rsidRPr="00330D80">
        <w:rPr>
          <w:lang w:val="en-CA" w:eastAsia="en-CA"/>
        </w:rPr>
        <w:t xml:space="preserve"> and a sweet treat or light lunch would yield an average revenue per customer of $5.00.</w:t>
      </w:r>
    </w:p>
    <w:p w14:paraId="029E5243" w14:textId="77777777" w:rsidR="00A34CC7" w:rsidRPr="008F6306" w:rsidRDefault="00A34CC7" w:rsidP="00330D80">
      <w:pPr>
        <w:pStyle w:val="BodyTextMain"/>
        <w:rPr>
          <w:sz w:val="18"/>
          <w:szCs w:val="18"/>
          <w:lang w:val="en-CA" w:eastAsia="en-CA"/>
        </w:rPr>
      </w:pPr>
    </w:p>
    <w:p w14:paraId="0EC68D4A" w14:textId="77777777" w:rsidR="00A34CC7" w:rsidRPr="008F6306" w:rsidRDefault="00A34CC7" w:rsidP="00330D80">
      <w:pPr>
        <w:pStyle w:val="BodyTextMain"/>
        <w:rPr>
          <w:sz w:val="18"/>
          <w:szCs w:val="18"/>
          <w:lang w:val="en-CA" w:eastAsia="en-CA"/>
        </w:rPr>
      </w:pPr>
    </w:p>
    <w:p w14:paraId="72270528" w14:textId="77777777" w:rsidR="00A34CC7" w:rsidRDefault="00A34CC7" w:rsidP="00EC35B5">
      <w:pPr>
        <w:pStyle w:val="Casehead2"/>
        <w:outlineLvl w:val="0"/>
        <w:rPr>
          <w:lang w:val="en-CA" w:eastAsia="en-CA"/>
        </w:rPr>
      </w:pPr>
      <w:r w:rsidRPr="00330D80">
        <w:rPr>
          <w:lang w:val="en-CA" w:eastAsia="en-CA"/>
        </w:rPr>
        <w:t>Restaurant</w:t>
      </w:r>
    </w:p>
    <w:p w14:paraId="5DFDC5FE" w14:textId="77777777" w:rsidR="00A34CC7" w:rsidRPr="008F6306" w:rsidRDefault="00A34CC7" w:rsidP="00330D80">
      <w:pPr>
        <w:pStyle w:val="BodyTextMain"/>
        <w:rPr>
          <w:sz w:val="18"/>
          <w:szCs w:val="18"/>
          <w:lang w:val="en-CA" w:eastAsia="en-CA"/>
        </w:rPr>
      </w:pPr>
    </w:p>
    <w:p w14:paraId="6BA181DB" w14:textId="0D79CC36" w:rsidR="00A34CC7" w:rsidRDefault="00A34CC7" w:rsidP="00330D80">
      <w:pPr>
        <w:pStyle w:val="BodyTextMain"/>
        <w:rPr>
          <w:lang w:val="en-CA" w:eastAsia="en-CA"/>
        </w:rPr>
      </w:pPr>
      <w:r w:rsidRPr="00330D80">
        <w:rPr>
          <w:lang w:val="en-CA" w:eastAsia="en-CA"/>
        </w:rPr>
        <w:t xml:space="preserve">Another alternative to consider was opening a restaurant. This, too, would provide added value to the guests, who currently enjoyed a superb breakfast buffet each morning but went to neighbouring hotels or downtown restaurants for lunch and dinner. </w:t>
      </w:r>
      <w:r>
        <w:rPr>
          <w:lang w:val="en-CA" w:eastAsia="en-CA"/>
        </w:rPr>
        <w:t>A restaurant</w:t>
      </w:r>
      <w:r w:rsidRPr="00330D80">
        <w:rPr>
          <w:lang w:val="en-CA" w:eastAsia="en-CA"/>
        </w:rPr>
        <w:t xml:space="preserve"> would support management’s desire to offer full-time employment to the breakfast room staff. However, hiring additional chefs and cooks might be a challenge since vacancy rates in Banff were 12.4 per</w:t>
      </w:r>
      <w:r>
        <w:rPr>
          <w:lang w:val="en-CA" w:eastAsia="en-CA"/>
        </w:rPr>
        <w:t xml:space="preserve"> </w:t>
      </w:r>
      <w:r w:rsidRPr="00330D80">
        <w:rPr>
          <w:lang w:val="en-CA" w:eastAsia="en-CA"/>
        </w:rPr>
        <w:t>cent for chefs and 13 per</w:t>
      </w:r>
      <w:r>
        <w:rPr>
          <w:lang w:val="en-CA" w:eastAsia="en-CA"/>
        </w:rPr>
        <w:t xml:space="preserve"> </w:t>
      </w:r>
      <w:r w:rsidRPr="00330D80">
        <w:rPr>
          <w:lang w:val="en-CA" w:eastAsia="en-CA"/>
        </w:rPr>
        <w:t>cent for cooks, significantly higher than the provincial vacancy rates (11.8 per</w:t>
      </w:r>
      <w:r>
        <w:rPr>
          <w:lang w:val="en-CA" w:eastAsia="en-CA"/>
        </w:rPr>
        <w:t xml:space="preserve"> </w:t>
      </w:r>
      <w:r w:rsidRPr="00330D80">
        <w:rPr>
          <w:lang w:val="en-CA" w:eastAsia="en-CA"/>
        </w:rPr>
        <w:t>cent and</w:t>
      </w:r>
      <w:r>
        <w:rPr>
          <w:lang w:val="en-CA" w:eastAsia="en-CA"/>
        </w:rPr>
        <w:t xml:space="preserve"> </w:t>
      </w:r>
      <w:r w:rsidRPr="00330D80">
        <w:rPr>
          <w:lang w:val="en-CA" w:eastAsia="en-CA"/>
        </w:rPr>
        <w:t>7.9 per</w:t>
      </w:r>
      <w:r>
        <w:rPr>
          <w:lang w:val="en-CA" w:eastAsia="en-CA"/>
        </w:rPr>
        <w:t xml:space="preserve"> </w:t>
      </w:r>
      <w:r w:rsidRPr="00330D80">
        <w:rPr>
          <w:lang w:val="en-CA" w:eastAsia="en-CA"/>
        </w:rPr>
        <w:t>cent respectively).</w:t>
      </w:r>
      <w:r w:rsidRPr="00EC35B5">
        <w:rPr>
          <w:rStyle w:val="EndnoteReference"/>
        </w:rPr>
        <w:endnoteReference w:id="30"/>
      </w:r>
    </w:p>
    <w:p w14:paraId="2DFF8D92" w14:textId="77777777" w:rsidR="00A34CC7" w:rsidRPr="008F6306" w:rsidRDefault="00A34CC7" w:rsidP="00330D80">
      <w:pPr>
        <w:pStyle w:val="BodyTextMain"/>
        <w:rPr>
          <w:sz w:val="18"/>
          <w:szCs w:val="18"/>
          <w:lang w:val="en-CA" w:eastAsia="en-CA"/>
        </w:rPr>
      </w:pPr>
    </w:p>
    <w:p w14:paraId="04F3F1EB" w14:textId="32F90803" w:rsidR="00A34CC7" w:rsidRDefault="00A34CC7" w:rsidP="00330D80">
      <w:pPr>
        <w:pStyle w:val="BodyTextMain"/>
        <w:rPr>
          <w:lang w:val="en-CA" w:eastAsia="en-CA"/>
        </w:rPr>
      </w:pPr>
      <w:r w:rsidRPr="00330D80">
        <w:rPr>
          <w:lang w:val="en-CA" w:eastAsia="en-CA"/>
        </w:rPr>
        <w:t xml:space="preserve">Banff was home to more than </w:t>
      </w:r>
      <w:r>
        <w:rPr>
          <w:lang w:val="en-CA" w:eastAsia="en-CA"/>
        </w:rPr>
        <w:t>50</w:t>
      </w:r>
      <w:r w:rsidRPr="00330D80">
        <w:rPr>
          <w:lang w:val="en-CA" w:eastAsia="en-CA"/>
        </w:rPr>
        <w:t xml:space="preserve"> restaurants, including large chains (Chili’s</w:t>
      </w:r>
      <w:r>
        <w:rPr>
          <w:lang w:val="en-CA" w:eastAsia="en-CA"/>
        </w:rPr>
        <w:t xml:space="preserve"> Grill and Bar</w:t>
      </w:r>
      <w:r w:rsidRPr="00330D80">
        <w:rPr>
          <w:lang w:val="en-CA" w:eastAsia="en-CA"/>
        </w:rPr>
        <w:t>, The Keg</w:t>
      </w:r>
      <w:r>
        <w:rPr>
          <w:lang w:val="en-CA" w:eastAsia="en-CA"/>
        </w:rPr>
        <w:t xml:space="preserve"> Steakhouse and Bar</w:t>
      </w:r>
      <w:r w:rsidRPr="00330D80">
        <w:rPr>
          <w:lang w:val="en-CA" w:eastAsia="en-CA"/>
        </w:rPr>
        <w:t>, and Tony Roma’s</w:t>
      </w:r>
      <w:r>
        <w:rPr>
          <w:lang w:val="en-CA" w:eastAsia="en-CA"/>
        </w:rPr>
        <w:t xml:space="preserve"> Steakhouse Restaurant</w:t>
      </w:r>
      <w:r w:rsidRPr="00330D80">
        <w:rPr>
          <w:lang w:val="en-CA" w:eastAsia="en-CA"/>
        </w:rPr>
        <w:t xml:space="preserve">) and independently-owned operations (Meatball Pizza and Pasta, </w:t>
      </w:r>
      <w:r>
        <w:rPr>
          <w:lang w:val="en-CA" w:eastAsia="en-CA"/>
        </w:rPr>
        <w:t xml:space="preserve">The </w:t>
      </w:r>
      <w:r w:rsidRPr="00330D80">
        <w:rPr>
          <w:lang w:val="en-CA" w:eastAsia="en-CA"/>
        </w:rPr>
        <w:t>Grizzly House, and Three Ravens Restaurant</w:t>
      </w:r>
      <w:r>
        <w:rPr>
          <w:lang w:val="en-CA" w:eastAsia="en-CA"/>
        </w:rPr>
        <w:t xml:space="preserve"> and Wine Bar</w:t>
      </w:r>
      <w:r w:rsidRPr="00330D80">
        <w:rPr>
          <w:lang w:val="en-CA" w:eastAsia="en-CA"/>
        </w:rPr>
        <w:t xml:space="preserve">). There were numerous restaurants within a few blocks of the Aspen, </w:t>
      </w:r>
      <w:r>
        <w:rPr>
          <w:lang w:val="en-CA" w:eastAsia="en-CA"/>
        </w:rPr>
        <w:t>12</w:t>
      </w:r>
      <w:r w:rsidRPr="00330D80">
        <w:rPr>
          <w:lang w:val="en-CA" w:eastAsia="en-CA"/>
        </w:rPr>
        <w:t xml:space="preserve"> of which were housed in nearby hotels. </w:t>
      </w:r>
    </w:p>
    <w:p w14:paraId="63BB1205" w14:textId="77777777" w:rsidR="00A34CC7" w:rsidRPr="00A34BA3" w:rsidRDefault="00A34CC7" w:rsidP="00330D80">
      <w:pPr>
        <w:pStyle w:val="BodyTextMain"/>
        <w:rPr>
          <w:sz w:val="18"/>
          <w:szCs w:val="18"/>
          <w:lang w:val="en-CA" w:eastAsia="en-CA"/>
        </w:rPr>
      </w:pPr>
    </w:p>
    <w:p w14:paraId="3FE6D9CE" w14:textId="2CB83422" w:rsidR="00A34CC7" w:rsidRDefault="00A34CC7" w:rsidP="00330D80">
      <w:pPr>
        <w:pStyle w:val="BodyTextMain"/>
        <w:rPr>
          <w:lang w:val="en-CA" w:eastAsia="en-CA"/>
        </w:rPr>
      </w:pPr>
      <w:r w:rsidRPr="00330D80">
        <w:rPr>
          <w:lang w:val="en-CA" w:eastAsia="en-CA"/>
        </w:rPr>
        <w:lastRenderedPageBreak/>
        <w:t>Key success factors were similar to those for the café sector: access to a multi-skilled and flexible workforce</w:t>
      </w:r>
      <w:r>
        <w:rPr>
          <w:lang w:val="en-CA" w:eastAsia="en-CA"/>
        </w:rPr>
        <w:t>,</w:t>
      </w:r>
      <w:r w:rsidRPr="00330D80">
        <w:rPr>
          <w:lang w:val="en-CA" w:eastAsia="en-CA"/>
        </w:rPr>
        <w:t xml:space="preserve"> location and proximity to key target markets</w:t>
      </w:r>
      <w:r>
        <w:rPr>
          <w:lang w:val="en-CA" w:eastAsia="en-CA"/>
        </w:rPr>
        <w:t>,</w:t>
      </w:r>
      <w:r w:rsidRPr="00330D80">
        <w:rPr>
          <w:lang w:val="en-CA" w:eastAsia="en-CA"/>
        </w:rPr>
        <w:t xml:space="preserve"> ability to control stock and costs</w:t>
      </w:r>
      <w:r>
        <w:rPr>
          <w:lang w:val="en-CA" w:eastAsia="en-CA"/>
        </w:rPr>
        <w:t>,</w:t>
      </w:r>
      <w:r w:rsidRPr="00330D80">
        <w:rPr>
          <w:lang w:val="en-CA" w:eastAsia="en-CA"/>
        </w:rPr>
        <w:t xml:space="preserve"> an appropriate pricing policy</w:t>
      </w:r>
      <w:r>
        <w:rPr>
          <w:lang w:val="en-CA" w:eastAsia="en-CA"/>
        </w:rPr>
        <w:t>,</w:t>
      </w:r>
      <w:r w:rsidRPr="00330D80">
        <w:rPr>
          <w:lang w:val="en-CA" w:eastAsia="en-CA"/>
        </w:rPr>
        <w:t xml:space="preserve"> and a clear market position. While restaurants were subject to a low level of capital intensity once up and running, the entry costs could be high.</w:t>
      </w:r>
      <w:r w:rsidRPr="00EC35B5">
        <w:rPr>
          <w:rStyle w:val="EndnoteReference"/>
        </w:rPr>
        <w:endnoteReference w:id="31"/>
      </w:r>
      <w:r w:rsidRPr="00330D80">
        <w:rPr>
          <w:lang w:val="en-CA" w:eastAsia="en-CA"/>
        </w:rPr>
        <w:t xml:space="preserve"> As well, a liquor licen</w:t>
      </w:r>
      <w:r>
        <w:rPr>
          <w:lang w:val="en-CA" w:eastAsia="en-CA"/>
        </w:rPr>
        <w:t>c</w:t>
      </w:r>
      <w:r w:rsidRPr="00330D80">
        <w:rPr>
          <w:lang w:val="en-CA" w:eastAsia="en-CA"/>
        </w:rPr>
        <w:t>e would have to be obtained.</w:t>
      </w:r>
    </w:p>
    <w:p w14:paraId="163E7D6B" w14:textId="77777777" w:rsidR="00A34CC7" w:rsidRPr="00A34BA3" w:rsidRDefault="00A34CC7" w:rsidP="00330D80">
      <w:pPr>
        <w:pStyle w:val="BodyTextMain"/>
        <w:rPr>
          <w:sz w:val="18"/>
          <w:szCs w:val="18"/>
          <w:lang w:val="en-CA" w:eastAsia="en-CA"/>
        </w:rPr>
      </w:pPr>
    </w:p>
    <w:p w14:paraId="765E3395" w14:textId="10694DA2" w:rsidR="00A34CC7" w:rsidRDefault="00856F43" w:rsidP="00330D80">
      <w:pPr>
        <w:pStyle w:val="BodyTextMain"/>
        <w:rPr>
          <w:lang w:val="en-CA" w:eastAsia="en-CA"/>
        </w:rPr>
      </w:pPr>
      <w:r>
        <w:rPr>
          <w:lang w:val="en-CA" w:eastAsia="en-CA"/>
        </w:rPr>
        <w:t xml:space="preserve">As with a café, the main goal </w:t>
      </w:r>
      <w:r w:rsidR="00A34CC7" w:rsidRPr="00330D80">
        <w:rPr>
          <w:lang w:val="en-CA" w:eastAsia="en-CA"/>
        </w:rPr>
        <w:t xml:space="preserve">of the restaurant would be to enhance the experience of hotel customers, </w:t>
      </w:r>
      <w:r>
        <w:rPr>
          <w:lang w:val="en-CA" w:eastAsia="en-CA"/>
        </w:rPr>
        <w:t xml:space="preserve">but </w:t>
      </w:r>
      <w:r w:rsidR="00A34CC7" w:rsidRPr="00330D80">
        <w:rPr>
          <w:lang w:val="en-CA" w:eastAsia="en-CA"/>
        </w:rPr>
        <w:t xml:space="preserve">unlike a café, a restaurant would not be sustainable unless it could attract a reasonable share of other tourists </w:t>
      </w:r>
      <w:r w:rsidR="00A34CC7">
        <w:rPr>
          <w:lang w:val="en-CA" w:eastAsia="en-CA"/>
        </w:rPr>
        <w:t>visiting</w:t>
      </w:r>
      <w:r w:rsidR="00A34CC7" w:rsidRPr="00330D80">
        <w:rPr>
          <w:lang w:val="en-CA" w:eastAsia="en-CA"/>
        </w:rPr>
        <w:t xml:space="preserve"> the Banff area. Yet</w:t>
      </w:r>
      <w:r w:rsidR="00E27091">
        <w:rPr>
          <w:lang w:val="en-CA" w:eastAsia="en-CA"/>
        </w:rPr>
        <w:t>,</w:t>
      </w:r>
      <w:r w:rsidR="00A34CC7" w:rsidRPr="00330D80">
        <w:rPr>
          <w:lang w:val="en-CA" w:eastAsia="en-CA"/>
        </w:rPr>
        <w:t xml:space="preserve"> the space provided by the breakfast room was not ideal for a restaurant</w:t>
      </w:r>
      <w:r w:rsidR="00E27091">
        <w:rPr>
          <w:lang w:val="en-CA" w:eastAsia="en-CA"/>
        </w:rPr>
        <w:t>,</w:t>
      </w:r>
      <w:r w:rsidR="00A34CC7" w:rsidRPr="00330D80">
        <w:rPr>
          <w:lang w:val="en-CA" w:eastAsia="en-CA"/>
        </w:rPr>
        <w:t xml:space="preserve"> if the Aspen wanted to attract non-hotel guests. The </w:t>
      </w:r>
      <w:r w:rsidR="00F03B91">
        <w:rPr>
          <w:lang w:val="en-CA" w:eastAsia="en-CA"/>
        </w:rPr>
        <w:t xml:space="preserve">basement breakfast </w:t>
      </w:r>
      <w:r w:rsidR="00A34CC7" w:rsidRPr="00330D80">
        <w:rPr>
          <w:lang w:val="en-CA" w:eastAsia="en-CA"/>
        </w:rPr>
        <w:t xml:space="preserve">room had a capacity of </w:t>
      </w:r>
      <w:r w:rsidR="00E27091">
        <w:rPr>
          <w:lang w:val="en-CA" w:eastAsia="en-CA"/>
        </w:rPr>
        <w:t>60 patrons</w:t>
      </w:r>
      <w:r w:rsidR="00A34CC7" w:rsidRPr="00330D80">
        <w:rPr>
          <w:lang w:val="en-CA" w:eastAsia="en-CA"/>
        </w:rPr>
        <w:t xml:space="preserve"> and it lacked the </w:t>
      </w:r>
      <w:r w:rsidR="00A34CC7">
        <w:rPr>
          <w:lang w:val="en-CA" w:eastAsia="en-CA"/>
        </w:rPr>
        <w:t xml:space="preserve">storefront, </w:t>
      </w:r>
      <w:r w:rsidR="00A34CC7" w:rsidRPr="00330D80">
        <w:rPr>
          <w:lang w:val="en-CA" w:eastAsia="en-CA"/>
        </w:rPr>
        <w:t>street</w:t>
      </w:r>
      <w:r w:rsidR="00A34CC7">
        <w:rPr>
          <w:lang w:val="en-CA" w:eastAsia="en-CA"/>
        </w:rPr>
        <w:t xml:space="preserve"> </w:t>
      </w:r>
      <w:r w:rsidR="00A34CC7" w:rsidRPr="00330D80">
        <w:rPr>
          <w:lang w:val="en-CA" w:eastAsia="en-CA"/>
        </w:rPr>
        <w:t xml:space="preserve">access that restaurants in nearby competing hotels offered. While the basement was fine for breakfast, visitors to Banff wanted to soak in the mountain views over a leisurely dinner in the evening. </w:t>
      </w:r>
      <w:r w:rsidR="00F03B91">
        <w:rPr>
          <w:lang w:val="en-CA" w:eastAsia="en-CA"/>
        </w:rPr>
        <w:t>Therefore, e</w:t>
      </w:r>
      <w:r w:rsidR="00A34CC7" w:rsidRPr="00330D80">
        <w:rPr>
          <w:lang w:val="en-CA" w:eastAsia="en-CA"/>
        </w:rPr>
        <w:t xml:space="preserve">xtensive renovations to the front lobby and conversion of one guest room across from the elevator (Room 110) would be required to launch a </w:t>
      </w:r>
      <w:r w:rsidR="00F03B91">
        <w:rPr>
          <w:lang w:val="en-CA" w:eastAsia="en-CA"/>
        </w:rPr>
        <w:t xml:space="preserve">new </w:t>
      </w:r>
      <w:r w:rsidR="00A34CC7">
        <w:rPr>
          <w:lang w:val="en-CA" w:eastAsia="en-CA"/>
        </w:rPr>
        <w:t>storefront</w:t>
      </w:r>
      <w:r w:rsidR="00A34CC7" w:rsidRPr="00330D80">
        <w:rPr>
          <w:lang w:val="en-CA" w:eastAsia="en-CA"/>
        </w:rPr>
        <w:t xml:space="preserve"> restaurant (see Exhibit 3). Like all businesses in Banff,</w:t>
      </w:r>
      <w:r w:rsidR="00A34CC7" w:rsidRPr="00330D80" w:rsidDel="00584C75">
        <w:rPr>
          <w:lang w:val="en-CA" w:eastAsia="en-CA"/>
        </w:rPr>
        <w:t xml:space="preserve"> </w:t>
      </w:r>
      <w:r w:rsidR="00A34CC7" w:rsidRPr="00330D80">
        <w:rPr>
          <w:lang w:val="en-CA" w:eastAsia="en-CA"/>
        </w:rPr>
        <w:t xml:space="preserve">the Aspen was not able to expand its “footprint,” so it would have to work within existing space constraints. </w:t>
      </w:r>
    </w:p>
    <w:p w14:paraId="16EDC06F" w14:textId="77777777" w:rsidR="00A34CC7" w:rsidRPr="00A34BA3" w:rsidRDefault="00A34CC7" w:rsidP="00330D80">
      <w:pPr>
        <w:pStyle w:val="BodyTextMain"/>
        <w:rPr>
          <w:sz w:val="18"/>
          <w:szCs w:val="18"/>
          <w:lang w:val="en-CA" w:eastAsia="en-CA"/>
        </w:rPr>
      </w:pPr>
    </w:p>
    <w:p w14:paraId="39FC2BFB" w14:textId="079DD587" w:rsidR="00A34CC7" w:rsidRDefault="00A34CC7" w:rsidP="00330D80">
      <w:pPr>
        <w:pStyle w:val="BodyTextMain"/>
        <w:rPr>
          <w:lang w:val="en-CA" w:eastAsia="en-CA"/>
        </w:rPr>
      </w:pPr>
      <w:r w:rsidRPr="00330D80">
        <w:rPr>
          <w:lang w:val="en-CA" w:eastAsia="en-CA"/>
        </w:rPr>
        <w:t>A final constraint was the small kitchen. If the Aspen were to launch a restaurant, the kitchen would need to be expanded</w:t>
      </w:r>
      <w:r w:rsidR="004736E5">
        <w:rPr>
          <w:lang w:val="en-CA" w:eastAsia="en-CA"/>
        </w:rPr>
        <w:t>. T</w:t>
      </w:r>
      <w:r w:rsidRPr="00330D80">
        <w:rPr>
          <w:lang w:val="en-CA" w:eastAsia="en-CA"/>
        </w:rPr>
        <w:t xml:space="preserve">his </w:t>
      </w:r>
      <w:r w:rsidR="004736E5">
        <w:rPr>
          <w:lang w:val="en-CA" w:eastAsia="en-CA"/>
        </w:rPr>
        <w:t xml:space="preserve">change </w:t>
      </w:r>
      <w:r w:rsidRPr="00330D80">
        <w:rPr>
          <w:lang w:val="en-CA" w:eastAsia="en-CA"/>
        </w:rPr>
        <w:t>would reduce the size of the existing breakfast room, likely by 25</w:t>
      </w:r>
      <w:r>
        <w:rPr>
          <w:lang w:val="en-CA" w:eastAsia="en-CA"/>
        </w:rPr>
        <w:t xml:space="preserve"> per cent</w:t>
      </w:r>
      <w:r w:rsidR="004736E5">
        <w:rPr>
          <w:lang w:val="en-CA" w:eastAsia="en-CA"/>
        </w:rPr>
        <w:t>, which</w:t>
      </w:r>
      <w:r w:rsidRPr="00330D80">
        <w:rPr>
          <w:lang w:val="en-CA" w:eastAsia="en-CA"/>
        </w:rPr>
        <w:t xml:space="preserve"> would have an adverse impact on the free breakfast buffet that currently helped differentiate the Aspen, by causing longer line-ups and creating a frantic pace for staff. </w:t>
      </w:r>
    </w:p>
    <w:p w14:paraId="1A3004DE" w14:textId="77777777" w:rsidR="00A34CC7" w:rsidRPr="00A34BA3" w:rsidRDefault="00A34CC7" w:rsidP="00330D80">
      <w:pPr>
        <w:pStyle w:val="BodyTextMain"/>
        <w:rPr>
          <w:sz w:val="18"/>
          <w:szCs w:val="18"/>
          <w:lang w:val="en-CA" w:eastAsia="en-CA"/>
        </w:rPr>
      </w:pPr>
    </w:p>
    <w:p w14:paraId="3F377378" w14:textId="68830FC1" w:rsidR="00A34CC7" w:rsidRDefault="00A34CC7" w:rsidP="00330D80">
      <w:pPr>
        <w:pStyle w:val="BodyTextMain"/>
        <w:rPr>
          <w:lang w:val="en-CA" w:eastAsia="en-CA"/>
        </w:rPr>
      </w:pPr>
      <w:r w:rsidRPr="00330D80">
        <w:rPr>
          <w:lang w:val="en-CA" w:eastAsia="en-CA"/>
        </w:rPr>
        <w:t xml:space="preserve">As well as the renovations to both the lobby and the kitchen, there would be a large difference in equipment requirements. For example, the Aspen would </w:t>
      </w:r>
      <w:r w:rsidR="00EB3E57">
        <w:rPr>
          <w:lang w:val="en-CA" w:eastAsia="en-CA"/>
        </w:rPr>
        <w:t>have</w:t>
      </w:r>
      <w:r w:rsidRPr="00330D80">
        <w:rPr>
          <w:lang w:val="en-CA" w:eastAsia="en-CA"/>
        </w:rPr>
        <w:t xml:space="preserve"> to purchase and install a new stove, flat top ranges, and ovens</w:t>
      </w:r>
      <w:r w:rsidR="00EB3E57">
        <w:rPr>
          <w:lang w:val="en-CA" w:eastAsia="en-CA"/>
        </w:rPr>
        <w:t>;</w:t>
      </w:r>
      <w:r>
        <w:rPr>
          <w:lang w:val="en-CA" w:eastAsia="en-CA"/>
        </w:rPr>
        <w:t xml:space="preserve"> </w:t>
      </w:r>
      <w:r w:rsidRPr="00330D80">
        <w:rPr>
          <w:lang w:val="en-CA" w:eastAsia="en-CA"/>
        </w:rPr>
        <w:t>upgrad</w:t>
      </w:r>
      <w:r w:rsidR="00EB3E57">
        <w:rPr>
          <w:lang w:val="en-CA" w:eastAsia="en-CA"/>
        </w:rPr>
        <w:t>e</w:t>
      </w:r>
      <w:r w:rsidRPr="00330D80">
        <w:rPr>
          <w:lang w:val="en-CA" w:eastAsia="en-CA"/>
        </w:rPr>
        <w:t xml:space="preserve"> the existing ventilation hoods; </w:t>
      </w:r>
      <w:r>
        <w:rPr>
          <w:lang w:val="en-CA" w:eastAsia="en-CA"/>
        </w:rPr>
        <w:t xml:space="preserve">add </w:t>
      </w:r>
      <w:r w:rsidRPr="00330D80">
        <w:rPr>
          <w:lang w:val="en-CA" w:eastAsia="en-CA"/>
        </w:rPr>
        <w:t>prep stations for salads and garnishing</w:t>
      </w:r>
      <w:r w:rsidR="00EB3E57">
        <w:rPr>
          <w:lang w:val="en-CA" w:eastAsia="en-CA"/>
        </w:rPr>
        <w:t>;</w:t>
      </w:r>
      <w:r w:rsidRPr="00330D80">
        <w:rPr>
          <w:lang w:val="en-CA" w:eastAsia="en-CA"/>
        </w:rPr>
        <w:t xml:space="preserve"> </w:t>
      </w:r>
      <w:r w:rsidR="00EB3E57">
        <w:rPr>
          <w:lang w:val="en-CA" w:eastAsia="en-CA"/>
        </w:rPr>
        <w:t xml:space="preserve">and provide new </w:t>
      </w:r>
      <w:r w:rsidRPr="00330D80">
        <w:rPr>
          <w:lang w:val="en-CA" w:eastAsia="en-CA"/>
        </w:rPr>
        <w:t>pastry sections</w:t>
      </w:r>
      <w:r>
        <w:rPr>
          <w:lang w:val="en-CA" w:eastAsia="en-CA"/>
        </w:rPr>
        <w:t>,</w:t>
      </w:r>
      <w:r w:rsidRPr="00330D80">
        <w:rPr>
          <w:lang w:val="en-CA" w:eastAsia="en-CA"/>
        </w:rPr>
        <w:t xml:space="preserve"> cooling racks</w:t>
      </w:r>
      <w:r>
        <w:rPr>
          <w:lang w:val="en-CA" w:eastAsia="en-CA"/>
        </w:rPr>
        <w:t>,</w:t>
      </w:r>
      <w:r w:rsidRPr="00330D80">
        <w:rPr>
          <w:lang w:val="en-CA" w:eastAsia="en-CA"/>
        </w:rPr>
        <w:t xml:space="preserve"> and server stations. The kitchen would need additional freezers and refrigerators, and small wares would be needed for the kitchen and dining room.</w:t>
      </w:r>
    </w:p>
    <w:p w14:paraId="4D558C9F" w14:textId="77777777" w:rsidR="00A34CC7" w:rsidRPr="00A34BA3" w:rsidRDefault="00A34CC7" w:rsidP="00330D80">
      <w:pPr>
        <w:pStyle w:val="BodyTextMain"/>
        <w:rPr>
          <w:sz w:val="18"/>
          <w:szCs w:val="18"/>
          <w:lang w:val="en-CA" w:eastAsia="en-CA"/>
        </w:rPr>
      </w:pPr>
    </w:p>
    <w:p w14:paraId="66009B48" w14:textId="15FB8933" w:rsidR="00A34CC7" w:rsidRDefault="00A34CC7" w:rsidP="00330D80">
      <w:pPr>
        <w:pStyle w:val="BodyTextMain"/>
        <w:rPr>
          <w:lang w:val="en-CA" w:eastAsia="en-CA"/>
        </w:rPr>
      </w:pPr>
      <w:r w:rsidRPr="00330D80">
        <w:rPr>
          <w:lang w:val="en-CA" w:eastAsia="en-CA"/>
        </w:rPr>
        <w:t>Barr’s very rough estimate was that, in total, renovations to the downstairs kitchen and the main floor restaurant and lobby would cost $400,000 to $500,000. Therefore, the alternative of a restaurant was of less interest to Barr than the other</w:t>
      </w:r>
      <w:r>
        <w:rPr>
          <w:lang w:val="en-CA" w:eastAsia="en-CA"/>
        </w:rPr>
        <w:t xml:space="preserve"> option</w:t>
      </w:r>
      <w:r w:rsidRPr="00330D80">
        <w:rPr>
          <w:lang w:val="en-CA" w:eastAsia="en-CA"/>
        </w:rPr>
        <w:t>s. His initial thought was that the costs of the restaurant would outweigh its potential benefits</w:t>
      </w:r>
      <w:r w:rsidR="00EB3E57">
        <w:rPr>
          <w:lang w:val="en-CA" w:eastAsia="en-CA"/>
        </w:rPr>
        <w:t>. However</w:t>
      </w:r>
      <w:r w:rsidRPr="00330D80">
        <w:rPr>
          <w:lang w:val="en-CA" w:eastAsia="en-CA"/>
        </w:rPr>
        <w:t xml:space="preserve">, it </w:t>
      </w:r>
      <w:r w:rsidR="00EB3E57">
        <w:rPr>
          <w:lang w:val="en-CA" w:eastAsia="en-CA"/>
        </w:rPr>
        <w:t>could</w:t>
      </w:r>
      <w:r w:rsidRPr="00330D80">
        <w:rPr>
          <w:lang w:val="en-CA" w:eastAsia="en-CA"/>
        </w:rPr>
        <w:t xml:space="preserve"> be worth further consideration. </w:t>
      </w:r>
    </w:p>
    <w:p w14:paraId="40520C19" w14:textId="77777777" w:rsidR="00A34CC7" w:rsidRPr="00A34BA3" w:rsidRDefault="00A34CC7" w:rsidP="00330D80">
      <w:pPr>
        <w:pStyle w:val="BodyTextMain"/>
        <w:rPr>
          <w:sz w:val="18"/>
          <w:szCs w:val="18"/>
          <w:lang w:val="en-CA" w:eastAsia="en-CA"/>
        </w:rPr>
      </w:pPr>
    </w:p>
    <w:p w14:paraId="26A6E6FC" w14:textId="076B83B5" w:rsidR="00A34CC7" w:rsidRDefault="00A34CC7" w:rsidP="00330D80">
      <w:pPr>
        <w:pStyle w:val="BodyTextMain"/>
        <w:rPr>
          <w:lang w:val="en-CA" w:eastAsia="en-CA"/>
        </w:rPr>
      </w:pPr>
      <w:r w:rsidRPr="00330D80">
        <w:rPr>
          <w:lang w:val="en-CA" w:eastAsia="en-CA"/>
        </w:rPr>
        <w:t xml:space="preserve">Barr estimated that a restaurant could accommodate three sittings of up to </w:t>
      </w:r>
      <w:r>
        <w:rPr>
          <w:lang w:val="en-CA" w:eastAsia="en-CA"/>
        </w:rPr>
        <w:t>40</w:t>
      </w:r>
      <w:r w:rsidRPr="00330D80">
        <w:rPr>
          <w:lang w:val="en-CA" w:eastAsia="en-CA"/>
        </w:rPr>
        <w:t xml:space="preserve"> people over the dinner hour from 5:00 p.m. to 10:00 p.m. The average spend would be $40 per person at dinner. </w:t>
      </w:r>
      <w:r w:rsidR="00D82DEC">
        <w:rPr>
          <w:lang w:val="en-CA" w:eastAsia="en-CA"/>
        </w:rPr>
        <w:t>P</w:t>
      </w:r>
      <w:r>
        <w:rPr>
          <w:lang w:val="en-CA" w:eastAsia="en-CA"/>
        </w:rPr>
        <w:t>rofit margins within the full-serve restaurant sector were 3.0 per cent and annual growth projections for the industry were 1.4 per cent.</w:t>
      </w:r>
      <w:r w:rsidRPr="00EC35B5">
        <w:rPr>
          <w:rStyle w:val="EndnoteReference"/>
        </w:rPr>
        <w:endnoteReference w:id="32"/>
      </w:r>
      <w:r>
        <w:rPr>
          <w:lang w:val="en-CA" w:eastAsia="en-CA"/>
        </w:rPr>
        <w:t xml:space="preserve"> </w:t>
      </w:r>
      <w:r w:rsidRPr="00330D80">
        <w:rPr>
          <w:lang w:val="en-CA" w:eastAsia="en-CA"/>
        </w:rPr>
        <w:t>Opening the restaurant earlier for lunchtime operations would not be feasible</w:t>
      </w:r>
      <w:r w:rsidR="00EB3E57">
        <w:rPr>
          <w:lang w:val="en-CA" w:eastAsia="en-CA"/>
        </w:rPr>
        <w:t>,</w:t>
      </w:r>
      <w:r w:rsidRPr="00330D80">
        <w:rPr>
          <w:lang w:val="en-CA" w:eastAsia="en-CA"/>
        </w:rPr>
        <w:t xml:space="preserve"> given both shortages in the labour market and the additional burden it would place on hotel management.</w:t>
      </w:r>
    </w:p>
    <w:p w14:paraId="6BF82B75" w14:textId="77777777" w:rsidR="00A34CC7" w:rsidRPr="00A34BA3" w:rsidRDefault="00A34CC7" w:rsidP="00330D80">
      <w:pPr>
        <w:pStyle w:val="BodyTextMain"/>
        <w:rPr>
          <w:sz w:val="18"/>
          <w:szCs w:val="18"/>
          <w:lang w:val="en-CA" w:eastAsia="en-CA"/>
        </w:rPr>
      </w:pPr>
    </w:p>
    <w:p w14:paraId="2AA82682" w14:textId="77777777" w:rsidR="00A34CC7" w:rsidRPr="00A34BA3" w:rsidRDefault="00A34CC7" w:rsidP="00330D80">
      <w:pPr>
        <w:pStyle w:val="BodyTextMain"/>
        <w:rPr>
          <w:sz w:val="18"/>
          <w:szCs w:val="18"/>
          <w:lang w:val="en-CA" w:eastAsia="en-CA"/>
        </w:rPr>
      </w:pPr>
    </w:p>
    <w:p w14:paraId="0FDA1E93" w14:textId="77777777" w:rsidR="00A34CC7" w:rsidRDefault="00A34CC7" w:rsidP="00EC35B5">
      <w:pPr>
        <w:pStyle w:val="Casehead2"/>
        <w:outlineLvl w:val="0"/>
        <w:rPr>
          <w:lang w:val="en-CA" w:eastAsia="en-CA"/>
        </w:rPr>
      </w:pPr>
      <w:r w:rsidRPr="00330D80">
        <w:rPr>
          <w:lang w:val="en-CA" w:eastAsia="en-CA"/>
        </w:rPr>
        <w:t>Develop the Hotel’s Market and Focus on Its Core Service Offerings</w:t>
      </w:r>
    </w:p>
    <w:p w14:paraId="3DD39C9C" w14:textId="77777777" w:rsidR="00A34CC7" w:rsidRPr="00A34BA3" w:rsidRDefault="00A34CC7" w:rsidP="00EC35B5">
      <w:pPr>
        <w:pStyle w:val="BodyTextMain"/>
        <w:keepNext/>
        <w:rPr>
          <w:sz w:val="18"/>
          <w:szCs w:val="18"/>
          <w:lang w:val="en-CA" w:eastAsia="en-CA"/>
        </w:rPr>
      </w:pPr>
    </w:p>
    <w:p w14:paraId="7A2BD0C7" w14:textId="42A87D1D" w:rsidR="00A34CC7" w:rsidRPr="008F6306" w:rsidRDefault="00A34CC7" w:rsidP="00330D80">
      <w:pPr>
        <w:pStyle w:val="BodyTextMain"/>
        <w:rPr>
          <w:spacing w:val="-2"/>
          <w:kern w:val="22"/>
          <w:lang w:val="en-CA" w:eastAsia="en-CA"/>
        </w:rPr>
      </w:pPr>
      <w:r w:rsidRPr="008F6306">
        <w:rPr>
          <w:spacing w:val="-2"/>
          <w:kern w:val="22"/>
          <w:lang w:val="en-CA" w:eastAsia="en-CA"/>
        </w:rPr>
        <w:t>Finally, Barr wondered if the space vacated by closure of the gift shop would best be turned into a second lounge area for guests so that he could focus his energies on developing relationships within China and other target markets</w:t>
      </w:r>
      <w:r w:rsidR="003A5390" w:rsidRPr="008F6306">
        <w:rPr>
          <w:spacing w:val="-2"/>
          <w:kern w:val="22"/>
          <w:lang w:val="en-CA" w:eastAsia="en-CA"/>
        </w:rPr>
        <w:t>,</w:t>
      </w:r>
      <w:r w:rsidRPr="008F6306">
        <w:rPr>
          <w:spacing w:val="-2"/>
          <w:kern w:val="22"/>
          <w:lang w:val="en-CA" w:eastAsia="en-CA"/>
        </w:rPr>
        <w:t xml:space="preserve"> </w:t>
      </w:r>
      <w:r w:rsidR="003A5390" w:rsidRPr="008F6306">
        <w:rPr>
          <w:spacing w:val="-2"/>
          <w:kern w:val="22"/>
          <w:lang w:val="en-CA" w:eastAsia="en-CA"/>
        </w:rPr>
        <w:t>while the</w:t>
      </w:r>
      <w:r w:rsidRPr="008F6306">
        <w:rPr>
          <w:spacing w:val="-2"/>
          <w:kern w:val="22"/>
          <w:lang w:val="en-CA" w:eastAsia="en-CA"/>
        </w:rPr>
        <w:t xml:space="preserve"> staff </w:t>
      </w:r>
      <w:r w:rsidR="003A5390" w:rsidRPr="008F6306">
        <w:rPr>
          <w:spacing w:val="-2"/>
          <w:kern w:val="22"/>
          <w:lang w:val="en-CA" w:eastAsia="en-CA"/>
        </w:rPr>
        <w:t xml:space="preserve">members </w:t>
      </w:r>
      <w:r w:rsidRPr="008F6306">
        <w:rPr>
          <w:spacing w:val="-2"/>
          <w:kern w:val="22"/>
          <w:lang w:val="en-CA" w:eastAsia="en-CA"/>
        </w:rPr>
        <w:t xml:space="preserve">could focus their full attention on the core product of lodging. This option would not generate additional revenue from complementary products and services, nor would it make the best use of the prime storefront space vacated by the gift shop. However, </w:t>
      </w:r>
      <w:r w:rsidR="009853C2" w:rsidRPr="008F6306">
        <w:rPr>
          <w:spacing w:val="-2"/>
          <w:kern w:val="22"/>
          <w:lang w:val="en-CA" w:eastAsia="en-CA"/>
        </w:rPr>
        <w:t xml:space="preserve">Barr thought that </w:t>
      </w:r>
      <w:r w:rsidRPr="008F6306">
        <w:rPr>
          <w:spacing w:val="-2"/>
          <w:kern w:val="22"/>
          <w:lang w:val="en-CA" w:eastAsia="en-CA"/>
        </w:rPr>
        <w:t xml:space="preserve">a “stick to your knitting” approach might be the best way to achieve the Aspen’s goal of positioning itself as the premier mid-scale resort property in Banff in an industry where competition was expected to remain intense. Moreover, not being part of a franchised chain made it all the more crucial for the Aspen to “stay ahead of the curve” in developing new markets to offset inevitable changes in demand in this cyclical industry and to provide exceptional service that would lead to repeat customers and word-of-mouth recommendations. </w:t>
      </w:r>
    </w:p>
    <w:p w14:paraId="644F48CF" w14:textId="4CA08793" w:rsidR="00A34CC7" w:rsidRPr="00A34BA3" w:rsidRDefault="00A34CC7" w:rsidP="00330D80">
      <w:pPr>
        <w:pStyle w:val="BodyTextMain"/>
        <w:rPr>
          <w:spacing w:val="-4"/>
          <w:kern w:val="22"/>
          <w:lang w:val="en-CA" w:eastAsia="en-CA"/>
        </w:rPr>
      </w:pPr>
      <w:r w:rsidRPr="00A34BA3">
        <w:rPr>
          <w:spacing w:val="-4"/>
          <w:kern w:val="22"/>
          <w:lang w:val="en-CA" w:eastAsia="en-CA"/>
        </w:rPr>
        <w:lastRenderedPageBreak/>
        <w:t>The Vancouver–Banff–Calgary–Vancouver loop was a popular route for tourists from China, with visitors eager to experience the scenic views of the</w:t>
      </w:r>
      <w:r w:rsidR="00AB141C" w:rsidRPr="00A34BA3">
        <w:rPr>
          <w:spacing w:val="-4"/>
          <w:kern w:val="22"/>
          <w:lang w:val="en-CA" w:eastAsia="en-CA"/>
        </w:rPr>
        <w:t xml:space="preserve"> Canadian Rockies</w:t>
      </w:r>
      <w:r w:rsidRPr="00A34BA3">
        <w:rPr>
          <w:spacing w:val="-4"/>
          <w:kern w:val="22"/>
          <w:lang w:val="en-CA" w:eastAsia="en-CA"/>
        </w:rPr>
        <w:t xml:space="preserve">. Travelling to China, Vancouver, Calgary, and Toronto with representatives from Banff and Lake Louise Tourism would enable Barr to establish and develop relationships with both Chinese tour operators and the Canadian tour operators with whom the Aspen partnered. </w:t>
      </w:r>
    </w:p>
    <w:p w14:paraId="0065D1F6" w14:textId="77777777" w:rsidR="00A34CC7" w:rsidRPr="00A34BA3" w:rsidRDefault="00A34CC7" w:rsidP="00330D80">
      <w:pPr>
        <w:pStyle w:val="BodyTextMain"/>
        <w:rPr>
          <w:sz w:val="18"/>
          <w:szCs w:val="18"/>
          <w:lang w:val="en-CA" w:eastAsia="en-CA"/>
        </w:rPr>
      </w:pPr>
    </w:p>
    <w:p w14:paraId="7DF566C3" w14:textId="6DEFEBE1" w:rsidR="00A34CC7" w:rsidRDefault="00A34CC7" w:rsidP="00330D80">
      <w:pPr>
        <w:pStyle w:val="BodyTextMain"/>
        <w:rPr>
          <w:color w:val="000000"/>
          <w:lang w:val="en-CA" w:eastAsia="en-CA"/>
        </w:rPr>
      </w:pPr>
      <w:r>
        <w:rPr>
          <w:lang w:val="en-CA" w:eastAsia="en-CA"/>
        </w:rPr>
        <w:t>Barr</w:t>
      </w:r>
      <w:r w:rsidRPr="00330D80">
        <w:rPr>
          <w:lang w:val="en-CA" w:eastAsia="en-CA"/>
        </w:rPr>
        <w:t xml:space="preserve"> had recently begun to travel on these trips, knowing they would be crucial for successfully tapping into the China market since the</w:t>
      </w:r>
      <w:r>
        <w:rPr>
          <w:lang w:val="en-CA" w:eastAsia="en-CA"/>
        </w:rPr>
        <w:t xml:space="preserve"> trips</w:t>
      </w:r>
      <w:r w:rsidRPr="00330D80">
        <w:rPr>
          <w:lang w:val="en-CA" w:eastAsia="en-CA"/>
        </w:rPr>
        <w:t xml:space="preserve"> would ensure that the Aspen became known to and trusted by</w:t>
      </w:r>
      <w:r>
        <w:rPr>
          <w:lang w:val="en-CA" w:eastAsia="en-CA"/>
        </w:rPr>
        <w:t xml:space="preserve"> the “</w:t>
      </w:r>
      <w:r w:rsidR="009853C2">
        <w:rPr>
          <w:lang w:val="en-CA" w:eastAsia="en-CA"/>
        </w:rPr>
        <w:t>r</w:t>
      </w:r>
      <w:r>
        <w:rPr>
          <w:lang w:val="en-CA" w:eastAsia="en-CA"/>
        </w:rPr>
        <w:t>eceptive</w:t>
      </w:r>
      <w:r w:rsidRPr="00330D80">
        <w:rPr>
          <w:lang w:val="en-CA" w:eastAsia="en-CA"/>
        </w:rPr>
        <w:t xml:space="preserve"> </w:t>
      </w:r>
      <w:r w:rsidR="009853C2">
        <w:rPr>
          <w:lang w:val="en-CA" w:eastAsia="en-CA"/>
        </w:rPr>
        <w:t>t</w:t>
      </w:r>
      <w:r>
        <w:rPr>
          <w:lang w:val="en-CA" w:eastAsia="en-CA"/>
        </w:rPr>
        <w:t xml:space="preserve">our </w:t>
      </w:r>
      <w:r w:rsidR="009853C2">
        <w:rPr>
          <w:lang w:val="en-CA" w:eastAsia="en-CA"/>
        </w:rPr>
        <w:t>o</w:t>
      </w:r>
      <w:r w:rsidRPr="00330D80">
        <w:rPr>
          <w:lang w:val="en-CA" w:eastAsia="en-CA"/>
        </w:rPr>
        <w:t>perators</w:t>
      </w:r>
      <w:r>
        <w:rPr>
          <w:lang w:val="en-CA" w:eastAsia="en-CA"/>
        </w:rPr>
        <w:t>”</w:t>
      </w:r>
      <w:r w:rsidRPr="00330D80">
        <w:rPr>
          <w:lang w:val="en-CA" w:eastAsia="en-CA"/>
        </w:rPr>
        <w:t xml:space="preserve"> </w:t>
      </w:r>
      <w:r>
        <w:rPr>
          <w:lang w:val="en-CA" w:eastAsia="en-CA"/>
        </w:rPr>
        <w:t>registered with</w:t>
      </w:r>
      <w:r w:rsidRPr="00330D80">
        <w:rPr>
          <w:lang w:val="en-CA" w:eastAsia="en-CA"/>
        </w:rPr>
        <w:t xml:space="preserve"> the Canada</w:t>
      </w:r>
      <w:r>
        <w:rPr>
          <w:lang w:val="en-CA" w:eastAsia="en-CA"/>
        </w:rPr>
        <w:t>–</w:t>
      </w:r>
      <w:r w:rsidRPr="00330D80">
        <w:rPr>
          <w:lang w:val="en-CA" w:eastAsia="en-CA"/>
        </w:rPr>
        <w:t xml:space="preserve">China Inbound Tour Operator Registration Program. </w:t>
      </w:r>
      <w:r w:rsidRPr="00330D80">
        <w:rPr>
          <w:color w:val="000000"/>
          <w:lang w:val="en-CA" w:eastAsia="en-CA"/>
        </w:rPr>
        <w:t>Travel</w:t>
      </w:r>
      <w:r>
        <w:rPr>
          <w:color w:val="000000"/>
          <w:lang w:val="en-CA" w:eastAsia="en-CA"/>
        </w:rPr>
        <w:t>l</w:t>
      </w:r>
      <w:r w:rsidRPr="00330D80">
        <w:rPr>
          <w:color w:val="000000"/>
          <w:lang w:val="en-CA" w:eastAsia="en-CA"/>
        </w:rPr>
        <w:t>ers from China could only use travel agents approved by the</w:t>
      </w:r>
      <w:r>
        <w:rPr>
          <w:color w:val="000000"/>
          <w:lang w:val="en-CA" w:eastAsia="en-CA"/>
        </w:rPr>
        <w:t xml:space="preserve"> Ministry of Culture and Tourism of the People’s Republic of China. This accreditation program had been created by a memorandum of understanding between China’s Ministry and Global Affairs Canada, dated June 24, 2010, to facilitate outbound tourist group travel from China to Canada.</w:t>
      </w:r>
      <w:r w:rsidRPr="00EC35B5">
        <w:rPr>
          <w:rStyle w:val="EndnoteReference"/>
        </w:rPr>
        <w:endnoteReference w:id="33"/>
      </w:r>
    </w:p>
    <w:p w14:paraId="4A744C70" w14:textId="77777777" w:rsidR="00A34CC7" w:rsidRPr="00A34BA3" w:rsidRDefault="00A34CC7" w:rsidP="00330D80">
      <w:pPr>
        <w:pStyle w:val="BodyTextMain"/>
        <w:rPr>
          <w:sz w:val="18"/>
          <w:szCs w:val="18"/>
          <w:lang w:val="en-CA" w:eastAsia="en-CA"/>
        </w:rPr>
      </w:pPr>
    </w:p>
    <w:p w14:paraId="6AA5396E" w14:textId="54D48A84" w:rsidR="00A34CC7" w:rsidRDefault="00A34CC7" w:rsidP="00330D80">
      <w:pPr>
        <w:pStyle w:val="BodyTextMain"/>
        <w:rPr>
          <w:lang w:val="en-CA" w:eastAsia="en-CA"/>
        </w:rPr>
      </w:pPr>
      <w:bookmarkStart w:id="0" w:name="_gjdgxs" w:colFirst="0" w:colLast="0"/>
      <w:bookmarkEnd w:id="0"/>
      <w:r w:rsidRPr="00330D80">
        <w:rPr>
          <w:lang w:val="en-CA" w:eastAsia="en-CA"/>
        </w:rPr>
        <w:t xml:space="preserve">As Chinese tourists began to try the skiing and snowboarding experience of the Canadian Rockies and as the Aspen’s reputation for creating exceptional customer experiences continued to grow, Barr estimated that a </w:t>
      </w:r>
      <w:r>
        <w:rPr>
          <w:lang w:val="en-CA" w:eastAsia="en-CA"/>
        </w:rPr>
        <w:t>2</w:t>
      </w:r>
      <w:r w:rsidR="009853C2">
        <w:rPr>
          <w:lang w:val="en-CA" w:eastAsia="en-CA"/>
        </w:rPr>
        <w:t>–</w:t>
      </w:r>
      <w:r>
        <w:rPr>
          <w:lang w:val="en-CA" w:eastAsia="en-CA"/>
        </w:rPr>
        <w:t>3</w:t>
      </w:r>
      <w:r w:rsidRPr="00330D80">
        <w:rPr>
          <w:lang w:val="en-CA" w:eastAsia="en-CA"/>
        </w:rPr>
        <w:t xml:space="preserve"> per</w:t>
      </w:r>
      <w:r>
        <w:rPr>
          <w:lang w:val="en-CA" w:eastAsia="en-CA"/>
        </w:rPr>
        <w:t xml:space="preserve"> </w:t>
      </w:r>
      <w:r w:rsidRPr="00330D80">
        <w:rPr>
          <w:lang w:val="en-CA" w:eastAsia="en-CA"/>
        </w:rPr>
        <w:t>cent increase in annual occupancy might be achievable</w:t>
      </w:r>
      <w:r w:rsidR="009853C2">
        <w:rPr>
          <w:lang w:val="en-CA" w:eastAsia="en-CA"/>
        </w:rPr>
        <w:t>,</w:t>
      </w:r>
      <w:r w:rsidRPr="00330D80">
        <w:rPr>
          <w:lang w:val="en-CA" w:eastAsia="en-CA"/>
        </w:rPr>
        <w:t xml:space="preserve"> and that the ADR might be increased by between </w:t>
      </w:r>
      <w:r>
        <w:rPr>
          <w:lang w:val="en-CA" w:eastAsia="en-CA"/>
        </w:rPr>
        <w:t>5</w:t>
      </w:r>
      <w:r w:rsidRPr="00330D80">
        <w:rPr>
          <w:lang w:val="en-CA" w:eastAsia="en-CA"/>
        </w:rPr>
        <w:t xml:space="preserve"> and </w:t>
      </w:r>
      <w:r>
        <w:rPr>
          <w:lang w:val="en-CA" w:eastAsia="en-CA"/>
        </w:rPr>
        <w:t>10</w:t>
      </w:r>
      <w:r w:rsidRPr="00330D80">
        <w:rPr>
          <w:lang w:val="en-CA" w:eastAsia="en-CA"/>
        </w:rPr>
        <w:t xml:space="preserve"> per</w:t>
      </w:r>
      <w:r>
        <w:rPr>
          <w:lang w:val="en-CA" w:eastAsia="en-CA"/>
        </w:rPr>
        <w:t xml:space="preserve"> </w:t>
      </w:r>
      <w:r w:rsidRPr="00330D80">
        <w:rPr>
          <w:lang w:val="en-CA" w:eastAsia="en-CA"/>
        </w:rPr>
        <w:t>cent over the next five years.</w:t>
      </w:r>
    </w:p>
    <w:p w14:paraId="5F991B82" w14:textId="77777777" w:rsidR="00A34CC7" w:rsidRPr="00A34BA3" w:rsidRDefault="00A34CC7" w:rsidP="00330D80">
      <w:pPr>
        <w:pStyle w:val="BodyTextMain"/>
        <w:rPr>
          <w:sz w:val="18"/>
          <w:szCs w:val="18"/>
          <w:lang w:val="en-CA" w:eastAsia="en-CA"/>
        </w:rPr>
      </w:pPr>
    </w:p>
    <w:p w14:paraId="0FC12F4F" w14:textId="049DAEC7" w:rsidR="00A34CC7" w:rsidRDefault="00A34CC7" w:rsidP="00330D80">
      <w:pPr>
        <w:pStyle w:val="BodyTextMain"/>
        <w:rPr>
          <w:lang w:val="en-CA" w:eastAsia="en-CA"/>
        </w:rPr>
      </w:pPr>
      <w:r w:rsidRPr="00330D80">
        <w:rPr>
          <w:lang w:val="en-CA" w:eastAsia="en-CA"/>
        </w:rPr>
        <w:t xml:space="preserve">Establishing relationships with tour operators in China was a double-edged sword: while </w:t>
      </w:r>
      <w:r>
        <w:rPr>
          <w:lang w:val="en-CA" w:eastAsia="en-CA"/>
        </w:rPr>
        <w:t>20</w:t>
      </w:r>
      <w:r w:rsidRPr="00330D80">
        <w:rPr>
          <w:lang w:val="en-CA" w:eastAsia="en-CA"/>
        </w:rPr>
        <w:t xml:space="preserve"> or more rooms would be booked for each tour, it could take up to </w:t>
      </w:r>
      <w:r>
        <w:rPr>
          <w:lang w:val="en-CA" w:eastAsia="en-CA"/>
        </w:rPr>
        <w:t>24</w:t>
      </w:r>
      <w:r w:rsidRPr="00330D80">
        <w:rPr>
          <w:lang w:val="en-CA" w:eastAsia="en-CA"/>
        </w:rPr>
        <w:t xml:space="preserve"> months for Chinese citizens to receive travel visas to Canada, and if visas didn’t come through, those </w:t>
      </w:r>
      <w:r>
        <w:rPr>
          <w:lang w:val="en-CA" w:eastAsia="en-CA"/>
        </w:rPr>
        <w:t>20</w:t>
      </w:r>
      <w:r w:rsidRPr="00330D80">
        <w:rPr>
          <w:lang w:val="en-CA" w:eastAsia="en-CA"/>
        </w:rPr>
        <w:t xml:space="preserve"> rooms would be back on the market at the last minute and might be left vacant.</w:t>
      </w:r>
    </w:p>
    <w:p w14:paraId="01409E74" w14:textId="77777777" w:rsidR="00A34CC7" w:rsidRPr="00A34BA3" w:rsidRDefault="00A34CC7" w:rsidP="00330D80">
      <w:pPr>
        <w:pStyle w:val="BodyTextMain"/>
        <w:rPr>
          <w:sz w:val="18"/>
          <w:szCs w:val="18"/>
          <w:lang w:val="en-CA" w:eastAsia="en-CA"/>
        </w:rPr>
      </w:pPr>
    </w:p>
    <w:p w14:paraId="270B76D3" w14:textId="61A97EEE" w:rsidR="00A34CC7" w:rsidRDefault="00A34CC7" w:rsidP="00330D80">
      <w:pPr>
        <w:pStyle w:val="BodyTextMain"/>
        <w:rPr>
          <w:lang w:val="en-CA" w:eastAsia="en-CA"/>
        </w:rPr>
      </w:pPr>
      <w:r>
        <w:rPr>
          <w:lang w:val="en-CA" w:eastAsia="en-CA"/>
        </w:rPr>
        <w:t>However</w:t>
      </w:r>
      <w:r w:rsidRPr="00330D80">
        <w:rPr>
          <w:lang w:val="en-CA" w:eastAsia="en-CA"/>
        </w:rPr>
        <w:t xml:space="preserve">, the increased personal wealth in China was creating a new generation of travellers to consider. Wealthy millennials were </w:t>
      </w:r>
      <w:r w:rsidR="009853C2">
        <w:rPr>
          <w:lang w:val="en-CA" w:eastAsia="en-CA"/>
        </w:rPr>
        <w:t>choosing to</w:t>
      </w:r>
      <w:r w:rsidRPr="00330D80">
        <w:rPr>
          <w:lang w:val="en-CA" w:eastAsia="en-CA"/>
        </w:rPr>
        <w:t xml:space="preserve"> travel with their families and friends</w:t>
      </w:r>
      <w:r w:rsidR="009853C2">
        <w:rPr>
          <w:lang w:val="en-CA" w:eastAsia="en-CA"/>
        </w:rPr>
        <w:t xml:space="preserve">, instead of </w:t>
      </w:r>
      <w:r w:rsidR="009853C2" w:rsidRPr="00330D80">
        <w:rPr>
          <w:lang w:val="en-CA" w:eastAsia="en-CA"/>
        </w:rPr>
        <w:t>travelling in tour groups</w:t>
      </w:r>
      <w:r w:rsidRPr="00330D80">
        <w:rPr>
          <w:lang w:val="en-CA" w:eastAsia="en-CA"/>
        </w:rPr>
        <w:t>. Skiing was seen as a family activity when combined with shopping, dining, and sightseeing.</w:t>
      </w:r>
      <w:r w:rsidRPr="00EC35B5">
        <w:rPr>
          <w:rStyle w:val="EndnoteReference"/>
        </w:rPr>
        <w:endnoteReference w:id="34"/>
      </w:r>
      <w:r w:rsidRPr="00330D80">
        <w:rPr>
          <w:lang w:val="en-CA" w:eastAsia="en-CA"/>
        </w:rPr>
        <w:t xml:space="preserve"> This made Banff an ideal destination for Chinese families. The Chinese ski industry, </w:t>
      </w:r>
      <w:r w:rsidR="009853C2">
        <w:rPr>
          <w:lang w:val="en-CA" w:eastAsia="en-CA"/>
        </w:rPr>
        <w:t>only</w:t>
      </w:r>
      <w:r w:rsidRPr="00330D80">
        <w:rPr>
          <w:lang w:val="en-CA" w:eastAsia="en-CA"/>
        </w:rPr>
        <w:t xml:space="preserve"> in its infancy, was characteri</w:t>
      </w:r>
      <w:r>
        <w:rPr>
          <w:lang w:val="en-CA" w:eastAsia="en-CA"/>
        </w:rPr>
        <w:t>z</w:t>
      </w:r>
      <w:r w:rsidRPr="00330D80">
        <w:rPr>
          <w:lang w:val="en-CA" w:eastAsia="en-CA"/>
        </w:rPr>
        <w:t>ed by a reputation for poor service and low-quality facilities</w:t>
      </w:r>
      <w:r w:rsidR="009853C2">
        <w:rPr>
          <w:lang w:val="en-CA" w:eastAsia="en-CA"/>
        </w:rPr>
        <w:t>.</w:t>
      </w:r>
      <w:r w:rsidRPr="00EC35B5">
        <w:rPr>
          <w:rStyle w:val="EndnoteReference"/>
        </w:rPr>
        <w:endnoteReference w:id="35"/>
      </w:r>
      <w:r w:rsidRPr="00330D80">
        <w:rPr>
          <w:lang w:val="en-CA" w:eastAsia="en-CA"/>
        </w:rPr>
        <w:t xml:space="preserve"> </w:t>
      </w:r>
      <w:r w:rsidR="009853C2">
        <w:rPr>
          <w:lang w:val="en-CA" w:eastAsia="en-CA"/>
        </w:rPr>
        <w:t>T</w:t>
      </w:r>
      <w:r w:rsidRPr="00330D80">
        <w:rPr>
          <w:lang w:val="en-CA" w:eastAsia="en-CA"/>
        </w:rPr>
        <w:t>he Aspen’s focus on creating an exceptional guest experience could result in strong word-of-mouth marketing among this target market of wealthy Chinese tourists.</w:t>
      </w:r>
    </w:p>
    <w:p w14:paraId="30072196" w14:textId="385883F6" w:rsidR="00A34CC7" w:rsidRPr="00A34BA3" w:rsidRDefault="00A34CC7" w:rsidP="00330D80">
      <w:pPr>
        <w:pStyle w:val="BodyTextMain"/>
        <w:rPr>
          <w:sz w:val="18"/>
          <w:szCs w:val="18"/>
          <w:lang w:val="en-CA" w:eastAsia="en-CA"/>
        </w:rPr>
      </w:pPr>
    </w:p>
    <w:p w14:paraId="36CB3AF3" w14:textId="16C1E465" w:rsidR="00A34CC7" w:rsidRDefault="00A34CC7" w:rsidP="00330D80">
      <w:pPr>
        <w:pStyle w:val="BodyTextMain"/>
        <w:rPr>
          <w:lang w:val="en-CA" w:eastAsia="en-CA"/>
        </w:rPr>
      </w:pPr>
      <w:r>
        <w:rPr>
          <w:lang w:val="en-CA" w:eastAsia="en-CA"/>
        </w:rPr>
        <w:t>Profit margin estimates varied for the hotel and motel sector, ranging from 5.4 to 9.3 per cent, and the anticipated growth rate for the next five years was 1.9 per cent.</w:t>
      </w:r>
      <w:r w:rsidRPr="00EC35B5">
        <w:rPr>
          <w:rStyle w:val="EndnoteReference"/>
        </w:rPr>
        <w:endnoteReference w:id="36"/>
      </w:r>
    </w:p>
    <w:p w14:paraId="7DDA3658" w14:textId="77777777" w:rsidR="00330D80" w:rsidRPr="00A34BA3" w:rsidRDefault="00330D80" w:rsidP="00330D80">
      <w:pPr>
        <w:pStyle w:val="BodyTextMain"/>
        <w:rPr>
          <w:sz w:val="18"/>
          <w:szCs w:val="18"/>
          <w:lang w:val="en-CA" w:eastAsia="en-CA"/>
        </w:rPr>
      </w:pPr>
    </w:p>
    <w:p w14:paraId="3763D46E" w14:textId="77777777" w:rsidR="00330D80" w:rsidRPr="00A34BA3" w:rsidRDefault="00330D80" w:rsidP="00330D80">
      <w:pPr>
        <w:pStyle w:val="BodyTextMain"/>
        <w:rPr>
          <w:sz w:val="18"/>
          <w:szCs w:val="18"/>
          <w:lang w:val="en-CA" w:eastAsia="en-CA"/>
        </w:rPr>
      </w:pPr>
    </w:p>
    <w:p w14:paraId="0BD944F9" w14:textId="77777777" w:rsidR="00330D80" w:rsidRDefault="00330D80" w:rsidP="00EC35B5">
      <w:pPr>
        <w:pStyle w:val="Casehead1"/>
        <w:outlineLvl w:val="0"/>
        <w:rPr>
          <w:lang w:val="en-CA" w:eastAsia="en-CA"/>
        </w:rPr>
      </w:pPr>
      <w:r w:rsidRPr="00330D80">
        <w:rPr>
          <w:lang w:val="en-CA" w:eastAsia="en-CA"/>
        </w:rPr>
        <w:t>A Nice Dilemma to Have</w:t>
      </w:r>
    </w:p>
    <w:p w14:paraId="2937C319" w14:textId="77777777" w:rsidR="00330D80" w:rsidRPr="00A34BA3" w:rsidRDefault="00330D80" w:rsidP="00EC35B5">
      <w:pPr>
        <w:pStyle w:val="BodyTextMain"/>
        <w:keepNext/>
        <w:rPr>
          <w:sz w:val="18"/>
          <w:szCs w:val="18"/>
          <w:lang w:val="en-CA" w:eastAsia="en-CA"/>
        </w:rPr>
      </w:pPr>
    </w:p>
    <w:p w14:paraId="29AA58A4" w14:textId="41883884" w:rsidR="00AB7AF6" w:rsidRPr="008F6306" w:rsidRDefault="00330D80" w:rsidP="00310D17">
      <w:pPr>
        <w:pStyle w:val="BodyTextMain"/>
        <w:rPr>
          <w:spacing w:val="-2"/>
          <w:kern w:val="22"/>
        </w:rPr>
      </w:pPr>
      <w:r w:rsidRPr="008F6306">
        <w:rPr>
          <w:spacing w:val="-2"/>
          <w:kern w:val="22"/>
          <w:lang w:val="en-CA" w:eastAsia="en-CA"/>
        </w:rPr>
        <w:t>While they would provide additional revenue streams, an in-house café or a restaurant would not be the deciding factor in a guest’s choice of lodging. Such services were especially not important to the tour</w:t>
      </w:r>
      <w:r w:rsidR="00A85681" w:rsidRPr="008F6306">
        <w:rPr>
          <w:spacing w:val="-2"/>
          <w:kern w:val="22"/>
          <w:lang w:val="en-CA" w:eastAsia="en-CA"/>
        </w:rPr>
        <w:t xml:space="preserve"> </w:t>
      </w:r>
      <w:r w:rsidRPr="008F6306">
        <w:rPr>
          <w:spacing w:val="-2"/>
          <w:kern w:val="22"/>
          <w:lang w:val="en-CA" w:eastAsia="en-CA"/>
        </w:rPr>
        <w:t xml:space="preserve">bus segment of the target customer group, who often arrived in the evening and were out the door first thing in the morning. Many other tourists used the hotel only as a base of operations, content to explore the Banff area. For them, the </w:t>
      </w:r>
      <w:r w:rsidR="00A34BA3" w:rsidRPr="008F6306">
        <w:rPr>
          <w:spacing w:val="-2"/>
          <w:kern w:val="22"/>
          <w:lang w:val="en-CA" w:eastAsia="en-CA"/>
        </w:rPr>
        <w:t>complimentary</w:t>
      </w:r>
      <w:r w:rsidRPr="008F6306">
        <w:rPr>
          <w:spacing w:val="-2"/>
          <w:kern w:val="22"/>
          <w:lang w:val="en-CA" w:eastAsia="en-CA"/>
        </w:rPr>
        <w:t xml:space="preserve"> breakfast was a convenient, nutritious way to start the day’s adventures, but they were less interested in arriving back in town in time for dinner—especially during the long summer days when daylight stretched until 10:00 or 11:00 p.m. On the other hand, pursuing new markets, such as China, and maintaining the staff’s focus on the customer’s experience at the hotel was a way to grow the Aspen’s main source of revenue for the future. Barr had to prepare a recommendation for his upcoming weekly meeting with the owner. He had much to consider</w:t>
      </w:r>
      <w:r w:rsidR="00D82DEC" w:rsidRPr="008F6306">
        <w:rPr>
          <w:spacing w:val="-2"/>
          <w:kern w:val="22"/>
          <w:lang w:val="en-CA" w:eastAsia="en-CA"/>
        </w:rPr>
        <w:t xml:space="preserve"> as he contemplated the evolution of the Aspen’s business strategy</w:t>
      </w:r>
      <w:r w:rsidRPr="008F6306">
        <w:rPr>
          <w:spacing w:val="-2"/>
          <w:kern w:val="22"/>
          <w:lang w:val="en-CA" w:eastAsia="en-CA"/>
        </w:rPr>
        <w:t>.</w:t>
      </w:r>
    </w:p>
    <w:p w14:paraId="251C6841" w14:textId="77777777" w:rsidR="00AB7AF6" w:rsidRDefault="00AB7AF6" w:rsidP="00310D17">
      <w:pPr>
        <w:pStyle w:val="BodyTextMain"/>
        <w:sectPr w:rsidR="00AB7AF6" w:rsidSect="00FB0A1B">
          <w:headerReference w:type="default" r:id="rId12"/>
          <w:endnotePr>
            <w:numFmt w:val="decimal"/>
          </w:endnotePr>
          <w:type w:val="continuous"/>
          <w:pgSz w:w="12240" w:h="15840" w:code="1"/>
          <w:pgMar w:top="1080" w:right="1440" w:bottom="1440" w:left="1440" w:header="1080" w:footer="720" w:gutter="0"/>
          <w:cols w:space="720"/>
          <w:titlePg/>
          <w:docGrid w:linePitch="360"/>
        </w:sectPr>
      </w:pPr>
    </w:p>
    <w:p w14:paraId="655E397A" w14:textId="02C4BAB4" w:rsidR="00330D80" w:rsidRDefault="00330D80" w:rsidP="00330D80">
      <w:pPr>
        <w:pStyle w:val="ExhibitHeading"/>
        <w:rPr>
          <w:lang w:val="en-CA" w:eastAsia="en-CA"/>
        </w:rPr>
      </w:pPr>
      <w:r w:rsidRPr="00330D80">
        <w:rPr>
          <w:lang w:val="en-CA" w:eastAsia="en-CA"/>
        </w:rPr>
        <w:lastRenderedPageBreak/>
        <w:t>Exhibit 1</w:t>
      </w:r>
      <w:r w:rsidR="00C25A21">
        <w:rPr>
          <w:lang w:val="en-CA" w:eastAsia="en-CA"/>
        </w:rPr>
        <w:t>:</w:t>
      </w:r>
      <w:r w:rsidRPr="00330D80">
        <w:rPr>
          <w:lang w:val="en-CA" w:eastAsia="en-CA"/>
        </w:rPr>
        <w:t xml:space="preserve"> Canadian Rockies Tourism Region</w:t>
      </w:r>
      <w:r w:rsidR="00C25A21">
        <w:rPr>
          <w:lang w:val="en-CA" w:eastAsia="en-CA"/>
        </w:rPr>
        <w:t>—</w:t>
      </w:r>
      <w:r w:rsidRPr="00330D80">
        <w:rPr>
          <w:lang w:val="en-CA" w:eastAsia="en-CA"/>
        </w:rPr>
        <w:t>Visitors, Accommodation, and Economic Impact</w:t>
      </w:r>
    </w:p>
    <w:p w14:paraId="6ACFFBCC" w14:textId="77777777" w:rsidR="00330D80" w:rsidRPr="00330D80" w:rsidRDefault="00330D80" w:rsidP="00330D80">
      <w:pPr>
        <w:pStyle w:val="ExhibitText"/>
        <w:rPr>
          <w:lang w:val="en-CA" w:eastAsia="en-CA"/>
        </w:rPr>
      </w:pPr>
    </w:p>
    <w:tbl>
      <w:tblPr>
        <w:tblW w:w="496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8" w:type="dxa"/>
          <w:right w:w="58" w:type="dxa"/>
        </w:tblCellMar>
        <w:tblLook w:val="0400" w:firstRow="0" w:lastRow="0" w:firstColumn="0" w:lastColumn="0" w:noHBand="0" w:noVBand="1"/>
      </w:tblPr>
      <w:tblGrid>
        <w:gridCol w:w="1890"/>
        <w:gridCol w:w="1320"/>
        <w:gridCol w:w="1320"/>
        <w:gridCol w:w="1320"/>
        <w:gridCol w:w="2025"/>
        <w:gridCol w:w="2025"/>
        <w:gridCol w:w="1260"/>
        <w:gridCol w:w="2065"/>
      </w:tblGrid>
      <w:tr w:rsidR="00CC2C2D" w:rsidRPr="00330D80" w14:paraId="7CC9AD11" w14:textId="77777777" w:rsidTr="008F6306">
        <w:trPr>
          <w:trHeight w:val="259"/>
          <w:jc w:val="center"/>
        </w:trPr>
        <w:tc>
          <w:tcPr>
            <w:tcW w:w="1890" w:type="dxa"/>
            <w:vMerge w:val="restart"/>
            <w:shd w:val="clear" w:color="auto" w:fill="auto"/>
          </w:tcPr>
          <w:p w14:paraId="70680DC8" w14:textId="77777777" w:rsidR="00CC2C2D" w:rsidRPr="00330D80" w:rsidRDefault="00CC2C2D" w:rsidP="007358DF">
            <w:pPr>
              <w:pStyle w:val="ExhibitText"/>
              <w:jc w:val="left"/>
              <w:rPr>
                <w:lang w:val="en-CA" w:eastAsia="en-CA"/>
              </w:rPr>
            </w:pPr>
          </w:p>
        </w:tc>
        <w:tc>
          <w:tcPr>
            <w:tcW w:w="3960" w:type="dxa"/>
            <w:gridSpan w:val="3"/>
            <w:tcBorders>
              <w:bottom w:val="nil"/>
            </w:tcBorders>
            <w:shd w:val="clear" w:color="auto" w:fill="auto"/>
          </w:tcPr>
          <w:p w14:paraId="3CF95635" w14:textId="7B8ACB34" w:rsidR="00CC2C2D" w:rsidRDefault="00CC2C2D" w:rsidP="007358DF">
            <w:pPr>
              <w:pStyle w:val="ExhibitText"/>
              <w:jc w:val="center"/>
              <w:rPr>
                <w:lang w:val="en-CA" w:eastAsia="en-CA"/>
              </w:rPr>
            </w:pPr>
            <w:r>
              <w:rPr>
                <w:lang w:val="en-CA" w:eastAsia="en-CA"/>
              </w:rPr>
              <w:t>(1)</w:t>
            </w:r>
          </w:p>
        </w:tc>
        <w:tc>
          <w:tcPr>
            <w:tcW w:w="2025" w:type="dxa"/>
            <w:tcBorders>
              <w:bottom w:val="nil"/>
            </w:tcBorders>
            <w:shd w:val="clear" w:color="auto" w:fill="auto"/>
          </w:tcPr>
          <w:p w14:paraId="446D153B" w14:textId="5D24387A" w:rsidR="00CC2C2D" w:rsidRPr="00330D80" w:rsidRDefault="00CC2C2D" w:rsidP="007358DF">
            <w:pPr>
              <w:pStyle w:val="ExhibitText"/>
              <w:jc w:val="center"/>
              <w:rPr>
                <w:lang w:val="en-CA" w:eastAsia="en-CA"/>
              </w:rPr>
            </w:pPr>
            <w:r>
              <w:rPr>
                <w:lang w:val="en-CA" w:eastAsia="en-CA"/>
              </w:rPr>
              <w:t>(2)</w:t>
            </w:r>
          </w:p>
        </w:tc>
        <w:tc>
          <w:tcPr>
            <w:tcW w:w="2025" w:type="dxa"/>
            <w:tcBorders>
              <w:bottom w:val="nil"/>
            </w:tcBorders>
            <w:shd w:val="clear" w:color="auto" w:fill="auto"/>
          </w:tcPr>
          <w:p w14:paraId="27D45A71" w14:textId="5B290674" w:rsidR="00CC2C2D" w:rsidRPr="00330D80" w:rsidRDefault="00CC2C2D" w:rsidP="007358DF">
            <w:pPr>
              <w:pStyle w:val="ExhibitText"/>
              <w:jc w:val="center"/>
              <w:rPr>
                <w:lang w:val="en-CA" w:eastAsia="en-CA"/>
              </w:rPr>
            </w:pPr>
            <w:r>
              <w:rPr>
                <w:lang w:val="en-CA" w:eastAsia="en-CA"/>
              </w:rPr>
              <w:t>(3)</w:t>
            </w:r>
          </w:p>
        </w:tc>
        <w:tc>
          <w:tcPr>
            <w:tcW w:w="1260" w:type="dxa"/>
            <w:tcBorders>
              <w:bottom w:val="nil"/>
            </w:tcBorders>
            <w:shd w:val="clear" w:color="auto" w:fill="auto"/>
          </w:tcPr>
          <w:p w14:paraId="189E6B02" w14:textId="5E9610C7" w:rsidR="00CC2C2D" w:rsidRDefault="00CC2C2D" w:rsidP="007358DF">
            <w:pPr>
              <w:pStyle w:val="ExhibitText"/>
              <w:jc w:val="center"/>
              <w:rPr>
                <w:lang w:val="en-CA" w:eastAsia="en-CA"/>
              </w:rPr>
            </w:pPr>
            <w:r>
              <w:rPr>
                <w:lang w:val="en-CA" w:eastAsia="en-CA"/>
              </w:rPr>
              <w:t>(4)</w:t>
            </w:r>
          </w:p>
        </w:tc>
        <w:tc>
          <w:tcPr>
            <w:tcW w:w="2065" w:type="dxa"/>
            <w:tcBorders>
              <w:bottom w:val="nil"/>
            </w:tcBorders>
            <w:shd w:val="clear" w:color="auto" w:fill="auto"/>
          </w:tcPr>
          <w:p w14:paraId="107BE9EC" w14:textId="3976FAAA" w:rsidR="00CC2C2D" w:rsidRDefault="00CC2C2D" w:rsidP="007358DF">
            <w:pPr>
              <w:pStyle w:val="ExhibitText"/>
              <w:jc w:val="center"/>
              <w:rPr>
                <w:lang w:val="en-CA" w:eastAsia="en-CA"/>
              </w:rPr>
            </w:pPr>
            <w:r>
              <w:rPr>
                <w:lang w:val="en-CA" w:eastAsia="en-CA"/>
              </w:rPr>
              <w:t>(5)</w:t>
            </w:r>
          </w:p>
        </w:tc>
      </w:tr>
      <w:tr w:rsidR="00CC2C2D" w:rsidRPr="00330D80" w14:paraId="3DDB859E" w14:textId="77777777" w:rsidTr="008F6306">
        <w:trPr>
          <w:trHeight w:val="259"/>
          <w:jc w:val="center"/>
        </w:trPr>
        <w:tc>
          <w:tcPr>
            <w:tcW w:w="1890" w:type="dxa"/>
            <w:vMerge/>
            <w:shd w:val="clear" w:color="auto" w:fill="auto"/>
          </w:tcPr>
          <w:p w14:paraId="47FBB253" w14:textId="77777777" w:rsidR="00CC2C2D" w:rsidRPr="00330D80" w:rsidRDefault="00CC2C2D" w:rsidP="007358DF">
            <w:pPr>
              <w:pStyle w:val="ExhibitText"/>
              <w:jc w:val="left"/>
              <w:rPr>
                <w:lang w:val="en-CA" w:eastAsia="en-CA"/>
              </w:rPr>
            </w:pPr>
          </w:p>
        </w:tc>
        <w:tc>
          <w:tcPr>
            <w:tcW w:w="1320" w:type="dxa"/>
            <w:tcBorders>
              <w:top w:val="nil"/>
            </w:tcBorders>
            <w:shd w:val="clear" w:color="auto" w:fill="auto"/>
          </w:tcPr>
          <w:p w14:paraId="57485F6A" w14:textId="4EA9489A" w:rsidR="00CC2C2D" w:rsidRPr="00330D80" w:rsidRDefault="00CC2C2D" w:rsidP="00CC2C2D">
            <w:pPr>
              <w:pStyle w:val="ExhibitText"/>
              <w:jc w:val="center"/>
              <w:rPr>
                <w:lang w:val="en-CA" w:eastAsia="en-CA"/>
              </w:rPr>
            </w:pPr>
            <w:r w:rsidRPr="00330D80">
              <w:rPr>
                <w:lang w:val="en-CA" w:eastAsia="en-CA"/>
              </w:rPr>
              <w:t>(a)</w:t>
            </w:r>
            <w:r>
              <w:rPr>
                <w:lang w:val="en-CA" w:eastAsia="en-CA"/>
              </w:rPr>
              <w:t xml:space="preserve"> </w:t>
            </w:r>
            <w:r w:rsidRPr="00330D80">
              <w:rPr>
                <w:lang w:val="en-CA" w:eastAsia="en-CA"/>
              </w:rPr>
              <w:t>Person</w:t>
            </w:r>
            <w:r>
              <w:rPr>
                <w:lang w:val="en-CA" w:eastAsia="en-CA"/>
              </w:rPr>
              <w:t xml:space="preserve"> v</w:t>
            </w:r>
            <w:r w:rsidRPr="00330D80">
              <w:rPr>
                <w:lang w:val="en-CA" w:eastAsia="en-CA"/>
              </w:rPr>
              <w:t>isits</w:t>
            </w:r>
          </w:p>
        </w:tc>
        <w:tc>
          <w:tcPr>
            <w:tcW w:w="1320" w:type="dxa"/>
            <w:tcBorders>
              <w:top w:val="nil"/>
            </w:tcBorders>
          </w:tcPr>
          <w:p w14:paraId="2FB71472" w14:textId="0E4586E6" w:rsidR="00CC2C2D" w:rsidRPr="00330D80" w:rsidRDefault="00CC2C2D" w:rsidP="00CC2C2D">
            <w:pPr>
              <w:pStyle w:val="ExhibitText"/>
              <w:jc w:val="center"/>
              <w:rPr>
                <w:lang w:val="en-CA" w:eastAsia="en-CA"/>
              </w:rPr>
            </w:pPr>
            <w:r>
              <w:rPr>
                <w:lang w:val="en-CA" w:eastAsia="en-CA"/>
              </w:rPr>
              <w:t>(b) Person nights</w:t>
            </w:r>
          </w:p>
        </w:tc>
        <w:tc>
          <w:tcPr>
            <w:tcW w:w="1320" w:type="dxa"/>
            <w:tcBorders>
              <w:top w:val="nil"/>
            </w:tcBorders>
          </w:tcPr>
          <w:p w14:paraId="35A8D6E2" w14:textId="49B3595E" w:rsidR="00CC2C2D" w:rsidRPr="00330D80" w:rsidRDefault="00CC2C2D" w:rsidP="00CC2C2D">
            <w:pPr>
              <w:pStyle w:val="ExhibitText"/>
              <w:jc w:val="center"/>
              <w:rPr>
                <w:lang w:val="en-CA" w:eastAsia="en-CA"/>
              </w:rPr>
            </w:pPr>
            <w:r>
              <w:rPr>
                <w:lang w:val="en-CA" w:eastAsia="en-CA"/>
              </w:rPr>
              <w:t>(c) Person nights in hotels</w:t>
            </w:r>
          </w:p>
        </w:tc>
        <w:tc>
          <w:tcPr>
            <w:tcW w:w="2025" w:type="dxa"/>
            <w:tcBorders>
              <w:top w:val="nil"/>
            </w:tcBorders>
            <w:shd w:val="clear" w:color="auto" w:fill="auto"/>
          </w:tcPr>
          <w:p w14:paraId="0E813E27" w14:textId="0A99E099" w:rsidR="00CC2C2D" w:rsidRPr="00330D80" w:rsidRDefault="00CC2C2D" w:rsidP="00CC2C2D">
            <w:pPr>
              <w:pStyle w:val="ExhibitText"/>
              <w:jc w:val="center"/>
              <w:rPr>
                <w:lang w:val="en-CA" w:eastAsia="en-CA"/>
              </w:rPr>
            </w:pPr>
            <w:r w:rsidRPr="00330D80">
              <w:rPr>
                <w:lang w:val="en-CA" w:eastAsia="en-CA"/>
              </w:rPr>
              <w:t>Total direct tourism expenditures</w:t>
            </w:r>
          </w:p>
        </w:tc>
        <w:tc>
          <w:tcPr>
            <w:tcW w:w="2025" w:type="dxa"/>
            <w:tcBorders>
              <w:top w:val="nil"/>
            </w:tcBorders>
            <w:shd w:val="clear" w:color="auto" w:fill="auto"/>
          </w:tcPr>
          <w:p w14:paraId="0F3A0D14" w14:textId="3B4A23A0" w:rsidR="00CC2C2D" w:rsidRDefault="00CC2C2D" w:rsidP="00CC2C2D">
            <w:pPr>
              <w:pStyle w:val="ExhibitText"/>
              <w:jc w:val="center"/>
              <w:rPr>
                <w:lang w:val="en-CA" w:eastAsia="en-CA"/>
              </w:rPr>
            </w:pPr>
            <w:r w:rsidRPr="00330D80">
              <w:rPr>
                <w:lang w:val="en-CA" w:eastAsia="en-CA"/>
              </w:rPr>
              <w:t>Expenditures on accommodation, food, and beverage</w:t>
            </w:r>
          </w:p>
          <w:p w14:paraId="41146081" w14:textId="097515AA" w:rsidR="00CC2C2D" w:rsidRPr="00330D80" w:rsidRDefault="00CC2C2D" w:rsidP="00CC2C2D">
            <w:pPr>
              <w:pStyle w:val="ExhibitText"/>
              <w:jc w:val="center"/>
              <w:rPr>
                <w:lang w:val="en-CA" w:eastAsia="en-CA"/>
              </w:rPr>
            </w:pPr>
          </w:p>
        </w:tc>
        <w:tc>
          <w:tcPr>
            <w:tcW w:w="1260" w:type="dxa"/>
            <w:tcBorders>
              <w:top w:val="nil"/>
            </w:tcBorders>
            <w:shd w:val="clear" w:color="auto" w:fill="auto"/>
          </w:tcPr>
          <w:p w14:paraId="45C6FD18" w14:textId="1E8E185B" w:rsidR="00CC2C2D" w:rsidRPr="00330D80" w:rsidRDefault="00CC2C2D" w:rsidP="00CC2C2D">
            <w:pPr>
              <w:pStyle w:val="ExhibitText"/>
              <w:jc w:val="center"/>
              <w:rPr>
                <w:lang w:val="en-CA" w:eastAsia="en-CA"/>
              </w:rPr>
            </w:pPr>
            <w:r>
              <w:rPr>
                <w:lang w:val="en-CA" w:eastAsia="en-CA"/>
              </w:rPr>
              <w:t>Average length of s</w:t>
            </w:r>
            <w:r w:rsidRPr="00330D80">
              <w:rPr>
                <w:lang w:val="en-CA" w:eastAsia="en-CA"/>
              </w:rPr>
              <w:t>tay</w:t>
            </w:r>
          </w:p>
        </w:tc>
        <w:tc>
          <w:tcPr>
            <w:tcW w:w="2065" w:type="dxa"/>
            <w:tcBorders>
              <w:top w:val="nil"/>
            </w:tcBorders>
            <w:shd w:val="clear" w:color="auto" w:fill="auto"/>
          </w:tcPr>
          <w:p w14:paraId="7DE85F73" w14:textId="52B4A8ED" w:rsidR="00CC2C2D" w:rsidRPr="00330D80" w:rsidRDefault="00CC2C2D" w:rsidP="00CC2C2D">
            <w:pPr>
              <w:pStyle w:val="ExhibitText"/>
              <w:jc w:val="center"/>
              <w:rPr>
                <w:lang w:val="en-CA" w:eastAsia="en-CA"/>
              </w:rPr>
            </w:pPr>
            <w:r>
              <w:rPr>
                <w:lang w:val="en-CA" w:eastAsia="en-CA"/>
              </w:rPr>
              <w:t>Per visitor s</w:t>
            </w:r>
            <w:r w:rsidRPr="00330D80">
              <w:rPr>
                <w:lang w:val="en-CA" w:eastAsia="en-CA"/>
              </w:rPr>
              <w:t>pend on accommodation, food, and beverage</w:t>
            </w:r>
          </w:p>
          <w:p w14:paraId="56A2C7E5" w14:textId="3E7751DE" w:rsidR="00CC2C2D" w:rsidRPr="00330D80" w:rsidRDefault="00CC2C2D" w:rsidP="00CC2C2D">
            <w:pPr>
              <w:pStyle w:val="ExhibitText"/>
              <w:jc w:val="center"/>
              <w:rPr>
                <w:lang w:val="en-CA" w:eastAsia="en-CA"/>
              </w:rPr>
            </w:pPr>
            <w:r w:rsidRPr="00330D80">
              <w:rPr>
                <w:lang w:val="en-CA" w:eastAsia="en-CA"/>
              </w:rPr>
              <w:t xml:space="preserve">(3) </w:t>
            </w:r>
            <w:r>
              <w:rPr>
                <w:lang w:val="en-CA" w:eastAsia="en-CA"/>
              </w:rPr>
              <w:t xml:space="preserve">÷ </w:t>
            </w:r>
            <w:r w:rsidRPr="00330D80">
              <w:rPr>
                <w:lang w:val="en-CA" w:eastAsia="en-CA"/>
              </w:rPr>
              <w:t>(1</w:t>
            </w:r>
            <w:r w:rsidR="005348B6">
              <w:rPr>
                <w:lang w:val="en-CA" w:eastAsia="en-CA"/>
              </w:rPr>
              <w:t>)</w:t>
            </w:r>
            <w:r w:rsidRPr="00330D80">
              <w:rPr>
                <w:lang w:val="en-CA" w:eastAsia="en-CA"/>
              </w:rPr>
              <w:t>(a)</w:t>
            </w:r>
          </w:p>
        </w:tc>
      </w:tr>
      <w:tr w:rsidR="00CC2C2D" w:rsidRPr="00330D80" w14:paraId="435AC86C" w14:textId="77777777" w:rsidTr="008F6306">
        <w:trPr>
          <w:trHeight w:val="259"/>
          <w:jc w:val="center"/>
        </w:trPr>
        <w:tc>
          <w:tcPr>
            <w:tcW w:w="1890" w:type="dxa"/>
            <w:tcBorders>
              <w:bottom w:val="single" w:sz="12" w:space="0" w:color="auto"/>
            </w:tcBorders>
            <w:shd w:val="clear" w:color="auto" w:fill="auto"/>
          </w:tcPr>
          <w:p w14:paraId="487CC98F" w14:textId="77777777" w:rsidR="00CC2C2D" w:rsidRPr="00330D80" w:rsidRDefault="00CC2C2D" w:rsidP="007358DF">
            <w:pPr>
              <w:pStyle w:val="ExhibitText"/>
              <w:jc w:val="left"/>
              <w:rPr>
                <w:lang w:val="en-CA" w:eastAsia="en-CA"/>
              </w:rPr>
            </w:pPr>
          </w:p>
        </w:tc>
        <w:tc>
          <w:tcPr>
            <w:tcW w:w="3960" w:type="dxa"/>
            <w:gridSpan w:val="3"/>
            <w:tcBorders>
              <w:bottom w:val="single" w:sz="12" w:space="0" w:color="auto"/>
            </w:tcBorders>
            <w:shd w:val="clear" w:color="auto" w:fill="auto"/>
          </w:tcPr>
          <w:p w14:paraId="4FD95328" w14:textId="6D311D42" w:rsidR="00CC2C2D" w:rsidRDefault="00CC2C2D" w:rsidP="00CC2C2D">
            <w:pPr>
              <w:pStyle w:val="ExhibitText"/>
              <w:jc w:val="center"/>
              <w:rPr>
                <w:lang w:val="en-CA" w:eastAsia="en-CA"/>
              </w:rPr>
            </w:pPr>
            <w:r>
              <w:rPr>
                <w:lang w:val="en-CA" w:eastAsia="en-CA"/>
              </w:rPr>
              <w:t>(millions)</w:t>
            </w:r>
          </w:p>
        </w:tc>
        <w:tc>
          <w:tcPr>
            <w:tcW w:w="2025" w:type="dxa"/>
            <w:tcBorders>
              <w:bottom w:val="single" w:sz="12" w:space="0" w:color="auto"/>
            </w:tcBorders>
            <w:shd w:val="clear" w:color="auto" w:fill="auto"/>
          </w:tcPr>
          <w:p w14:paraId="5F5814B9" w14:textId="5ACC8D8F" w:rsidR="00CC2C2D" w:rsidRPr="00330D80" w:rsidRDefault="00CC2C2D" w:rsidP="00CC2C2D">
            <w:pPr>
              <w:pStyle w:val="ExhibitText"/>
              <w:jc w:val="center"/>
              <w:rPr>
                <w:lang w:val="en-CA" w:eastAsia="en-CA"/>
              </w:rPr>
            </w:pPr>
            <w:r w:rsidRPr="00330D80">
              <w:rPr>
                <w:lang w:val="en-CA" w:eastAsia="en-CA"/>
              </w:rPr>
              <w:t>(</w:t>
            </w:r>
            <w:r>
              <w:rPr>
                <w:lang w:val="en-CA" w:eastAsia="en-CA"/>
              </w:rPr>
              <w:t>CA</w:t>
            </w:r>
            <w:r w:rsidRPr="00330D80">
              <w:rPr>
                <w:lang w:val="en-CA" w:eastAsia="en-CA"/>
              </w:rPr>
              <w:t>$</w:t>
            </w:r>
            <w:r>
              <w:rPr>
                <w:lang w:val="en-CA" w:eastAsia="en-CA"/>
              </w:rPr>
              <w:t xml:space="preserve"> </w:t>
            </w:r>
            <w:r w:rsidRPr="00330D80">
              <w:rPr>
                <w:lang w:val="en-CA" w:eastAsia="en-CA"/>
              </w:rPr>
              <w:t>millions)</w:t>
            </w:r>
          </w:p>
        </w:tc>
        <w:tc>
          <w:tcPr>
            <w:tcW w:w="2025" w:type="dxa"/>
            <w:tcBorders>
              <w:bottom w:val="single" w:sz="12" w:space="0" w:color="auto"/>
            </w:tcBorders>
            <w:shd w:val="clear" w:color="auto" w:fill="auto"/>
          </w:tcPr>
          <w:p w14:paraId="511FEC53" w14:textId="6BCCC132" w:rsidR="00CC2C2D" w:rsidRPr="00330D80" w:rsidRDefault="00CC2C2D" w:rsidP="00CC2C2D">
            <w:pPr>
              <w:pStyle w:val="ExhibitText"/>
              <w:jc w:val="center"/>
              <w:rPr>
                <w:lang w:val="en-CA" w:eastAsia="en-CA"/>
              </w:rPr>
            </w:pPr>
            <w:r w:rsidRPr="00330D80">
              <w:rPr>
                <w:lang w:val="en-CA" w:eastAsia="en-CA"/>
              </w:rPr>
              <w:t>(</w:t>
            </w:r>
            <w:r>
              <w:rPr>
                <w:lang w:val="en-CA" w:eastAsia="en-CA"/>
              </w:rPr>
              <w:t>CA</w:t>
            </w:r>
            <w:r w:rsidRPr="00330D80">
              <w:rPr>
                <w:lang w:val="en-CA" w:eastAsia="en-CA"/>
              </w:rPr>
              <w:t>$ millions)</w:t>
            </w:r>
          </w:p>
        </w:tc>
        <w:tc>
          <w:tcPr>
            <w:tcW w:w="1260" w:type="dxa"/>
            <w:tcBorders>
              <w:bottom w:val="single" w:sz="12" w:space="0" w:color="auto"/>
            </w:tcBorders>
            <w:shd w:val="clear" w:color="auto" w:fill="auto"/>
          </w:tcPr>
          <w:p w14:paraId="50BA144D" w14:textId="3B647992" w:rsidR="00CC2C2D" w:rsidRDefault="00CC2C2D" w:rsidP="00CC2C2D">
            <w:pPr>
              <w:pStyle w:val="ExhibitText"/>
              <w:jc w:val="center"/>
              <w:rPr>
                <w:lang w:val="en-CA" w:eastAsia="en-CA"/>
              </w:rPr>
            </w:pPr>
            <w:r>
              <w:rPr>
                <w:lang w:val="en-CA" w:eastAsia="en-CA"/>
              </w:rPr>
              <w:t>(nights)</w:t>
            </w:r>
          </w:p>
        </w:tc>
        <w:tc>
          <w:tcPr>
            <w:tcW w:w="2065" w:type="dxa"/>
            <w:tcBorders>
              <w:bottom w:val="single" w:sz="12" w:space="0" w:color="auto"/>
            </w:tcBorders>
            <w:shd w:val="clear" w:color="auto" w:fill="auto"/>
          </w:tcPr>
          <w:p w14:paraId="0DA9BA3F" w14:textId="50C621FF" w:rsidR="00CC2C2D" w:rsidRDefault="00CC2C2D" w:rsidP="00CC2C2D">
            <w:pPr>
              <w:pStyle w:val="ExhibitText"/>
              <w:jc w:val="center"/>
              <w:rPr>
                <w:lang w:val="en-CA" w:eastAsia="en-CA"/>
              </w:rPr>
            </w:pPr>
            <w:r>
              <w:rPr>
                <w:lang w:val="en-CA" w:eastAsia="en-CA"/>
              </w:rPr>
              <w:t>(CA$)</w:t>
            </w:r>
          </w:p>
        </w:tc>
      </w:tr>
      <w:tr w:rsidR="00CC2C2D" w:rsidRPr="00330D80" w14:paraId="441819E0" w14:textId="77777777" w:rsidTr="008F6306">
        <w:trPr>
          <w:trHeight w:val="259"/>
          <w:jc w:val="center"/>
        </w:trPr>
        <w:tc>
          <w:tcPr>
            <w:tcW w:w="1890" w:type="dxa"/>
            <w:tcBorders>
              <w:top w:val="single" w:sz="12" w:space="0" w:color="auto"/>
              <w:bottom w:val="single" w:sz="12" w:space="0" w:color="auto"/>
            </w:tcBorders>
            <w:shd w:val="clear" w:color="auto" w:fill="auto"/>
          </w:tcPr>
          <w:p w14:paraId="0EB37525" w14:textId="77777777" w:rsidR="00AB7AF6" w:rsidRPr="00330D80" w:rsidRDefault="00AB7AF6" w:rsidP="00CC2C2D">
            <w:pPr>
              <w:pStyle w:val="ExhibitText"/>
              <w:jc w:val="left"/>
              <w:rPr>
                <w:lang w:val="en-CA" w:eastAsia="en-CA"/>
              </w:rPr>
            </w:pPr>
            <w:r w:rsidRPr="00330D80">
              <w:rPr>
                <w:lang w:val="en-CA" w:eastAsia="en-CA"/>
              </w:rPr>
              <w:t>2010 total</w:t>
            </w:r>
          </w:p>
        </w:tc>
        <w:tc>
          <w:tcPr>
            <w:tcW w:w="1320" w:type="dxa"/>
            <w:tcBorders>
              <w:top w:val="single" w:sz="12" w:space="0" w:color="auto"/>
              <w:bottom w:val="single" w:sz="12" w:space="0" w:color="auto"/>
            </w:tcBorders>
            <w:shd w:val="clear" w:color="auto" w:fill="auto"/>
          </w:tcPr>
          <w:p w14:paraId="15A1B92D" w14:textId="0CB33B27" w:rsidR="00AB7AF6" w:rsidRPr="00330D80" w:rsidRDefault="00226C43" w:rsidP="00CC2C2D">
            <w:pPr>
              <w:pStyle w:val="ExhibitText"/>
              <w:jc w:val="right"/>
              <w:rPr>
                <w:lang w:val="en-CA" w:eastAsia="en-CA"/>
              </w:rPr>
            </w:pPr>
            <w:r>
              <w:rPr>
                <w:lang w:val="en-CA" w:eastAsia="en-CA"/>
              </w:rPr>
              <w:t>3.21</w:t>
            </w:r>
            <w:r w:rsidR="00AB7AF6" w:rsidRPr="00330D80">
              <w:rPr>
                <w:lang w:val="en-CA" w:eastAsia="en-CA"/>
              </w:rPr>
              <w:t xml:space="preserve"> </w:t>
            </w:r>
          </w:p>
        </w:tc>
        <w:tc>
          <w:tcPr>
            <w:tcW w:w="1320" w:type="dxa"/>
            <w:tcBorders>
              <w:top w:val="single" w:sz="12" w:space="0" w:color="auto"/>
              <w:bottom w:val="single" w:sz="12" w:space="0" w:color="auto"/>
            </w:tcBorders>
          </w:tcPr>
          <w:p w14:paraId="706F3340" w14:textId="187539FD" w:rsidR="00AB7AF6" w:rsidRPr="00330D80" w:rsidRDefault="007358DF" w:rsidP="00CC2C2D">
            <w:pPr>
              <w:pStyle w:val="ExhibitText"/>
              <w:jc w:val="right"/>
              <w:rPr>
                <w:lang w:val="en-CA" w:eastAsia="en-CA"/>
              </w:rPr>
            </w:pPr>
            <w:r w:rsidRPr="00330D80">
              <w:rPr>
                <w:lang w:val="en-CA" w:eastAsia="en-CA"/>
              </w:rPr>
              <w:t>6.41</w:t>
            </w:r>
          </w:p>
        </w:tc>
        <w:tc>
          <w:tcPr>
            <w:tcW w:w="1320" w:type="dxa"/>
            <w:tcBorders>
              <w:top w:val="single" w:sz="12" w:space="0" w:color="auto"/>
              <w:bottom w:val="single" w:sz="12" w:space="0" w:color="auto"/>
            </w:tcBorders>
          </w:tcPr>
          <w:p w14:paraId="5A35237E" w14:textId="1C478D8B" w:rsidR="00AB7AF6" w:rsidRPr="00330D80" w:rsidRDefault="007358DF" w:rsidP="00CC2C2D">
            <w:pPr>
              <w:pStyle w:val="ExhibitText"/>
              <w:jc w:val="right"/>
              <w:rPr>
                <w:lang w:val="en-CA" w:eastAsia="en-CA"/>
              </w:rPr>
            </w:pPr>
            <w:r w:rsidRPr="00330D80">
              <w:rPr>
                <w:lang w:val="en-CA" w:eastAsia="en-CA"/>
              </w:rPr>
              <w:t>2.76</w:t>
            </w:r>
          </w:p>
        </w:tc>
        <w:tc>
          <w:tcPr>
            <w:tcW w:w="2025" w:type="dxa"/>
            <w:tcBorders>
              <w:top w:val="single" w:sz="12" w:space="0" w:color="auto"/>
              <w:bottom w:val="single" w:sz="12" w:space="0" w:color="auto"/>
            </w:tcBorders>
            <w:shd w:val="clear" w:color="auto" w:fill="auto"/>
          </w:tcPr>
          <w:p w14:paraId="7849B7AE" w14:textId="7168EE45" w:rsidR="00AB7AF6" w:rsidRPr="00330D80" w:rsidRDefault="00AB7AF6" w:rsidP="00CC2C2D">
            <w:pPr>
              <w:pStyle w:val="ExhibitText"/>
              <w:jc w:val="right"/>
              <w:rPr>
                <w:lang w:val="en-CA" w:eastAsia="en-CA"/>
              </w:rPr>
            </w:pPr>
            <w:r w:rsidRPr="00330D80">
              <w:rPr>
                <w:lang w:val="en-CA" w:eastAsia="en-CA"/>
              </w:rPr>
              <w:t>1,110</w:t>
            </w:r>
            <w:r>
              <w:rPr>
                <w:lang w:val="en-CA" w:eastAsia="en-CA"/>
              </w:rPr>
              <w:t>.</w:t>
            </w:r>
            <w:r w:rsidR="00226C43">
              <w:rPr>
                <w:lang w:val="en-CA" w:eastAsia="en-CA"/>
              </w:rPr>
              <w:t>55</w:t>
            </w:r>
          </w:p>
        </w:tc>
        <w:tc>
          <w:tcPr>
            <w:tcW w:w="2025" w:type="dxa"/>
            <w:tcBorders>
              <w:top w:val="single" w:sz="12" w:space="0" w:color="auto"/>
              <w:bottom w:val="single" w:sz="12" w:space="0" w:color="auto"/>
            </w:tcBorders>
            <w:shd w:val="clear" w:color="auto" w:fill="auto"/>
          </w:tcPr>
          <w:p w14:paraId="3F18813A" w14:textId="162BBA0B" w:rsidR="00AB7AF6" w:rsidRPr="00330D80" w:rsidRDefault="0044338B" w:rsidP="00CC2C2D">
            <w:pPr>
              <w:pStyle w:val="ExhibitText"/>
              <w:jc w:val="right"/>
              <w:rPr>
                <w:lang w:val="en-CA" w:eastAsia="en-CA"/>
              </w:rPr>
            </w:pPr>
            <w:r>
              <w:rPr>
                <w:lang w:val="en-CA" w:eastAsia="en-CA"/>
              </w:rPr>
              <w:t>6</w:t>
            </w:r>
            <w:r w:rsidR="00122625">
              <w:rPr>
                <w:lang w:val="en-CA" w:eastAsia="en-CA"/>
              </w:rPr>
              <w:t>50</w:t>
            </w:r>
            <w:r w:rsidR="00226C43">
              <w:rPr>
                <w:lang w:val="en-CA" w:eastAsia="en-CA"/>
              </w:rPr>
              <w:t>.38</w:t>
            </w:r>
          </w:p>
        </w:tc>
        <w:tc>
          <w:tcPr>
            <w:tcW w:w="1260" w:type="dxa"/>
            <w:tcBorders>
              <w:top w:val="single" w:sz="12" w:space="0" w:color="auto"/>
              <w:bottom w:val="single" w:sz="12" w:space="0" w:color="auto"/>
            </w:tcBorders>
            <w:shd w:val="clear" w:color="auto" w:fill="auto"/>
          </w:tcPr>
          <w:p w14:paraId="2A226105" w14:textId="3AD08580" w:rsidR="00AB7AF6" w:rsidRPr="00330D80" w:rsidRDefault="00AB7AF6" w:rsidP="00CC2C2D">
            <w:pPr>
              <w:pStyle w:val="ExhibitText"/>
              <w:jc w:val="right"/>
              <w:rPr>
                <w:lang w:val="en-CA" w:eastAsia="en-CA"/>
              </w:rPr>
            </w:pPr>
            <w:r w:rsidRPr="00330D80">
              <w:rPr>
                <w:lang w:val="en-CA" w:eastAsia="en-CA"/>
              </w:rPr>
              <w:t>3.5</w:t>
            </w:r>
            <w:r w:rsidR="00226C43">
              <w:rPr>
                <w:lang w:val="en-CA" w:eastAsia="en-CA"/>
              </w:rPr>
              <w:t>0</w:t>
            </w:r>
          </w:p>
        </w:tc>
        <w:tc>
          <w:tcPr>
            <w:tcW w:w="2065" w:type="dxa"/>
            <w:tcBorders>
              <w:top w:val="single" w:sz="12" w:space="0" w:color="auto"/>
              <w:bottom w:val="single" w:sz="12" w:space="0" w:color="auto"/>
            </w:tcBorders>
            <w:shd w:val="clear" w:color="auto" w:fill="auto"/>
          </w:tcPr>
          <w:p w14:paraId="03F0B338" w14:textId="789A2E61" w:rsidR="00AB7AF6" w:rsidRPr="00330D80" w:rsidRDefault="00AB7AF6" w:rsidP="00CC2C2D">
            <w:pPr>
              <w:pStyle w:val="ExhibitText"/>
              <w:jc w:val="right"/>
              <w:rPr>
                <w:lang w:val="en-CA" w:eastAsia="en-CA"/>
              </w:rPr>
            </w:pPr>
            <w:r w:rsidRPr="00330D80">
              <w:rPr>
                <w:lang w:val="en-CA" w:eastAsia="en-CA"/>
              </w:rPr>
              <w:t>202.74</w:t>
            </w:r>
          </w:p>
        </w:tc>
      </w:tr>
      <w:tr w:rsidR="00E65098" w:rsidRPr="00330D80" w14:paraId="1903C514" w14:textId="77777777" w:rsidTr="008F6306">
        <w:trPr>
          <w:trHeight w:val="259"/>
          <w:jc w:val="center"/>
        </w:trPr>
        <w:tc>
          <w:tcPr>
            <w:tcW w:w="1890" w:type="dxa"/>
            <w:tcBorders>
              <w:top w:val="single" w:sz="12" w:space="0" w:color="auto"/>
              <w:bottom w:val="dotted" w:sz="4" w:space="0" w:color="auto"/>
            </w:tcBorders>
            <w:shd w:val="clear" w:color="auto" w:fill="auto"/>
          </w:tcPr>
          <w:p w14:paraId="6BA5787E" w14:textId="77777777" w:rsidR="00AB7AF6" w:rsidRPr="00330D80" w:rsidRDefault="00AB7AF6" w:rsidP="00CC2C2D">
            <w:pPr>
              <w:pStyle w:val="ExhibitText"/>
              <w:jc w:val="left"/>
              <w:rPr>
                <w:lang w:val="en-CA" w:eastAsia="en-CA"/>
              </w:rPr>
            </w:pPr>
            <w:r w:rsidRPr="00330D80">
              <w:rPr>
                <w:lang w:val="en-CA" w:eastAsia="en-CA"/>
              </w:rPr>
              <w:t>Albertans</w:t>
            </w:r>
          </w:p>
        </w:tc>
        <w:tc>
          <w:tcPr>
            <w:tcW w:w="1320" w:type="dxa"/>
            <w:tcBorders>
              <w:top w:val="single" w:sz="12" w:space="0" w:color="auto"/>
              <w:bottom w:val="dotted" w:sz="4" w:space="0" w:color="auto"/>
            </w:tcBorders>
            <w:shd w:val="clear" w:color="auto" w:fill="auto"/>
          </w:tcPr>
          <w:p w14:paraId="460C7CF9" w14:textId="613BA023" w:rsidR="00AB7AF6" w:rsidRPr="00330D80" w:rsidRDefault="00226C43" w:rsidP="00CC2C2D">
            <w:pPr>
              <w:pStyle w:val="ExhibitText"/>
              <w:jc w:val="right"/>
              <w:rPr>
                <w:lang w:val="en-CA" w:eastAsia="en-CA"/>
              </w:rPr>
            </w:pPr>
            <w:r>
              <w:rPr>
                <w:lang w:val="en-CA" w:eastAsia="en-CA"/>
              </w:rPr>
              <w:t>2.23</w:t>
            </w:r>
          </w:p>
        </w:tc>
        <w:tc>
          <w:tcPr>
            <w:tcW w:w="1320" w:type="dxa"/>
            <w:tcBorders>
              <w:top w:val="single" w:sz="12" w:space="0" w:color="auto"/>
              <w:bottom w:val="dotted" w:sz="4" w:space="0" w:color="auto"/>
            </w:tcBorders>
          </w:tcPr>
          <w:p w14:paraId="39FDD687" w14:textId="77777777" w:rsidR="00AB7AF6" w:rsidRPr="00330D80" w:rsidRDefault="00AB7AF6" w:rsidP="00CC2C2D">
            <w:pPr>
              <w:pStyle w:val="ExhibitText"/>
              <w:jc w:val="right"/>
              <w:rPr>
                <w:lang w:val="en-CA" w:eastAsia="en-CA"/>
              </w:rPr>
            </w:pPr>
          </w:p>
        </w:tc>
        <w:tc>
          <w:tcPr>
            <w:tcW w:w="1320" w:type="dxa"/>
            <w:tcBorders>
              <w:top w:val="single" w:sz="12" w:space="0" w:color="auto"/>
              <w:bottom w:val="dotted" w:sz="4" w:space="0" w:color="auto"/>
            </w:tcBorders>
          </w:tcPr>
          <w:p w14:paraId="56F42318" w14:textId="750E2066" w:rsidR="00AB7AF6" w:rsidRPr="00330D80" w:rsidRDefault="00AB7AF6" w:rsidP="00CC2C2D">
            <w:pPr>
              <w:pStyle w:val="ExhibitText"/>
              <w:jc w:val="right"/>
              <w:rPr>
                <w:lang w:val="en-CA" w:eastAsia="en-CA"/>
              </w:rPr>
            </w:pPr>
          </w:p>
        </w:tc>
        <w:tc>
          <w:tcPr>
            <w:tcW w:w="2025" w:type="dxa"/>
            <w:tcBorders>
              <w:top w:val="single" w:sz="12" w:space="0" w:color="auto"/>
              <w:bottom w:val="dotted" w:sz="4" w:space="0" w:color="auto"/>
            </w:tcBorders>
            <w:shd w:val="clear" w:color="auto" w:fill="auto"/>
          </w:tcPr>
          <w:p w14:paraId="68233864" w14:textId="6189B4C4" w:rsidR="00AB7AF6" w:rsidRPr="00330D80" w:rsidRDefault="00AB7AF6" w:rsidP="00CC2C2D">
            <w:pPr>
              <w:pStyle w:val="ExhibitText"/>
              <w:jc w:val="right"/>
              <w:rPr>
                <w:lang w:val="en-CA" w:eastAsia="en-CA"/>
              </w:rPr>
            </w:pPr>
            <w:r w:rsidRPr="00330D80">
              <w:rPr>
                <w:lang w:val="en-CA" w:eastAsia="en-CA"/>
              </w:rPr>
              <w:t>445.59</w:t>
            </w:r>
          </w:p>
        </w:tc>
        <w:tc>
          <w:tcPr>
            <w:tcW w:w="2025" w:type="dxa"/>
            <w:tcBorders>
              <w:top w:val="single" w:sz="12" w:space="0" w:color="auto"/>
              <w:bottom w:val="dotted" w:sz="4" w:space="0" w:color="auto"/>
            </w:tcBorders>
            <w:shd w:val="clear" w:color="auto" w:fill="auto"/>
          </w:tcPr>
          <w:p w14:paraId="2A374FA9" w14:textId="268CECE6" w:rsidR="00AB7AF6" w:rsidRPr="00330D80" w:rsidRDefault="00AB7AF6" w:rsidP="00CC2C2D">
            <w:pPr>
              <w:pStyle w:val="ExhibitText"/>
              <w:jc w:val="right"/>
              <w:rPr>
                <w:lang w:val="en-CA" w:eastAsia="en-CA"/>
              </w:rPr>
            </w:pPr>
            <w:r w:rsidRPr="00330D80">
              <w:rPr>
                <w:lang w:val="en-CA" w:eastAsia="en-CA"/>
              </w:rPr>
              <w:t>236.71</w:t>
            </w:r>
          </w:p>
        </w:tc>
        <w:tc>
          <w:tcPr>
            <w:tcW w:w="1260" w:type="dxa"/>
            <w:tcBorders>
              <w:top w:val="single" w:sz="12" w:space="0" w:color="auto"/>
              <w:bottom w:val="dotted" w:sz="4" w:space="0" w:color="auto"/>
            </w:tcBorders>
            <w:shd w:val="clear" w:color="auto" w:fill="auto"/>
          </w:tcPr>
          <w:p w14:paraId="26F7DF7C" w14:textId="6C9E604E" w:rsidR="00AB7AF6" w:rsidRPr="00330D80" w:rsidRDefault="00AB7AF6" w:rsidP="00CC2C2D">
            <w:pPr>
              <w:pStyle w:val="ExhibitText"/>
              <w:jc w:val="right"/>
              <w:rPr>
                <w:lang w:val="en-CA" w:eastAsia="en-CA"/>
              </w:rPr>
            </w:pPr>
            <w:r w:rsidRPr="00330D80">
              <w:rPr>
                <w:lang w:val="en-CA" w:eastAsia="en-CA"/>
              </w:rPr>
              <w:t>2.3</w:t>
            </w:r>
            <w:r w:rsidR="00226C43">
              <w:rPr>
                <w:lang w:val="en-CA" w:eastAsia="en-CA"/>
              </w:rPr>
              <w:t>0</w:t>
            </w:r>
          </w:p>
        </w:tc>
        <w:tc>
          <w:tcPr>
            <w:tcW w:w="2065" w:type="dxa"/>
            <w:tcBorders>
              <w:top w:val="single" w:sz="12" w:space="0" w:color="auto"/>
              <w:bottom w:val="dotted" w:sz="4" w:space="0" w:color="auto"/>
            </w:tcBorders>
            <w:shd w:val="clear" w:color="auto" w:fill="auto"/>
          </w:tcPr>
          <w:p w14:paraId="0E4570C4" w14:textId="1F69EC81" w:rsidR="00AB7AF6" w:rsidRPr="00330D80" w:rsidRDefault="0044338B" w:rsidP="00CC2C2D">
            <w:pPr>
              <w:pStyle w:val="ExhibitText"/>
              <w:jc w:val="right"/>
              <w:rPr>
                <w:lang w:val="en-CA" w:eastAsia="en-CA"/>
              </w:rPr>
            </w:pPr>
            <w:r>
              <w:rPr>
                <w:lang w:val="en-CA" w:eastAsia="en-CA"/>
              </w:rPr>
              <w:t>106.39</w:t>
            </w:r>
          </w:p>
        </w:tc>
      </w:tr>
      <w:tr w:rsidR="00E65098" w:rsidRPr="00330D80" w14:paraId="27487538" w14:textId="77777777" w:rsidTr="008F6306">
        <w:trPr>
          <w:trHeight w:val="259"/>
          <w:jc w:val="center"/>
        </w:trPr>
        <w:tc>
          <w:tcPr>
            <w:tcW w:w="1890" w:type="dxa"/>
            <w:tcBorders>
              <w:top w:val="dotted" w:sz="4" w:space="0" w:color="auto"/>
              <w:bottom w:val="dotted" w:sz="4" w:space="0" w:color="auto"/>
            </w:tcBorders>
            <w:shd w:val="clear" w:color="auto" w:fill="auto"/>
          </w:tcPr>
          <w:p w14:paraId="40AC5ABF" w14:textId="77777777" w:rsidR="00AB7AF6" w:rsidRPr="00330D80" w:rsidRDefault="00AB7AF6" w:rsidP="00CC2C2D">
            <w:pPr>
              <w:pStyle w:val="ExhibitText"/>
              <w:jc w:val="left"/>
              <w:rPr>
                <w:lang w:val="en-CA" w:eastAsia="en-CA"/>
              </w:rPr>
            </w:pPr>
            <w:r w:rsidRPr="00330D80">
              <w:rPr>
                <w:lang w:val="en-CA" w:eastAsia="en-CA"/>
              </w:rPr>
              <w:t>Other Canadians</w:t>
            </w:r>
          </w:p>
        </w:tc>
        <w:tc>
          <w:tcPr>
            <w:tcW w:w="1320" w:type="dxa"/>
            <w:tcBorders>
              <w:top w:val="dotted" w:sz="4" w:space="0" w:color="auto"/>
              <w:bottom w:val="dotted" w:sz="4" w:space="0" w:color="auto"/>
            </w:tcBorders>
            <w:shd w:val="clear" w:color="auto" w:fill="auto"/>
          </w:tcPr>
          <w:p w14:paraId="2F2219FE" w14:textId="2A3D5B24" w:rsidR="00AB7AF6" w:rsidRPr="00330D80" w:rsidRDefault="00226C43" w:rsidP="00CC2C2D">
            <w:pPr>
              <w:pStyle w:val="ExhibitText"/>
              <w:jc w:val="right"/>
              <w:rPr>
                <w:lang w:val="en-CA" w:eastAsia="en-CA"/>
              </w:rPr>
            </w:pPr>
            <w:r>
              <w:rPr>
                <w:lang w:val="en-CA" w:eastAsia="en-CA"/>
              </w:rPr>
              <w:t>0.27</w:t>
            </w:r>
          </w:p>
        </w:tc>
        <w:tc>
          <w:tcPr>
            <w:tcW w:w="1320" w:type="dxa"/>
            <w:tcBorders>
              <w:top w:val="dotted" w:sz="4" w:space="0" w:color="auto"/>
              <w:bottom w:val="dotted" w:sz="4" w:space="0" w:color="auto"/>
            </w:tcBorders>
          </w:tcPr>
          <w:p w14:paraId="74E3E2E5" w14:textId="77777777" w:rsidR="00AB7AF6" w:rsidRPr="00330D80" w:rsidRDefault="00AB7AF6" w:rsidP="00CC2C2D">
            <w:pPr>
              <w:pStyle w:val="ExhibitText"/>
              <w:jc w:val="right"/>
              <w:rPr>
                <w:lang w:val="en-CA" w:eastAsia="en-CA"/>
              </w:rPr>
            </w:pPr>
          </w:p>
        </w:tc>
        <w:tc>
          <w:tcPr>
            <w:tcW w:w="1320" w:type="dxa"/>
            <w:tcBorders>
              <w:top w:val="dotted" w:sz="4" w:space="0" w:color="auto"/>
              <w:bottom w:val="dotted" w:sz="4" w:space="0" w:color="auto"/>
            </w:tcBorders>
          </w:tcPr>
          <w:p w14:paraId="03573010" w14:textId="5A1BBB0E" w:rsidR="00AB7AF6" w:rsidRPr="00330D80" w:rsidRDefault="00AB7AF6" w:rsidP="00CC2C2D">
            <w:pPr>
              <w:pStyle w:val="ExhibitText"/>
              <w:jc w:val="right"/>
              <w:rPr>
                <w:lang w:val="en-CA" w:eastAsia="en-CA"/>
              </w:rPr>
            </w:pPr>
          </w:p>
        </w:tc>
        <w:tc>
          <w:tcPr>
            <w:tcW w:w="2025" w:type="dxa"/>
            <w:tcBorders>
              <w:top w:val="dotted" w:sz="4" w:space="0" w:color="auto"/>
              <w:bottom w:val="dotted" w:sz="4" w:space="0" w:color="auto"/>
            </w:tcBorders>
            <w:shd w:val="clear" w:color="auto" w:fill="auto"/>
          </w:tcPr>
          <w:p w14:paraId="4A4BFF7D" w14:textId="7AE8AC06" w:rsidR="00AB7AF6" w:rsidRPr="00330D80" w:rsidRDefault="00AB7AF6" w:rsidP="00CC2C2D">
            <w:pPr>
              <w:pStyle w:val="ExhibitText"/>
              <w:jc w:val="right"/>
              <w:rPr>
                <w:lang w:val="en-CA" w:eastAsia="en-CA"/>
              </w:rPr>
            </w:pPr>
            <w:r w:rsidRPr="00330D80">
              <w:rPr>
                <w:lang w:val="en-CA" w:eastAsia="en-CA"/>
              </w:rPr>
              <w:t>177.31</w:t>
            </w:r>
          </w:p>
        </w:tc>
        <w:tc>
          <w:tcPr>
            <w:tcW w:w="2025" w:type="dxa"/>
            <w:tcBorders>
              <w:top w:val="dotted" w:sz="4" w:space="0" w:color="auto"/>
              <w:bottom w:val="dotted" w:sz="4" w:space="0" w:color="auto"/>
            </w:tcBorders>
            <w:shd w:val="clear" w:color="auto" w:fill="auto"/>
          </w:tcPr>
          <w:p w14:paraId="60952C8F" w14:textId="0768F02D" w:rsidR="00AB7AF6" w:rsidRPr="00330D80" w:rsidRDefault="00AB7AF6" w:rsidP="00CC2C2D">
            <w:pPr>
              <w:pStyle w:val="ExhibitText"/>
              <w:jc w:val="right"/>
              <w:rPr>
                <w:lang w:val="en-CA" w:eastAsia="en-CA"/>
              </w:rPr>
            </w:pPr>
            <w:r w:rsidRPr="00330D80">
              <w:rPr>
                <w:lang w:val="en-CA" w:eastAsia="en-CA"/>
              </w:rPr>
              <w:t>125.66</w:t>
            </w:r>
          </w:p>
        </w:tc>
        <w:tc>
          <w:tcPr>
            <w:tcW w:w="1260" w:type="dxa"/>
            <w:tcBorders>
              <w:top w:val="dotted" w:sz="4" w:space="0" w:color="auto"/>
              <w:bottom w:val="dotted" w:sz="4" w:space="0" w:color="auto"/>
            </w:tcBorders>
            <w:shd w:val="clear" w:color="auto" w:fill="auto"/>
          </w:tcPr>
          <w:p w14:paraId="55DB5518" w14:textId="12E18441" w:rsidR="00AB7AF6" w:rsidRPr="00330D80" w:rsidRDefault="00AB7AF6" w:rsidP="00CC2C2D">
            <w:pPr>
              <w:pStyle w:val="ExhibitText"/>
              <w:jc w:val="right"/>
              <w:rPr>
                <w:lang w:val="en-CA" w:eastAsia="en-CA"/>
              </w:rPr>
            </w:pPr>
            <w:r w:rsidRPr="00330D80">
              <w:rPr>
                <w:lang w:val="en-CA" w:eastAsia="en-CA"/>
              </w:rPr>
              <w:t>3.5</w:t>
            </w:r>
            <w:r w:rsidR="00226C43">
              <w:rPr>
                <w:lang w:val="en-CA" w:eastAsia="en-CA"/>
              </w:rPr>
              <w:t>0</w:t>
            </w:r>
          </w:p>
        </w:tc>
        <w:tc>
          <w:tcPr>
            <w:tcW w:w="2065" w:type="dxa"/>
            <w:tcBorders>
              <w:top w:val="dotted" w:sz="4" w:space="0" w:color="auto"/>
              <w:bottom w:val="dotted" w:sz="4" w:space="0" w:color="auto"/>
            </w:tcBorders>
            <w:shd w:val="clear" w:color="auto" w:fill="auto"/>
          </w:tcPr>
          <w:p w14:paraId="5A5C702E" w14:textId="39C3CCB0" w:rsidR="00AB7AF6" w:rsidRPr="00330D80" w:rsidRDefault="00AB7AF6" w:rsidP="00CC2C2D">
            <w:pPr>
              <w:pStyle w:val="ExhibitText"/>
              <w:jc w:val="right"/>
              <w:rPr>
                <w:lang w:val="en-CA" w:eastAsia="en-CA"/>
              </w:rPr>
            </w:pPr>
            <w:r w:rsidRPr="00330D80">
              <w:rPr>
                <w:lang w:val="en-CA" w:eastAsia="en-CA"/>
              </w:rPr>
              <w:t>467.15</w:t>
            </w:r>
          </w:p>
        </w:tc>
      </w:tr>
      <w:tr w:rsidR="00E65098" w:rsidRPr="00330D80" w14:paraId="60F4BFFF" w14:textId="77777777" w:rsidTr="008F6306">
        <w:trPr>
          <w:trHeight w:val="259"/>
          <w:jc w:val="center"/>
        </w:trPr>
        <w:tc>
          <w:tcPr>
            <w:tcW w:w="1890" w:type="dxa"/>
            <w:tcBorders>
              <w:top w:val="dotted" w:sz="4" w:space="0" w:color="auto"/>
              <w:bottom w:val="dotted" w:sz="4" w:space="0" w:color="auto"/>
            </w:tcBorders>
            <w:shd w:val="clear" w:color="auto" w:fill="auto"/>
          </w:tcPr>
          <w:p w14:paraId="21C5BD63" w14:textId="77777777" w:rsidR="00AB7AF6" w:rsidRPr="00330D80" w:rsidRDefault="00AB7AF6" w:rsidP="00CC2C2D">
            <w:pPr>
              <w:pStyle w:val="ExhibitText"/>
              <w:jc w:val="left"/>
              <w:rPr>
                <w:lang w:val="en-CA" w:eastAsia="en-CA"/>
              </w:rPr>
            </w:pPr>
            <w:r w:rsidRPr="00330D80">
              <w:rPr>
                <w:lang w:val="en-CA" w:eastAsia="en-CA"/>
              </w:rPr>
              <w:t>United States</w:t>
            </w:r>
          </w:p>
        </w:tc>
        <w:tc>
          <w:tcPr>
            <w:tcW w:w="1320" w:type="dxa"/>
            <w:tcBorders>
              <w:top w:val="dotted" w:sz="4" w:space="0" w:color="auto"/>
              <w:bottom w:val="dotted" w:sz="4" w:space="0" w:color="auto"/>
            </w:tcBorders>
            <w:shd w:val="clear" w:color="auto" w:fill="auto"/>
          </w:tcPr>
          <w:p w14:paraId="39FF42DA" w14:textId="2C015D77" w:rsidR="00AB7AF6" w:rsidRPr="00330D80" w:rsidRDefault="00226C43" w:rsidP="00CC2C2D">
            <w:pPr>
              <w:pStyle w:val="ExhibitText"/>
              <w:jc w:val="right"/>
              <w:rPr>
                <w:lang w:val="en-CA" w:eastAsia="en-CA"/>
              </w:rPr>
            </w:pPr>
            <w:r>
              <w:rPr>
                <w:lang w:val="en-CA" w:eastAsia="en-CA"/>
              </w:rPr>
              <w:t>0.29</w:t>
            </w:r>
          </w:p>
        </w:tc>
        <w:tc>
          <w:tcPr>
            <w:tcW w:w="1320" w:type="dxa"/>
            <w:tcBorders>
              <w:top w:val="dotted" w:sz="4" w:space="0" w:color="auto"/>
              <w:bottom w:val="dotted" w:sz="4" w:space="0" w:color="auto"/>
            </w:tcBorders>
          </w:tcPr>
          <w:p w14:paraId="24F3499D" w14:textId="77777777" w:rsidR="00AB7AF6" w:rsidRPr="00330D80" w:rsidRDefault="00AB7AF6" w:rsidP="00CC2C2D">
            <w:pPr>
              <w:pStyle w:val="ExhibitText"/>
              <w:jc w:val="right"/>
              <w:rPr>
                <w:lang w:val="en-CA" w:eastAsia="en-CA"/>
              </w:rPr>
            </w:pPr>
          </w:p>
        </w:tc>
        <w:tc>
          <w:tcPr>
            <w:tcW w:w="1320" w:type="dxa"/>
            <w:tcBorders>
              <w:top w:val="dotted" w:sz="4" w:space="0" w:color="auto"/>
              <w:bottom w:val="dotted" w:sz="4" w:space="0" w:color="auto"/>
            </w:tcBorders>
          </w:tcPr>
          <w:p w14:paraId="7AAA7380" w14:textId="65847116" w:rsidR="00AB7AF6" w:rsidRPr="00330D80" w:rsidRDefault="00AB7AF6" w:rsidP="00CC2C2D">
            <w:pPr>
              <w:pStyle w:val="ExhibitText"/>
              <w:jc w:val="right"/>
              <w:rPr>
                <w:lang w:val="en-CA" w:eastAsia="en-CA"/>
              </w:rPr>
            </w:pPr>
          </w:p>
        </w:tc>
        <w:tc>
          <w:tcPr>
            <w:tcW w:w="2025" w:type="dxa"/>
            <w:tcBorders>
              <w:top w:val="dotted" w:sz="4" w:space="0" w:color="auto"/>
              <w:bottom w:val="dotted" w:sz="4" w:space="0" w:color="auto"/>
            </w:tcBorders>
            <w:shd w:val="clear" w:color="auto" w:fill="auto"/>
          </w:tcPr>
          <w:p w14:paraId="10B46E67" w14:textId="4B1C66CD" w:rsidR="00AB7AF6" w:rsidRPr="00330D80" w:rsidRDefault="00AB7AF6" w:rsidP="00CC2C2D">
            <w:pPr>
              <w:pStyle w:val="ExhibitText"/>
              <w:jc w:val="right"/>
              <w:rPr>
                <w:lang w:val="en-CA" w:eastAsia="en-CA"/>
              </w:rPr>
            </w:pPr>
            <w:r w:rsidRPr="00330D80">
              <w:rPr>
                <w:lang w:val="en-CA" w:eastAsia="en-CA"/>
              </w:rPr>
              <w:t>159.26</w:t>
            </w:r>
          </w:p>
        </w:tc>
        <w:tc>
          <w:tcPr>
            <w:tcW w:w="2025" w:type="dxa"/>
            <w:tcBorders>
              <w:top w:val="dotted" w:sz="4" w:space="0" w:color="auto"/>
              <w:bottom w:val="dotted" w:sz="4" w:space="0" w:color="auto"/>
            </w:tcBorders>
            <w:shd w:val="clear" w:color="auto" w:fill="auto"/>
          </w:tcPr>
          <w:p w14:paraId="74FC2AA6" w14:textId="5FD29FCC" w:rsidR="00AB7AF6" w:rsidRPr="00330D80" w:rsidRDefault="00AB7AF6" w:rsidP="00CC2C2D">
            <w:pPr>
              <w:pStyle w:val="ExhibitText"/>
              <w:jc w:val="right"/>
              <w:rPr>
                <w:lang w:val="en-CA" w:eastAsia="en-CA"/>
              </w:rPr>
            </w:pPr>
            <w:r w:rsidRPr="00330D80">
              <w:rPr>
                <w:lang w:val="en-CA" w:eastAsia="en-CA"/>
              </w:rPr>
              <w:t>91.46</w:t>
            </w:r>
          </w:p>
        </w:tc>
        <w:tc>
          <w:tcPr>
            <w:tcW w:w="1260" w:type="dxa"/>
            <w:tcBorders>
              <w:top w:val="dotted" w:sz="4" w:space="0" w:color="auto"/>
              <w:bottom w:val="dotted" w:sz="4" w:space="0" w:color="auto"/>
            </w:tcBorders>
            <w:shd w:val="clear" w:color="auto" w:fill="auto"/>
          </w:tcPr>
          <w:p w14:paraId="08FD1C37" w14:textId="709B6516" w:rsidR="00AB7AF6" w:rsidRPr="00330D80" w:rsidRDefault="00AB7AF6" w:rsidP="00CC2C2D">
            <w:pPr>
              <w:pStyle w:val="ExhibitText"/>
              <w:jc w:val="right"/>
              <w:rPr>
                <w:lang w:val="en-CA" w:eastAsia="en-CA"/>
              </w:rPr>
            </w:pPr>
            <w:r w:rsidRPr="00330D80">
              <w:rPr>
                <w:lang w:val="en-CA" w:eastAsia="en-CA"/>
              </w:rPr>
              <w:t>4.2</w:t>
            </w:r>
            <w:r w:rsidR="00226C43">
              <w:rPr>
                <w:lang w:val="en-CA" w:eastAsia="en-CA"/>
              </w:rPr>
              <w:t>0</w:t>
            </w:r>
          </w:p>
        </w:tc>
        <w:tc>
          <w:tcPr>
            <w:tcW w:w="2065" w:type="dxa"/>
            <w:tcBorders>
              <w:top w:val="dotted" w:sz="4" w:space="0" w:color="auto"/>
              <w:bottom w:val="dotted" w:sz="4" w:space="0" w:color="auto"/>
            </w:tcBorders>
            <w:shd w:val="clear" w:color="auto" w:fill="auto"/>
          </w:tcPr>
          <w:p w14:paraId="713031D6" w14:textId="6887D5D5" w:rsidR="00AB7AF6" w:rsidRPr="00330D80" w:rsidRDefault="00AB7AF6" w:rsidP="00CC2C2D">
            <w:pPr>
              <w:pStyle w:val="ExhibitText"/>
              <w:jc w:val="right"/>
              <w:rPr>
                <w:lang w:val="en-CA" w:eastAsia="en-CA"/>
              </w:rPr>
            </w:pPr>
            <w:r w:rsidRPr="00330D80">
              <w:rPr>
                <w:lang w:val="en-CA" w:eastAsia="en-CA"/>
              </w:rPr>
              <w:t>316.47</w:t>
            </w:r>
          </w:p>
        </w:tc>
      </w:tr>
      <w:tr w:rsidR="00CC2C2D" w:rsidRPr="00330D80" w14:paraId="77B2AC52" w14:textId="77777777" w:rsidTr="008F6306">
        <w:trPr>
          <w:trHeight w:val="259"/>
          <w:jc w:val="center"/>
        </w:trPr>
        <w:tc>
          <w:tcPr>
            <w:tcW w:w="1890" w:type="dxa"/>
            <w:tcBorders>
              <w:top w:val="dotted" w:sz="4" w:space="0" w:color="auto"/>
              <w:bottom w:val="single" w:sz="12" w:space="0" w:color="auto"/>
            </w:tcBorders>
            <w:shd w:val="clear" w:color="auto" w:fill="auto"/>
          </w:tcPr>
          <w:p w14:paraId="28769126" w14:textId="77777777" w:rsidR="00AB7AF6" w:rsidRPr="00330D80" w:rsidRDefault="00AB7AF6" w:rsidP="00CC2C2D">
            <w:pPr>
              <w:pStyle w:val="ExhibitText"/>
              <w:jc w:val="left"/>
              <w:rPr>
                <w:lang w:val="en-CA" w:eastAsia="en-CA"/>
              </w:rPr>
            </w:pPr>
            <w:r w:rsidRPr="00330D80">
              <w:rPr>
                <w:lang w:val="en-CA" w:eastAsia="en-CA"/>
              </w:rPr>
              <w:t>Other International</w:t>
            </w:r>
          </w:p>
        </w:tc>
        <w:tc>
          <w:tcPr>
            <w:tcW w:w="1320" w:type="dxa"/>
            <w:tcBorders>
              <w:top w:val="dotted" w:sz="4" w:space="0" w:color="auto"/>
              <w:bottom w:val="single" w:sz="12" w:space="0" w:color="auto"/>
            </w:tcBorders>
            <w:shd w:val="clear" w:color="auto" w:fill="auto"/>
          </w:tcPr>
          <w:p w14:paraId="67AB2DC7" w14:textId="253EF074" w:rsidR="00AB7AF6" w:rsidRPr="00330D80" w:rsidRDefault="00226C43" w:rsidP="00CC2C2D">
            <w:pPr>
              <w:pStyle w:val="ExhibitText"/>
              <w:jc w:val="right"/>
              <w:rPr>
                <w:lang w:val="en-CA" w:eastAsia="en-CA"/>
              </w:rPr>
            </w:pPr>
            <w:r>
              <w:rPr>
                <w:lang w:val="en-CA" w:eastAsia="en-CA"/>
              </w:rPr>
              <w:t>0.43</w:t>
            </w:r>
          </w:p>
        </w:tc>
        <w:tc>
          <w:tcPr>
            <w:tcW w:w="1320" w:type="dxa"/>
            <w:tcBorders>
              <w:top w:val="dotted" w:sz="4" w:space="0" w:color="auto"/>
              <w:bottom w:val="single" w:sz="12" w:space="0" w:color="auto"/>
            </w:tcBorders>
          </w:tcPr>
          <w:p w14:paraId="6ED775DF" w14:textId="77777777" w:rsidR="00AB7AF6" w:rsidRPr="00330D80" w:rsidRDefault="00AB7AF6" w:rsidP="00CC2C2D">
            <w:pPr>
              <w:pStyle w:val="ExhibitText"/>
              <w:jc w:val="right"/>
              <w:rPr>
                <w:lang w:val="en-CA" w:eastAsia="en-CA"/>
              </w:rPr>
            </w:pPr>
          </w:p>
        </w:tc>
        <w:tc>
          <w:tcPr>
            <w:tcW w:w="1320" w:type="dxa"/>
            <w:tcBorders>
              <w:top w:val="dotted" w:sz="4" w:space="0" w:color="auto"/>
              <w:bottom w:val="single" w:sz="12" w:space="0" w:color="auto"/>
            </w:tcBorders>
          </w:tcPr>
          <w:p w14:paraId="300050CB" w14:textId="245BBFBD" w:rsidR="00AB7AF6" w:rsidRPr="00330D80" w:rsidRDefault="00AB7AF6" w:rsidP="00CC2C2D">
            <w:pPr>
              <w:pStyle w:val="ExhibitText"/>
              <w:jc w:val="right"/>
              <w:rPr>
                <w:lang w:val="en-CA" w:eastAsia="en-CA"/>
              </w:rPr>
            </w:pPr>
          </w:p>
        </w:tc>
        <w:tc>
          <w:tcPr>
            <w:tcW w:w="2025" w:type="dxa"/>
            <w:tcBorders>
              <w:top w:val="dotted" w:sz="4" w:space="0" w:color="auto"/>
              <w:bottom w:val="single" w:sz="12" w:space="0" w:color="auto"/>
            </w:tcBorders>
            <w:shd w:val="clear" w:color="auto" w:fill="auto"/>
          </w:tcPr>
          <w:p w14:paraId="2D08165E" w14:textId="48810742" w:rsidR="00AB7AF6" w:rsidRPr="00330D80" w:rsidRDefault="00226C43" w:rsidP="00CC2C2D">
            <w:pPr>
              <w:pStyle w:val="ExhibitText"/>
              <w:jc w:val="right"/>
              <w:rPr>
                <w:lang w:val="en-CA" w:eastAsia="en-CA"/>
              </w:rPr>
            </w:pPr>
            <w:r>
              <w:rPr>
                <w:lang w:val="en-CA" w:eastAsia="en-CA"/>
              </w:rPr>
              <w:t>328.39</w:t>
            </w:r>
          </w:p>
        </w:tc>
        <w:tc>
          <w:tcPr>
            <w:tcW w:w="2025" w:type="dxa"/>
            <w:tcBorders>
              <w:top w:val="dotted" w:sz="4" w:space="0" w:color="auto"/>
              <w:bottom w:val="single" w:sz="12" w:space="0" w:color="auto"/>
            </w:tcBorders>
            <w:shd w:val="clear" w:color="auto" w:fill="auto"/>
          </w:tcPr>
          <w:p w14:paraId="2A4EDD48" w14:textId="2E4950D1" w:rsidR="00AB7AF6" w:rsidRPr="00330D80" w:rsidRDefault="00AB7AF6" w:rsidP="00CC2C2D">
            <w:pPr>
              <w:pStyle w:val="ExhibitText"/>
              <w:jc w:val="right"/>
              <w:rPr>
                <w:lang w:val="en-CA" w:eastAsia="en-CA"/>
              </w:rPr>
            </w:pPr>
            <w:r w:rsidRPr="00330D80">
              <w:rPr>
                <w:lang w:val="en-CA" w:eastAsia="en-CA"/>
              </w:rPr>
              <w:t>19</w:t>
            </w:r>
            <w:r w:rsidR="00D349F6">
              <w:rPr>
                <w:lang w:val="en-CA" w:eastAsia="en-CA"/>
              </w:rPr>
              <w:t>6</w:t>
            </w:r>
            <w:r w:rsidRPr="00330D80">
              <w:rPr>
                <w:lang w:val="en-CA" w:eastAsia="en-CA"/>
              </w:rPr>
              <w:t>.54</w:t>
            </w:r>
          </w:p>
        </w:tc>
        <w:tc>
          <w:tcPr>
            <w:tcW w:w="1260" w:type="dxa"/>
            <w:tcBorders>
              <w:top w:val="dotted" w:sz="4" w:space="0" w:color="auto"/>
              <w:bottom w:val="single" w:sz="12" w:space="0" w:color="auto"/>
            </w:tcBorders>
            <w:shd w:val="clear" w:color="auto" w:fill="auto"/>
          </w:tcPr>
          <w:p w14:paraId="2E8BD16C" w14:textId="1481F508" w:rsidR="00AB7AF6" w:rsidRPr="00330D80" w:rsidRDefault="00AB7AF6" w:rsidP="00CC2C2D">
            <w:pPr>
              <w:pStyle w:val="ExhibitText"/>
              <w:jc w:val="right"/>
              <w:rPr>
                <w:lang w:val="en-CA" w:eastAsia="en-CA"/>
              </w:rPr>
            </w:pPr>
            <w:r w:rsidRPr="00330D80">
              <w:rPr>
                <w:lang w:val="en-CA" w:eastAsia="en-CA"/>
              </w:rPr>
              <w:t>5.5</w:t>
            </w:r>
            <w:r w:rsidR="00226C43">
              <w:rPr>
                <w:lang w:val="en-CA" w:eastAsia="en-CA"/>
              </w:rPr>
              <w:t>0</w:t>
            </w:r>
          </w:p>
        </w:tc>
        <w:tc>
          <w:tcPr>
            <w:tcW w:w="2065" w:type="dxa"/>
            <w:tcBorders>
              <w:top w:val="dotted" w:sz="4" w:space="0" w:color="auto"/>
              <w:bottom w:val="single" w:sz="12" w:space="0" w:color="auto"/>
            </w:tcBorders>
            <w:shd w:val="clear" w:color="auto" w:fill="auto"/>
          </w:tcPr>
          <w:p w14:paraId="44EDF3E7" w14:textId="67E80835" w:rsidR="00AB7AF6" w:rsidRPr="00330D80" w:rsidRDefault="00AB7AF6" w:rsidP="00CC2C2D">
            <w:pPr>
              <w:pStyle w:val="ExhibitText"/>
              <w:jc w:val="right"/>
              <w:rPr>
                <w:lang w:val="en-CA" w:eastAsia="en-CA"/>
              </w:rPr>
            </w:pPr>
            <w:r w:rsidRPr="00330D80">
              <w:rPr>
                <w:lang w:val="en-CA" w:eastAsia="en-CA"/>
              </w:rPr>
              <w:t>460.10</w:t>
            </w:r>
          </w:p>
        </w:tc>
      </w:tr>
      <w:tr w:rsidR="00CC2C2D" w:rsidRPr="00330D80" w14:paraId="441ECE14" w14:textId="77777777" w:rsidTr="008F6306">
        <w:trPr>
          <w:trHeight w:val="259"/>
          <w:jc w:val="center"/>
        </w:trPr>
        <w:tc>
          <w:tcPr>
            <w:tcW w:w="1890" w:type="dxa"/>
            <w:tcBorders>
              <w:top w:val="single" w:sz="12" w:space="0" w:color="auto"/>
              <w:bottom w:val="single" w:sz="12" w:space="0" w:color="auto"/>
            </w:tcBorders>
            <w:shd w:val="clear" w:color="auto" w:fill="auto"/>
          </w:tcPr>
          <w:p w14:paraId="7A3BB833" w14:textId="77777777" w:rsidR="00AB7AF6" w:rsidRPr="00330D80" w:rsidRDefault="00AB7AF6" w:rsidP="00CC2C2D">
            <w:pPr>
              <w:pStyle w:val="ExhibitText"/>
              <w:jc w:val="left"/>
              <w:rPr>
                <w:lang w:val="en-CA" w:eastAsia="en-CA"/>
              </w:rPr>
            </w:pPr>
            <w:r w:rsidRPr="00330D80">
              <w:rPr>
                <w:lang w:val="en-CA" w:eastAsia="en-CA"/>
              </w:rPr>
              <w:t>2011 total</w:t>
            </w:r>
          </w:p>
        </w:tc>
        <w:tc>
          <w:tcPr>
            <w:tcW w:w="1320" w:type="dxa"/>
            <w:tcBorders>
              <w:top w:val="single" w:sz="12" w:space="0" w:color="auto"/>
              <w:bottom w:val="single" w:sz="12" w:space="0" w:color="auto"/>
            </w:tcBorders>
            <w:shd w:val="clear" w:color="auto" w:fill="auto"/>
          </w:tcPr>
          <w:p w14:paraId="60167AC8" w14:textId="35B2E311" w:rsidR="00AB7AF6" w:rsidRPr="00330D80" w:rsidRDefault="007358DF" w:rsidP="00CC2C2D">
            <w:pPr>
              <w:pStyle w:val="ExhibitText"/>
              <w:jc w:val="right"/>
              <w:rPr>
                <w:lang w:val="en-CA" w:eastAsia="en-CA"/>
              </w:rPr>
            </w:pPr>
            <w:r>
              <w:rPr>
                <w:lang w:val="en-CA" w:eastAsia="en-CA"/>
              </w:rPr>
              <w:t>4.3</w:t>
            </w:r>
            <w:r w:rsidR="00226C43">
              <w:rPr>
                <w:lang w:val="en-CA" w:eastAsia="en-CA"/>
              </w:rPr>
              <w:t>8</w:t>
            </w:r>
            <w:r w:rsidR="00AB7AF6" w:rsidRPr="00330D80">
              <w:rPr>
                <w:lang w:val="en-CA" w:eastAsia="en-CA"/>
              </w:rPr>
              <w:t xml:space="preserve"> </w:t>
            </w:r>
          </w:p>
        </w:tc>
        <w:tc>
          <w:tcPr>
            <w:tcW w:w="1320" w:type="dxa"/>
            <w:tcBorders>
              <w:top w:val="single" w:sz="12" w:space="0" w:color="auto"/>
              <w:bottom w:val="single" w:sz="12" w:space="0" w:color="auto"/>
            </w:tcBorders>
          </w:tcPr>
          <w:p w14:paraId="407441C4" w14:textId="21A25891" w:rsidR="00AB7AF6" w:rsidRPr="00330D80" w:rsidRDefault="007358DF" w:rsidP="00CC2C2D">
            <w:pPr>
              <w:pStyle w:val="ExhibitText"/>
              <w:jc w:val="right"/>
              <w:rPr>
                <w:lang w:val="en-CA" w:eastAsia="en-CA"/>
              </w:rPr>
            </w:pPr>
            <w:r w:rsidRPr="00330D80">
              <w:rPr>
                <w:lang w:val="en-CA" w:eastAsia="en-CA"/>
              </w:rPr>
              <w:t>7.91</w:t>
            </w:r>
          </w:p>
        </w:tc>
        <w:tc>
          <w:tcPr>
            <w:tcW w:w="1320" w:type="dxa"/>
            <w:tcBorders>
              <w:top w:val="single" w:sz="12" w:space="0" w:color="auto"/>
              <w:bottom w:val="single" w:sz="12" w:space="0" w:color="auto"/>
            </w:tcBorders>
          </w:tcPr>
          <w:p w14:paraId="01A1AA95" w14:textId="770A8C7E" w:rsidR="00AB7AF6" w:rsidRPr="00330D80" w:rsidRDefault="007358DF" w:rsidP="00CC2C2D">
            <w:pPr>
              <w:pStyle w:val="ExhibitText"/>
              <w:jc w:val="right"/>
              <w:rPr>
                <w:lang w:val="en-CA" w:eastAsia="en-CA"/>
              </w:rPr>
            </w:pPr>
            <w:r w:rsidRPr="00330D80">
              <w:rPr>
                <w:lang w:val="en-CA" w:eastAsia="en-CA"/>
              </w:rPr>
              <w:t>3.35</w:t>
            </w:r>
          </w:p>
        </w:tc>
        <w:tc>
          <w:tcPr>
            <w:tcW w:w="2025" w:type="dxa"/>
            <w:tcBorders>
              <w:top w:val="single" w:sz="12" w:space="0" w:color="auto"/>
              <w:bottom w:val="single" w:sz="12" w:space="0" w:color="auto"/>
            </w:tcBorders>
            <w:shd w:val="clear" w:color="auto" w:fill="auto"/>
          </w:tcPr>
          <w:p w14:paraId="5971270B" w14:textId="190051F6" w:rsidR="00AB7AF6" w:rsidRPr="00330D80" w:rsidRDefault="00AB7AF6" w:rsidP="00CC2C2D">
            <w:pPr>
              <w:pStyle w:val="ExhibitText"/>
              <w:jc w:val="right"/>
              <w:rPr>
                <w:lang w:val="en-CA" w:eastAsia="en-CA"/>
              </w:rPr>
            </w:pPr>
            <w:r w:rsidRPr="00330D80">
              <w:rPr>
                <w:lang w:val="en-CA" w:eastAsia="en-CA"/>
              </w:rPr>
              <w:t>1,266</w:t>
            </w:r>
            <w:r>
              <w:rPr>
                <w:lang w:val="en-CA" w:eastAsia="en-CA"/>
              </w:rPr>
              <w:t>.</w:t>
            </w:r>
            <w:r w:rsidRPr="00330D80">
              <w:rPr>
                <w:lang w:val="en-CA" w:eastAsia="en-CA"/>
              </w:rPr>
              <w:t>99</w:t>
            </w:r>
          </w:p>
        </w:tc>
        <w:tc>
          <w:tcPr>
            <w:tcW w:w="2025" w:type="dxa"/>
            <w:tcBorders>
              <w:top w:val="single" w:sz="12" w:space="0" w:color="auto"/>
              <w:bottom w:val="single" w:sz="12" w:space="0" w:color="auto"/>
            </w:tcBorders>
            <w:shd w:val="clear" w:color="auto" w:fill="auto"/>
          </w:tcPr>
          <w:p w14:paraId="64F3A969" w14:textId="4DAE377E" w:rsidR="00AB7AF6" w:rsidRPr="00330D80" w:rsidRDefault="00AB7AF6" w:rsidP="00CC2C2D">
            <w:pPr>
              <w:pStyle w:val="ExhibitText"/>
              <w:jc w:val="right"/>
              <w:rPr>
                <w:lang w:val="en-CA" w:eastAsia="en-CA"/>
              </w:rPr>
            </w:pPr>
            <w:r w:rsidRPr="00330D80">
              <w:rPr>
                <w:lang w:val="en-CA" w:eastAsia="en-CA"/>
              </w:rPr>
              <w:t>770.04</w:t>
            </w:r>
          </w:p>
        </w:tc>
        <w:tc>
          <w:tcPr>
            <w:tcW w:w="1260" w:type="dxa"/>
            <w:tcBorders>
              <w:top w:val="single" w:sz="12" w:space="0" w:color="auto"/>
              <w:bottom w:val="single" w:sz="12" w:space="0" w:color="auto"/>
            </w:tcBorders>
            <w:shd w:val="clear" w:color="auto" w:fill="auto"/>
          </w:tcPr>
          <w:p w14:paraId="72B707DE" w14:textId="58A1E715" w:rsidR="00AB7AF6" w:rsidRPr="00330D80" w:rsidRDefault="00AB7AF6" w:rsidP="00CC2C2D">
            <w:pPr>
              <w:pStyle w:val="ExhibitText"/>
              <w:jc w:val="right"/>
              <w:rPr>
                <w:lang w:val="en-CA" w:eastAsia="en-CA"/>
              </w:rPr>
            </w:pPr>
            <w:r w:rsidRPr="00330D80">
              <w:rPr>
                <w:lang w:val="en-CA" w:eastAsia="en-CA"/>
              </w:rPr>
              <w:t>3.3</w:t>
            </w:r>
            <w:r w:rsidR="00226C43">
              <w:rPr>
                <w:lang w:val="en-CA" w:eastAsia="en-CA"/>
              </w:rPr>
              <w:t>0</w:t>
            </w:r>
          </w:p>
        </w:tc>
        <w:tc>
          <w:tcPr>
            <w:tcW w:w="2065" w:type="dxa"/>
            <w:tcBorders>
              <w:top w:val="single" w:sz="12" w:space="0" w:color="auto"/>
              <w:bottom w:val="single" w:sz="12" w:space="0" w:color="auto"/>
            </w:tcBorders>
            <w:shd w:val="clear" w:color="auto" w:fill="auto"/>
          </w:tcPr>
          <w:p w14:paraId="72B5D0F9" w14:textId="67F81649" w:rsidR="00AB7AF6" w:rsidRPr="00330D80" w:rsidRDefault="00AB7AF6" w:rsidP="00CC2C2D">
            <w:pPr>
              <w:pStyle w:val="ExhibitText"/>
              <w:jc w:val="right"/>
              <w:rPr>
                <w:lang w:val="en-CA" w:eastAsia="en-CA"/>
              </w:rPr>
            </w:pPr>
            <w:r w:rsidRPr="00330D80">
              <w:rPr>
                <w:lang w:val="en-CA" w:eastAsia="en-CA"/>
              </w:rPr>
              <w:t>175.81</w:t>
            </w:r>
          </w:p>
        </w:tc>
      </w:tr>
      <w:tr w:rsidR="00E65098" w:rsidRPr="00330D80" w14:paraId="2E73C350" w14:textId="77777777" w:rsidTr="008F6306">
        <w:trPr>
          <w:trHeight w:val="259"/>
          <w:jc w:val="center"/>
        </w:trPr>
        <w:tc>
          <w:tcPr>
            <w:tcW w:w="1890" w:type="dxa"/>
            <w:tcBorders>
              <w:top w:val="single" w:sz="12" w:space="0" w:color="auto"/>
              <w:bottom w:val="dotted" w:sz="4" w:space="0" w:color="auto"/>
            </w:tcBorders>
            <w:shd w:val="clear" w:color="auto" w:fill="auto"/>
          </w:tcPr>
          <w:p w14:paraId="6CD4A536" w14:textId="77777777" w:rsidR="00AB7AF6" w:rsidRPr="00330D80" w:rsidRDefault="00AB7AF6" w:rsidP="00CC2C2D">
            <w:pPr>
              <w:pStyle w:val="ExhibitText"/>
              <w:jc w:val="left"/>
              <w:rPr>
                <w:lang w:val="en-CA" w:eastAsia="en-CA"/>
              </w:rPr>
            </w:pPr>
            <w:r w:rsidRPr="00330D80">
              <w:rPr>
                <w:lang w:val="en-CA" w:eastAsia="en-CA"/>
              </w:rPr>
              <w:t>Albertans</w:t>
            </w:r>
          </w:p>
        </w:tc>
        <w:tc>
          <w:tcPr>
            <w:tcW w:w="1320" w:type="dxa"/>
            <w:tcBorders>
              <w:top w:val="single" w:sz="12" w:space="0" w:color="auto"/>
              <w:bottom w:val="dotted" w:sz="4" w:space="0" w:color="auto"/>
            </w:tcBorders>
            <w:shd w:val="clear" w:color="auto" w:fill="auto"/>
          </w:tcPr>
          <w:p w14:paraId="34D3018D" w14:textId="640C4EE1" w:rsidR="00AB7AF6" w:rsidRPr="00330D80" w:rsidRDefault="00226C43" w:rsidP="00CC2C2D">
            <w:pPr>
              <w:pStyle w:val="ExhibitText"/>
              <w:jc w:val="right"/>
              <w:rPr>
                <w:lang w:val="en-CA" w:eastAsia="en-CA"/>
              </w:rPr>
            </w:pPr>
            <w:r>
              <w:rPr>
                <w:lang w:val="en-CA" w:eastAsia="en-CA"/>
              </w:rPr>
              <w:t>3.37</w:t>
            </w:r>
          </w:p>
        </w:tc>
        <w:tc>
          <w:tcPr>
            <w:tcW w:w="1320" w:type="dxa"/>
            <w:tcBorders>
              <w:top w:val="single" w:sz="12" w:space="0" w:color="auto"/>
              <w:bottom w:val="dotted" w:sz="4" w:space="0" w:color="auto"/>
            </w:tcBorders>
          </w:tcPr>
          <w:p w14:paraId="2E2D3E01" w14:textId="77777777" w:rsidR="00AB7AF6" w:rsidRPr="00330D80" w:rsidRDefault="00AB7AF6" w:rsidP="00CC2C2D">
            <w:pPr>
              <w:pStyle w:val="ExhibitText"/>
              <w:jc w:val="right"/>
              <w:rPr>
                <w:lang w:val="en-CA" w:eastAsia="en-CA"/>
              </w:rPr>
            </w:pPr>
          </w:p>
        </w:tc>
        <w:tc>
          <w:tcPr>
            <w:tcW w:w="1320" w:type="dxa"/>
            <w:tcBorders>
              <w:top w:val="single" w:sz="12" w:space="0" w:color="auto"/>
              <w:bottom w:val="dotted" w:sz="4" w:space="0" w:color="auto"/>
            </w:tcBorders>
          </w:tcPr>
          <w:p w14:paraId="216C5B97" w14:textId="470BE3C1" w:rsidR="00AB7AF6" w:rsidRPr="00330D80" w:rsidRDefault="00AB7AF6" w:rsidP="00CC2C2D">
            <w:pPr>
              <w:pStyle w:val="ExhibitText"/>
              <w:jc w:val="right"/>
              <w:rPr>
                <w:lang w:val="en-CA" w:eastAsia="en-CA"/>
              </w:rPr>
            </w:pPr>
          </w:p>
        </w:tc>
        <w:tc>
          <w:tcPr>
            <w:tcW w:w="2025" w:type="dxa"/>
            <w:tcBorders>
              <w:top w:val="single" w:sz="12" w:space="0" w:color="auto"/>
              <w:bottom w:val="dotted" w:sz="4" w:space="0" w:color="auto"/>
            </w:tcBorders>
            <w:shd w:val="clear" w:color="auto" w:fill="auto"/>
          </w:tcPr>
          <w:p w14:paraId="1DEF5EA8" w14:textId="3C54FBD2" w:rsidR="00AB7AF6" w:rsidRPr="00330D80" w:rsidRDefault="00AB7AF6" w:rsidP="00CC2C2D">
            <w:pPr>
              <w:pStyle w:val="ExhibitText"/>
              <w:jc w:val="right"/>
              <w:rPr>
                <w:lang w:val="en-CA" w:eastAsia="en-CA"/>
              </w:rPr>
            </w:pPr>
            <w:r w:rsidRPr="00330D80">
              <w:rPr>
                <w:lang w:val="en-CA" w:eastAsia="en-CA"/>
              </w:rPr>
              <w:t>616.95</w:t>
            </w:r>
          </w:p>
        </w:tc>
        <w:tc>
          <w:tcPr>
            <w:tcW w:w="2025" w:type="dxa"/>
            <w:tcBorders>
              <w:top w:val="single" w:sz="12" w:space="0" w:color="auto"/>
              <w:bottom w:val="dotted" w:sz="4" w:space="0" w:color="auto"/>
            </w:tcBorders>
            <w:shd w:val="clear" w:color="auto" w:fill="auto"/>
          </w:tcPr>
          <w:p w14:paraId="030F241C" w14:textId="2FD3AADF" w:rsidR="00AB7AF6" w:rsidRPr="00330D80" w:rsidRDefault="00226C43" w:rsidP="00CC2C2D">
            <w:pPr>
              <w:pStyle w:val="ExhibitText"/>
              <w:jc w:val="right"/>
              <w:rPr>
                <w:lang w:val="en-CA" w:eastAsia="en-CA"/>
              </w:rPr>
            </w:pPr>
            <w:r>
              <w:rPr>
                <w:lang w:val="en-CA" w:eastAsia="en-CA"/>
              </w:rPr>
              <w:t>358.41</w:t>
            </w:r>
          </w:p>
        </w:tc>
        <w:tc>
          <w:tcPr>
            <w:tcW w:w="1260" w:type="dxa"/>
            <w:tcBorders>
              <w:top w:val="single" w:sz="12" w:space="0" w:color="auto"/>
              <w:bottom w:val="dotted" w:sz="4" w:space="0" w:color="auto"/>
            </w:tcBorders>
            <w:shd w:val="clear" w:color="auto" w:fill="auto"/>
          </w:tcPr>
          <w:p w14:paraId="76E8E7D0" w14:textId="562AECCA" w:rsidR="00AB7AF6" w:rsidRPr="00330D80" w:rsidRDefault="00AB7AF6" w:rsidP="00CC2C2D">
            <w:pPr>
              <w:pStyle w:val="ExhibitText"/>
              <w:jc w:val="right"/>
              <w:rPr>
                <w:lang w:val="en-CA" w:eastAsia="en-CA"/>
              </w:rPr>
            </w:pPr>
            <w:r w:rsidRPr="00330D80">
              <w:rPr>
                <w:lang w:val="en-CA" w:eastAsia="en-CA"/>
              </w:rPr>
              <w:t>2.3</w:t>
            </w:r>
            <w:r w:rsidR="00226C43">
              <w:rPr>
                <w:lang w:val="en-CA" w:eastAsia="en-CA"/>
              </w:rPr>
              <w:t>0</w:t>
            </w:r>
          </w:p>
        </w:tc>
        <w:tc>
          <w:tcPr>
            <w:tcW w:w="2065" w:type="dxa"/>
            <w:tcBorders>
              <w:top w:val="single" w:sz="12" w:space="0" w:color="auto"/>
              <w:bottom w:val="dotted" w:sz="4" w:space="0" w:color="auto"/>
            </w:tcBorders>
            <w:shd w:val="clear" w:color="auto" w:fill="auto"/>
          </w:tcPr>
          <w:p w14:paraId="601205C2" w14:textId="33E9A7BC" w:rsidR="00AB7AF6" w:rsidRPr="00330D80" w:rsidRDefault="00AB7AF6" w:rsidP="00CC2C2D">
            <w:pPr>
              <w:pStyle w:val="ExhibitText"/>
              <w:jc w:val="right"/>
              <w:rPr>
                <w:lang w:val="en-CA" w:eastAsia="en-CA"/>
              </w:rPr>
            </w:pPr>
            <w:r w:rsidRPr="00330D80">
              <w:rPr>
                <w:lang w:val="en-CA" w:eastAsia="en-CA"/>
              </w:rPr>
              <w:t>106.48</w:t>
            </w:r>
          </w:p>
        </w:tc>
      </w:tr>
      <w:tr w:rsidR="00E65098" w:rsidRPr="00330D80" w14:paraId="7740BDE5" w14:textId="77777777" w:rsidTr="008F6306">
        <w:trPr>
          <w:trHeight w:val="259"/>
          <w:jc w:val="center"/>
        </w:trPr>
        <w:tc>
          <w:tcPr>
            <w:tcW w:w="1890" w:type="dxa"/>
            <w:tcBorders>
              <w:top w:val="dotted" w:sz="4" w:space="0" w:color="auto"/>
              <w:bottom w:val="dotted" w:sz="4" w:space="0" w:color="auto"/>
            </w:tcBorders>
            <w:shd w:val="clear" w:color="auto" w:fill="auto"/>
          </w:tcPr>
          <w:p w14:paraId="2A1893C1" w14:textId="77777777" w:rsidR="00AB7AF6" w:rsidRPr="00330D80" w:rsidRDefault="00AB7AF6" w:rsidP="00CC2C2D">
            <w:pPr>
              <w:pStyle w:val="ExhibitText"/>
              <w:jc w:val="left"/>
              <w:rPr>
                <w:lang w:val="en-CA" w:eastAsia="en-CA"/>
              </w:rPr>
            </w:pPr>
            <w:r w:rsidRPr="00330D80">
              <w:rPr>
                <w:lang w:val="en-CA" w:eastAsia="en-CA"/>
              </w:rPr>
              <w:t>Other Canadians</w:t>
            </w:r>
          </w:p>
        </w:tc>
        <w:tc>
          <w:tcPr>
            <w:tcW w:w="1320" w:type="dxa"/>
            <w:tcBorders>
              <w:top w:val="dotted" w:sz="4" w:space="0" w:color="auto"/>
              <w:bottom w:val="dotted" w:sz="4" w:space="0" w:color="auto"/>
            </w:tcBorders>
            <w:shd w:val="clear" w:color="auto" w:fill="auto"/>
          </w:tcPr>
          <w:p w14:paraId="0BE915BA" w14:textId="0A443C6C" w:rsidR="00AB7AF6" w:rsidRPr="00330D80" w:rsidRDefault="00226C43" w:rsidP="00CC2C2D">
            <w:pPr>
              <w:pStyle w:val="ExhibitText"/>
              <w:jc w:val="right"/>
              <w:rPr>
                <w:lang w:val="en-CA" w:eastAsia="en-CA"/>
              </w:rPr>
            </w:pPr>
            <w:r>
              <w:rPr>
                <w:lang w:val="en-CA" w:eastAsia="en-CA"/>
              </w:rPr>
              <w:t>0.34</w:t>
            </w:r>
          </w:p>
        </w:tc>
        <w:tc>
          <w:tcPr>
            <w:tcW w:w="1320" w:type="dxa"/>
            <w:tcBorders>
              <w:top w:val="dotted" w:sz="4" w:space="0" w:color="auto"/>
              <w:bottom w:val="dotted" w:sz="4" w:space="0" w:color="auto"/>
            </w:tcBorders>
          </w:tcPr>
          <w:p w14:paraId="433F56EC" w14:textId="77777777" w:rsidR="00AB7AF6" w:rsidRPr="00330D80" w:rsidRDefault="00AB7AF6" w:rsidP="00CC2C2D">
            <w:pPr>
              <w:pStyle w:val="ExhibitText"/>
              <w:jc w:val="right"/>
              <w:rPr>
                <w:lang w:val="en-CA" w:eastAsia="en-CA"/>
              </w:rPr>
            </w:pPr>
          </w:p>
        </w:tc>
        <w:tc>
          <w:tcPr>
            <w:tcW w:w="1320" w:type="dxa"/>
            <w:tcBorders>
              <w:top w:val="dotted" w:sz="4" w:space="0" w:color="auto"/>
              <w:bottom w:val="dotted" w:sz="4" w:space="0" w:color="auto"/>
            </w:tcBorders>
          </w:tcPr>
          <w:p w14:paraId="5837CF26" w14:textId="18B06C81" w:rsidR="00AB7AF6" w:rsidRPr="00330D80" w:rsidRDefault="00AB7AF6" w:rsidP="00CC2C2D">
            <w:pPr>
              <w:pStyle w:val="ExhibitText"/>
              <w:jc w:val="right"/>
              <w:rPr>
                <w:lang w:val="en-CA" w:eastAsia="en-CA"/>
              </w:rPr>
            </w:pPr>
          </w:p>
        </w:tc>
        <w:tc>
          <w:tcPr>
            <w:tcW w:w="2025" w:type="dxa"/>
            <w:tcBorders>
              <w:top w:val="dotted" w:sz="4" w:space="0" w:color="auto"/>
              <w:bottom w:val="dotted" w:sz="4" w:space="0" w:color="auto"/>
            </w:tcBorders>
            <w:shd w:val="clear" w:color="auto" w:fill="auto"/>
          </w:tcPr>
          <w:p w14:paraId="07F34668" w14:textId="234D7CA2" w:rsidR="00AB7AF6" w:rsidRPr="00330D80" w:rsidRDefault="00AB7AF6" w:rsidP="00CC2C2D">
            <w:pPr>
              <w:pStyle w:val="ExhibitText"/>
              <w:jc w:val="right"/>
              <w:rPr>
                <w:lang w:val="en-CA" w:eastAsia="en-CA"/>
              </w:rPr>
            </w:pPr>
            <w:r w:rsidRPr="00330D80">
              <w:rPr>
                <w:lang w:val="en-CA" w:eastAsia="en-CA"/>
              </w:rPr>
              <w:t>154.45</w:t>
            </w:r>
          </w:p>
        </w:tc>
        <w:tc>
          <w:tcPr>
            <w:tcW w:w="2025" w:type="dxa"/>
            <w:tcBorders>
              <w:top w:val="dotted" w:sz="4" w:space="0" w:color="auto"/>
              <w:bottom w:val="dotted" w:sz="4" w:space="0" w:color="auto"/>
            </w:tcBorders>
            <w:shd w:val="clear" w:color="auto" w:fill="auto"/>
          </w:tcPr>
          <w:p w14:paraId="1AE0C259" w14:textId="664F01AE" w:rsidR="00AB7AF6" w:rsidRPr="00330D80" w:rsidRDefault="00AB7AF6" w:rsidP="00CC2C2D">
            <w:pPr>
              <w:pStyle w:val="ExhibitText"/>
              <w:jc w:val="right"/>
              <w:rPr>
                <w:lang w:val="en-CA" w:eastAsia="en-CA"/>
              </w:rPr>
            </w:pPr>
            <w:r w:rsidRPr="00330D80">
              <w:rPr>
                <w:lang w:val="en-CA" w:eastAsia="en-CA"/>
              </w:rPr>
              <w:t>95.36</w:t>
            </w:r>
          </w:p>
        </w:tc>
        <w:tc>
          <w:tcPr>
            <w:tcW w:w="1260" w:type="dxa"/>
            <w:tcBorders>
              <w:top w:val="dotted" w:sz="4" w:space="0" w:color="auto"/>
              <w:bottom w:val="dotted" w:sz="4" w:space="0" w:color="auto"/>
            </w:tcBorders>
            <w:shd w:val="clear" w:color="auto" w:fill="auto"/>
          </w:tcPr>
          <w:p w14:paraId="3B8C9D82" w14:textId="47CAEB42" w:rsidR="00AB7AF6" w:rsidRPr="00330D80" w:rsidRDefault="00AB7AF6" w:rsidP="00CC2C2D">
            <w:pPr>
              <w:pStyle w:val="ExhibitText"/>
              <w:jc w:val="right"/>
              <w:rPr>
                <w:lang w:val="en-CA" w:eastAsia="en-CA"/>
              </w:rPr>
            </w:pPr>
            <w:r w:rsidRPr="00330D80">
              <w:rPr>
                <w:lang w:val="en-CA" w:eastAsia="en-CA"/>
              </w:rPr>
              <w:t>3.5</w:t>
            </w:r>
            <w:r w:rsidR="00226C43">
              <w:rPr>
                <w:lang w:val="en-CA" w:eastAsia="en-CA"/>
              </w:rPr>
              <w:t>0</w:t>
            </w:r>
          </w:p>
        </w:tc>
        <w:tc>
          <w:tcPr>
            <w:tcW w:w="2065" w:type="dxa"/>
            <w:tcBorders>
              <w:top w:val="dotted" w:sz="4" w:space="0" w:color="auto"/>
              <w:bottom w:val="dotted" w:sz="4" w:space="0" w:color="auto"/>
            </w:tcBorders>
            <w:shd w:val="clear" w:color="auto" w:fill="auto"/>
          </w:tcPr>
          <w:p w14:paraId="1C836184" w14:textId="69C7D277" w:rsidR="00AB7AF6" w:rsidRPr="00330D80" w:rsidRDefault="00AB7AF6" w:rsidP="00CC2C2D">
            <w:pPr>
              <w:pStyle w:val="ExhibitText"/>
              <w:jc w:val="right"/>
              <w:rPr>
                <w:lang w:val="en-CA" w:eastAsia="en-CA"/>
              </w:rPr>
            </w:pPr>
            <w:r w:rsidRPr="00330D80">
              <w:rPr>
                <w:lang w:val="en-CA" w:eastAsia="en-CA"/>
              </w:rPr>
              <w:t>284.67</w:t>
            </w:r>
          </w:p>
        </w:tc>
      </w:tr>
      <w:tr w:rsidR="00E65098" w:rsidRPr="00330D80" w14:paraId="26A632DF" w14:textId="77777777" w:rsidTr="008F6306">
        <w:trPr>
          <w:trHeight w:val="259"/>
          <w:jc w:val="center"/>
        </w:trPr>
        <w:tc>
          <w:tcPr>
            <w:tcW w:w="1890" w:type="dxa"/>
            <w:tcBorders>
              <w:top w:val="dotted" w:sz="4" w:space="0" w:color="auto"/>
              <w:bottom w:val="dotted" w:sz="4" w:space="0" w:color="auto"/>
            </w:tcBorders>
            <w:shd w:val="clear" w:color="auto" w:fill="auto"/>
          </w:tcPr>
          <w:p w14:paraId="09C1FC32" w14:textId="77777777" w:rsidR="00AB7AF6" w:rsidRPr="00330D80" w:rsidRDefault="00AB7AF6" w:rsidP="00CC2C2D">
            <w:pPr>
              <w:pStyle w:val="ExhibitText"/>
              <w:jc w:val="left"/>
              <w:rPr>
                <w:lang w:val="en-CA" w:eastAsia="en-CA"/>
              </w:rPr>
            </w:pPr>
            <w:r w:rsidRPr="00330D80">
              <w:rPr>
                <w:lang w:val="en-CA" w:eastAsia="en-CA"/>
              </w:rPr>
              <w:t>United States</w:t>
            </w:r>
          </w:p>
        </w:tc>
        <w:tc>
          <w:tcPr>
            <w:tcW w:w="1320" w:type="dxa"/>
            <w:tcBorders>
              <w:top w:val="dotted" w:sz="4" w:space="0" w:color="auto"/>
              <w:bottom w:val="dotted" w:sz="4" w:space="0" w:color="auto"/>
            </w:tcBorders>
            <w:shd w:val="clear" w:color="auto" w:fill="auto"/>
          </w:tcPr>
          <w:p w14:paraId="71F4C355" w14:textId="4BBE9C60" w:rsidR="00AB7AF6" w:rsidRPr="00330D80" w:rsidRDefault="00226C43" w:rsidP="00CC2C2D">
            <w:pPr>
              <w:pStyle w:val="ExhibitText"/>
              <w:jc w:val="right"/>
              <w:rPr>
                <w:lang w:val="en-CA" w:eastAsia="en-CA"/>
              </w:rPr>
            </w:pPr>
            <w:r>
              <w:rPr>
                <w:lang w:val="en-CA" w:eastAsia="en-CA"/>
              </w:rPr>
              <w:t>0.24</w:t>
            </w:r>
          </w:p>
        </w:tc>
        <w:tc>
          <w:tcPr>
            <w:tcW w:w="1320" w:type="dxa"/>
            <w:tcBorders>
              <w:top w:val="dotted" w:sz="4" w:space="0" w:color="auto"/>
              <w:bottom w:val="dotted" w:sz="4" w:space="0" w:color="auto"/>
            </w:tcBorders>
          </w:tcPr>
          <w:p w14:paraId="5C150511" w14:textId="77777777" w:rsidR="00AB7AF6" w:rsidRPr="00330D80" w:rsidRDefault="00AB7AF6" w:rsidP="00CC2C2D">
            <w:pPr>
              <w:pStyle w:val="ExhibitText"/>
              <w:jc w:val="right"/>
              <w:rPr>
                <w:lang w:val="en-CA" w:eastAsia="en-CA"/>
              </w:rPr>
            </w:pPr>
          </w:p>
        </w:tc>
        <w:tc>
          <w:tcPr>
            <w:tcW w:w="1320" w:type="dxa"/>
            <w:tcBorders>
              <w:top w:val="dotted" w:sz="4" w:space="0" w:color="auto"/>
              <w:bottom w:val="dotted" w:sz="4" w:space="0" w:color="auto"/>
            </w:tcBorders>
          </w:tcPr>
          <w:p w14:paraId="1B22A65D" w14:textId="6FF66F34" w:rsidR="00AB7AF6" w:rsidRPr="00330D80" w:rsidRDefault="00AB7AF6" w:rsidP="00CC2C2D">
            <w:pPr>
              <w:pStyle w:val="ExhibitText"/>
              <w:jc w:val="right"/>
              <w:rPr>
                <w:lang w:val="en-CA" w:eastAsia="en-CA"/>
              </w:rPr>
            </w:pPr>
          </w:p>
        </w:tc>
        <w:tc>
          <w:tcPr>
            <w:tcW w:w="2025" w:type="dxa"/>
            <w:tcBorders>
              <w:top w:val="dotted" w:sz="4" w:space="0" w:color="auto"/>
              <w:bottom w:val="dotted" w:sz="4" w:space="0" w:color="auto"/>
            </w:tcBorders>
            <w:shd w:val="clear" w:color="auto" w:fill="auto"/>
          </w:tcPr>
          <w:p w14:paraId="55F6846C" w14:textId="6EB3286B" w:rsidR="00AB7AF6" w:rsidRPr="00330D80" w:rsidRDefault="00AB7AF6" w:rsidP="00CC2C2D">
            <w:pPr>
              <w:pStyle w:val="ExhibitText"/>
              <w:jc w:val="right"/>
              <w:rPr>
                <w:lang w:val="en-CA" w:eastAsia="en-CA"/>
              </w:rPr>
            </w:pPr>
            <w:r w:rsidRPr="00330D80">
              <w:rPr>
                <w:lang w:val="en-CA" w:eastAsia="en-CA"/>
              </w:rPr>
              <w:t>154.05</w:t>
            </w:r>
          </w:p>
        </w:tc>
        <w:tc>
          <w:tcPr>
            <w:tcW w:w="2025" w:type="dxa"/>
            <w:tcBorders>
              <w:top w:val="dotted" w:sz="4" w:space="0" w:color="auto"/>
              <w:bottom w:val="dotted" w:sz="4" w:space="0" w:color="auto"/>
            </w:tcBorders>
            <w:shd w:val="clear" w:color="auto" w:fill="auto"/>
          </w:tcPr>
          <w:p w14:paraId="6D42F67A" w14:textId="000053CB" w:rsidR="00AB7AF6" w:rsidRPr="00330D80" w:rsidRDefault="00AB7AF6" w:rsidP="00CC2C2D">
            <w:pPr>
              <w:pStyle w:val="ExhibitText"/>
              <w:jc w:val="right"/>
              <w:rPr>
                <w:lang w:val="en-CA" w:eastAsia="en-CA"/>
              </w:rPr>
            </w:pPr>
            <w:r w:rsidRPr="00330D80">
              <w:rPr>
                <w:lang w:val="en-CA" w:eastAsia="en-CA"/>
              </w:rPr>
              <w:t>91.10</w:t>
            </w:r>
          </w:p>
        </w:tc>
        <w:tc>
          <w:tcPr>
            <w:tcW w:w="1260" w:type="dxa"/>
            <w:tcBorders>
              <w:top w:val="dotted" w:sz="4" w:space="0" w:color="auto"/>
              <w:bottom w:val="dotted" w:sz="4" w:space="0" w:color="auto"/>
            </w:tcBorders>
            <w:shd w:val="clear" w:color="auto" w:fill="auto"/>
          </w:tcPr>
          <w:p w14:paraId="3CF69EF5" w14:textId="4EB00FB4" w:rsidR="00AB7AF6" w:rsidRPr="00330D80" w:rsidRDefault="00AB7AF6" w:rsidP="00CC2C2D">
            <w:pPr>
              <w:pStyle w:val="ExhibitText"/>
              <w:jc w:val="right"/>
              <w:rPr>
                <w:lang w:val="en-CA" w:eastAsia="en-CA"/>
              </w:rPr>
            </w:pPr>
            <w:r w:rsidRPr="00330D80">
              <w:rPr>
                <w:lang w:val="en-CA" w:eastAsia="en-CA"/>
              </w:rPr>
              <w:t>4.3</w:t>
            </w:r>
            <w:r w:rsidR="00226C43">
              <w:rPr>
                <w:lang w:val="en-CA" w:eastAsia="en-CA"/>
              </w:rPr>
              <w:t>0</w:t>
            </w:r>
          </w:p>
        </w:tc>
        <w:tc>
          <w:tcPr>
            <w:tcW w:w="2065" w:type="dxa"/>
            <w:tcBorders>
              <w:top w:val="dotted" w:sz="4" w:space="0" w:color="auto"/>
              <w:bottom w:val="dotted" w:sz="4" w:space="0" w:color="auto"/>
            </w:tcBorders>
            <w:shd w:val="clear" w:color="auto" w:fill="auto"/>
          </w:tcPr>
          <w:p w14:paraId="5C3CE190" w14:textId="47F9F83C" w:rsidR="00AB7AF6" w:rsidRPr="00330D80" w:rsidRDefault="00AB7AF6" w:rsidP="00CC2C2D">
            <w:pPr>
              <w:pStyle w:val="ExhibitText"/>
              <w:jc w:val="right"/>
              <w:rPr>
                <w:lang w:val="en-CA" w:eastAsia="en-CA"/>
              </w:rPr>
            </w:pPr>
            <w:r w:rsidRPr="00330D80">
              <w:rPr>
                <w:lang w:val="en-CA" w:eastAsia="en-CA"/>
              </w:rPr>
              <w:t>381.18</w:t>
            </w:r>
          </w:p>
        </w:tc>
      </w:tr>
      <w:tr w:rsidR="00CC2C2D" w:rsidRPr="00330D80" w14:paraId="52B153AF" w14:textId="77777777" w:rsidTr="008F6306">
        <w:trPr>
          <w:trHeight w:val="259"/>
          <w:jc w:val="center"/>
        </w:trPr>
        <w:tc>
          <w:tcPr>
            <w:tcW w:w="1890" w:type="dxa"/>
            <w:tcBorders>
              <w:top w:val="dotted" w:sz="4" w:space="0" w:color="auto"/>
              <w:bottom w:val="single" w:sz="12" w:space="0" w:color="auto"/>
            </w:tcBorders>
            <w:shd w:val="clear" w:color="auto" w:fill="auto"/>
          </w:tcPr>
          <w:p w14:paraId="50FA5B85" w14:textId="77777777" w:rsidR="00AB7AF6" w:rsidRPr="00330D80" w:rsidRDefault="00AB7AF6" w:rsidP="00CC2C2D">
            <w:pPr>
              <w:pStyle w:val="ExhibitText"/>
              <w:jc w:val="left"/>
              <w:rPr>
                <w:lang w:val="en-CA" w:eastAsia="en-CA"/>
              </w:rPr>
            </w:pPr>
            <w:r w:rsidRPr="00330D80">
              <w:rPr>
                <w:lang w:val="en-CA" w:eastAsia="en-CA"/>
              </w:rPr>
              <w:t>Other International</w:t>
            </w:r>
          </w:p>
        </w:tc>
        <w:tc>
          <w:tcPr>
            <w:tcW w:w="1320" w:type="dxa"/>
            <w:tcBorders>
              <w:top w:val="dotted" w:sz="4" w:space="0" w:color="auto"/>
              <w:bottom w:val="single" w:sz="12" w:space="0" w:color="auto"/>
            </w:tcBorders>
            <w:shd w:val="clear" w:color="auto" w:fill="auto"/>
          </w:tcPr>
          <w:p w14:paraId="2F95D43C" w14:textId="0C77B35F" w:rsidR="00AB7AF6" w:rsidRPr="00330D80" w:rsidRDefault="00226C43" w:rsidP="00CC2C2D">
            <w:pPr>
              <w:pStyle w:val="ExhibitText"/>
              <w:jc w:val="right"/>
              <w:rPr>
                <w:lang w:val="en-CA" w:eastAsia="en-CA"/>
              </w:rPr>
            </w:pPr>
            <w:r>
              <w:rPr>
                <w:lang w:val="en-CA" w:eastAsia="en-CA"/>
              </w:rPr>
              <w:t>0.44</w:t>
            </w:r>
          </w:p>
        </w:tc>
        <w:tc>
          <w:tcPr>
            <w:tcW w:w="1320" w:type="dxa"/>
            <w:tcBorders>
              <w:top w:val="dotted" w:sz="4" w:space="0" w:color="auto"/>
              <w:bottom w:val="single" w:sz="12" w:space="0" w:color="auto"/>
            </w:tcBorders>
          </w:tcPr>
          <w:p w14:paraId="45AD9E1B" w14:textId="77777777" w:rsidR="00AB7AF6" w:rsidRPr="00330D80" w:rsidRDefault="00AB7AF6" w:rsidP="00CC2C2D">
            <w:pPr>
              <w:pStyle w:val="ExhibitText"/>
              <w:jc w:val="right"/>
              <w:rPr>
                <w:lang w:val="en-CA" w:eastAsia="en-CA"/>
              </w:rPr>
            </w:pPr>
          </w:p>
        </w:tc>
        <w:tc>
          <w:tcPr>
            <w:tcW w:w="1320" w:type="dxa"/>
            <w:tcBorders>
              <w:top w:val="dotted" w:sz="4" w:space="0" w:color="auto"/>
              <w:bottom w:val="single" w:sz="12" w:space="0" w:color="auto"/>
            </w:tcBorders>
          </w:tcPr>
          <w:p w14:paraId="286CFE56" w14:textId="2D703BA9" w:rsidR="00AB7AF6" w:rsidRPr="00330D80" w:rsidRDefault="00AB7AF6" w:rsidP="00CC2C2D">
            <w:pPr>
              <w:pStyle w:val="ExhibitText"/>
              <w:jc w:val="right"/>
              <w:rPr>
                <w:lang w:val="en-CA" w:eastAsia="en-CA"/>
              </w:rPr>
            </w:pPr>
          </w:p>
        </w:tc>
        <w:tc>
          <w:tcPr>
            <w:tcW w:w="2025" w:type="dxa"/>
            <w:tcBorders>
              <w:top w:val="dotted" w:sz="4" w:space="0" w:color="auto"/>
              <w:bottom w:val="single" w:sz="12" w:space="0" w:color="auto"/>
            </w:tcBorders>
            <w:shd w:val="clear" w:color="auto" w:fill="auto"/>
          </w:tcPr>
          <w:p w14:paraId="21FBD040" w14:textId="6A227B58" w:rsidR="00AB7AF6" w:rsidRPr="00330D80" w:rsidRDefault="00AB7AF6" w:rsidP="00CC2C2D">
            <w:pPr>
              <w:pStyle w:val="ExhibitText"/>
              <w:jc w:val="right"/>
              <w:rPr>
                <w:lang w:val="en-CA" w:eastAsia="en-CA"/>
              </w:rPr>
            </w:pPr>
            <w:r w:rsidRPr="00330D80">
              <w:rPr>
                <w:lang w:val="en-CA" w:eastAsia="en-CA"/>
              </w:rPr>
              <w:t>341.54</w:t>
            </w:r>
          </w:p>
        </w:tc>
        <w:tc>
          <w:tcPr>
            <w:tcW w:w="2025" w:type="dxa"/>
            <w:tcBorders>
              <w:top w:val="dotted" w:sz="4" w:space="0" w:color="auto"/>
              <w:bottom w:val="single" w:sz="12" w:space="0" w:color="auto"/>
            </w:tcBorders>
            <w:shd w:val="clear" w:color="auto" w:fill="auto"/>
          </w:tcPr>
          <w:p w14:paraId="5470E18B" w14:textId="61809E00" w:rsidR="00AB7AF6" w:rsidRPr="00330D80" w:rsidRDefault="00226C43" w:rsidP="00CC2C2D">
            <w:pPr>
              <w:pStyle w:val="ExhibitText"/>
              <w:jc w:val="right"/>
              <w:rPr>
                <w:lang w:val="en-CA" w:eastAsia="en-CA"/>
              </w:rPr>
            </w:pPr>
            <w:r>
              <w:rPr>
                <w:lang w:val="en-CA" w:eastAsia="en-CA"/>
              </w:rPr>
              <w:t>225.17</w:t>
            </w:r>
          </w:p>
        </w:tc>
        <w:tc>
          <w:tcPr>
            <w:tcW w:w="1260" w:type="dxa"/>
            <w:tcBorders>
              <w:top w:val="dotted" w:sz="4" w:space="0" w:color="auto"/>
              <w:bottom w:val="single" w:sz="12" w:space="0" w:color="auto"/>
            </w:tcBorders>
            <w:shd w:val="clear" w:color="auto" w:fill="auto"/>
          </w:tcPr>
          <w:p w14:paraId="0989777A" w14:textId="5357463B" w:rsidR="00AB7AF6" w:rsidRPr="00330D80" w:rsidRDefault="00AB7AF6" w:rsidP="00CC2C2D">
            <w:pPr>
              <w:pStyle w:val="ExhibitText"/>
              <w:jc w:val="right"/>
              <w:rPr>
                <w:lang w:val="en-CA" w:eastAsia="en-CA"/>
              </w:rPr>
            </w:pPr>
            <w:r w:rsidRPr="00330D80">
              <w:rPr>
                <w:lang w:val="en-CA" w:eastAsia="en-CA"/>
              </w:rPr>
              <w:t>5.5</w:t>
            </w:r>
            <w:r w:rsidR="00226C43">
              <w:rPr>
                <w:lang w:val="en-CA" w:eastAsia="en-CA"/>
              </w:rPr>
              <w:t>0</w:t>
            </w:r>
          </w:p>
        </w:tc>
        <w:tc>
          <w:tcPr>
            <w:tcW w:w="2065" w:type="dxa"/>
            <w:tcBorders>
              <w:top w:val="dotted" w:sz="4" w:space="0" w:color="auto"/>
              <w:bottom w:val="single" w:sz="12" w:space="0" w:color="auto"/>
            </w:tcBorders>
            <w:shd w:val="clear" w:color="auto" w:fill="auto"/>
          </w:tcPr>
          <w:p w14:paraId="79B93EF6" w14:textId="45070CA8" w:rsidR="00AB7AF6" w:rsidRPr="00330D80" w:rsidRDefault="00AB7AF6" w:rsidP="00CC2C2D">
            <w:pPr>
              <w:pStyle w:val="ExhibitText"/>
              <w:jc w:val="right"/>
              <w:rPr>
                <w:lang w:val="en-CA" w:eastAsia="en-CA"/>
              </w:rPr>
            </w:pPr>
            <w:r w:rsidRPr="00330D80">
              <w:rPr>
                <w:lang w:val="en-CA" w:eastAsia="en-CA"/>
              </w:rPr>
              <w:t>516.44</w:t>
            </w:r>
          </w:p>
        </w:tc>
      </w:tr>
      <w:tr w:rsidR="00CC2C2D" w:rsidRPr="00330D80" w14:paraId="6F19D411" w14:textId="77777777" w:rsidTr="008F6306">
        <w:trPr>
          <w:trHeight w:val="259"/>
          <w:jc w:val="center"/>
        </w:trPr>
        <w:tc>
          <w:tcPr>
            <w:tcW w:w="1890" w:type="dxa"/>
            <w:tcBorders>
              <w:top w:val="single" w:sz="12" w:space="0" w:color="auto"/>
              <w:bottom w:val="single" w:sz="12" w:space="0" w:color="auto"/>
            </w:tcBorders>
            <w:shd w:val="clear" w:color="auto" w:fill="auto"/>
          </w:tcPr>
          <w:p w14:paraId="29A1C7AE" w14:textId="77777777" w:rsidR="00AB7AF6" w:rsidRPr="00330D80" w:rsidRDefault="00AB7AF6" w:rsidP="00CC2C2D">
            <w:pPr>
              <w:pStyle w:val="ExhibitText"/>
              <w:jc w:val="left"/>
              <w:rPr>
                <w:lang w:val="en-CA" w:eastAsia="en-CA"/>
              </w:rPr>
            </w:pPr>
            <w:r w:rsidRPr="00330D80">
              <w:rPr>
                <w:lang w:val="en-CA" w:eastAsia="en-CA"/>
              </w:rPr>
              <w:t>2012 total</w:t>
            </w:r>
          </w:p>
        </w:tc>
        <w:tc>
          <w:tcPr>
            <w:tcW w:w="1320" w:type="dxa"/>
            <w:tcBorders>
              <w:top w:val="single" w:sz="12" w:space="0" w:color="auto"/>
              <w:bottom w:val="single" w:sz="12" w:space="0" w:color="auto"/>
            </w:tcBorders>
            <w:shd w:val="clear" w:color="auto" w:fill="auto"/>
          </w:tcPr>
          <w:p w14:paraId="3E762A6A" w14:textId="278A1140" w:rsidR="00AB7AF6" w:rsidRPr="00330D80" w:rsidRDefault="00226C43" w:rsidP="00CC2C2D">
            <w:pPr>
              <w:pStyle w:val="ExhibitText"/>
              <w:jc w:val="right"/>
              <w:rPr>
                <w:lang w:val="en-CA" w:eastAsia="en-CA"/>
              </w:rPr>
            </w:pPr>
            <w:r>
              <w:rPr>
                <w:lang w:val="en-CA" w:eastAsia="en-CA"/>
              </w:rPr>
              <w:t>4.27</w:t>
            </w:r>
            <w:r w:rsidR="00AB7AF6" w:rsidRPr="00330D80">
              <w:rPr>
                <w:lang w:val="en-CA" w:eastAsia="en-CA"/>
              </w:rPr>
              <w:t xml:space="preserve"> </w:t>
            </w:r>
          </w:p>
        </w:tc>
        <w:tc>
          <w:tcPr>
            <w:tcW w:w="1320" w:type="dxa"/>
            <w:tcBorders>
              <w:top w:val="single" w:sz="12" w:space="0" w:color="auto"/>
              <w:bottom w:val="single" w:sz="12" w:space="0" w:color="auto"/>
            </w:tcBorders>
          </w:tcPr>
          <w:p w14:paraId="3920DB40" w14:textId="294CC3AD" w:rsidR="00AB7AF6" w:rsidRPr="00330D80" w:rsidRDefault="007358DF" w:rsidP="00CC2C2D">
            <w:pPr>
              <w:pStyle w:val="ExhibitText"/>
              <w:jc w:val="right"/>
              <w:rPr>
                <w:lang w:val="en-CA" w:eastAsia="en-CA"/>
              </w:rPr>
            </w:pPr>
            <w:r w:rsidRPr="00330D80">
              <w:rPr>
                <w:lang w:val="en-CA" w:eastAsia="en-CA"/>
              </w:rPr>
              <w:t>6.94</w:t>
            </w:r>
          </w:p>
        </w:tc>
        <w:tc>
          <w:tcPr>
            <w:tcW w:w="1320" w:type="dxa"/>
            <w:tcBorders>
              <w:top w:val="single" w:sz="12" w:space="0" w:color="auto"/>
              <w:bottom w:val="single" w:sz="12" w:space="0" w:color="auto"/>
            </w:tcBorders>
          </w:tcPr>
          <w:p w14:paraId="79EAACD2" w14:textId="10441D10" w:rsidR="00AB7AF6" w:rsidRPr="00330D80" w:rsidRDefault="007358DF" w:rsidP="00CC2C2D">
            <w:pPr>
              <w:pStyle w:val="ExhibitText"/>
              <w:jc w:val="right"/>
              <w:rPr>
                <w:lang w:val="en-CA" w:eastAsia="en-CA"/>
              </w:rPr>
            </w:pPr>
            <w:r w:rsidRPr="00330D80">
              <w:rPr>
                <w:lang w:val="en-CA" w:eastAsia="en-CA"/>
              </w:rPr>
              <w:t>3.28</w:t>
            </w:r>
          </w:p>
        </w:tc>
        <w:tc>
          <w:tcPr>
            <w:tcW w:w="2025" w:type="dxa"/>
            <w:tcBorders>
              <w:top w:val="single" w:sz="12" w:space="0" w:color="auto"/>
              <w:bottom w:val="single" w:sz="12" w:space="0" w:color="auto"/>
            </w:tcBorders>
            <w:shd w:val="clear" w:color="auto" w:fill="auto"/>
          </w:tcPr>
          <w:p w14:paraId="5645F3EE" w14:textId="47E2BD27" w:rsidR="00AB7AF6" w:rsidRPr="00330D80" w:rsidRDefault="00AB7AF6" w:rsidP="00CC2C2D">
            <w:pPr>
              <w:pStyle w:val="ExhibitText"/>
              <w:jc w:val="right"/>
              <w:rPr>
                <w:lang w:val="en-CA" w:eastAsia="en-CA"/>
              </w:rPr>
            </w:pPr>
            <w:r w:rsidRPr="00330D80">
              <w:rPr>
                <w:lang w:val="en-CA" w:eastAsia="en-CA"/>
              </w:rPr>
              <w:t>1,291.00</w:t>
            </w:r>
          </w:p>
        </w:tc>
        <w:tc>
          <w:tcPr>
            <w:tcW w:w="2025" w:type="dxa"/>
            <w:tcBorders>
              <w:top w:val="single" w:sz="12" w:space="0" w:color="auto"/>
              <w:bottom w:val="single" w:sz="12" w:space="0" w:color="auto"/>
            </w:tcBorders>
            <w:shd w:val="clear" w:color="auto" w:fill="auto"/>
          </w:tcPr>
          <w:p w14:paraId="54ABDFFB" w14:textId="1C290CE8" w:rsidR="00AB7AF6" w:rsidRPr="00330D80" w:rsidRDefault="00122625" w:rsidP="00CC2C2D">
            <w:pPr>
              <w:pStyle w:val="ExhibitText"/>
              <w:jc w:val="right"/>
              <w:rPr>
                <w:lang w:val="en-CA" w:eastAsia="en-CA"/>
              </w:rPr>
            </w:pPr>
            <w:r>
              <w:rPr>
                <w:lang w:val="en-CA" w:eastAsia="en-CA"/>
              </w:rPr>
              <w:t>7</w:t>
            </w:r>
            <w:r w:rsidR="00226C43">
              <w:rPr>
                <w:lang w:val="en-CA" w:eastAsia="en-CA"/>
              </w:rPr>
              <w:t>80.64</w:t>
            </w:r>
          </w:p>
        </w:tc>
        <w:tc>
          <w:tcPr>
            <w:tcW w:w="1260" w:type="dxa"/>
            <w:tcBorders>
              <w:top w:val="single" w:sz="12" w:space="0" w:color="auto"/>
              <w:bottom w:val="single" w:sz="12" w:space="0" w:color="auto"/>
            </w:tcBorders>
            <w:shd w:val="clear" w:color="auto" w:fill="auto"/>
          </w:tcPr>
          <w:p w14:paraId="60BC76F3" w14:textId="562E171B" w:rsidR="00AB7AF6" w:rsidRPr="00330D80" w:rsidRDefault="00AB7AF6" w:rsidP="00CC2C2D">
            <w:pPr>
              <w:pStyle w:val="ExhibitText"/>
              <w:jc w:val="right"/>
              <w:rPr>
                <w:lang w:val="en-CA" w:eastAsia="en-CA"/>
              </w:rPr>
            </w:pPr>
            <w:r w:rsidRPr="00330D80">
              <w:rPr>
                <w:lang w:val="en-CA" w:eastAsia="en-CA"/>
              </w:rPr>
              <w:t>3.2</w:t>
            </w:r>
            <w:r w:rsidR="00226C43">
              <w:rPr>
                <w:lang w:val="en-CA" w:eastAsia="en-CA"/>
              </w:rPr>
              <w:t>0</w:t>
            </w:r>
          </w:p>
        </w:tc>
        <w:tc>
          <w:tcPr>
            <w:tcW w:w="2065" w:type="dxa"/>
            <w:tcBorders>
              <w:top w:val="single" w:sz="12" w:space="0" w:color="auto"/>
              <w:bottom w:val="single" w:sz="12" w:space="0" w:color="auto"/>
            </w:tcBorders>
            <w:shd w:val="clear" w:color="auto" w:fill="auto"/>
          </w:tcPr>
          <w:p w14:paraId="392C2F28" w14:textId="789167CF" w:rsidR="00AB7AF6" w:rsidRPr="00330D80" w:rsidRDefault="00AB7AF6" w:rsidP="00CC2C2D">
            <w:pPr>
              <w:pStyle w:val="ExhibitText"/>
              <w:jc w:val="right"/>
              <w:rPr>
                <w:lang w:val="en-CA" w:eastAsia="en-CA"/>
              </w:rPr>
            </w:pPr>
            <w:r w:rsidRPr="00330D80">
              <w:rPr>
                <w:lang w:val="en-CA" w:eastAsia="en-CA"/>
              </w:rPr>
              <w:t>182.78</w:t>
            </w:r>
          </w:p>
        </w:tc>
      </w:tr>
      <w:tr w:rsidR="00CC2C2D" w:rsidRPr="00330D80" w14:paraId="758DFD04" w14:textId="77777777" w:rsidTr="008F6306">
        <w:trPr>
          <w:trHeight w:val="259"/>
          <w:jc w:val="center"/>
        </w:trPr>
        <w:tc>
          <w:tcPr>
            <w:tcW w:w="1890" w:type="dxa"/>
            <w:tcBorders>
              <w:top w:val="single" w:sz="12" w:space="0" w:color="auto"/>
              <w:bottom w:val="dotted" w:sz="4" w:space="0" w:color="auto"/>
            </w:tcBorders>
            <w:shd w:val="clear" w:color="auto" w:fill="auto"/>
          </w:tcPr>
          <w:p w14:paraId="4CE97567" w14:textId="77777777" w:rsidR="00AB7AF6" w:rsidRPr="00330D80" w:rsidRDefault="00AB7AF6" w:rsidP="00CC2C2D">
            <w:pPr>
              <w:pStyle w:val="ExhibitText"/>
              <w:jc w:val="left"/>
              <w:rPr>
                <w:lang w:val="en-CA" w:eastAsia="en-CA"/>
              </w:rPr>
            </w:pPr>
            <w:r w:rsidRPr="00330D80">
              <w:rPr>
                <w:lang w:val="en-CA" w:eastAsia="en-CA"/>
              </w:rPr>
              <w:t>Albertans</w:t>
            </w:r>
          </w:p>
        </w:tc>
        <w:tc>
          <w:tcPr>
            <w:tcW w:w="1320" w:type="dxa"/>
            <w:tcBorders>
              <w:top w:val="single" w:sz="12" w:space="0" w:color="auto"/>
              <w:bottom w:val="dotted" w:sz="4" w:space="0" w:color="auto"/>
            </w:tcBorders>
            <w:shd w:val="clear" w:color="auto" w:fill="auto"/>
          </w:tcPr>
          <w:p w14:paraId="3349D98B" w14:textId="2D4BC9CC" w:rsidR="00AB7AF6" w:rsidRPr="00330D80" w:rsidRDefault="00226C43" w:rsidP="00CC2C2D">
            <w:pPr>
              <w:pStyle w:val="ExhibitText"/>
              <w:jc w:val="right"/>
              <w:rPr>
                <w:lang w:val="en-CA" w:eastAsia="en-CA"/>
              </w:rPr>
            </w:pPr>
            <w:r>
              <w:rPr>
                <w:lang w:val="en-CA" w:eastAsia="en-CA"/>
              </w:rPr>
              <w:t>3.21</w:t>
            </w:r>
          </w:p>
        </w:tc>
        <w:tc>
          <w:tcPr>
            <w:tcW w:w="1320" w:type="dxa"/>
            <w:tcBorders>
              <w:top w:val="single" w:sz="12" w:space="0" w:color="auto"/>
              <w:bottom w:val="dotted" w:sz="4" w:space="0" w:color="auto"/>
            </w:tcBorders>
          </w:tcPr>
          <w:p w14:paraId="482207E8" w14:textId="77777777" w:rsidR="00AB7AF6" w:rsidRPr="00330D80" w:rsidRDefault="00AB7AF6" w:rsidP="00CC2C2D">
            <w:pPr>
              <w:pStyle w:val="ExhibitText"/>
              <w:jc w:val="right"/>
              <w:rPr>
                <w:lang w:val="en-CA" w:eastAsia="en-CA"/>
              </w:rPr>
            </w:pPr>
          </w:p>
        </w:tc>
        <w:tc>
          <w:tcPr>
            <w:tcW w:w="1320" w:type="dxa"/>
            <w:tcBorders>
              <w:top w:val="single" w:sz="12" w:space="0" w:color="auto"/>
              <w:bottom w:val="dotted" w:sz="4" w:space="0" w:color="auto"/>
            </w:tcBorders>
          </w:tcPr>
          <w:p w14:paraId="5E8E82F9" w14:textId="3C87FDD7" w:rsidR="00AB7AF6" w:rsidRPr="00330D80" w:rsidRDefault="00AB7AF6" w:rsidP="00CC2C2D">
            <w:pPr>
              <w:pStyle w:val="ExhibitText"/>
              <w:jc w:val="right"/>
              <w:rPr>
                <w:lang w:val="en-CA" w:eastAsia="en-CA"/>
              </w:rPr>
            </w:pPr>
          </w:p>
        </w:tc>
        <w:tc>
          <w:tcPr>
            <w:tcW w:w="2025" w:type="dxa"/>
            <w:tcBorders>
              <w:top w:val="single" w:sz="12" w:space="0" w:color="auto"/>
              <w:bottom w:val="dotted" w:sz="4" w:space="0" w:color="auto"/>
            </w:tcBorders>
            <w:shd w:val="clear" w:color="auto" w:fill="auto"/>
          </w:tcPr>
          <w:p w14:paraId="332B7D44" w14:textId="23E3BB68" w:rsidR="00AB7AF6" w:rsidRPr="00330D80" w:rsidRDefault="00226C43" w:rsidP="00CC2C2D">
            <w:pPr>
              <w:pStyle w:val="ExhibitText"/>
              <w:jc w:val="right"/>
              <w:rPr>
                <w:lang w:val="en-CA" w:eastAsia="en-CA"/>
              </w:rPr>
            </w:pPr>
            <w:r>
              <w:rPr>
                <w:lang w:val="en-CA" w:eastAsia="en-CA"/>
              </w:rPr>
              <w:t>599.65</w:t>
            </w:r>
          </w:p>
        </w:tc>
        <w:tc>
          <w:tcPr>
            <w:tcW w:w="2025" w:type="dxa"/>
            <w:tcBorders>
              <w:top w:val="single" w:sz="12" w:space="0" w:color="auto"/>
              <w:bottom w:val="dotted" w:sz="4" w:space="0" w:color="auto"/>
            </w:tcBorders>
            <w:shd w:val="clear" w:color="auto" w:fill="auto"/>
          </w:tcPr>
          <w:p w14:paraId="26717664" w14:textId="24112753" w:rsidR="00AB7AF6" w:rsidRPr="001D4329" w:rsidRDefault="00122625" w:rsidP="00CC2C2D">
            <w:pPr>
              <w:pStyle w:val="ExhibitText"/>
              <w:jc w:val="right"/>
              <w:rPr>
                <w:lang w:val="en-CA" w:eastAsia="en-CA"/>
              </w:rPr>
            </w:pPr>
            <w:r w:rsidRPr="001D4329">
              <w:rPr>
                <w:lang w:val="en-CA" w:eastAsia="en-CA"/>
              </w:rPr>
              <w:t>3</w:t>
            </w:r>
            <w:r w:rsidR="00226C43">
              <w:rPr>
                <w:lang w:val="en-CA" w:eastAsia="en-CA"/>
              </w:rPr>
              <w:t>35.64</w:t>
            </w:r>
          </w:p>
        </w:tc>
        <w:tc>
          <w:tcPr>
            <w:tcW w:w="1260" w:type="dxa"/>
            <w:tcBorders>
              <w:top w:val="single" w:sz="12" w:space="0" w:color="auto"/>
              <w:bottom w:val="dotted" w:sz="4" w:space="0" w:color="auto"/>
            </w:tcBorders>
            <w:shd w:val="clear" w:color="auto" w:fill="auto"/>
          </w:tcPr>
          <w:p w14:paraId="69D7A840" w14:textId="41394033" w:rsidR="00AB7AF6" w:rsidRPr="001D4329" w:rsidRDefault="00AB7AF6" w:rsidP="00CC2C2D">
            <w:pPr>
              <w:pStyle w:val="ExhibitText"/>
              <w:jc w:val="right"/>
              <w:rPr>
                <w:lang w:val="en-CA" w:eastAsia="en-CA"/>
              </w:rPr>
            </w:pPr>
            <w:r w:rsidRPr="001D4329">
              <w:rPr>
                <w:lang w:val="en-CA" w:eastAsia="en-CA"/>
              </w:rPr>
              <w:t>2.1</w:t>
            </w:r>
            <w:r w:rsidR="00226C43">
              <w:rPr>
                <w:lang w:val="en-CA" w:eastAsia="en-CA"/>
              </w:rPr>
              <w:t>0</w:t>
            </w:r>
          </w:p>
        </w:tc>
        <w:tc>
          <w:tcPr>
            <w:tcW w:w="2065" w:type="dxa"/>
            <w:tcBorders>
              <w:top w:val="single" w:sz="12" w:space="0" w:color="auto"/>
              <w:bottom w:val="dotted" w:sz="4" w:space="0" w:color="auto"/>
            </w:tcBorders>
            <w:shd w:val="clear" w:color="auto" w:fill="auto"/>
          </w:tcPr>
          <w:p w14:paraId="115E9BDC" w14:textId="18627519" w:rsidR="00AB7AF6" w:rsidRPr="00330D80" w:rsidRDefault="00122625" w:rsidP="00CC2C2D">
            <w:pPr>
              <w:pStyle w:val="ExhibitText"/>
              <w:jc w:val="right"/>
              <w:rPr>
                <w:lang w:val="en-CA" w:eastAsia="en-CA"/>
              </w:rPr>
            </w:pPr>
            <w:r>
              <w:rPr>
                <w:lang w:val="en-CA" w:eastAsia="en-CA"/>
              </w:rPr>
              <w:t>104</w:t>
            </w:r>
            <w:r w:rsidR="00AB7AF6" w:rsidRPr="00330D80">
              <w:rPr>
                <w:lang w:val="en-CA" w:eastAsia="en-CA"/>
              </w:rPr>
              <w:t>.</w:t>
            </w:r>
            <w:r>
              <w:rPr>
                <w:lang w:val="en-CA" w:eastAsia="en-CA"/>
              </w:rPr>
              <w:t>69</w:t>
            </w:r>
          </w:p>
        </w:tc>
      </w:tr>
      <w:tr w:rsidR="00E65098" w:rsidRPr="00330D80" w14:paraId="63661910" w14:textId="77777777" w:rsidTr="008F6306">
        <w:trPr>
          <w:trHeight w:val="259"/>
          <w:jc w:val="center"/>
        </w:trPr>
        <w:tc>
          <w:tcPr>
            <w:tcW w:w="1890" w:type="dxa"/>
            <w:tcBorders>
              <w:top w:val="dotted" w:sz="4" w:space="0" w:color="auto"/>
              <w:bottom w:val="dotted" w:sz="4" w:space="0" w:color="auto"/>
            </w:tcBorders>
            <w:shd w:val="clear" w:color="auto" w:fill="auto"/>
          </w:tcPr>
          <w:p w14:paraId="63308833" w14:textId="77777777" w:rsidR="00AB7AF6" w:rsidRPr="00330D80" w:rsidRDefault="00AB7AF6" w:rsidP="00CC2C2D">
            <w:pPr>
              <w:pStyle w:val="ExhibitText"/>
              <w:jc w:val="left"/>
              <w:rPr>
                <w:lang w:val="en-CA" w:eastAsia="en-CA"/>
              </w:rPr>
            </w:pPr>
            <w:r w:rsidRPr="00330D80">
              <w:rPr>
                <w:lang w:val="en-CA" w:eastAsia="en-CA"/>
              </w:rPr>
              <w:t>Other Canadians</w:t>
            </w:r>
          </w:p>
        </w:tc>
        <w:tc>
          <w:tcPr>
            <w:tcW w:w="1320" w:type="dxa"/>
            <w:tcBorders>
              <w:top w:val="dotted" w:sz="4" w:space="0" w:color="auto"/>
              <w:bottom w:val="dotted" w:sz="4" w:space="0" w:color="auto"/>
            </w:tcBorders>
            <w:shd w:val="clear" w:color="auto" w:fill="auto"/>
          </w:tcPr>
          <w:p w14:paraId="57E5EF35" w14:textId="4F89754B" w:rsidR="00AB7AF6" w:rsidRPr="00330D80" w:rsidRDefault="00AB7AF6" w:rsidP="00CC2C2D">
            <w:pPr>
              <w:pStyle w:val="ExhibitText"/>
              <w:jc w:val="right"/>
              <w:rPr>
                <w:lang w:val="en-CA" w:eastAsia="en-CA"/>
              </w:rPr>
            </w:pPr>
            <w:r w:rsidRPr="00330D80">
              <w:rPr>
                <w:lang w:val="en-CA" w:eastAsia="en-CA"/>
              </w:rPr>
              <w:t>0.37</w:t>
            </w:r>
          </w:p>
        </w:tc>
        <w:tc>
          <w:tcPr>
            <w:tcW w:w="1320" w:type="dxa"/>
            <w:tcBorders>
              <w:top w:val="dotted" w:sz="4" w:space="0" w:color="auto"/>
              <w:bottom w:val="dotted" w:sz="4" w:space="0" w:color="auto"/>
            </w:tcBorders>
          </w:tcPr>
          <w:p w14:paraId="08EACDF8" w14:textId="77777777" w:rsidR="00AB7AF6" w:rsidRPr="00330D80" w:rsidRDefault="00AB7AF6" w:rsidP="00CC2C2D">
            <w:pPr>
              <w:pStyle w:val="ExhibitText"/>
              <w:jc w:val="right"/>
              <w:rPr>
                <w:lang w:val="en-CA" w:eastAsia="en-CA"/>
              </w:rPr>
            </w:pPr>
          </w:p>
        </w:tc>
        <w:tc>
          <w:tcPr>
            <w:tcW w:w="1320" w:type="dxa"/>
            <w:tcBorders>
              <w:top w:val="dotted" w:sz="4" w:space="0" w:color="auto"/>
              <w:bottom w:val="dotted" w:sz="4" w:space="0" w:color="auto"/>
            </w:tcBorders>
          </w:tcPr>
          <w:p w14:paraId="61EF97D2" w14:textId="5C963136" w:rsidR="00AB7AF6" w:rsidRPr="00330D80" w:rsidRDefault="00AB7AF6" w:rsidP="00CC2C2D">
            <w:pPr>
              <w:pStyle w:val="ExhibitText"/>
              <w:jc w:val="right"/>
              <w:rPr>
                <w:lang w:val="en-CA" w:eastAsia="en-CA"/>
              </w:rPr>
            </w:pPr>
          </w:p>
        </w:tc>
        <w:tc>
          <w:tcPr>
            <w:tcW w:w="2025" w:type="dxa"/>
            <w:tcBorders>
              <w:top w:val="dotted" w:sz="4" w:space="0" w:color="auto"/>
              <w:bottom w:val="dotted" w:sz="4" w:space="0" w:color="auto"/>
            </w:tcBorders>
            <w:shd w:val="clear" w:color="auto" w:fill="auto"/>
          </w:tcPr>
          <w:p w14:paraId="2B16A690" w14:textId="72994418" w:rsidR="00AB7AF6" w:rsidRPr="00330D80" w:rsidRDefault="00AB7AF6" w:rsidP="00CC2C2D">
            <w:pPr>
              <w:pStyle w:val="ExhibitText"/>
              <w:jc w:val="right"/>
              <w:rPr>
                <w:lang w:val="en-CA" w:eastAsia="en-CA"/>
              </w:rPr>
            </w:pPr>
            <w:r w:rsidRPr="00330D80">
              <w:rPr>
                <w:lang w:val="en-CA" w:eastAsia="en-CA"/>
              </w:rPr>
              <w:t>168.30</w:t>
            </w:r>
          </w:p>
        </w:tc>
        <w:tc>
          <w:tcPr>
            <w:tcW w:w="2025" w:type="dxa"/>
            <w:tcBorders>
              <w:top w:val="dotted" w:sz="4" w:space="0" w:color="auto"/>
              <w:bottom w:val="dotted" w:sz="4" w:space="0" w:color="auto"/>
            </w:tcBorders>
            <w:shd w:val="clear" w:color="auto" w:fill="auto"/>
          </w:tcPr>
          <w:p w14:paraId="1F00A1C7" w14:textId="411E5DB0" w:rsidR="00AB7AF6" w:rsidRPr="00330D80" w:rsidRDefault="00AB7AF6" w:rsidP="00CC2C2D">
            <w:pPr>
              <w:pStyle w:val="ExhibitText"/>
              <w:jc w:val="right"/>
              <w:rPr>
                <w:lang w:val="en-CA" w:eastAsia="en-CA"/>
              </w:rPr>
            </w:pPr>
            <w:r w:rsidRPr="00330D80">
              <w:rPr>
                <w:lang w:val="en-CA" w:eastAsia="en-CA"/>
              </w:rPr>
              <w:t>107.05</w:t>
            </w:r>
          </w:p>
        </w:tc>
        <w:tc>
          <w:tcPr>
            <w:tcW w:w="1260" w:type="dxa"/>
            <w:tcBorders>
              <w:top w:val="dotted" w:sz="4" w:space="0" w:color="auto"/>
              <w:bottom w:val="dotted" w:sz="4" w:space="0" w:color="auto"/>
            </w:tcBorders>
            <w:shd w:val="clear" w:color="auto" w:fill="auto"/>
          </w:tcPr>
          <w:p w14:paraId="764B235C" w14:textId="4C60B2C1" w:rsidR="00AB7AF6" w:rsidRPr="00330D80" w:rsidRDefault="00AB7AF6" w:rsidP="00CC2C2D">
            <w:pPr>
              <w:pStyle w:val="ExhibitText"/>
              <w:jc w:val="right"/>
              <w:rPr>
                <w:lang w:val="en-CA" w:eastAsia="en-CA"/>
              </w:rPr>
            </w:pPr>
            <w:r w:rsidRPr="00330D80">
              <w:rPr>
                <w:lang w:val="en-CA" w:eastAsia="en-CA"/>
              </w:rPr>
              <w:t>4.1</w:t>
            </w:r>
            <w:r w:rsidR="00226C43">
              <w:rPr>
                <w:lang w:val="en-CA" w:eastAsia="en-CA"/>
              </w:rPr>
              <w:t>0</w:t>
            </w:r>
          </w:p>
        </w:tc>
        <w:tc>
          <w:tcPr>
            <w:tcW w:w="2065" w:type="dxa"/>
            <w:tcBorders>
              <w:top w:val="dotted" w:sz="4" w:space="0" w:color="auto"/>
              <w:bottom w:val="dotted" w:sz="4" w:space="0" w:color="auto"/>
            </w:tcBorders>
            <w:shd w:val="clear" w:color="auto" w:fill="auto"/>
          </w:tcPr>
          <w:p w14:paraId="3B9878FB" w14:textId="70912F90" w:rsidR="00AB7AF6" w:rsidRPr="00330D80" w:rsidRDefault="00AB7AF6" w:rsidP="00CC2C2D">
            <w:pPr>
              <w:pStyle w:val="ExhibitText"/>
              <w:jc w:val="right"/>
              <w:rPr>
                <w:lang w:val="en-CA" w:eastAsia="en-CA"/>
              </w:rPr>
            </w:pPr>
            <w:r w:rsidRPr="00330D80">
              <w:rPr>
                <w:lang w:val="en-CA" w:eastAsia="en-CA"/>
              </w:rPr>
              <w:t>287.78</w:t>
            </w:r>
          </w:p>
        </w:tc>
      </w:tr>
      <w:tr w:rsidR="00E65098" w:rsidRPr="00330D80" w14:paraId="4326C6AB" w14:textId="77777777" w:rsidTr="008F6306">
        <w:trPr>
          <w:trHeight w:val="259"/>
          <w:jc w:val="center"/>
        </w:trPr>
        <w:tc>
          <w:tcPr>
            <w:tcW w:w="1890" w:type="dxa"/>
            <w:tcBorders>
              <w:top w:val="dotted" w:sz="4" w:space="0" w:color="auto"/>
              <w:bottom w:val="dotted" w:sz="4" w:space="0" w:color="auto"/>
            </w:tcBorders>
            <w:shd w:val="clear" w:color="auto" w:fill="auto"/>
          </w:tcPr>
          <w:p w14:paraId="5EDC5985" w14:textId="77777777" w:rsidR="00AB7AF6" w:rsidRPr="00330D80" w:rsidRDefault="00AB7AF6" w:rsidP="00CC2C2D">
            <w:pPr>
              <w:pStyle w:val="ExhibitText"/>
              <w:jc w:val="left"/>
              <w:rPr>
                <w:lang w:val="en-CA" w:eastAsia="en-CA"/>
              </w:rPr>
            </w:pPr>
            <w:r w:rsidRPr="00330D80">
              <w:rPr>
                <w:lang w:val="en-CA" w:eastAsia="en-CA"/>
              </w:rPr>
              <w:t>United States</w:t>
            </w:r>
          </w:p>
        </w:tc>
        <w:tc>
          <w:tcPr>
            <w:tcW w:w="1320" w:type="dxa"/>
            <w:tcBorders>
              <w:top w:val="dotted" w:sz="4" w:space="0" w:color="auto"/>
              <w:bottom w:val="dotted" w:sz="4" w:space="0" w:color="auto"/>
            </w:tcBorders>
            <w:shd w:val="clear" w:color="auto" w:fill="auto"/>
          </w:tcPr>
          <w:p w14:paraId="466333EF" w14:textId="7FAD741A" w:rsidR="00AB7AF6" w:rsidRPr="00330D80" w:rsidRDefault="00226C43" w:rsidP="00CC2C2D">
            <w:pPr>
              <w:pStyle w:val="ExhibitText"/>
              <w:jc w:val="right"/>
              <w:rPr>
                <w:lang w:val="en-CA" w:eastAsia="en-CA"/>
              </w:rPr>
            </w:pPr>
            <w:r>
              <w:rPr>
                <w:lang w:val="en-CA" w:eastAsia="en-CA"/>
              </w:rPr>
              <w:t>0.27</w:t>
            </w:r>
          </w:p>
        </w:tc>
        <w:tc>
          <w:tcPr>
            <w:tcW w:w="1320" w:type="dxa"/>
            <w:tcBorders>
              <w:top w:val="dotted" w:sz="4" w:space="0" w:color="auto"/>
              <w:bottom w:val="dotted" w:sz="4" w:space="0" w:color="auto"/>
            </w:tcBorders>
          </w:tcPr>
          <w:p w14:paraId="31FB171B" w14:textId="77777777" w:rsidR="00AB7AF6" w:rsidRPr="00330D80" w:rsidRDefault="00AB7AF6" w:rsidP="00CC2C2D">
            <w:pPr>
              <w:pStyle w:val="ExhibitText"/>
              <w:jc w:val="right"/>
              <w:rPr>
                <w:lang w:val="en-CA" w:eastAsia="en-CA"/>
              </w:rPr>
            </w:pPr>
          </w:p>
        </w:tc>
        <w:tc>
          <w:tcPr>
            <w:tcW w:w="1320" w:type="dxa"/>
            <w:tcBorders>
              <w:top w:val="dotted" w:sz="4" w:space="0" w:color="auto"/>
              <w:bottom w:val="dotted" w:sz="4" w:space="0" w:color="auto"/>
            </w:tcBorders>
          </w:tcPr>
          <w:p w14:paraId="01BBDC76" w14:textId="32EC6568" w:rsidR="00AB7AF6" w:rsidRPr="00330D80" w:rsidRDefault="00AB7AF6" w:rsidP="00CC2C2D">
            <w:pPr>
              <w:pStyle w:val="ExhibitText"/>
              <w:jc w:val="right"/>
              <w:rPr>
                <w:lang w:val="en-CA" w:eastAsia="en-CA"/>
              </w:rPr>
            </w:pPr>
          </w:p>
        </w:tc>
        <w:tc>
          <w:tcPr>
            <w:tcW w:w="2025" w:type="dxa"/>
            <w:tcBorders>
              <w:top w:val="dotted" w:sz="4" w:space="0" w:color="auto"/>
              <w:bottom w:val="dotted" w:sz="4" w:space="0" w:color="auto"/>
            </w:tcBorders>
            <w:shd w:val="clear" w:color="auto" w:fill="auto"/>
          </w:tcPr>
          <w:p w14:paraId="66CC31E3" w14:textId="7CD63936" w:rsidR="00AB7AF6" w:rsidRPr="00330D80" w:rsidRDefault="00AB7AF6" w:rsidP="00CC2C2D">
            <w:pPr>
              <w:pStyle w:val="ExhibitText"/>
              <w:jc w:val="right"/>
              <w:rPr>
                <w:lang w:val="en-CA" w:eastAsia="en-CA"/>
              </w:rPr>
            </w:pPr>
            <w:r w:rsidRPr="00330D80">
              <w:rPr>
                <w:lang w:val="en-CA" w:eastAsia="en-CA"/>
              </w:rPr>
              <w:t>196.26</w:t>
            </w:r>
          </w:p>
        </w:tc>
        <w:tc>
          <w:tcPr>
            <w:tcW w:w="2025" w:type="dxa"/>
            <w:tcBorders>
              <w:top w:val="dotted" w:sz="4" w:space="0" w:color="auto"/>
              <w:bottom w:val="dotted" w:sz="4" w:space="0" w:color="auto"/>
            </w:tcBorders>
            <w:shd w:val="clear" w:color="auto" w:fill="auto"/>
          </w:tcPr>
          <w:p w14:paraId="42A2B80B" w14:textId="44FD0E2A" w:rsidR="00AB7AF6" w:rsidRPr="00330D80" w:rsidRDefault="00AB7AF6" w:rsidP="00CC2C2D">
            <w:pPr>
              <w:pStyle w:val="ExhibitText"/>
              <w:jc w:val="right"/>
              <w:rPr>
                <w:lang w:val="en-CA" w:eastAsia="en-CA"/>
              </w:rPr>
            </w:pPr>
            <w:r w:rsidRPr="00330D80">
              <w:rPr>
                <w:lang w:val="en-CA" w:eastAsia="en-CA"/>
              </w:rPr>
              <w:t>127.22</w:t>
            </w:r>
          </w:p>
        </w:tc>
        <w:tc>
          <w:tcPr>
            <w:tcW w:w="1260" w:type="dxa"/>
            <w:tcBorders>
              <w:top w:val="dotted" w:sz="4" w:space="0" w:color="auto"/>
              <w:bottom w:val="dotted" w:sz="4" w:space="0" w:color="auto"/>
            </w:tcBorders>
            <w:shd w:val="clear" w:color="auto" w:fill="auto"/>
          </w:tcPr>
          <w:p w14:paraId="777B4B05" w14:textId="34B661DE" w:rsidR="00AB7AF6" w:rsidRPr="00330D80" w:rsidRDefault="00AB7AF6" w:rsidP="00CC2C2D">
            <w:pPr>
              <w:pStyle w:val="ExhibitText"/>
              <w:jc w:val="right"/>
              <w:rPr>
                <w:lang w:val="en-CA" w:eastAsia="en-CA"/>
              </w:rPr>
            </w:pPr>
            <w:r w:rsidRPr="00330D80">
              <w:rPr>
                <w:lang w:val="en-CA" w:eastAsia="en-CA"/>
              </w:rPr>
              <w:t>3.8</w:t>
            </w:r>
            <w:r w:rsidR="00226C43">
              <w:rPr>
                <w:lang w:val="en-CA" w:eastAsia="en-CA"/>
              </w:rPr>
              <w:t>0</w:t>
            </w:r>
          </w:p>
        </w:tc>
        <w:tc>
          <w:tcPr>
            <w:tcW w:w="2065" w:type="dxa"/>
            <w:tcBorders>
              <w:top w:val="dotted" w:sz="4" w:space="0" w:color="auto"/>
              <w:bottom w:val="dotted" w:sz="4" w:space="0" w:color="auto"/>
            </w:tcBorders>
            <w:shd w:val="clear" w:color="auto" w:fill="auto"/>
          </w:tcPr>
          <w:p w14:paraId="4FF9F487" w14:textId="3E5AC7C0" w:rsidR="00AB7AF6" w:rsidRPr="00330D80" w:rsidRDefault="0044338B" w:rsidP="00CC2C2D">
            <w:pPr>
              <w:pStyle w:val="ExhibitText"/>
              <w:jc w:val="right"/>
              <w:rPr>
                <w:lang w:val="en-CA" w:eastAsia="en-CA"/>
              </w:rPr>
            </w:pPr>
            <w:r>
              <w:rPr>
                <w:lang w:val="en-CA" w:eastAsia="en-CA"/>
              </w:rPr>
              <w:t>480.08</w:t>
            </w:r>
          </w:p>
        </w:tc>
      </w:tr>
      <w:tr w:rsidR="00E65098" w:rsidRPr="00330D80" w14:paraId="656F5FCB" w14:textId="77777777" w:rsidTr="008F6306">
        <w:trPr>
          <w:trHeight w:val="259"/>
          <w:jc w:val="center"/>
        </w:trPr>
        <w:tc>
          <w:tcPr>
            <w:tcW w:w="1890" w:type="dxa"/>
            <w:tcBorders>
              <w:top w:val="dotted" w:sz="4" w:space="0" w:color="auto"/>
            </w:tcBorders>
            <w:shd w:val="clear" w:color="auto" w:fill="auto"/>
          </w:tcPr>
          <w:p w14:paraId="41A06FFA" w14:textId="77777777" w:rsidR="00AB7AF6" w:rsidRPr="00330D80" w:rsidRDefault="00AB7AF6" w:rsidP="00CC2C2D">
            <w:pPr>
              <w:pStyle w:val="ExhibitText"/>
              <w:jc w:val="left"/>
              <w:rPr>
                <w:lang w:val="en-CA" w:eastAsia="en-CA"/>
              </w:rPr>
            </w:pPr>
            <w:r w:rsidRPr="00330D80">
              <w:rPr>
                <w:lang w:val="en-CA" w:eastAsia="en-CA"/>
              </w:rPr>
              <w:t>Other International</w:t>
            </w:r>
          </w:p>
        </w:tc>
        <w:tc>
          <w:tcPr>
            <w:tcW w:w="1320" w:type="dxa"/>
            <w:tcBorders>
              <w:top w:val="dotted" w:sz="4" w:space="0" w:color="auto"/>
            </w:tcBorders>
            <w:shd w:val="clear" w:color="auto" w:fill="auto"/>
          </w:tcPr>
          <w:p w14:paraId="42F4AC34" w14:textId="50F9E8CE" w:rsidR="00AB7AF6" w:rsidRPr="00330D80" w:rsidRDefault="00226C43" w:rsidP="00CC2C2D">
            <w:pPr>
              <w:pStyle w:val="ExhibitText"/>
              <w:jc w:val="right"/>
              <w:rPr>
                <w:lang w:val="en-CA" w:eastAsia="en-CA"/>
              </w:rPr>
            </w:pPr>
            <w:r>
              <w:rPr>
                <w:lang w:val="en-CA" w:eastAsia="en-CA"/>
              </w:rPr>
              <w:t>0.43</w:t>
            </w:r>
          </w:p>
        </w:tc>
        <w:tc>
          <w:tcPr>
            <w:tcW w:w="1320" w:type="dxa"/>
            <w:tcBorders>
              <w:top w:val="dotted" w:sz="4" w:space="0" w:color="auto"/>
            </w:tcBorders>
          </w:tcPr>
          <w:p w14:paraId="37C9049A" w14:textId="77777777" w:rsidR="00AB7AF6" w:rsidRPr="00330D80" w:rsidRDefault="00AB7AF6" w:rsidP="00CC2C2D">
            <w:pPr>
              <w:pStyle w:val="ExhibitText"/>
              <w:jc w:val="right"/>
              <w:rPr>
                <w:lang w:val="en-CA" w:eastAsia="en-CA"/>
              </w:rPr>
            </w:pPr>
          </w:p>
        </w:tc>
        <w:tc>
          <w:tcPr>
            <w:tcW w:w="1320" w:type="dxa"/>
            <w:tcBorders>
              <w:top w:val="dotted" w:sz="4" w:space="0" w:color="auto"/>
            </w:tcBorders>
          </w:tcPr>
          <w:p w14:paraId="2AFCE7BD" w14:textId="08B235DD" w:rsidR="00AB7AF6" w:rsidRPr="00330D80" w:rsidRDefault="00AB7AF6" w:rsidP="00CC2C2D">
            <w:pPr>
              <w:pStyle w:val="ExhibitText"/>
              <w:jc w:val="right"/>
              <w:rPr>
                <w:lang w:val="en-CA" w:eastAsia="en-CA"/>
              </w:rPr>
            </w:pPr>
          </w:p>
        </w:tc>
        <w:tc>
          <w:tcPr>
            <w:tcW w:w="2025" w:type="dxa"/>
            <w:tcBorders>
              <w:top w:val="dotted" w:sz="4" w:space="0" w:color="auto"/>
            </w:tcBorders>
            <w:shd w:val="clear" w:color="auto" w:fill="auto"/>
          </w:tcPr>
          <w:p w14:paraId="3F7F0D53" w14:textId="459596C1" w:rsidR="00AB7AF6" w:rsidRPr="00330D80" w:rsidRDefault="00E65098" w:rsidP="00CC2C2D">
            <w:pPr>
              <w:pStyle w:val="ExhibitText"/>
              <w:jc w:val="right"/>
              <w:rPr>
                <w:lang w:val="en-CA" w:eastAsia="en-CA"/>
              </w:rPr>
            </w:pPr>
            <w:r>
              <w:rPr>
                <w:lang w:val="en-CA" w:eastAsia="en-CA"/>
              </w:rPr>
              <w:t>326.</w:t>
            </w:r>
            <w:r w:rsidR="00226C43">
              <w:rPr>
                <w:lang w:val="en-CA" w:eastAsia="en-CA"/>
              </w:rPr>
              <w:t>80</w:t>
            </w:r>
          </w:p>
        </w:tc>
        <w:tc>
          <w:tcPr>
            <w:tcW w:w="2025" w:type="dxa"/>
            <w:tcBorders>
              <w:top w:val="dotted" w:sz="4" w:space="0" w:color="auto"/>
            </w:tcBorders>
            <w:shd w:val="clear" w:color="auto" w:fill="auto"/>
          </w:tcPr>
          <w:p w14:paraId="082EF91B" w14:textId="3B154A4F" w:rsidR="00AB7AF6" w:rsidRPr="00330D80" w:rsidRDefault="00AB7AF6" w:rsidP="00CC2C2D">
            <w:pPr>
              <w:pStyle w:val="ExhibitText"/>
              <w:jc w:val="right"/>
              <w:rPr>
                <w:lang w:val="en-CA" w:eastAsia="en-CA"/>
              </w:rPr>
            </w:pPr>
            <w:r w:rsidRPr="00330D80">
              <w:rPr>
                <w:lang w:val="en-CA" w:eastAsia="en-CA"/>
              </w:rPr>
              <w:t>210.72</w:t>
            </w:r>
          </w:p>
        </w:tc>
        <w:tc>
          <w:tcPr>
            <w:tcW w:w="1260" w:type="dxa"/>
            <w:tcBorders>
              <w:top w:val="dotted" w:sz="4" w:space="0" w:color="auto"/>
            </w:tcBorders>
            <w:shd w:val="clear" w:color="auto" w:fill="auto"/>
          </w:tcPr>
          <w:p w14:paraId="0D172D05" w14:textId="53D54DA0" w:rsidR="00AB7AF6" w:rsidRPr="00330D80" w:rsidRDefault="00AB7AF6" w:rsidP="00CC2C2D">
            <w:pPr>
              <w:pStyle w:val="ExhibitText"/>
              <w:jc w:val="right"/>
              <w:rPr>
                <w:lang w:val="en-CA" w:eastAsia="en-CA"/>
              </w:rPr>
            </w:pPr>
            <w:r w:rsidRPr="00330D80">
              <w:rPr>
                <w:lang w:val="en-CA" w:eastAsia="en-CA"/>
              </w:rPr>
              <w:t>5.2</w:t>
            </w:r>
            <w:r w:rsidR="00226C43">
              <w:rPr>
                <w:lang w:val="en-CA" w:eastAsia="en-CA"/>
              </w:rPr>
              <w:t>0</w:t>
            </w:r>
          </w:p>
        </w:tc>
        <w:tc>
          <w:tcPr>
            <w:tcW w:w="2065" w:type="dxa"/>
            <w:tcBorders>
              <w:top w:val="dotted" w:sz="4" w:space="0" w:color="auto"/>
            </w:tcBorders>
            <w:shd w:val="clear" w:color="auto" w:fill="auto"/>
          </w:tcPr>
          <w:p w14:paraId="4D26D2BC" w14:textId="66A63E31" w:rsidR="00AB7AF6" w:rsidRPr="00330D80" w:rsidRDefault="00AB7AF6" w:rsidP="00CC2C2D">
            <w:pPr>
              <w:pStyle w:val="ExhibitText"/>
              <w:jc w:val="right"/>
              <w:rPr>
                <w:lang w:val="en-CA" w:eastAsia="en-CA"/>
              </w:rPr>
            </w:pPr>
            <w:r w:rsidRPr="00330D80">
              <w:rPr>
                <w:lang w:val="en-CA" w:eastAsia="en-CA"/>
              </w:rPr>
              <w:t>492.34</w:t>
            </w:r>
          </w:p>
        </w:tc>
      </w:tr>
    </w:tbl>
    <w:p w14:paraId="633B491D" w14:textId="77777777" w:rsidR="00330D80" w:rsidRDefault="00330D80" w:rsidP="00330D80">
      <w:pPr>
        <w:pStyle w:val="ExhibitText"/>
        <w:rPr>
          <w:rFonts w:eastAsia="Calibri"/>
          <w:lang w:val="en-CA" w:eastAsia="en-CA"/>
        </w:rPr>
      </w:pPr>
    </w:p>
    <w:p w14:paraId="49E8D897" w14:textId="6A315917" w:rsidR="001D4329" w:rsidRDefault="00330D80" w:rsidP="001D4329">
      <w:pPr>
        <w:pStyle w:val="Footnote"/>
        <w:jc w:val="both"/>
      </w:pPr>
      <w:r w:rsidRPr="00330D80">
        <w:rPr>
          <w:rFonts w:eastAsia="Calibri"/>
        </w:rPr>
        <w:t xml:space="preserve">Source: </w:t>
      </w:r>
      <w:r>
        <w:t xml:space="preserve">Created by </w:t>
      </w:r>
      <w:r w:rsidR="0044338B">
        <w:t xml:space="preserve">the case </w:t>
      </w:r>
      <w:r>
        <w:t>authors based on</w:t>
      </w:r>
      <w:r w:rsidRPr="00330D80">
        <w:t xml:space="preserve"> </w:t>
      </w:r>
      <w:r w:rsidR="00322253">
        <w:t xml:space="preserve">Government of Alberta, </w:t>
      </w:r>
      <w:r w:rsidRPr="00EC35B5">
        <w:rPr>
          <w:i/>
        </w:rPr>
        <w:t>Tourism in Canadian Rockies</w:t>
      </w:r>
      <w:r w:rsidR="00322253" w:rsidRPr="00322253">
        <w:rPr>
          <w:i/>
        </w:rPr>
        <w:t>:</w:t>
      </w:r>
      <w:r w:rsidRPr="00330D80">
        <w:t xml:space="preserve"> </w:t>
      </w:r>
      <w:r w:rsidRPr="00EC35B5">
        <w:rPr>
          <w:i/>
        </w:rPr>
        <w:t>A Summary of 2010 Visitor Numbers and Characteristics</w:t>
      </w:r>
      <w:r w:rsidRPr="00330D80">
        <w:t xml:space="preserve"> </w:t>
      </w:r>
      <w:r w:rsidR="00DD19A8">
        <w:t>(</w:t>
      </w:r>
      <w:r w:rsidRPr="00330D80">
        <w:t>2012</w:t>
      </w:r>
      <w:r w:rsidR="00DD19A8">
        <w:t>)</w:t>
      </w:r>
      <w:r w:rsidRPr="00330D80">
        <w:t xml:space="preserve">, </w:t>
      </w:r>
      <w:r w:rsidR="00DD19A8" w:rsidRPr="00330D80">
        <w:t>accessed September 4, 2017</w:t>
      </w:r>
      <w:r w:rsidR="00DD19A8">
        <w:t xml:space="preserve">, </w:t>
      </w:r>
      <w:r w:rsidRPr="00330D80">
        <w:t xml:space="preserve">https://taprdsccdn.azureedge.net/cms/-/media/Industry/Files/resources/research/visitor-profiles/2010/2010-Visitor-Profile-for-Alberta-Rockies; </w:t>
      </w:r>
      <w:r w:rsidR="00EE09D0">
        <w:t xml:space="preserve">Government of Alberta, </w:t>
      </w:r>
      <w:r w:rsidR="00DD19A8" w:rsidRPr="00EE09D0">
        <w:rPr>
          <w:i/>
        </w:rPr>
        <w:t>Tourism in Canadian Rockies</w:t>
      </w:r>
      <w:r w:rsidR="00EE09D0" w:rsidRPr="00EE09D0">
        <w:rPr>
          <w:i/>
        </w:rPr>
        <w:t>:</w:t>
      </w:r>
      <w:r w:rsidR="00DD19A8" w:rsidRPr="00330D80">
        <w:t xml:space="preserve"> </w:t>
      </w:r>
      <w:r w:rsidRPr="00EC35B5">
        <w:rPr>
          <w:i/>
        </w:rPr>
        <w:t>A Summary of 2011 Visitor Number and Characteristics</w:t>
      </w:r>
      <w:r w:rsidRPr="00330D80">
        <w:t xml:space="preserve"> </w:t>
      </w:r>
      <w:r w:rsidR="00DD19A8">
        <w:t>(</w:t>
      </w:r>
      <w:r w:rsidRPr="00330D80">
        <w:t>2013</w:t>
      </w:r>
      <w:r w:rsidR="00DD19A8">
        <w:t>)</w:t>
      </w:r>
      <w:r w:rsidRPr="00330D80">
        <w:t xml:space="preserve">, </w:t>
      </w:r>
      <w:r w:rsidR="00DD19A8" w:rsidRPr="00330D80">
        <w:t>accessed September 4, 2017</w:t>
      </w:r>
      <w:r w:rsidR="00DD19A8">
        <w:t xml:space="preserve">, </w:t>
      </w:r>
      <w:r w:rsidRPr="00330D80">
        <w:t>https://taprdsccdn.azureedge.net/cms/-/media/Industry/Files/resources/research/visitor-profiles/2011/2011-Visitor-Profile-for-Alberta-Rockies</w:t>
      </w:r>
      <w:r w:rsidR="00DD19A8">
        <w:t>;</w:t>
      </w:r>
      <w:r w:rsidR="00716A98">
        <w:t xml:space="preserve"> </w:t>
      </w:r>
      <w:r w:rsidR="00EE09D0">
        <w:t xml:space="preserve">Government of Alberta, </w:t>
      </w:r>
      <w:r w:rsidR="00DD19A8" w:rsidRPr="00EE09D0">
        <w:rPr>
          <w:i/>
        </w:rPr>
        <w:t>Tourism in Canadian Rockies</w:t>
      </w:r>
      <w:r w:rsidR="00EE09D0" w:rsidRPr="00EE09D0">
        <w:rPr>
          <w:i/>
        </w:rPr>
        <w:t>:</w:t>
      </w:r>
      <w:r w:rsidR="00DD19A8">
        <w:t xml:space="preserve"> </w:t>
      </w:r>
      <w:r w:rsidRPr="00EC35B5">
        <w:rPr>
          <w:i/>
        </w:rPr>
        <w:t>A Summary of 2012 Visitor Numbers and Characteristics</w:t>
      </w:r>
      <w:r w:rsidR="00DD19A8">
        <w:t xml:space="preserve"> (</w:t>
      </w:r>
      <w:r w:rsidRPr="00330D80">
        <w:t>2014</w:t>
      </w:r>
      <w:r w:rsidR="00DD19A8">
        <w:t xml:space="preserve">), </w:t>
      </w:r>
      <w:r w:rsidR="00DD19A8" w:rsidRPr="00330D80">
        <w:t>accessed September 4, 2017</w:t>
      </w:r>
      <w:r w:rsidR="00DD19A8">
        <w:t xml:space="preserve">, </w:t>
      </w:r>
      <w:r w:rsidR="00DD19A8" w:rsidRPr="00DD19A8">
        <w:t>https://open.alberta.ca/dataset/f781c745-926a-45db-b98c-d1587171d63b/resource/839405c1-c10a-4611-9a9d-3734158a77a4/download/6659903-2012-person-visits-canadian-rockie.pdf</w:t>
      </w:r>
      <w:r w:rsidRPr="00330D80">
        <w:t>;</w:t>
      </w:r>
      <w:r w:rsidR="00716A98">
        <w:t xml:space="preserve"> </w:t>
      </w:r>
      <w:r w:rsidR="00EE09D0">
        <w:t xml:space="preserve">Government of Alberta, </w:t>
      </w:r>
      <w:r w:rsidR="00716A98" w:rsidRPr="00EE09D0">
        <w:rPr>
          <w:i/>
        </w:rPr>
        <w:t>Tourism Works for Alberta</w:t>
      </w:r>
      <w:r w:rsidR="00EE09D0" w:rsidRPr="00EE09D0">
        <w:rPr>
          <w:i/>
        </w:rPr>
        <w:t>:</w:t>
      </w:r>
      <w:r w:rsidR="00716A98" w:rsidRPr="00EE09D0">
        <w:rPr>
          <w:i/>
        </w:rPr>
        <w:t xml:space="preserve"> </w:t>
      </w:r>
      <w:r w:rsidRPr="00716A98">
        <w:rPr>
          <w:i/>
        </w:rPr>
        <w:t>The</w:t>
      </w:r>
      <w:r w:rsidR="00716A98" w:rsidRPr="00716A98">
        <w:rPr>
          <w:i/>
        </w:rPr>
        <w:t xml:space="preserve"> Economic Impact of Tourism in t</w:t>
      </w:r>
      <w:r w:rsidRPr="00716A98">
        <w:rPr>
          <w:i/>
        </w:rPr>
        <w:t>he</w:t>
      </w:r>
      <w:r w:rsidRPr="00EC35B5">
        <w:rPr>
          <w:i/>
        </w:rPr>
        <w:t xml:space="preserve"> Canadian Rockies Tourism Destination Region, 2010</w:t>
      </w:r>
      <w:r w:rsidR="00EE09D0">
        <w:t>,</w:t>
      </w:r>
      <w:r w:rsidR="00716A98">
        <w:t xml:space="preserve"> </w:t>
      </w:r>
      <w:r w:rsidR="00DD19A8" w:rsidRPr="00330D80">
        <w:t>accessed September 4, 2017</w:t>
      </w:r>
      <w:r w:rsidR="005348B6">
        <w:t>,</w:t>
      </w:r>
      <w:r w:rsidRPr="00330D80">
        <w:t xml:space="preserve"> </w:t>
      </w:r>
      <w:r w:rsidR="001D4329" w:rsidRPr="001D4329">
        <w:t>https://taprdsccdn.azureedge.net/cms/-</w:t>
      </w:r>
      <w:r w:rsidR="001D4329" w:rsidRPr="00330D80">
        <w:t>/media/</w:t>
      </w:r>
      <w:r w:rsidR="001D4329" w:rsidRPr="001D4329">
        <w:t xml:space="preserve"> </w:t>
      </w:r>
      <w:r w:rsidR="001D4329" w:rsidRPr="00330D80">
        <w:t>Industry/Files/resources/research/economic</w:t>
      </w:r>
    </w:p>
    <w:p w14:paraId="32F11B68" w14:textId="0233A877" w:rsidR="0044338B" w:rsidRDefault="00330D80" w:rsidP="001D4329">
      <w:pPr>
        <w:pStyle w:val="Footnote"/>
        <w:jc w:val="both"/>
        <w:sectPr w:rsidR="0044338B" w:rsidSect="00AB7AF6">
          <w:endnotePr>
            <w:numFmt w:val="decimal"/>
          </w:endnotePr>
          <w:pgSz w:w="15840" w:h="12240" w:orient="landscape" w:code="1"/>
          <w:pgMar w:top="1440" w:right="1440" w:bottom="1440" w:left="1080" w:header="1080" w:footer="720" w:gutter="0"/>
          <w:cols w:space="720"/>
          <w:docGrid w:linePitch="360"/>
        </w:sectPr>
      </w:pPr>
      <w:r w:rsidRPr="00330D80">
        <w:t>-impact-studies/2010/economicimpact-canadianrockies-2010</w:t>
      </w:r>
      <w:r w:rsidR="00716A98">
        <w:t xml:space="preserve">; </w:t>
      </w:r>
      <w:r w:rsidR="00EE09D0">
        <w:t xml:space="preserve">Government of Alberta, </w:t>
      </w:r>
      <w:r w:rsidR="00716A98" w:rsidRPr="00EE09D0">
        <w:rPr>
          <w:i/>
        </w:rPr>
        <w:t>Tourism Works for Alberta</w:t>
      </w:r>
      <w:r w:rsidR="00EE09D0" w:rsidRPr="00EE09D0">
        <w:rPr>
          <w:i/>
        </w:rPr>
        <w:t>:</w:t>
      </w:r>
      <w:r w:rsidR="00716A98">
        <w:t xml:space="preserve"> </w:t>
      </w:r>
      <w:r w:rsidRPr="00EC35B5">
        <w:rPr>
          <w:i/>
        </w:rPr>
        <w:t>The</w:t>
      </w:r>
      <w:r w:rsidR="00716A98" w:rsidRPr="00EC35B5">
        <w:rPr>
          <w:i/>
        </w:rPr>
        <w:t xml:space="preserve"> Economic Impact of Tourism in </w:t>
      </w:r>
      <w:r w:rsidR="00716A98" w:rsidRPr="00716A98">
        <w:rPr>
          <w:i/>
        </w:rPr>
        <w:t>t</w:t>
      </w:r>
      <w:r w:rsidRPr="00EC35B5">
        <w:rPr>
          <w:i/>
        </w:rPr>
        <w:t>he Canadian Rockies Tourism Destination Region, 2011</w:t>
      </w:r>
      <w:r w:rsidR="00716A98">
        <w:t xml:space="preserve">, </w:t>
      </w:r>
      <w:r w:rsidR="00DD19A8" w:rsidRPr="00330D80">
        <w:t>accessed September 4, 2017</w:t>
      </w:r>
      <w:r w:rsidR="005348B6">
        <w:t>,</w:t>
      </w:r>
      <w:r w:rsidRPr="00330D80">
        <w:t xml:space="preserve"> https://taprdsccdn.azureedge.net/cms/-/media/Industry/Files/resources/research/economic-impact-studies/2011/economicimpact-canadianrockies-2011</w:t>
      </w:r>
      <w:r w:rsidR="00716A98">
        <w:t xml:space="preserve">; and </w:t>
      </w:r>
      <w:r w:rsidR="00EE09D0">
        <w:t xml:space="preserve">Government of Alberta, </w:t>
      </w:r>
      <w:r w:rsidR="00716A98" w:rsidRPr="00EE09D0">
        <w:rPr>
          <w:i/>
        </w:rPr>
        <w:t>Tourism Works for Alberta</w:t>
      </w:r>
      <w:r w:rsidR="00EE09D0" w:rsidRPr="00EE09D0">
        <w:rPr>
          <w:i/>
        </w:rPr>
        <w:t>:</w:t>
      </w:r>
      <w:r w:rsidR="00716A98">
        <w:t xml:space="preserve"> </w:t>
      </w:r>
      <w:r w:rsidRPr="00EC35B5">
        <w:rPr>
          <w:i/>
        </w:rPr>
        <w:t>The</w:t>
      </w:r>
      <w:r w:rsidR="00716A98" w:rsidRPr="00EC35B5">
        <w:rPr>
          <w:i/>
        </w:rPr>
        <w:t xml:space="preserve"> Economic Impact of Tourism in </w:t>
      </w:r>
      <w:r w:rsidR="00716A98" w:rsidRPr="00716A98">
        <w:rPr>
          <w:i/>
        </w:rPr>
        <w:t>t</w:t>
      </w:r>
      <w:r w:rsidRPr="00EC35B5">
        <w:rPr>
          <w:i/>
        </w:rPr>
        <w:t>he Canadian Rockies Tourism Destination Region, 2012</w:t>
      </w:r>
      <w:r w:rsidR="00716A98">
        <w:t xml:space="preserve">, </w:t>
      </w:r>
      <w:r w:rsidR="00DD19A8" w:rsidRPr="00330D80">
        <w:t>accessed September 4, 2017</w:t>
      </w:r>
      <w:r w:rsidR="00716A98">
        <w:t xml:space="preserve">, </w:t>
      </w:r>
      <w:r w:rsidRPr="00330D80">
        <w:t>https://taprdsccdn.azureedge.net/cms/-/media/Industry/Files/resources/research/economic-impact-studies/2012/econ</w:t>
      </w:r>
      <w:r w:rsidR="00AB73AF">
        <w:t>omicimpact-canadianrockies-2012</w:t>
      </w:r>
      <w:r w:rsidR="00716A98">
        <w:t>.</w:t>
      </w:r>
    </w:p>
    <w:p w14:paraId="0202551D" w14:textId="2471A423" w:rsidR="003B515C" w:rsidRDefault="00330D80" w:rsidP="00907CBE">
      <w:pPr>
        <w:pStyle w:val="ExhibitHeading"/>
        <w:outlineLvl w:val="0"/>
        <w:rPr>
          <w:lang w:val="en-CA" w:eastAsia="en-CA"/>
        </w:rPr>
      </w:pPr>
      <w:r w:rsidRPr="00330D80">
        <w:rPr>
          <w:lang w:val="en-CA" w:eastAsia="en-CA"/>
        </w:rPr>
        <w:lastRenderedPageBreak/>
        <w:t xml:space="preserve">Exhibit 2: </w:t>
      </w:r>
      <w:r w:rsidR="00AB4754">
        <w:rPr>
          <w:lang w:val="en-CA" w:eastAsia="en-CA"/>
        </w:rPr>
        <w:t>Banff Aspen Lodge—</w:t>
      </w:r>
      <w:r w:rsidRPr="00330D80">
        <w:rPr>
          <w:lang w:val="en-CA" w:eastAsia="en-CA"/>
        </w:rPr>
        <w:t xml:space="preserve">Occupancy and </w:t>
      </w:r>
      <w:r w:rsidR="00AB4754">
        <w:rPr>
          <w:lang w:val="en-CA" w:eastAsia="en-CA"/>
        </w:rPr>
        <w:t>Average Daily Rates</w:t>
      </w:r>
      <w:r w:rsidRPr="00330D80">
        <w:rPr>
          <w:lang w:val="en-CA" w:eastAsia="en-CA"/>
        </w:rPr>
        <w:t>,</w:t>
      </w:r>
    </w:p>
    <w:p w14:paraId="4A715FA0" w14:textId="65938349" w:rsidR="00330D80" w:rsidRDefault="00AB4754" w:rsidP="00EC35B5">
      <w:pPr>
        <w:pStyle w:val="ExhibitHeading"/>
        <w:outlineLvl w:val="0"/>
        <w:rPr>
          <w:lang w:val="en-CA" w:eastAsia="en-CA"/>
        </w:rPr>
      </w:pPr>
      <w:r>
        <w:rPr>
          <w:lang w:val="en-CA" w:eastAsia="en-CA"/>
        </w:rPr>
        <w:t xml:space="preserve">Fiscal Years </w:t>
      </w:r>
      <w:r w:rsidR="00330D80" w:rsidRPr="00330D80">
        <w:rPr>
          <w:lang w:val="en-CA" w:eastAsia="en-CA"/>
        </w:rPr>
        <w:t>2012</w:t>
      </w:r>
      <w:r w:rsidR="003E27F9">
        <w:rPr>
          <w:lang w:val="en-CA" w:eastAsia="en-CA"/>
        </w:rPr>
        <w:t>–</w:t>
      </w:r>
      <w:r w:rsidR="00330D80" w:rsidRPr="00330D80">
        <w:rPr>
          <w:lang w:val="en-CA" w:eastAsia="en-CA"/>
        </w:rPr>
        <w:t>13</w:t>
      </w:r>
      <w:r>
        <w:rPr>
          <w:lang w:val="en-CA" w:eastAsia="en-CA"/>
        </w:rPr>
        <w:t xml:space="preserve"> and</w:t>
      </w:r>
      <w:r w:rsidR="00330D80" w:rsidRPr="00330D80">
        <w:rPr>
          <w:lang w:val="en-CA" w:eastAsia="en-CA"/>
        </w:rPr>
        <w:t xml:space="preserve"> 2013</w:t>
      </w:r>
      <w:r w:rsidR="003E27F9">
        <w:rPr>
          <w:lang w:val="en-CA" w:eastAsia="en-CA"/>
        </w:rPr>
        <w:t>–</w:t>
      </w:r>
      <w:r w:rsidR="00330D80" w:rsidRPr="00330D80">
        <w:rPr>
          <w:lang w:val="en-CA" w:eastAsia="en-CA"/>
        </w:rPr>
        <w:t>14</w:t>
      </w:r>
    </w:p>
    <w:p w14:paraId="4FCD3116" w14:textId="23FF1E73" w:rsidR="00A157AE" w:rsidRDefault="00A157AE" w:rsidP="00A157AE">
      <w:pPr>
        <w:pBdr>
          <w:top w:val="nil"/>
          <w:left w:val="nil"/>
          <w:bottom w:val="nil"/>
          <w:right w:val="nil"/>
          <w:between w:val="nil"/>
        </w:pBdr>
        <w:tabs>
          <w:tab w:val="center" w:pos="4680"/>
          <w:tab w:val="right" w:pos="9360"/>
        </w:tabs>
        <w:rPr>
          <w:color w:val="000000"/>
          <w:sz w:val="22"/>
          <w:szCs w:val="22"/>
        </w:rPr>
      </w:pPr>
    </w:p>
    <w:tbl>
      <w:tblPr>
        <w:tblW w:w="288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1440"/>
        <w:gridCol w:w="1350"/>
        <w:gridCol w:w="1260"/>
      </w:tblGrid>
      <w:tr w:rsidR="00A157AE" w14:paraId="4C1D9AA8" w14:textId="77777777" w:rsidTr="001D4329">
        <w:trPr>
          <w:trHeight w:val="288"/>
          <w:jc w:val="center"/>
        </w:trPr>
        <w:tc>
          <w:tcPr>
            <w:tcW w:w="1345" w:type="dxa"/>
            <w:tcBorders>
              <w:bottom w:val="single" w:sz="4" w:space="0" w:color="000000"/>
            </w:tcBorders>
            <w:shd w:val="clear" w:color="auto" w:fill="auto"/>
            <w:vAlign w:val="center"/>
          </w:tcPr>
          <w:p w14:paraId="0DE10A70" w14:textId="77777777" w:rsidR="00A157AE" w:rsidRDefault="00A157AE" w:rsidP="00AB4754">
            <w:pPr>
              <w:pStyle w:val="ExhibitText"/>
              <w:jc w:val="left"/>
            </w:pPr>
          </w:p>
        </w:tc>
        <w:tc>
          <w:tcPr>
            <w:tcW w:w="1440" w:type="dxa"/>
            <w:tcBorders>
              <w:bottom w:val="single" w:sz="4" w:space="0" w:color="000000"/>
            </w:tcBorders>
            <w:shd w:val="clear" w:color="auto" w:fill="auto"/>
            <w:vAlign w:val="center"/>
          </w:tcPr>
          <w:p w14:paraId="5549C2AC" w14:textId="7185C2C4" w:rsidR="00A157AE" w:rsidRPr="00310D17" w:rsidRDefault="00A157AE" w:rsidP="00AB4754">
            <w:pPr>
              <w:pStyle w:val="ExhibitText"/>
              <w:jc w:val="center"/>
              <w:rPr>
                <w:b/>
                <w:color w:val="000000"/>
              </w:rPr>
            </w:pPr>
            <w:r w:rsidRPr="00310D17">
              <w:rPr>
                <w:b/>
                <w:color w:val="000000"/>
              </w:rPr>
              <w:t># Rooms</w:t>
            </w:r>
            <w:r w:rsidR="00310D17" w:rsidRPr="00310D17">
              <w:rPr>
                <w:b/>
                <w:color w:val="000000"/>
              </w:rPr>
              <w:t xml:space="preserve"> </w:t>
            </w:r>
            <w:r w:rsidRPr="00310D17">
              <w:rPr>
                <w:b/>
                <w:color w:val="000000"/>
              </w:rPr>
              <w:t>Occupied</w:t>
            </w:r>
          </w:p>
        </w:tc>
        <w:tc>
          <w:tcPr>
            <w:tcW w:w="1350" w:type="dxa"/>
            <w:tcBorders>
              <w:bottom w:val="single" w:sz="4" w:space="0" w:color="000000"/>
            </w:tcBorders>
            <w:shd w:val="clear" w:color="auto" w:fill="auto"/>
            <w:vAlign w:val="center"/>
          </w:tcPr>
          <w:p w14:paraId="6852BB8F" w14:textId="77777777" w:rsidR="00133354" w:rsidRDefault="00A157AE" w:rsidP="00AB4754">
            <w:pPr>
              <w:pStyle w:val="ExhibitText"/>
              <w:jc w:val="center"/>
              <w:rPr>
                <w:b/>
                <w:color w:val="000000"/>
              </w:rPr>
            </w:pPr>
            <w:r w:rsidRPr="00310D17">
              <w:rPr>
                <w:b/>
                <w:color w:val="000000"/>
              </w:rPr>
              <w:t>Occupancy</w:t>
            </w:r>
          </w:p>
          <w:p w14:paraId="5BB742D3" w14:textId="48F25343" w:rsidR="00A157AE" w:rsidRPr="00310D17" w:rsidRDefault="00AB4754" w:rsidP="00AB4754">
            <w:pPr>
              <w:pStyle w:val="ExhibitText"/>
              <w:jc w:val="center"/>
              <w:rPr>
                <w:b/>
                <w:color w:val="000000"/>
              </w:rPr>
            </w:pPr>
            <w:r>
              <w:rPr>
                <w:b/>
                <w:color w:val="000000"/>
              </w:rPr>
              <w:t>(%)</w:t>
            </w:r>
          </w:p>
        </w:tc>
        <w:tc>
          <w:tcPr>
            <w:tcW w:w="1260" w:type="dxa"/>
            <w:tcBorders>
              <w:bottom w:val="single" w:sz="4" w:space="0" w:color="000000"/>
            </w:tcBorders>
            <w:shd w:val="clear" w:color="auto" w:fill="auto"/>
            <w:vAlign w:val="center"/>
          </w:tcPr>
          <w:p w14:paraId="5613C216" w14:textId="738FF1E2" w:rsidR="00AB4754" w:rsidRDefault="00AB4754" w:rsidP="00AB4754">
            <w:pPr>
              <w:pStyle w:val="ExhibitText"/>
              <w:jc w:val="center"/>
              <w:rPr>
                <w:b/>
                <w:color w:val="000000"/>
              </w:rPr>
            </w:pPr>
            <w:r>
              <w:rPr>
                <w:b/>
                <w:color w:val="000000"/>
              </w:rPr>
              <w:t>ADR</w:t>
            </w:r>
          </w:p>
          <w:p w14:paraId="23493FB4" w14:textId="2D4F4B98" w:rsidR="00A157AE" w:rsidRPr="00310D17" w:rsidRDefault="00AB4754" w:rsidP="00AB4754">
            <w:pPr>
              <w:pStyle w:val="ExhibitText"/>
              <w:jc w:val="center"/>
              <w:rPr>
                <w:b/>
                <w:color w:val="000000"/>
              </w:rPr>
            </w:pPr>
            <w:r>
              <w:rPr>
                <w:b/>
                <w:color w:val="000000"/>
              </w:rPr>
              <w:t>(CA</w:t>
            </w:r>
            <w:r w:rsidR="00A157AE" w:rsidRPr="00310D17">
              <w:rPr>
                <w:b/>
                <w:color w:val="000000"/>
              </w:rPr>
              <w:t>$</w:t>
            </w:r>
            <w:r>
              <w:rPr>
                <w:b/>
                <w:color w:val="000000"/>
              </w:rPr>
              <w:t>)</w:t>
            </w:r>
          </w:p>
        </w:tc>
      </w:tr>
      <w:tr w:rsidR="00A157AE" w14:paraId="6ACAD00E" w14:textId="77777777" w:rsidTr="001D4329">
        <w:trPr>
          <w:trHeight w:val="288"/>
          <w:jc w:val="center"/>
        </w:trPr>
        <w:tc>
          <w:tcPr>
            <w:tcW w:w="1345" w:type="dxa"/>
            <w:tcBorders>
              <w:right w:val="nil"/>
            </w:tcBorders>
            <w:shd w:val="clear" w:color="auto" w:fill="auto"/>
            <w:vAlign w:val="center"/>
          </w:tcPr>
          <w:p w14:paraId="26C2F6B3" w14:textId="67207B95" w:rsidR="00A157AE" w:rsidRDefault="00A157AE" w:rsidP="00AB4754">
            <w:pPr>
              <w:pStyle w:val="ExhibitText"/>
              <w:jc w:val="left"/>
              <w:rPr>
                <w:b/>
                <w:color w:val="000000"/>
              </w:rPr>
            </w:pPr>
            <w:r>
              <w:rPr>
                <w:b/>
                <w:color w:val="000000"/>
              </w:rPr>
              <w:t>2012</w:t>
            </w:r>
            <w:r w:rsidR="003E27F9">
              <w:rPr>
                <w:b/>
                <w:color w:val="000000"/>
              </w:rPr>
              <w:t>–</w:t>
            </w:r>
            <w:r>
              <w:rPr>
                <w:b/>
                <w:color w:val="000000"/>
              </w:rPr>
              <w:t>13</w:t>
            </w:r>
          </w:p>
        </w:tc>
        <w:tc>
          <w:tcPr>
            <w:tcW w:w="1440" w:type="dxa"/>
            <w:tcBorders>
              <w:left w:val="nil"/>
              <w:right w:val="nil"/>
            </w:tcBorders>
            <w:shd w:val="clear" w:color="auto" w:fill="auto"/>
            <w:vAlign w:val="center"/>
          </w:tcPr>
          <w:p w14:paraId="207EF870" w14:textId="77777777" w:rsidR="00A157AE" w:rsidRDefault="00A157AE" w:rsidP="00AB4754">
            <w:pPr>
              <w:pStyle w:val="ExhibitText"/>
              <w:jc w:val="right"/>
              <w:rPr>
                <w:b/>
                <w:color w:val="000000"/>
              </w:rPr>
            </w:pPr>
          </w:p>
        </w:tc>
        <w:tc>
          <w:tcPr>
            <w:tcW w:w="1350" w:type="dxa"/>
            <w:tcBorders>
              <w:left w:val="nil"/>
              <w:right w:val="nil"/>
            </w:tcBorders>
            <w:shd w:val="clear" w:color="auto" w:fill="auto"/>
            <w:vAlign w:val="center"/>
          </w:tcPr>
          <w:p w14:paraId="420D9822" w14:textId="77777777" w:rsidR="00A157AE" w:rsidRDefault="00A157AE" w:rsidP="00AB4754">
            <w:pPr>
              <w:pStyle w:val="ExhibitText"/>
              <w:jc w:val="right"/>
            </w:pPr>
          </w:p>
        </w:tc>
        <w:tc>
          <w:tcPr>
            <w:tcW w:w="1260" w:type="dxa"/>
            <w:tcBorders>
              <w:left w:val="nil"/>
            </w:tcBorders>
            <w:shd w:val="clear" w:color="auto" w:fill="auto"/>
            <w:vAlign w:val="center"/>
          </w:tcPr>
          <w:p w14:paraId="1E923A14" w14:textId="77777777" w:rsidR="00A157AE" w:rsidRDefault="00A157AE" w:rsidP="00AB4754">
            <w:pPr>
              <w:pStyle w:val="ExhibitText"/>
              <w:jc w:val="right"/>
            </w:pPr>
          </w:p>
        </w:tc>
      </w:tr>
      <w:tr w:rsidR="00A157AE" w14:paraId="540C1410" w14:textId="77777777" w:rsidTr="00226C43">
        <w:trPr>
          <w:trHeight w:val="288"/>
          <w:jc w:val="center"/>
        </w:trPr>
        <w:tc>
          <w:tcPr>
            <w:tcW w:w="1345" w:type="dxa"/>
            <w:shd w:val="clear" w:color="auto" w:fill="auto"/>
            <w:vAlign w:val="center"/>
          </w:tcPr>
          <w:p w14:paraId="019C8B2C" w14:textId="77777777" w:rsidR="00A157AE" w:rsidRDefault="00A157AE" w:rsidP="00AB4754">
            <w:pPr>
              <w:pStyle w:val="ExhibitText"/>
              <w:jc w:val="left"/>
              <w:rPr>
                <w:color w:val="000000"/>
              </w:rPr>
            </w:pPr>
            <w:r>
              <w:rPr>
                <w:color w:val="000000"/>
              </w:rPr>
              <w:t>February</w:t>
            </w:r>
          </w:p>
        </w:tc>
        <w:tc>
          <w:tcPr>
            <w:tcW w:w="1440" w:type="dxa"/>
            <w:shd w:val="clear" w:color="auto" w:fill="auto"/>
            <w:tcMar>
              <w:left w:w="115" w:type="dxa"/>
              <w:right w:w="288" w:type="dxa"/>
            </w:tcMar>
            <w:vAlign w:val="center"/>
          </w:tcPr>
          <w:p w14:paraId="6D93C19E" w14:textId="175E4BCA" w:rsidR="00A157AE" w:rsidRDefault="00A157AE" w:rsidP="00226C43">
            <w:pPr>
              <w:pStyle w:val="ExhibitText"/>
              <w:jc w:val="center"/>
              <w:rPr>
                <w:color w:val="000000"/>
              </w:rPr>
            </w:pPr>
            <w:r>
              <w:rPr>
                <w:color w:val="000000"/>
              </w:rPr>
              <w:t>2</w:t>
            </w:r>
            <w:r w:rsidR="00133354">
              <w:rPr>
                <w:color w:val="000000"/>
              </w:rPr>
              <w:t>,</w:t>
            </w:r>
            <w:r>
              <w:rPr>
                <w:color w:val="000000"/>
              </w:rPr>
              <w:t>154</w:t>
            </w:r>
          </w:p>
        </w:tc>
        <w:tc>
          <w:tcPr>
            <w:tcW w:w="1350" w:type="dxa"/>
            <w:shd w:val="clear" w:color="auto" w:fill="auto"/>
            <w:tcMar>
              <w:left w:w="115" w:type="dxa"/>
              <w:right w:w="288" w:type="dxa"/>
            </w:tcMar>
            <w:vAlign w:val="center"/>
          </w:tcPr>
          <w:p w14:paraId="5877B1CD" w14:textId="77777777" w:rsidR="00A157AE" w:rsidRDefault="00A157AE" w:rsidP="00226C43">
            <w:pPr>
              <w:pStyle w:val="ExhibitText"/>
              <w:jc w:val="center"/>
              <w:rPr>
                <w:color w:val="000000"/>
              </w:rPr>
            </w:pPr>
            <w:r>
              <w:rPr>
                <w:color w:val="000000"/>
              </w:rPr>
              <w:t>86</w:t>
            </w:r>
          </w:p>
        </w:tc>
        <w:tc>
          <w:tcPr>
            <w:tcW w:w="1260" w:type="dxa"/>
            <w:shd w:val="clear" w:color="auto" w:fill="auto"/>
            <w:tcMar>
              <w:left w:w="115" w:type="dxa"/>
              <w:right w:w="288" w:type="dxa"/>
            </w:tcMar>
            <w:vAlign w:val="center"/>
          </w:tcPr>
          <w:p w14:paraId="02ECDDF8" w14:textId="77777777" w:rsidR="00A157AE" w:rsidRDefault="00A157AE" w:rsidP="00226C43">
            <w:pPr>
              <w:pStyle w:val="ExhibitText"/>
              <w:jc w:val="center"/>
              <w:rPr>
                <w:color w:val="000000"/>
              </w:rPr>
            </w:pPr>
            <w:r>
              <w:rPr>
                <w:color w:val="000000"/>
              </w:rPr>
              <w:t>104.45</w:t>
            </w:r>
          </w:p>
        </w:tc>
      </w:tr>
      <w:tr w:rsidR="00A157AE" w14:paraId="6A4AEC6A" w14:textId="77777777" w:rsidTr="00226C43">
        <w:trPr>
          <w:trHeight w:val="288"/>
          <w:jc w:val="center"/>
        </w:trPr>
        <w:tc>
          <w:tcPr>
            <w:tcW w:w="1345" w:type="dxa"/>
            <w:shd w:val="clear" w:color="auto" w:fill="auto"/>
            <w:vAlign w:val="center"/>
          </w:tcPr>
          <w:p w14:paraId="6E6A80A7" w14:textId="77777777" w:rsidR="00A157AE" w:rsidRDefault="00A157AE" w:rsidP="00AB4754">
            <w:pPr>
              <w:pStyle w:val="ExhibitText"/>
              <w:jc w:val="left"/>
              <w:rPr>
                <w:color w:val="000000"/>
              </w:rPr>
            </w:pPr>
            <w:r>
              <w:rPr>
                <w:color w:val="000000"/>
              </w:rPr>
              <w:t>March</w:t>
            </w:r>
          </w:p>
        </w:tc>
        <w:tc>
          <w:tcPr>
            <w:tcW w:w="1440" w:type="dxa"/>
            <w:shd w:val="clear" w:color="auto" w:fill="auto"/>
            <w:tcMar>
              <w:left w:w="115" w:type="dxa"/>
              <w:right w:w="288" w:type="dxa"/>
            </w:tcMar>
            <w:vAlign w:val="center"/>
          </w:tcPr>
          <w:p w14:paraId="06D68B85" w14:textId="178E3889" w:rsidR="00A157AE" w:rsidRDefault="00A157AE" w:rsidP="00226C43">
            <w:pPr>
              <w:pStyle w:val="ExhibitText"/>
              <w:jc w:val="center"/>
              <w:rPr>
                <w:color w:val="000000"/>
              </w:rPr>
            </w:pPr>
            <w:r>
              <w:rPr>
                <w:color w:val="000000"/>
              </w:rPr>
              <w:t>2</w:t>
            </w:r>
            <w:r w:rsidR="00133354">
              <w:rPr>
                <w:color w:val="000000"/>
              </w:rPr>
              <w:t>,</w:t>
            </w:r>
            <w:r>
              <w:rPr>
                <w:color w:val="000000"/>
              </w:rPr>
              <w:t>474</w:t>
            </w:r>
          </w:p>
        </w:tc>
        <w:tc>
          <w:tcPr>
            <w:tcW w:w="1350" w:type="dxa"/>
            <w:shd w:val="clear" w:color="auto" w:fill="auto"/>
            <w:tcMar>
              <w:left w:w="115" w:type="dxa"/>
              <w:right w:w="288" w:type="dxa"/>
            </w:tcMar>
            <w:vAlign w:val="center"/>
          </w:tcPr>
          <w:p w14:paraId="6FB322BD" w14:textId="77777777" w:rsidR="00A157AE" w:rsidRDefault="00A157AE" w:rsidP="00226C43">
            <w:pPr>
              <w:pStyle w:val="ExhibitText"/>
              <w:jc w:val="center"/>
              <w:rPr>
                <w:color w:val="000000"/>
              </w:rPr>
            </w:pPr>
            <w:r>
              <w:rPr>
                <w:color w:val="000000"/>
              </w:rPr>
              <w:t>90</w:t>
            </w:r>
          </w:p>
        </w:tc>
        <w:tc>
          <w:tcPr>
            <w:tcW w:w="1260" w:type="dxa"/>
            <w:shd w:val="clear" w:color="auto" w:fill="auto"/>
            <w:tcMar>
              <w:left w:w="115" w:type="dxa"/>
              <w:right w:w="288" w:type="dxa"/>
            </w:tcMar>
            <w:vAlign w:val="center"/>
          </w:tcPr>
          <w:p w14:paraId="46489A0E" w14:textId="77777777" w:rsidR="00A157AE" w:rsidRDefault="00A157AE" w:rsidP="00226C43">
            <w:pPr>
              <w:pStyle w:val="ExhibitText"/>
              <w:jc w:val="center"/>
              <w:rPr>
                <w:color w:val="000000"/>
              </w:rPr>
            </w:pPr>
            <w:r>
              <w:rPr>
                <w:color w:val="000000"/>
              </w:rPr>
              <w:t>108.55</w:t>
            </w:r>
          </w:p>
        </w:tc>
      </w:tr>
      <w:tr w:rsidR="00A157AE" w14:paraId="52D8130F" w14:textId="77777777" w:rsidTr="00226C43">
        <w:trPr>
          <w:trHeight w:val="288"/>
          <w:jc w:val="center"/>
        </w:trPr>
        <w:tc>
          <w:tcPr>
            <w:tcW w:w="1345" w:type="dxa"/>
            <w:shd w:val="clear" w:color="auto" w:fill="auto"/>
            <w:vAlign w:val="center"/>
          </w:tcPr>
          <w:p w14:paraId="575C9CD6" w14:textId="77777777" w:rsidR="00A157AE" w:rsidRDefault="00A157AE" w:rsidP="00AB4754">
            <w:pPr>
              <w:pStyle w:val="ExhibitText"/>
              <w:jc w:val="left"/>
              <w:rPr>
                <w:color w:val="000000"/>
              </w:rPr>
            </w:pPr>
            <w:r>
              <w:rPr>
                <w:color w:val="000000"/>
              </w:rPr>
              <w:t>April</w:t>
            </w:r>
          </w:p>
        </w:tc>
        <w:tc>
          <w:tcPr>
            <w:tcW w:w="1440" w:type="dxa"/>
            <w:shd w:val="clear" w:color="auto" w:fill="auto"/>
            <w:tcMar>
              <w:left w:w="115" w:type="dxa"/>
              <w:right w:w="288" w:type="dxa"/>
            </w:tcMar>
            <w:vAlign w:val="center"/>
          </w:tcPr>
          <w:p w14:paraId="16F9A106" w14:textId="461BA36E" w:rsidR="00A157AE" w:rsidRDefault="00A157AE" w:rsidP="00226C43">
            <w:pPr>
              <w:pStyle w:val="ExhibitText"/>
              <w:jc w:val="center"/>
              <w:rPr>
                <w:color w:val="000000"/>
              </w:rPr>
            </w:pPr>
            <w:r>
              <w:rPr>
                <w:color w:val="000000"/>
              </w:rPr>
              <w:t>1</w:t>
            </w:r>
            <w:r w:rsidR="00133354">
              <w:rPr>
                <w:color w:val="000000"/>
              </w:rPr>
              <w:t>,</w:t>
            </w:r>
            <w:r>
              <w:rPr>
                <w:color w:val="000000"/>
              </w:rPr>
              <w:t>814</w:t>
            </w:r>
          </w:p>
        </w:tc>
        <w:tc>
          <w:tcPr>
            <w:tcW w:w="1350" w:type="dxa"/>
            <w:shd w:val="clear" w:color="auto" w:fill="auto"/>
            <w:tcMar>
              <w:left w:w="115" w:type="dxa"/>
              <w:right w:w="288" w:type="dxa"/>
            </w:tcMar>
            <w:vAlign w:val="center"/>
          </w:tcPr>
          <w:p w14:paraId="01A33083" w14:textId="77777777" w:rsidR="00A157AE" w:rsidRDefault="00A157AE" w:rsidP="00226C43">
            <w:pPr>
              <w:pStyle w:val="ExhibitText"/>
              <w:jc w:val="center"/>
              <w:rPr>
                <w:color w:val="000000"/>
              </w:rPr>
            </w:pPr>
            <w:r>
              <w:rPr>
                <w:color w:val="000000"/>
              </w:rPr>
              <w:t>68</w:t>
            </w:r>
          </w:p>
        </w:tc>
        <w:tc>
          <w:tcPr>
            <w:tcW w:w="1260" w:type="dxa"/>
            <w:shd w:val="clear" w:color="auto" w:fill="auto"/>
            <w:tcMar>
              <w:left w:w="115" w:type="dxa"/>
              <w:right w:w="288" w:type="dxa"/>
            </w:tcMar>
            <w:vAlign w:val="center"/>
          </w:tcPr>
          <w:p w14:paraId="6C88B015" w14:textId="77777777" w:rsidR="00A157AE" w:rsidRDefault="00A157AE" w:rsidP="00226C43">
            <w:pPr>
              <w:pStyle w:val="ExhibitText"/>
              <w:jc w:val="center"/>
              <w:rPr>
                <w:color w:val="000000"/>
              </w:rPr>
            </w:pPr>
            <w:r>
              <w:rPr>
                <w:color w:val="000000"/>
              </w:rPr>
              <w:t>96.55</w:t>
            </w:r>
          </w:p>
        </w:tc>
      </w:tr>
      <w:tr w:rsidR="00A157AE" w14:paraId="31335A5B" w14:textId="77777777" w:rsidTr="00226C43">
        <w:trPr>
          <w:trHeight w:val="288"/>
          <w:jc w:val="center"/>
        </w:trPr>
        <w:tc>
          <w:tcPr>
            <w:tcW w:w="1345" w:type="dxa"/>
            <w:shd w:val="clear" w:color="auto" w:fill="auto"/>
            <w:vAlign w:val="center"/>
          </w:tcPr>
          <w:p w14:paraId="46600E60" w14:textId="77777777" w:rsidR="00A157AE" w:rsidRDefault="00A157AE" w:rsidP="00AB4754">
            <w:pPr>
              <w:pStyle w:val="ExhibitText"/>
              <w:jc w:val="left"/>
              <w:rPr>
                <w:color w:val="000000"/>
              </w:rPr>
            </w:pPr>
            <w:r>
              <w:rPr>
                <w:color w:val="000000"/>
              </w:rPr>
              <w:t>May</w:t>
            </w:r>
          </w:p>
        </w:tc>
        <w:tc>
          <w:tcPr>
            <w:tcW w:w="1440" w:type="dxa"/>
            <w:shd w:val="clear" w:color="auto" w:fill="auto"/>
            <w:tcMar>
              <w:left w:w="115" w:type="dxa"/>
              <w:right w:w="288" w:type="dxa"/>
            </w:tcMar>
            <w:vAlign w:val="center"/>
          </w:tcPr>
          <w:p w14:paraId="6E14503D" w14:textId="2D598DA0" w:rsidR="00A157AE" w:rsidRDefault="00A157AE" w:rsidP="00226C43">
            <w:pPr>
              <w:pStyle w:val="ExhibitText"/>
              <w:jc w:val="center"/>
              <w:rPr>
                <w:color w:val="000000"/>
              </w:rPr>
            </w:pPr>
            <w:r>
              <w:rPr>
                <w:color w:val="000000"/>
              </w:rPr>
              <w:t>2</w:t>
            </w:r>
            <w:r w:rsidR="00133354">
              <w:rPr>
                <w:color w:val="000000"/>
              </w:rPr>
              <w:t>,</w:t>
            </w:r>
            <w:r>
              <w:rPr>
                <w:color w:val="000000"/>
              </w:rPr>
              <w:t>076</w:t>
            </w:r>
          </w:p>
        </w:tc>
        <w:tc>
          <w:tcPr>
            <w:tcW w:w="1350" w:type="dxa"/>
            <w:shd w:val="clear" w:color="auto" w:fill="auto"/>
            <w:tcMar>
              <w:left w:w="115" w:type="dxa"/>
              <w:right w:w="288" w:type="dxa"/>
            </w:tcMar>
            <w:vAlign w:val="center"/>
          </w:tcPr>
          <w:p w14:paraId="1C572C6C" w14:textId="77777777" w:rsidR="00A157AE" w:rsidRDefault="00A157AE" w:rsidP="00226C43">
            <w:pPr>
              <w:pStyle w:val="ExhibitText"/>
              <w:jc w:val="center"/>
              <w:rPr>
                <w:color w:val="000000"/>
              </w:rPr>
            </w:pPr>
            <w:r>
              <w:rPr>
                <w:color w:val="000000"/>
              </w:rPr>
              <w:t>75</w:t>
            </w:r>
          </w:p>
        </w:tc>
        <w:tc>
          <w:tcPr>
            <w:tcW w:w="1260" w:type="dxa"/>
            <w:shd w:val="clear" w:color="auto" w:fill="auto"/>
            <w:tcMar>
              <w:left w:w="115" w:type="dxa"/>
              <w:right w:w="288" w:type="dxa"/>
            </w:tcMar>
            <w:vAlign w:val="center"/>
          </w:tcPr>
          <w:p w14:paraId="574FF33D" w14:textId="77777777" w:rsidR="00A157AE" w:rsidRDefault="00A157AE" w:rsidP="00226C43">
            <w:pPr>
              <w:pStyle w:val="ExhibitText"/>
              <w:jc w:val="center"/>
              <w:rPr>
                <w:color w:val="000000"/>
              </w:rPr>
            </w:pPr>
            <w:r>
              <w:rPr>
                <w:color w:val="000000"/>
              </w:rPr>
              <w:t>111.91</w:t>
            </w:r>
          </w:p>
        </w:tc>
      </w:tr>
      <w:tr w:rsidR="00A157AE" w14:paraId="10575258" w14:textId="77777777" w:rsidTr="00226C43">
        <w:trPr>
          <w:trHeight w:val="288"/>
          <w:jc w:val="center"/>
        </w:trPr>
        <w:tc>
          <w:tcPr>
            <w:tcW w:w="1345" w:type="dxa"/>
            <w:shd w:val="clear" w:color="auto" w:fill="auto"/>
            <w:vAlign w:val="center"/>
          </w:tcPr>
          <w:p w14:paraId="1A1E1DD1" w14:textId="77777777" w:rsidR="00A157AE" w:rsidRDefault="00A157AE" w:rsidP="00AB4754">
            <w:pPr>
              <w:pStyle w:val="ExhibitText"/>
              <w:jc w:val="left"/>
              <w:rPr>
                <w:color w:val="000000"/>
              </w:rPr>
            </w:pPr>
            <w:r>
              <w:rPr>
                <w:color w:val="000000"/>
              </w:rPr>
              <w:t>June</w:t>
            </w:r>
          </w:p>
        </w:tc>
        <w:tc>
          <w:tcPr>
            <w:tcW w:w="1440" w:type="dxa"/>
            <w:shd w:val="clear" w:color="auto" w:fill="auto"/>
            <w:tcMar>
              <w:left w:w="115" w:type="dxa"/>
              <w:right w:w="288" w:type="dxa"/>
            </w:tcMar>
            <w:vAlign w:val="center"/>
          </w:tcPr>
          <w:p w14:paraId="106A9CB7" w14:textId="5F9B04B8" w:rsidR="00A157AE" w:rsidRDefault="00A157AE" w:rsidP="00226C43">
            <w:pPr>
              <w:pStyle w:val="ExhibitText"/>
              <w:jc w:val="center"/>
              <w:rPr>
                <w:color w:val="000000"/>
              </w:rPr>
            </w:pPr>
            <w:r>
              <w:rPr>
                <w:color w:val="000000"/>
              </w:rPr>
              <w:t>1</w:t>
            </w:r>
            <w:r w:rsidR="00133354">
              <w:rPr>
                <w:color w:val="000000"/>
              </w:rPr>
              <w:t>,</w:t>
            </w:r>
            <w:r>
              <w:rPr>
                <w:color w:val="000000"/>
              </w:rPr>
              <w:t>956</w:t>
            </w:r>
          </w:p>
        </w:tc>
        <w:tc>
          <w:tcPr>
            <w:tcW w:w="1350" w:type="dxa"/>
            <w:shd w:val="clear" w:color="auto" w:fill="auto"/>
            <w:tcMar>
              <w:left w:w="115" w:type="dxa"/>
              <w:right w:w="288" w:type="dxa"/>
            </w:tcMar>
            <w:vAlign w:val="center"/>
          </w:tcPr>
          <w:p w14:paraId="650ADE63" w14:textId="77777777" w:rsidR="00A157AE" w:rsidRDefault="00A157AE" w:rsidP="00226C43">
            <w:pPr>
              <w:pStyle w:val="ExhibitText"/>
              <w:jc w:val="center"/>
              <w:rPr>
                <w:color w:val="000000"/>
              </w:rPr>
            </w:pPr>
            <w:r>
              <w:rPr>
                <w:color w:val="000000"/>
              </w:rPr>
              <w:t>73</w:t>
            </w:r>
          </w:p>
        </w:tc>
        <w:tc>
          <w:tcPr>
            <w:tcW w:w="1260" w:type="dxa"/>
            <w:shd w:val="clear" w:color="auto" w:fill="auto"/>
            <w:tcMar>
              <w:left w:w="115" w:type="dxa"/>
              <w:right w:w="288" w:type="dxa"/>
            </w:tcMar>
            <w:vAlign w:val="center"/>
          </w:tcPr>
          <w:p w14:paraId="6D0267DC" w14:textId="77777777" w:rsidR="00A157AE" w:rsidRDefault="00A157AE" w:rsidP="00226C43">
            <w:pPr>
              <w:pStyle w:val="ExhibitText"/>
              <w:jc w:val="center"/>
              <w:rPr>
                <w:color w:val="000000"/>
              </w:rPr>
            </w:pPr>
            <w:r>
              <w:rPr>
                <w:color w:val="000000"/>
              </w:rPr>
              <w:t>156.19</w:t>
            </w:r>
          </w:p>
        </w:tc>
      </w:tr>
      <w:tr w:rsidR="00A157AE" w14:paraId="59AC522B" w14:textId="77777777" w:rsidTr="00226C43">
        <w:trPr>
          <w:trHeight w:val="288"/>
          <w:jc w:val="center"/>
        </w:trPr>
        <w:tc>
          <w:tcPr>
            <w:tcW w:w="1345" w:type="dxa"/>
            <w:shd w:val="clear" w:color="auto" w:fill="auto"/>
            <w:vAlign w:val="center"/>
          </w:tcPr>
          <w:p w14:paraId="00FEB158" w14:textId="77777777" w:rsidR="00A157AE" w:rsidRDefault="00A157AE" w:rsidP="00AB4754">
            <w:pPr>
              <w:pStyle w:val="ExhibitText"/>
              <w:jc w:val="left"/>
              <w:rPr>
                <w:color w:val="000000"/>
              </w:rPr>
            </w:pPr>
            <w:r>
              <w:rPr>
                <w:color w:val="000000"/>
              </w:rPr>
              <w:t>July</w:t>
            </w:r>
          </w:p>
        </w:tc>
        <w:tc>
          <w:tcPr>
            <w:tcW w:w="1440" w:type="dxa"/>
            <w:shd w:val="clear" w:color="auto" w:fill="auto"/>
            <w:tcMar>
              <w:left w:w="115" w:type="dxa"/>
              <w:right w:w="288" w:type="dxa"/>
            </w:tcMar>
            <w:vAlign w:val="center"/>
          </w:tcPr>
          <w:p w14:paraId="45E6395C" w14:textId="5910FFA0" w:rsidR="00A157AE" w:rsidRDefault="00A157AE" w:rsidP="00226C43">
            <w:pPr>
              <w:pStyle w:val="ExhibitText"/>
              <w:jc w:val="center"/>
              <w:rPr>
                <w:color w:val="000000"/>
              </w:rPr>
            </w:pPr>
            <w:r>
              <w:rPr>
                <w:color w:val="000000"/>
              </w:rPr>
              <w:t>2</w:t>
            </w:r>
            <w:r w:rsidR="00133354">
              <w:rPr>
                <w:color w:val="000000"/>
              </w:rPr>
              <w:t>,</w:t>
            </w:r>
            <w:r>
              <w:rPr>
                <w:color w:val="000000"/>
              </w:rPr>
              <w:t>513</w:t>
            </w:r>
          </w:p>
        </w:tc>
        <w:tc>
          <w:tcPr>
            <w:tcW w:w="1350" w:type="dxa"/>
            <w:shd w:val="clear" w:color="auto" w:fill="auto"/>
            <w:tcMar>
              <w:left w:w="115" w:type="dxa"/>
              <w:right w:w="288" w:type="dxa"/>
            </w:tcMar>
            <w:vAlign w:val="center"/>
          </w:tcPr>
          <w:p w14:paraId="2C3367B3" w14:textId="77777777" w:rsidR="00A157AE" w:rsidRDefault="00A157AE" w:rsidP="00226C43">
            <w:pPr>
              <w:pStyle w:val="ExhibitText"/>
              <w:jc w:val="center"/>
              <w:rPr>
                <w:color w:val="000000"/>
              </w:rPr>
            </w:pPr>
            <w:r>
              <w:rPr>
                <w:color w:val="000000"/>
              </w:rPr>
              <w:t>91</w:t>
            </w:r>
          </w:p>
        </w:tc>
        <w:tc>
          <w:tcPr>
            <w:tcW w:w="1260" w:type="dxa"/>
            <w:shd w:val="clear" w:color="auto" w:fill="auto"/>
            <w:tcMar>
              <w:left w:w="115" w:type="dxa"/>
              <w:right w:w="288" w:type="dxa"/>
            </w:tcMar>
            <w:vAlign w:val="center"/>
          </w:tcPr>
          <w:p w14:paraId="4B1E04D6" w14:textId="77777777" w:rsidR="00A157AE" w:rsidRDefault="00A157AE" w:rsidP="00226C43">
            <w:pPr>
              <w:pStyle w:val="ExhibitText"/>
              <w:jc w:val="center"/>
              <w:rPr>
                <w:color w:val="000000"/>
              </w:rPr>
            </w:pPr>
            <w:r>
              <w:rPr>
                <w:color w:val="000000"/>
              </w:rPr>
              <w:t>171.91</w:t>
            </w:r>
          </w:p>
        </w:tc>
      </w:tr>
      <w:tr w:rsidR="00A157AE" w14:paraId="24E715B2" w14:textId="77777777" w:rsidTr="00226C43">
        <w:trPr>
          <w:trHeight w:val="288"/>
          <w:jc w:val="center"/>
        </w:trPr>
        <w:tc>
          <w:tcPr>
            <w:tcW w:w="1345" w:type="dxa"/>
            <w:shd w:val="clear" w:color="auto" w:fill="auto"/>
            <w:vAlign w:val="center"/>
          </w:tcPr>
          <w:p w14:paraId="42D91FF3" w14:textId="77777777" w:rsidR="00A157AE" w:rsidRDefault="00A157AE" w:rsidP="00AB4754">
            <w:pPr>
              <w:pStyle w:val="ExhibitText"/>
              <w:jc w:val="left"/>
              <w:rPr>
                <w:color w:val="000000"/>
              </w:rPr>
            </w:pPr>
            <w:r>
              <w:rPr>
                <w:color w:val="000000"/>
              </w:rPr>
              <w:t>August</w:t>
            </w:r>
          </w:p>
        </w:tc>
        <w:tc>
          <w:tcPr>
            <w:tcW w:w="1440" w:type="dxa"/>
            <w:shd w:val="clear" w:color="auto" w:fill="auto"/>
            <w:tcMar>
              <w:left w:w="115" w:type="dxa"/>
              <w:right w:w="288" w:type="dxa"/>
            </w:tcMar>
            <w:vAlign w:val="center"/>
          </w:tcPr>
          <w:p w14:paraId="1EAB8F70" w14:textId="7C2B95D5" w:rsidR="00A157AE" w:rsidRDefault="00A157AE" w:rsidP="00226C43">
            <w:pPr>
              <w:pStyle w:val="ExhibitText"/>
              <w:jc w:val="center"/>
              <w:rPr>
                <w:color w:val="000000"/>
              </w:rPr>
            </w:pPr>
            <w:r>
              <w:rPr>
                <w:color w:val="000000"/>
              </w:rPr>
              <w:t>2</w:t>
            </w:r>
            <w:r w:rsidR="00133354">
              <w:rPr>
                <w:color w:val="000000"/>
              </w:rPr>
              <w:t>,</w:t>
            </w:r>
            <w:r>
              <w:rPr>
                <w:color w:val="000000"/>
              </w:rPr>
              <w:t>635</w:t>
            </w:r>
          </w:p>
        </w:tc>
        <w:tc>
          <w:tcPr>
            <w:tcW w:w="1350" w:type="dxa"/>
            <w:shd w:val="clear" w:color="auto" w:fill="auto"/>
            <w:tcMar>
              <w:left w:w="115" w:type="dxa"/>
              <w:right w:w="288" w:type="dxa"/>
            </w:tcMar>
            <w:vAlign w:val="center"/>
          </w:tcPr>
          <w:p w14:paraId="36AA6D37" w14:textId="77777777" w:rsidR="00A157AE" w:rsidRDefault="00A157AE" w:rsidP="00226C43">
            <w:pPr>
              <w:pStyle w:val="ExhibitText"/>
              <w:jc w:val="center"/>
              <w:rPr>
                <w:color w:val="000000"/>
              </w:rPr>
            </w:pPr>
            <w:r>
              <w:rPr>
                <w:color w:val="000000"/>
              </w:rPr>
              <w:t>96</w:t>
            </w:r>
          </w:p>
        </w:tc>
        <w:tc>
          <w:tcPr>
            <w:tcW w:w="1260" w:type="dxa"/>
            <w:shd w:val="clear" w:color="auto" w:fill="auto"/>
            <w:tcMar>
              <w:left w:w="115" w:type="dxa"/>
              <w:right w:w="288" w:type="dxa"/>
            </w:tcMar>
            <w:vAlign w:val="center"/>
          </w:tcPr>
          <w:p w14:paraId="432CB34B" w14:textId="77777777" w:rsidR="00A157AE" w:rsidRDefault="00A157AE" w:rsidP="00226C43">
            <w:pPr>
              <w:pStyle w:val="ExhibitText"/>
              <w:jc w:val="center"/>
              <w:rPr>
                <w:color w:val="000000"/>
              </w:rPr>
            </w:pPr>
            <w:r>
              <w:rPr>
                <w:color w:val="000000"/>
              </w:rPr>
              <w:t>174.58</w:t>
            </w:r>
          </w:p>
        </w:tc>
      </w:tr>
      <w:tr w:rsidR="00A157AE" w14:paraId="1DA1B1DB" w14:textId="77777777" w:rsidTr="00226C43">
        <w:trPr>
          <w:trHeight w:val="288"/>
          <w:jc w:val="center"/>
        </w:trPr>
        <w:tc>
          <w:tcPr>
            <w:tcW w:w="1345" w:type="dxa"/>
            <w:shd w:val="clear" w:color="auto" w:fill="auto"/>
            <w:vAlign w:val="center"/>
          </w:tcPr>
          <w:p w14:paraId="50381226" w14:textId="77777777" w:rsidR="00A157AE" w:rsidRDefault="00A157AE" w:rsidP="00AB4754">
            <w:pPr>
              <w:pStyle w:val="ExhibitText"/>
              <w:jc w:val="left"/>
              <w:rPr>
                <w:color w:val="000000"/>
              </w:rPr>
            </w:pPr>
            <w:r>
              <w:rPr>
                <w:color w:val="000000"/>
              </w:rPr>
              <w:t>September</w:t>
            </w:r>
          </w:p>
        </w:tc>
        <w:tc>
          <w:tcPr>
            <w:tcW w:w="1440" w:type="dxa"/>
            <w:shd w:val="clear" w:color="auto" w:fill="auto"/>
            <w:tcMar>
              <w:left w:w="115" w:type="dxa"/>
              <w:right w:w="288" w:type="dxa"/>
            </w:tcMar>
            <w:vAlign w:val="center"/>
          </w:tcPr>
          <w:p w14:paraId="121D1665" w14:textId="2F1FFE1F" w:rsidR="00A157AE" w:rsidRDefault="00A157AE" w:rsidP="00226C43">
            <w:pPr>
              <w:pStyle w:val="ExhibitText"/>
              <w:jc w:val="center"/>
              <w:rPr>
                <w:color w:val="000000"/>
              </w:rPr>
            </w:pPr>
            <w:r>
              <w:rPr>
                <w:color w:val="000000"/>
              </w:rPr>
              <w:t>2</w:t>
            </w:r>
            <w:r w:rsidR="00133354">
              <w:rPr>
                <w:color w:val="000000"/>
              </w:rPr>
              <w:t>,</w:t>
            </w:r>
            <w:r>
              <w:rPr>
                <w:color w:val="000000"/>
              </w:rPr>
              <w:t>302</w:t>
            </w:r>
          </w:p>
        </w:tc>
        <w:tc>
          <w:tcPr>
            <w:tcW w:w="1350" w:type="dxa"/>
            <w:shd w:val="clear" w:color="auto" w:fill="auto"/>
            <w:tcMar>
              <w:left w:w="115" w:type="dxa"/>
              <w:right w:w="288" w:type="dxa"/>
            </w:tcMar>
            <w:vAlign w:val="center"/>
          </w:tcPr>
          <w:p w14:paraId="00F0EB53" w14:textId="77777777" w:rsidR="00A157AE" w:rsidRDefault="00A157AE" w:rsidP="00226C43">
            <w:pPr>
              <w:pStyle w:val="ExhibitText"/>
              <w:jc w:val="center"/>
              <w:rPr>
                <w:color w:val="000000"/>
              </w:rPr>
            </w:pPr>
            <w:r>
              <w:rPr>
                <w:color w:val="000000"/>
              </w:rPr>
              <w:t>86</w:t>
            </w:r>
          </w:p>
        </w:tc>
        <w:tc>
          <w:tcPr>
            <w:tcW w:w="1260" w:type="dxa"/>
            <w:shd w:val="clear" w:color="auto" w:fill="auto"/>
            <w:tcMar>
              <w:left w:w="115" w:type="dxa"/>
              <w:right w:w="288" w:type="dxa"/>
            </w:tcMar>
            <w:vAlign w:val="center"/>
          </w:tcPr>
          <w:p w14:paraId="35807F55" w14:textId="77777777" w:rsidR="00A157AE" w:rsidRDefault="00A157AE" w:rsidP="00226C43">
            <w:pPr>
              <w:pStyle w:val="ExhibitText"/>
              <w:jc w:val="center"/>
              <w:rPr>
                <w:color w:val="000000"/>
              </w:rPr>
            </w:pPr>
            <w:r>
              <w:rPr>
                <w:color w:val="000000"/>
              </w:rPr>
              <w:t>163.91</w:t>
            </w:r>
          </w:p>
        </w:tc>
      </w:tr>
      <w:tr w:rsidR="00A157AE" w14:paraId="47B74AA1" w14:textId="77777777" w:rsidTr="00226C43">
        <w:trPr>
          <w:trHeight w:val="288"/>
          <w:jc w:val="center"/>
        </w:trPr>
        <w:tc>
          <w:tcPr>
            <w:tcW w:w="1345" w:type="dxa"/>
            <w:shd w:val="clear" w:color="auto" w:fill="auto"/>
            <w:vAlign w:val="center"/>
          </w:tcPr>
          <w:p w14:paraId="5F30D28F" w14:textId="77777777" w:rsidR="00A157AE" w:rsidRDefault="00A157AE" w:rsidP="00AB4754">
            <w:pPr>
              <w:pStyle w:val="ExhibitText"/>
              <w:jc w:val="left"/>
              <w:rPr>
                <w:color w:val="000000"/>
              </w:rPr>
            </w:pPr>
            <w:r>
              <w:rPr>
                <w:color w:val="000000"/>
              </w:rPr>
              <w:t>October</w:t>
            </w:r>
          </w:p>
        </w:tc>
        <w:tc>
          <w:tcPr>
            <w:tcW w:w="1440" w:type="dxa"/>
            <w:shd w:val="clear" w:color="auto" w:fill="auto"/>
            <w:tcMar>
              <w:left w:w="115" w:type="dxa"/>
              <w:right w:w="288" w:type="dxa"/>
            </w:tcMar>
            <w:vAlign w:val="center"/>
          </w:tcPr>
          <w:p w14:paraId="6F0A9409" w14:textId="7964BAE8" w:rsidR="00A157AE" w:rsidRDefault="00A157AE" w:rsidP="00226C43">
            <w:pPr>
              <w:pStyle w:val="ExhibitText"/>
              <w:jc w:val="center"/>
              <w:rPr>
                <w:color w:val="000000"/>
              </w:rPr>
            </w:pPr>
            <w:r>
              <w:rPr>
                <w:color w:val="000000"/>
              </w:rPr>
              <w:t>1</w:t>
            </w:r>
            <w:r w:rsidR="00133354">
              <w:rPr>
                <w:color w:val="000000"/>
              </w:rPr>
              <w:t>,</w:t>
            </w:r>
            <w:r>
              <w:rPr>
                <w:color w:val="000000"/>
              </w:rPr>
              <w:t>650</w:t>
            </w:r>
          </w:p>
        </w:tc>
        <w:tc>
          <w:tcPr>
            <w:tcW w:w="1350" w:type="dxa"/>
            <w:shd w:val="clear" w:color="auto" w:fill="auto"/>
            <w:tcMar>
              <w:left w:w="115" w:type="dxa"/>
              <w:right w:w="288" w:type="dxa"/>
            </w:tcMar>
            <w:vAlign w:val="center"/>
          </w:tcPr>
          <w:p w14:paraId="03DE002E" w14:textId="77777777" w:rsidR="00A157AE" w:rsidRDefault="00A157AE" w:rsidP="00226C43">
            <w:pPr>
              <w:pStyle w:val="ExhibitText"/>
              <w:jc w:val="center"/>
              <w:rPr>
                <w:color w:val="000000"/>
              </w:rPr>
            </w:pPr>
            <w:r>
              <w:rPr>
                <w:color w:val="000000"/>
              </w:rPr>
              <w:t>60</w:t>
            </w:r>
          </w:p>
        </w:tc>
        <w:tc>
          <w:tcPr>
            <w:tcW w:w="1260" w:type="dxa"/>
            <w:shd w:val="clear" w:color="auto" w:fill="auto"/>
            <w:tcMar>
              <w:left w:w="115" w:type="dxa"/>
              <w:right w:w="288" w:type="dxa"/>
            </w:tcMar>
            <w:vAlign w:val="center"/>
          </w:tcPr>
          <w:p w14:paraId="76B98F31" w14:textId="77777777" w:rsidR="00A157AE" w:rsidRDefault="00A157AE" w:rsidP="00226C43">
            <w:pPr>
              <w:pStyle w:val="ExhibitText"/>
              <w:jc w:val="center"/>
              <w:rPr>
                <w:color w:val="000000"/>
              </w:rPr>
            </w:pPr>
            <w:r>
              <w:rPr>
                <w:color w:val="000000"/>
              </w:rPr>
              <w:t>109.86</w:t>
            </w:r>
          </w:p>
        </w:tc>
      </w:tr>
      <w:tr w:rsidR="00A157AE" w14:paraId="3C118123" w14:textId="77777777" w:rsidTr="00226C43">
        <w:trPr>
          <w:trHeight w:val="288"/>
          <w:jc w:val="center"/>
        </w:trPr>
        <w:tc>
          <w:tcPr>
            <w:tcW w:w="1345" w:type="dxa"/>
            <w:shd w:val="clear" w:color="auto" w:fill="auto"/>
            <w:vAlign w:val="center"/>
          </w:tcPr>
          <w:p w14:paraId="5DB6D7D5" w14:textId="77777777" w:rsidR="00A157AE" w:rsidRDefault="00A157AE" w:rsidP="00AB4754">
            <w:pPr>
              <w:pStyle w:val="ExhibitText"/>
              <w:jc w:val="left"/>
              <w:rPr>
                <w:color w:val="000000"/>
              </w:rPr>
            </w:pPr>
            <w:r>
              <w:rPr>
                <w:color w:val="000000"/>
              </w:rPr>
              <w:t>November</w:t>
            </w:r>
          </w:p>
        </w:tc>
        <w:tc>
          <w:tcPr>
            <w:tcW w:w="1440" w:type="dxa"/>
            <w:shd w:val="clear" w:color="auto" w:fill="auto"/>
            <w:tcMar>
              <w:left w:w="115" w:type="dxa"/>
              <w:right w:w="288" w:type="dxa"/>
            </w:tcMar>
            <w:vAlign w:val="center"/>
          </w:tcPr>
          <w:p w14:paraId="4A82DBF2" w14:textId="286359B5" w:rsidR="00A157AE" w:rsidRDefault="00A157AE" w:rsidP="00226C43">
            <w:pPr>
              <w:pStyle w:val="ExhibitText"/>
              <w:jc w:val="center"/>
              <w:rPr>
                <w:color w:val="000000"/>
              </w:rPr>
            </w:pPr>
            <w:r>
              <w:rPr>
                <w:color w:val="000000"/>
              </w:rPr>
              <w:t>1</w:t>
            </w:r>
            <w:r w:rsidR="00133354">
              <w:rPr>
                <w:color w:val="000000"/>
              </w:rPr>
              <w:t>,</w:t>
            </w:r>
            <w:r>
              <w:rPr>
                <w:color w:val="000000"/>
              </w:rPr>
              <w:t>373</w:t>
            </w:r>
          </w:p>
        </w:tc>
        <w:tc>
          <w:tcPr>
            <w:tcW w:w="1350" w:type="dxa"/>
            <w:shd w:val="clear" w:color="auto" w:fill="auto"/>
            <w:tcMar>
              <w:left w:w="115" w:type="dxa"/>
              <w:right w:w="288" w:type="dxa"/>
            </w:tcMar>
            <w:vAlign w:val="center"/>
          </w:tcPr>
          <w:p w14:paraId="193CBD64" w14:textId="77777777" w:rsidR="00A157AE" w:rsidRDefault="00A157AE" w:rsidP="00226C43">
            <w:pPr>
              <w:pStyle w:val="ExhibitText"/>
              <w:jc w:val="center"/>
              <w:rPr>
                <w:color w:val="000000"/>
              </w:rPr>
            </w:pPr>
            <w:r>
              <w:rPr>
                <w:color w:val="000000"/>
              </w:rPr>
              <w:t>51</w:t>
            </w:r>
          </w:p>
        </w:tc>
        <w:tc>
          <w:tcPr>
            <w:tcW w:w="1260" w:type="dxa"/>
            <w:shd w:val="clear" w:color="auto" w:fill="auto"/>
            <w:tcMar>
              <w:left w:w="115" w:type="dxa"/>
              <w:right w:w="288" w:type="dxa"/>
            </w:tcMar>
            <w:vAlign w:val="center"/>
          </w:tcPr>
          <w:p w14:paraId="4A3A5D13" w14:textId="77777777" w:rsidR="00A157AE" w:rsidRDefault="00A157AE" w:rsidP="00226C43">
            <w:pPr>
              <w:pStyle w:val="ExhibitText"/>
              <w:jc w:val="center"/>
              <w:rPr>
                <w:color w:val="000000"/>
              </w:rPr>
            </w:pPr>
            <w:r>
              <w:rPr>
                <w:color w:val="000000"/>
              </w:rPr>
              <w:t>96.79</w:t>
            </w:r>
          </w:p>
        </w:tc>
      </w:tr>
      <w:tr w:rsidR="00A157AE" w14:paraId="0651DD3F" w14:textId="77777777" w:rsidTr="00226C43">
        <w:trPr>
          <w:trHeight w:val="288"/>
          <w:jc w:val="center"/>
        </w:trPr>
        <w:tc>
          <w:tcPr>
            <w:tcW w:w="1345" w:type="dxa"/>
            <w:shd w:val="clear" w:color="auto" w:fill="auto"/>
            <w:vAlign w:val="center"/>
          </w:tcPr>
          <w:p w14:paraId="0693F063" w14:textId="77777777" w:rsidR="00A157AE" w:rsidRDefault="00A157AE" w:rsidP="00AB4754">
            <w:pPr>
              <w:pStyle w:val="ExhibitText"/>
              <w:jc w:val="left"/>
              <w:rPr>
                <w:color w:val="000000"/>
              </w:rPr>
            </w:pPr>
            <w:r>
              <w:rPr>
                <w:color w:val="000000"/>
              </w:rPr>
              <w:t>December</w:t>
            </w:r>
          </w:p>
        </w:tc>
        <w:tc>
          <w:tcPr>
            <w:tcW w:w="1440" w:type="dxa"/>
            <w:shd w:val="clear" w:color="auto" w:fill="auto"/>
            <w:tcMar>
              <w:left w:w="115" w:type="dxa"/>
              <w:right w:w="288" w:type="dxa"/>
            </w:tcMar>
            <w:vAlign w:val="center"/>
          </w:tcPr>
          <w:p w14:paraId="7479C32E" w14:textId="06753F50" w:rsidR="00A157AE" w:rsidRDefault="00A157AE" w:rsidP="00226C43">
            <w:pPr>
              <w:pStyle w:val="ExhibitText"/>
              <w:jc w:val="center"/>
              <w:rPr>
                <w:color w:val="000000"/>
              </w:rPr>
            </w:pPr>
            <w:r>
              <w:rPr>
                <w:color w:val="000000"/>
              </w:rPr>
              <w:t>1</w:t>
            </w:r>
            <w:r w:rsidR="00133354">
              <w:rPr>
                <w:color w:val="000000"/>
              </w:rPr>
              <w:t>,</w:t>
            </w:r>
            <w:r>
              <w:rPr>
                <w:color w:val="000000"/>
              </w:rPr>
              <w:t>602</w:t>
            </w:r>
          </w:p>
        </w:tc>
        <w:tc>
          <w:tcPr>
            <w:tcW w:w="1350" w:type="dxa"/>
            <w:shd w:val="clear" w:color="auto" w:fill="auto"/>
            <w:tcMar>
              <w:left w:w="115" w:type="dxa"/>
              <w:right w:w="288" w:type="dxa"/>
            </w:tcMar>
            <w:vAlign w:val="center"/>
          </w:tcPr>
          <w:p w14:paraId="7E41A4E8" w14:textId="77777777" w:rsidR="00A157AE" w:rsidRDefault="00A157AE" w:rsidP="00226C43">
            <w:pPr>
              <w:pStyle w:val="ExhibitText"/>
              <w:jc w:val="center"/>
              <w:rPr>
                <w:color w:val="000000"/>
              </w:rPr>
            </w:pPr>
            <w:r>
              <w:rPr>
                <w:color w:val="000000"/>
              </w:rPr>
              <w:t>58</w:t>
            </w:r>
          </w:p>
        </w:tc>
        <w:tc>
          <w:tcPr>
            <w:tcW w:w="1260" w:type="dxa"/>
            <w:shd w:val="clear" w:color="auto" w:fill="auto"/>
            <w:tcMar>
              <w:left w:w="115" w:type="dxa"/>
              <w:right w:w="288" w:type="dxa"/>
            </w:tcMar>
            <w:vAlign w:val="center"/>
          </w:tcPr>
          <w:p w14:paraId="37605962" w14:textId="77777777" w:rsidR="00A157AE" w:rsidRDefault="00A157AE" w:rsidP="00226C43">
            <w:pPr>
              <w:pStyle w:val="ExhibitText"/>
              <w:jc w:val="center"/>
              <w:rPr>
                <w:color w:val="000000"/>
              </w:rPr>
            </w:pPr>
            <w:r>
              <w:rPr>
                <w:color w:val="000000"/>
              </w:rPr>
              <w:t>127.82</w:t>
            </w:r>
          </w:p>
        </w:tc>
      </w:tr>
      <w:tr w:rsidR="00A157AE" w14:paraId="31EBB11E" w14:textId="77777777" w:rsidTr="00226C43">
        <w:trPr>
          <w:trHeight w:val="288"/>
          <w:jc w:val="center"/>
        </w:trPr>
        <w:tc>
          <w:tcPr>
            <w:tcW w:w="1345" w:type="dxa"/>
            <w:tcBorders>
              <w:bottom w:val="single" w:sz="4" w:space="0" w:color="000000"/>
            </w:tcBorders>
            <w:shd w:val="clear" w:color="auto" w:fill="auto"/>
            <w:vAlign w:val="center"/>
          </w:tcPr>
          <w:p w14:paraId="0DA168CC" w14:textId="77777777" w:rsidR="00A157AE" w:rsidRDefault="00A157AE" w:rsidP="00AB4754">
            <w:pPr>
              <w:pStyle w:val="ExhibitText"/>
              <w:jc w:val="left"/>
              <w:rPr>
                <w:color w:val="000000"/>
              </w:rPr>
            </w:pPr>
            <w:r>
              <w:rPr>
                <w:color w:val="000000"/>
              </w:rPr>
              <w:t>January</w:t>
            </w:r>
          </w:p>
        </w:tc>
        <w:tc>
          <w:tcPr>
            <w:tcW w:w="1440" w:type="dxa"/>
            <w:tcBorders>
              <w:bottom w:val="single" w:sz="4" w:space="0" w:color="000000"/>
            </w:tcBorders>
            <w:shd w:val="clear" w:color="auto" w:fill="auto"/>
            <w:tcMar>
              <w:left w:w="115" w:type="dxa"/>
              <w:right w:w="288" w:type="dxa"/>
            </w:tcMar>
            <w:vAlign w:val="center"/>
          </w:tcPr>
          <w:p w14:paraId="043E025A" w14:textId="5B0A8946" w:rsidR="00A157AE" w:rsidRDefault="00A157AE" w:rsidP="00226C43">
            <w:pPr>
              <w:pStyle w:val="ExhibitText"/>
              <w:jc w:val="center"/>
              <w:rPr>
                <w:color w:val="000000"/>
              </w:rPr>
            </w:pPr>
            <w:r>
              <w:rPr>
                <w:color w:val="000000"/>
              </w:rPr>
              <w:t>2</w:t>
            </w:r>
            <w:r w:rsidR="00133354">
              <w:rPr>
                <w:color w:val="000000"/>
              </w:rPr>
              <w:t>,</w:t>
            </w:r>
            <w:r>
              <w:rPr>
                <w:color w:val="000000"/>
              </w:rPr>
              <w:t>069</w:t>
            </w:r>
          </w:p>
        </w:tc>
        <w:tc>
          <w:tcPr>
            <w:tcW w:w="1350" w:type="dxa"/>
            <w:tcBorders>
              <w:bottom w:val="single" w:sz="4" w:space="0" w:color="000000"/>
            </w:tcBorders>
            <w:shd w:val="clear" w:color="auto" w:fill="auto"/>
            <w:tcMar>
              <w:left w:w="115" w:type="dxa"/>
              <w:right w:w="288" w:type="dxa"/>
            </w:tcMar>
            <w:vAlign w:val="center"/>
          </w:tcPr>
          <w:p w14:paraId="59ECD890" w14:textId="77777777" w:rsidR="00A157AE" w:rsidRDefault="00A157AE" w:rsidP="00226C43">
            <w:pPr>
              <w:pStyle w:val="ExhibitText"/>
              <w:jc w:val="center"/>
              <w:rPr>
                <w:color w:val="000000"/>
              </w:rPr>
            </w:pPr>
            <w:r>
              <w:rPr>
                <w:color w:val="000000"/>
              </w:rPr>
              <w:t>75</w:t>
            </w:r>
          </w:p>
        </w:tc>
        <w:tc>
          <w:tcPr>
            <w:tcW w:w="1260" w:type="dxa"/>
            <w:tcBorders>
              <w:bottom w:val="single" w:sz="4" w:space="0" w:color="000000"/>
            </w:tcBorders>
            <w:shd w:val="clear" w:color="auto" w:fill="auto"/>
            <w:tcMar>
              <w:left w:w="115" w:type="dxa"/>
              <w:right w:w="288" w:type="dxa"/>
            </w:tcMar>
            <w:vAlign w:val="center"/>
          </w:tcPr>
          <w:p w14:paraId="6E3CEA0C" w14:textId="77777777" w:rsidR="00A157AE" w:rsidRDefault="00A157AE" w:rsidP="00226C43">
            <w:pPr>
              <w:pStyle w:val="ExhibitText"/>
              <w:jc w:val="center"/>
              <w:rPr>
                <w:color w:val="000000"/>
              </w:rPr>
            </w:pPr>
            <w:r>
              <w:rPr>
                <w:color w:val="000000"/>
              </w:rPr>
              <w:t>92.00</w:t>
            </w:r>
          </w:p>
        </w:tc>
      </w:tr>
      <w:tr w:rsidR="00A157AE" w14:paraId="1E80E8D4" w14:textId="77777777" w:rsidTr="00226C43">
        <w:trPr>
          <w:trHeight w:val="288"/>
          <w:jc w:val="center"/>
        </w:trPr>
        <w:tc>
          <w:tcPr>
            <w:tcW w:w="1345" w:type="dxa"/>
            <w:tcBorders>
              <w:right w:val="nil"/>
            </w:tcBorders>
            <w:shd w:val="clear" w:color="auto" w:fill="auto"/>
            <w:vAlign w:val="center"/>
          </w:tcPr>
          <w:p w14:paraId="39F68EF6" w14:textId="643201D5" w:rsidR="00A157AE" w:rsidRDefault="00A157AE" w:rsidP="00AB4754">
            <w:pPr>
              <w:pStyle w:val="ExhibitText"/>
              <w:jc w:val="left"/>
              <w:rPr>
                <w:b/>
                <w:color w:val="000000"/>
              </w:rPr>
            </w:pPr>
            <w:r>
              <w:rPr>
                <w:b/>
                <w:color w:val="000000"/>
              </w:rPr>
              <w:t>2013</w:t>
            </w:r>
            <w:r w:rsidR="00042F81">
              <w:rPr>
                <w:b/>
                <w:color w:val="000000"/>
              </w:rPr>
              <w:t>–</w:t>
            </w:r>
            <w:r>
              <w:rPr>
                <w:b/>
                <w:color w:val="000000"/>
              </w:rPr>
              <w:t>14</w:t>
            </w:r>
          </w:p>
        </w:tc>
        <w:tc>
          <w:tcPr>
            <w:tcW w:w="1440" w:type="dxa"/>
            <w:tcBorders>
              <w:left w:val="nil"/>
              <w:right w:val="nil"/>
            </w:tcBorders>
            <w:shd w:val="clear" w:color="auto" w:fill="auto"/>
            <w:tcMar>
              <w:left w:w="115" w:type="dxa"/>
              <w:right w:w="288" w:type="dxa"/>
            </w:tcMar>
            <w:vAlign w:val="center"/>
          </w:tcPr>
          <w:p w14:paraId="42D73CA6" w14:textId="77777777" w:rsidR="00A157AE" w:rsidRDefault="00A157AE" w:rsidP="00226C43">
            <w:pPr>
              <w:pStyle w:val="ExhibitText"/>
              <w:jc w:val="center"/>
              <w:rPr>
                <w:b/>
                <w:color w:val="000000"/>
              </w:rPr>
            </w:pPr>
          </w:p>
        </w:tc>
        <w:tc>
          <w:tcPr>
            <w:tcW w:w="1350" w:type="dxa"/>
            <w:tcBorders>
              <w:left w:val="nil"/>
              <w:right w:val="nil"/>
            </w:tcBorders>
            <w:shd w:val="clear" w:color="auto" w:fill="auto"/>
            <w:tcMar>
              <w:left w:w="115" w:type="dxa"/>
              <w:right w:w="288" w:type="dxa"/>
            </w:tcMar>
            <w:vAlign w:val="center"/>
          </w:tcPr>
          <w:p w14:paraId="563E7881" w14:textId="77777777" w:rsidR="00A157AE" w:rsidRDefault="00A157AE" w:rsidP="00226C43">
            <w:pPr>
              <w:pStyle w:val="ExhibitText"/>
              <w:jc w:val="center"/>
            </w:pPr>
          </w:p>
        </w:tc>
        <w:tc>
          <w:tcPr>
            <w:tcW w:w="1260" w:type="dxa"/>
            <w:tcBorders>
              <w:left w:val="nil"/>
            </w:tcBorders>
            <w:shd w:val="clear" w:color="auto" w:fill="auto"/>
            <w:tcMar>
              <w:left w:w="115" w:type="dxa"/>
              <w:right w:w="288" w:type="dxa"/>
            </w:tcMar>
            <w:vAlign w:val="center"/>
          </w:tcPr>
          <w:p w14:paraId="35A1E2A7" w14:textId="77777777" w:rsidR="00A157AE" w:rsidRDefault="00A157AE" w:rsidP="00226C43">
            <w:pPr>
              <w:pStyle w:val="ExhibitText"/>
              <w:jc w:val="center"/>
            </w:pPr>
          </w:p>
        </w:tc>
      </w:tr>
      <w:tr w:rsidR="00A157AE" w14:paraId="5AD1A96F" w14:textId="77777777" w:rsidTr="00226C43">
        <w:trPr>
          <w:trHeight w:val="288"/>
          <w:jc w:val="center"/>
        </w:trPr>
        <w:tc>
          <w:tcPr>
            <w:tcW w:w="1345" w:type="dxa"/>
            <w:shd w:val="clear" w:color="auto" w:fill="auto"/>
            <w:vAlign w:val="center"/>
          </w:tcPr>
          <w:p w14:paraId="5270BD6B" w14:textId="77777777" w:rsidR="00A157AE" w:rsidRDefault="00A157AE" w:rsidP="00AB4754">
            <w:pPr>
              <w:pStyle w:val="ExhibitText"/>
              <w:jc w:val="left"/>
              <w:rPr>
                <w:color w:val="000000"/>
              </w:rPr>
            </w:pPr>
            <w:r>
              <w:rPr>
                <w:color w:val="000000"/>
              </w:rPr>
              <w:t>February</w:t>
            </w:r>
          </w:p>
        </w:tc>
        <w:tc>
          <w:tcPr>
            <w:tcW w:w="1440" w:type="dxa"/>
            <w:shd w:val="clear" w:color="auto" w:fill="auto"/>
            <w:tcMar>
              <w:left w:w="115" w:type="dxa"/>
              <w:right w:w="288" w:type="dxa"/>
            </w:tcMar>
            <w:vAlign w:val="center"/>
          </w:tcPr>
          <w:p w14:paraId="4A1F98BF" w14:textId="3E411886" w:rsidR="00A157AE" w:rsidRDefault="00A157AE" w:rsidP="00226C43">
            <w:pPr>
              <w:pStyle w:val="ExhibitText"/>
              <w:jc w:val="center"/>
              <w:rPr>
                <w:color w:val="000000"/>
              </w:rPr>
            </w:pPr>
            <w:r>
              <w:rPr>
                <w:color w:val="000000"/>
              </w:rPr>
              <w:t>1</w:t>
            </w:r>
            <w:r w:rsidR="00133354">
              <w:rPr>
                <w:color w:val="000000"/>
              </w:rPr>
              <w:t>,</w:t>
            </w:r>
            <w:r>
              <w:rPr>
                <w:color w:val="000000"/>
              </w:rPr>
              <w:t>958</w:t>
            </w:r>
          </w:p>
        </w:tc>
        <w:tc>
          <w:tcPr>
            <w:tcW w:w="1350" w:type="dxa"/>
            <w:shd w:val="clear" w:color="auto" w:fill="auto"/>
            <w:tcMar>
              <w:left w:w="115" w:type="dxa"/>
              <w:right w:w="288" w:type="dxa"/>
            </w:tcMar>
            <w:vAlign w:val="center"/>
          </w:tcPr>
          <w:p w14:paraId="3933C049" w14:textId="77777777" w:rsidR="00A157AE" w:rsidRDefault="00A157AE" w:rsidP="00226C43">
            <w:pPr>
              <w:pStyle w:val="ExhibitText"/>
              <w:jc w:val="center"/>
              <w:rPr>
                <w:color w:val="000000"/>
              </w:rPr>
            </w:pPr>
            <w:r>
              <w:rPr>
                <w:color w:val="000000"/>
              </w:rPr>
              <w:t>79</w:t>
            </w:r>
          </w:p>
        </w:tc>
        <w:tc>
          <w:tcPr>
            <w:tcW w:w="1260" w:type="dxa"/>
            <w:shd w:val="clear" w:color="auto" w:fill="auto"/>
            <w:tcMar>
              <w:left w:w="115" w:type="dxa"/>
              <w:right w:w="288" w:type="dxa"/>
            </w:tcMar>
            <w:vAlign w:val="center"/>
          </w:tcPr>
          <w:p w14:paraId="116495C0" w14:textId="77777777" w:rsidR="00A157AE" w:rsidRDefault="00A157AE" w:rsidP="00226C43">
            <w:pPr>
              <w:pStyle w:val="ExhibitText"/>
              <w:jc w:val="center"/>
              <w:rPr>
                <w:color w:val="000000"/>
              </w:rPr>
            </w:pPr>
            <w:r>
              <w:rPr>
                <w:color w:val="000000"/>
              </w:rPr>
              <w:t>113.89</w:t>
            </w:r>
          </w:p>
        </w:tc>
      </w:tr>
      <w:tr w:rsidR="00A157AE" w14:paraId="552D62B5" w14:textId="77777777" w:rsidTr="00226C43">
        <w:trPr>
          <w:trHeight w:val="288"/>
          <w:jc w:val="center"/>
        </w:trPr>
        <w:tc>
          <w:tcPr>
            <w:tcW w:w="1345" w:type="dxa"/>
            <w:shd w:val="clear" w:color="auto" w:fill="auto"/>
            <w:vAlign w:val="center"/>
          </w:tcPr>
          <w:p w14:paraId="385DFA7D" w14:textId="77777777" w:rsidR="00A157AE" w:rsidRDefault="00A157AE" w:rsidP="00AB4754">
            <w:pPr>
              <w:pStyle w:val="ExhibitText"/>
              <w:jc w:val="left"/>
              <w:rPr>
                <w:color w:val="000000"/>
              </w:rPr>
            </w:pPr>
            <w:r>
              <w:rPr>
                <w:color w:val="000000"/>
              </w:rPr>
              <w:t>March</w:t>
            </w:r>
          </w:p>
        </w:tc>
        <w:tc>
          <w:tcPr>
            <w:tcW w:w="1440" w:type="dxa"/>
            <w:shd w:val="clear" w:color="auto" w:fill="auto"/>
            <w:tcMar>
              <w:left w:w="115" w:type="dxa"/>
              <w:right w:w="288" w:type="dxa"/>
            </w:tcMar>
            <w:vAlign w:val="center"/>
          </w:tcPr>
          <w:p w14:paraId="085F6E39" w14:textId="62569B34" w:rsidR="00A157AE" w:rsidRDefault="00A157AE" w:rsidP="00226C43">
            <w:pPr>
              <w:pStyle w:val="ExhibitText"/>
              <w:jc w:val="center"/>
              <w:rPr>
                <w:color w:val="000000"/>
              </w:rPr>
            </w:pPr>
            <w:r>
              <w:rPr>
                <w:color w:val="000000"/>
              </w:rPr>
              <w:t>2</w:t>
            </w:r>
            <w:r w:rsidR="00133354">
              <w:rPr>
                <w:color w:val="000000"/>
              </w:rPr>
              <w:t>,</w:t>
            </w:r>
            <w:r>
              <w:rPr>
                <w:color w:val="000000"/>
              </w:rPr>
              <w:t>157</w:t>
            </w:r>
          </w:p>
        </w:tc>
        <w:tc>
          <w:tcPr>
            <w:tcW w:w="1350" w:type="dxa"/>
            <w:shd w:val="clear" w:color="auto" w:fill="auto"/>
            <w:tcMar>
              <w:left w:w="115" w:type="dxa"/>
              <w:right w:w="288" w:type="dxa"/>
            </w:tcMar>
            <w:vAlign w:val="center"/>
          </w:tcPr>
          <w:p w14:paraId="501427E5" w14:textId="77777777" w:rsidR="00A157AE" w:rsidRDefault="00A157AE" w:rsidP="00226C43">
            <w:pPr>
              <w:pStyle w:val="ExhibitText"/>
              <w:jc w:val="center"/>
              <w:rPr>
                <w:color w:val="000000"/>
              </w:rPr>
            </w:pPr>
            <w:r>
              <w:rPr>
                <w:color w:val="000000"/>
              </w:rPr>
              <w:t>78</w:t>
            </w:r>
          </w:p>
        </w:tc>
        <w:tc>
          <w:tcPr>
            <w:tcW w:w="1260" w:type="dxa"/>
            <w:shd w:val="clear" w:color="auto" w:fill="auto"/>
            <w:tcMar>
              <w:left w:w="115" w:type="dxa"/>
              <w:right w:w="288" w:type="dxa"/>
            </w:tcMar>
            <w:vAlign w:val="center"/>
          </w:tcPr>
          <w:p w14:paraId="304B55F5" w14:textId="77777777" w:rsidR="00A157AE" w:rsidRDefault="00A157AE" w:rsidP="00226C43">
            <w:pPr>
              <w:pStyle w:val="ExhibitText"/>
              <w:jc w:val="center"/>
              <w:rPr>
                <w:color w:val="000000"/>
              </w:rPr>
            </w:pPr>
            <w:r>
              <w:rPr>
                <w:color w:val="000000"/>
              </w:rPr>
              <w:t>110.34</w:t>
            </w:r>
          </w:p>
        </w:tc>
      </w:tr>
      <w:tr w:rsidR="00A157AE" w14:paraId="30282EE0" w14:textId="77777777" w:rsidTr="00226C43">
        <w:trPr>
          <w:trHeight w:val="288"/>
          <w:jc w:val="center"/>
        </w:trPr>
        <w:tc>
          <w:tcPr>
            <w:tcW w:w="1345" w:type="dxa"/>
            <w:shd w:val="clear" w:color="auto" w:fill="auto"/>
            <w:vAlign w:val="center"/>
          </w:tcPr>
          <w:p w14:paraId="49309744" w14:textId="77777777" w:rsidR="00A157AE" w:rsidRDefault="00A157AE" w:rsidP="00AB4754">
            <w:pPr>
              <w:pStyle w:val="ExhibitText"/>
              <w:jc w:val="left"/>
              <w:rPr>
                <w:color w:val="000000"/>
              </w:rPr>
            </w:pPr>
            <w:r>
              <w:rPr>
                <w:color w:val="000000"/>
              </w:rPr>
              <w:t>April</w:t>
            </w:r>
          </w:p>
        </w:tc>
        <w:tc>
          <w:tcPr>
            <w:tcW w:w="1440" w:type="dxa"/>
            <w:shd w:val="clear" w:color="auto" w:fill="auto"/>
            <w:tcMar>
              <w:left w:w="115" w:type="dxa"/>
              <w:right w:w="288" w:type="dxa"/>
            </w:tcMar>
            <w:vAlign w:val="center"/>
          </w:tcPr>
          <w:p w14:paraId="6827D98D" w14:textId="2F8D0185" w:rsidR="00A157AE" w:rsidRDefault="00A157AE" w:rsidP="00226C43">
            <w:pPr>
              <w:pStyle w:val="ExhibitText"/>
              <w:jc w:val="center"/>
              <w:rPr>
                <w:color w:val="000000"/>
              </w:rPr>
            </w:pPr>
            <w:r>
              <w:rPr>
                <w:color w:val="000000"/>
              </w:rPr>
              <w:t>1</w:t>
            </w:r>
            <w:r w:rsidR="00133354">
              <w:rPr>
                <w:color w:val="000000"/>
              </w:rPr>
              <w:t>,</w:t>
            </w:r>
            <w:r>
              <w:rPr>
                <w:color w:val="000000"/>
              </w:rPr>
              <w:t>936</w:t>
            </w:r>
          </w:p>
        </w:tc>
        <w:tc>
          <w:tcPr>
            <w:tcW w:w="1350" w:type="dxa"/>
            <w:shd w:val="clear" w:color="auto" w:fill="auto"/>
            <w:tcMar>
              <w:left w:w="115" w:type="dxa"/>
              <w:right w:w="288" w:type="dxa"/>
            </w:tcMar>
            <w:vAlign w:val="center"/>
          </w:tcPr>
          <w:p w14:paraId="5BD1EBDC" w14:textId="77777777" w:rsidR="00A157AE" w:rsidRDefault="00A157AE" w:rsidP="00226C43">
            <w:pPr>
              <w:pStyle w:val="ExhibitText"/>
              <w:jc w:val="center"/>
              <w:rPr>
                <w:color w:val="000000"/>
              </w:rPr>
            </w:pPr>
            <w:r>
              <w:rPr>
                <w:color w:val="000000"/>
              </w:rPr>
              <w:t>73</w:t>
            </w:r>
          </w:p>
        </w:tc>
        <w:tc>
          <w:tcPr>
            <w:tcW w:w="1260" w:type="dxa"/>
            <w:shd w:val="clear" w:color="auto" w:fill="auto"/>
            <w:tcMar>
              <w:left w:w="115" w:type="dxa"/>
              <w:right w:w="288" w:type="dxa"/>
            </w:tcMar>
            <w:vAlign w:val="center"/>
          </w:tcPr>
          <w:p w14:paraId="1F523782" w14:textId="77777777" w:rsidR="00A157AE" w:rsidRDefault="00A157AE" w:rsidP="00226C43">
            <w:pPr>
              <w:pStyle w:val="ExhibitText"/>
              <w:jc w:val="center"/>
              <w:rPr>
                <w:color w:val="000000"/>
              </w:rPr>
            </w:pPr>
            <w:r>
              <w:rPr>
                <w:color w:val="000000"/>
              </w:rPr>
              <w:t>101.69</w:t>
            </w:r>
          </w:p>
        </w:tc>
      </w:tr>
      <w:tr w:rsidR="00A157AE" w14:paraId="0112C932" w14:textId="77777777" w:rsidTr="00226C43">
        <w:trPr>
          <w:trHeight w:val="288"/>
          <w:jc w:val="center"/>
        </w:trPr>
        <w:tc>
          <w:tcPr>
            <w:tcW w:w="1345" w:type="dxa"/>
            <w:shd w:val="clear" w:color="auto" w:fill="auto"/>
            <w:vAlign w:val="center"/>
          </w:tcPr>
          <w:p w14:paraId="109B0724" w14:textId="77777777" w:rsidR="00A157AE" w:rsidRDefault="00A157AE" w:rsidP="00AB4754">
            <w:pPr>
              <w:pStyle w:val="ExhibitText"/>
              <w:jc w:val="left"/>
              <w:rPr>
                <w:color w:val="000000"/>
              </w:rPr>
            </w:pPr>
            <w:r>
              <w:rPr>
                <w:color w:val="000000"/>
              </w:rPr>
              <w:t>May</w:t>
            </w:r>
          </w:p>
        </w:tc>
        <w:tc>
          <w:tcPr>
            <w:tcW w:w="1440" w:type="dxa"/>
            <w:shd w:val="clear" w:color="auto" w:fill="auto"/>
            <w:tcMar>
              <w:left w:w="115" w:type="dxa"/>
              <w:right w:w="288" w:type="dxa"/>
            </w:tcMar>
            <w:vAlign w:val="center"/>
          </w:tcPr>
          <w:p w14:paraId="266DB9A9" w14:textId="4F8006CF" w:rsidR="00A157AE" w:rsidRDefault="00A157AE" w:rsidP="00226C43">
            <w:pPr>
              <w:pStyle w:val="ExhibitText"/>
              <w:jc w:val="center"/>
              <w:rPr>
                <w:color w:val="000000"/>
              </w:rPr>
            </w:pPr>
            <w:r>
              <w:rPr>
                <w:color w:val="000000"/>
              </w:rPr>
              <w:t>2</w:t>
            </w:r>
            <w:r w:rsidR="00133354">
              <w:rPr>
                <w:color w:val="000000"/>
              </w:rPr>
              <w:t>,</w:t>
            </w:r>
            <w:r>
              <w:rPr>
                <w:color w:val="000000"/>
              </w:rPr>
              <w:t>114</w:t>
            </w:r>
          </w:p>
        </w:tc>
        <w:tc>
          <w:tcPr>
            <w:tcW w:w="1350" w:type="dxa"/>
            <w:shd w:val="clear" w:color="auto" w:fill="auto"/>
            <w:tcMar>
              <w:left w:w="115" w:type="dxa"/>
              <w:right w:w="288" w:type="dxa"/>
            </w:tcMar>
            <w:vAlign w:val="center"/>
          </w:tcPr>
          <w:p w14:paraId="5A784A1B" w14:textId="77777777" w:rsidR="00A157AE" w:rsidRDefault="00A157AE" w:rsidP="00226C43">
            <w:pPr>
              <w:pStyle w:val="ExhibitText"/>
              <w:jc w:val="center"/>
              <w:rPr>
                <w:color w:val="000000"/>
              </w:rPr>
            </w:pPr>
            <w:r>
              <w:rPr>
                <w:color w:val="000000"/>
              </w:rPr>
              <w:t>77</w:t>
            </w:r>
          </w:p>
        </w:tc>
        <w:tc>
          <w:tcPr>
            <w:tcW w:w="1260" w:type="dxa"/>
            <w:shd w:val="clear" w:color="auto" w:fill="auto"/>
            <w:tcMar>
              <w:left w:w="115" w:type="dxa"/>
              <w:right w:w="288" w:type="dxa"/>
            </w:tcMar>
            <w:vAlign w:val="center"/>
          </w:tcPr>
          <w:p w14:paraId="53BFD31C" w14:textId="77777777" w:rsidR="00A157AE" w:rsidRDefault="00A157AE" w:rsidP="00226C43">
            <w:pPr>
              <w:pStyle w:val="ExhibitText"/>
              <w:jc w:val="center"/>
              <w:rPr>
                <w:color w:val="000000"/>
              </w:rPr>
            </w:pPr>
            <w:r>
              <w:rPr>
                <w:color w:val="000000"/>
              </w:rPr>
              <w:t>130.92</w:t>
            </w:r>
          </w:p>
        </w:tc>
      </w:tr>
    </w:tbl>
    <w:p w14:paraId="5320E046" w14:textId="3C89B3B2" w:rsidR="00A157AE" w:rsidRDefault="00A157AE" w:rsidP="003E476E">
      <w:pPr>
        <w:pStyle w:val="ExhibitHeading"/>
        <w:rPr>
          <w:lang w:val="en-CA" w:eastAsia="en-CA"/>
        </w:rPr>
      </w:pPr>
    </w:p>
    <w:p w14:paraId="446CB68C" w14:textId="6D7D2823" w:rsidR="00AB4754" w:rsidRDefault="00AB4754" w:rsidP="00310D17">
      <w:pPr>
        <w:pStyle w:val="Footnote"/>
        <w:rPr>
          <w:lang w:val="en-CA" w:eastAsia="en-CA"/>
        </w:rPr>
      </w:pPr>
      <w:r>
        <w:rPr>
          <w:lang w:val="en-CA" w:eastAsia="en-CA"/>
        </w:rPr>
        <w:t>Note: ADR = average daily rate.</w:t>
      </w:r>
    </w:p>
    <w:p w14:paraId="4C4F155C" w14:textId="5F791D7A" w:rsidR="00310D17" w:rsidRDefault="00310D17" w:rsidP="00310D17">
      <w:pPr>
        <w:pStyle w:val="Footnote"/>
        <w:rPr>
          <w:lang w:val="en-CA" w:eastAsia="en-CA"/>
        </w:rPr>
      </w:pPr>
      <w:r>
        <w:rPr>
          <w:lang w:val="en-CA" w:eastAsia="en-CA"/>
        </w:rPr>
        <w:t>Source: Company documents.</w:t>
      </w:r>
    </w:p>
    <w:p w14:paraId="09BF941A" w14:textId="5D21559D" w:rsidR="00A157AE" w:rsidRDefault="00A157AE">
      <w:pPr>
        <w:spacing w:after="200" w:line="276" w:lineRule="auto"/>
        <w:rPr>
          <w:rFonts w:ascii="Arial" w:hAnsi="Arial" w:cs="Arial"/>
          <w:b/>
          <w:caps/>
          <w:lang w:val="en-CA" w:eastAsia="en-CA"/>
        </w:rPr>
      </w:pPr>
      <w:r>
        <w:rPr>
          <w:lang w:val="en-CA" w:eastAsia="en-CA"/>
        </w:rPr>
        <w:br w:type="page"/>
      </w:r>
    </w:p>
    <w:p w14:paraId="44610FF7" w14:textId="77777777" w:rsidR="00330D80" w:rsidRPr="00330D80" w:rsidRDefault="00330D80" w:rsidP="00EC35B5">
      <w:pPr>
        <w:pStyle w:val="ExhibitHeading"/>
        <w:outlineLvl w:val="0"/>
        <w:rPr>
          <w:lang w:val="en-CA" w:eastAsia="en-CA"/>
        </w:rPr>
      </w:pPr>
      <w:r w:rsidRPr="00330D80">
        <w:rPr>
          <w:lang w:val="en-CA" w:eastAsia="en-CA"/>
        </w:rPr>
        <w:lastRenderedPageBreak/>
        <w:t>Exhibit 3</w:t>
      </w:r>
      <w:r w:rsidR="003E476E">
        <w:rPr>
          <w:lang w:val="en-CA" w:eastAsia="en-CA"/>
        </w:rPr>
        <w:t>:</w:t>
      </w:r>
      <w:r w:rsidRPr="00330D80">
        <w:rPr>
          <w:lang w:val="en-CA" w:eastAsia="en-CA"/>
        </w:rPr>
        <w:t xml:space="preserve"> Floor Plan of the Banff Aspen Lodge</w:t>
      </w:r>
    </w:p>
    <w:p w14:paraId="5AAE3FA2" w14:textId="3A9C2222" w:rsidR="003E476E" w:rsidRDefault="00330D80" w:rsidP="003E476E">
      <w:pPr>
        <w:pStyle w:val="ExhibitText"/>
        <w:rPr>
          <w:rFonts w:eastAsia="Arial"/>
          <w:lang w:val="en-CA" w:eastAsia="en-CA"/>
        </w:rPr>
      </w:pPr>
      <w:r w:rsidRPr="00330D80">
        <w:rPr>
          <w:rFonts w:eastAsia="Arial"/>
          <w:noProof/>
          <w:lang w:val="en-US"/>
        </w:rPr>
        <w:drawing>
          <wp:inline distT="0" distB="0" distL="0" distR="0" wp14:anchorId="60E574D9" wp14:editId="12D637F7">
            <wp:extent cx="5737417" cy="74249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en map 2016 Guest Directory rev.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0126" cy="7428433"/>
                    </a:xfrm>
                    <a:prstGeom prst="rect">
                      <a:avLst/>
                    </a:prstGeom>
                  </pic:spPr>
                </pic:pic>
              </a:graphicData>
            </a:graphic>
          </wp:inline>
        </w:drawing>
      </w:r>
    </w:p>
    <w:p w14:paraId="69CC1FF0" w14:textId="77777777" w:rsidR="003E476E" w:rsidRDefault="003E476E" w:rsidP="003E476E">
      <w:pPr>
        <w:pStyle w:val="Footnote"/>
        <w:rPr>
          <w:rFonts w:eastAsia="Arial"/>
          <w:lang w:val="en-CA" w:eastAsia="en-CA"/>
        </w:rPr>
      </w:pPr>
      <w:r>
        <w:rPr>
          <w:rFonts w:eastAsia="Arial"/>
          <w:lang w:val="en-CA" w:eastAsia="en-CA"/>
        </w:rPr>
        <w:t>Source: Company documents.</w:t>
      </w:r>
    </w:p>
    <w:p w14:paraId="6EE89B19" w14:textId="17AC8306" w:rsidR="00330D80" w:rsidRPr="00310D17" w:rsidRDefault="00330D80" w:rsidP="00310D17">
      <w:pPr>
        <w:pBdr>
          <w:top w:val="nil"/>
          <w:left w:val="nil"/>
          <w:bottom w:val="nil"/>
          <w:right w:val="nil"/>
          <w:between w:val="nil"/>
        </w:pBdr>
        <w:spacing w:after="200" w:line="276" w:lineRule="auto"/>
        <w:contextualSpacing/>
        <w:rPr>
          <w:rFonts w:ascii="Arial" w:eastAsia="Arial" w:hAnsi="Arial" w:cs="Arial"/>
          <w:color w:val="000000"/>
          <w:sz w:val="22"/>
          <w:szCs w:val="22"/>
          <w:lang w:val="en-CA" w:eastAsia="en-CA"/>
        </w:rPr>
      </w:pPr>
      <w:r w:rsidRPr="00330D80">
        <w:rPr>
          <w:rFonts w:ascii="Arial" w:eastAsia="Arial" w:hAnsi="Arial" w:cs="Arial"/>
          <w:sz w:val="24"/>
          <w:szCs w:val="24"/>
          <w:lang w:val="en-CA" w:eastAsia="en-CA"/>
        </w:rPr>
        <w:br w:type="page"/>
      </w:r>
    </w:p>
    <w:p w14:paraId="6C93104E" w14:textId="77777777" w:rsidR="00465348" w:rsidRPr="009C2666" w:rsidRDefault="00330D80" w:rsidP="00EC35B5">
      <w:pPr>
        <w:pStyle w:val="ExhibitHeading"/>
        <w:jc w:val="left"/>
        <w:outlineLvl w:val="0"/>
      </w:pPr>
      <w:r>
        <w:lastRenderedPageBreak/>
        <w:t>ENDNOTES</w:t>
      </w:r>
    </w:p>
    <w:sectPr w:rsidR="00465348" w:rsidRPr="009C2666" w:rsidSect="00EC35B5">
      <w:endnotePr>
        <w:numFmt w:val="decimal"/>
      </w:endnotePr>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99959" w16cid:durableId="1F2C0262"/>
  <w16cid:commentId w16cid:paraId="6B632BB4" w16cid:durableId="1F1E8892"/>
  <w16cid:commentId w16cid:paraId="50D6969E" w16cid:durableId="1F283C0D"/>
  <w16cid:commentId w16cid:paraId="488C3A78" w16cid:durableId="1F283A61"/>
  <w16cid:commentId w16cid:paraId="39DC8744" w16cid:durableId="1F1D863F"/>
  <w16cid:commentId w16cid:paraId="0AA4C97E" w16cid:durableId="1F283C1D"/>
  <w16cid:commentId w16cid:paraId="1C9CECD5" w16cid:durableId="1F1D8AAD"/>
  <w16cid:commentId w16cid:paraId="4868F079" w16cid:durableId="1F283C2F"/>
  <w16cid:commentId w16cid:paraId="67E40280" w16cid:durableId="1F2C0216"/>
  <w16cid:commentId w16cid:paraId="1FD903AA" w16cid:durableId="1F1D8FA5"/>
  <w16cid:commentId w16cid:paraId="610F6CFE" w16cid:durableId="1F283C48"/>
  <w16cid:commentId w16cid:paraId="6D524EAF" w16cid:durableId="1F1D93C8"/>
  <w16cid:commentId w16cid:paraId="77E5EAEF" w16cid:durableId="1F283C9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5BAD1" w14:textId="77777777" w:rsidR="00455BA9" w:rsidRDefault="00455BA9" w:rsidP="00D75295">
      <w:r>
        <w:separator/>
      </w:r>
    </w:p>
  </w:endnote>
  <w:endnote w:type="continuationSeparator" w:id="0">
    <w:p w14:paraId="49E78A2C" w14:textId="77777777" w:rsidR="00455BA9" w:rsidRDefault="00455BA9" w:rsidP="00D75295">
      <w:r>
        <w:continuationSeparator/>
      </w:r>
    </w:p>
  </w:endnote>
  <w:endnote w:id="1">
    <w:p w14:paraId="3F400EF1" w14:textId="27775218" w:rsidR="00455BA9" w:rsidRPr="00310D17" w:rsidRDefault="00455BA9" w:rsidP="00226C43">
      <w:pPr>
        <w:pStyle w:val="Footnote"/>
        <w:jc w:val="both"/>
        <w:rPr>
          <w:lang w:val="en-CA"/>
        </w:rPr>
      </w:pPr>
      <w:r w:rsidRPr="003971C9">
        <w:rPr>
          <w:rStyle w:val="EndnoteReference"/>
        </w:rPr>
        <w:endnoteRef/>
      </w:r>
      <w:r>
        <w:t xml:space="preserve"> Kristelle </w:t>
      </w:r>
      <w:proofErr w:type="spellStart"/>
      <w:r>
        <w:t>Audet</w:t>
      </w:r>
      <w:proofErr w:type="spellEnd"/>
      <w:r>
        <w:t xml:space="preserve">, </w:t>
      </w:r>
      <w:r w:rsidRPr="00EC35B5">
        <w:rPr>
          <w:i/>
        </w:rPr>
        <w:t>Canada’s Accommodation Industry</w:t>
      </w:r>
      <w:r w:rsidRPr="00E77408">
        <w:rPr>
          <w:i/>
        </w:rPr>
        <w:t>: Industrial Outlook</w:t>
      </w:r>
      <w:r w:rsidRPr="00EC35B5">
        <w:rPr>
          <w:i/>
        </w:rPr>
        <w:t xml:space="preserve"> Summer 2013</w:t>
      </w:r>
      <w:r>
        <w:t xml:space="preserve"> (Ottawa, ON: Conference Board of Canada, 2013), accessed August 26, 2017</w:t>
      </w:r>
      <w:r w:rsidRPr="0035294A">
        <w:t>, www.conferenceboard.ca/e-library/abstract.aspx?did=5776</w:t>
      </w:r>
      <w:r w:rsidRPr="00FB0A1B">
        <w:t>.</w:t>
      </w:r>
    </w:p>
  </w:endnote>
  <w:endnote w:id="2">
    <w:p w14:paraId="6E3F40AF" w14:textId="2E6B35FC" w:rsidR="00455BA9" w:rsidRPr="00FB0A1B" w:rsidRDefault="00455BA9" w:rsidP="00226C43">
      <w:pPr>
        <w:pStyle w:val="Footnote"/>
        <w:jc w:val="both"/>
      </w:pPr>
      <w:r w:rsidRPr="003971C9">
        <w:rPr>
          <w:rStyle w:val="EndnoteReference"/>
        </w:rPr>
        <w:endnoteRef/>
      </w:r>
      <w:r>
        <w:t xml:space="preserve"> </w:t>
      </w:r>
      <w:r w:rsidRPr="00FB0A1B">
        <w:t xml:space="preserve">Canadian Tourism Commission, </w:t>
      </w:r>
      <w:r w:rsidRPr="002F078B">
        <w:rPr>
          <w:i/>
        </w:rPr>
        <w:t>2012 China Ski Study: Desk Research Report</w:t>
      </w:r>
      <w:r>
        <w:t xml:space="preserve"> (</w:t>
      </w:r>
      <w:r w:rsidRPr="00FB0A1B">
        <w:t>2012</w:t>
      </w:r>
      <w:r>
        <w:t>)</w:t>
      </w:r>
      <w:r w:rsidRPr="00FB0A1B">
        <w:t xml:space="preserve">, accessed February 18, 2018, www.destinationcanada.com/sites/default/files/archive/2012-04-01/Intelligence_MarketInsights_ChinaSkiStudyDeskResearchReport_Apr2012_EN.pdf. </w:t>
      </w:r>
    </w:p>
  </w:endnote>
  <w:endnote w:id="3">
    <w:p w14:paraId="0D95D41F" w14:textId="4280E0C6" w:rsidR="00455BA9" w:rsidRPr="00FB0A1B" w:rsidRDefault="00455BA9" w:rsidP="00226C43">
      <w:pPr>
        <w:pStyle w:val="Footnote"/>
        <w:jc w:val="both"/>
      </w:pPr>
      <w:r w:rsidRPr="00EC35B5">
        <w:rPr>
          <w:rStyle w:val="EndnoteReference"/>
        </w:rPr>
        <w:endnoteRef/>
      </w:r>
      <w:r>
        <w:t xml:space="preserve"> </w:t>
      </w:r>
      <w:proofErr w:type="spellStart"/>
      <w:r>
        <w:t>Audet</w:t>
      </w:r>
      <w:proofErr w:type="spellEnd"/>
      <w:r>
        <w:t>, op. cit</w:t>
      </w:r>
      <w:r w:rsidRPr="00FB0A1B">
        <w:t>.</w:t>
      </w:r>
      <w:r>
        <w:t xml:space="preserve"> </w:t>
      </w:r>
    </w:p>
  </w:endnote>
  <w:endnote w:id="4">
    <w:p w14:paraId="3AAC3058" w14:textId="7BD062AB" w:rsidR="00455BA9" w:rsidRPr="00122625" w:rsidRDefault="00455BA9" w:rsidP="00226C43">
      <w:pPr>
        <w:pStyle w:val="Footnote"/>
        <w:jc w:val="both"/>
        <w:rPr>
          <w:lang w:val="en-CA"/>
        </w:rPr>
      </w:pPr>
      <w:r>
        <w:rPr>
          <w:rStyle w:val="EndnoteReference"/>
        </w:rPr>
        <w:endnoteRef/>
      </w:r>
      <w:r>
        <w:t xml:space="preserve"> </w:t>
      </w:r>
      <w:r w:rsidRPr="00122625">
        <w:t xml:space="preserve">Canadian Tourism Commission, </w:t>
      </w:r>
      <w:r w:rsidRPr="00122625">
        <w:rPr>
          <w:i/>
        </w:rPr>
        <w:t>Global Tourism Watch: 2012 China Summary Report</w:t>
      </w:r>
      <w:r w:rsidRPr="00122625">
        <w:t>, accessed February 18, 2018, www.destinationcanada.com/sites/default/files/archive/2012-12-</w:t>
      </w:r>
      <w:r w:rsidR="00042F81" w:rsidRPr="00FB0A1B">
        <w:t>01/Intelligence_MarketInsights_GlobalTourismWatch_China_2012_EN.pdf</w:t>
      </w:r>
      <w:r>
        <w:t>.</w:t>
      </w:r>
    </w:p>
  </w:endnote>
  <w:endnote w:id="5">
    <w:p w14:paraId="76C1DAEF" w14:textId="63327DFB" w:rsidR="00455BA9" w:rsidRPr="00FB0A1B" w:rsidRDefault="00455BA9" w:rsidP="00226C43">
      <w:pPr>
        <w:pStyle w:val="Footnote"/>
        <w:jc w:val="both"/>
      </w:pPr>
      <w:r w:rsidRPr="00EC35B5">
        <w:rPr>
          <w:rStyle w:val="EndnoteReference"/>
        </w:rPr>
        <w:endnoteRef/>
      </w:r>
      <w:r>
        <w:t xml:space="preserve"> </w:t>
      </w:r>
      <w:r w:rsidR="00042F81">
        <w:t>Ibid.</w:t>
      </w:r>
    </w:p>
  </w:endnote>
  <w:endnote w:id="6">
    <w:p w14:paraId="05F8FB3D" w14:textId="23D66E1A" w:rsidR="00455BA9" w:rsidRDefault="00455BA9" w:rsidP="00226C43">
      <w:pPr>
        <w:pStyle w:val="Footnote"/>
        <w:jc w:val="both"/>
      </w:pPr>
      <w:r w:rsidRPr="00EC35B5">
        <w:rPr>
          <w:rStyle w:val="EndnoteReference"/>
        </w:rPr>
        <w:endnoteRef/>
      </w:r>
      <w:r>
        <w:t xml:space="preserve"> Ibid. </w:t>
      </w:r>
    </w:p>
  </w:endnote>
  <w:endnote w:id="7">
    <w:p w14:paraId="3BCB02BD" w14:textId="69F9ACD4" w:rsidR="00455BA9" w:rsidRDefault="00455BA9" w:rsidP="00226C43">
      <w:pPr>
        <w:pStyle w:val="Footnote"/>
        <w:jc w:val="both"/>
      </w:pPr>
      <w:r w:rsidRPr="00EC35B5">
        <w:rPr>
          <w:rStyle w:val="EndnoteReference"/>
        </w:rPr>
        <w:endnoteRef/>
      </w:r>
      <w:r>
        <w:t xml:space="preserve"> </w:t>
      </w:r>
      <w:r w:rsidRPr="00E77408">
        <w:rPr>
          <w:lang w:eastAsia="en-CA"/>
        </w:rPr>
        <w:t xml:space="preserve">A. Alvarez, </w:t>
      </w:r>
      <w:r w:rsidRPr="00EC35B5">
        <w:rPr>
          <w:i/>
        </w:rPr>
        <w:t>Hotels &amp; Motels in Canada</w:t>
      </w:r>
      <w:r w:rsidRPr="00E77408">
        <w:rPr>
          <w:lang w:eastAsia="en-CA"/>
        </w:rPr>
        <w:t xml:space="preserve"> (IBISWorld Industry Report #</w:t>
      </w:r>
      <w:r>
        <w:t>72111CA</w:t>
      </w:r>
      <w:r w:rsidRPr="00E77408">
        <w:rPr>
          <w:lang w:eastAsia="en-CA"/>
        </w:rPr>
        <w:t>, 2017)</w:t>
      </w:r>
      <w:r>
        <w:t>.</w:t>
      </w:r>
    </w:p>
  </w:endnote>
  <w:endnote w:id="8">
    <w:p w14:paraId="7634F39C" w14:textId="2B059429" w:rsidR="00455BA9" w:rsidRDefault="00455BA9" w:rsidP="00226C43">
      <w:pPr>
        <w:pStyle w:val="Footnote"/>
        <w:jc w:val="both"/>
      </w:pPr>
      <w:r w:rsidRPr="00EC35B5">
        <w:rPr>
          <w:rStyle w:val="EndnoteReference"/>
        </w:rPr>
        <w:endnoteRef/>
      </w:r>
      <w:r>
        <w:t xml:space="preserve"> </w:t>
      </w:r>
      <w:proofErr w:type="spellStart"/>
      <w:r>
        <w:t>Audet</w:t>
      </w:r>
      <w:proofErr w:type="spellEnd"/>
      <w:r>
        <w:t xml:space="preserve">, op. cit. </w:t>
      </w:r>
    </w:p>
  </w:endnote>
  <w:endnote w:id="9">
    <w:p w14:paraId="6872978A" w14:textId="4758C39A" w:rsidR="00455BA9" w:rsidRPr="00FB0A1B" w:rsidRDefault="00455BA9" w:rsidP="00226C43">
      <w:pPr>
        <w:pStyle w:val="Footnote"/>
        <w:jc w:val="both"/>
      </w:pPr>
      <w:r w:rsidRPr="00EC35B5">
        <w:rPr>
          <w:rStyle w:val="EndnoteReference"/>
        </w:rPr>
        <w:endnoteRef/>
      </w:r>
      <w:r>
        <w:t xml:space="preserve"> Chris Anderson, “Search, OTAs, and Online Booking: An Expanded Analysis of the Billboard Effect,” </w:t>
      </w:r>
      <w:r w:rsidRPr="00EC35B5">
        <w:rPr>
          <w:i/>
        </w:rPr>
        <w:t>Cornell Hospitality Reports</w:t>
      </w:r>
      <w:r>
        <w:t xml:space="preserve"> 11, no. 8 (2011): 6–10. </w:t>
      </w:r>
    </w:p>
  </w:endnote>
  <w:endnote w:id="10">
    <w:p w14:paraId="1590AC85" w14:textId="1011BB9E" w:rsidR="00455BA9" w:rsidRDefault="00455BA9" w:rsidP="00226C43">
      <w:pPr>
        <w:pStyle w:val="Footnote"/>
        <w:jc w:val="both"/>
      </w:pPr>
      <w:r>
        <w:rPr>
          <w:rStyle w:val="EndnoteReference"/>
        </w:rPr>
        <w:endnoteRef/>
      </w:r>
      <w:r>
        <w:t xml:space="preserve"> All </w:t>
      </w:r>
      <w:r w:rsidR="00042F81">
        <w:t>currency</w:t>
      </w:r>
      <w:r>
        <w:t xml:space="preserve"> amounts are</w:t>
      </w:r>
      <w:r w:rsidR="00042F81">
        <w:t xml:space="preserve"> in</w:t>
      </w:r>
      <w:r>
        <w:t xml:space="preserve"> Canadian dollars unless otherwise specified.</w:t>
      </w:r>
    </w:p>
  </w:endnote>
  <w:endnote w:id="11">
    <w:p w14:paraId="0F2C6A51" w14:textId="069B517F" w:rsidR="00455BA9" w:rsidRPr="00FB0A1B" w:rsidRDefault="00455BA9" w:rsidP="00226C43">
      <w:pPr>
        <w:pStyle w:val="Footnote"/>
        <w:jc w:val="both"/>
      </w:pPr>
      <w:r w:rsidRPr="00EC35B5">
        <w:rPr>
          <w:rStyle w:val="EndnoteReference"/>
        </w:rPr>
        <w:endnoteRef/>
      </w:r>
      <w:r>
        <w:t xml:space="preserve"> Hotel </w:t>
      </w:r>
      <w:r w:rsidRPr="00FB0A1B">
        <w:t xml:space="preserve">Association of Canada, </w:t>
      </w:r>
      <w:r w:rsidRPr="00EC35B5">
        <w:rPr>
          <w:i/>
        </w:rPr>
        <w:t xml:space="preserve">Hotel </w:t>
      </w:r>
      <w:r w:rsidRPr="00DE731C">
        <w:rPr>
          <w:i/>
        </w:rPr>
        <w:t xml:space="preserve">Industry </w:t>
      </w:r>
      <w:r w:rsidRPr="00EC35B5">
        <w:rPr>
          <w:i/>
        </w:rPr>
        <w:t>Fact Sheet</w:t>
      </w:r>
      <w:r w:rsidRPr="00FB0A1B">
        <w:t xml:space="preserve"> </w:t>
      </w:r>
      <w:r>
        <w:t>(</w:t>
      </w:r>
      <w:r w:rsidRPr="00FB0A1B">
        <w:t>2013</w:t>
      </w:r>
      <w:r>
        <w:t>)</w:t>
      </w:r>
      <w:r w:rsidRPr="00FB0A1B">
        <w:t xml:space="preserve">, accessed August 26, 2017, </w:t>
      </w:r>
      <w:r w:rsidRPr="00FB0A1B">
        <w:rPr>
          <w:highlight w:val="white"/>
        </w:rPr>
        <w:t>www.naylornetwork.com/hoc-nwl/pdf/Hotel_Industry_Facts_Sheet_March_2013.pdf</w:t>
      </w:r>
      <w:r w:rsidRPr="00FB0A1B">
        <w:t>.</w:t>
      </w:r>
      <w:r w:rsidRPr="00FB0A1B">
        <w:rPr>
          <w:highlight w:val="white"/>
        </w:rPr>
        <w:t xml:space="preserve"> </w:t>
      </w:r>
    </w:p>
  </w:endnote>
  <w:endnote w:id="12">
    <w:p w14:paraId="35F76F75" w14:textId="04D017F7" w:rsidR="00455BA9" w:rsidRPr="00FB0A1B" w:rsidRDefault="00455BA9" w:rsidP="00226C43">
      <w:pPr>
        <w:pStyle w:val="Footnote"/>
        <w:jc w:val="both"/>
      </w:pPr>
      <w:r w:rsidRPr="00EC35B5">
        <w:rPr>
          <w:rStyle w:val="EndnoteReference"/>
        </w:rPr>
        <w:endnoteRef/>
      </w:r>
      <w:r>
        <w:t xml:space="preserve"> PKF Consulting, “Alberta </w:t>
      </w:r>
      <w:r w:rsidRPr="00FB0A1B">
        <w:t>Accommodation Outlook 2013</w:t>
      </w:r>
      <w:r>
        <w:t xml:space="preserve">” (presentation to Tourism Division of Alberta Tourism, Parks and Recreation, </w:t>
      </w:r>
      <w:proofErr w:type="spellStart"/>
      <w:r>
        <w:t>n.d.</w:t>
      </w:r>
      <w:proofErr w:type="spellEnd"/>
      <w:r>
        <w:t>)</w:t>
      </w:r>
      <w:r w:rsidRPr="00FB0A1B">
        <w:t>, accessed August 26, 2017, https://taprdsccdn.azureedge.net/cms/-/media/Industry/Files/resources/research/alberta-accommodation-outlook/alberta-accommodation-outlook-2013.pdf.</w:t>
      </w:r>
    </w:p>
  </w:endnote>
  <w:endnote w:id="13">
    <w:p w14:paraId="707BA0A9" w14:textId="45ABFF23" w:rsidR="00455BA9" w:rsidRDefault="00455BA9" w:rsidP="00226C43">
      <w:pPr>
        <w:pStyle w:val="Footnote"/>
        <w:jc w:val="both"/>
      </w:pPr>
      <w:r w:rsidRPr="00EC35B5">
        <w:rPr>
          <w:rStyle w:val="EndnoteReference"/>
        </w:rPr>
        <w:endnoteRef/>
      </w:r>
      <w:r>
        <w:t xml:space="preserve"> </w:t>
      </w:r>
      <w:proofErr w:type="spellStart"/>
      <w:r>
        <w:t>Audet</w:t>
      </w:r>
      <w:proofErr w:type="spellEnd"/>
      <w:r>
        <w:t xml:space="preserve">, op. cit. </w:t>
      </w:r>
    </w:p>
  </w:endnote>
  <w:endnote w:id="14">
    <w:p w14:paraId="51CF6655" w14:textId="7C9889A0" w:rsidR="00455BA9" w:rsidRDefault="00455BA9" w:rsidP="00226C43">
      <w:pPr>
        <w:pStyle w:val="Footnote"/>
        <w:jc w:val="both"/>
      </w:pPr>
      <w:r w:rsidRPr="00EC35B5">
        <w:rPr>
          <w:rStyle w:val="EndnoteReference"/>
        </w:rPr>
        <w:endnoteRef/>
      </w:r>
      <w:r>
        <w:t xml:space="preserve"> Government of Alberta, </w:t>
      </w:r>
      <w:r w:rsidRPr="00EC35B5">
        <w:rPr>
          <w:i/>
        </w:rPr>
        <w:t>Tourism in Alberta</w:t>
      </w:r>
      <w:r w:rsidRPr="00322253">
        <w:rPr>
          <w:i/>
        </w:rPr>
        <w:t>:</w:t>
      </w:r>
      <w:r w:rsidRPr="00EC35B5">
        <w:rPr>
          <w:i/>
        </w:rPr>
        <w:t xml:space="preserve"> A Summary of 2012 Visitor Numbers and Characteristics</w:t>
      </w:r>
      <w:r>
        <w:t xml:space="preserve"> (</w:t>
      </w:r>
      <w:r w:rsidRPr="00FB0A1B">
        <w:t>2014</w:t>
      </w:r>
      <w:r>
        <w:t>),</w:t>
      </w:r>
      <w:r w:rsidRPr="00FB0A1B">
        <w:t xml:space="preserve"> accessed August 26, 2017, https://taprdsccdn.azureedge.net/cms/-/media/Industry/Files/resources/research/visitor-profiles/2012/2012-Visitor-Profile-for-Alberta</w:t>
      </w:r>
      <w:r>
        <w:t>.</w:t>
      </w:r>
    </w:p>
  </w:endnote>
  <w:endnote w:id="15">
    <w:p w14:paraId="378BCE19" w14:textId="0A7C4995" w:rsidR="00455BA9" w:rsidRPr="00FB0A1B" w:rsidRDefault="00455BA9" w:rsidP="00226C43">
      <w:pPr>
        <w:pStyle w:val="Footnote"/>
        <w:jc w:val="both"/>
      </w:pPr>
      <w:r w:rsidRPr="003971C9">
        <w:rPr>
          <w:rStyle w:val="EndnoteReference"/>
        </w:rPr>
        <w:endnoteRef/>
      </w:r>
      <w:r>
        <w:t xml:space="preserve"> Government of Alberta, </w:t>
      </w:r>
      <w:r w:rsidRPr="00EC35B5">
        <w:rPr>
          <w:i/>
        </w:rPr>
        <w:t>Tourism in Canadian Rockies</w:t>
      </w:r>
      <w:r w:rsidRPr="00322253">
        <w:rPr>
          <w:i/>
        </w:rPr>
        <w:t>:</w:t>
      </w:r>
      <w:r w:rsidRPr="00330D80">
        <w:t xml:space="preserve"> </w:t>
      </w:r>
      <w:r w:rsidRPr="00EC35B5">
        <w:rPr>
          <w:i/>
        </w:rPr>
        <w:t>A Summary of 2010 Visitor Numbers and Characteristics</w:t>
      </w:r>
      <w:r w:rsidRPr="00330D80">
        <w:t xml:space="preserve"> </w:t>
      </w:r>
      <w:r>
        <w:t>(</w:t>
      </w:r>
      <w:r w:rsidRPr="00330D80">
        <w:t>2012</w:t>
      </w:r>
      <w:r>
        <w:t>)</w:t>
      </w:r>
      <w:r w:rsidRPr="00330D80">
        <w:t>, accessed September 4, 2017</w:t>
      </w:r>
      <w:r>
        <w:t xml:space="preserve">, </w:t>
      </w:r>
      <w:r w:rsidRPr="00330D80">
        <w:t>https://taprdsccdn.azureedge.net/cms/-/media/Industry/Files/resources/research/visitor-profiles/2010/2010-Visi</w:t>
      </w:r>
      <w:r>
        <w:t>tor-Profile-for-Alberta-Rockies</w:t>
      </w:r>
      <w:r w:rsidRPr="00FB0A1B">
        <w:t xml:space="preserve">; </w:t>
      </w:r>
      <w:r>
        <w:t xml:space="preserve">Government of Alberta, </w:t>
      </w:r>
      <w:r w:rsidRPr="00EE09D0">
        <w:rPr>
          <w:i/>
        </w:rPr>
        <w:t>Tourism in Canadian Rockies:</w:t>
      </w:r>
      <w:r w:rsidRPr="00330D80">
        <w:t xml:space="preserve"> </w:t>
      </w:r>
      <w:r w:rsidRPr="00EC35B5">
        <w:rPr>
          <w:i/>
        </w:rPr>
        <w:t>A Summary of 2011 Visitor Number and Characteristics</w:t>
      </w:r>
      <w:r w:rsidRPr="00330D80">
        <w:t xml:space="preserve"> </w:t>
      </w:r>
      <w:r>
        <w:t>(</w:t>
      </w:r>
      <w:r w:rsidRPr="00330D80">
        <w:t>2013</w:t>
      </w:r>
      <w:r>
        <w:t>)</w:t>
      </w:r>
      <w:r w:rsidRPr="00330D80">
        <w:t>, accessed September 4, 2017</w:t>
      </w:r>
      <w:r>
        <w:t xml:space="preserve">, </w:t>
      </w:r>
      <w:r w:rsidRPr="00330D80">
        <w:t>https://taprdsccdn.azureedge.net/cms/-/media/Industry/Files/resources/research/visitor-profiles/2011/2011-Visitor-Profile-for-Alberta-Rockies</w:t>
      </w:r>
      <w:r>
        <w:t>;</w:t>
      </w:r>
      <w:r w:rsidRPr="00FB0A1B">
        <w:t xml:space="preserve"> </w:t>
      </w:r>
      <w:r>
        <w:t xml:space="preserve">Government of Alberta, </w:t>
      </w:r>
      <w:r w:rsidRPr="00EE09D0">
        <w:rPr>
          <w:i/>
        </w:rPr>
        <w:t>Tourism in Canadian Rockies:</w:t>
      </w:r>
      <w:r>
        <w:t xml:space="preserve"> </w:t>
      </w:r>
      <w:r w:rsidRPr="00EC35B5">
        <w:rPr>
          <w:i/>
        </w:rPr>
        <w:t>A Summary of 2012 Visitor Numbers and Characteristics</w:t>
      </w:r>
      <w:r w:rsidR="00AB4B08">
        <w:t>, op. cit.</w:t>
      </w:r>
      <w:r w:rsidRPr="00FB0A1B">
        <w:t xml:space="preserve">; </w:t>
      </w:r>
      <w:r>
        <w:t xml:space="preserve">Government of Alberta, </w:t>
      </w:r>
      <w:r w:rsidRPr="00EE09D0">
        <w:rPr>
          <w:i/>
        </w:rPr>
        <w:t xml:space="preserve">Tourism Works for Alberta: </w:t>
      </w:r>
      <w:r w:rsidRPr="00716A98">
        <w:rPr>
          <w:i/>
        </w:rPr>
        <w:t>The Economic Impact of Tourism in the</w:t>
      </w:r>
      <w:r w:rsidRPr="00EC35B5">
        <w:rPr>
          <w:i/>
        </w:rPr>
        <w:t xml:space="preserve"> Canadian Rockies Tourism Destination Region, 2010</w:t>
      </w:r>
      <w:r>
        <w:t xml:space="preserve">, </w:t>
      </w:r>
      <w:r w:rsidRPr="00330D80">
        <w:t>accessed September 4, 2017</w:t>
      </w:r>
      <w:r w:rsidR="00042F81">
        <w:t>,</w:t>
      </w:r>
      <w:r w:rsidRPr="00330D80">
        <w:t xml:space="preserve"> https://taprdsccdn.azureedge.net/cms/-/media/Industry/Files/resources/research/economic-impact-studies/2010/economicimpact-canadianrockies-2010</w:t>
      </w:r>
      <w:r>
        <w:t xml:space="preserve">; Government of Alberta, </w:t>
      </w:r>
      <w:r w:rsidRPr="00EE09D0">
        <w:rPr>
          <w:i/>
        </w:rPr>
        <w:t>Tourism Works for Alberta:</w:t>
      </w:r>
      <w:r>
        <w:t xml:space="preserve"> </w:t>
      </w:r>
      <w:r w:rsidRPr="00EC35B5">
        <w:rPr>
          <w:i/>
        </w:rPr>
        <w:t xml:space="preserve">The Economic Impact of Tourism in </w:t>
      </w:r>
      <w:r w:rsidRPr="00716A98">
        <w:rPr>
          <w:i/>
        </w:rPr>
        <w:t>t</w:t>
      </w:r>
      <w:r w:rsidRPr="00EC35B5">
        <w:rPr>
          <w:i/>
        </w:rPr>
        <w:t>he Canadian Rockies Tourism Destination Region, 2011</w:t>
      </w:r>
      <w:r>
        <w:t xml:space="preserve">, </w:t>
      </w:r>
      <w:r w:rsidRPr="00330D80">
        <w:t>accessed September 4, 2017</w:t>
      </w:r>
      <w:r w:rsidR="00042F81">
        <w:t>,</w:t>
      </w:r>
      <w:r w:rsidRPr="00330D80">
        <w:t xml:space="preserve"> https://taprdsccdn.azureedge.net/cms/-/media/Industry/Files/resources/research/economic-impact-studies/2011/economicimpact-canadianrockies-2011</w:t>
      </w:r>
      <w:r>
        <w:t xml:space="preserve">; Government of Alberta, </w:t>
      </w:r>
      <w:r w:rsidRPr="00EE09D0">
        <w:rPr>
          <w:i/>
        </w:rPr>
        <w:t>Tourism Works for Alberta:</w:t>
      </w:r>
      <w:r>
        <w:t xml:space="preserve"> </w:t>
      </w:r>
      <w:r w:rsidRPr="00716A98">
        <w:rPr>
          <w:i/>
        </w:rPr>
        <w:t>The Economic Impact of Tourism in the</w:t>
      </w:r>
      <w:r w:rsidRPr="00EC35B5">
        <w:rPr>
          <w:i/>
        </w:rPr>
        <w:t xml:space="preserve"> Canadian Rockies Tourism Destination Region, 2012</w:t>
      </w:r>
      <w:r>
        <w:t xml:space="preserve">, </w:t>
      </w:r>
      <w:r w:rsidRPr="00330D80">
        <w:t>accessed September 4, 2017</w:t>
      </w:r>
      <w:r>
        <w:t xml:space="preserve">, </w:t>
      </w:r>
      <w:r w:rsidRPr="00330D80">
        <w:t>https://taprdsccdn.azureedge.net/cms/-/media/Industry/Files/resources/research/economic-impact-studies/2012/econ</w:t>
      </w:r>
      <w:r>
        <w:t>omicimpact-canadianrockies-2012</w:t>
      </w:r>
      <w:r w:rsidRPr="00FB0A1B">
        <w:t>.</w:t>
      </w:r>
    </w:p>
  </w:endnote>
  <w:endnote w:id="16">
    <w:p w14:paraId="096E657C" w14:textId="5D1F82F0" w:rsidR="00455BA9" w:rsidRPr="001D4329" w:rsidRDefault="00455BA9" w:rsidP="00226C43">
      <w:pPr>
        <w:pStyle w:val="Footnote"/>
        <w:jc w:val="both"/>
        <w:rPr>
          <w:spacing w:val="-4"/>
          <w:kern w:val="17"/>
        </w:rPr>
      </w:pPr>
      <w:r w:rsidRPr="001D4329">
        <w:rPr>
          <w:rStyle w:val="EndnoteReference"/>
          <w:spacing w:val="-4"/>
          <w:kern w:val="17"/>
        </w:rPr>
        <w:endnoteRef/>
      </w:r>
      <w:r w:rsidRPr="001D4329">
        <w:rPr>
          <w:spacing w:val="-4"/>
          <w:kern w:val="17"/>
        </w:rPr>
        <w:t xml:space="preserve"> Government of Alberta, </w:t>
      </w:r>
      <w:r w:rsidRPr="00D82DEC">
        <w:rPr>
          <w:i/>
          <w:spacing w:val="-4"/>
          <w:kern w:val="17"/>
        </w:rPr>
        <w:t>Tourism in Canadian Rockies Tourism Region: A Summary of 2012 Visitor Numbers and Characteristics</w:t>
      </w:r>
      <w:r w:rsidR="00AB4B08">
        <w:rPr>
          <w:spacing w:val="-4"/>
          <w:kern w:val="17"/>
        </w:rPr>
        <w:t>, op. cit</w:t>
      </w:r>
      <w:r w:rsidRPr="001D4329">
        <w:rPr>
          <w:spacing w:val="-4"/>
          <w:kern w:val="17"/>
        </w:rPr>
        <w:t xml:space="preserve">. </w:t>
      </w:r>
    </w:p>
  </w:endnote>
  <w:endnote w:id="17">
    <w:p w14:paraId="6B37F5B3" w14:textId="522BDAE7" w:rsidR="00455BA9" w:rsidRDefault="00455BA9" w:rsidP="00226C43">
      <w:pPr>
        <w:pStyle w:val="Footnote"/>
        <w:jc w:val="both"/>
      </w:pPr>
      <w:r w:rsidRPr="00EC35B5">
        <w:rPr>
          <w:rStyle w:val="EndnoteReference"/>
        </w:rPr>
        <w:endnoteRef/>
      </w:r>
      <w:r>
        <w:t xml:space="preserve"> Canadian Tourism Commission, </w:t>
      </w:r>
      <w:r w:rsidRPr="00EC35B5">
        <w:rPr>
          <w:i/>
        </w:rPr>
        <w:t>2012 China Ski Study</w:t>
      </w:r>
      <w:r>
        <w:t xml:space="preserve">, op. cit. </w:t>
      </w:r>
    </w:p>
  </w:endnote>
  <w:endnote w:id="18">
    <w:p w14:paraId="5CD9C1F2" w14:textId="52A2667F" w:rsidR="00455BA9" w:rsidRPr="00FB0A1B" w:rsidRDefault="00455BA9" w:rsidP="00226C43">
      <w:pPr>
        <w:pStyle w:val="Footnote"/>
        <w:jc w:val="both"/>
      </w:pPr>
      <w:r w:rsidRPr="00EC35B5">
        <w:rPr>
          <w:rStyle w:val="EndnoteReference"/>
        </w:rPr>
        <w:endnoteRef/>
      </w:r>
      <w:r>
        <w:t xml:space="preserve"> Deloitte, </w:t>
      </w:r>
      <w:r w:rsidRPr="00EC35B5">
        <w:rPr>
          <w:i/>
        </w:rPr>
        <w:t>Town of Banff Economic Prosperity Strategy</w:t>
      </w:r>
      <w:r>
        <w:t xml:space="preserve"> (2014)</w:t>
      </w:r>
      <w:r w:rsidRPr="00FB0A1B">
        <w:t xml:space="preserve">, </w:t>
      </w:r>
      <w:r>
        <w:t>32–</w:t>
      </w:r>
      <w:r w:rsidRPr="00FB0A1B">
        <w:t>33, accessed August 26, 2017, http://banff.ca/DocumentCenter/View/2094.</w:t>
      </w:r>
    </w:p>
  </w:endnote>
  <w:endnote w:id="19">
    <w:p w14:paraId="28F24CBD" w14:textId="0063944A" w:rsidR="00455BA9" w:rsidRDefault="00455BA9" w:rsidP="00226C43">
      <w:pPr>
        <w:pStyle w:val="Footnote"/>
        <w:jc w:val="both"/>
      </w:pPr>
      <w:r w:rsidRPr="00EC35B5">
        <w:rPr>
          <w:rStyle w:val="EndnoteReference"/>
        </w:rPr>
        <w:endnoteRef/>
      </w:r>
      <w:r>
        <w:t xml:space="preserve"> Deloitte, op. cit., 33–34. </w:t>
      </w:r>
    </w:p>
  </w:endnote>
  <w:endnote w:id="20">
    <w:p w14:paraId="61E936B3" w14:textId="39F92F35" w:rsidR="00455BA9" w:rsidRPr="00122625" w:rsidRDefault="00455BA9" w:rsidP="00226C43">
      <w:pPr>
        <w:pStyle w:val="Footnote"/>
        <w:jc w:val="both"/>
        <w:rPr>
          <w:lang w:val="en-CA"/>
        </w:rPr>
      </w:pPr>
      <w:r>
        <w:rPr>
          <w:rStyle w:val="EndnoteReference"/>
        </w:rPr>
        <w:endnoteRef/>
      </w:r>
      <w:r>
        <w:t xml:space="preserve"> </w:t>
      </w:r>
      <w:r w:rsidRPr="00122625">
        <w:t xml:space="preserve">Deloitte, op. cit., 36–37. </w:t>
      </w:r>
    </w:p>
  </w:endnote>
  <w:endnote w:id="21">
    <w:p w14:paraId="7276B0BF" w14:textId="19177FDA" w:rsidR="00455BA9" w:rsidRDefault="00455BA9" w:rsidP="00226C43">
      <w:pPr>
        <w:pStyle w:val="Footnote"/>
        <w:jc w:val="both"/>
      </w:pPr>
      <w:r w:rsidRPr="00EC35B5">
        <w:rPr>
          <w:rStyle w:val="EndnoteReference"/>
        </w:rPr>
        <w:endnoteRef/>
      </w:r>
      <w:r>
        <w:t xml:space="preserve"> Deloitte, op. cit., 36–37. </w:t>
      </w:r>
    </w:p>
  </w:endnote>
  <w:endnote w:id="22">
    <w:p w14:paraId="4E67712B" w14:textId="18E07026" w:rsidR="00455BA9" w:rsidRPr="00FB0A1B" w:rsidRDefault="00455BA9" w:rsidP="00226C43">
      <w:pPr>
        <w:pStyle w:val="Footnote"/>
        <w:jc w:val="both"/>
      </w:pPr>
      <w:r w:rsidRPr="00EC35B5">
        <w:rPr>
          <w:rStyle w:val="EndnoteReference"/>
        </w:rPr>
        <w:endnoteRef/>
      </w:r>
      <w:r>
        <w:t xml:space="preserve"> “Banff Aspen Lodge,” Canadian Hotel Guide, accessed September 4, </w:t>
      </w:r>
      <w:r w:rsidRPr="00FB0A1B">
        <w:t xml:space="preserve">2017, http://canadianhotelguide.com/ca/Alberta-hotels/Banff-hotels/Banff_Aspen_Lodge-hotel.html. </w:t>
      </w:r>
    </w:p>
  </w:endnote>
  <w:endnote w:id="23">
    <w:p w14:paraId="716D5A1B" w14:textId="753B2949" w:rsidR="00455BA9" w:rsidRPr="00FB0A1B" w:rsidRDefault="00455BA9" w:rsidP="00226C43">
      <w:pPr>
        <w:pStyle w:val="Footnote"/>
        <w:jc w:val="both"/>
      </w:pPr>
      <w:r w:rsidRPr="00EC35B5">
        <w:rPr>
          <w:rStyle w:val="EndnoteReference"/>
        </w:rPr>
        <w:endnoteRef/>
      </w:r>
      <w:r>
        <w:t xml:space="preserve"> Statistics Canada, “NHS Focus on Geography Series: Town of Banff,” </w:t>
      </w:r>
      <w:r w:rsidRPr="00EC35B5">
        <w:rPr>
          <w:i/>
        </w:rPr>
        <w:t>2011 Census</w:t>
      </w:r>
      <w:r>
        <w:t xml:space="preserve"> (2013), accessed September 9, </w:t>
      </w:r>
      <w:r w:rsidRPr="00FB0A1B">
        <w:t xml:space="preserve">2017, </w:t>
      </w:r>
      <w:hyperlink r:id="rId1">
        <w:r w:rsidRPr="00FB0A1B">
          <w:t>http://www12.statcan.gc.ca/nhs-enm/2011/as-sa/fogs-spg/Pages/FOG.cfm?GeoCode=4815035&amp;lang=E&amp;level=4</w:t>
        </w:r>
      </w:hyperlink>
      <w:r w:rsidRPr="00FB0A1B">
        <w:t>.</w:t>
      </w:r>
    </w:p>
  </w:endnote>
  <w:endnote w:id="24">
    <w:p w14:paraId="0B26B5B3" w14:textId="35908CC3" w:rsidR="00455BA9" w:rsidRPr="00FB0A1B" w:rsidRDefault="00455BA9" w:rsidP="00226C43">
      <w:pPr>
        <w:pStyle w:val="Footnote"/>
        <w:jc w:val="both"/>
      </w:pPr>
      <w:r w:rsidRPr="00EC35B5">
        <w:rPr>
          <w:rStyle w:val="EndnoteReference"/>
        </w:rPr>
        <w:endnoteRef/>
      </w:r>
      <w:r>
        <w:t xml:space="preserve"> “International Experience Canada,” Immigration and Citizenship, Government of Canada, accessed September 9, </w:t>
      </w:r>
      <w:r w:rsidRPr="00FB0A1B">
        <w:t>2017, http://www.cic.gc.ca/english/work/iec.</w:t>
      </w:r>
    </w:p>
  </w:endnote>
  <w:endnote w:id="25">
    <w:p w14:paraId="6715391D" w14:textId="76DC2D16" w:rsidR="00455BA9" w:rsidRDefault="00455BA9" w:rsidP="00226C43">
      <w:pPr>
        <w:pStyle w:val="Footnote"/>
        <w:jc w:val="both"/>
      </w:pPr>
      <w:r w:rsidRPr="00EC35B5">
        <w:rPr>
          <w:rStyle w:val="EndnoteReference"/>
        </w:rPr>
        <w:endnoteRef/>
      </w:r>
      <w:r>
        <w:t xml:space="preserve"> A. Alvarez, </w:t>
      </w:r>
      <w:r w:rsidRPr="00EC35B5">
        <w:rPr>
          <w:i/>
        </w:rPr>
        <w:t xml:space="preserve">Coffee </w:t>
      </w:r>
      <w:r>
        <w:rPr>
          <w:i/>
        </w:rPr>
        <w:t>and</w:t>
      </w:r>
      <w:r w:rsidRPr="00EC35B5">
        <w:rPr>
          <w:i/>
        </w:rPr>
        <w:t xml:space="preserve"> Snack Shops in Canada</w:t>
      </w:r>
      <w:r>
        <w:t xml:space="preserve"> (IBISWorld Industry Report 72221bCA, February, 2017).</w:t>
      </w:r>
    </w:p>
  </w:endnote>
  <w:endnote w:id="26">
    <w:p w14:paraId="343D0A5E" w14:textId="5720DB29" w:rsidR="00455BA9" w:rsidRPr="001D4329" w:rsidRDefault="00455BA9" w:rsidP="00226C43">
      <w:pPr>
        <w:pStyle w:val="Footnote"/>
        <w:jc w:val="both"/>
        <w:rPr>
          <w:spacing w:val="-4"/>
          <w:kern w:val="17"/>
        </w:rPr>
      </w:pPr>
      <w:r w:rsidRPr="001D4329">
        <w:rPr>
          <w:rStyle w:val="EndnoteReference"/>
          <w:spacing w:val="-4"/>
          <w:kern w:val="17"/>
        </w:rPr>
        <w:endnoteRef/>
      </w:r>
      <w:r w:rsidRPr="001D4329">
        <w:rPr>
          <w:spacing w:val="-4"/>
          <w:kern w:val="17"/>
        </w:rPr>
        <w:t xml:space="preserve"> Extrapolated from Grant Thornton, WMC, and Econometric Research Limited, </w:t>
      </w:r>
      <w:r w:rsidRPr="001D4329">
        <w:rPr>
          <w:i/>
          <w:spacing w:val="-4"/>
          <w:kern w:val="17"/>
        </w:rPr>
        <w:t xml:space="preserve">Banff, Jasper and </w:t>
      </w:r>
      <w:proofErr w:type="spellStart"/>
      <w:r w:rsidRPr="001D4329">
        <w:rPr>
          <w:i/>
          <w:spacing w:val="-4"/>
          <w:kern w:val="17"/>
        </w:rPr>
        <w:t>Canmore</w:t>
      </w:r>
      <w:proofErr w:type="spellEnd"/>
      <w:r w:rsidRPr="001D4329">
        <w:rPr>
          <w:i/>
          <w:spacing w:val="-4"/>
          <w:kern w:val="17"/>
        </w:rPr>
        <w:t>: Tourism Economic Impact Study</w:t>
      </w:r>
      <w:r w:rsidRPr="001D4329">
        <w:rPr>
          <w:spacing w:val="-4"/>
          <w:kern w:val="17"/>
        </w:rPr>
        <w:t xml:space="preserve"> (2016), accessed August 27, 2017, https://canmore.ca/documents/975-tourism-economic-impact-study-2016.</w:t>
      </w:r>
    </w:p>
  </w:endnote>
  <w:endnote w:id="27">
    <w:p w14:paraId="24C38327" w14:textId="66A6890D" w:rsidR="00455BA9" w:rsidRDefault="00455BA9" w:rsidP="00226C43">
      <w:pPr>
        <w:pStyle w:val="Footnote"/>
        <w:jc w:val="both"/>
      </w:pPr>
      <w:r w:rsidRPr="00EC35B5">
        <w:rPr>
          <w:rStyle w:val="EndnoteReference"/>
        </w:rPr>
        <w:endnoteRef/>
      </w:r>
      <w:r>
        <w:t xml:space="preserve"> A. Alvarez, </w:t>
      </w:r>
      <w:r w:rsidRPr="00EC35B5">
        <w:rPr>
          <w:i/>
        </w:rPr>
        <w:t xml:space="preserve">Coffee </w:t>
      </w:r>
      <w:r w:rsidRPr="00A226DF">
        <w:rPr>
          <w:i/>
        </w:rPr>
        <w:t>and</w:t>
      </w:r>
      <w:r w:rsidRPr="00EC35B5">
        <w:rPr>
          <w:i/>
        </w:rPr>
        <w:t xml:space="preserve"> Snack Shops in Canada</w:t>
      </w:r>
      <w:r>
        <w:t xml:space="preserve">, op. cit. </w:t>
      </w:r>
    </w:p>
  </w:endnote>
  <w:endnote w:id="28">
    <w:p w14:paraId="7B8B422F" w14:textId="615F1DFA" w:rsidR="00455BA9" w:rsidRDefault="00455BA9" w:rsidP="00226C43">
      <w:pPr>
        <w:pStyle w:val="Footnote"/>
        <w:jc w:val="both"/>
      </w:pPr>
      <w:r w:rsidRPr="00EC35B5">
        <w:rPr>
          <w:rStyle w:val="EndnoteReference"/>
        </w:rPr>
        <w:endnoteRef/>
      </w:r>
      <w:r>
        <w:t xml:space="preserve"> Ibid. </w:t>
      </w:r>
    </w:p>
  </w:endnote>
  <w:endnote w:id="29">
    <w:p w14:paraId="28770F2B" w14:textId="20FC83ED" w:rsidR="00455BA9" w:rsidRDefault="00455BA9" w:rsidP="00226C43">
      <w:pPr>
        <w:pStyle w:val="Footnote"/>
        <w:jc w:val="both"/>
      </w:pPr>
      <w:r w:rsidRPr="00EC35B5">
        <w:rPr>
          <w:rStyle w:val="EndnoteReference"/>
        </w:rPr>
        <w:endnoteRef/>
      </w:r>
      <w:r>
        <w:t xml:space="preserve"> Ibid. </w:t>
      </w:r>
    </w:p>
  </w:endnote>
  <w:endnote w:id="30">
    <w:p w14:paraId="7A8DB577" w14:textId="2116978E" w:rsidR="00455BA9" w:rsidRDefault="00455BA9" w:rsidP="00226C43">
      <w:pPr>
        <w:pStyle w:val="Footnote"/>
        <w:jc w:val="both"/>
      </w:pPr>
      <w:r w:rsidRPr="00EC35B5">
        <w:rPr>
          <w:rStyle w:val="EndnoteReference"/>
        </w:rPr>
        <w:endnoteRef/>
      </w:r>
      <w:r>
        <w:t xml:space="preserve"> Deloitte, op. cit. 14. </w:t>
      </w:r>
    </w:p>
  </w:endnote>
  <w:endnote w:id="31">
    <w:p w14:paraId="2977960F" w14:textId="4AEF82AC" w:rsidR="00455BA9" w:rsidRDefault="00455BA9" w:rsidP="00226C43">
      <w:pPr>
        <w:pStyle w:val="Footnote"/>
        <w:jc w:val="both"/>
      </w:pPr>
      <w:r w:rsidRPr="00EC35B5">
        <w:rPr>
          <w:rStyle w:val="EndnoteReference"/>
        </w:rPr>
        <w:endnoteRef/>
      </w:r>
      <w:r>
        <w:t xml:space="preserve"> A. Alvarez, </w:t>
      </w:r>
      <w:r w:rsidRPr="00EC35B5">
        <w:rPr>
          <w:i/>
        </w:rPr>
        <w:t>Full-Service Restaurants in Canada</w:t>
      </w:r>
      <w:r>
        <w:t xml:space="preserve"> (IBISWorld Industry Report 72211CA, 2017).</w:t>
      </w:r>
    </w:p>
  </w:endnote>
  <w:endnote w:id="32">
    <w:p w14:paraId="7FB4C359" w14:textId="218E03C5" w:rsidR="00455BA9" w:rsidRPr="007E21A0" w:rsidRDefault="00455BA9" w:rsidP="00226C43">
      <w:pPr>
        <w:pStyle w:val="Footnote"/>
        <w:jc w:val="both"/>
        <w:rPr>
          <w:lang w:val="en-CA"/>
        </w:rPr>
      </w:pPr>
      <w:r w:rsidRPr="003971C9">
        <w:rPr>
          <w:rStyle w:val="EndnoteReference"/>
        </w:rPr>
        <w:endnoteRef/>
      </w:r>
      <w:r>
        <w:t xml:space="preserve"> </w:t>
      </w:r>
      <w:r>
        <w:rPr>
          <w:lang w:val="en-CA"/>
        </w:rPr>
        <w:t xml:space="preserve">Ibid. </w:t>
      </w:r>
    </w:p>
  </w:endnote>
  <w:endnote w:id="33">
    <w:p w14:paraId="6BC492CA" w14:textId="5C4A2134" w:rsidR="00455BA9" w:rsidRPr="00FB0A1B" w:rsidRDefault="00455BA9" w:rsidP="00226C43">
      <w:pPr>
        <w:pStyle w:val="Footnote"/>
        <w:jc w:val="both"/>
      </w:pPr>
      <w:r w:rsidRPr="00EC35B5">
        <w:rPr>
          <w:rStyle w:val="EndnoteReference"/>
        </w:rPr>
        <w:endnoteRef/>
      </w:r>
      <w:r>
        <w:t xml:space="preserve"> </w:t>
      </w:r>
      <w:r w:rsidRPr="00FB0A1B">
        <w:t xml:space="preserve">“About the </w:t>
      </w:r>
      <w:r>
        <w:t>Canada–</w:t>
      </w:r>
      <w:r w:rsidRPr="00FB0A1B">
        <w:t>China</w:t>
      </w:r>
      <w:r>
        <w:t xml:space="preserve"> </w:t>
      </w:r>
      <w:r w:rsidRPr="00FB0A1B">
        <w:t xml:space="preserve">Inbound Tour Operator Registration Program,” </w:t>
      </w:r>
      <w:r>
        <w:t xml:space="preserve">Tourism Industry </w:t>
      </w:r>
      <w:r w:rsidRPr="00FB0A1B">
        <w:t xml:space="preserve">Association of Canada, accessed February 18, 2018, </w:t>
      </w:r>
      <w:hyperlink r:id="rId2">
        <w:r w:rsidRPr="00FB0A1B">
          <w:t>https://tiac-aitc.ca/itoabout.htm</w:t>
        </w:r>
      </w:hyperlink>
      <w:r w:rsidRPr="00FB0A1B">
        <w:t>.</w:t>
      </w:r>
    </w:p>
  </w:endnote>
  <w:endnote w:id="34">
    <w:p w14:paraId="6F404B50" w14:textId="75EDE9C7" w:rsidR="00455BA9" w:rsidRDefault="00455BA9" w:rsidP="00226C43">
      <w:pPr>
        <w:pStyle w:val="Footnote"/>
        <w:jc w:val="both"/>
      </w:pPr>
      <w:r w:rsidRPr="00EC35B5">
        <w:rPr>
          <w:rStyle w:val="EndnoteReference"/>
        </w:rPr>
        <w:endnoteRef/>
      </w:r>
      <w:r>
        <w:t xml:space="preserve"> Canadian Tourism Commission, </w:t>
      </w:r>
      <w:r w:rsidRPr="00EC35B5">
        <w:rPr>
          <w:i/>
        </w:rPr>
        <w:t>2012 Ch</w:t>
      </w:r>
      <w:bookmarkStart w:id="1" w:name="_GoBack"/>
      <w:bookmarkEnd w:id="1"/>
      <w:r w:rsidRPr="00EC35B5">
        <w:rPr>
          <w:i/>
        </w:rPr>
        <w:t>ina Ski Study</w:t>
      </w:r>
      <w:r>
        <w:t xml:space="preserve">, op. cit. </w:t>
      </w:r>
    </w:p>
  </w:endnote>
  <w:endnote w:id="35">
    <w:p w14:paraId="109626B0" w14:textId="147F6375" w:rsidR="00455BA9" w:rsidRDefault="00455BA9" w:rsidP="00226C43">
      <w:pPr>
        <w:pStyle w:val="Footnote"/>
        <w:jc w:val="both"/>
      </w:pPr>
      <w:r w:rsidRPr="00EC35B5">
        <w:rPr>
          <w:rStyle w:val="EndnoteReference"/>
        </w:rPr>
        <w:endnoteRef/>
      </w:r>
      <w:r>
        <w:t xml:space="preserve"> Ibid. </w:t>
      </w:r>
    </w:p>
  </w:endnote>
  <w:endnote w:id="36">
    <w:p w14:paraId="06222441" w14:textId="114CAF5B" w:rsidR="00455BA9" w:rsidRPr="00310D17" w:rsidRDefault="00455BA9" w:rsidP="00226C43">
      <w:pPr>
        <w:pStyle w:val="Footnote"/>
        <w:jc w:val="both"/>
        <w:rPr>
          <w:lang w:val="en-CA"/>
        </w:rPr>
      </w:pPr>
      <w:r w:rsidRPr="003971C9">
        <w:rPr>
          <w:rStyle w:val="EndnoteReference"/>
        </w:rPr>
        <w:endnoteRef/>
      </w:r>
      <w:r>
        <w:t xml:space="preserve"> </w:t>
      </w:r>
      <w:r w:rsidRPr="00EC35B5">
        <w:t xml:space="preserve">Alvarez, </w:t>
      </w:r>
      <w:r w:rsidRPr="00EC35B5">
        <w:rPr>
          <w:i/>
        </w:rPr>
        <w:t xml:space="preserve">Hotels </w:t>
      </w:r>
      <w:r w:rsidRPr="00D978F4">
        <w:rPr>
          <w:i/>
        </w:rPr>
        <w:t>and</w:t>
      </w:r>
      <w:r w:rsidRPr="00EC35B5">
        <w:rPr>
          <w:i/>
        </w:rPr>
        <w:t xml:space="preserve"> Motels in Canada</w:t>
      </w:r>
      <w:r>
        <w:t xml:space="preserve">, op. cit.; and </w:t>
      </w:r>
      <w:proofErr w:type="spellStart"/>
      <w:r>
        <w:t>Audet</w:t>
      </w:r>
      <w:proofErr w:type="spellEnd"/>
      <w:r>
        <w:t xml:space="preserve">,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99200" w14:textId="77777777" w:rsidR="00455BA9" w:rsidRDefault="00455BA9" w:rsidP="00D75295">
      <w:r>
        <w:separator/>
      </w:r>
    </w:p>
  </w:footnote>
  <w:footnote w:type="continuationSeparator" w:id="0">
    <w:p w14:paraId="1DEAF3D9" w14:textId="77777777" w:rsidR="00455BA9" w:rsidRDefault="00455BA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85CA3" w14:textId="79D46A2C" w:rsidR="00455BA9" w:rsidRPr="00C92CC4" w:rsidRDefault="00455BA9" w:rsidP="00A34BA3">
    <w:pPr>
      <w:pBdr>
        <w:bottom w:val="single" w:sz="18" w:space="1" w:color="auto"/>
      </w:pBdr>
      <w:tabs>
        <w:tab w:val="left" w:pos="-1440"/>
        <w:tab w:val="left" w:pos="-720"/>
        <w:tab w:val="right" w:pos="1323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26C43">
      <w:rPr>
        <w:rFonts w:ascii="Arial" w:hAnsi="Arial"/>
        <w:b/>
        <w:noProof/>
      </w:rPr>
      <w:t>9</w:t>
    </w:r>
    <w:r>
      <w:rPr>
        <w:rFonts w:ascii="Arial" w:hAnsi="Arial"/>
        <w:b/>
      </w:rPr>
      <w:fldChar w:fldCharType="end"/>
    </w:r>
    <w:r w:rsidR="008F6306">
      <w:rPr>
        <w:rFonts w:ascii="Arial" w:hAnsi="Arial"/>
        <w:b/>
      </w:rPr>
      <w:tab/>
      <w:t>9B18M126</w:t>
    </w:r>
  </w:p>
  <w:p w14:paraId="47B68F50" w14:textId="77777777" w:rsidR="00455BA9" w:rsidRDefault="00455BA9" w:rsidP="00D13667">
    <w:pPr>
      <w:pStyle w:val="Header"/>
      <w:tabs>
        <w:tab w:val="clear" w:pos="4680"/>
      </w:tabs>
      <w:rPr>
        <w:sz w:val="18"/>
        <w:szCs w:val="18"/>
      </w:rPr>
    </w:pPr>
  </w:p>
  <w:p w14:paraId="41A4CF72" w14:textId="77777777" w:rsidR="00455BA9" w:rsidRPr="00C92CC4" w:rsidRDefault="00455BA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40E36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F224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6464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334EF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18A3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0C7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69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6899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4EF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6C42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662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44F"/>
    <w:rsid w:val="00013360"/>
    <w:rsid w:val="00016759"/>
    <w:rsid w:val="000216CE"/>
    <w:rsid w:val="00022D53"/>
    <w:rsid w:val="00024ED4"/>
    <w:rsid w:val="00025DC7"/>
    <w:rsid w:val="00035F09"/>
    <w:rsid w:val="00042F81"/>
    <w:rsid w:val="00044ECC"/>
    <w:rsid w:val="000531D3"/>
    <w:rsid w:val="0005646B"/>
    <w:rsid w:val="00066797"/>
    <w:rsid w:val="000709C1"/>
    <w:rsid w:val="0008102D"/>
    <w:rsid w:val="00094C0E"/>
    <w:rsid w:val="00096294"/>
    <w:rsid w:val="000B329E"/>
    <w:rsid w:val="000D3813"/>
    <w:rsid w:val="000D507F"/>
    <w:rsid w:val="000D7091"/>
    <w:rsid w:val="000F0C22"/>
    <w:rsid w:val="000F6B09"/>
    <w:rsid w:val="000F6FDC"/>
    <w:rsid w:val="00104567"/>
    <w:rsid w:val="00104916"/>
    <w:rsid w:val="00104AA7"/>
    <w:rsid w:val="00122625"/>
    <w:rsid w:val="0012732D"/>
    <w:rsid w:val="00133354"/>
    <w:rsid w:val="0014004C"/>
    <w:rsid w:val="00142995"/>
    <w:rsid w:val="00143F25"/>
    <w:rsid w:val="00144726"/>
    <w:rsid w:val="00152682"/>
    <w:rsid w:val="00154FC9"/>
    <w:rsid w:val="00174129"/>
    <w:rsid w:val="00191802"/>
    <w:rsid w:val="0019241A"/>
    <w:rsid w:val="001A0D87"/>
    <w:rsid w:val="001A22D1"/>
    <w:rsid w:val="001A6CE8"/>
    <w:rsid w:val="001A752D"/>
    <w:rsid w:val="001A757E"/>
    <w:rsid w:val="001B5032"/>
    <w:rsid w:val="001C7777"/>
    <w:rsid w:val="001D4329"/>
    <w:rsid w:val="001E34C8"/>
    <w:rsid w:val="001E364F"/>
    <w:rsid w:val="001F4222"/>
    <w:rsid w:val="00203AA1"/>
    <w:rsid w:val="00213258"/>
    <w:rsid w:val="00213E98"/>
    <w:rsid w:val="00226C43"/>
    <w:rsid w:val="0023081A"/>
    <w:rsid w:val="00251476"/>
    <w:rsid w:val="00277076"/>
    <w:rsid w:val="00284FB7"/>
    <w:rsid w:val="002A0501"/>
    <w:rsid w:val="002A29D9"/>
    <w:rsid w:val="002F078B"/>
    <w:rsid w:val="002F460C"/>
    <w:rsid w:val="002F48D6"/>
    <w:rsid w:val="00300438"/>
    <w:rsid w:val="00310D17"/>
    <w:rsid w:val="00317391"/>
    <w:rsid w:val="00322253"/>
    <w:rsid w:val="00326216"/>
    <w:rsid w:val="00330D80"/>
    <w:rsid w:val="00336580"/>
    <w:rsid w:val="00354899"/>
    <w:rsid w:val="00355FD6"/>
    <w:rsid w:val="00357CB5"/>
    <w:rsid w:val="00364A5C"/>
    <w:rsid w:val="003665F1"/>
    <w:rsid w:val="00373FB1"/>
    <w:rsid w:val="00396C76"/>
    <w:rsid w:val="003971C9"/>
    <w:rsid w:val="00397F63"/>
    <w:rsid w:val="003A5390"/>
    <w:rsid w:val="003B30D8"/>
    <w:rsid w:val="003B515C"/>
    <w:rsid w:val="003B5A7D"/>
    <w:rsid w:val="003B7EF2"/>
    <w:rsid w:val="003C3FA4"/>
    <w:rsid w:val="003C4743"/>
    <w:rsid w:val="003D0BA1"/>
    <w:rsid w:val="003E27F9"/>
    <w:rsid w:val="003E476E"/>
    <w:rsid w:val="003F2B0C"/>
    <w:rsid w:val="004105B2"/>
    <w:rsid w:val="00412900"/>
    <w:rsid w:val="004143E5"/>
    <w:rsid w:val="0042042E"/>
    <w:rsid w:val="004221E4"/>
    <w:rsid w:val="004273F8"/>
    <w:rsid w:val="004355A3"/>
    <w:rsid w:val="0043602B"/>
    <w:rsid w:val="0044338B"/>
    <w:rsid w:val="00446546"/>
    <w:rsid w:val="00452769"/>
    <w:rsid w:val="00455BA9"/>
    <w:rsid w:val="00455D11"/>
    <w:rsid w:val="00465348"/>
    <w:rsid w:val="00465D53"/>
    <w:rsid w:val="004736E5"/>
    <w:rsid w:val="00492A19"/>
    <w:rsid w:val="004B1CCB"/>
    <w:rsid w:val="004B632F"/>
    <w:rsid w:val="004C2B23"/>
    <w:rsid w:val="004D3FB1"/>
    <w:rsid w:val="004D6F21"/>
    <w:rsid w:val="004D73A5"/>
    <w:rsid w:val="004E389B"/>
    <w:rsid w:val="005126E7"/>
    <w:rsid w:val="005160F1"/>
    <w:rsid w:val="00524BBC"/>
    <w:rsid w:val="00524F2F"/>
    <w:rsid w:val="00527E5C"/>
    <w:rsid w:val="00532CF5"/>
    <w:rsid w:val="005348B6"/>
    <w:rsid w:val="0054365B"/>
    <w:rsid w:val="00550388"/>
    <w:rsid w:val="005528CB"/>
    <w:rsid w:val="00563ABA"/>
    <w:rsid w:val="00566771"/>
    <w:rsid w:val="00581E2E"/>
    <w:rsid w:val="00584F15"/>
    <w:rsid w:val="005860C0"/>
    <w:rsid w:val="0059514B"/>
    <w:rsid w:val="005A1B0F"/>
    <w:rsid w:val="005A41A0"/>
    <w:rsid w:val="005B185F"/>
    <w:rsid w:val="006163F7"/>
    <w:rsid w:val="00616B40"/>
    <w:rsid w:val="00627C63"/>
    <w:rsid w:val="0063350B"/>
    <w:rsid w:val="00637449"/>
    <w:rsid w:val="00652606"/>
    <w:rsid w:val="0066352E"/>
    <w:rsid w:val="006715DD"/>
    <w:rsid w:val="006946EE"/>
    <w:rsid w:val="006A58A9"/>
    <w:rsid w:val="006A606D"/>
    <w:rsid w:val="006B3D86"/>
    <w:rsid w:val="006B6F22"/>
    <w:rsid w:val="006C0371"/>
    <w:rsid w:val="006C08B6"/>
    <w:rsid w:val="006C0B1A"/>
    <w:rsid w:val="006C6065"/>
    <w:rsid w:val="006C7F9F"/>
    <w:rsid w:val="006E2F6D"/>
    <w:rsid w:val="006E58F6"/>
    <w:rsid w:val="006E77E1"/>
    <w:rsid w:val="006F131D"/>
    <w:rsid w:val="006F743B"/>
    <w:rsid w:val="00711642"/>
    <w:rsid w:val="00716A98"/>
    <w:rsid w:val="007358DF"/>
    <w:rsid w:val="007507C6"/>
    <w:rsid w:val="00751E0B"/>
    <w:rsid w:val="00752BCD"/>
    <w:rsid w:val="00766DA1"/>
    <w:rsid w:val="00780D94"/>
    <w:rsid w:val="007866A6"/>
    <w:rsid w:val="007A130D"/>
    <w:rsid w:val="007B46D9"/>
    <w:rsid w:val="007D11D8"/>
    <w:rsid w:val="007D1A2D"/>
    <w:rsid w:val="007D4102"/>
    <w:rsid w:val="007F43B7"/>
    <w:rsid w:val="00820E87"/>
    <w:rsid w:val="00821FFC"/>
    <w:rsid w:val="00824D60"/>
    <w:rsid w:val="008271CA"/>
    <w:rsid w:val="008467D5"/>
    <w:rsid w:val="00851FF7"/>
    <w:rsid w:val="00856F43"/>
    <w:rsid w:val="00863663"/>
    <w:rsid w:val="00876723"/>
    <w:rsid w:val="0088380B"/>
    <w:rsid w:val="008A4DC4"/>
    <w:rsid w:val="008B438C"/>
    <w:rsid w:val="008D06CA"/>
    <w:rsid w:val="008D3A46"/>
    <w:rsid w:val="008E0BD9"/>
    <w:rsid w:val="008F6306"/>
    <w:rsid w:val="009067A4"/>
    <w:rsid w:val="00907CBE"/>
    <w:rsid w:val="00911E6B"/>
    <w:rsid w:val="00930885"/>
    <w:rsid w:val="00933D68"/>
    <w:rsid w:val="009340DB"/>
    <w:rsid w:val="00942E8D"/>
    <w:rsid w:val="0094618C"/>
    <w:rsid w:val="00947274"/>
    <w:rsid w:val="0095684B"/>
    <w:rsid w:val="00965DA7"/>
    <w:rsid w:val="00972498"/>
    <w:rsid w:val="0097481F"/>
    <w:rsid w:val="00974CC6"/>
    <w:rsid w:val="00976AD4"/>
    <w:rsid w:val="009853C2"/>
    <w:rsid w:val="00995547"/>
    <w:rsid w:val="00996582"/>
    <w:rsid w:val="009A106B"/>
    <w:rsid w:val="009A312F"/>
    <w:rsid w:val="009A5348"/>
    <w:rsid w:val="009B0AB7"/>
    <w:rsid w:val="009B18A7"/>
    <w:rsid w:val="009C76D5"/>
    <w:rsid w:val="009F350B"/>
    <w:rsid w:val="009F7AA4"/>
    <w:rsid w:val="00A0348E"/>
    <w:rsid w:val="00A10AD7"/>
    <w:rsid w:val="00A129F4"/>
    <w:rsid w:val="00A157AE"/>
    <w:rsid w:val="00A226DF"/>
    <w:rsid w:val="00A261EF"/>
    <w:rsid w:val="00A34BA3"/>
    <w:rsid w:val="00A34CC7"/>
    <w:rsid w:val="00A42F1C"/>
    <w:rsid w:val="00A559DB"/>
    <w:rsid w:val="00A569EA"/>
    <w:rsid w:val="00A637FF"/>
    <w:rsid w:val="00A85681"/>
    <w:rsid w:val="00AB141C"/>
    <w:rsid w:val="00AB4754"/>
    <w:rsid w:val="00AB4B08"/>
    <w:rsid w:val="00AB73AF"/>
    <w:rsid w:val="00AB7AF6"/>
    <w:rsid w:val="00AC26D7"/>
    <w:rsid w:val="00AF35FC"/>
    <w:rsid w:val="00AF5556"/>
    <w:rsid w:val="00AF623E"/>
    <w:rsid w:val="00B03639"/>
    <w:rsid w:val="00B0652A"/>
    <w:rsid w:val="00B35A88"/>
    <w:rsid w:val="00B40937"/>
    <w:rsid w:val="00B423EF"/>
    <w:rsid w:val="00B453DE"/>
    <w:rsid w:val="00B65733"/>
    <w:rsid w:val="00B671C2"/>
    <w:rsid w:val="00B72597"/>
    <w:rsid w:val="00B901F9"/>
    <w:rsid w:val="00BA4698"/>
    <w:rsid w:val="00BB5B2C"/>
    <w:rsid w:val="00BC374F"/>
    <w:rsid w:val="00BD6EFB"/>
    <w:rsid w:val="00C03A81"/>
    <w:rsid w:val="00C1584D"/>
    <w:rsid w:val="00C15BE2"/>
    <w:rsid w:val="00C25A21"/>
    <w:rsid w:val="00C3447F"/>
    <w:rsid w:val="00C613EF"/>
    <w:rsid w:val="00C67102"/>
    <w:rsid w:val="00C73BC3"/>
    <w:rsid w:val="00C73D57"/>
    <w:rsid w:val="00C81491"/>
    <w:rsid w:val="00C81676"/>
    <w:rsid w:val="00C85C5D"/>
    <w:rsid w:val="00C92CC4"/>
    <w:rsid w:val="00CA0AFB"/>
    <w:rsid w:val="00CA2CE1"/>
    <w:rsid w:val="00CA3976"/>
    <w:rsid w:val="00CA50E3"/>
    <w:rsid w:val="00CA757B"/>
    <w:rsid w:val="00CC1787"/>
    <w:rsid w:val="00CC182C"/>
    <w:rsid w:val="00CC2C2D"/>
    <w:rsid w:val="00CC5F3B"/>
    <w:rsid w:val="00CD0824"/>
    <w:rsid w:val="00CD2908"/>
    <w:rsid w:val="00CE74F0"/>
    <w:rsid w:val="00D029EF"/>
    <w:rsid w:val="00D03193"/>
    <w:rsid w:val="00D03A82"/>
    <w:rsid w:val="00D13667"/>
    <w:rsid w:val="00D15344"/>
    <w:rsid w:val="00D23F57"/>
    <w:rsid w:val="00D26738"/>
    <w:rsid w:val="00D31BEC"/>
    <w:rsid w:val="00D349F6"/>
    <w:rsid w:val="00D60903"/>
    <w:rsid w:val="00D63150"/>
    <w:rsid w:val="00D636BA"/>
    <w:rsid w:val="00D64A32"/>
    <w:rsid w:val="00D64EFC"/>
    <w:rsid w:val="00D75295"/>
    <w:rsid w:val="00D76CE9"/>
    <w:rsid w:val="00D82DEC"/>
    <w:rsid w:val="00D978F4"/>
    <w:rsid w:val="00D97F12"/>
    <w:rsid w:val="00DA6095"/>
    <w:rsid w:val="00DA7379"/>
    <w:rsid w:val="00DA737D"/>
    <w:rsid w:val="00DB42E7"/>
    <w:rsid w:val="00DB74BE"/>
    <w:rsid w:val="00DD19A8"/>
    <w:rsid w:val="00DD78DB"/>
    <w:rsid w:val="00DE01A6"/>
    <w:rsid w:val="00DE731C"/>
    <w:rsid w:val="00DE7A98"/>
    <w:rsid w:val="00DF32C2"/>
    <w:rsid w:val="00E24A6A"/>
    <w:rsid w:val="00E27091"/>
    <w:rsid w:val="00E338BB"/>
    <w:rsid w:val="00E471A7"/>
    <w:rsid w:val="00E635CF"/>
    <w:rsid w:val="00E65098"/>
    <w:rsid w:val="00E673D9"/>
    <w:rsid w:val="00EB0754"/>
    <w:rsid w:val="00EB3E57"/>
    <w:rsid w:val="00EC35B5"/>
    <w:rsid w:val="00EC3DBB"/>
    <w:rsid w:val="00EC6E0A"/>
    <w:rsid w:val="00ED4E18"/>
    <w:rsid w:val="00EE09D0"/>
    <w:rsid w:val="00EE1F37"/>
    <w:rsid w:val="00EE669C"/>
    <w:rsid w:val="00F0159C"/>
    <w:rsid w:val="00F03B91"/>
    <w:rsid w:val="00F105B7"/>
    <w:rsid w:val="00F13220"/>
    <w:rsid w:val="00F1551F"/>
    <w:rsid w:val="00F17A21"/>
    <w:rsid w:val="00F37B27"/>
    <w:rsid w:val="00F42A8E"/>
    <w:rsid w:val="00F46556"/>
    <w:rsid w:val="00F50E91"/>
    <w:rsid w:val="00F57D29"/>
    <w:rsid w:val="00F64E99"/>
    <w:rsid w:val="00F662FC"/>
    <w:rsid w:val="00F66E02"/>
    <w:rsid w:val="00F84483"/>
    <w:rsid w:val="00F96130"/>
    <w:rsid w:val="00F96201"/>
    <w:rsid w:val="00FA43BD"/>
    <w:rsid w:val="00FB0A1B"/>
    <w:rsid w:val="00FB5B64"/>
    <w:rsid w:val="00FC2D99"/>
    <w:rsid w:val="00FC50DB"/>
    <w:rsid w:val="00FD0B18"/>
    <w:rsid w:val="00FD2FAD"/>
    <w:rsid w:val="00FE5D84"/>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CA9B893"/>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971C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FC2D99"/>
    <w:pPr>
      <w:keepNext/>
    </w:pPr>
    <w:rPr>
      <w:rFonts w:ascii="Arial" w:hAnsi="Arial" w:cs="Arial"/>
      <w:b/>
      <w:caps/>
      <w:sz w:val="20"/>
      <w:szCs w:val="20"/>
    </w:rPr>
  </w:style>
  <w:style w:type="character" w:customStyle="1" w:styleId="Casehead1Char">
    <w:name w:val="Casehead 1 Char"/>
    <w:basedOn w:val="BodyTextMainChar"/>
    <w:link w:val="Casehead1"/>
    <w:rsid w:val="00E338BB"/>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qFormat/>
    <w:rsid w:val="00FC2D99"/>
    <w:rPr>
      <w:b/>
      <w:color w:val="FF0000"/>
      <w:vertAlign w:val="superscript"/>
    </w:rPr>
  </w:style>
  <w:style w:type="paragraph" w:customStyle="1" w:styleId="Footnote">
    <w:name w:val="Footnote"/>
    <w:basedOn w:val="FootnoteText"/>
    <w:link w:val="FootnoteChar"/>
    <w:qFormat/>
    <w:rsid w:val="00FC2D99"/>
    <w:rPr>
      <w:rFonts w:ascii="Arial" w:hAnsi="Arial" w:cs="Arial"/>
      <w:sz w:val="17"/>
      <w:szCs w:val="17"/>
    </w:rPr>
  </w:style>
  <w:style w:type="character" w:customStyle="1" w:styleId="FootnoteChar">
    <w:name w:val="Footnote Char"/>
    <w:basedOn w:val="FootnoteTextChar"/>
    <w:link w:val="Footnote"/>
    <w:rsid w:val="006715DD"/>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213258"/>
    <w:rPr>
      <w:b w:val="0"/>
      <w:color w:val="auto"/>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39"/>
    <w:rsid w:val="00330D80"/>
    <w:pPr>
      <w:spacing w:after="0" w:line="240" w:lineRule="auto"/>
    </w:pPr>
    <w:rPr>
      <w:rFonts w:ascii="Arial" w:eastAsia="Arial" w:hAnsi="Arial" w:cs="Arial"/>
      <w:sz w:val="24"/>
      <w:szCs w:val="24"/>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4483"/>
    <w:rPr>
      <w:color w:val="808080"/>
    </w:rPr>
  </w:style>
  <w:style w:type="character" w:customStyle="1" w:styleId="apple-style-span">
    <w:name w:val="apple-style-span"/>
    <w:basedOn w:val="DefaultParagraphFont"/>
    <w:rsid w:val="00FC2D99"/>
  </w:style>
  <w:style w:type="character" w:customStyle="1" w:styleId="apple-converted-space">
    <w:name w:val="apple-converted-space"/>
    <w:basedOn w:val="DefaultParagraphFont"/>
    <w:rsid w:val="00FC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iveypubs.my.salesforce.com/003A000001CqbD6"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tiac-aitc.ca/itoabout.htm" TargetMode="External"/><Relationship Id="rId1" Type="http://schemas.openxmlformats.org/officeDocument/2006/relationships/hyperlink" Target="http://www12.statcan.gc.ca/nhs-enm/2011/as-sa/fogs-spg/Pages/FOG.cfm?GeoCode=4815035&amp;lang=E&amp;leve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01DE8-751F-4CC8-A2AE-4CF62BBB7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5206</Words>
  <Characters>29678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2018-06-15T17:31:00Z</cp:lastPrinted>
  <dcterms:created xsi:type="dcterms:W3CDTF">2018-08-27T12:34:00Z</dcterms:created>
  <dcterms:modified xsi:type="dcterms:W3CDTF">2018-08-31T12:53:00Z</dcterms:modified>
</cp:coreProperties>
</file>