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679A2B" w14:textId="1E01D45C" w:rsidR="00F35080" w:rsidRPr="007F62B6" w:rsidRDefault="003567F7" w:rsidP="00C02410">
      <w:pPr>
        <w:pBdr>
          <w:bottom w:val="single" w:sz="18" w:space="1" w:color="auto"/>
        </w:pBdr>
        <w:tabs>
          <w:tab w:val="left" w:pos="-1440"/>
          <w:tab w:val="left" w:pos="-720"/>
          <w:tab w:val="left" w:pos="1"/>
        </w:tabs>
        <w:jc w:val="both"/>
        <w:rPr>
          <w:rFonts w:ascii="Arial" w:hAnsi="Arial"/>
          <w:b/>
          <w:noProof/>
          <w:sz w:val="24"/>
          <w:lang w:val="en-GB"/>
        </w:rPr>
      </w:pPr>
      <w:r>
        <w:rPr>
          <w:rFonts w:ascii="Arial" w:hAnsi="Arial"/>
          <w:b/>
          <w:noProof/>
          <w:sz w:val="24"/>
        </w:rPr>
        <w:drawing>
          <wp:inline distT="0" distB="0" distL="0" distR="0" wp14:anchorId="7708A8D0" wp14:editId="70BB440C">
            <wp:extent cx="2615565" cy="548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5565" cy="548640"/>
                    </a:xfrm>
                    <a:prstGeom prst="rect">
                      <a:avLst/>
                    </a:prstGeom>
                    <a:noFill/>
                  </pic:spPr>
                </pic:pic>
              </a:graphicData>
            </a:graphic>
          </wp:inline>
        </w:drawing>
      </w:r>
    </w:p>
    <w:p w14:paraId="61BBD9A0" w14:textId="3ADE1411" w:rsidR="00C02410" w:rsidRPr="007F62B6" w:rsidRDefault="007A7B3F" w:rsidP="00C02410">
      <w:pPr>
        <w:pStyle w:val="ProductNumber"/>
        <w:rPr>
          <w:lang w:val="en-GB"/>
        </w:rPr>
      </w:pPr>
      <w:r>
        <w:rPr>
          <w:lang w:val="en-GB"/>
        </w:rPr>
        <w:t>9B18M130</w:t>
      </w:r>
    </w:p>
    <w:p w14:paraId="4E057522" w14:textId="77777777" w:rsidR="00D75295" w:rsidRPr="007F62B6" w:rsidRDefault="00D75295" w:rsidP="00D75295">
      <w:pPr>
        <w:jc w:val="right"/>
        <w:rPr>
          <w:rFonts w:ascii="Arial" w:hAnsi="Arial"/>
          <w:b/>
          <w:sz w:val="28"/>
          <w:szCs w:val="28"/>
          <w:lang w:val="en-GB"/>
        </w:rPr>
      </w:pPr>
    </w:p>
    <w:p w14:paraId="426B7211" w14:textId="77777777" w:rsidR="00013360" w:rsidRPr="007F62B6" w:rsidRDefault="00013360" w:rsidP="00D75295">
      <w:pPr>
        <w:jc w:val="right"/>
        <w:rPr>
          <w:rFonts w:ascii="Arial" w:hAnsi="Arial"/>
          <w:b/>
          <w:sz w:val="28"/>
          <w:szCs w:val="28"/>
          <w:lang w:val="en-GB"/>
        </w:rPr>
      </w:pPr>
    </w:p>
    <w:p w14:paraId="2F03D26A" w14:textId="0F4384BB" w:rsidR="00013360" w:rsidRPr="007F62B6" w:rsidRDefault="00F35080" w:rsidP="00013360">
      <w:pPr>
        <w:pStyle w:val="CaseTitle"/>
        <w:spacing w:after="0" w:line="240" w:lineRule="auto"/>
        <w:rPr>
          <w:sz w:val="20"/>
          <w:szCs w:val="20"/>
          <w:lang w:val="en-GB"/>
        </w:rPr>
      </w:pPr>
      <w:r w:rsidRPr="007F62B6">
        <w:rPr>
          <w:rFonts w:eastAsia="Arial"/>
          <w:lang w:val="en-GB"/>
        </w:rPr>
        <w:t>Institute on Aging:</w:t>
      </w:r>
      <w:r w:rsidR="00EF06BA">
        <w:rPr>
          <w:rFonts w:eastAsia="Arial"/>
          <w:lang w:val="en-GB"/>
        </w:rPr>
        <w:t xml:space="preserve"> </w:t>
      </w:r>
      <w:r w:rsidRPr="007F62B6">
        <w:rPr>
          <w:rFonts w:eastAsia="Arial"/>
          <w:lang w:val="en-GB"/>
        </w:rPr>
        <w:t>When Non</w:t>
      </w:r>
      <w:r w:rsidR="00EF06BA">
        <w:rPr>
          <w:rFonts w:eastAsia="Arial"/>
          <w:lang w:val="en-GB"/>
        </w:rPr>
        <w:t>-</w:t>
      </w:r>
      <w:r w:rsidRPr="007F62B6">
        <w:rPr>
          <w:rFonts w:eastAsia="Arial"/>
          <w:lang w:val="en-GB"/>
        </w:rPr>
        <w:t xml:space="preserve">profits Operate Like </w:t>
      </w:r>
      <w:r w:rsidR="00EF06BA">
        <w:rPr>
          <w:rFonts w:eastAsia="Arial"/>
          <w:lang w:val="en-GB"/>
        </w:rPr>
        <w:br/>
      </w:r>
      <w:r w:rsidRPr="007F62B6">
        <w:rPr>
          <w:rFonts w:eastAsia="Arial"/>
          <w:lang w:val="en-GB"/>
        </w:rPr>
        <w:t>For-Profits</w:t>
      </w:r>
    </w:p>
    <w:p w14:paraId="40ABF6FD" w14:textId="77777777" w:rsidR="00CA3976" w:rsidRPr="007F62B6" w:rsidRDefault="00CA3976" w:rsidP="00013360">
      <w:pPr>
        <w:pStyle w:val="CaseTitle"/>
        <w:spacing w:after="0" w:line="240" w:lineRule="auto"/>
        <w:rPr>
          <w:sz w:val="20"/>
          <w:szCs w:val="20"/>
          <w:lang w:val="en-GB"/>
        </w:rPr>
      </w:pPr>
    </w:p>
    <w:p w14:paraId="202F1085" w14:textId="77777777" w:rsidR="00013360" w:rsidRPr="007F62B6" w:rsidRDefault="00013360" w:rsidP="00013360">
      <w:pPr>
        <w:pStyle w:val="CaseTitle"/>
        <w:spacing w:after="0" w:line="240" w:lineRule="auto"/>
        <w:rPr>
          <w:sz w:val="20"/>
          <w:szCs w:val="20"/>
          <w:lang w:val="en-GB"/>
        </w:rPr>
      </w:pPr>
    </w:p>
    <w:p w14:paraId="10D89D5F" w14:textId="4E290378" w:rsidR="00086B26" w:rsidRPr="007F62B6" w:rsidRDefault="00F35080" w:rsidP="00086B26">
      <w:pPr>
        <w:pStyle w:val="StyleCopyrightStatementAfter0ptBottomSinglesolidline1"/>
        <w:rPr>
          <w:lang w:val="en-GB"/>
        </w:rPr>
      </w:pPr>
      <w:r w:rsidRPr="007F62B6">
        <w:rPr>
          <w:rFonts w:cs="Arial"/>
          <w:szCs w:val="16"/>
          <w:lang w:val="en-GB"/>
        </w:rPr>
        <w:t xml:space="preserve">James Pike and Vijay </w:t>
      </w:r>
      <w:proofErr w:type="spellStart"/>
      <w:r w:rsidRPr="007F62B6">
        <w:rPr>
          <w:rFonts w:cs="Arial"/>
          <w:szCs w:val="16"/>
          <w:lang w:val="en-GB"/>
        </w:rPr>
        <w:t>Sathe</w:t>
      </w:r>
      <w:proofErr w:type="spellEnd"/>
      <w:r w:rsidR="00ED7922" w:rsidRPr="007F62B6">
        <w:rPr>
          <w:rFonts w:cs="Arial"/>
          <w:szCs w:val="16"/>
          <w:lang w:val="en-GB"/>
        </w:rPr>
        <w:t xml:space="preserve"> </w:t>
      </w:r>
      <w:r w:rsidR="00086B26" w:rsidRPr="007F62B6">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45A3BF36" w14:textId="77777777" w:rsidR="00F35080" w:rsidRPr="007F62B6" w:rsidRDefault="00F35080" w:rsidP="00C02410">
      <w:pPr>
        <w:pStyle w:val="StyleStyleCopyrightStatementAfter0ptBottomSinglesolid"/>
        <w:rPr>
          <w:rFonts w:cs="Arial"/>
          <w:iCs w:val="0"/>
          <w:color w:val="auto"/>
          <w:szCs w:val="16"/>
          <w:lang w:val="en-GB"/>
        </w:rPr>
      </w:pPr>
    </w:p>
    <w:p w14:paraId="126727F7" w14:textId="64A5693D" w:rsidR="003567F7" w:rsidRPr="003567F7" w:rsidRDefault="003567F7" w:rsidP="003567F7">
      <w:pPr>
        <w:pStyle w:val="StyleStyleCopyrightStatementAfter0ptBottomSinglesolid"/>
        <w:rPr>
          <w:rFonts w:cs="Arial"/>
          <w:iCs w:val="0"/>
          <w:color w:val="auto"/>
          <w:szCs w:val="16"/>
          <w:lang w:val="en-GB"/>
        </w:rPr>
      </w:pPr>
      <w:r w:rsidRPr="003567F7">
        <w:rPr>
          <w:rFonts w:cs="Arial"/>
          <w:iCs w:val="0"/>
          <w:color w:val="auto"/>
          <w:szCs w:val="16"/>
          <w:lang w:val="en-GB"/>
        </w:rPr>
        <w:t>This publication may not be transmitted, photocopied, digitized</w:t>
      </w:r>
      <w:r w:rsidR="00EF06BA">
        <w:rPr>
          <w:rFonts w:cs="Arial"/>
          <w:iCs w:val="0"/>
          <w:color w:val="auto"/>
          <w:szCs w:val="16"/>
          <w:lang w:val="en-GB"/>
        </w:rPr>
        <w:t>,</w:t>
      </w:r>
      <w:r w:rsidRPr="003567F7">
        <w:rPr>
          <w:rFonts w:cs="Arial"/>
          <w:iCs w:val="0"/>
          <w:color w:val="auto"/>
          <w:szCs w:val="16"/>
          <w:lang w:val="en-GB"/>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w:t>
      </w:r>
    </w:p>
    <w:p w14:paraId="1A74ED99" w14:textId="77777777" w:rsidR="003567F7" w:rsidRPr="003567F7" w:rsidRDefault="003567F7" w:rsidP="003567F7">
      <w:pPr>
        <w:pStyle w:val="StyleStyleCopyrightStatementAfter0ptBottomSinglesolid"/>
        <w:rPr>
          <w:rFonts w:cs="Arial"/>
          <w:iCs w:val="0"/>
          <w:color w:val="auto"/>
          <w:szCs w:val="16"/>
          <w:lang w:val="en-GB"/>
        </w:rPr>
      </w:pPr>
    </w:p>
    <w:p w14:paraId="3922E14F" w14:textId="188F1CE7" w:rsidR="00751E0B" w:rsidRPr="007F62B6" w:rsidRDefault="003567F7" w:rsidP="003567F7">
      <w:pPr>
        <w:pStyle w:val="StyleStyleCopyrightStatementAfter0ptBottomSinglesolid"/>
        <w:rPr>
          <w:rFonts w:cs="Arial"/>
          <w:szCs w:val="16"/>
          <w:lang w:val="en-GB"/>
        </w:rPr>
      </w:pPr>
      <w:r>
        <w:rPr>
          <w:rFonts w:cs="Arial"/>
          <w:iCs w:val="0"/>
          <w:color w:val="auto"/>
          <w:szCs w:val="16"/>
          <w:lang w:val="en-GB"/>
        </w:rPr>
        <w:t>Copyright © 2018</w:t>
      </w:r>
      <w:r w:rsidRPr="003567F7">
        <w:rPr>
          <w:rFonts w:cs="Arial"/>
          <w:iCs w:val="0"/>
          <w:color w:val="auto"/>
          <w:szCs w:val="16"/>
          <w:lang w:val="en-GB"/>
        </w:rPr>
        <w:t>, Ivey Business School Foundation</w:t>
      </w:r>
      <w:r w:rsidR="00C02410" w:rsidRPr="007F62B6">
        <w:rPr>
          <w:rFonts w:cs="Arial"/>
          <w:iCs w:val="0"/>
          <w:color w:val="auto"/>
          <w:szCs w:val="16"/>
          <w:lang w:val="en-GB"/>
        </w:rPr>
        <w:tab/>
      </w:r>
      <w:r w:rsidR="002F6F93" w:rsidRPr="007F62B6">
        <w:rPr>
          <w:rFonts w:cs="Arial"/>
          <w:iCs w:val="0"/>
          <w:color w:val="auto"/>
          <w:szCs w:val="16"/>
          <w:lang w:val="en-GB"/>
        </w:rPr>
        <w:t>Version: 2018-0</w:t>
      </w:r>
      <w:r w:rsidR="00DB6F19">
        <w:rPr>
          <w:rFonts w:cs="Arial"/>
          <w:iCs w:val="0"/>
          <w:color w:val="auto"/>
          <w:szCs w:val="16"/>
          <w:lang w:val="en-GB"/>
        </w:rPr>
        <w:t>9</w:t>
      </w:r>
      <w:r w:rsidR="002F6F93" w:rsidRPr="007F62B6">
        <w:rPr>
          <w:rFonts w:cs="Arial"/>
          <w:iCs w:val="0"/>
          <w:color w:val="auto"/>
          <w:szCs w:val="16"/>
          <w:lang w:val="en-GB"/>
        </w:rPr>
        <w:t>-</w:t>
      </w:r>
      <w:r w:rsidR="00DB6F19">
        <w:rPr>
          <w:rFonts w:cs="Arial"/>
          <w:iCs w:val="0"/>
          <w:color w:val="auto"/>
          <w:szCs w:val="16"/>
          <w:lang w:val="en-GB"/>
        </w:rPr>
        <w:t>1</w:t>
      </w:r>
      <w:r w:rsidR="008D6FB6">
        <w:rPr>
          <w:rFonts w:cs="Arial"/>
          <w:iCs w:val="0"/>
          <w:color w:val="auto"/>
          <w:szCs w:val="16"/>
          <w:lang w:val="en-GB"/>
        </w:rPr>
        <w:t>7</w:t>
      </w:r>
    </w:p>
    <w:p w14:paraId="0A2A54E4" w14:textId="77777777" w:rsidR="00751E0B" w:rsidRPr="007F62B6" w:rsidRDefault="00751E0B" w:rsidP="00751E0B">
      <w:pPr>
        <w:pStyle w:val="StyleCopyrightStatementAfter0ptBottomSinglesolidline1"/>
        <w:rPr>
          <w:rFonts w:ascii="Times New Roman" w:hAnsi="Times New Roman"/>
          <w:sz w:val="20"/>
          <w:lang w:val="en-GB"/>
        </w:rPr>
      </w:pPr>
    </w:p>
    <w:p w14:paraId="1507635B" w14:textId="77777777" w:rsidR="004B632F" w:rsidRPr="007F62B6" w:rsidRDefault="004B632F" w:rsidP="004B632F">
      <w:pPr>
        <w:pStyle w:val="StyleCopyrightStatementAfter0ptBottomSinglesolidline1"/>
        <w:rPr>
          <w:rFonts w:ascii="Times New Roman" w:hAnsi="Times New Roman"/>
          <w:sz w:val="20"/>
          <w:lang w:val="en-GB"/>
        </w:rPr>
      </w:pPr>
    </w:p>
    <w:p w14:paraId="784EE025" w14:textId="08FC0DCB" w:rsidR="00F35080" w:rsidRPr="007F62B6" w:rsidRDefault="00F35080" w:rsidP="00F35080">
      <w:pPr>
        <w:pStyle w:val="BodyTextMain"/>
        <w:rPr>
          <w:lang w:val="en-GB"/>
        </w:rPr>
      </w:pPr>
      <w:r w:rsidRPr="007F62B6">
        <w:rPr>
          <w:lang w:val="en-GB"/>
        </w:rPr>
        <w:t xml:space="preserve">In November 2017, Tom </w:t>
      </w:r>
      <w:proofErr w:type="spellStart"/>
      <w:r w:rsidRPr="007F62B6">
        <w:rPr>
          <w:lang w:val="en-GB"/>
        </w:rPr>
        <w:t>Briody</w:t>
      </w:r>
      <w:proofErr w:type="spellEnd"/>
      <w:r w:rsidRPr="007F62B6">
        <w:rPr>
          <w:lang w:val="en-GB"/>
        </w:rPr>
        <w:t xml:space="preserve">, chief executive officer (CEO) of the Institute on Aging (IOA), reviewed the </w:t>
      </w:r>
      <w:r w:rsidR="007F62B6">
        <w:rPr>
          <w:lang w:val="en-GB"/>
        </w:rPr>
        <w:t xml:space="preserve">company’s </w:t>
      </w:r>
      <w:r w:rsidRPr="007F62B6">
        <w:rPr>
          <w:lang w:val="en-GB"/>
        </w:rPr>
        <w:t>latest balance sheet and income statement with a sense of satisfaction (see Exhibit</w:t>
      </w:r>
      <w:r w:rsidR="007F62B6">
        <w:rPr>
          <w:lang w:val="en-GB"/>
        </w:rPr>
        <w:t>s</w:t>
      </w:r>
      <w:r w:rsidRPr="007F62B6">
        <w:rPr>
          <w:lang w:val="en-GB"/>
        </w:rPr>
        <w:t xml:space="preserve"> 1 and 2). Gross revenue had expanded from US$28.7 million</w:t>
      </w:r>
      <w:r w:rsidRPr="007F62B6">
        <w:rPr>
          <w:rStyle w:val="FootnoteReference"/>
          <w:lang w:val="en-GB"/>
        </w:rPr>
        <w:footnoteReference w:id="1"/>
      </w:r>
      <w:r w:rsidRPr="007F62B6">
        <w:rPr>
          <w:lang w:val="en-GB"/>
        </w:rPr>
        <w:t xml:space="preserve"> to $45.2 million. Net income had reached a break-even point. After more than a decade of financial turmoil, he had managed to turn around an organization that had teetered on the edge of insolvency. </w:t>
      </w:r>
    </w:p>
    <w:p w14:paraId="04F9EBA6" w14:textId="77777777" w:rsidR="00F35080" w:rsidRPr="007F62B6" w:rsidRDefault="00F35080" w:rsidP="00F35080">
      <w:pPr>
        <w:pStyle w:val="BodyTextMain"/>
        <w:rPr>
          <w:lang w:val="en-GB"/>
        </w:rPr>
      </w:pPr>
    </w:p>
    <w:p w14:paraId="02D1EAB1" w14:textId="1A51FEE7" w:rsidR="00F35080" w:rsidRPr="007F62B6" w:rsidRDefault="00F35080" w:rsidP="00F35080">
      <w:pPr>
        <w:pStyle w:val="BodyTextMain"/>
        <w:rPr>
          <w:lang w:val="en-GB"/>
        </w:rPr>
      </w:pPr>
      <w:r w:rsidRPr="007F62B6">
        <w:rPr>
          <w:lang w:val="en-GB"/>
        </w:rPr>
        <w:t xml:space="preserve">The focus on opportunities rather than crises was a welcome change of pace. </w:t>
      </w:r>
      <w:proofErr w:type="spellStart"/>
      <w:r w:rsidRPr="007F62B6">
        <w:rPr>
          <w:lang w:val="en-GB"/>
        </w:rPr>
        <w:t>Briody</w:t>
      </w:r>
      <w:proofErr w:type="spellEnd"/>
      <w:r w:rsidRPr="007F62B6">
        <w:rPr>
          <w:lang w:val="en-GB"/>
        </w:rPr>
        <w:t xml:space="preserve"> vividly recalled the difficulties he faced in February 2012 when he became the CEO of the IOA. The debt covenants of a $41 million loan were being violated. The organization had $8 million cash in reserve, but was burning through it at a rate of $4 million per year. At the time, </w:t>
      </w:r>
      <w:proofErr w:type="spellStart"/>
      <w:r w:rsidRPr="007F62B6">
        <w:rPr>
          <w:lang w:val="en-GB"/>
        </w:rPr>
        <w:t>Briody’s</w:t>
      </w:r>
      <w:proofErr w:type="spellEnd"/>
      <w:r w:rsidRPr="007F62B6">
        <w:rPr>
          <w:lang w:val="en-GB"/>
        </w:rPr>
        <w:t xml:space="preserve"> statement to the board was succinct</w:t>
      </w:r>
      <w:r w:rsidR="007F62B6">
        <w:rPr>
          <w:lang w:val="en-GB"/>
        </w:rPr>
        <w:t>:</w:t>
      </w:r>
      <w:r w:rsidRPr="007F62B6">
        <w:rPr>
          <w:lang w:val="en-GB"/>
        </w:rPr>
        <w:t xml:space="preserve"> “I’m going to </w:t>
      </w:r>
      <w:r w:rsidR="00DC68DA">
        <w:rPr>
          <w:lang w:val="en-GB"/>
        </w:rPr>
        <w:t xml:space="preserve">be </w:t>
      </w:r>
      <w:r w:rsidRPr="007F62B6">
        <w:rPr>
          <w:lang w:val="en-GB"/>
        </w:rPr>
        <w:t>very honest with you. The house is on fire. We’ve got to do something immediately.”</w:t>
      </w:r>
    </w:p>
    <w:p w14:paraId="4A25424C" w14:textId="77777777" w:rsidR="00F35080" w:rsidRPr="007F62B6" w:rsidRDefault="00F35080" w:rsidP="00F35080">
      <w:pPr>
        <w:pStyle w:val="BodyTextMain"/>
        <w:rPr>
          <w:lang w:val="en-GB"/>
        </w:rPr>
      </w:pPr>
    </w:p>
    <w:p w14:paraId="126D27B8" w14:textId="54029042" w:rsidR="00F35080" w:rsidRPr="007F62B6" w:rsidRDefault="00F35080" w:rsidP="00F35080">
      <w:pPr>
        <w:pStyle w:val="BodyTextMain"/>
        <w:rPr>
          <w:lang w:val="en-GB"/>
        </w:rPr>
      </w:pPr>
      <w:r w:rsidRPr="007F62B6">
        <w:rPr>
          <w:lang w:val="en-GB"/>
        </w:rPr>
        <w:t xml:space="preserve">Cost-cutting alone would not solve the problem. </w:t>
      </w:r>
      <w:proofErr w:type="spellStart"/>
      <w:r w:rsidRPr="007F62B6">
        <w:rPr>
          <w:lang w:val="en-GB"/>
        </w:rPr>
        <w:t>Briody</w:t>
      </w:r>
      <w:proofErr w:type="spellEnd"/>
      <w:r w:rsidRPr="007F62B6">
        <w:rPr>
          <w:lang w:val="en-GB"/>
        </w:rPr>
        <w:t xml:space="preserve"> needed the organization to rethink its role in the </w:t>
      </w:r>
      <w:proofErr w:type="gramStart"/>
      <w:r w:rsidRPr="007F62B6">
        <w:rPr>
          <w:lang w:val="en-GB"/>
        </w:rPr>
        <w:t>senior</w:t>
      </w:r>
      <w:proofErr w:type="gramEnd"/>
      <w:r w:rsidRPr="007F62B6">
        <w:rPr>
          <w:lang w:val="en-GB"/>
        </w:rPr>
        <w:t xml:space="preserve"> care market. </w:t>
      </w:r>
      <w:r w:rsidR="00E86903">
        <w:rPr>
          <w:lang w:val="en-GB"/>
        </w:rPr>
        <w:t xml:space="preserve">The </w:t>
      </w:r>
      <w:r w:rsidRPr="007F62B6">
        <w:rPr>
          <w:lang w:val="en-GB"/>
        </w:rPr>
        <w:t>IOA was non</w:t>
      </w:r>
      <w:r w:rsidR="00EF06BA">
        <w:rPr>
          <w:lang w:val="en-GB"/>
        </w:rPr>
        <w:t>-</w:t>
      </w:r>
      <w:r w:rsidRPr="007F62B6">
        <w:rPr>
          <w:lang w:val="en-GB"/>
        </w:rPr>
        <w:t xml:space="preserve">profit—but it </w:t>
      </w:r>
      <w:r w:rsidR="007F62B6">
        <w:rPr>
          <w:lang w:val="en-GB"/>
        </w:rPr>
        <w:t xml:space="preserve">needed </w:t>
      </w:r>
      <w:r w:rsidRPr="007F62B6">
        <w:rPr>
          <w:lang w:val="en-GB"/>
        </w:rPr>
        <w:t>to start acting like a for-profit</w:t>
      </w:r>
      <w:r w:rsidR="00915E5D">
        <w:rPr>
          <w:lang w:val="en-GB"/>
        </w:rPr>
        <w:t xml:space="preserve"> organization</w:t>
      </w:r>
      <w:r w:rsidRPr="007F62B6">
        <w:rPr>
          <w:lang w:val="en-GB"/>
        </w:rPr>
        <w:t xml:space="preserve">. </w:t>
      </w:r>
    </w:p>
    <w:p w14:paraId="00997A9D" w14:textId="77777777" w:rsidR="00F35080" w:rsidRPr="007F62B6" w:rsidRDefault="00F35080" w:rsidP="00F35080">
      <w:pPr>
        <w:rPr>
          <w:lang w:val="en-GB"/>
        </w:rPr>
      </w:pPr>
    </w:p>
    <w:p w14:paraId="1B01986D" w14:textId="77777777" w:rsidR="00F35080" w:rsidRPr="007F62B6" w:rsidRDefault="00F35080" w:rsidP="00F35080">
      <w:pPr>
        <w:rPr>
          <w:lang w:val="en-GB"/>
        </w:rPr>
      </w:pPr>
    </w:p>
    <w:p w14:paraId="27415AB4" w14:textId="1B3624FF" w:rsidR="00F35080" w:rsidRPr="007F62B6" w:rsidRDefault="00F35080" w:rsidP="005F2F3D">
      <w:pPr>
        <w:pStyle w:val="Casehead1"/>
        <w:rPr>
          <w:lang w:val="en-GB"/>
        </w:rPr>
      </w:pPr>
      <w:r w:rsidRPr="007F62B6">
        <w:rPr>
          <w:lang w:val="en-GB"/>
        </w:rPr>
        <w:t xml:space="preserve">A History of Serving </w:t>
      </w:r>
      <w:r w:rsidR="00D02E4A">
        <w:rPr>
          <w:lang w:val="en-GB"/>
        </w:rPr>
        <w:t>Senior</w:t>
      </w:r>
      <w:r w:rsidR="00784408">
        <w:rPr>
          <w:lang w:val="en-GB"/>
        </w:rPr>
        <w:t xml:space="preserve"> CITIZEn</w:t>
      </w:r>
      <w:r w:rsidR="00D02E4A">
        <w:rPr>
          <w:lang w:val="en-GB"/>
        </w:rPr>
        <w:t>s</w:t>
      </w:r>
    </w:p>
    <w:p w14:paraId="114166D9" w14:textId="77777777" w:rsidR="00F35080" w:rsidRPr="007F62B6" w:rsidRDefault="00F35080" w:rsidP="00F35080">
      <w:pPr>
        <w:rPr>
          <w:b/>
          <w:bCs/>
          <w:lang w:val="en-GB"/>
        </w:rPr>
      </w:pPr>
    </w:p>
    <w:p w14:paraId="15135E8D" w14:textId="0C71806B" w:rsidR="00F35080" w:rsidRPr="007F62B6" w:rsidRDefault="00F35080" w:rsidP="005F2F3D">
      <w:pPr>
        <w:pStyle w:val="BodyTextMain"/>
        <w:rPr>
          <w:lang w:val="en-GB"/>
        </w:rPr>
      </w:pPr>
      <w:r w:rsidRPr="007F62B6">
        <w:rPr>
          <w:lang w:val="en-GB"/>
        </w:rPr>
        <w:t xml:space="preserve">In the early 1980s, a paradigm shift had begun to </w:t>
      </w:r>
      <w:r w:rsidR="00607659">
        <w:rPr>
          <w:lang w:val="en-GB"/>
        </w:rPr>
        <w:t>change</w:t>
      </w:r>
      <w:r w:rsidRPr="007F62B6">
        <w:rPr>
          <w:lang w:val="en-GB"/>
        </w:rPr>
        <w:t xml:space="preserve"> how the </w:t>
      </w:r>
      <w:r w:rsidR="00DD0834" w:rsidRPr="007F62B6">
        <w:rPr>
          <w:lang w:val="en-GB"/>
        </w:rPr>
        <w:t>United States</w:t>
      </w:r>
      <w:r w:rsidRPr="007F62B6">
        <w:rPr>
          <w:lang w:val="en-GB"/>
        </w:rPr>
        <w:t xml:space="preserve"> treated </w:t>
      </w:r>
      <w:r w:rsidR="00607659">
        <w:rPr>
          <w:lang w:val="en-GB"/>
        </w:rPr>
        <w:t>its senior population</w:t>
      </w:r>
      <w:r w:rsidRPr="007F62B6">
        <w:rPr>
          <w:lang w:val="en-GB"/>
        </w:rPr>
        <w:t xml:space="preserve">. A growing distaste for nursing </w:t>
      </w:r>
      <w:r w:rsidR="00607659">
        <w:rPr>
          <w:lang w:val="en-GB"/>
        </w:rPr>
        <w:t xml:space="preserve">home </w:t>
      </w:r>
      <w:r w:rsidRPr="007F62B6">
        <w:rPr>
          <w:lang w:val="en-GB"/>
        </w:rPr>
        <w:t>facilities prompted the development of new forms of care designed to provide seniors with greater choice and autonomy.</w:t>
      </w:r>
      <w:r w:rsidRPr="007F62B6">
        <w:rPr>
          <w:rStyle w:val="FootnoteReference"/>
          <w:lang w:val="en-GB"/>
        </w:rPr>
        <w:footnoteReference w:id="2"/>
      </w:r>
      <w:r w:rsidRPr="007F62B6">
        <w:rPr>
          <w:lang w:val="en-GB"/>
        </w:rPr>
        <w:t xml:space="preserve"> At the forefront of this trend were four </w:t>
      </w:r>
      <w:r w:rsidR="00607659" w:rsidRPr="007F62B6">
        <w:rPr>
          <w:lang w:val="en-GB"/>
        </w:rPr>
        <w:t xml:space="preserve">foundations </w:t>
      </w:r>
      <w:r w:rsidR="00607659">
        <w:rPr>
          <w:lang w:val="en-GB"/>
        </w:rPr>
        <w:t xml:space="preserve">in </w:t>
      </w:r>
      <w:r w:rsidRPr="007F62B6">
        <w:rPr>
          <w:lang w:val="en-GB"/>
        </w:rPr>
        <w:t>San Francisco, California</w:t>
      </w:r>
      <w:r w:rsidR="00607659">
        <w:rPr>
          <w:lang w:val="en-GB"/>
        </w:rPr>
        <w:t>,</w:t>
      </w:r>
      <w:r w:rsidRPr="007F62B6">
        <w:rPr>
          <w:lang w:val="en-GB"/>
        </w:rPr>
        <w:t xml:space="preserve"> that raised </w:t>
      </w:r>
      <w:r w:rsidR="00607659">
        <w:rPr>
          <w:lang w:val="en-GB"/>
        </w:rPr>
        <w:t>more than</w:t>
      </w:r>
      <w:r w:rsidR="00607659" w:rsidRPr="007F62B6">
        <w:rPr>
          <w:lang w:val="en-GB"/>
        </w:rPr>
        <w:t xml:space="preserve"> </w:t>
      </w:r>
      <w:r w:rsidRPr="007F62B6">
        <w:rPr>
          <w:lang w:val="en-GB"/>
        </w:rPr>
        <w:t>$12 million to initiate a comprehensive geriatrics program. Two years later, the program was transformed into a 501(c</w:t>
      </w:r>
      <w:proofErr w:type="gramStart"/>
      <w:r w:rsidRPr="007F62B6">
        <w:rPr>
          <w:lang w:val="en-GB"/>
        </w:rPr>
        <w:t>)(</w:t>
      </w:r>
      <w:proofErr w:type="gramEnd"/>
      <w:r w:rsidRPr="007F62B6">
        <w:rPr>
          <w:lang w:val="en-GB"/>
        </w:rPr>
        <w:t>3)</w:t>
      </w:r>
      <w:r w:rsidR="00B34101" w:rsidRPr="007F62B6">
        <w:rPr>
          <w:rStyle w:val="FootnoteReference"/>
          <w:lang w:val="en-GB"/>
        </w:rPr>
        <w:footnoteReference w:id="3"/>
      </w:r>
      <w:r w:rsidRPr="007F62B6">
        <w:rPr>
          <w:lang w:val="en-GB"/>
        </w:rPr>
        <w:t xml:space="preserve"> organization. The mission of the </w:t>
      </w:r>
      <w:r w:rsidRPr="007F62B6">
        <w:rPr>
          <w:lang w:val="en-GB"/>
        </w:rPr>
        <w:lastRenderedPageBreak/>
        <w:t>organization was to “enhance the quality of life for adults as they age by enabling them to maintain their health, well-being, independence, and participation in the community.”</w:t>
      </w:r>
      <w:r w:rsidR="00D02E4A">
        <w:rPr>
          <w:rStyle w:val="FootnoteReference"/>
          <w:lang w:val="en-GB"/>
        </w:rPr>
        <w:footnoteReference w:id="4"/>
      </w:r>
    </w:p>
    <w:p w14:paraId="231EFC89" w14:textId="77777777" w:rsidR="00F35080" w:rsidRPr="007F62B6" w:rsidRDefault="00F35080" w:rsidP="005F2F3D">
      <w:pPr>
        <w:pStyle w:val="BodyTextMain"/>
        <w:rPr>
          <w:lang w:val="en-GB"/>
        </w:rPr>
      </w:pPr>
    </w:p>
    <w:p w14:paraId="76CAE387" w14:textId="57B06692" w:rsidR="00F35080" w:rsidRPr="007F62B6" w:rsidRDefault="00F35080" w:rsidP="005F2F3D">
      <w:pPr>
        <w:pStyle w:val="BodyTextMain"/>
        <w:rPr>
          <w:lang w:val="en-GB"/>
        </w:rPr>
      </w:pPr>
      <w:r w:rsidRPr="007F62B6">
        <w:rPr>
          <w:lang w:val="en-GB"/>
        </w:rPr>
        <w:t xml:space="preserve">In the years that followed, ongoing changes in the demography of the country created a large and growing population for the organization to serve. </w:t>
      </w:r>
      <w:r w:rsidRPr="007F62B6">
        <w:rPr>
          <w:iCs/>
          <w:lang w:val="en-GB"/>
        </w:rPr>
        <w:t xml:space="preserve">During </w:t>
      </w:r>
      <w:r w:rsidRPr="007F62B6">
        <w:rPr>
          <w:lang w:val="en-GB"/>
        </w:rPr>
        <w:t xml:space="preserve">the </w:t>
      </w:r>
      <w:r w:rsidR="00B94FC8">
        <w:rPr>
          <w:lang w:val="en-GB"/>
        </w:rPr>
        <w:t>20</w:t>
      </w:r>
      <w:r w:rsidR="00B94FC8" w:rsidRPr="007F62B6">
        <w:rPr>
          <w:lang w:val="en-GB"/>
        </w:rPr>
        <w:t xml:space="preserve">th </w:t>
      </w:r>
      <w:r w:rsidRPr="007F62B6">
        <w:rPr>
          <w:lang w:val="en-GB"/>
        </w:rPr>
        <w:t xml:space="preserve">century, the number of Americans </w:t>
      </w:r>
      <w:r w:rsidR="00020B4F">
        <w:rPr>
          <w:lang w:val="en-GB"/>
        </w:rPr>
        <w:t>younger than</w:t>
      </w:r>
      <w:r w:rsidR="00020B4F" w:rsidRPr="007F62B6">
        <w:rPr>
          <w:lang w:val="en-GB"/>
        </w:rPr>
        <w:t xml:space="preserve"> </w:t>
      </w:r>
      <w:r w:rsidRPr="007F62B6">
        <w:rPr>
          <w:lang w:val="en-GB"/>
        </w:rPr>
        <w:t xml:space="preserve">age 65 increased by a factor of three. In that same period, the number of Americans aged 65 and </w:t>
      </w:r>
      <w:r w:rsidR="00B94FC8">
        <w:rPr>
          <w:lang w:val="en-GB"/>
        </w:rPr>
        <w:t>old</w:t>
      </w:r>
      <w:r w:rsidR="00B94FC8" w:rsidRPr="007F62B6">
        <w:rPr>
          <w:lang w:val="en-GB"/>
        </w:rPr>
        <w:t xml:space="preserve">er </w:t>
      </w:r>
      <w:r w:rsidRPr="007F62B6">
        <w:rPr>
          <w:lang w:val="en-GB"/>
        </w:rPr>
        <w:t xml:space="preserve">increased by a factor of </w:t>
      </w:r>
      <w:r w:rsidR="00B94FC8">
        <w:rPr>
          <w:lang w:val="en-GB"/>
        </w:rPr>
        <w:t>15</w:t>
      </w:r>
      <w:r w:rsidRPr="007F62B6">
        <w:rPr>
          <w:lang w:val="en-GB"/>
        </w:rPr>
        <w:t xml:space="preserve">. In 2005, </w:t>
      </w:r>
      <w:r w:rsidR="00B94FC8">
        <w:rPr>
          <w:lang w:val="en-GB"/>
        </w:rPr>
        <w:t>the United States had</w:t>
      </w:r>
      <w:r w:rsidRPr="007F62B6">
        <w:rPr>
          <w:lang w:val="en-GB"/>
        </w:rPr>
        <w:t xml:space="preserve"> 36.6 million seniors</w:t>
      </w:r>
      <w:r w:rsidR="00B94FC8">
        <w:rPr>
          <w:lang w:val="en-GB"/>
        </w:rPr>
        <w:t>;</w:t>
      </w:r>
      <w:r w:rsidRPr="007F62B6">
        <w:rPr>
          <w:lang w:val="en-GB"/>
        </w:rPr>
        <w:t xml:space="preserve"> </w:t>
      </w:r>
      <w:r w:rsidR="00B94FC8">
        <w:rPr>
          <w:lang w:val="en-GB"/>
        </w:rPr>
        <w:t>b</w:t>
      </w:r>
      <w:r w:rsidRPr="007F62B6">
        <w:rPr>
          <w:lang w:val="en-GB"/>
        </w:rPr>
        <w:t xml:space="preserve">y 2015, </w:t>
      </w:r>
      <w:r w:rsidR="00B94FC8">
        <w:rPr>
          <w:lang w:val="en-GB"/>
        </w:rPr>
        <w:t>the senior population had grown to</w:t>
      </w:r>
      <w:r w:rsidRPr="007F62B6">
        <w:rPr>
          <w:lang w:val="en-GB"/>
        </w:rPr>
        <w:t xml:space="preserve"> 47.8 million. Within the next five decades, </w:t>
      </w:r>
      <w:r w:rsidR="00020B4F">
        <w:rPr>
          <w:lang w:val="en-GB"/>
        </w:rPr>
        <w:t>the senior population</w:t>
      </w:r>
      <w:r w:rsidR="00020B4F" w:rsidRPr="007F62B6">
        <w:rPr>
          <w:lang w:val="en-GB"/>
        </w:rPr>
        <w:t xml:space="preserve"> </w:t>
      </w:r>
      <w:r w:rsidRPr="007F62B6">
        <w:rPr>
          <w:lang w:val="en-GB"/>
        </w:rPr>
        <w:t>was projected to surpass 100 million.</w:t>
      </w:r>
      <w:r w:rsidRPr="007F62B6">
        <w:rPr>
          <w:rStyle w:val="FootnoteReference"/>
          <w:lang w:val="en-GB"/>
        </w:rPr>
        <w:footnoteReference w:id="5"/>
      </w:r>
    </w:p>
    <w:p w14:paraId="6087ACBD" w14:textId="77777777" w:rsidR="00F35080" w:rsidRPr="00FD25A0" w:rsidRDefault="00F35080" w:rsidP="005F2F3D">
      <w:pPr>
        <w:pStyle w:val="BodyTextMain"/>
        <w:rPr>
          <w:sz w:val="20"/>
          <w:lang w:val="en-GB"/>
        </w:rPr>
      </w:pPr>
    </w:p>
    <w:p w14:paraId="4FFAA61A" w14:textId="57B9E213" w:rsidR="00F35080" w:rsidRPr="007F62B6" w:rsidRDefault="00F35080" w:rsidP="005F2F3D">
      <w:pPr>
        <w:pStyle w:val="BodyTextMain"/>
        <w:rPr>
          <w:lang w:val="en-GB"/>
        </w:rPr>
      </w:pPr>
      <w:r w:rsidRPr="007F62B6">
        <w:rPr>
          <w:lang w:val="en-GB"/>
        </w:rPr>
        <w:t xml:space="preserve">In 2011, the </w:t>
      </w:r>
      <w:r w:rsidR="00DD0834" w:rsidRPr="007F62B6">
        <w:rPr>
          <w:lang w:val="en-GB"/>
        </w:rPr>
        <w:t>United States</w:t>
      </w:r>
      <w:r w:rsidRPr="007F62B6">
        <w:rPr>
          <w:lang w:val="en-GB"/>
        </w:rPr>
        <w:t xml:space="preserve"> spent </w:t>
      </w:r>
      <w:r w:rsidR="00B94FC8">
        <w:rPr>
          <w:lang w:val="en-GB"/>
        </w:rPr>
        <w:t>more than</w:t>
      </w:r>
      <w:r w:rsidR="00B94FC8" w:rsidRPr="007F62B6">
        <w:rPr>
          <w:lang w:val="en-GB"/>
        </w:rPr>
        <w:t xml:space="preserve"> </w:t>
      </w:r>
      <w:r w:rsidRPr="007F62B6">
        <w:rPr>
          <w:lang w:val="en-GB"/>
        </w:rPr>
        <w:t>$256 billion on long</w:t>
      </w:r>
      <w:r w:rsidR="00B94FC8">
        <w:rPr>
          <w:lang w:val="en-GB"/>
        </w:rPr>
        <w:t>-</w:t>
      </w:r>
      <w:r w:rsidRPr="007F62B6">
        <w:rPr>
          <w:lang w:val="en-GB"/>
        </w:rPr>
        <w:t xml:space="preserve">term care for </w:t>
      </w:r>
      <w:r w:rsidR="00B94FC8">
        <w:rPr>
          <w:lang w:val="en-GB"/>
        </w:rPr>
        <w:t>seniors</w:t>
      </w:r>
      <w:r w:rsidRPr="007F62B6">
        <w:rPr>
          <w:lang w:val="en-GB"/>
        </w:rPr>
        <w:t xml:space="preserve">. Four years later, that figure rose to $305 billion (see </w:t>
      </w:r>
      <w:r w:rsidRPr="007F62B6">
        <w:rPr>
          <w:iCs/>
          <w:lang w:val="en-GB"/>
        </w:rPr>
        <w:t>Exhibit 3</w:t>
      </w:r>
      <w:r w:rsidRPr="007F62B6">
        <w:rPr>
          <w:lang w:val="en-GB"/>
        </w:rPr>
        <w:t xml:space="preserve">). In response to escalating costs, </w:t>
      </w:r>
      <w:proofErr w:type="gramStart"/>
      <w:r w:rsidR="008D6FB6">
        <w:rPr>
          <w:lang w:val="en-GB"/>
        </w:rPr>
        <w:t>US</w:t>
      </w:r>
      <w:proofErr w:type="gramEnd"/>
      <w:r w:rsidR="00B94FC8">
        <w:rPr>
          <w:lang w:val="en-GB"/>
        </w:rPr>
        <w:t xml:space="preserve"> </w:t>
      </w:r>
      <w:r w:rsidRPr="007F62B6">
        <w:rPr>
          <w:lang w:val="en-GB"/>
        </w:rPr>
        <w:t xml:space="preserve">counties and states began seeking novel ways to reduce expenditures and tighten budgets. Seniors sought organizations that could help them navigate the array of costly services they </w:t>
      </w:r>
      <w:r w:rsidR="00B94FC8">
        <w:rPr>
          <w:lang w:val="en-GB"/>
        </w:rPr>
        <w:t>could</w:t>
      </w:r>
      <w:r w:rsidRPr="007F62B6">
        <w:rPr>
          <w:lang w:val="en-GB"/>
        </w:rPr>
        <w:t xml:space="preserve"> choose from. The demands of the market were changing</w:t>
      </w:r>
      <w:r w:rsidR="00B94FC8">
        <w:rPr>
          <w:lang w:val="en-GB"/>
        </w:rPr>
        <w:t>,</w:t>
      </w:r>
      <w:r w:rsidRPr="007F62B6">
        <w:rPr>
          <w:lang w:val="en-GB"/>
        </w:rPr>
        <w:t xml:space="preserve"> and </w:t>
      </w:r>
      <w:r w:rsidR="00E86903">
        <w:rPr>
          <w:lang w:val="en-GB"/>
        </w:rPr>
        <w:t xml:space="preserve">the </w:t>
      </w:r>
      <w:r w:rsidRPr="007F62B6">
        <w:rPr>
          <w:lang w:val="en-GB"/>
        </w:rPr>
        <w:t xml:space="preserve">IOA </w:t>
      </w:r>
      <w:r w:rsidR="00B94FC8">
        <w:rPr>
          <w:lang w:val="en-GB"/>
        </w:rPr>
        <w:t>needed</w:t>
      </w:r>
      <w:r w:rsidR="00B94FC8" w:rsidRPr="007F62B6">
        <w:rPr>
          <w:lang w:val="en-GB"/>
        </w:rPr>
        <w:t xml:space="preserve"> </w:t>
      </w:r>
      <w:r w:rsidRPr="007F62B6">
        <w:rPr>
          <w:lang w:val="en-GB"/>
        </w:rPr>
        <w:t>to adapt to meet those demands.</w:t>
      </w:r>
      <w:r w:rsidRPr="007F62B6">
        <w:rPr>
          <w:rStyle w:val="FootnoteReference"/>
          <w:lang w:val="en-GB"/>
        </w:rPr>
        <w:footnoteReference w:id="6"/>
      </w:r>
    </w:p>
    <w:p w14:paraId="5DC30C4F" w14:textId="77777777" w:rsidR="00F35080" w:rsidRPr="00FD25A0" w:rsidRDefault="00F35080" w:rsidP="00F35080">
      <w:pPr>
        <w:rPr>
          <w:lang w:val="en-GB"/>
        </w:rPr>
      </w:pPr>
    </w:p>
    <w:p w14:paraId="1EBC1CE0" w14:textId="77777777" w:rsidR="00F35080" w:rsidRPr="00FD25A0" w:rsidRDefault="00F35080" w:rsidP="00F35080">
      <w:pPr>
        <w:rPr>
          <w:lang w:val="en-GB"/>
        </w:rPr>
      </w:pPr>
    </w:p>
    <w:p w14:paraId="31AC7F9D" w14:textId="77777777" w:rsidR="00F35080" w:rsidRPr="007F62B6" w:rsidRDefault="00F35080" w:rsidP="005F2F3D">
      <w:pPr>
        <w:pStyle w:val="Casehead1"/>
        <w:rPr>
          <w:lang w:val="en-GB"/>
        </w:rPr>
      </w:pPr>
      <w:r w:rsidRPr="007F62B6">
        <w:rPr>
          <w:lang w:val="en-GB"/>
        </w:rPr>
        <w:t>The Search for New Leadership</w:t>
      </w:r>
    </w:p>
    <w:p w14:paraId="41A87364" w14:textId="77777777" w:rsidR="00F35080" w:rsidRPr="00FD25A0" w:rsidRDefault="00F35080" w:rsidP="00F35080">
      <w:pPr>
        <w:rPr>
          <w:b/>
          <w:bCs/>
          <w:lang w:val="en-GB"/>
        </w:rPr>
      </w:pPr>
    </w:p>
    <w:p w14:paraId="765F967F" w14:textId="7FE66B65" w:rsidR="00F35080" w:rsidRPr="007F62B6" w:rsidRDefault="00F35080" w:rsidP="005F2F3D">
      <w:pPr>
        <w:pStyle w:val="BodyTextMain"/>
        <w:rPr>
          <w:lang w:val="en-GB"/>
        </w:rPr>
      </w:pPr>
      <w:proofErr w:type="spellStart"/>
      <w:r w:rsidRPr="007F62B6">
        <w:rPr>
          <w:lang w:val="en-GB"/>
        </w:rPr>
        <w:t>Dr.</w:t>
      </w:r>
      <w:proofErr w:type="spellEnd"/>
      <w:r w:rsidRPr="007F62B6">
        <w:rPr>
          <w:lang w:val="en-GB"/>
        </w:rPr>
        <w:t xml:space="preserve"> David Werdegar, </w:t>
      </w:r>
      <w:r w:rsidR="00E86903">
        <w:rPr>
          <w:lang w:val="en-GB"/>
        </w:rPr>
        <w:t xml:space="preserve">the </w:t>
      </w:r>
      <w:r w:rsidR="00D410D1">
        <w:rPr>
          <w:lang w:val="en-GB"/>
        </w:rPr>
        <w:t>IOA</w:t>
      </w:r>
      <w:r w:rsidR="00E86903">
        <w:rPr>
          <w:lang w:val="en-GB"/>
        </w:rPr>
        <w:t>’s</w:t>
      </w:r>
      <w:r w:rsidR="00D410D1">
        <w:rPr>
          <w:lang w:val="en-GB"/>
        </w:rPr>
        <w:t xml:space="preserve"> previous</w:t>
      </w:r>
      <w:r w:rsidRPr="007F62B6">
        <w:rPr>
          <w:lang w:val="en-GB"/>
        </w:rPr>
        <w:t xml:space="preserve"> CEO, had been hired by the board in 2001. In the late 1980s, Werdegar led the San Francisco Department of Public Health</w:t>
      </w:r>
      <w:r w:rsidR="00EF06BA">
        <w:rPr>
          <w:lang w:val="en-GB"/>
        </w:rPr>
        <w:t>,</w:t>
      </w:r>
      <w:r w:rsidRPr="007F62B6">
        <w:rPr>
          <w:lang w:val="en-GB"/>
        </w:rPr>
        <w:t xml:space="preserve"> where he had been instrumental in tackling the AIDS </w:t>
      </w:r>
      <w:r w:rsidR="00D410D1">
        <w:rPr>
          <w:lang w:val="en-GB"/>
        </w:rPr>
        <w:t xml:space="preserve">(acquired immune deficiency syndrome) </w:t>
      </w:r>
      <w:r w:rsidRPr="007F62B6">
        <w:rPr>
          <w:lang w:val="en-GB"/>
        </w:rPr>
        <w:t xml:space="preserve">epidemic. In the 1990s, he served as the director of the office of </w:t>
      </w:r>
      <w:proofErr w:type="spellStart"/>
      <w:r w:rsidRPr="007F62B6">
        <w:rPr>
          <w:lang w:val="en-GB"/>
        </w:rPr>
        <w:t>Statewide</w:t>
      </w:r>
      <w:proofErr w:type="spellEnd"/>
      <w:r w:rsidRPr="007F62B6">
        <w:rPr>
          <w:lang w:val="en-GB"/>
        </w:rPr>
        <w:t xml:space="preserve"> Health Planning and Development</w:t>
      </w:r>
      <w:r w:rsidR="00D410D1">
        <w:rPr>
          <w:lang w:val="en-GB"/>
        </w:rPr>
        <w:t>,</w:t>
      </w:r>
      <w:r w:rsidRPr="007F62B6">
        <w:rPr>
          <w:lang w:val="en-GB"/>
        </w:rPr>
        <w:t xml:space="preserve"> where his responsibilities ranged from monitoring the renovation of hospitals to providing loan insurance designed to support the construction of new medical facilities. Werdegar was known for his personal touch. </w:t>
      </w:r>
      <w:r w:rsidR="00E86903">
        <w:rPr>
          <w:lang w:val="en-GB"/>
        </w:rPr>
        <w:t xml:space="preserve">The </w:t>
      </w:r>
      <w:r w:rsidRPr="007F62B6">
        <w:rPr>
          <w:lang w:val="en-GB"/>
        </w:rPr>
        <w:t>IOA staff fondly recalled how they “were affectionately greeted by name by our president who we all loved dearly.”</w:t>
      </w:r>
    </w:p>
    <w:p w14:paraId="4C1D77CD" w14:textId="77777777" w:rsidR="00F35080" w:rsidRPr="00FD25A0" w:rsidRDefault="00F35080" w:rsidP="005F2F3D">
      <w:pPr>
        <w:pStyle w:val="BodyTextMain"/>
        <w:rPr>
          <w:sz w:val="20"/>
          <w:lang w:val="en-GB"/>
        </w:rPr>
      </w:pPr>
    </w:p>
    <w:p w14:paraId="2189E272" w14:textId="7F22B2D1" w:rsidR="00F35080" w:rsidRPr="007F62B6" w:rsidRDefault="00F35080" w:rsidP="005F2F3D">
      <w:pPr>
        <w:pStyle w:val="BodyTextMain"/>
        <w:rPr>
          <w:lang w:val="en-GB"/>
        </w:rPr>
      </w:pPr>
      <w:r w:rsidRPr="007F62B6">
        <w:rPr>
          <w:lang w:val="en-GB"/>
        </w:rPr>
        <w:t xml:space="preserve">In 2011, an executive search firm identified multiple candidates who might succeed Werdegar. Three candidates were at the top of the list. The first candidate was an executive from Kaiser Permanente. Her interpersonal skills impressed the board but the strategic plan she presented was viewed as “more of the same.” The second candidate was the head of a hospital. While his vision for </w:t>
      </w:r>
      <w:r w:rsidR="00E86903">
        <w:rPr>
          <w:lang w:val="en-GB"/>
        </w:rPr>
        <w:t xml:space="preserve">the </w:t>
      </w:r>
      <w:r w:rsidRPr="007F62B6">
        <w:rPr>
          <w:lang w:val="en-GB"/>
        </w:rPr>
        <w:t xml:space="preserve">IOA appeared strong, he seemed to operate with “an iron hand” </w:t>
      </w:r>
      <w:r w:rsidR="004B2F3E">
        <w:rPr>
          <w:lang w:val="en-GB"/>
        </w:rPr>
        <w:t>(i.e., with stern control), which</w:t>
      </w:r>
      <w:r w:rsidR="004B2F3E" w:rsidRPr="007F62B6">
        <w:rPr>
          <w:lang w:val="en-GB"/>
        </w:rPr>
        <w:t xml:space="preserve"> </w:t>
      </w:r>
      <w:r w:rsidRPr="007F62B6">
        <w:rPr>
          <w:lang w:val="en-GB"/>
        </w:rPr>
        <w:t xml:space="preserve">some board members feared would clash with the </w:t>
      </w:r>
      <w:r w:rsidR="004B2F3E">
        <w:rPr>
          <w:lang w:val="en-GB"/>
        </w:rPr>
        <w:t xml:space="preserve">organization’s </w:t>
      </w:r>
      <w:r w:rsidRPr="007F62B6">
        <w:rPr>
          <w:lang w:val="en-GB"/>
        </w:rPr>
        <w:t xml:space="preserve">existing culture. The board decided that </w:t>
      </w:r>
      <w:proofErr w:type="spellStart"/>
      <w:r w:rsidRPr="007F62B6">
        <w:rPr>
          <w:lang w:val="en-GB"/>
        </w:rPr>
        <w:t>Briody</w:t>
      </w:r>
      <w:proofErr w:type="spellEnd"/>
      <w:r w:rsidRPr="007F62B6">
        <w:rPr>
          <w:lang w:val="en-GB"/>
        </w:rPr>
        <w:t xml:space="preserve"> was the best choice. He had a clear set of strategic objectives and an amiable personality that was open to criticism and feedback.</w:t>
      </w:r>
    </w:p>
    <w:p w14:paraId="41C0E344" w14:textId="77777777" w:rsidR="00F35080" w:rsidRPr="00FD25A0" w:rsidRDefault="00F35080" w:rsidP="005F2F3D">
      <w:pPr>
        <w:pStyle w:val="BodyTextMain"/>
        <w:rPr>
          <w:sz w:val="20"/>
          <w:lang w:val="en-GB"/>
        </w:rPr>
      </w:pPr>
    </w:p>
    <w:p w14:paraId="1FDB75DB" w14:textId="425D7E43" w:rsidR="00F35080" w:rsidRPr="007F62B6" w:rsidRDefault="00F35080" w:rsidP="005F2F3D">
      <w:pPr>
        <w:pStyle w:val="BodyTextMain"/>
        <w:rPr>
          <w:lang w:val="en-GB"/>
        </w:rPr>
      </w:pPr>
      <w:proofErr w:type="spellStart"/>
      <w:r w:rsidRPr="007F62B6">
        <w:rPr>
          <w:lang w:val="en-GB"/>
        </w:rPr>
        <w:t>Briody</w:t>
      </w:r>
      <w:proofErr w:type="spellEnd"/>
      <w:r w:rsidRPr="007F62B6">
        <w:rPr>
          <w:lang w:val="en-GB"/>
        </w:rPr>
        <w:t xml:space="preserve"> received his undergraduate degree in business administration from Xavier University in Cincinnati, Ohio</w:t>
      </w:r>
      <w:r w:rsidR="004B2F3E">
        <w:rPr>
          <w:lang w:val="en-GB"/>
        </w:rPr>
        <w:t>,</w:t>
      </w:r>
      <w:r w:rsidRPr="007F62B6">
        <w:rPr>
          <w:lang w:val="en-GB"/>
        </w:rPr>
        <w:t xml:space="preserve"> in 1980. Two years later, he obtained a master</w:t>
      </w:r>
      <w:r w:rsidR="004B2F3E">
        <w:rPr>
          <w:lang w:val="en-GB"/>
        </w:rPr>
        <w:t>’s degree</w:t>
      </w:r>
      <w:r w:rsidRPr="007F62B6">
        <w:rPr>
          <w:lang w:val="en-GB"/>
        </w:rPr>
        <w:t xml:space="preserve"> </w:t>
      </w:r>
      <w:r w:rsidR="004B2F3E">
        <w:rPr>
          <w:lang w:val="en-GB"/>
        </w:rPr>
        <w:t>in</w:t>
      </w:r>
      <w:r w:rsidR="004B2F3E" w:rsidRPr="007F62B6">
        <w:rPr>
          <w:lang w:val="en-GB"/>
        </w:rPr>
        <w:t xml:space="preserve"> </w:t>
      </w:r>
      <w:r w:rsidRPr="007F62B6">
        <w:rPr>
          <w:lang w:val="en-GB"/>
        </w:rPr>
        <w:t>health science from the University of Toronto. His early career involved work</w:t>
      </w:r>
      <w:r w:rsidR="004B2F3E">
        <w:rPr>
          <w:lang w:val="en-GB"/>
        </w:rPr>
        <w:t>ing</w:t>
      </w:r>
      <w:r w:rsidRPr="007F62B6">
        <w:rPr>
          <w:lang w:val="en-GB"/>
        </w:rPr>
        <w:t xml:space="preserve"> </w:t>
      </w:r>
      <w:r w:rsidR="004B2F3E">
        <w:rPr>
          <w:lang w:val="en-GB"/>
        </w:rPr>
        <w:t>in</w:t>
      </w:r>
      <w:r w:rsidR="004B2F3E" w:rsidRPr="007F62B6">
        <w:rPr>
          <w:lang w:val="en-GB"/>
        </w:rPr>
        <w:t xml:space="preserve"> </w:t>
      </w:r>
      <w:r w:rsidRPr="007F62B6">
        <w:rPr>
          <w:lang w:val="en-GB"/>
        </w:rPr>
        <w:t>hospitals, long</w:t>
      </w:r>
      <w:r w:rsidR="004B2F3E">
        <w:rPr>
          <w:lang w:val="en-GB"/>
        </w:rPr>
        <w:t>-</w:t>
      </w:r>
      <w:r w:rsidRPr="007F62B6">
        <w:rPr>
          <w:lang w:val="en-GB"/>
        </w:rPr>
        <w:t xml:space="preserve">term care </w:t>
      </w:r>
      <w:r w:rsidR="004B2F3E" w:rsidRPr="007F62B6">
        <w:rPr>
          <w:lang w:val="en-GB"/>
        </w:rPr>
        <w:t>cent</w:t>
      </w:r>
      <w:r w:rsidR="004B2F3E">
        <w:rPr>
          <w:lang w:val="en-GB"/>
        </w:rPr>
        <w:t>re</w:t>
      </w:r>
      <w:r w:rsidR="004B2F3E" w:rsidRPr="007F62B6">
        <w:rPr>
          <w:lang w:val="en-GB"/>
        </w:rPr>
        <w:t>s</w:t>
      </w:r>
      <w:r w:rsidRPr="007F62B6">
        <w:rPr>
          <w:lang w:val="en-GB"/>
        </w:rPr>
        <w:t xml:space="preserve">, and assisted living facilities. </w:t>
      </w:r>
      <w:proofErr w:type="spellStart"/>
      <w:r w:rsidRPr="007F62B6">
        <w:rPr>
          <w:lang w:val="en-GB"/>
        </w:rPr>
        <w:t>Briody</w:t>
      </w:r>
      <w:proofErr w:type="spellEnd"/>
      <w:r w:rsidRPr="007F62B6">
        <w:rPr>
          <w:lang w:val="en-GB"/>
        </w:rPr>
        <w:t xml:space="preserve"> also had a background in small business</w:t>
      </w:r>
      <w:r w:rsidR="006947F6">
        <w:rPr>
          <w:lang w:val="en-GB"/>
        </w:rPr>
        <w:t>,</w:t>
      </w:r>
      <w:r w:rsidRPr="007F62B6">
        <w:rPr>
          <w:lang w:val="en-GB"/>
        </w:rPr>
        <w:t xml:space="preserve"> </w:t>
      </w:r>
      <w:r w:rsidR="006947F6">
        <w:rPr>
          <w:lang w:val="en-GB"/>
        </w:rPr>
        <w:t>which</w:t>
      </w:r>
      <w:r w:rsidR="006947F6" w:rsidRPr="007F62B6">
        <w:rPr>
          <w:lang w:val="en-GB"/>
        </w:rPr>
        <w:t xml:space="preserve"> </w:t>
      </w:r>
      <w:r w:rsidRPr="007F62B6">
        <w:rPr>
          <w:lang w:val="en-GB"/>
        </w:rPr>
        <w:t>appealed to the board. Between 2005 and 2010</w:t>
      </w:r>
      <w:r w:rsidR="004B2F3E">
        <w:rPr>
          <w:lang w:val="en-GB"/>
        </w:rPr>
        <w:t>,</w:t>
      </w:r>
      <w:r w:rsidRPr="007F62B6">
        <w:rPr>
          <w:lang w:val="en-GB"/>
        </w:rPr>
        <w:t xml:space="preserve"> he </w:t>
      </w:r>
      <w:r w:rsidR="004B2F3E">
        <w:rPr>
          <w:lang w:val="en-GB"/>
        </w:rPr>
        <w:t xml:space="preserve">had </w:t>
      </w:r>
      <w:r w:rsidRPr="007F62B6">
        <w:rPr>
          <w:lang w:val="en-GB"/>
        </w:rPr>
        <w:t xml:space="preserve">planned the development of a $40 million </w:t>
      </w:r>
      <w:r w:rsidR="004B2F3E">
        <w:rPr>
          <w:lang w:val="en-GB"/>
        </w:rPr>
        <w:t>c</w:t>
      </w:r>
      <w:r w:rsidRPr="007F62B6">
        <w:rPr>
          <w:lang w:val="en-GB"/>
        </w:rPr>
        <w:t xml:space="preserve">ontinuing </w:t>
      </w:r>
      <w:r w:rsidR="004B2F3E">
        <w:rPr>
          <w:lang w:val="en-GB"/>
        </w:rPr>
        <w:t>c</w:t>
      </w:r>
      <w:r w:rsidRPr="007F62B6">
        <w:rPr>
          <w:lang w:val="en-GB"/>
        </w:rPr>
        <w:t xml:space="preserve">are </w:t>
      </w:r>
      <w:r w:rsidR="004B2F3E">
        <w:rPr>
          <w:lang w:val="en-GB"/>
        </w:rPr>
        <w:t>r</w:t>
      </w:r>
      <w:r w:rsidRPr="007F62B6">
        <w:rPr>
          <w:lang w:val="en-GB"/>
        </w:rPr>
        <w:t xml:space="preserve">etirement </w:t>
      </w:r>
      <w:r w:rsidR="004B2F3E">
        <w:rPr>
          <w:lang w:val="en-GB"/>
        </w:rPr>
        <w:t>c</w:t>
      </w:r>
      <w:r w:rsidRPr="007F62B6">
        <w:rPr>
          <w:lang w:val="en-GB"/>
        </w:rPr>
        <w:t>ommunity (CCRC) in Lockport, New York</w:t>
      </w:r>
      <w:r w:rsidR="004B2F3E">
        <w:rPr>
          <w:lang w:val="en-GB"/>
        </w:rPr>
        <w:t>,</w:t>
      </w:r>
      <w:r w:rsidRPr="007F62B6">
        <w:rPr>
          <w:lang w:val="en-GB"/>
        </w:rPr>
        <w:t xml:space="preserve"> comprising 40 independent living homes, 66 independent living apartments, 32 assisted living apartments, and a full-service community </w:t>
      </w:r>
      <w:r w:rsidR="004B2F3E" w:rsidRPr="007F62B6">
        <w:rPr>
          <w:lang w:val="en-GB"/>
        </w:rPr>
        <w:t>cent</w:t>
      </w:r>
      <w:r w:rsidR="004B2F3E">
        <w:rPr>
          <w:lang w:val="en-GB"/>
        </w:rPr>
        <w:t>re</w:t>
      </w:r>
      <w:r w:rsidRPr="007F62B6">
        <w:rPr>
          <w:lang w:val="en-GB"/>
        </w:rPr>
        <w:t>.</w:t>
      </w:r>
    </w:p>
    <w:p w14:paraId="41451758" w14:textId="77777777" w:rsidR="00F35080" w:rsidRPr="00FD25A0" w:rsidRDefault="00F35080" w:rsidP="005F2F3D">
      <w:pPr>
        <w:pStyle w:val="BodyTextMain"/>
        <w:rPr>
          <w:sz w:val="20"/>
          <w:lang w:val="en-GB"/>
        </w:rPr>
      </w:pPr>
    </w:p>
    <w:p w14:paraId="129D5B12" w14:textId="17C1A05E" w:rsidR="00F35080" w:rsidRPr="007F62B6" w:rsidRDefault="00F35080" w:rsidP="005F2F3D">
      <w:pPr>
        <w:pStyle w:val="BodyTextMain"/>
        <w:rPr>
          <w:lang w:val="en-GB"/>
        </w:rPr>
      </w:pPr>
      <w:r w:rsidRPr="007F62B6">
        <w:rPr>
          <w:lang w:val="en-GB"/>
        </w:rPr>
        <w:t xml:space="preserve">The economic crisis of 2008 </w:t>
      </w:r>
      <w:r w:rsidR="006947F6">
        <w:rPr>
          <w:lang w:val="en-GB"/>
        </w:rPr>
        <w:t xml:space="preserve">had </w:t>
      </w:r>
      <w:r w:rsidRPr="007F62B6">
        <w:rPr>
          <w:lang w:val="en-GB"/>
        </w:rPr>
        <w:t>prevented the CCRC from launching</w:t>
      </w:r>
      <w:r w:rsidR="004B2F3E">
        <w:rPr>
          <w:lang w:val="en-GB"/>
        </w:rPr>
        <w:t>,</w:t>
      </w:r>
      <w:r w:rsidRPr="007F62B6">
        <w:rPr>
          <w:lang w:val="en-GB"/>
        </w:rPr>
        <w:t xml:space="preserve"> and prompted </w:t>
      </w:r>
      <w:proofErr w:type="spellStart"/>
      <w:r w:rsidRPr="007F62B6">
        <w:rPr>
          <w:lang w:val="en-GB"/>
        </w:rPr>
        <w:t>Briody</w:t>
      </w:r>
      <w:proofErr w:type="spellEnd"/>
      <w:r w:rsidRPr="007F62B6">
        <w:rPr>
          <w:lang w:val="en-GB"/>
        </w:rPr>
        <w:t xml:space="preserve"> to search for new opportunities. That search led to </w:t>
      </w:r>
      <w:r w:rsidR="00E86903">
        <w:rPr>
          <w:lang w:val="en-GB"/>
        </w:rPr>
        <w:t xml:space="preserve">the </w:t>
      </w:r>
      <w:r w:rsidRPr="007F62B6">
        <w:rPr>
          <w:lang w:val="en-GB"/>
        </w:rPr>
        <w:t xml:space="preserve">IOA—an organization in which he saw tremendous potential. His vision was to simultaneously cut costs, strengthen core services, and foster growth. This approach won over the board, but additional buy-in was necessary. Before hiring </w:t>
      </w:r>
      <w:proofErr w:type="spellStart"/>
      <w:r w:rsidRPr="007F62B6">
        <w:rPr>
          <w:lang w:val="en-GB"/>
        </w:rPr>
        <w:t>Briody</w:t>
      </w:r>
      <w:proofErr w:type="spellEnd"/>
      <w:r w:rsidRPr="007F62B6">
        <w:rPr>
          <w:lang w:val="en-GB"/>
        </w:rPr>
        <w:t xml:space="preserve">, the board </w:t>
      </w:r>
      <w:r w:rsidR="004B2F3E">
        <w:rPr>
          <w:lang w:val="en-GB"/>
        </w:rPr>
        <w:t>needed</w:t>
      </w:r>
      <w:r w:rsidR="004B2F3E" w:rsidRPr="007F62B6">
        <w:rPr>
          <w:lang w:val="en-GB"/>
        </w:rPr>
        <w:t xml:space="preserve"> </w:t>
      </w:r>
      <w:r w:rsidRPr="007F62B6">
        <w:rPr>
          <w:lang w:val="en-GB"/>
        </w:rPr>
        <w:t xml:space="preserve">to convince </w:t>
      </w:r>
      <w:r w:rsidR="00402B19" w:rsidRPr="007F62B6">
        <w:rPr>
          <w:lang w:val="en-GB"/>
        </w:rPr>
        <w:t>Coastal Mortgage</w:t>
      </w:r>
      <w:r w:rsidRPr="007F62B6">
        <w:rPr>
          <w:lang w:val="en-GB"/>
        </w:rPr>
        <w:t>.</w:t>
      </w:r>
    </w:p>
    <w:p w14:paraId="6884C09D" w14:textId="7A31E952" w:rsidR="00F35080" w:rsidRPr="007F62B6" w:rsidRDefault="00F35080" w:rsidP="005F2F3D">
      <w:pPr>
        <w:pStyle w:val="BodyTextMain"/>
        <w:rPr>
          <w:lang w:val="en-GB"/>
        </w:rPr>
      </w:pPr>
      <w:r w:rsidRPr="007F62B6">
        <w:rPr>
          <w:lang w:val="en-GB"/>
        </w:rPr>
        <w:t xml:space="preserve">In 2008, </w:t>
      </w:r>
      <w:r w:rsidR="00402B19" w:rsidRPr="007F62B6">
        <w:rPr>
          <w:lang w:val="en-GB"/>
        </w:rPr>
        <w:t>Coastal Mortgage</w:t>
      </w:r>
      <w:r w:rsidRPr="007F62B6">
        <w:rPr>
          <w:lang w:val="en-GB"/>
        </w:rPr>
        <w:t xml:space="preserve"> provided </w:t>
      </w:r>
      <w:r w:rsidR="00E86903">
        <w:rPr>
          <w:lang w:val="en-GB"/>
        </w:rPr>
        <w:t xml:space="preserve">the </w:t>
      </w:r>
      <w:r w:rsidRPr="007F62B6">
        <w:rPr>
          <w:lang w:val="en-GB"/>
        </w:rPr>
        <w:t>IOA with a $41 million loan for the construction of a three-stor</w:t>
      </w:r>
      <w:r w:rsidR="004B2F3E">
        <w:rPr>
          <w:lang w:val="en-GB"/>
        </w:rPr>
        <w:t>e</w:t>
      </w:r>
      <w:r w:rsidRPr="007F62B6">
        <w:rPr>
          <w:lang w:val="en-GB"/>
        </w:rPr>
        <w:t xml:space="preserve">y building in the middle of San Francisco. Principal and interest payments were scheduled to begin in 2012. As the deadline approached, it became clear that </w:t>
      </w:r>
      <w:r w:rsidR="00E86903">
        <w:rPr>
          <w:lang w:val="en-GB"/>
        </w:rPr>
        <w:t xml:space="preserve">the </w:t>
      </w:r>
      <w:r w:rsidRPr="007F62B6">
        <w:rPr>
          <w:lang w:val="en-GB"/>
        </w:rPr>
        <w:t xml:space="preserve">IOA would be unable to meet the amortization schedule. </w:t>
      </w:r>
      <w:r w:rsidR="00402B19" w:rsidRPr="007F62B6">
        <w:rPr>
          <w:lang w:val="en-GB"/>
        </w:rPr>
        <w:t>Coastal Mortgage</w:t>
      </w:r>
      <w:r w:rsidRPr="007F62B6">
        <w:rPr>
          <w:lang w:val="en-GB"/>
        </w:rPr>
        <w:t xml:space="preserve"> responded by demanding greater control</w:t>
      </w:r>
      <w:r w:rsidR="004B2F3E">
        <w:rPr>
          <w:lang w:val="en-GB"/>
        </w:rPr>
        <w:t>,</w:t>
      </w:r>
      <w:r w:rsidRPr="007F62B6">
        <w:rPr>
          <w:lang w:val="en-GB"/>
        </w:rPr>
        <w:t xml:space="preserve"> including representation at board meetings and approval of the salary offered to the incoming CEO. After a period of negotiation, </w:t>
      </w:r>
      <w:proofErr w:type="spellStart"/>
      <w:r w:rsidRPr="007F62B6">
        <w:rPr>
          <w:lang w:val="en-GB"/>
        </w:rPr>
        <w:t>Briody</w:t>
      </w:r>
      <w:proofErr w:type="spellEnd"/>
      <w:r w:rsidRPr="007F62B6">
        <w:rPr>
          <w:lang w:val="en-GB"/>
        </w:rPr>
        <w:t xml:space="preserve"> was officially hired in February 2012. </w:t>
      </w:r>
    </w:p>
    <w:p w14:paraId="47DE3149" w14:textId="77777777" w:rsidR="00F35080" w:rsidRPr="00FD25A0" w:rsidRDefault="00F35080" w:rsidP="005F2F3D">
      <w:pPr>
        <w:pStyle w:val="BodyTextMain"/>
        <w:rPr>
          <w:sz w:val="20"/>
          <w:lang w:val="en-GB"/>
        </w:rPr>
      </w:pPr>
    </w:p>
    <w:p w14:paraId="321586BA" w14:textId="41A3DF31" w:rsidR="00F35080" w:rsidRPr="007F62B6" w:rsidRDefault="00F35080" w:rsidP="005F2F3D">
      <w:pPr>
        <w:pStyle w:val="BodyTextMain"/>
        <w:rPr>
          <w:lang w:val="en-GB"/>
        </w:rPr>
      </w:pPr>
      <w:r w:rsidRPr="007F62B6">
        <w:rPr>
          <w:lang w:val="en-GB"/>
        </w:rPr>
        <w:t xml:space="preserve">Early on, </w:t>
      </w:r>
      <w:proofErr w:type="spellStart"/>
      <w:r w:rsidRPr="007F62B6">
        <w:rPr>
          <w:lang w:val="en-GB"/>
        </w:rPr>
        <w:t>Briody</w:t>
      </w:r>
      <w:proofErr w:type="spellEnd"/>
      <w:r w:rsidRPr="007F62B6">
        <w:rPr>
          <w:lang w:val="en-GB"/>
        </w:rPr>
        <w:t xml:space="preserve"> recognized that his style of management different from </w:t>
      </w:r>
      <w:r w:rsidR="004B2F3E">
        <w:rPr>
          <w:lang w:val="en-GB"/>
        </w:rPr>
        <w:t>that of his predecessor</w:t>
      </w:r>
      <w:r w:rsidRPr="007F62B6">
        <w:rPr>
          <w:lang w:val="en-GB"/>
        </w:rPr>
        <w:t xml:space="preserve">. </w:t>
      </w:r>
      <w:proofErr w:type="spellStart"/>
      <w:r w:rsidRPr="007F62B6">
        <w:rPr>
          <w:lang w:val="en-GB"/>
        </w:rPr>
        <w:t>Briody</w:t>
      </w:r>
      <w:proofErr w:type="spellEnd"/>
      <w:r w:rsidRPr="007F62B6">
        <w:rPr>
          <w:lang w:val="en-GB"/>
        </w:rPr>
        <w:t xml:space="preserve"> was perceived as “east coast” by the staff—some of whom balked at his initial insistence that senior directors not wear jeans to the office. The staff also worried about the changes </w:t>
      </w:r>
      <w:proofErr w:type="spellStart"/>
      <w:r w:rsidRPr="007F62B6">
        <w:rPr>
          <w:lang w:val="en-GB"/>
        </w:rPr>
        <w:t>Briody</w:t>
      </w:r>
      <w:proofErr w:type="spellEnd"/>
      <w:r w:rsidRPr="007F62B6">
        <w:rPr>
          <w:lang w:val="en-GB"/>
        </w:rPr>
        <w:t xml:space="preserve"> would be forced to make as he tackled </w:t>
      </w:r>
      <w:r w:rsidR="00E86903">
        <w:rPr>
          <w:lang w:val="en-GB"/>
        </w:rPr>
        <w:t xml:space="preserve">the </w:t>
      </w:r>
      <w:r w:rsidRPr="007F62B6">
        <w:rPr>
          <w:lang w:val="en-GB"/>
        </w:rPr>
        <w:t xml:space="preserve">IOA’s financial problems. As one employee stated, “We needed to right our financial ship and that is why the board brought </w:t>
      </w:r>
      <w:proofErr w:type="spellStart"/>
      <w:r w:rsidRPr="007F62B6">
        <w:rPr>
          <w:lang w:val="en-GB"/>
        </w:rPr>
        <w:t>Briody</w:t>
      </w:r>
      <w:proofErr w:type="spellEnd"/>
      <w:r w:rsidRPr="007F62B6">
        <w:rPr>
          <w:lang w:val="en-GB"/>
        </w:rPr>
        <w:t xml:space="preserve"> in.”</w:t>
      </w:r>
    </w:p>
    <w:p w14:paraId="7EDE52CD" w14:textId="77777777" w:rsidR="00F35080" w:rsidRPr="00FD25A0" w:rsidRDefault="00F35080" w:rsidP="005F2F3D">
      <w:pPr>
        <w:pStyle w:val="BodyTextMain"/>
        <w:rPr>
          <w:sz w:val="20"/>
          <w:lang w:val="en-GB"/>
        </w:rPr>
      </w:pPr>
    </w:p>
    <w:p w14:paraId="321B7C62" w14:textId="77777777" w:rsidR="00F35080" w:rsidRPr="00FD25A0" w:rsidRDefault="00F35080" w:rsidP="00F35080">
      <w:pPr>
        <w:rPr>
          <w:sz w:val="18"/>
          <w:lang w:val="en-GB"/>
        </w:rPr>
      </w:pPr>
    </w:p>
    <w:p w14:paraId="637F8375" w14:textId="77777777" w:rsidR="00F35080" w:rsidRPr="007F62B6" w:rsidRDefault="00F35080" w:rsidP="005F2F3D">
      <w:pPr>
        <w:pStyle w:val="Casehead1"/>
        <w:rPr>
          <w:lang w:val="en-GB"/>
        </w:rPr>
      </w:pPr>
      <w:r w:rsidRPr="007F62B6">
        <w:rPr>
          <w:lang w:val="en-GB"/>
        </w:rPr>
        <w:t>Reorganizing and Reshaping Management</w:t>
      </w:r>
    </w:p>
    <w:p w14:paraId="2DE300C3" w14:textId="77777777" w:rsidR="00F35080" w:rsidRPr="00FD25A0" w:rsidRDefault="00F35080" w:rsidP="00F35080">
      <w:pPr>
        <w:rPr>
          <w:b/>
          <w:bCs/>
          <w:sz w:val="18"/>
          <w:lang w:val="en-GB"/>
        </w:rPr>
      </w:pPr>
    </w:p>
    <w:p w14:paraId="78A109D6" w14:textId="027DEDEA" w:rsidR="00F35080" w:rsidRPr="007F62B6" w:rsidRDefault="00F35080" w:rsidP="005F2F3D">
      <w:pPr>
        <w:pStyle w:val="BodyTextMain"/>
        <w:rPr>
          <w:lang w:val="en-GB"/>
        </w:rPr>
      </w:pPr>
      <w:proofErr w:type="spellStart"/>
      <w:r w:rsidRPr="007F62B6">
        <w:rPr>
          <w:lang w:val="en-GB"/>
        </w:rPr>
        <w:t>Briody</w:t>
      </w:r>
      <w:proofErr w:type="spellEnd"/>
      <w:r w:rsidRPr="007F62B6">
        <w:rPr>
          <w:lang w:val="en-GB"/>
        </w:rPr>
        <w:t xml:space="preserve"> understood that </w:t>
      </w:r>
      <w:r w:rsidR="00E86903">
        <w:rPr>
          <w:lang w:val="en-GB"/>
        </w:rPr>
        <w:t xml:space="preserve">the </w:t>
      </w:r>
      <w:r w:rsidRPr="007F62B6">
        <w:rPr>
          <w:lang w:val="en-GB"/>
        </w:rPr>
        <w:t xml:space="preserve">IOA </w:t>
      </w:r>
      <w:r w:rsidR="006947F6">
        <w:rPr>
          <w:lang w:val="en-GB"/>
        </w:rPr>
        <w:t>needed</w:t>
      </w:r>
      <w:r w:rsidR="006947F6" w:rsidRPr="007F62B6">
        <w:rPr>
          <w:lang w:val="en-GB"/>
        </w:rPr>
        <w:t xml:space="preserve"> </w:t>
      </w:r>
      <w:r w:rsidRPr="007F62B6">
        <w:rPr>
          <w:lang w:val="en-GB"/>
        </w:rPr>
        <w:t xml:space="preserve">to become as cost-conscious and customer-centric as any for-profit firm. As </w:t>
      </w:r>
      <w:proofErr w:type="spellStart"/>
      <w:r w:rsidRPr="007F62B6">
        <w:rPr>
          <w:lang w:val="en-GB"/>
        </w:rPr>
        <w:t>Briody</w:t>
      </w:r>
      <w:proofErr w:type="spellEnd"/>
      <w:r w:rsidRPr="007F62B6">
        <w:rPr>
          <w:lang w:val="en-GB"/>
        </w:rPr>
        <w:t xml:space="preserve"> phrased it, “I have an aversion to no</w:t>
      </w:r>
      <w:r w:rsidR="00AE1C06" w:rsidRPr="007F62B6">
        <w:rPr>
          <w:lang w:val="en-GB"/>
        </w:rPr>
        <w:t>n</w:t>
      </w:r>
      <w:r w:rsidR="00EF06BA">
        <w:rPr>
          <w:lang w:val="en-GB"/>
        </w:rPr>
        <w:t>-</w:t>
      </w:r>
      <w:r w:rsidRPr="007F62B6">
        <w:rPr>
          <w:lang w:val="en-GB"/>
        </w:rPr>
        <w:t>profits thinking they’re better because they are no</w:t>
      </w:r>
      <w:r w:rsidR="00AE1C06" w:rsidRPr="007F62B6">
        <w:rPr>
          <w:lang w:val="en-GB"/>
        </w:rPr>
        <w:t>n</w:t>
      </w:r>
      <w:r w:rsidR="00EF06BA">
        <w:rPr>
          <w:lang w:val="en-GB"/>
        </w:rPr>
        <w:t>-</w:t>
      </w:r>
      <w:r w:rsidRPr="007F62B6">
        <w:rPr>
          <w:lang w:val="en-GB"/>
        </w:rPr>
        <w:t>profits and they’re very special. Not the case. There are good no</w:t>
      </w:r>
      <w:r w:rsidR="00AE1C06" w:rsidRPr="007F62B6">
        <w:rPr>
          <w:lang w:val="en-GB"/>
        </w:rPr>
        <w:t>n</w:t>
      </w:r>
      <w:r w:rsidR="00EF06BA">
        <w:rPr>
          <w:lang w:val="en-GB"/>
        </w:rPr>
        <w:t>-</w:t>
      </w:r>
      <w:r w:rsidRPr="007F62B6">
        <w:rPr>
          <w:lang w:val="en-GB"/>
        </w:rPr>
        <w:t xml:space="preserve">profits and there are bad </w:t>
      </w:r>
      <w:r w:rsidR="00AE1C06" w:rsidRPr="007F62B6">
        <w:rPr>
          <w:lang w:val="en-GB"/>
        </w:rPr>
        <w:t>non</w:t>
      </w:r>
      <w:r w:rsidR="00EF06BA">
        <w:rPr>
          <w:lang w:val="en-GB"/>
        </w:rPr>
        <w:t>-</w:t>
      </w:r>
      <w:r w:rsidRPr="007F62B6">
        <w:rPr>
          <w:lang w:val="en-GB"/>
        </w:rPr>
        <w:t>profits. There are good for-profits and the reverse.” To be successful, “we need to operate as if we’re a for-profit and our stakeholder is the community.”</w:t>
      </w:r>
    </w:p>
    <w:p w14:paraId="55033E24" w14:textId="77777777" w:rsidR="00F35080" w:rsidRPr="00FD25A0" w:rsidRDefault="00F35080" w:rsidP="005F2F3D">
      <w:pPr>
        <w:pStyle w:val="BodyTextMain"/>
        <w:rPr>
          <w:sz w:val="20"/>
          <w:lang w:val="en-GB"/>
        </w:rPr>
      </w:pPr>
    </w:p>
    <w:p w14:paraId="7873DE64" w14:textId="299386FE" w:rsidR="00F35080" w:rsidRPr="007F62B6" w:rsidRDefault="00F35080" w:rsidP="005F2F3D">
      <w:pPr>
        <w:pStyle w:val="BodyTextMain"/>
        <w:rPr>
          <w:lang w:val="en-GB"/>
        </w:rPr>
      </w:pPr>
      <w:r w:rsidRPr="007F62B6">
        <w:rPr>
          <w:lang w:val="en-GB"/>
        </w:rPr>
        <w:t xml:space="preserve">The first step </w:t>
      </w:r>
      <w:proofErr w:type="spellStart"/>
      <w:r w:rsidRPr="007F62B6">
        <w:rPr>
          <w:lang w:val="en-GB"/>
        </w:rPr>
        <w:t>Briody</w:t>
      </w:r>
      <w:proofErr w:type="spellEnd"/>
      <w:r w:rsidRPr="007F62B6">
        <w:rPr>
          <w:lang w:val="en-GB"/>
        </w:rPr>
        <w:t xml:space="preserve"> took was to reorganize </w:t>
      </w:r>
      <w:r w:rsidR="00E86903">
        <w:rPr>
          <w:lang w:val="en-GB"/>
        </w:rPr>
        <w:t xml:space="preserve">the </w:t>
      </w:r>
      <w:r w:rsidRPr="007F62B6">
        <w:rPr>
          <w:lang w:val="en-GB"/>
        </w:rPr>
        <w:t xml:space="preserve">IOA’s service lines (see </w:t>
      </w:r>
      <w:r w:rsidRPr="007F62B6">
        <w:rPr>
          <w:iCs/>
          <w:lang w:val="en-GB"/>
        </w:rPr>
        <w:t>Exhibit 4</w:t>
      </w:r>
      <w:r w:rsidRPr="007F62B6">
        <w:rPr>
          <w:lang w:val="en-GB"/>
        </w:rPr>
        <w:t xml:space="preserve">) into three divisions (see </w:t>
      </w:r>
      <w:r w:rsidRPr="007F62B6">
        <w:rPr>
          <w:iCs/>
          <w:lang w:val="en-GB"/>
        </w:rPr>
        <w:t>Exhibit 5</w:t>
      </w:r>
      <w:r w:rsidRPr="007F62B6">
        <w:rPr>
          <w:lang w:val="en-GB"/>
        </w:rPr>
        <w:t>). The health services division had approximately 200 employees</w:t>
      </w:r>
      <w:r w:rsidR="00957A19">
        <w:rPr>
          <w:lang w:val="en-GB"/>
        </w:rPr>
        <w:t xml:space="preserve"> who</w:t>
      </w:r>
      <w:r w:rsidRPr="007F62B6">
        <w:rPr>
          <w:lang w:val="en-GB"/>
        </w:rPr>
        <w:t xml:space="preserve"> provided medical care to</w:t>
      </w:r>
      <w:r w:rsidR="002D5AE0">
        <w:rPr>
          <w:lang w:val="en-GB"/>
        </w:rPr>
        <w:t xml:space="preserve"> seniors</w:t>
      </w:r>
      <w:r w:rsidRPr="007F62B6">
        <w:rPr>
          <w:lang w:val="en-GB"/>
        </w:rPr>
        <w:t xml:space="preserve">. The </w:t>
      </w:r>
      <w:r w:rsidR="002D5AE0">
        <w:rPr>
          <w:lang w:val="en-GB"/>
        </w:rPr>
        <w:t xml:space="preserve">division’s </w:t>
      </w:r>
      <w:r w:rsidRPr="007F62B6">
        <w:rPr>
          <w:lang w:val="en-GB"/>
        </w:rPr>
        <w:t xml:space="preserve">main source of revenue was a subcontract with </w:t>
      </w:r>
      <w:r w:rsidR="00402B19" w:rsidRPr="007F62B6">
        <w:rPr>
          <w:lang w:val="en-GB"/>
        </w:rPr>
        <w:t>Senior Services</w:t>
      </w:r>
      <w:r w:rsidR="00B34B29" w:rsidRPr="007F62B6">
        <w:rPr>
          <w:lang w:val="en-GB"/>
        </w:rPr>
        <w:t xml:space="preserve"> </w:t>
      </w:r>
      <w:r w:rsidR="00402B19" w:rsidRPr="007F62B6">
        <w:rPr>
          <w:lang w:val="en-GB"/>
        </w:rPr>
        <w:t>Inc</w:t>
      </w:r>
      <w:r w:rsidR="00B34B29" w:rsidRPr="007F62B6">
        <w:rPr>
          <w:lang w:val="en-GB"/>
        </w:rPr>
        <w:t>orporated (SSI)</w:t>
      </w:r>
      <w:r w:rsidRPr="007F62B6">
        <w:rPr>
          <w:lang w:val="en-GB"/>
        </w:rPr>
        <w:t xml:space="preserve">. In the 1970s, </w:t>
      </w:r>
      <w:r w:rsidR="00B34B29" w:rsidRPr="007F62B6">
        <w:rPr>
          <w:lang w:val="en-GB"/>
        </w:rPr>
        <w:t>SSI</w:t>
      </w:r>
      <w:r w:rsidR="00402B19" w:rsidRPr="007F62B6">
        <w:rPr>
          <w:lang w:val="en-GB"/>
        </w:rPr>
        <w:t xml:space="preserve"> </w:t>
      </w:r>
      <w:r w:rsidRPr="007F62B6">
        <w:rPr>
          <w:lang w:val="en-GB"/>
        </w:rPr>
        <w:t xml:space="preserve">had become a leader in the development of Programs of All-Inclusive Care for the Elderly (PACE). PACE was primarily paid for by Medicare and Medicaid. Each month, </w:t>
      </w:r>
      <w:r w:rsidR="00B34B29" w:rsidRPr="007F62B6">
        <w:rPr>
          <w:lang w:val="en-GB"/>
        </w:rPr>
        <w:t>SSI</w:t>
      </w:r>
      <w:r w:rsidR="00402B19" w:rsidRPr="007F62B6">
        <w:rPr>
          <w:lang w:val="en-GB"/>
        </w:rPr>
        <w:t xml:space="preserve"> </w:t>
      </w:r>
      <w:r w:rsidRPr="007F62B6">
        <w:rPr>
          <w:lang w:val="en-GB"/>
        </w:rPr>
        <w:t xml:space="preserve">received a capitation payment—a fixed amount per individual served. </w:t>
      </w:r>
      <w:r w:rsidR="00B34B29" w:rsidRPr="007F62B6">
        <w:rPr>
          <w:lang w:val="en-GB"/>
        </w:rPr>
        <w:t>SSI</w:t>
      </w:r>
      <w:r w:rsidR="00402B19" w:rsidRPr="007F62B6">
        <w:rPr>
          <w:lang w:val="en-GB"/>
        </w:rPr>
        <w:t xml:space="preserve"> </w:t>
      </w:r>
      <w:r w:rsidRPr="007F62B6">
        <w:rPr>
          <w:lang w:val="en-GB"/>
        </w:rPr>
        <w:t xml:space="preserve">used a portion of these funds to pay </w:t>
      </w:r>
      <w:r w:rsidR="00E86903">
        <w:rPr>
          <w:lang w:val="en-GB"/>
        </w:rPr>
        <w:t xml:space="preserve">the </w:t>
      </w:r>
      <w:r w:rsidRPr="007F62B6">
        <w:rPr>
          <w:lang w:val="en-GB"/>
        </w:rPr>
        <w:t xml:space="preserve">IOA for PACE-related services. In a typical year, </w:t>
      </w:r>
      <w:r w:rsidR="00E86903">
        <w:rPr>
          <w:lang w:val="en-GB"/>
        </w:rPr>
        <w:t xml:space="preserve">the </w:t>
      </w:r>
      <w:r w:rsidRPr="007F62B6">
        <w:rPr>
          <w:lang w:val="en-GB"/>
        </w:rPr>
        <w:t xml:space="preserve">IOA handled roughly one-third of </w:t>
      </w:r>
      <w:r w:rsidR="00B34B29" w:rsidRPr="007F62B6">
        <w:rPr>
          <w:lang w:val="en-GB"/>
        </w:rPr>
        <w:t>SSI’s</w:t>
      </w:r>
      <w:r w:rsidRPr="007F62B6">
        <w:rPr>
          <w:lang w:val="en-GB"/>
        </w:rPr>
        <w:t xml:space="preserve"> PACE clients.</w:t>
      </w:r>
    </w:p>
    <w:p w14:paraId="10279113" w14:textId="77777777" w:rsidR="00F35080" w:rsidRPr="00FD25A0" w:rsidRDefault="00F35080" w:rsidP="005F2F3D">
      <w:pPr>
        <w:pStyle w:val="BodyTextMain"/>
        <w:rPr>
          <w:sz w:val="20"/>
          <w:lang w:val="en-GB"/>
        </w:rPr>
      </w:pPr>
    </w:p>
    <w:p w14:paraId="58F54B5C" w14:textId="29B7E5D1" w:rsidR="00F35080" w:rsidRPr="007F62B6" w:rsidRDefault="00F35080" w:rsidP="005F2F3D">
      <w:pPr>
        <w:pStyle w:val="BodyTextMain"/>
        <w:rPr>
          <w:lang w:val="en-GB"/>
        </w:rPr>
      </w:pPr>
      <w:r w:rsidRPr="007F62B6">
        <w:rPr>
          <w:lang w:val="en-GB"/>
        </w:rPr>
        <w:t>The health services division also offered psychological services, such as cognitive behavio</w:t>
      </w:r>
      <w:r w:rsidR="002D5AE0">
        <w:rPr>
          <w:lang w:val="en-GB"/>
        </w:rPr>
        <w:t>u</w:t>
      </w:r>
      <w:r w:rsidRPr="007F62B6">
        <w:rPr>
          <w:lang w:val="en-GB"/>
        </w:rPr>
        <w:t>ral therapy and grief counsel</w:t>
      </w:r>
      <w:r w:rsidR="002D5AE0">
        <w:rPr>
          <w:lang w:val="en-GB"/>
        </w:rPr>
        <w:t>l</w:t>
      </w:r>
      <w:r w:rsidRPr="007F62B6">
        <w:rPr>
          <w:lang w:val="en-GB"/>
        </w:rPr>
        <w:t xml:space="preserve">ing. </w:t>
      </w:r>
      <w:r w:rsidR="002D5AE0">
        <w:rPr>
          <w:lang w:val="en-GB"/>
        </w:rPr>
        <w:t>T</w:t>
      </w:r>
      <w:r w:rsidRPr="007F62B6">
        <w:rPr>
          <w:lang w:val="en-GB"/>
        </w:rPr>
        <w:t>he government</w:t>
      </w:r>
      <w:r w:rsidR="002D5AE0">
        <w:rPr>
          <w:lang w:val="en-GB"/>
        </w:rPr>
        <w:t xml:space="preserve"> paid for some of these services, while</w:t>
      </w:r>
      <w:r w:rsidRPr="007F62B6">
        <w:rPr>
          <w:lang w:val="en-GB"/>
        </w:rPr>
        <w:t xml:space="preserve"> </w:t>
      </w:r>
      <w:r w:rsidR="002D5AE0">
        <w:rPr>
          <w:lang w:val="en-GB"/>
        </w:rPr>
        <w:t>o</w:t>
      </w:r>
      <w:r w:rsidRPr="007F62B6">
        <w:rPr>
          <w:lang w:val="en-GB"/>
        </w:rPr>
        <w:t xml:space="preserve">ther services were provided free of charge, such as </w:t>
      </w:r>
      <w:r w:rsidR="00E86903">
        <w:rPr>
          <w:lang w:val="en-GB"/>
        </w:rPr>
        <w:t xml:space="preserve">the </w:t>
      </w:r>
      <w:r w:rsidRPr="007F62B6">
        <w:rPr>
          <w:lang w:val="en-GB"/>
        </w:rPr>
        <w:t>IOA’s 24-hour toll-free Friendship Line</w:t>
      </w:r>
      <w:r w:rsidR="00957A19">
        <w:rPr>
          <w:lang w:val="en-GB"/>
        </w:rPr>
        <w:t>,</w:t>
      </w:r>
      <w:r w:rsidRPr="007F62B6">
        <w:rPr>
          <w:lang w:val="en-GB"/>
        </w:rPr>
        <w:t xml:space="preserve"> the </w:t>
      </w:r>
      <w:proofErr w:type="gramStart"/>
      <w:r w:rsidR="002D5AE0">
        <w:rPr>
          <w:lang w:val="en-GB"/>
        </w:rPr>
        <w:t>country’s</w:t>
      </w:r>
      <w:proofErr w:type="gramEnd"/>
      <w:r w:rsidR="002D5AE0">
        <w:rPr>
          <w:lang w:val="en-GB"/>
        </w:rPr>
        <w:t xml:space="preserve"> </w:t>
      </w:r>
      <w:r w:rsidRPr="007F62B6">
        <w:rPr>
          <w:lang w:val="en-GB"/>
        </w:rPr>
        <w:t xml:space="preserve">only accredited suicide hotline for older adults. In 2012, </w:t>
      </w:r>
      <w:r w:rsidR="00957A19">
        <w:rPr>
          <w:lang w:val="en-GB"/>
        </w:rPr>
        <w:t>the Friendship Line</w:t>
      </w:r>
      <w:r w:rsidR="00957A19" w:rsidRPr="007F62B6">
        <w:rPr>
          <w:lang w:val="en-GB"/>
        </w:rPr>
        <w:t xml:space="preserve"> </w:t>
      </w:r>
      <w:r w:rsidRPr="007F62B6">
        <w:rPr>
          <w:lang w:val="en-GB"/>
        </w:rPr>
        <w:t>fielded approximately 5,000 calls each month.</w:t>
      </w:r>
    </w:p>
    <w:p w14:paraId="5558F0DF" w14:textId="77777777" w:rsidR="00F35080" w:rsidRPr="00FD25A0" w:rsidRDefault="00F35080" w:rsidP="005F2F3D">
      <w:pPr>
        <w:pStyle w:val="BodyTextMain"/>
        <w:rPr>
          <w:sz w:val="20"/>
          <w:lang w:val="en-GB"/>
        </w:rPr>
      </w:pPr>
    </w:p>
    <w:p w14:paraId="501D7CCB" w14:textId="377C29A1" w:rsidR="00F35080" w:rsidRPr="007F62B6" w:rsidRDefault="00F35080" w:rsidP="005F2F3D">
      <w:pPr>
        <w:pStyle w:val="BodyTextMain"/>
        <w:rPr>
          <w:lang w:val="en-GB"/>
        </w:rPr>
      </w:pPr>
      <w:r w:rsidRPr="007F62B6">
        <w:rPr>
          <w:lang w:val="en-GB"/>
        </w:rPr>
        <w:t>The home</w:t>
      </w:r>
      <w:r w:rsidR="002D5AE0">
        <w:rPr>
          <w:lang w:val="en-GB"/>
        </w:rPr>
        <w:t xml:space="preserve"> </w:t>
      </w:r>
      <w:r w:rsidRPr="007F62B6">
        <w:rPr>
          <w:lang w:val="en-GB"/>
        </w:rPr>
        <w:t xml:space="preserve">care services division of </w:t>
      </w:r>
      <w:r w:rsidR="00E86903">
        <w:rPr>
          <w:lang w:val="en-GB"/>
        </w:rPr>
        <w:t xml:space="preserve">the </w:t>
      </w:r>
      <w:r w:rsidRPr="007F62B6">
        <w:rPr>
          <w:lang w:val="en-GB"/>
        </w:rPr>
        <w:t xml:space="preserve">IOA had </w:t>
      </w:r>
      <w:r w:rsidR="002D5AE0" w:rsidRPr="007F62B6">
        <w:rPr>
          <w:lang w:val="en-GB"/>
        </w:rPr>
        <w:t>a</w:t>
      </w:r>
      <w:r w:rsidR="002D5AE0">
        <w:rPr>
          <w:lang w:val="en-GB"/>
        </w:rPr>
        <w:t>pproximately</w:t>
      </w:r>
      <w:r w:rsidR="002D5AE0" w:rsidRPr="007F62B6">
        <w:rPr>
          <w:lang w:val="en-GB"/>
        </w:rPr>
        <w:t xml:space="preserve"> </w:t>
      </w:r>
      <w:r w:rsidRPr="007F62B6">
        <w:rPr>
          <w:lang w:val="en-GB"/>
        </w:rPr>
        <w:t xml:space="preserve">250 employees </w:t>
      </w:r>
      <w:r w:rsidR="00957A19">
        <w:rPr>
          <w:lang w:val="en-GB"/>
        </w:rPr>
        <w:t xml:space="preserve">who </w:t>
      </w:r>
      <w:r w:rsidRPr="007F62B6">
        <w:rPr>
          <w:lang w:val="en-GB"/>
        </w:rPr>
        <w:t xml:space="preserve">visited clients’ homes and assisted </w:t>
      </w:r>
      <w:r w:rsidR="002D5AE0">
        <w:rPr>
          <w:lang w:val="en-GB"/>
        </w:rPr>
        <w:t>seniors</w:t>
      </w:r>
      <w:r w:rsidRPr="007F62B6">
        <w:rPr>
          <w:lang w:val="en-GB"/>
        </w:rPr>
        <w:t xml:space="preserve"> with activities of daily living, such as bathing, dressing, and cooking. These services were paid for privately</w:t>
      </w:r>
      <w:r w:rsidR="002D5AE0">
        <w:rPr>
          <w:lang w:val="en-GB"/>
        </w:rPr>
        <w:t>,</w:t>
      </w:r>
      <w:r w:rsidRPr="007F62B6">
        <w:rPr>
          <w:lang w:val="en-GB"/>
        </w:rPr>
        <w:t xml:space="preserve"> and the division primarily catered to clients who could afford customized care. The home</w:t>
      </w:r>
      <w:r w:rsidR="002D5AE0">
        <w:rPr>
          <w:lang w:val="en-GB"/>
        </w:rPr>
        <w:t xml:space="preserve"> </w:t>
      </w:r>
      <w:r w:rsidRPr="007F62B6">
        <w:rPr>
          <w:lang w:val="en-GB"/>
        </w:rPr>
        <w:t xml:space="preserve">care services division also operated a social day program in which door-to-door transportation was provided to and from </w:t>
      </w:r>
      <w:r w:rsidR="00E86903">
        <w:rPr>
          <w:lang w:val="en-GB"/>
        </w:rPr>
        <w:t xml:space="preserve">the </w:t>
      </w:r>
      <w:r w:rsidRPr="007F62B6">
        <w:rPr>
          <w:lang w:val="en-GB"/>
        </w:rPr>
        <w:t xml:space="preserve">IOA facilities. At these facilities, seniors </w:t>
      </w:r>
      <w:r w:rsidR="002D5AE0">
        <w:rPr>
          <w:lang w:val="en-GB"/>
        </w:rPr>
        <w:t>received</w:t>
      </w:r>
      <w:r w:rsidRPr="007F62B6">
        <w:rPr>
          <w:lang w:val="en-GB"/>
        </w:rPr>
        <w:t xml:space="preserve"> meals and personalized care </w:t>
      </w:r>
      <w:r w:rsidR="002D5AE0">
        <w:rPr>
          <w:lang w:val="en-GB"/>
        </w:rPr>
        <w:t>and</w:t>
      </w:r>
      <w:r w:rsidR="002D5AE0" w:rsidRPr="007F62B6">
        <w:rPr>
          <w:lang w:val="en-GB"/>
        </w:rPr>
        <w:t xml:space="preserve"> engag</w:t>
      </w:r>
      <w:r w:rsidR="002D5AE0">
        <w:rPr>
          <w:lang w:val="en-GB"/>
        </w:rPr>
        <w:t>ed</w:t>
      </w:r>
      <w:r w:rsidR="002D5AE0" w:rsidRPr="007F62B6">
        <w:rPr>
          <w:lang w:val="en-GB"/>
        </w:rPr>
        <w:t xml:space="preserve"> </w:t>
      </w:r>
      <w:r w:rsidRPr="007F62B6">
        <w:rPr>
          <w:lang w:val="en-GB"/>
        </w:rPr>
        <w:t>in group activities.</w:t>
      </w:r>
    </w:p>
    <w:p w14:paraId="16495329" w14:textId="77777777" w:rsidR="00F35080" w:rsidRPr="00FD25A0" w:rsidRDefault="00F35080" w:rsidP="005F2F3D">
      <w:pPr>
        <w:pStyle w:val="BodyTextMain"/>
        <w:rPr>
          <w:sz w:val="20"/>
          <w:lang w:val="en-GB"/>
        </w:rPr>
      </w:pPr>
    </w:p>
    <w:p w14:paraId="16081673" w14:textId="6DBFB9C9" w:rsidR="00F35080" w:rsidRPr="007F62B6" w:rsidRDefault="00F35080" w:rsidP="005F2F3D">
      <w:pPr>
        <w:pStyle w:val="BodyTextMain"/>
        <w:rPr>
          <w:lang w:val="en-GB"/>
        </w:rPr>
      </w:pPr>
      <w:r w:rsidRPr="007F62B6">
        <w:rPr>
          <w:lang w:val="en-GB"/>
        </w:rPr>
        <w:t xml:space="preserve">The community living services division of </w:t>
      </w:r>
      <w:r w:rsidR="00E86903">
        <w:rPr>
          <w:lang w:val="en-GB"/>
        </w:rPr>
        <w:t xml:space="preserve">the </w:t>
      </w:r>
      <w:r w:rsidRPr="007F62B6">
        <w:rPr>
          <w:lang w:val="en-GB"/>
        </w:rPr>
        <w:t xml:space="preserve">IOA had </w:t>
      </w:r>
      <w:r w:rsidR="002D5AE0">
        <w:rPr>
          <w:lang w:val="en-GB"/>
        </w:rPr>
        <w:t>approximate</w:t>
      </w:r>
      <w:r w:rsidR="002D5AE0" w:rsidRPr="007F62B6">
        <w:rPr>
          <w:lang w:val="en-GB"/>
        </w:rPr>
        <w:t xml:space="preserve">ly </w:t>
      </w:r>
      <w:r w:rsidRPr="007F62B6">
        <w:rPr>
          <w:lang w:val="en-GB"/>
        </w:rPr>
        <w:t xml:space="preserve">200 employees who were tasked with developing and implementing plans that allowed seniors to access services in a cost-effective manner. A key contract within the division was an agreement with the county of San Francisco to manage its Community Living Fund (CLF). The CLF was established in response to a lawsuit brought against </w:t>
      </w:r>
      <w:r w:rsidR="00CD4442">
        <w:rPr>
          <w:lang w:val="en-GB"/>
        </w:rPr>
        <w:t>a</w:t>
      </w:r>
      <w:r w:rsidR="00CD4442" w:rsidRPr="007F62B6">
        <w:rPr>
          <w:lang w:val="en-GB"/>
        </w:rPr>
        <w:t xml:space="preserve"> </w:t>
      </w:r>
      <w:r w:rsidRPr="007F62B6">
        <w:rPr>
          <w:lang w:val="en-GB"/>
        </w:rPr>
        <w:t xml:space="preserve">county-operated nursing home. Residents of the nursing home claimed that they </w:t>
      </w:r>
      <w:r w:rsidR="00CD4442">
        <w:rPr>
          <w:lang w:val="en-GB"/>
        </w:rPr>
        <w:t>had</w:t>
      </w:r>
      <w:r w:rsidR="00CD4442" w:rsidRPr="007F62B6">
        <w:rPr>
          <w:lang w:val="en-GB"/>
        </w:rPr>
        <w:t xml:space="preserve"> </w:t>
      </w:r>
      <w:r w:rsidRPr="007F62B6">
        <w:rPr>
          <w:lang w:val="en-GB"/>
        </w:rPr>
        <w:t xml:space="preserve">not </w:t>
      </w:r>
      <w:r w:rsidR="00CD4442" w:rsidRPr="007F62B6">
        <w:rPr>
          <w:lang w:val="en-GB"/>
        </w:rPr>
        <w:t>be</w:t>
      </w:r>
      <w:r w:rsidR="00CD4442">
        <w:rPr>
          <w:lang w:val="en-GB"/>
        </w:rPr>
        <w:t>en</w:t>
      </w:r>
      <w:r w:rsidR="00CD4442" w:rsidRPr="007F62B6">
        <w:rPr>
          <w:lang w:val="en-GB"/>
        </w:rPr>
        <w:t xml:space="preserve"> </w:t>
      </w:r>
      <w:r w:rsidRPr="007F62B6">
        <w:rPr>
          <w:lang w:val="en-GB"/>
        </w:rPr>
        <w:t xml:space="preserve">given the care and resources they needed to return to their own homes. After losing the lawsuit, the county set aside $3 million </w:t>
      </w:r>
      <w:r w:rsidRPr="007F62B6">
        <w:rPr>
          <w:lang w:val="en-GB"/>
        </w:rPr>
        <w:lastRenderedPageBreak/>
        <w:t xml:space="preserve">per year to pay for transition services and issued a request for proposal. </w:t>
      </w:r>
      <w:r w:rsidR="00E86903">
        <w:rPr>
          <w:lang w:val="en-GB"/>
        </w:rPr>
        <w:t xml:space="preserve">The </w:t>
      </w:r>
      <w:r w:rsidRPr="007F62B6">
        <w:rPr>
          <w:lang w:val="en-GB"/>
        </w:rPr>
        <w:t xml:space="preserve">IOA won the bid shortly before </w:t>
      </w:r>
      <w:proofErr w:type="spellStart"/>
      <w:r w:rsidRPr="007F62B6">
        <w:rPr>
          <w:lang w:val="en-GB"/>
        </w:rPr>
        <w:t>Briody</w:t>
      </w:r>
      <w:proofErr w:type="spellEnd"/>
      <w:r w:rsidRPr="007F62B6">
        <w:rPr>
          <w:lang w:val="en-GB"/>
        </w:rPr>
        <w:t xml:space="preserve"> was appointed CEO.</w:t>
      </w:r>
    </w:p>
    <w:p w14:paraId="193D97CA" w14:textId="2459C7D3" w:rsidR="00F35080" w:rsidRPr="007F62B6" w:rsidRDefault="00F35080" w:rsidP="005F2F3D">
      <w:pPr>
        <w:pStyle w:val="BodyTextMain"/>
        <w:rPr>
          <w:lang w:val="en-GB"/>
        </w:rPr>
      </w:pPr>
      <w:r w:rsidRPr="001A6CEF">
        <w:rPr>
          <w:lang w:val="en-GB"/>
        </w:rPr>
        <w:t>L</w:t>
      </w:r>
      <w:r w:rsidRPr="007F62B6">
        <w:rPr>
          <w:lang w:val="en-GB"/>
        </w:rPr>
        <w:t xml:space="preserve">egally, the CLF was required to exist for </w:t>
      </w:r>
      <w:r w:rsidR="00CD4442">
        <w:rPr>
          <w:lang w:val="en-GB"/>
        </w:rPr>
        <w:t xml:space="preserve">only </w:t>
      </w:r>
      <w:r w:rsidRPr="007F62B6">
        <w:rPr>
          <w:lang w:val="en-GB"/>
        </w:rPr>
        <w:t>a few years. However, the program had an unexpected financial benefit. Nursing facilities in California that received funding through Medicare and Medicaid were mandated to provide certain services, such as a minimum of 3.2 hours of care per resident per day</w:t>
      </w:r>
      <w:r w:rsidR="00CD4442">
        <w:rPr>
          <w:lang w:val="en-GB"/>
        </w:rPr>
        <w:t>; however</w:t>
      </w:r>
      <w:r w:rsidRPr="007F62B6">
        <w:rPr>
          <w:lang w:val="en-GB"/>
        </w:rPr>
        <w:t xml:space="preserve">, many residents did not require this level of care. By successfully transitioning these individuals to their own homes, </w:t>
      </w:r>
      <w:r w:rsidR="00E86903">
        <w:rPr>
          <w:lang w:val="en-GB"/>
        </w:rPr>
        <w:t xml:space="preserve">the </w:t>
      </w:r>
      <w:r w:rsidRPr="007F62B6">
        <w:rPr>
          <w:lang w:val="en-GB"/>
        </w:rPr>
        <w:t xml:space="preserve">IOA was able to generate a cost savings of approximately $50,000 per transferred resident per year. Recognizing the value of the program, the county decided to expand it. Other counties in California </w:t>
      </w:r>
      <w:r w:rsidR="001A6CEF">
        <w:rPr>
          <w:lang w:val="en-GB"/>
        </w:rPr>
        <w:t xml:space="preserve">also </w:t>
      </w:r>
      <w:r w:rsidRPr="007F62B6">
        <w:rPr>
          <w:lang w:val="en-GB"/>
        </w:rPr>
        <w:t>took notice.</w:t>
      </w:r>
    </w:p>
    <w:p w14:paraId="6AF4EEE8" w14:textId="77777777" w:rsidR="00F35080" w:rsidRPr="00FD25A0" w:rsidRDefault="00F35080" w:rsidP="005F2F3D">
      <w:pPr>
        <w:pStyle w:val="BodyTextMain"/>
        <w:rPr>
          <w:lang w:val="en-GB"/>
        </w:rPr>
      </w:pPr>
    </w:p>
    <w:p w14:paraId="517E21E8" w14:textId="341CED72" w:rsidR="00F35080" w:rsidRPr="007F62B6" w:rsidRDefault="00F35080" w:rsidP="005F2F3D">
      <w:pPr>
        <w:pStyle w:val="BodyTextMain"/>
        <w:rPr>
          <w:lang w:val="en-GB"/>
        </w:rPr>
      </w:pPr>
      <w:r w:rsidRPr="007F62B6">
        <w:rPr>
          <w:lang w:val="en-GB"/>
        </w:rPr>
        <w:t xml:space="preserve">After reorganizing the various service lines at </w:t>
      </w:r>
      <w:r w:rsidR="00E86903">
        <w:rPr>
          <w:lang w:val="en-GB"/>
        </w:rPr>
        <w:t xml:space="preserve">the </w:t>
      </w:r>
      <w:r w:rsidRPr="007F62B6">
        <w:rPr>
          <w:lang w:val="en-GB"/>
        </w:rPr>
        <w:t xml:space="preserve">IOA, </w:t>
      </w:r>
      <w:proofErr w:type="spellStart"/>
      <w:r w:rsidRPr="007F62B6">
        <w:rPr>
          <w:lang w:val="en-GB"/>
        </w:rPr>
        <w:t>Briody</w:t>
      </w:r>
      <w:proofErr w:type="spellEnd"/>
      <w:r w:rsidRPr="007F62B6">
        <w:rPr>
          <w:lang w:val="en-GB"/>
        </w:rPr>
        <w:t xml:space="preserve"> turned his attention to the </w:t>
      </w:r>
      <w:r w:rsidR="00957A19">
        <w:rPr>
          <w:lang w:val="en-GB"/>
        </w:rPr>
        <w:t xml:space="preserve">company’s </w:t>
      </w:r>
      <w:r w:rsidRPr="007F62B6">
        <w:rPr>
          <w:lang w:val="en-GB"/>
        </w:rPr>
        <w:t xml:space="preserve">senior leadership. A top priority for </w:t>
      </w:r>
      <w:proofErr w:type="spellStart"/>
      <w:r w:rsidRPr="007F62B6">
        <w:rPr>
          <w:lang w:val="en-GB"/>
        </w:rPr>
        <w:t>Briody</w:t>
      </w:r>
      <w:proofErr w:type="spellEnd"/>
      <w:r w:rsidRPr="007F62B6">
        <w:rPr>
          <w:lang w:val="en-GB"/>
        </w:rPr>
        <w:t xml:space="preserve"> was to hire individuals who had experience in for-profit enterprise</w:t>
      </w:r>
      <w:r w:rsidR="00CD4442">
        <w:rPr>
          <w:lang w:val="en-GB"/>
        </w:rPr>
        <w:t>s</w:t>
      </w:r>
      <w:r w:rsidRPr="007F62B6">
        <w:rPr>
          <w:lang w:val="en-GB"/>
        </w:rPr>
        <w:t xml:space="preserve">. Expertise in senior care was helpful, but </w:t>
      </w:r>
      <w:proofErr w:type="spellStart"/>
      <w:r w:rsidRPr="007F62B6">
        <w:rPr>
          <w:lang w:val="en-GB"/>
        </w:rPr>
        <w:t>Briody’s</w:t>
      </w:r>
      <w:proofErr w:type="spellEnd"/>
      <w:r w:rsidRPr="007F62B6">
        <w:rPr>
          <w:lang w:val="en-GB"/>
        </w:rPr>
        <w:t xml:space="preserve"> main goal was to assemble a team of managers who believed that non</w:t>
      </w:r>
      <w:r w:rsidR="00EF06BA">
        <w:rPr>
          <w:lang w:val="en-GB"/>
        </w:rPr>
        <w:t>-</w:t>
      </w:r>
      <w:r w:rsidRPr="007F62B6">
        <w:rPr>
          <w:lang w:val="en-GB"/>
        </w:rPr>
        <w:t>profits needed to function as efficiently as for-profits.</w:t>
      </w:r>
    </w:p>
    <w:p w14:paraId="6EE7A336" w14:textId="77777777" w:rsidR="00F35080" w:rsidRPr="00FD25A0" w:rsidRDefault="00F35080" w:rsidP="005F2F3D">
      <w:pPr>
        <w:pStyle w:val="BodyTextMain"/>
        <w:rPr>
          <w:lang w:val="en-GB"/>
        </w:rPr>
      </w:pPr>
    </w:p>
    <w:p w14:paraId="476D37F7" w14:textId="54CDF42C" w:rsidR="00F35080" w:rsidRPr="007F62B6" w:rsidRDefault="00F35080" w:rsidP="005F2F3D">
      <w:pPr>
        <w:pStyle w:val="BodyTextMain"/>
        <w:rPr>
          <w:lang w:val="en-GB"/>
        </w:rPr>
      </w:pPr>
      <w:r w:rsidRPr="007F62B6">
        <w:rPr>
          <w:lang w:val="en-GB"/>
        </w:rPr>
        <w:t xml:space="preserve">The </w:t>
      </w:r>
      <w:r w:rsidR="00957A19">
        <w:rPr>
          <w:lang w:val="en-GB"/>
        </w:rPr>
        <w:t xml:space="preserve">IOA’s </w:t>
      </w:r>
      <w:r w:rsidR="00E142F8" w:rsidRPr="007F62B6">
        <w:rPr>
          <w:lang w:val="en-GB"/>
        </w:rPr>
        <w:t xml:space="preserve">chief financial officer </w:t>
      </w:r>
      <w:r w:rsidRPr="007F62B6">
        <w:rPr>
          <w:lang w:val="en-GB"/>
        </w:rPr>
        <w:t xml:space="preserve">was the first to leave. </w:t>
      </w:r>
      <w:r w:rsidR="001A6CEF">
        <w:rPr>
          <w:lang w:val="en-GB"/>
        </w:rPr>
        <w:t>T</w:t>
      </w:r>
      <w:r w:rsidRPr="007F62B6">
        <w:rPr>
          <w:lang w:val="en-GB"/>
        </w:rPr>
        <w:t>he director of marketing and the director of human resources</w:t>
      </w:r>
      <w:r w:rsidR="001A6CEF">
        <w:rPr>
          <w:lang w:val="en-GB"/>
        </w:rPr>
        <w:t xml:space="preserve"> were quick to follow</w:t>
      </w:r>
      <w:r w:rsidRPr="007F62B6">
        <w:rPr>
          <w:lang w:val="en-GB"/>
        </w:rPr>
        <w:t xml:space="preserve">. To keep the organization afloat, </w:t>
      </w:r>
      <w:proofErr w:type="spellStart"/>
      <w:r w:rsidRPr="007F62B6">
        <w:rPr>
          <w:lang w:val="en-GB"/>
        </w:rPr>
        <w:t>Briody</w:t>
      </w:r>
      <w:proofErr w:type="spellEnd"/>
      <w:r w:rsidRPr="007F62B6">
        <w:rPr>
          <w:lang w:val="en-GB"/>
        </w:rPr>
        <w:t xml:space="preserve"> reached out to Randolph Scott</w:t>
      </w:r>
      <w:r w:rsidR="00CD4442">
        <w:rPr>
          <w:lang w:val="en-GB"/>
        </w:rPr>
        <w:t>, who</w:t>
      </w:r>
      <w:r w:rsidRPr="007F62B6">
        <w:rPr>
          <w:lang w:val="en-GB"/>
        </w:rPr>
        <w:t xml:space="preserve"> was brought in as a consultant before being hired as the vice</w:t>
      </w:r>
      <w:r w:rsidR="00CD4442">
        <w:rPr>
          <w:lang w:val="en-GB"/>
        </w:rPr>
        <w:t>-</w:t>
      </w:r>
      <w:r w:rsidRPr="007F62B6">
        <w:rPr>
          <w:lang w:val="en-GB"/>
        </w:rPr>
        <w:t xml:space="preserve">president of human resources. Having spent </w:t>
      </w:r>
      <w:r w:rsidR="00CD4442">
        <w:rPr>
          <w:lang w:val="en-GB"/>
        </w:rPr>
        <w:t>more than</w:t>
      </w:r>
      <w:r w:rsidR="00CD4442" w:rsidRPr="007F62B6">
        <w:rPr>
          <w:lang w:val="en-GB"/>
        </w:rPr>
        <w:t xml:space="preserve"> </w:t>
      </w:r>
      <w:r w:rsidRPr="007F62B6">
        <w:rPr>
          <w:lang w:val="en-GB"/>
        </w:rPr>
        <w:t>three decades working in both for-profit and non</w:t>
      </w:r>
      <w:r w:rsidR="00EF06BA">
        <w:rPr>
          <w:lang w:val="en-GB"/>
        </w:rPr>
        <w:t>-</w:t>
      </w:r>
      <w:r w:rsidRPr="007F62B6">
        <w:rPr>
          <w:lang w:val="en-GB"/>
        </w:rPr>
        <w:t xml:space="preserve">profit firms, </w:t>
      </w:r>
      <w:r w:rsidR="00CD4442">
        <w:rPr>
          <w:lang w:val="en-GB"/>
        </w:rPr>
        <w:t>Scott</w:t>
      </w:r>
      <w:r w:rsidR="00CD4442" w:rsidRPr="007F62B6">
        <w:rPr>
          <w:lang w:val="en-GB"/>
        </w:rPr>
        <w:t xml:space="preserve"> </w:t>
      </w:r>
      <w:r w:rsidRPr="007F62B6">
        <w:rPr>
          <w:lang w:val="en-GB"/>
        </w:rPr>
        <w:t>quickly identified multiple problems</w:t>
      </w:r>
      <w:r w:rsidR="001A6CEF">
        <w:rPr>
          <w:lang w:val="en-GB"/>
        </w:rPr>
        <w:t>:</w:t>
      </w:r>
      <w:r w:rsidRPr="007F62B6">
        <w:rPr>
          <w:lang w:val="en-GB"/>
        </w:rPr>
        <w:t xml:space="preserve"> </w:t>
      </w:r>
      <w:r w:rsidR="001A6CEF">
        <w:rPr>
          <w:lang w:val="en-GB"/>
        </w:rPr>
        <w:t>t</w:t>
      </w:r>
      <w:r w:rsidRPr="007F62B6">
        <w:rPr>
          <w:lang w:val="en-GB"/>
        </w:rPr>
        <w:t xml:space="preserve">he </w:t>
      </w:r>
      <w:r w:rsidR="001A6CEF">
        <w:rPr>
          <w:lang w:val="en-GB"/>
        </w:rPr>
        <w:t xml:space="preserve">IOA’s </w:t>
      </w:r>
      <w:r w:rsidRPr="007F62B6">
        <w:rPr>
          <w:lang w:val="en-GB"/>
        </w:rPr>
        <w:t xml:space="preserve">application, screening, and </w:t>
      </w:r>
      <w:proofErr w:type="spellStart"/>
      <w:r w:rsidRPr="007F62B6">
        <w:rPr>
          <w:lang w:val="en-GB"/>
        </w:rPr>
        <w:t>onboarding</w:t>
      </w:r>
      <w:proofErr w:type="spellEnd"/>
      <w:r w:rsidRPr="007F62B6">
        <w:rPr>
          <w:lang w:val="en-GB"/>
        </w:rPr>
        <w:t xml:space="preserve"> process for new employees varied by service line and by location</w:t>
      </w:r>
      <w:r w:rsidR="001A6CEF">
        <w:rPr>
          <w:lang w:val="en-GB"/>
        </w:rPr>
        <w:t>; and</w:t>
      </w:r>
      <w:r w:rsidRPr="007F62B6">
        <w:rPr>
          <w:lang w:val="en-GB"/>
        </w:rPr>
        <w:t xml:space="preserve"> </w:t>
      </w:r>
      <w:r w:rsidR="001A6CEF">
        <w:rPr>
          <w:lang w:val="en-GB"/>
        </w:rPr>
        <w:t>p</w:t>
      </w:r>
      <w:r w:rsidRPr="007F62B6">
        <w:rPr>
          <w:lang w:val="en-GB"/>
        </w:rPr>
        <w:t xml:space="preserve">ayroll was executed through a Ceridian software system that had not been supported since 2005. As Scott viewed it, “Any person with three to five years of experience in HR </w:t>
      </w:r>
      <w:r w:rsidR="001A6CEF">
        <w:rPr>
          <w:lang w:val="en-GB"/>
        </w:rPr>
        <w:t xml:space="preserve">[human resources] </w:t>
      </w:r>
      <w:r w:rsidRPr="007F62B6">
        <w:rPr>
          <w:lang w:val="en-GB"/>
        </w:rPr>
        <w:t>could see the procedural, policy, and process dysfunction in the department.”</w:t>
      </w:r>
    </w:p>
    <w:p w14:paraId="4408E78E" w14:textId="77777777" w:rsidR="00F35080" w:rsidRPr="00FD25A0" w:rsidRDefault="00F35080" w:rsidP="005F2F3D">
      <w:pPr>
        <w:pStyle w:val="BodyTextMain"/>
        <w:rPr>
          <w:lang w:val="en-GB"/>
        </w:rPr>
      </w:pPr>
    </w:p>
    <w:p w14:paraId="24A810D9" w14:textId="68FAAFF0" w:rsidR="00F35080" w:rsidRPr="007F62B6" w:rsidRDefault="00F35080" w:rsidP="005F2F3D">
      <w:pPr>
        <w:pStyle w:val="BodyTextMain"/>
        <w:rPr>
          <w:lang w:val="en-GB"/>
        </w:rPr>
      </w:pPr>
      <w:r w:rsidRPr="001F75EE">
        <w:rPr>
          <w:spacing w:val="-2"/>
          <w:kern w:val="22"/>
          <w:lang w:val="en-GB"/>
        </w:rPr>
        <w:t xml:space="preserve">The chief financial officer at </w:t>
      </w:r>
      <w:r w:rsidR="00E86903" w:rsidRPr="001F75EE">
        <w:rPr>
          <w:spacing w:val="-2"/>
          <w:kern w:val="22"/>
          <w:lang w:val="en-GB"/>
        </w:rPr>
        <w:t xml:space="preserve">the </w:t>
      </w:r>
      <w:r w:rsidRPr="001F75EE">
        <w:rPr>
          <w:spacing w:val="-2"/>
          <w:kern w:val="22"/>
          <w:lang w:val="en-GB"/>
        </w:rPr>
        <w:t>IOA was replaced in April 2013 by Roxana Blades. Previously, Blades had served as the vice</w:t>
      </w:r>
      <w:r w:rsidR="00CD4442" w:rsidRPr="001F75EE">
        <w:rPr>
          <w:spacing w:val="-2"/>
          <w:kern w:val="22"/>
          <w:lang w:val="en-GB"/>
        </w:rPr>
        <w:t>-</w:t>
      </w:r>
      <w:r w:rsidRPr="001F75EE">
        <w:rPr>
          <w:spacing w:val="-2"/>
          <w:kern w:val="22"/>
          <w:lang w:val="en-GB"/>
        </w:rPr>
        <w:t>president of operations for a tech start-up</w:t>
      </w:r>
      <w:r w:rsidR="00CD4442" w:rsidRPr="001F75EE">
        <w:rPr>
          <w:spacing w:val="-2"/>
          <w:kern w:val="22"/>
          <w:lang w:val="en-GB"/>
        </w:rPr>
        <w:t>,</w:t>
      </w:r>
      <w:r w:rsidRPr="001F75EE">
        <w:rPr>
          <w:spacing w:val="-2"/>
          <w:kern w:val="22"/>
          <w:lang w:val="en-GB"/>
        </w:rPr>
        <w:t xml:space="preserve"> which she successfully scaled before orchestrating its sale to a multinational corporation. Prior to that, Blades held several leadership positions at the Federal Reserve Bank of San Francisco. During her first few weeks at </w:t>
      </w:r>
      <w:r w:rsidR="00E86903" w:rsidRPr="001F75EE">
        <w:rPr>
          <w:spacing w:val="-2"/>
          <w:kern w:val="22"/>
          <w:lang w:val="en-GB"/>
        </w:rPr>
        <w:t xml:space="preserve">the </w:t>
      </w:r>
      <w:r w:rsidRPr="001F75EE">
        <w:rPr>
          <w:spacing w:val="-2"/>
          <w:kern w:val="22"/>
          <w:lang w:val="en-GB"/>
        </w:rPr>
        <w:t xml:space="preserve">IOA, Blades quickly detected several factors that were </w:t>
      </w:r>
      <w:r w:rsidR="00CD4442" w:rsidRPr="001F75EE">
        <w:rPr>
          <w:spacing w:val="-2"/>
          <w:kern w:val="22"/>
          <w:lang w:val="en-GB"/>
        </w:rPr>
        <w:t xml:space="preserve">negatively </w:t>
      </w:r>
      <w:r w:rsidRPr="001F75EE">
        <w:rPr>
          <w:spacing w:val="-2"/>
          <w:kern w:val="22"/>
          <w:lang w:val="en-GB"/>
        </w:rPr>
        <w:t>impacting the organization’s finances</w:t>
      </w:r>
      <w:r w:rsidR="001A6CEF" w:rsidRPr="001F75EE">
        <w:rPr>
          <w:spacing w:val="-2"/>
          <w:kern w:val="22"/>
          <w:lang w:val="en-GB"/>
        </w:rPr>
        <w:t>:</w:t>
      </w:r>
      <w:r w:rsidRPr="001F75EE">
        <w:rPr>
          <w:spacing w:val="-2"/>
          <w:kern w:val="22"/>
          <w:lang w:val="en-GB"/>
        </w:rPr>
        <w:t xml:space="preserve"> </w:t>
      </w:r>
      <w:r w:rsidR="001A6CEF" w:rsidRPr="001F75EE">
        <w:rPr>
          <w:spacing w:val="-2"/>
          <w:kern w:val="22"/>
          <w:lang w:val="en-GB"/>
        </w:rPr>
        <w:t>g</w:t>
      </w:r>
      <w:r w:rsidRPr="001F75EE">
        <w:rPr>
          <w:spacing w:val="-2"/>
          <w:kern w:val="22"/>
          <w:lang w:val="en-GB"/>
        </w:rPr>
        <w:t>overnment contracts were focused on revenue rather than income</w:t>
      </w:r>
      <w:r w:rsidR="001A6CEF" w:rsidRPr="001F75EE">
        <w:rPr>
          <w:spacing w:val="-2"/>
          <w:kern w:val="22"/>
          <w:lang w:val="en-GB"/>
        </w:rPr>
        <w:t>,</w:t>
      </w:r>
      <w:r w:rsidRPr="001F75EE">
        <w:rPr>
          <w:spacing w:val="-2"/>
          <w:kern w:val="22"/>
          <w:lang w:val="en-GB"/>
        </w:rPr>
        <w:t xml:space="preserve"> </w:t>
      </w:r>
      <w:r w:rsidR="00CD4442" w:rsidRPr="001F75EE">
        <w:rPr>
          <w:spacing w:val="-2"/>
          <w:kern w:val="22"/>
          <w:lang w:val="en-GB"/>
        </w:rPr>
        <w:t>r</w:t>
      </w:r>
      <w:r w:rsidRPr="001F75EE">
        <w:rPr>
          <w:spacing w:val="-2"/>
          <w:kern w:val="22"/>
          <w:lang w:val="en-GB"/>
        </w:rPr>
        <w:t>eceivables were not being collected in a timely manner</w:t>
      </w:r>
      <w:r w:rsidR="001A6CEF" w:rsidRPr="001F75EE">
        <w:rPr>
          <w:spacing w:val="-2"/>
          <w:kern w:val="22"/>
          <w:lang w:val="en-GB"/>
        </w:rPr>
        <w:t xml:space="preserve">, </w:t>
      </w:r>
      <w:r w:rsidR="00CD4442" w:rsidRPr="001F75EE">
        <w:rPr>
          <w:spacing w:val="-2"/>
          <w:kern w:val="22"/>
          <w:lang w:val="en-GB"/>
        </w:rPr>
        <w:t>and</w:t>
      </w:r>
      <w:r w:rsidRPr="001F75EE">
        <w:rPr>
          <w:spacing w:val="-2"/>
          <w:kern w:val="22"/>
          <w:lang w:val="en-GB"/>
        </w:rPr>
        <w:t xml:space="preserve"> </w:t>
      </w:r>
      <w:r w:rsidR="00CD4442" w:rsidRPr="001F75EE">
        <w:rPr>
          <w:spacing w:val="-2"/>
          <w:kern w:val="22"/>
          <w:lang w:val="en-GB"/>
        </w:rPr>
        <w:t>c</w:t>
      </w:r>
      <w:r w:rsidRPr="001F75EE">
        <w:rPr>
          <w:spacing w:val="-2"/>
          <w:kern w:val="22"/>
          <w:lang w:val="en-GB"/>
        </w:rPr>
        <w:t>omplex spreadsheets with faulty formulas were being used to make fiscal projections that were often inaccurate</w:t>
      </w:r>
      <w:r w:rsidRPr="007F62B6">
        <w:rPr>
          <w:lang w:val="en-GB"/>
        </w:rPr>
        <w:t>.</w:t>
      </w:r>
    </w:p>
    <w:p w14:paraId="5E9B1BA3" w14:textId="77777777" w:rsidR="00F35080" w:rsidRPr="00FD25A0" w:rsidRDefault="00F35080" w:rsidP="001F75EE">
      <w:pPr>
        <w:rPr>
          <w:sz w:val="22"/>
          <w:szCs w:val="22"/>
          <w:lang w:val="en-GB"/>
        </w:rPr>
      </w:pPr>
    </w:p>
    <w:p w14:paraId="7F802F00" w14:textId="77777777" w:rsidR="00F35080" w:rsidRPr="00FD25A0" w:rsidRDefault="00F35080" w:rsidP="00F35080">
      <w:pPr>
        <w:rPr>
          <w:sz w:val="22"/>
          <w:szCs w:val="22"/>
          <w:lang w:val="en-GB"/>
        </w:rPr>
      </w:pPr>
    </w:p>
    <w:p w14:paraId="73981DB0" w14:textId="77777777" w:rsidR="00F35080" w:rsidRPr="007F62B6" w:rsidRDefault="00F35080" w:rsidP="005F2F3D">
      <w:pPr>
        <w:pStyle w:val="Casehead1"/>
        <w:rPr>
          <w:lang w:val="en-GB"/>
        </w:rPr>
      </w:pPr>
      <w:r w:rsidRPr="007F62B6">
        <w:rPr>
          <w:lang w:val="en-GB"/>
        </w:rPr>
        <w:t>Changing the Dynamic with Vendors and Partners</w:t>
      </w:r>
    </w:p>
    <w:p w14:paraId="2DB7F189" w14:textId="77777777" w:rsidR="00F35080" w:rsidRPr="00FD25A0" w:rsidRDefault="00F35080" w:rsidP="00F35080">
      <w:pPr>
        <w:rPr>
          <w:b/>
          <w:bCs/>
          <w:sz w:val="22"/>
          <w:szCs w:val="22"/>
          <w:lang w:val="en-GB"/>
        </w:rPr>
      </w:pPr>
    </w:p>
    <w:p w14:paraId="04B9CD58" w14:textId="7FCEAD3F" w:rsidR="00F35080" w:rsidRPr="007F62B6" w:rsidRDefault="00F35080" w:rsidP="00A6242C">
      <w:pPr>
        <w:pStyle w:val="BodyTextMain"/>
        <w:rPr>
          <w:lang w:val="en-GB"/>
        </w:rPr>
      </w:pPr>
      <w:r w:rsidRPr="007F62B6">
        <w:rPr>
          <w:lang w:val="en-GB"/>
        </w:rPr>
        <w:t xml:space="preserve">In addition to reconstituting the senior leadership, </w:t>
      </w:r>
      <w:proofErr w:type="spellStart"/>
      <w:r w:rsidRPr="007F62B6">
        <w:rPr>
          <w:lang w:val="en-GB"/>
        </w:rPr>
        <w:t>Briody</w:t>
      </w:r>
      <w:proofErr w:type="spellEnd"/>
      <w:r w:rsidRPr="007F62B6">
        <w:rPr>
          <w:lang w:val="en-GB"/>
        </w:rPr>
        <w:t xml:space="preserve"> wanted to re</w:t>
      </w:r>
      <w:r w:rsidR="00CD4442">
        <w:rPr>
          <w:lang w:val="en-GB"/>
        </w:rPr>
        <w:t>-</w:t>
      </w:r>
      <w:r w:rsidRPr="007F62B6">
        <w:rPr>
          <w:lang w:val="en-GB"/>
        </w:rPr>
        <w:t xml:space="preserve">examine the vendors </w:t>
      </w:r>
      <w:r w:rsidR="00CD4442">
        <w:rPr>
          <w:lang w:val="en-GB"/>
        </w:rPr>
        <w:t xml:space="preserve">that </w:t>
      </w:r>
      <w:r w:rsidR="00E86903">
        <w:rPr>
          <w:lang w:val="en-GB"/>
        </w:rPr>
        <w:t xml:space="preserve">the </w:t>
      </w:r>
      <w:r w:rsidRPr="007F62B6">
        <w:rPr>
          <w:lang w:val="en-GB"/>
        </w:rPr>
        <w:t xml:space="preserve">IOA had historically utilized. During the 2011/12 fiscal year, </w:t>
      </w:r>
      <w:r w:rsidR="00E86903">
        <w:rPr>
          <w:lang w:val="en-GB"/>
        </w:rPr>
        <w:t xml:space="preserve">the </w:t>
      </w:r>
      <w:r w:rsidRPr="007F62B6">
        <w:rPr>
          <w:lang w:val="en-GB"/>
        </w:rPr>
        <w:t>IOA paid an annual premium of $585,000 for its workers</w:t>
      </w:r>
      <w:r w:rsidR="00CD4442">
        <w:rPr>
          <w:lang w:val="en-GB"/>
        </w:rPr>
        <w:t>’</w:t>
      </w:r>
      <w:r w:rsidRPr="007F62B6">
        <w:rPr>
          <w:lang w:val="en-GB"/>
        </w:rPr>
        <w:t xml:space="preserve"> compensation plan. A day before the renewal deadline, the insurance broker informed </w:t>
      </w:r>
      <w:proofErr w:type="spellStart"/>
      <w:r w:rsidRPr="007F62B6">
        <w:rPr>
          <w:lang w:val="en-GB"/>
        </w:rPr>
        <w:t>Briody</w:t>
      </w:r>
      <w:proofErr w:type="spellEnd"/>
      <w:r w:rsidRPr="007F62B6">
        <w:rPr>
          <w:lang w:val="en-GB"/>
        </w:rPr>
        <w:t xml:space="preserve"> that the premium would increase to $902,275. In the past, the leadership at</w:t>
      </w:r>
      <w:r w:rsidR="00784408">
        <w:rPr>
          <w:lang w:val="en-GB"/>
        </w:rPr>
        <w:t xml:space="preserve"> the</w:t>
      </w:r>
      <w:r w:rsidRPr="007F62B6">
        <w:rPr>
          <w:lang w:val="en-GB"/>
        </w:rPr>
        <w:t xml:space="preserve"> IOA had not objected to these sudden increases. The assumption was that </w:t>
      </w:r>
      <w:r w:rsidR="00E86903">
        <w:rPr>
          <w:lang w:val="en-GB"/>
        </w:rPr>
        <w:t xml:space="preserve">the </w:t>
      </w:r>
      <w:r w:rsidR="004D1614">
        <w:rPr>
          <w:lang w:val="en-GB"/>
        </w:rPr>
        <w:t>IOA’s</w:t>
      </w:r>
      <w:r w:rsidR="004D1614" w:rsidRPr="007F62B6">
        <w:rPr>
          <w:lang w:val="en-GB"/>
        </w:rPr>
        <w:t xml:space="preserve"> </w:t>
      </w:r>
      <w:r w:rsidRPr="007F62B6">
        <w:rPr>
          <w:lang w:val="en-GB"/>
        </w:rPr>
        <w:t>long</w:t>
      </w:r>
      <w:r w:rsidR="00CD4442">
        <w:rPr>
          <w:lang w:val="en-GB"/>
        </w:rPr>
        <w:t>-</w:t>
      </w:r>
      <w:r w:rsidRPr="007F62B6">
        <w:rPr>
          <w:lang w:val="en-GB"/>
        </w:rPr>
        <w:t xml:space="preserve">standing relationship with the broker guaranteed he would act in </w:t>
      </w:r>
      <w:r w:rsidR="00E86903">
        <w:rPr>
          <w:lang w:val="en-GB"/>
        </w:rPr>
        <w:t xml:space="preserve">the </w:t>
      </w:r>
      <w:r w:rsidRPr="007F62B6">
        <w:rPr>
          <w:lang w:val="en-GB"/>
        </w:rPr>
        <w:t xml:space="preserve">IOA’s best interests. </w:t>
      </w:r>
      <w:proofErr w:type="spellStart"/>
      <w:r w:rsidRPr="007F62B6">
        <w:rPr>
          <w:lang w:val="en-GB"/>
        </w:rPr>
        <w:t>Briody</w:t>
      </w:r>
      <w:proofErr w:type="spellEnd"/>
      <w:r w:rsidRPr="007F62B6">
        <w:rPr>
          <w:lang w:val="en-GB"/>
        </w:rPr>
        <w:t xml:space="preserve"> disagreed. He begrudgingly accepted the increase, but three months later negotiated a high deductible plan with another insurance company for an annual premium of $732,000. The broker responded by urging the board to overrule the decision—but the board stood by </w:t>
      </w:r>
      <w:proofErr w:type="spellStart"/>
      <w:r w:rsidRPr="007F62B6">
        <w:rPr>
          <w:lang w:val="en-GB"/>
        </w:rPr>
        <w:t>Briody</w:t>
      </w:r>
      <w:proofErr w:type="spellEnd"/>
      <w:r w:rsidRPr="007F62B6">
        <w:rPr>
          <w:lang w:val="en-GB"/>
        </w:rPr>
        <w:t>.</w:t>
      </w:r>
    </w:p>
    <w:p w14:paraId="670761C3" w14:textId="77777777" w:rsidR="00F35080" w:rsidRPr="00FD25A0" w:rsidRDefault="00F35080" w:rsidP="00A6242C">
      <w:pPr>
        <w:pStyle w:val="BodyTextMain"/>
        <w:rPr>
          <w:lang w:val="en-GB"/>
        </w:rPr>
      </w:pPr>
    </w:p>
    <w:p w14:paraId="213E69E8" w14:textId="029009F8" w:rsidR="00F35080" w:rsidRPr="007F62B6" w:rsidRDefault="00F35080" w:rsidP="00A6242C">
      <w:pPr>
        <w:pStyle w:val="BodyTextMain"/>
        <w:rPr>
          <w:lang w:val="en-GB"/>
        </w:rPr>
      </w:pPr>
      <w:proofErr w:type="spellStart"/>
      <w:r w:rsidRPr="007F62B6">
        <w:rPr>
          <w:lang w:val="en-GB"/>
        </w:rPr>
        <w:t>Briody</w:t>
      </w:r>
      <w:proofErr w:type="spellEnd"/>
      <w:r w:rsidRPr="007F62B6">
        <w:rPr>
          <w:lang w:val="en-GB"/>
        </w:rPr>
        <w:t xml:space="preserve"> then turned his attention to </w:t>
      </w:r>
      <w:r w:rsidR="00E86903">
        <w:rPr>
          <w:lang w:val="en-GB"/>
        </w:rPr>
        <w:t xml:space="preserve">the </w:t>
      </w:r>
      <w:r w:rsidRPr="007F62B6">
        <w:rPr>
          <w:lang w:val="en-GB"/>
        </w:rPr>
        <w:t>IOA’s legal counsel. Financial records indicated that $3 million had been placed in a restricted endowment</w:t>
      </w:r>
      <w:r w:rsidR="004D1614">
        <w:rPr>
          <w:lang w:val="en-GB"/>
        </w:rPr>
        <w:t>;</w:t>
      </w:r>
      <w:r w:rsidRPr="007F62B6">
        <w:rPr>
          <w:lang w:val="en-GB"/>
        </w:rPr>
        <w:t xml:space="preserve"> </w:t>
      </w:r>
      <w:r w:rsidR="004D1614">
        <w:rPr>
          <w:lang w:val="en-GB"/>
        </w:rPr>
        <w:t>y</w:t>
      </w:r>
      <w:r w:rsidRPr="007F62B6">
        <w:rPr>
          <w:lang w:val="en-GB"/>
        </w:rPr>
        <w:t xml:space="preserve">et, </w:t>
      </w:r>
      <w:r w:rsidR="00E86903">
        <w:rPr>
          <w:lang w:val="en-GB"/>
        </w:rPr>
        <w:t xml:space="preserve">the </w:t>
      </w:r>
      <w:r w:rsidRPr="007F62B6">
        <w:rPr>
          <w:lang w:val="en-GB"/>
        </w:rPr>
        <w:t xml:space="preserve">IOA was </w:t>
      </w:r>
      <w:r w:rsidR="004D1614">
        <w:rPr>
          <w:lang w:val="en-GB"/>
        </w:rPr>
        <w:t xml:space="preserve">legally </w:t>
      </w:r>
      <w:r w:rsidRPr="007F62B6">
        <w:rPr>
          <w:lang w:val="en-GB"/>
        </w:rPr>
        <w:t xml:space="preserve">required to keep </w:t>
      </w:r>
      <w:r w:rsidR="004D1614">
        <w:rPr>
          <w:lang w:val="en-GB"/>
        </w:rPr>
        <w:t xml:space="preserve">only </w:t>
      </w:r>
      <w:r w:rsidRPr="007F62B6">
        <w:rPr>
          <w:lang w:val="en-GB"/>
        </w:rPr>
        <w:t xml:space="preserve">$1 million in the endowment. </w:t>
      </w:r>
      <w:proofErr w:type="spellStart"/>
      <w:r w:rsidRPr="007F62B6">
        <w:rPr>
          <w:lang w:val="en-GB"/>
        </w:rPr>
        <w:t>Briody</w:t>
      </w:r>
      <w:proofErr w:type="spellEnd"/>
      <w:r w:rsidRPr="007F62B6">
        <w:rPr>
          <w:lang w:val="en-GB"/>
        </w:rPr>
        <w:t xml:space="preserve"> and the board agreed that $2 million should be used to bolster </w:t>
      </w:r>
      <w:r w:rsidR="00E86903">
        <w:rPr>
          <w:lang w:val="en-GB"/>
        </w:rPr>
        <w:t xml:space="preserve">the </w:t>
      </w:r>
      <w:r w:rsidRPr="007F62B6">
        <w:rPr>
          <w:lang w:val="en-GB"/>
        </w:rPr>
        <w:t xml:space="preserve">IOA’s cash reserves. </w:t>
      </w:r>
      <w:r w:rsidR="00E86903">
        <w:rPr>
          <w:lang w:val="en-GB"/>
        </w:rPr>
        <w:t xml:space="preserve">The </w:t>
      </w:r>
      <w:r w:rsidRPr="007F62B6">
        <w:rPr>
          <w:lang w:val="en-GB"/>
        </w:rPr>
        <w:t xml:space="preserve">IOA’s attorney claimed this </w:t>
      </w:r>
      <w:r w:rsidR="00EF603C">
        <w:rPr>
          <w:lang w:val="en-GB"/>
        </w:rPr>
        <w:t>transfer</w:t>
      </w:r>
      <w:r w:rsidR="001A6CEF">
        <w:rPr>
          <w:lang w:val="en-GB"/>
        </w:rPr>
        <w:t xml:space="preserve"> of the funds</w:t>
      </w:r>
      <w:r w:rsidR="004D1614">
        <w:rPr>
          <w:lang w:val="en-GB"/>
        </w:rPr>
        <w:t xml:space="preserve"> </w:t>
      </w:r>
      <w:r w:rsidRPr="007F62B6">
        <w:rPr>
          <w:lang w:val="en-GB"/>
        </w:rPr>
        <w:t>was not possible</w:t>
      </w:r>
      <w:r w:rsidR="004D1614">
        <w:rPr>
          <w:lang w:val="en-GB"/>
        </w:rPr>
        <w:t>, to which</w:t>
      </w:r>
      <w:r w:rsidRPr="007F62B6">
        <w:rPr>
          <w:lang w:val="en-GB"/>
        </w:rPr>
        <w:t xml:space="preserve"> </w:t>
      </w:r>
      <w:proofErr w:type="spellStart"/>
      <w:r w:rsidRPr="007F62B6">
        <w:rPr>
          <w:lang w:val="en-GB"/>
        </w:rPr>
        <w:t>Briody</w:t>
      </w:r>
      <w:proofErr w:type="spellEnd"/>
      <w:r w:rsidRPr="007F62B6">
        <w:rPr>
          <w:lang w:val="en-GB"/>
        </w:rPr>
        <w:t xml:space="preserve"> countered by </w:t>
      </w:r>
      <w:r w:rsidRPr="007F62B6">
        <w:rPr>
          <w:lang w:val="en-GB"/>
        </w:rPr>
        <w:lastRenderedPageBreak/>
        <w:t xml:space="preserve">retaining the services of a new law firm </w:t>
      </w:r>
      <w:r w:rsidR="004D1614">
        <w:rPr>
          <w:lang w:val="en-GB"/>
        </w:rPr>
        <w:t>that</w:t>
      </w:r>
      <w:r w:rsidR="004D1614" w:rsidRPr="007F62B6">
        <w:rPr>
          <w:lang w:val="en-GB"/>
        </w:rPr>
        <w:t xml:space="preserve"> </w:t>
      </w:r>
      <w:r w:rsidRPr="007F62B6">
        <w:rPr>
          <w:lang w:val="en-GB"/>
        </w:rPr>
        <w:t>specialized in philanthropic giving and helped him transfer the misclassified funds.</w:t>
      </w:r>
    </w:p>
    <w:p w14:paraId="0DAB583A" w14:textId="42E9F317" w:rsidR="00F35080" w:rsidRPr="007F62B6" w:rsidRDefault="00F35080" w:rsidP="00A6242C">
      <w:pPr>
        <w:pStyle w:val="BodyTextMain"/>
        <w:rPr>
          <w:lang w:val="en-GB"/>
        </w:rPr>
      </w:pPr>
      <w:proofErr w:type="spellStart"/>
      <w:r w:rsidRPr="001F75EE">
        <w:rPr>
          <w:spacing w:val="-2"/>
          <w:kern w:val="22"/>
          <w:lang w:val="en-GB"/>
        </w:rPr>
        <w:t>Briody</w:t>
      </w:r>
      <w:proofErr w:type="spellEnd"/>
      <w:r w:rsidRPr="001F75EE">
        <w:rPr>
          <w:spacing w:val="-2"/>
          <w:kern w:val="22"/>
          <w:lang w:val="en-GB"/>
        </w:rPr>
        <w:t xml:space="preserve"> also took a second look at a lawsuit brought against </w:t>
      </w:r>
      <w:r w:rsidR="00E86903" w:rsidRPr="001F75EE">
        <w:rPr>
          <w:spacing w:val="-2"/>
          <w:kern w:val="22"/>
          <w:lang w:val="en-GB"/>
        </w:rPr>
        <w:t xml:space="preserve">the </w:t>
      </w:r>
      <w:r w:rsidRPr="001F75EE">
        <w:rPr>
          <w:spacing w:val="-2"/>
          <w:kern w:val="22"/>
          <w:lang w:val="en-GB"/>
        </w:rPr>
        <w:t xml:space="preserve">IOA by a former employee. Upon reviewing the case, </w:t>
      </w:r>
      <w:proofErr w:type="spellStart"/>
      <w:r w:rsidRPr="001F75EE">
        <w:rPr>
          <w:spacing w:val="-2"/>
          <w:kern w:val="22"/>
          <w:lang w:val="en-GB"/>
        </w:rPr>
        <w:t>Briody</w:t>
      </w:r>
      <w:proofErr w:type="spellEnd"/>
      <w:r w:rsidRPr="001F75EE">
        <w:rPr>
          <w:spacing w:val="-2"/>
          <w:kern w:val="22"/>
          <w:lang w:val="en-GB"/>
        </w:rPr>
        <w:t xml:space="preserve"> sided with the employee and settled the claim. He then sued the IOA attorney for overbilling. During the discovery process, evidence emerged that the attorney had been subcontracting to a third-party law firm. Eventually, the case was settled and </w:t>
      </w:r>
      <w:r w:rsidR="00E86903" w:rsidRPr="001F75EE">
        <w:rPr>
          <w:spacing w:val="-2"/>
          <w:kern w:val="22"/>
          <w:lang w:val="en-GB"/>
        </w:rPr>
        <w:t xml:space="preserve">the </w:t>
      </w:r>
      <w:r w:rsidRPr="001F75EE">
        <w:rPr>
          <w:spacing w:val="-2"/>
          <w:kern w:val="22"/>
          <w:lang w:val="en-GB"/>
        </w:rPr>
        <w:t xml:space="preserve">IOA </w:t>
      </w:r>
      <w:r w:rsidR="001A6CEF" w:rsidRPr="001F75EE">
        <w:rPr>
          <w:spacing w:val="-2"/>
          <w:kern w:val="22"/>
          <w:lang w:val="en-GB"/>
        </w:rPr>
        <w:t xml:space="preserve">terminated its </w:t>
      </w:r>
      <w:r w:rsidRPr="001F75EE">
        <w:rPr>
          <w:spacing w:val="-2"/>
          <w:kern w:val="22"/>
          <w:lang w:val="en-GB"/>
        </w:rPr>
        <w:t>partnership with the attorney</w:t>
      </w:r>
      <w:r w:rsidRPr="007F62B6">
        <w:rPr>
          <w:lang w:val="en-GB"/>
        </w:rPr>
        <w:t xml:space="preserve">. </w:t>
      </w:r>
    </w:p>
    <w:p w14:paraId="0164610C" w14:textId="77777777" w:rsidR="00F35080" w:rsidRPr="00FD25A0" w:rsidRDefault="00F35080" w:rsidP="00A6242C">
      <w:pPr>
        <w:pStyle w:val="BodyTextMain"/>
        <w:rPr>
          <w:sz w:val="20"/>
          <w:lang w:val="en-GB"/>
        </w:rPr>
      </w:pPr>
    </w:p>
    <w:p w14:paraId="02EBB0C7" w14:textId="7C1D30F2" w:rsidR="00F35080" w:rsidRPr="007F62B6" w:rsidRDefault="00F35080" w:rsidP="00A6242C">
      <w:pPr>
        <w:pStyle w:val="BodyTextMain"/>
        <w:rPr>
          <w:lang w:val="en-GB"/>
        </w:rPr>
      </w:pPr>
      <w:proofErr w:type="spellStart"/>
      <w:r w:rsidRPr="007F62B6">
        <w:rPr>
          <w:lang w:val="en-GB"/>
        </w:rPr>
        <w:t>Briody</w:t>
      </w:r>
      <w:proofErr w:type="spellEnd"/>
      <w:r w:rsidRPr="007F62B6">
        <w:rPr>
          <w:lang w:val="en-GB"/>
        </w:rPr>
        <w:t xml:space="preserve"> also recognized the inequity in some of the contractual relationships </w:t>
      </w:r>
      <w:r w:rsidR="00E86903">
        <w:rPr>
          <w:lang w:val="en-GB"/>
        </w:rPr>
        <w:t xml:space="preserve">the </w:t>
      </w:r>
      <w:r w:rsidRPr="007F62B6">
        <w:rPr>
          <w:lang w:val="en-GB"/>
        </w:rPr>
        <w:t>IOA had forged with local for-profit and non</w:t>
      </w:r>
      <w:r w:rsidR="00EF06BA">
        <w:rPr>
          <w:lang w:val="en-GB"/>
        </w:rPr>
        <w:t>-</w:t>
      </w:r>
      <w:r w:rsidRPr="007F62B6">
        <w:rPr>
          <w:lang w:val="en-GB"/>
        </w:rPr>
        <w:t xml:space="preserve">profit entities. One example was a program operated by </w:t>
      </w:r>
      <w:r w:rsidR="00E86903">
        <w:rPr>
          <w:lang w:val="en-GB"/>
        </w:rPr>
        <w:t xml:space="preserve">the </w:t>
      </w:r>
      <w:r w:rsidRPr="007F62B6">
        <w:rPr>
          <w:lang w:val="en-GB"/>
        </w:rPr>
        <w:t xml:space="preserve">IOA in which artists were paid to work with seniors who resided in for-profit assisted living facilities. </w:t>
      </w:r>
      <w:r w:rsidR="00E86903">
        <w:rPr>
          <w:lang w:val="en-GB"/>
        </w:rPr>
        <w:t>The</w:t>
      </w:r>
      <w:r w:rsidR="00233250">
        <w:rPr>
          <w:lang w:val="en-GB"/>
        </w:rPr>
        <w:t xml:space="preserve"> for-profit firm</w:t>
      </w:r>
      <w:r w:rsidR="000B33B4">
        <w:rPr>
          <w:lang w:val="en-GB"/>
        </w:rPr>
        <w:t xml:space="preserve"> used t</w:t>
      </w:r>
      <w:r w:rsidRPr="007F62B6">
        <w:rPr>
          <w:lang w:val="en-GB"/>
        </w:rPr>
        <w:t xml:space="preserve">he program to attract and retain clients. </w:t>
      </w:r>
      <w:r w:rsidR="00233250" w:rsidRPr="00E20FD6">
        <w:t>However, the firm only paid $4,500 a year even though the program cost</w:t>
      </w:r>
      <w:r w:rsidR="00233250">
        <w:t xml:space="preserve"> the IOA</w:t>
      </w:r>
      <w:r w:rsidR="00233250" w:rsidRPr="00E20FD6">
        <w:t xml:space="preserve"> $12,000 a year</w:t>
      </w:r>
      <w:r w:rsidRPr="007F62B6">
        <w:rPr>
          <w:lang w:val="en-GB"/>
        </w:rPr>
        <w:t xml:space="preserve">. The expectation was that </w:t>
      </w:r>
      <w:r w:rsidR="00E86903">
        <w:rPr>
          <w:lang w:val="en-GB"/>
        </w:rPr>
        <w:t xml:space="preserve">the </w:t>
      </w:r>
      <w:r w:rsidRPr="007F62B6">
        <w:rPr>
          <w:lang w:val="en-GB"/>
        </w:rPr>
        <w:t xml:space="preserve">IOA would make up the difference through fundraising. Seeing the disparity, </w:t>
      </w:r>
      <w:proofErr w:type="spellStart"/>
      <w:r w:rsidRPr="007F62B6">
        <w:rPr>
          <w:lang w:val="en-GB"/>
        </w:rPr>
        <w:t>Briody</w:t>
      </w:r>
      <w:proofErr w:type="spellEnd"/>
      <w:r w:rsidRPr="007F62B6">
        <w:rPr>
          <w:lang w:val="en-GB"/>
        </w:rPr>
        <w:t xml:space="preserve"> eliminated the program.</w:t>
      </w:r>
    </w:p>
    <w:p w14:paraId="26E9643D" w14:textId="77777777" w:rsidR="00F35080" w:rsidRPr="00FD25A0" w:rsidRDefault="00F35080" w:rsidP="00A6242C">
      <w:pPr>
        <w:pStyle w:val="BodyTextMain"/>
        <w:rPr>
          <w:sz w:val="20"/>
          <w:lang w:val="en-GB"/>
        </w:rPr>
      </w:pPr>
    </w:p>
    <w:p w14:paraId="62B741FF" w14:textId="1A193AD2" w:rsidR="00F35080" w:rsidRPr="007F62B6" w:rsidRDefault="00F35080" w:rsidP="00A6242C">
      <w:pPr>
        <w:pStyle w:val="BodyTextMain"/>
        <w:rPr>
          <w:lang w:val="en-GB"/>
        </w:rPr>
      </w:pPr>
      <w:r w:rsidRPr="007F62B6">
        <w:rPr>
          <w:lang w:val="en-GB"/>
        </w:rPr>
        <w:t xml:space="preserve">Each action </w:t>
      </w:r>
      <w:proofErr w:type="spellStart"/>
      <w:r w:rsidRPr="007F62B6">
        <w:rPr>
          <w:lang w:val="en-GB"/>
        </w:rPr>
        <w:t>Briody</w:t>
      </w:r>
      <w:proofErr w:type="spellEnd"/>
      <w:r w:rsidRPr="007F62B6">
        <w:rPr>
          <w:lang w:val="en-GB"/>
        </w:rPr>
        <w:t xml:space="preserve"> took improved </w:t>
      </w:r>
      <w:r w:rsidR="00E86903">
        <w:rPr>
          <w:lang w:val="en-GB"/>
        </w:rPr>
        <w:t xml:space="preserve">the </w:t>
      </w:r>
      <w:r w:rsidRPr="007F62B6">
        <w:rPr>
          <w:lang w:val="en-GB"/>
        </w:rPr>
        <w:t xml:space="preserve">IOA’s financial position. Nevertheless, a core challenge remained. </w:t>
      </w:r>
      <w:r w:rsidR="001A6CEF">
        <w:rPr>
          <w:lang w:val="en-GB"/>
        </w:rPr>
        <w:t xml:space="preserve">The </w:t>
      </w:r>
      <w:r w:rsidRPr="007F62B6">
        <w:rPr>
          <w:lang w:val="en-GB"/>
        </w:rPr>
        <w:t xml:space="preserve">IOA needed time to implement its turnaround strategy. To buy that time, </w:t>
      </w:r>
      <w:proofErr w:type="spellStart"/>
      <w:r w:rsidRPr="007F62B6">
        <w:rPr>
          <w:lang w:val="en-GB"/>
        </w:rPr>
        <w:t>Briody</w:t>
      </w:r>
      <w:proofErr w:type="spellEnd"/>
      <w:r w:rsidRPr="007F62B6">
        <w:rPr>
          <w:lang w:val="en-GB"/>
        </w:rPr>
        <w:t xml:space="preserve"> needed to convince </w:t>
      </w:r>
      <w:r w:rsidR="00402B19" w:rsidRPr="007F62B6">
        <w:rPr>
          <w:lang w:val="en-GB"/>
        </w:rPr>
        <w:t>Coastal Mortgage</w:t>
      </w:r>
      <w:r w:rsidRPr="007F62B6">
        <w:rPr>
          <w:lang w:val="en-GB"/>
        </w:rPr>
        <w:t xml:space="preserve"> to provide a $3 million insured line of credit.</w:t>
      </w:r>
    </w:p>
    <w:p w14:paraId="2B6BD048" w14:textId="77777777" w:rsidR="00F35080" w:rsidRPr="00FD25A0" w:rsidRDefault="00F35080" w:rsidP="00F35080">
      <w:pPr>
        <w:ind w:firstLine="360"/>
        <w:rPr>
          <w:lang w:val="en-GB"/>
        </w:rPr>
      </w:pPr>
    </w:p>
    <w:p w14:paraId="622226E2" w14:textId="77777777" w:rsidR="00F35080" w:rsidRPr="00FD25A0" w:rsidRDefault="00F35080" w:rsidP="00F35080">
      <w:pPr>
        <w:ind w:firstLine="360"/>
        <w:rPr>
          <w:lang w:val="en-GB"/>
        </w:rPr>
      </w:pPr>
    </w:p>
    <w:p w14:paraId="533A85F1" w14:textId="77777777" w:rsidR="00F35080" w:rsidRPr="007F62B6" w:rsidRDefault="00F35080" w:rsidP="00A6242C">
      <w:pPr>
        <w:pStyle w:val="Casehead1"/>
        <w:rPr>
          <w:lang w:val="en-GB"/>
        </w:rPr>
      </w:pPr>
      <w:r w:rsidRPr="007F62B6">
        <w:rPr>
          <w:lang w:val="en-GB"/>
        </w:rPr>
        <w:t>Weathering the Storm</w:t>
      </w:r>
    </w:p>
    <w:p w14:paraId="0731403A" w14:textId="77777777" w:rsidR="00F35080" w:rsidRPr="00FD25A0" w:rsidRDefault="00F35080" w:rsidP="00A6242C">
      <w:pPr>
        <w:pStyle w:val="BodyTextMain"/>
        <w:rPr>
          <w:sz w:val="20"/>
          <w:lang w:val="en-GB"/>
        </w:rPr>
      </w:pPr>
    </w:p>
    <w:p w14:paraId="0779A41A" w14:textId="1717D4A9" w:rsidR="00F35080" w:rsidRPr="007F62B6" w:rsidRDefault="00F35080" w:rsidP="00A6242C">
      <w:pPr>
        <w:pStyle w:val="BodyTextMain"/>
        <w:rPr>
          <w:lang w:val="en-GB"/>
        </w:rPr>
      </w:pPr>
      <w:r w:rsidRPr="007F62B6">
        <w:rPr>
          <w:lang w:val="en-GB"/>
        </w:rPr>
        <w:t xml:space="preserve">Prior to </w:t>
      </w:r>
      <w:r w:rsidR="00EF603C">
        <w:rPr>
          <w:lang w:val="en-GB"/>
        </w:rPr>
        <w:t xml:space="preserve">Coastal Mortgage </w:t>
      </w:r>
      <w:r w:rsidRPr="007F62B6">
        <w:rPr>
          <w:lang w:val="en-GB"/>
        </w:rPr>
        <w:t xml:space="preserve">issuing the $41 million loan in 2008, a feasibility study had been conducted to assess whether </w:t>
      </w:r>
      <w:r w:rsidR="00E86903">
        <w:rPr>
          <w:lang w:val="en-GB"/>
        </w:rPr>
        <w:t xml:space="preserve">the </w:t>
      </w:r>
      <w:r w:rsidRPr="007F62B6">
        <w:rPr>
          <w:lang w:val="en-GB"/>
        </w:rPr>
        <w:t xml:space="preserve">IOA would be able to repay </w:t>
      </w:r>
      <w:r w:rsidR="00EF603C">
        <w:rPr>
          <w:lang w:val="en-GB"/>
        </w:rPr>
        <w:t>the loan</w:t>
      </w:r>
      <w:r w:rsidRPr="007F62B6">
        <w:rPr>
          <w:lang w:val="en-GB"/>
        </w:rPr>
        <w:t xml:space="preserve">. Unfortunately, the </w:t>
      </w:r>
      <w:r w:rsidR="00EF603C">
        <w:rPr>
          <w:lang w:val="en-GB"/>
        </w:rPr>
        <w:t xml:space="preserve">study’s </w:t>
      </w:r>
      <w:r w:rsidRPr="007F62B6">
        <w:rPr>
          <w:lang w:val="en-GB"/>
        </w:rPr>
        <w:t xml:space="preserve">projections were based on faulty assumptions. </w:t>
      </w:r>
      <w:r w:rsidR="00EF603C">
        <w:rPr>
          <w:lang w:val="en-GB"/>
        </w:rPr>
        <w:t>For example, g</w:t>
      </w:r>
      <w:r w:rsidRPr="007F62B6">
        <w:rPr>
          <w:lang w:val="en-GB"/>
        </w:rPr>
        <w:t xml:space="preserve">rowth in </w:t>
      </w:r>
      <w:r w:rsidR="00E86903">
        <w:rPr>
          <w:lang w:val="en-GB"/>
        </w:rPr>
        <w:t xml:space="preserve">the </w:t>
      </w:r>
      <w:r w:rsidRPr="007F62B6">
        <w:rPr>
          <w:lang w:val="en-GB"/>
        </w:rPr>
        <w:t>IOA’s PACE business was overstated by $2.1 million per year</w:t>
      </w:r>
      <w:r w:rsidR="00EF603C">
        <w:rPr>
          <w:lang w:val="en-GB"/>
        </w:rPr>
        <w:t>, and</w:t>
      </w:r>
      <w:r w:rsidRPr="007F62B6">
        <w:rPr>
          <w:lang w:val="en-GB"/>
        </w:rPr>
        <w:t xml:space="preserve"> </w:t>
      </w:r>
      <w:r w:rsidR="00EF603C">
        <w:rPr>
          <w:lang w:val="en-GB"/>
        </w:rPr>
        <w:t>t</w:t>
      </w:r>
      <w:r w:rsidR="00E86903">
        <w:rPr>
          <w:lang w:val="en-GB"/>
        </w:rPr>
        <w:t xml:space="preserve">he </w:t>
      </w:r>
      <w:r w:rsidRPr="007F62B6">
        <w:rPr>
          <w:lang w:val="en-GB"/>
        </w:rPr>
        <w:t>IOA’s investment portfolio was expected to generate $1 million per year in revenue</w:t>
      </w:r>
      <w:r w:rsidR="000B33B4">
        <w:rPr>
          <w:lang w:val="en-GB"/>
        </w:rPr>
        <w:t>,</w:t>
      </w:r>
      <w:r w:rsidRPr="007F62B6">
        <w:rPr>
          <w:lang w:val="en-GB"/>
        </w:rPr>
        <w:t xml:space="preserve"> even though it never did. </w:t>
      </w:r>
    </w:p>
    <w:p w14:paraId="6099214E" w14:textId="77777777" w:rsidR="00F35080" w:rsidRPr="00FD25A0" w:rsidRDefault="00F35080" w:rsidP="00A6242C">
      <w:pPr>
        <w:pStyle w:val="BodyTextMain"/>
        <w:rPr>
          <w:sz w:val="20"/>
          <w:lang w:val="en-GB"/>
        </w:rPr>
      </w:pPr>
    </w:p>
    <w:p w14:paraId="6D9F9F73" w14:textId="01472842" w:rsidR="00F35080" w:rsidRPr="007F62B6" w:rsidRDefault="00F35080" w:rsidP="00A6242C">
      <w:pPr>
        <w:pStyle w:val="BodyTextMain"/>
        <w:rPr>
          <w:lang w:val="en-GB"/>
        </w:rPr>
      </w:pPr>
      <w:r w:rsidRPr="007F62B6">
        <w:rPr>
          <w:lang w:val="en-GB"/>
        </w:rPr>
        <w:t xml:space="preserve">Several </w:t>
      </w:r>
      <w:r w:rsidR="00402B19" w:rsidRPr="007F62B6">
        <w:rPr>
          <w:lang w:val="en-GB"/>
        </w:rPr>
        <w:t xml:space="preserve">Coastal Mortgage </w:t>
      </w:r>
      <w:r w:rsidR="000B33B4">
        <w:rPr>
          <w:lang w:val="en-GB"/>
        </w:rPr>
        <w:t xml:space="preserve">staff members </w:t>
      </w:r>
      <w:r w:rsidRPr="007F62B6">
        <w:rPr>
          <w:lang w:val="en-GB"/>
        </w:rPr>
        <w:t xml:space="preserve">had questioned these assumptions and opposed providing the loan to </w:t>
      </w:r>
      <w:r w:rsidR="00E86903">
        <w:rPr>
          <w:lang w:val="en-GB"/>
        </w:rPr>
        <w:t xml:space="preserve">the </w:t>
      </w:r>
      <w:r w:rsidRPr="007F62B6">
        <w:rPr>
          <w:lang w:val="en-GB"/>
        </w:rPr>
        <w:t xml:space="preserve">IOA. The leadership at </w:t>
      </w:r>
      <w:r w:rsidR="00402B19" w:rsidRPr="007F62B6">
        <w:rPr>
          <w:lang w:val="en-GB"/>
        </w:rPr>
        <w:t xml:space="preserve">Coastal Mortgage </w:t>
      </w:r>
      <w:r w:rsidRPr="007F62B6">
        <w:rPr>
          <w:lang w:val="en-GB"/>
        </w:rPr>
        <w:t>overrode their decision and approved the loan with a few critical debt covenants</w:t>
      </w:r>
      <w:r w:rsidR="00EF603C">
        <w:rPr>
          <w:lang w:val="en-GB"/>
        </w:rPr>
        <w:t>:</w:t>
      </w:r>
      <w:r w:rsidRPr="007F62B6">
        <w:rPr>
          <w:lang w:val="en-GB"/>
        </w:rPr>
        <w:t xml:space="preserve"> </w:t>
      </w:r>
      <w:r w:rsidR="00EF603C">
        <w:rPr>
          <w:lang w:val="en-GB"/>
        </w:rPr>
        <w:t>t</w:t>
      </w:r>
      <w:r w:rsidR="00E86903">
        <w:rPr>
          <w:lang w:val="en-GB"/>
        </w:rPr>
        <w:t xml:space="preserve">he </w:t>
      </w:r>
      <w:r w:rsidRPr="007F62B6">
        <w:rPr>
          <w:lang w:val="en-GB"/>
        </w:rPr>
        <w:t xml:space="preserve">IOA needed to maintain a current ratio of 1.25, a debt service ratio of 1.25, and a non-restricted cash balance equal to 25 days cash on hand. Cash on hand would then increase to 45 days in 2010. </w:t>
      </w:r>
    </w:p>
    <w:p w14:paraId="1FB4F11F" w14:textId="77777777" w:rsidR="00F35080" w:rsidRPr="00FD25A0" w:rsidRDefault="00F35080" w:rsidP="00A6242C">
      <w:pPr>
        <w:pStyle w:val="BodyTextMain"/>
        <w:rPr>
          <w:sz w:val="20"/>
          <w:lang w:val="en-GB"/>
        </w:rPr>
      </w:pPr>
    </w:p>
    <w:p w14:paraId="7B92ECED" w14:textId="48933AC6" w:rsidR="00F35080" w:rsidRPr="007F62B6" w:rsidRDefault="00F35080" w:rsidP="00A6242C">
      <w:pPr>
        <w:pStyle w:val="BodyTextMain"/>
        <w:rPr>
          <w:lang w:val="en-GB"/>
        </w:rPr>
      </w:pPr>
      <w:r w:rsidRPr="007F62B6">
        <w:rPr>
          <w:lang w:val="en-GB"/>
        </w:rPr>
        <w:t xml:space="preserve">By the time </w:t>
      </w:r>
      <w:proofErr w:type="spellStart"/>
      <w:r w:rsidRPr="007F62B6">
        <w:rPr>
          <w:lang w:val="en-GB"/>
        </w:rPr>
        <w:t>Briody</w:t>
      </w:r>
      <w:proofErr w:type="spellEnd"/>
      <w:r w:rsidRPr="007F62B6">
        <w:rPr>
          <w:lang w:val="en-GB"/>
        </w:rPr>
        <w:t xml:space="preserve"> arrived in February 2012, the current ratio was 0.72, the debt service ratio was </w:t>
      </w:r>
      <w:r w:rsidR="000B33B4">
        <w:rPr>
          <w:lang w:val="en-GB"/>
        </w:rPr>
        <w:t>–</w:t>
      </w:r>
      <w:r w:rsidRPr="007F62B6">
        <w:rPr>
          <w:lang w:val="en-GB"/>
        </w:rPr>
        <w:t xml:space="preserve">0.08, and </w:t>
      </w:r>
      <w:r w:rsidR="000B33B4">
        <w:rPr>
          <w:lang w:val="en-GB"/>
        </w:rPr>
        <w:t>the company had</w:t>
      </w:r>
      <w:r w:rsidRPr="007F62B6">
        <w:rPr>
          <w:lang w:val="en-GB"/>
        </w:rPr>
        <w:t xml:space="preserve"> only 16 days of cash on hand (see </w:t>
      </w:r>
      <w:r w:rsidRPr="007F62B6">
        <w:rPr>
          <w:iCs/>
          <w:lang w:val="en-GB"/>
        </w:rPr>
        <w:t>Exhibit 6</w:t>
      </w:r>
      <w:r w:rsidRPr="007F62B6">
        <w:rPr>
          <w:lang w:val="en-GB"/>
        </w:rPr>
        <w:t xml:space="preserve">). Some of the key decision-makers at </w:t>
      </w:r>
      <w:r w:rsidR="00402B19" w:rsidRPr="007F62B6">
        <w:rPr>
          <w:lang w:val="en-GB"/>
        </w:rPr>
        <w:t>Coastal Mortgage</w:t>
      </w:r>
      <w:r w:rsidRPr="007F62B6">
        <w:rPr>
          <w:lang w:val="en-GB"/>
        </w:rPr>
        <w:t xml:space="preserve"> were sympathetic. They attributed </w:t>
      </w:r>
      <w:r w:rsidR="00EF603C">
        <w:rPr>
          <w:lang w:val="en-GB"/>
        </w:rPr>
        <w:t xml:space="preserve">the </w:t>
      </w:r>
      <w:r w:rsidRPr="007F62B6">
        <w:rPr>
          <w:lang w:val="en-GB"/>
        </w:rPr>
        <w:t>IOA’s situation to the financial collapse of 2008</w:t>
      </w:r>
      <w:r w:rsidR="000B33B4">
        <w:rPr>
          <w:lang w:val="en-GB"/>
        </w:rPr>
        <w:t>,</w:t>
      </w:r>
      <w:r w:rsidRPr="007F62B6">
        <w:rPr>
          <w:lang w:val="en-GB"/>
        </w:rPr>
        <w:t xml:space="preserve"> which had prompted state cuts to Medicare and Medicaid. Others at </w:t>
      </w:r>
      <w:r w:rsidR="00402B19" w:rsidRPr="007F62B6">
        <w:rPr>
          <w:lang w:val="en-GB"/>
        </w:rPr>
        <w:t xml:space="preserve">Coastal Mortgage </w:t>
      </w:r>
      <w:r w:rsidRPr="007F62B6">
        <w:rPr>
          <w:lang w:val="en-GB"/>
        </w:rPr>
        <w:t xml:space="preserve">believed the problem resided in </w:t>
      </w:r>
      <w:r w:rsidR="006F5E22">
        <w:rPr>
          <w:lang w:val="en-GB"/>
        </w:rPr>
        <w:t xml:space="preserve">the </w:t>
      </w:r>
      <w:r w:rsidRPr="007F62B6">
        <w:rPr>
          <w:lang w:val="en-GB"/>
        </w:rPr>
        <w:t>IOA itself</w:t>
      </w:r>
      <w:r w:rsidR="000B33B4">
        <w:rPr>
          <w:lang w:val="en-GB"/>
        </w:rPr>
        <w:t>,</w:t>
      </w:r>
      <w:r w:rsidRPr="007F62B6">
        <w:rPr>
          <w:lang w:val="en-GB"/>
        </w:rPr>
        <w:t xml:space="preserve"> </w:t>
      </w:r>
      <w:r w:rsidR="000B33B4" w:rsidRPr="007F62B6">
        <w:rPr>
          <w:lang w:val="en-GB"/>
        </w:rPr>
        <w:t>claim</w:t>
      </w:r>
      <w:r w:rsidR="000B33B4">
        <w:rPr>
          <w:lang w:val="en-GB"/>
        </w:rPr>
        <w:t>ing that</w:t>
      </w:r>
      <w:r w:rsidR="000B33B4" w:rsidRPr="007F62B6">
        <w:rPr>
          <w:lang w:val="en-GB"/>
        </w:rPr>
        <w:t xml:space="preserve"> </w:t>
      </w:r>
      <w:r w:rsidR="00402B19" w:rsidRPr="007F62B6">
        <w:rPr>
          <w:lang w:val="en-GB"/>
        </w:rPr>
        <w:t xml:space="preserve">Coastal Mortgage </w:t>
      </w:r>
      <w:r w:rsidRPr="007F62B6">
        <w:rPr>
          <w:lang w:val="en-GB"/>
        </w:rPr>
        <w:t xml:space="preserve">“had been lied to” when </w:t>
      </w:r>
      <w:r w:rsidR="006F5E22">
        <w:rPr>
          <w:lang w:val="en-GB"/>
        </w:rPr>
        <w:t xml:space="preserve">the </w:t>
      </w:r>
      <w:r w:rsidRPr="007F62B6">
        <w:rPr>
          <w:lang w:val="en-GB"/>
        </w:rPr>
        <w:t xml:space="preserve">IOA </w:t>
      </w:r>
      <w:r w:rsidR="000B33B4">
        <w:rPr>
          <w:lang w:val="en-GB"/>
        </w:rPr>
        <w:t xml:space="preserve">had </w:t>
      </w:r>
      <w:r w:rsidRPr="007F62B6">
        <w:rPr>
          <w:lang w:val="en-GB"/>
        </w:rPr>
        <w:t>submitted its original application.</w:t>
      </w:r>
    </w:p>
    <w:p w14:paraId="4E9848EB" w14:textId="77777777" w:rsidR="00F35080" w:rsidRPr="00FD25A0" w:rsidRDefault="00F35080" w:rsidP="00A6242C">
      <w:pPr>
        <w:pStyle w:val="BodyTextMain"/>
        <w:rPr>
          <w:sz w:val="20"/>
          <w:lang w:val="en-GB"/>
        </w:rPr>
      </w:pPr>
    </w:p>
    <w:p w14:paraId="43322CEC" w14:textId="53428D94" w:rsidR="00F35080" w:rsidRDefault="00F35080" w:rsidP="00A6242C">
      <w:pPr>
        <w:pStyle w:val="BodyTextMain"/>
        <w:rPr>
          <w:lang w:val="en-GB"/>
        </w:rPr>
      </w:pPr>
      <w:r w:rsidRPr="007F62B6">
        <w:rPr>
          <w:lang w:val="en-GB"/>
        </w:rPr>
        <w:t xml:space="preserve">To repair the relationship with </w:t>
      </w:r>
      <w:r w:rsidR="00402B19" w:rsidRPr="007F62B6">
        <w:rPr>
          <w:lang w:val="en-GB"/>
        </w:rPr>
        <w:t>Coastal Mortgage</w:t>
      </w:r>
      <w:r w:rsidRPr="007F62B6">
        <w:rPr>
          <w:lang w:val="en-GB"/>
        </w:rPr>
        <w:t xml:space="preserve">, the team at </w:t>
      </w:r>
      <w:r w:rsidR="00EF603C">
        <w:rPr>
          <w:lang w:val="en-GB"/>
        </w:rPr>
        <w:t xml:space="preserve">the </w:t>
      </w:r>
      <w:r w:rsidRPr="007F62B6">
        <w:rPr>
          <w:lang w:val="en-GB"/>
        </w:rPr>
        <w:t xml:space="preserve">IOA took immediate action. Cynthia Diana Whitehead, the chair of the IOA board, began calling every month to provide updates and discuss ongoing concerns. Blades began sending regular financial reports to </w:t>
      </w:r>
      <w:r w:rsidR="00402B19" w:rsidRPr="007F62B6">
        <w:rPr>
          <w:lang w:val="en-GB"/>
        </w:rPr>
        <w:t xml:space="preserve">Coastal Mortgage </w:t>
      </w:r>
      <w:r w:rsidRPr="007F62B6">
        <w:rPr>
          <w:lang w:val="en-GB"/>
        </w:rPr>
        <w:t xml:space="preserve">with the goal of improving transparency and rebuilding trust. </w:t>
      </w:r>
      <w:proofErr w:type="spellStart"/>
      <w:r w:rsidRPr="007F62B6">
        <w:rPr>
          <w:lang w:val="en-GB"/>
        </w:rPr>
        <w:t>Briody</w:t>
      </w:r>
      <w:proofErr w:type="spellEnd"/>
      <w:r w:rsidRPr="007F62B6">
        <w:rPr>
          <w:lang w:val="en-GB"/>
        </w:rPr>
        <w:t xml:space="preserve"> took steps to demonstrate that </w:t>
      </w:r>
      <w:r w:rsidR="006F5E22">
        <w:rPr>
          <w:lang w:val="en-GB"/>
        </w:rPr>
        <w:t xml:space="preserve">the </w:t>
      </w:r>
      <w:r w:rsidRPr="007F62B6">
        <w:rPr>
          <w:lang w:val="en-GB"/>
        </w:rPr>
        <w:t xml:space="preserve">IOA could reduce </w:t>
      </w:r>
      <w:r w:rsidR="000B33B4">
        <w:rPr>
          <w:lang w:val="en-GB"/>
        </w:rPr>
        <w:t xml:space="preserve">its </w:t>
      </w:r>
      <w:r w:rsidRPr="007F62B6">
        <w:rPr>
          <w:lang w:val="en-GB"/>
        </w:rPr>
        <w:t xml:space="preserve">annual costs. Early in his tenure as CEO, he noticed that </w:t>
      </w:r>
      <w:r w:rsidR="00EF603C">
        <w:rPr>
          <w:lang w:val="en-GB"/>
        </w:rPr>
        <w:t xml:space="preserve">the </w:t>
      </w:r>
      <w:r w:rsidRPr="007F62B6">
        <w:rPr>
          <w:lang w:val="en-GB"/>
        </w:rPr>
        <w:t>IOA provided PACE services at two separate locations. The first was the newly</w:t>
      </w:r>
      <w:r w:rsidR="000B33B4">
        <w:rPr>
          <w:lang w:val="en-GB"/>
        </w:rPr>
        <w:t xml:space="preserve"> </w:t>
      </w:r>
      <w:r w:rsidRPr="007F62B6">
        <w:rPr>
          <w:lang w:val="en-GB"/>
        </w:rPr>
        <w:t>constructed IOA building</w:t>
      </w:r>
      <w:r w:rsidR="000B33B4">
        <w:rPr>
          <w:lang w:val="en-GB"/>
        </w:rPr>
        <w:t>,</w:t>
      </w:r>
      <w:r w:rsidRPr="007F62B6">
        <w:rPr>
          <w:lang w:val="en-GB"/>
        </w:rPr>
        <w:t xml:space="preserve"> which was only partially occupied. The second was a rented facility a few blocks down the street. Recognizing the inefficiency, </w:t>
      </w:r>
      <w:proofErr w:type="spellStart"/>
      <w:r w:rsidRPr="007F62B6">
        <w:rPr>
          <w:lang w:val="en-GB"/>
        </w:rPr>
        <w:t>Briody</w:t>
      </w:r>
      <w:proofErr w:type="spellEnd"/>
      <w:r w:rsidRPr="007F62B6">
        <w:rPr>
          <w:lang w:val="en-GB"/>
        </w:rPr>
        <w:t xml:space="preserve"> raised $1 million, renovated the IOA building, and consolidated operations. The change resulted in a net positive cash flow of $700,000 per year.</w:t>
      </w:r>
    </w:p>
    <w:p w14:paraId="1B345E52" w14:textId="77777777" w:rsidR="008D6FB6" w:rsidRPr="00FD25A0" w:rsidRDefault="008D6FB6" w:rsidP="00A6242C">
      <w:pPr>
        <w:pStyle w:val="BodyTextMain"/>
        <w:rPr>
          <w:sz w:val="20"/>
          <w:lang w:val="en-GB"/>
        </w:rPr>
      </w:pPr>
    </w:p>
    <w:p w14:paraId="44AE8034" w14:textId="1009971C" w:rsidR="00F35080" w:rsidRPr="007F62B6" w:rsidRDefault="00F35080" w:rsidP="00A6242C">
      <w:pPr>
        <w:pStyle w:val="BodyTextMain"/>
        <w:rPr>
          <w:lang w:val="en-GB"/>
        </w:rPr>
      </w:pPr>
      <w:r w:rsidRPr="007F62B6">
        <w:rPr>
          <w:lang w:val="en-GB"/>
        </w:rPr>
        <w:lastRenderedPageBreak/>
        <w:t>Over time</w:t>
      </w:r>
      <w:r w:rsidR="000B33B4">
        <w:rPr>
          <w:lang w:val="en-GB"/>
        </w:rPr>
        <w:t>,</w:t>
      </w:r>
      <w:r w:rsidRPr="007F62B6">
        <w:rPr>
          <w:lang w:val="en-GB"/>
        </w:rPr>
        <w:t xml:space="preserve"> the relationship between </w:t>
      </w:r>
      <w:r w:rsidR="006F5E22">
        <w:rPr>
          <w:lang w:val="en-GB"/>
        </w:rPr>
        <w:t xml:space="preserve">the </w:t>
      </w:r>
      <w:r w:rsidRPr="007F62B6">
        <w:rPr>
          <w:lang w:val="en-GB"/>
        </w:rPr>
        <w:t xml:space="preserve">IOA and </w:t>
      </w:r>
      <w:r w:rsidR="00402B19" w:rsidRPr="007F62B6">
        <w:rPr>
          <w:lang w:val="en-GB"/>
        </w:rPr>
        <w:t xml:space="preserve">Coastal Mortgage </w:t>
      </w:r>
      <w:r w:rsidRPr="007F62B6">
        <w:rPr>
          <w:lang w:val="en-GB"/>
        </w:rPr>
        <w:t>improved</w:t>
      </w:r>
      <w:r w:rsidR="00EF603C">
        <w:rPr>
          <w:lang w:val="en-GB"/>
        </w:rPr>
        <w:t>; however,</w:t>
      </w:r>
      <w:r w:rsidRPr="007F62B6">
        <w:rPr>
          <w:lang w:val="en-GB"/>
        </w:rPr>
        <w:t xml:space="preserve"> </w:t>
      </w:r>
      <w:r w:rsidR="00EF603C">
        <w:rPr>
          <w:lang w:val="en-GB"/>
        </w:rPr>
        <w:t>t</w:t>
      </w:r>
      <w:r w:rsidRPr="007F62B6">
        <w:rPr>
          <w:lang w:val="en-GB"/>
        </w:rPr>
        <w:t xml:space="preserve">hat relationship was put to the test when a financial audit was conducted in the summer of 2013. The auditors were prepared to report that the organization did not have enough cash to meet its obligations for the next </w:t>
      </w:r>
      <w:r w:rsidR="007F47BF">
        <w:rPr>
          <w:lang w:val="en-GB"/>
        </w:rPr>
        <w:t>12</w:t>
      </w:r>
      <w:r w:rsidR="007F47BF" w:rsidRPr="007F62B6">
        <w:rPr>
          <w:lang w:val="en-GB"/>
        </w:rPr>
        <w:t xml:space="preserve"> </w:t>
      </w:r>
      <w:r w:rsidRPr="007F62B6">
        <w:rPr>
          <w:lang w:val="en-GB"/>
        </w:rPr>
        <w:t xml:space="preserve">months. </w:t>
      </w:r>
      <w:r w:rsidR="006F5E22">
        <w:rPr>
          <w:lang w:val="en-GB"/>
        </w:rPr>
        <w:t xml:space="preserve">The </w:t>
      </w:r>
      <w:r w:rsidRPr="007F62B6">
        <w:rPr>
          <w:lang w:val="en-GB"/>
        </w:rPr>
        <w:t xml:space="preserve">IOA had already </w:t>
      </w:r>
      <w:r w:rsidR="007F47BF">
        <w:rPr>
          <w:lang w:val="en-GB"/>
        </w:rPr>
        <w:t>received</w:t>
      </w:r>
      <w:r w:rsidR="007F47BF" w:rsidRPr="007F62B6">
        <w:rPr>
          <w:lang w:val="en-GB"/>
        </w:rPr>
        <w:t xml:space="preserve"> </w:t>
      </w:r>
      <w:r w:rsidRPr="007F62B6">
        <w:rPr>
          <w:lang w:val="en-GB"/>
        </w:rPr>
        <w:t xml:space="preserve">permission to use $3 million from its debt reserve, so its options were limited. As </w:t>
      </w:r>
      <w:proofErr w:type="spellStart"/>
      <w:r w:rsidRPr="007F62B6">
        <w:rPr>
          <w:lang w:val="en-GB"/>
        </w:rPr>
        <w:t>Briody</w:t>
      </w:r>
      <w:proofErr w:type="spellEnd"/>
      <w:r w:rsidRPr="007F62B6">
        <w:rPr>
          <w:lang w:val="en-GB"/>
        </w:rPr>
        <w:t xml:space="preserve"> viewed it, “</w:t>
      </w:r>
      <w:r w:rsidR="007F47BF">
        <w:rPr>
          <w:lang w:val="en-GB"/>
        </w:rPr>
        <w:t>E</w:t>
      </w:r>
      <w:r w:rsidRPr="007F62B6">
        <w:rPr>
          <w:lang w:val="en-GB"/>
        </w:rPr>
        <w:t xml:space="preserve">ither </w:t>
      </w:r>
      <w:r w:rsidR="00402B19" w:rsidRPr="007F62B6">
        <w:rPr>
          <w:lang w:val="en-GB"/>
        </w:rPr>
        <w:t xml:space="preserve">Coastal Mortgage </w:t>
      </w:r>
      <w:r w:rsidRPr="007F62B6">
        <w:rPr>
          <w:lang w:val="en-GB"/>
        </w:rPr>
        <w:t>stepped up or we were on the road to ramp down.”</w:t>
      </w:r>
    </w:p>
    <w:p w14:paraId="75792879" w14:textId="77777777" w:rsidR="00F35080" w:rsidRPr="00FD25A0" w:rsidRDefault="00F35080" w:rsidP="00A6242C">
      <w:pPr>
        <w:pStyle w:val="BodyTextMain"/>
        <w:rPr>
          <w:sz w:val="20"/>
          <w:szCs w:val="20"/>
          <w:lang w:val="en-GB"/>
        </w:rPr>
      </w:pPr>
    </w:p>
    <w:p w14:paraId="4412A524" w14:textId="5AF6D57A" w:rsidR="00F35080" w:rsidRPr="007F62B6" w:rsidRDefault="00402B19" w:rsidP="00A6242C">
      <w:pPr>
        <w:pStyle w:val="BodyTextMain"/>
        <w:rPr>
          <w:lang w:val="en-GB"/>
        </w:rPr>
      </w:pPr>
      <w:r w:rsidRPr="007F62B6">
        <w:rPr>
          <w:lang w:val="en-GB"/>
        </w:rPr>
        <w:t>The leadership at Coastal Mortgage</w:t>
      </w:r>
      <w:r w:rsidR="00F35080" w:rsidRPr="007F62B6">
        <w:rPr>
          <w:lang w:val="en-GB"/>
        </w:rPr>
        <w:t xml:space="preserve"> knew </w:t>
      </w:r>
      <w:r w:rsidR="007F47BF">
        <w:rPr>
          <w:lang w:val="en-GB"/>
        </w:rPr>
        <w:t xml:space="preserve">that </w:t>
      </w:r>
      <w:r w:rsidR="006F5E22">
        <w:rPr>
          <w:lang w:val="en-GB"/>
        </w:rPr>
        <w:t xml:space="preserve">the </w:t>
      </w:r>
      <w:r w:rsidR="007F47BF">
        <w:rPr>
          <w:lang w:val="en-GB"/>
        </w:rPr>
        <w:t xml:space="preserve">IOA had reached </w:t>
      </w:r>
      <w:r w:rsidR="00F35080" w:rsidRPr="007F62B6">
        <w:rPr>
          <w:lang w:val="en-GB"/>
        </w:rPr>
        <w:t>a critical moment. Fundraising would grind to a halt</w:t>
      </w:r>
      <w:r w:rsidR="007F47BF">
        <w:rPr>
          <w:lang w:val="en-GB"/>
        </w:rPr>
        <w:t>,</w:t>
      </w:r>
      <w:r w:rsidR="00F35080" w:rsidRPr="007F62B6">
        <w:rPr>
          <w:lang w:val="en-GB"/>
        </w:rPr>
        <w:t xml:space="preserve"> and people would start leaving once they knew that bankruptcy was on the horizon. After careful </w:t>
      </w:r>
      <w:r w:rsidRPr="007F62B6">
        <w:rPr>
          <w:lang w:val="en-GB"/>
        </w:rPr>
        <w:t>deliberation</w:t>
      </w:r>
      <w:r w:rsidR="00F35080" w:rsidRPr="007F62B6">
        <w:rPr>
          <w:lang w:val="en-GB"/>
        </w:rPr>
        <w:t xml:space="preserve">, </w:t>
      </w:r>
      <w:r w:rsidRPr="007F62B6">
        <w:rPr>
          <w:lang w:val="en-GB"/>
        </w:rPr>
        <w:t>the decision was made to grant</w:t>
      </w:r>
      <w:r w:rsidR="00F35080" w:rsidRPr="007F62B6">
        <w:rPr>
          <w:lang w:val="en-GB"/>
        </w:rPr>
        <w:t xml:space="preserve"> </w:t>
      </w:r>
      <w:r w:rsidR="006F5E22">
        <w:rPr>
          <w:lang w:val="en-GB"/>
        </w:rPr>
        <w:t xml:space="preserve">the </w:t>
      </w:r>
      <w:r w:rsidR="00F35080" w:rsidRPr="007F62B6">
        <w:rPr>
          <w:lang w:val="en-GB"/>
        </w:rPr>
        <w:t>IOA a $3 million insured line of credit.</w:t>
      </w:r>
    </w:p>
    <w:p w14:paraId="1A56213C" w14:textId="77777777" w:rsidR="00F35080" w:rsidRPr="00FD25A0" w:rsidRDefault="00F35080" w:rsidP="001F75EE">
      <w:pPr>
        <w:ind w:firstLine="360"/>
        <w:rPr>
          <w:lang w:val="en-GB"/>
        </w:rPr>
      </w:pPr>
    </w:p>
    <w:p w14:paraId="7545B563" w14:textId="77777777" w:rsidR="00F35080" w:rsidRPr="00FD25A0" w:rsidRDefault="00F35080" w:rsidP="001F75EE">
      <w:pPr>
        <w:ind w:firstLine="360"/>
        <w:rPr>
          <w:lang w:val="en-GB"/>
        </w:rPr>
      </w:pPr>
    </w:p>
    <w:p w14:paraId="0E4C98D2" w14:textId="77777777" w:rsidR="00F35080" w:rsidRPr="007F62B6" w:rsidRDefault="00F35080" w:rsidP="00A6242C">
      <w:pPr>
        <w:pStyle w:val="Casehead1"/>
        <w:rPr>
          <w:lang w:val="en-GB"/>
        </w:rPr>
      </w:pPr>
      <w:r w:rsidRPr="007F62B6">
        <w:rPr>
          <w:lang w:val="en-GB"/>
        </w:rPr>
        <w:t>Turning the Ship Around</w:t>
      </w:r>
    </w:p>
    <w:p w14:paraId="2B8F5B86" w14:textId="77777777" w:rsidR="00F35080" w:rsidRPr="00FD25A0" w:rsidRDefault="00F35080" w:rsidP="00F35080">
      <w:pPr>
        <w:rPr>
          <w:b/>
          <w:bCs/>
          <w:lang w:val="en-GB"/>
        </w:rPr>
      </w:pPr>
    </w:p>
    <w:p w14:paraId="35B6F61A" w14:textId="281D5AD1" w:rsidR="00F35080" w:rsidRPr="007F62B6" w:rsidRDefault="00F35080" w:rsidP="00A6242C">
      <w:pPr>
        <w:pStyle w:val="BodyTextMain"/>
        <w:rPr>
          <w:lang w:val="en-GB"/>
        </w:rPr>
      </w:pPr>
      <w:r w:rsidRPr="007F62B6">
        <w:rPr>
          <w:lang w:val="en-GB"/>
        </w:rPr>
        <w:t xml:space="preserve">When </w:t>
      </w:r>
      <w:proofErr w:type="spellStart"/>
      <w:r w:rsidRPr="007F62B6">
        <w:rPr>
          <w:lang w:val="en-GB"/>
        </w:rPr>
        <w:t>Briody</w:t>
      </w:r>
      <w:proofErr w:type="spellEnd"/>
      <w:r w:rsidRPr="007F62B6">
        <w:rPr>
          <w:lang w:val="en-GB"/>
        </w:rPr>
        <w:t xml:space="preserve"> first joined </w:t>
      </w:r>
      <w:r w:rsidR="006F5E22">
        <w:rPr>
          <w:lang w:val="en-GB"/>
        </w:rPr>
        <w:t xml:space="preserve">the </w:t>
      </w:r>
      <w:r w:rsidRPr="007F62B6">
        <w:rPr>
          <w:lang w:val="en-GB"/>
        </w:rPr>
        <w:t xml:space="preserve">IOA in February 2012, he </w:t>
      </w:r>
      <w:r w:rsidR="007F47BF">
        <w:rPr>
          <w:lang w:val="en-GB"/>
        </w:rPr>
        <w:t>needed</w:t>
      </w:r>
      <w:r w:rsidR="007F47BF" w:rsidRPr="007F62B6">
        <w:rPr>
          <w:lang w:val="en-GB"/>
        </w:rPr>
        <w:t xml:space="preserve"> </w:t>
      </w:r>
      <w:r w:rsidRPr="007F62B6">
        <w:rPr>
          <w:lang w:val="en-GB"/>
        </w:rPr>
        <w:t>to rapidly design and execute a turnaround strategy. “When I arrived I set four strategic priorities: integration, growth, operating efficiency, [and] fundraising.”</w:t>
      </w:r>
    </w:p>
    <w:p w14:paraId="470C15CB" w14:textId="77777777" w:rsidR="00F35080" w:rsidRPr="00FD25A0" w:rsidRDefault="00F35080" w:rsidP="00F35080">
      <w:pPr>
        <w:rPr>
          <w:lang w:val="en-GB"/>
        </w:rPr>
      </w:pPr>
    </w:p>
    <w:p w14:paraId="35ACD820" w14:textId="77777777" w:rsidR="00F35080" w:rsidRPr="00FD25A0" w:rsidRDefault="00F35080" w:rsidP="00F35080">
      <w:pPr>
        <w:rPr>
          <w:lang w:val="en-GB"/>
        </w:rPr>
      </w:pPr>
    </w:p>
    <w:p w14:paraId="42EC1320" w14:textId="77777777" w:rsidR="00F35080" w:rsidRPr="007F62B6" w:rsidRDefault="00F35080" w:rsidP="00A6242C">
      <w:pPr>
        <w:pStyle w:val="Casehead2"/>
        <w:rPr>
          <w:lang w:val="en-GB"/>
        </w:rPr>
      </w:pPr>
      <w:r w:rsidRPr="007F62B6">
        <w:rPr>
          <w:lang w:val="en-GB"/>
        </w:rPr>
        <w:t>Integration</w:t>
      </w:r>
    </w:p>
    <w:p w14:paraId="75A681BF" w14:textId="77777777" w:rsidR="00F35080" w:rsidRPr="00FD25A0" w:rsidRDefault="00F35080" w:rsidP="00F35080">
      <w:pPr>
        <w:rPr>
          <w:lang w:val="en-GB"/>
        </w:rPr>
      </w:pPr>
    </w:p>
    <w:p w14:paraId="0FCC7566" w14:textId="33956BC9" w:rsidR="00F35080" w:rsidRPr="007F62B6" w:rsidRDefault="00F35080" w:rsidP="00A6242C">
      <w:pPr>
        <w:pStyle w:val="BodyTextMain"/>
        <w:rPr>
          <w:lang w:val="en-GB"/>
        </w:rPr>
      </w:pPr>
      <w:r w:rsidRPr="007F62B6">
        <w:rPr>
          <w:lang w:val="en-GB"/>
        </w:rPr>
        <w:t xml:space="preserve">Before </w:t>
      </w:r>
      <w:proofErr w:type="spellStart"/>
      <w:r w:rsidRPr="007F62B6">
        <w:rPr>
          <w:lang w:val="en-GB"/>
        </w:rPr>
        <w:t>Briody’s</w:t>
      </w:r>
      <w:proofErr w:type="spellEnd"/>
      <w:r w:rsidRPr="007F62B6">
        <w:rPr>
          <w:lang w:val="en-GB"/>
        </w:rPr>
        <w:t xml:space="preserve"> arrival, </w:t>
      </w:r>
      <w:r w:rsidR="006F5E22">
        <w:rPr>
          <w:lang w:val="en-GB"/>
        </w:rPr>
        <w:t xml:space="preserve">the </w:t>
      </w:r>
      <w:r w:rsidRPr="007F62B6">
        <w:rPr>
          <w:lang w:val="en-GB"/>
        </w:rPr>
        <w:t xml:space="preserve">IOA </w:t>
      </w:r>
      <w:r w:rsidR="007F47BF">
        <w:rPr>
          <w:lang w:val="en-GB"/>
        </w:rPr>
        <w:t xml:space="preserve">had </w:t>
      </w:r>
      <w:r w:rsidRPr="007F62B6">
        <w:rPr>
          <w:lang w:val="en-GB"/>
        </w:rPr>
        <w:t xml:space="preserve">operated as a series of satellite programs. Each program functioned independently and cross-program interaction was rare. </w:t>
      </w:r>
      <w:r w:rsidR="007F47BF">
        <w:rPr>
          <w:lang w:val="en-GB"/>
        </w:rPr>
        <w:t>C</w:t>
      </w:r>
      <w:r w:rsidRPr="007F62B6">
        <w:rPr>
          <w:lang w:val="en-GB"/>
        </w:rPr>
        <w:t xml:space="preserve">lients </w:t>
      </w:r>
      <w:r w:rsidR="007F47BF" w:rsidRPr="007F62B6">
        <w:rPr>
          <w:lang w:val="en-GB"/>
        </w:rPr>
        <w:t>want</w:t>
      </w:r>
      <w:r w:rsidR="007F47BF">
        <w:rPr>
          <w:lang w:val="en-GB"/>
        </w:rPr>
        <w:t>ing</w:t>
      </w:r>
      <w:r w:rsidR="007F47BF" w:rsidRPr="007F62B6">
        <w:rPr>
          <w:lang w:val="en-GB"/>
        </w:rPr>
        <w:t xml:space="preserve"> </w:t>
      </w:r>
      <w:r w:rsidRPr="007F62B6">
        <w:rPr>
          <w:lang w:val="en-GB"/>
        </w:rPr>
        <w:t xml:space="preserve">access to </w:t>
      </w:r>
      <w:r w:rsidR="006F5E22">
        <w:rPr>
          <w:lang w:val="en-GB"/>
        </w:rPr>
        <w:t xml:space="preserve">the </w:t>
      </w:r>
      <w:r w:rsidRPr="007F62B6">
        <w:rPr>
          <w:lang w:val="en-GB"/>
        </w:rPr>
        <w:t xml:space="preserve">IOA services were </w:t>
      </w:r>
      <w:r w:rsidR="007F47BF">
        <w:rPr>
          <w:lang w:val="en-GB"/>
        </w:rPr>
        <w:t>required</w:t>
      </w:r>
      <w:r w:rsidR="007F47BF" w:rsidRPr="007F62B6">
        <w:rPr>
          <w:lang w:val="en-GB"/>
        </w:rPr>
        <w:t xml:space="preserve"> </w:t>
      </w:r>
      <w:r w:rsidRPr="007F62B6">
        <w:rPr>
          <w:lang w:val="en-GB"/>
        </w:rPr>
        <w:t xml:space="preserve">to contact each program separately. As </w:t>
      </w:r>
      <w:proofErr w:type="spellStart"/>
      <w:r w:rsidRPr="007F62B6">
        <w:rPr>
          <w:lang w:val="en-GB"/>
        </w:rPr>
        <w:t>Briody</w:t>
      </w:r>
      <w:proofErr w:type="spellEnd"/>
      <w:r w:rsidRPr="007F62B6">
        <w:rPr>
          <w:lang w:val="en-GB"/>
        </w:rPr>
        <w:t xml:space="preserve"> described it, “We had no central access point for the community to contact us. They had to figure out which program to call. So we created IOA Connect. That’s become a major call </w:t>
      </w:r>
      <w:r w:rsidR="007F47BF" w:rsidRPr="007F62B6">
        <w:rPr>
          <w:lang w:val="en-GB"/>
        </w:rPr>
        <w:t>cent</w:t>
      </w:r>
      <w:r w:rsidR="007F47BF">
        <w:rPr>
          <w:lang w:val="en-GB"/>
        </w:rPr>
        <w:t>re</w:t>
      </w:r>
      <w:r w:rsidR="007F47BF" w:rsidRPr="007F62B6">
        <w:rPr>
          <w:lang w:val="en-GB"/>
        </w:rPr>
        <w:t xml:space="preserve"> </w:t>
      </w:r>
      <w:r w:rsidRPr="007F62B6">
        <w:rPr>
          <w:lang w:val="en-GB"/>
        </w:rPr>
        <w:t>for us. They do all the intake for all of our programs as well as serve as a community resource and referral.”</w:t>
      </w:r>
    </w:p>
    <w:p w14:paraId="31C08B05" w14:textId="77777777" w:rsidR="00F35080" w:rsidRPr="00FD25A0" w:rsidRDefault="00F35080" w:rsidP="00A6242C">
      <w:pPr>
        <w:pStyle w:val="BodyTextMain"/>
        <w:rPr>
          <w:sz w:val="20"/>
          <w:szCs w:val="20"/>
          <w:lang w:val="en-GB"/>
        </w:rPr>
      </w:pPr>
    </w:p>
    <w:p w14:paraId="42A204CD" w14:textId="06EBA283" w:rsidR="00F35080" w:rsidRPr="007F62B6" w:rsidRDefault="00F35080" w:rsidP="00A6242C">
      <w:pPr>
        <w:pStyle w:val="BodyTextMain"/>
        <w:rPr>
          <w:lang w:val="en-GB"/>
        </w:rPr>
      </w:pPr>
      <w:proofErr w:type="spellStart"/>
      <w:r w:rsidRPr="007F62B6">
        <w:rPr>
          <w:lang w:val="en-GB"/>
        </w:rPr>
        <w:t>Briody</w:t>
      </w:r>
      <w:proofErr w:type="spellEnd"/>
      <w:r w:rsidRPr="007F62B6">
        <w:rPr>
          <w:lang w:val="en-GB"/>
        </w:rPr>
        <w:t xml:space="preserve"> also recognized that legacy structures had contributed to organizational silos. For instance, years earlier </w:t>
      </w:r>
      <w:r w:rsidR="006F5E22">
        <w:rPr>
          <w:lang w:val="en-GB"/>
        </w:rPr>
        <w:t xml:space="preserve">the </w:t>
      </w:r>
      <w:r w:rsidRPr="007F62B6">
        <w:rPr>
          <w:lang w:val="en-GB"/>
        </w:rPr>
        <w:t>IOA had acquired an innovative non</w:t>
      </w:r>
      <w:r w:rsidR="00EF06BA">
        <w:rPr>
          <w:lang w:val="en-GB"/>
        </w:rPr>
        <w:t>-</w:t>
      </w:r>
      <w:r w:rsidRPr="007F62B6">
        <w:rPr>
          <w:lang w:val="en-GB"/>
        </w:rPr>
        <w:t>profit in Marin County</w:t>
      </w:r>
      <w:r w:rsidR="00F8306F" w:rsidRPr="007F62B6">
        <w:rPr>
          <w:lang w:val="en-GB"/>
        </w:rPr>
        <w:t>, California</w:t>
      </w:r>
      <w:r w:rsidR="007F47BF">
        <w:rPr>
          <w:lang w:val="en-GB"/>
        </w:rPr>
        <w:t>,</w:t>
      </w:r>
      <w:r w:rsidRPr="007F62B6">
        <w:rPr>
          <w:lang w:val="en-GB"/>
        </w:rPr>
        <w:t xml:space="preserve"> that provided fiduciary services to</w:t>
      </w:r>
      <w:r w:rsidR="007F47BF">
        <w:rPr>
          <w:lang w:val="en-GB"/>
        </w:rPr>
        <w:t xml:space="preserve"> seniors</w:t>
      </w:r>
      <w:r w:rsidRPr="007F62B6">
        <w:rPr>
          <w:lang w:val="en-GB"/>
        </w:rPr>
        <w:t>. Under normal circumstances, the success of the program would have led to its expansion into other geographic regions</w:t>
      </w:r>
      <w:r w:rsidR="007F47BF">
        <w:rPr>
          <w:lang w:val="en-GB"/>
        </w:rPr>
        <w:t>;</w:t>
      </w:r>
      <w:r w:rsidRPr="007F62B6">
        <w:rPr>
          <w:lang w:val="en-GB"/>
        </w:rPr>
        <w:t xml:space="preserve"> </w:t>
      </w:r>
      <w:r w:rsidR="007F47BF">
        <w:rPr>
          <w:lang w:val="en-GB"/>
        </w:rPr>
        <w:t>however</w:t>
      </w:r>
      <w:r w:rsidRPr="007F62B6">
        <w:rPr>
          <w:lang w:val="en-GB"/>
        </w:rPr>
        <w:t xml:space="preserve">, the program had been allowed to maintain an independent board that discouraged growth. </w:t>
      </w:r>
      <w:proofErr w:type="spellStart"/>
      <w:r w:rsidRPr="007F62B6">
        <w:rPr>
          <w:lang w:val="en-GB"/>
        </w:rPr>
        <w:t>Briody</w:t>
      </w:r>
      <w:proofErr w:type="spellEnd"/>
      <w:r w:rsidRPr="007F62B6">
        <w:rPr>
          <w:lang w:val="en-GB"/>
        </w:rPr>
        <w:t xml:space="preserve"> disbanded the board, placed the program under the home</w:t>
      </w:r>
      <w:r w:rsidR="007F47BF">
        <w:rPr>
          <w:lang w:val="en-GB"/>
        </w:rPr>
        <w:t xml:space="preserve"> </w:t>
      </w:r>
      <w:r w:rsidRPr="007F62B6">
        <w:rPr>
          <w:lang w:val="en-GB"/>
        </w:rPr>
        <w:t>care services division, and expanded its reach to nearby counties.</w:t>
      </w:r>
    </w:p>
    <w:p w14:paraId="5C9EF8F9" w14:textId="77777777" w:rsidR="00F35080" w:rsidRPr="00FD25A0" w:rsidRDefault="00F35080" w:rsidP="00F35080">
      <w:pPr>
        <w:ind w:firstLine="360"/>
        <w:rPr>
          <w:lang w:val="en-GB"/>
        </w:rPr>
      </w:pPr>
    </w:p>
    <w:p w14:paraId="59C253C1" w14:textId="77777777" w:rsidR="00F35080" w:rsidRPr="00FD25A0" w:rsidRDefault="00F35080" w:rsidP="00F35080">
      <w:pPr>
        <w:ind w:firstLine="360"/>
        <w:rPr>
          <w:lang w:val="en-GB"/>
        </w:rPr>
      </w:pPr>
    </w:p>
    <w:p w14:paraId="0F13F127" w14:textId="77777777" w:rsidR="00F35080" w:rsidRPr="007F62B6" w:rsidRDefault="00F35080" w:rsidP="00A6242C">
      <w:pPr>
        <w:pStyle w:val="Casehead2"/>
        <w:rPr>
          <w:lang w:val="en-GB"/>
        </w:rPr>
      </w:pPr>
      <w:r w:rsidRPr="007F62B6">
        <w:rPr>
          <w:lang w:val="en-GB"/>
        </w:rPr>
        <w:t>Growth</w:t>
      </w:r>
    </w:p>
    <w:p w14:paraId="0B171713" w14:textId="77777777" w:rsidR="00F35080" w:rsidRPr="00FD25A0" w:rsidRDefault="00F35080" w:rsidP="00F35080">
      <w:pPr>
        <w:rPr>
          <w:lang w:val="en-GB"/>
        </w:rPr>
      </w:pPr>
    </w:p>
    <w:p w14:paraId="0FDCE655" w14:textId="23AD6589" w:rsidR="00F35080" w:rsidRPr="007F62B6" w:rsidRDefault="00F35080" w:rsidP="00A6242C">
      <w:pPr>
        <w:pStyle w:val="BodyTextMain"/>
        <w:rPr>
          <w:lang w:val="en-GB"/>
        </w:rPr>
      </w:pPr>
      <w:r w:rsidRPr="007F62B6">
        <w:rPr>
          <w:lang w:val="en-GB"/>
        </w:rPr>
        <w:t>Other service lines in the home</w:t>
      </w:r>
      <w:r w:rsidR="007F47BF">
        <w:rPr>
          <w:lang w:val="en-GB"/>
        </w:rPr>
        <w:t xml:space="preserve"> </w:t>
      </w:r>
      <w:r w:rsidRPr="007F62B6">
        <w:rPr>
          <w:lang w:val="en-GB"/>
        </w:rPr>
        <w:t>care services division were similarly well</w:t>
      </w:r>
      <w:r w:rsidR="007F47BF">
        <w:rPr>
          <w:lang w:val="en-GB"/>
        </w:rPr>
        <w:t xml:space="preserve"> </w:t>
      </w:r>
      <w:r w:rsidRPr="007F62B6">
        <w:rPr>
          <w:lang w:val="en-GB"/>
        </w:rPr>
        <w:t xml:space="preserve">positioned for geographic expansion. As </w:t>
      </w:r>
      <w:proofErr w:type="spellStart"/>
      <w:r w:rsidRPr="007F62B6">
        <w:rPr>
          <w:lang w:val="en-GB"/>
        </w:rPr>
        <w:t>Briody</w:t>
      </w:r>
      <w:proofErr w:type="spellEnd"/>
      <w:r w:rsidRPr="007F62B6">
        <w:rPr>
          <w:lang w:val="en-GB"/>
        </w:rPr>
        <w:t xml:space="preserve"> saw it</w:t>
      </w:r>
      <w:r w:rsidR="007F47BF">
        <w:rPr>
          <w:lang w:val="en-GB"/>
        </w:rPr>
        <w:t>,</w:t>
      </w:r>
      <w:r w:rsidRPr="007F62B6">
        <w:rPr>
          <w:lang w:val="en-GB"/>
        </w:rPr>
        <w:t xml:space="preserve"> “We’d no longer be a San Francisco organization, but a California organization.” In 2012, home</w:t>
      </w:r>
      <w:r w:rsidR="007F47BF">
        <w:rPr>
          <w:lang w:val="en-GB"/>
        </w:rPr>
        <w:t xml:space="preserve"> </w:t>
      </w:r>
      <w:r w:rsidRPr="007F62B6">
        <w:rPr>
          <w:lang w:val="en-GB"/>
        </w:rPr>
        <w:t xml:space="preserve">care services were primarily offered in Palo Alto. Within one year, services were extended to San Francisco. This </w:t>
      </w:r>
      <w:r w:rsidR="007F47BF">
        <w:rPr>
          <w:lang w:val="en-GB"/>
        </w:rPr>
        <w:t xml:space="preserve">expansion </w:t>
      </w:r>
      <w:r w:rsidRPr="007F62B6">
        <w:rPr>
          <w:lang w:val="en-GB"/>
        </w:rPr>
        <w:t>led to division growth at a rate of 30</w:t>
      </w:r>
      <w:r w:rsidR="00BF1DB3" w:rsidRPr="007F62B6">
        <w:rPr>
          <w:lang w:val="en-GB"/>
        </w:rPr>
        <w:t xml:space="preserve"> per cent</w:t>
      </w:r>
      <w:r w:rsidRPr="007F62B6">
        <w:rPr>
          <w:lang w:val="en-GB"/>
        </w:rPr>
        <w:t xml:space="preserve"> per year. Such rapid growth signal</w:t>
      </w:r>
      <w:r w:rsidR="007F47BF">
        <w:rPr>
          <w:lang w:val="en-GB"/>
        </w:rPr>
        <w:t>l</w:t>
      </w:r>
      <w:r w:rsidRPr="007F62B6">
        <w:rPr>
          <w:lang w:val="en-GB"/>
        </w:rPr>
        <w:t xml:space="preserve">ed that </w:t>
      </w:r>
      <w:proofErr w:type="spellStart"/>
      <w:r w:rsidRPr="007F62B6">
        <w:rPr>
          <w:lang w:val="en-GB"/>
        </w:rPr>
        <w:t>Briody’s</w:t>
      </w:r>
      <w:proofErr w:type="spellEnd"/>
      <w:r w:rsidRPr="007F62B6">
        <w:rPr>
          <w:lang w:val="en-GB"/>
        </w:rPr>
        <w:t xml:space="preserve"> vision was achievable. As stated by one employee, “The thing I will give </w:t>
      </w:r>
      <w:proofErr w:type="spellStart"/>
      <w:r w:rsidRPr="007F62B6">
        <w:rPr>
          <w:lang w:val="en-GB"/>
        </w:rPr>
        <w:t>Briody</w:t>
      </w:r>
      <w:proofErr w:type="spellEnd"/>
      <w:r w:rsidRPr="007F62B6">
        <w:rPr>
          <w:lang w:val="en-GB"/>
        </w:rPr>
        <w:t xml:space="preserve"> a fair amount of credit for was expanding our thinking or vision a little bit in terms of the geography that this organization could cover.”</w:t>
      </w:r>
    </w:p>
    <w:p w14:paraId="287D07B9" w14:textId="77777777" w:rsidR="00F35080" w:rsidRPr="00FD25A0" w:rsidRDefault="00F35080" w:rsidP="00A6242C">
      <w:pPr>
        <w:pStyle w:val="BodyTextMain"/>
        <w:rPr>
          <w:sz w:val="20"/>
          <w:szCs w:val="20"/>
          <w:lang w:val="en-GB"/>
        </w:rPr>
      </w:pPr>
    </w:p>
    <w:p w14:paraId="5F9E0A90" w14:textId="098DF76E" w:rsidR="00F35080" w:rsidRDefault="00F35080" w:rsidP="00A6242C">
      <w:pPr>
        <w:pStyle w:val="BodyTextMain"/>
        <w:rPr>
          <w:lang w:val="en-GB"/>
        </w:rPr>
      </w:pPr>
      <w:r w:rsidRPr="00FD25A0">
        <w:rPr>
          <w:spacing w:val="-2"/>
          <w:kern w:val="22"/>
          <w:lang w:val="en-GB"/>
        </w:rPr>
        <w:t>Within the health services division, the best prospect for growth was to increase the number of PACE clients</w:t>
      </w:r>
      <w:r w:rsidR="003A2B50" w:rsidRPr="00FD25A0">
        <w:rPr>
          <w:spacing w:val="-2"/>
          <w:kern w:val="22"/>
          <w:lang w:val="en-GB"/>
        </w:rPr>
        <w:t>,</w:t>
      </w:r>
      <w:r w:rsidRPr="00FD25A0">
        <w:rPr>
          <w:spacing w:val="-2"/>
          <w:kern w:val="22"/>
          <w:lang w:val="en-GB"/>
        </w:rPr>
        <w:t xml:space="preserve"> </w:t>
      </w:r>
      <w:r w:rsidR="003A2B50" w:rsidRPr="00FD25A0">
        <w:rPr>
          <w:spacing w:val="-2"/>
          <w:kern w:val="22"/>
          <w:lang w:val="en-GB"/>
        </w:rPr>
        <w:t xml:space="preserve">which </w:t>
      </w:r>
      <w:r w:rsidRPr="00FD25A0">
        <w:rPr>
          <w:spacing w:val="-2"/>
          <w:kern w:val="22"/>
          <w:lang w:val="en-GB"/>
        </w:rPr>
        <w:t xml:space="preserve">meant engaging in joint marketing campaigns with </w:t>
      </w:r>
      <w:r w:rsidR="00B34B29" w:rsidRPr="00FD25A0">
        <w:rPr>
          <w:spacing w:val="-2"/>
          <w:kern w:val="22"/>
          <w:lang w:val="en-GB"/>
        </w:rPr>
        <w:t>SSI</w:t>
      </w:r>
      <w:r w:rsidRPr="00FD25A0">
        <w:rPr>
          <w:spacing w:val="-2"/>
          <w:kern w:val="22"/>
          <w:lang w:val="en-GB"/>
        </w:rPr>
        <w:t xml:space="preserve">. The catch was that the relationship between the two </w:t>
      </w:r>
      <w:r w:rsidR="0051214E" w:rsidRPr="00FD25A0">
        <w:rPr>
          <w:spacing w:val="-2"/>
          <w:kern w:val="22"/>
          <w:lang w:val="en-GB"/>
        </w:rPr>
        <w:t>organizations</w:t>
      </w:r>
      <w:r w:rsidRPr="00FD25A0">
        <w:rPr>
          <w:spacing w:val="-2"/>
          <w:kern w:val="22"/>
          <w:lang w:val="en-GB"/>
        </w:rPr>
        <w:t xml:space="preserve"> was complicated. In some areas, such as PACE, they were partners</w:t>
      </w:r>
      <w:r w:rsidR="003A2B50" w:rsidRPr="00FD25A0">
        <w:rPr>
          <w:spacing w:val="-2"/>
          <w:kern w:val="22"/>
          <w:lang w:val="en-GB"/>
        </w:rPr>
        <w:t>;</w:t>
      </w:r>
      <w:r w:rsidRPr="00FD25A0">
        <w:rPr>
          <w:spacing w:val="-2"/>
          <w:kern w:val="22"/>
          <w:lang w:val="en-GB"/>
        </w:rPr>
        <w:t xml:space="preserve"> </w:t>
      </w:r>
      <w:r w:rsidR="003A2B50" w:rsidRPr="00FD25A0">
        <w:rPr>
          <w:spacing w:val="-2"/>
          <w:kern w:val="22"/>
          <w:lang w:val="en-GB"/>
        </w:rPr>
        <w:t>i</w:t>
      </w:r>
      <w:r w:rsidRPr="00FD25A0">
        <w:rPr>
          <w:spacing w:val="-2"/>
          <w:kern w:val="22"/>
          <w:lang w:val="en-GB"/>
        </w:rPr>
        <w:t>n other areas</w:t>
      </w:r>
      <w:r w:rsidR="003A2B50" w:rsidRPr="00FD25A0">
        <w:rPr>
          <w:spacing w:val="-2"/>
          <w:kern w:val="22"/>
          <w:lang w:val="en-GB"/>
        </w:rPr>
        <w:t>,</w:t>
      </w:r>
      <w:r w:rsidRPr="00FD25A0">
        <w:rPr>
          <w:spacing w:val="-2"/>
          <w:kern w:val="22"/>
          <w:lang w:val="en-GB"/>
        </w:rPr>
        <w:t xml:space="preserve"> they were competitors. </w:t>
      </w:r>
      <w:r w:rsidR="00E050AE" w:rsidRPr="00FD25A0">
        <w:rPr>
          <w:spacing w:val="-2"/>
          <w:kern w:val="22"/>
          <w:lang w:val="en-GB"/>
        </w:rPr>
        <w:t>For example, new tensions</w:t>
      </w:r>
      <w:r w:rsidR="00CF02D7" w:rsidRPr="00FD25A0">
        <w:rPr>
          <w:spacing w:val="-2"/>
          <w:kern w:val="22"/>
          <w:lang w:val="en-GB"/>
        </w:rPr>
        <w:t xml:space="preserve"> were introduced</w:t>
      </w:r>
      <w:r w:rsidR="00E050AE" w:rsidRPr="00FD25A0">
        <w:rPr>
          <w:spacing w:val="-2"/>
          <w:kern w:val="22"/>
          <w:lang w:val="en-GB"/>
        </w:rPr>
        <w:t xml:space="preserve"> w</w:t>
      </w:r>
      <w:r w:rsidRPr="00FD25A0">
        <w:rPr>
          <w:spacing w:val="-2"/>
          <w:kern w:val="22"/>
          <w:lang w:val="en-GB"/>
        </w:rPr>
        <w:t xml:space="preserve">hen </w:t>
      </w:r>
      <w:r w:rsidR="00CF02D7" w:rsidRPr="00FD25A0">
        <w:rPr>
          <w:spacing w:val="-2"/>
          <w:kern w:val="22"/>
          <w:lang w:val="en-GB"/>
        </w:rPr>
        <w:t>the IOA</w:t>
      </w:r>
      <w:r w:rsidR="00E050AE" w:rsidRPr="00FD25A0">
        <w:rPr>
          <w:spacing w:val="-2"/>
          <w:kern w:val="22"/>
          <w:lang w:val="en-GB"/>
        </w:rPr>
        <w:t xml:space="preserve"> </w:t>
      </w:r>
      <w:r w:rsidRPr="00FD25A0">
        <w:rPr>
          <w:spacing w:val="-2"/>
          <w:kern w:val="22"/>
          <w:lang w:val="en-GB"/>
        </w:rPr>
        <w:t>acquired a management consulting contract with Sutter Health</w:t>
      </w:r>
      <w:r w:rsidR="00E050AE" w:rsidRPr="00FD25A0">
        <w:rPr>
          <w:spacing w:val="-2"/>
          <w:kern w:val="22"/>
          <w:lang w:val="en-GB"/>
        </w:rPr>
        <w:t xml:space="preserve">, </w:t>
      </w:r>
      <w:r w:rsidRPr="00FD25A0">
        <w:rPr>
          <w:spacing w:val="-2"/>
          <w:kern w:val="22"/>
          <w:lang w:val="en-GB"/>
        </w:rPr>
        <w:t xml:space="preserve">the largest health system in </w:t>
      </w:r>
      <w:r w:rsidR="00DE2622" w:rsidRPr="00FD25A0">
        <w:rPr>
          <w:spacing w:val="-2"/>
          <w:kern w:val="22"/>
          <w:lang w:val="en-GB"/>
        </w:rPr>
        <w:t>n</w:t>
      </w:r>
      <w:r w:rsidRPr="00FD25A0">
        <w:rPr>
          <w:spacing w:val="-2"/>
          <w:kern w:val="22"/>
          <w:lang w:val="en-GB"/>
        </w:rPr>
        <w:t>orthern California. Over time though, progress was made</w:t>
      </w:r>
      <w:r w:rsidR="003A2B50" w:rsidRPr="00FD25A0">
        <w:rPr>
          <w:spacing w:val="-2"/>
          <w:kern w:val="22"/>
          <w:lang w:val="en-GB"/>
        </w:rPr>
        <w:t>,</w:t>
      </w:r>
      <w:r w:rsidRPr="00FD25A0">
        <w:rPr>
          <w:spacing w:val="-2"/>
          <w:kern w:val="22"/>
          <w:lang w:val="en-GB"/>
        </w:rPr>
        <w:t xml:space="preserve"> as </w:t>
      </w:r>
      <w:r w:rsidR="006F5E22" w:rsidRPr="00FD25A0">
        <w:rPr>
          <w:spacing w:val="-2"/>
          <w:kern w:val="22"/>
          <w:lang w:val="en-GB"/>
        </w:rPr>
        <w:t xml:space="preserve">the </w:t>
      </w:r>
      <w:r w:rsidRPr="00FD25A0">
        <w:rPr>
          <w:spacing w:val="-2"/>
          <w:kern w:val="22"/>
          <w:lang w:val="en-GB"/>
        </w:rPr>
        <w:t xml:space="preserve">IOA demonstrated a capacity for innovation. At </w:t>
      </w:r>
      <w:r w:rsidR="006F5E22" w:rsidRPr="00FD25A0">
        <w:rPr>
          <w:spacing w:val="-2"/>
          <w:kern w:val="22"/>
          <w:lang w:val="en-GB"/>
        </w:rPr>
        <w:t xml:space="preserve">the </w:t>
      </w:r>
      <w:r w:rsidRPr="00FD25A0">
        <w:rPr>
          <w:spacing w:val="-2"/>
          <w:kern w:val="22"/>
          <w:lang w:val="en-GB"/>
        </w:rPr>
        <w:t xml:space="preserve">IOA, new </w:t>
      </w:r>
      <w:r w:rsidRPr="00FD25A0">
        <w:rPr>
          <w:spacing w:val="-2"/>
          <w:kern w:val="22"/>
          <w:lang w:val="en-GB"/>
        </w:rPr>
        <w:lastRenderedPageBreak/>
        <w:t xml:space="preserve">approaches could be implemented and evaluated in a matter of months. This ability gave </w:t>
      </w:r>
      <w:r w:rsidR="006F5E22" w:rsidRPr="00FD25A0">
        <w:rPr>
          <w:spacing w:val="-2"/>
          <w:kern w:val="22"/>
          <w:lang w:val="en-GB"/>
        </w:rPr>
        <w:t xml:space="preserve">the </w:t>
      </w:r>
      <w:r w:rsidRPr="00FD25A0">
        <w:rPr>
          <w:spacing w:val="-2"/>
          <w:kern w:val="22"/>
          <w:lang w:val="en-GB"/>
        </w:rPr>
        <w:t xml:space="preserve">IOA leverage in its negotiations with </w:t>
      </w:r>
      <w:r w:rsidR="00B34B29" w:rsidRPr="00FD25A0">
        <w:rPr>
          <w:spacing w:val="-2"/>
          <w:kern w:val="22"/>
          <w:lang w:val="en-GB"/>
        </w:rPr>
        <w:t>SSI</w:t>
      </w:r>
      <w:r w:rsidRPr="00FD25A0">
        <w:rPr>
          <w:spacing w:val="-2"/>
          <w:kern w:val="22"/>
          <w:lang w:val="en-GB"/>
        </w:rPr>
        <w:t xml:space="preserve">. Instead of a fixed rate per client negotiated annually, </w:t>
      </w:r>
      <w:r w:rsidR="00B34B29" w:rsidRPr="00FD25A0">
        <w:rPr>
          <w:spacing w:val="-2"/>
          <w:kern w:val="22"/>
          <w:lang w:val="en-GB"/>
        </w:rPr>
        <w:t>SSI</w:t>
      </w:r>
      <w:r w:rsidRPr="00FD25A0">
        <w:rPr>
          <w:spacing w:val="-2"/>
          <w:kern w:val="22"/>
          <w:lang w:val="en-GB"/>
        </w:rPr>
        <w:t xml:space="preserve"> agreed to a three-year contract </w:t>
      </w:r>
      <w:r w:rsidR="003A2B50" w:rsidRPr="00FD25A0">
        <w:rPr>
          <w:spacing w:val="-2"/>
          <w:kern w:val="22"/>
          <w:lang w:val="en-GB"/>
        </w:rPr>
        <w:t xml:space="preserve">that </w:t>
      </w:r>
      <w:r w:rsidRPr="00FD25A0">
        <w:rPr>
          <w:spacing w:val="-2"/>
          <w:kern w:val="22"/>
          <w:lang w:val="en-GB"/>
        </w:rPr>
        <w:t xml:space="preserve">aligned the incentives of the two organizations by stipulating that each </w:t>
      </w:r>
      <w:r w:rsidR="00CF02D7" w:rsidRPr="00FD25A0">
        <w:rPr>
          <w:spacing w:val="-2"/>
          <w:kern w:val="22"/>
          <w:lang w:val="en-GB"/>
        </w:rPr>
        <w:t xml:space="preserve">entity </w:t>
      </w:r>
      <w:r w:rsidRPr="00FD25A0">
        <w:rPr>
          <w:spacing w:val="-2"/>
          <w:kern w:val="22"/>
          <w:lang w:val="en-GB"/>
        </w:rPr>
        <w:t xml:space="preserve">receive a portion of the capitated revenue earned. </w:t>
      </w:r>
      <w:r w:rsidR="006F5E22" w:rsidRPr="00FD25A0">
        <w:rPr>
          <w:spacing w:val="-2"/>
          <w:kern w:val="22"/>
          <w:lang w:val="en-GB"/>
        </w:rPr>
        <w:t xml:space="preserve">The </w:t>
      </w:r>
      <w:r w:rsidRPr="00FD25A0">
        <w:rPr>
          <w:spacing w:val="-2"/>
          <w:kern w:val="22"/>
          <w:lang w:val="en-GB"/>
        </w:rPr>
        <w:t xml:space="preserve">IOA and </w:t>
      </w:r>
      <w:r w:rsidR="00B34B29" w:rsidRPr="00FD25A0">
        <w:rPr>
          <w:spacing w:val="-2"/>
          <w:kern w:val="22"/>
          <w:lang w:val="en-GB"/>
        </w:rPr>
        <w:t>SSI</w:t>
      </w:r>
      <w:r w:rsidR="00B34B29" w:rsidRPr="00FD25A0" w:rsidDel="00402B19">
        <w:rPr>
          <w:spacing w:val="-2"/>
          <w:kern w:val="22"/>
          <w:lang w:val="en-GB"/>
        </w:rPr>
        <w:t xml:space="preserve"> </w:t>
      </w:r>
      <w:r w:rsidRPr="00FD25A0">
        <w:rPr>
          <w:spacing w:val="-2"/>
          <w:kern w:val="22"/>
          <w:lang w:val="en-GB"/>
        </w:rPr>
        <w:t>also developed joint marketing campaigns to attract more PACE clients</w:t>
      </w:r>
      <w:r w:rsidRPr="007F62B6">
        <w:rPr>
          <w:lang w:val="en-GB"/>
        </w:rPr>
        <w:t>.</w:t>
      </w:r>
    </w:p>
    <w:p w14:paraId="09357B45" w14:textId="77777777" w:rsidR="003A2B50" w:rsidRPr="00FD25A0" w:rsidRDefault="003A2B50" w:rsidP="00A6242C">
      <w:pPr>
        <w:pStyle w:val="BodyTextMain"/>
        <w:rPr>
          <w:sz w:val="20"/>
          <w:szCs w:val="20"/>
          <w:lang w:val="en-GB"/>
        </w:rPr>
      </w:pPr>
    </w:p>
    <w:p w14:paraId="4C9974B9" w14:textId="3CFAE517" w:rsidR="00F35080" w:rsidRPr="007F62B6" w:rsidRDefault="00F35080" w:rsidP="00A6242C">
      <w:pPr>
        <w:pStyle w:val="BodyTextMain"/>
        <w:rPr>
          <w:lang w:val="en-GB"/>
        </w:rPr>
      </w:pPr>
      <w:r w:rsidRPr="007F62B6">
        <w:rPr>
          <w:lang w:val="en-GB"/>
        </w:rPr>
        <w:t xml:space="preserve">In the community living services division, stimulating growth meant landing contracts with health plans operating in </w:t>
      </w:r>
      <w:r w:rsidR="003A2B50">
        <w:rPr>
          <w:lang w:val="en-GB"/>
        </w:rPr>
        <w:t>various</w:t>
      </w:r>
      <w:r w:rsidR="003A2B50" w:rsidRPr="007F62B6">
        <w:rPr>
          <w:lang w:val="en-GB"/>
        </w:rPr>
        <w:t xml:space="preserve"> </w:t>
      </w:r>
      <w:r w:rsidRPr="007F62B6">
        <w:rPr>
          <w:lang w:val="en-GB"/>
        </w:rPr>
        <w:t xml:space="preserve">counties throughout California. The cost savings </w:t>
      </w:r>
      <w:r w:rsidR="006F5E22">
        <w:rPr>
          <w:lang w:val="en-GB"/>
        </w:rPr>
        <w:t xml:space="preserve">the </w:t>
      </w:r>
      <w:r w:rsidRPr="007F62B6">
        <w:rPr>
          <w:lang w:val="en-GB"/>
        </w:rPr>
        <w:t>IOA had generated for San Francisco caught the attention of the Health Plan of San Mateo</w:t>
      </w:r>
      <w:r w:rsidR="00E050AE">
        <w:rPr>
          <w:lang w:val="en-GB"/>
        </w:rPr>
        <w:t>, which</w:t>
      </w:r>
      <w:r w:rsidRPr="007F62B6">
        <w:rPr>
          <w:lang w:val="en-GB"/>
        </w:rPr>
        <w:t xml:space="preserve"> decided to conduct a pilot for a new Community Living Program (CLP). Planning for the San Mateo CLP began in May 2012</w:t>
      </w:r>
      <w:r w:rsidR="003A2B50">
        <w:rPr>
          <w:lang w:val="en-GB"/>
        </w:rPr>
        <w:t>, and</w:t>
      </w:r>
      <w:r w:rsidRPr="007F62B6">
        <w:rPr>
          <w:lang w:val="en-GB"/>
        </w:rPr>
        <w:t xml:space="preserve"> </w:t>
      </w:r>
      <w:r w:rsidR="003A2B50">
        <w:rPr>
          <w:lang w:val="en-GB"/>
        </w:rPr>
        <w:t>t</w:t>
      </w:r>
      <w:r w:rsidRPr="007F62B6">
        <w:rPr>
          <w:lang w:val="en-GB"/>
        </w:rPr>
        <w:t xml:space="preserve">he program was launched in October 2014. Within the first 32 months, </w:t>
      </w:r>
      <w:r w:rsidR="006F5E22">
        <w:rPr>
          <w:lang w:val="en-GB"/>
        </w:rPr>
        <w:t xml:space="preserve">the </w:t>
      </w:r>
      <w:r w:rsidRPr="007F62B6">
        <w:rPr>
          <w:lang w:val="en-GB"/>
        </w:rPr>
        <w:t>IOA transitioned or diverted 150 individuals from nursing homes to their own homes. Participant satisfaction was high</w:t>
      </w:r>
      <w:r w:rsidR="003A2B50">
        <w:rPr>
          <w:lang w:val="en-GB"/>
        </w:rPr>
        <w:t>,</w:t>
      </w:r>
      <w:r w:rsidRPr="007F62B6">
        <w:rPr>
          <w:lang w:val="en-GB"/>
        </w:rPr>
        <w:t xml:space="preserve"> with 90</w:t>
      </w:r>
      <w:r w:rsidR="003050C7" w:rsidRPr="007F62B6">
        <w:rPr>
          <w:lang w:val="en-GB"/>
        </w:rPr>
        <w:t xml:space="preserve"> per cent</w:t>
      </w:r>
      <w:r w:rsidRPr="007F62B6">
        <w:rPr>
          <w:lang w:val="en-GB"/>
        </w:rPr>
        <w:t xml:space="preserve"> reporting they would recommend the program to others</w:t>
      </w:r>
      <w:r w:rsidR="00E050AE">
        <w:rPr>
          <w:lang w:val="en-GB"/>
        </w:rPr>
        <w:t>,</w:t>
      </w:r>
      <w:r w:rsidRPr="007F62B6">
        <w:rPr>
          <w:lang w:val="en-GB"/>
        </w:rPr>
        <w:t xml:space="preserve"> and 85 per cent claiming </w:t>
      </w:r>
      <w:r w:rsidR="00E42892">
        <w:rPr>
          <w:lang w:val="en-GB"/>
        </w:rPr>
        <w:t>the program had</w:t>
      </w:r>
      <w:r w:rsidR="00E42892" w:rsidRPr="007F62B6">
        <w:rPr>
          <w:lang w:val="en-GB"/>
        </w:rPr>
        <w:t xml:space="preserve"> </w:t>
      </w:r>
      <w:r w:rsidRPr="007F62B6">
        <w:rPr>
          <w:lang w:val="en-GB"/>
        </w:rPr>
        <w:t xml:space="preserve">maintained or improved their quality of life. Utilization data showed that the cost savings were substantial. Impressed by the outcomes, the CEO of the Health Plan of San Mateo expanded the program. She also became an advocate for </w:t>
      </w:r>
      <w:r w:rsidR="006F5E22">
        <w:rPr>
          <w:lang w:val="en-GB"/>
        </w:rPr>
        <w:t xml:space="preserve">the </w:t>
      </w:r>
      <w:r w:rsidRPr="007F62B6">
        <w:rPr>
          <w:lang w:val="en-GB"/>
        </w:rPr>
        <w:t>IOA and made introductions to the heads of health plans throughout California.</w:t>
      </w:r>
    </w:p>
    <w:p w14:paraId="361FBD1E" w14:textId="77777777" w:rsidR="00F35080" w:rsidRPr="00FD25A0" w:rsidRDefault="00F35080" w:rsidP="00F35080">
      <w:pPr>
        <w:ind w:firstLine="360"/>
        <w:rPr>
          <w:lang w:val="en-GB"/>
        </w:rPr>
      </w:pPr>
    </w:p>
    <w:p w14:paraId="7AA6EE8D" w14:textId="77777777" w:rsidR="00F35080" w:rsidRPr="00FD25A0" w:rsidRDefault="00F35080" w:rsidP="00F35080">
      <w:pPr>
        <w:ind w:firstLine="360"/>
        <w:rPr>
          <w:lang w:val="en-GB"/>
        </w:rPr>
      </w:pPr>
    </w:p>
    <w:p w14:paraId="711AA270" w14:textId="77777777" w:rsidR="00F35080" w:rsidRPr="007F62B6" w:rsidRDefault="00F35080" w:rsidP="00A6242C">
      <w:pPr>
        <w:pStyle w:val="Casehead2"/>
        <w:rPr>
          <w:lang w:val="en-GB"/>
        </w:rPr>
      </w:pPr>
      <w:r w:rsidRPr="007F62B6">
        <w:rPr>
          <w:lang w:val="en-GB"/>
        </w:rPr>
        <w:t>Operating Efficiency</w:t>
      </w:r>
    </w:p>
    <w:p w14:paraId="25D68F69" w14:textId="77777777" w:rsidR="00F35080" w:rsidRPr="00FD25A0" w:rsidRDefault="00F35080" w:rsidP="00F35080">
      <w:pPr>
        <w:ind w:firstLine="360"/>
        <w:rPr>
          <w:lang w:val="en-GB"/>
        </w:rPr>
      </w:pPr>
    </w:p>
    <w:p w14:paraId="33487833" w14:textId="45C6C6B2" w:rsidR="00F35080" w:rsidRPr="007F62B6" w:rsidRDefault="00F35080" w:rsidP="00A6242C">
      <w:pPr>
        <w:pStyle w:val="BodyTextMain"/>
        <w:rPr>
          <w:lang w:val="en-GB"/>
        </w:rPr>
      </w:pPr>
      <w:r w:rsidRPr="001F75EE">
        <w:rPr>
          <w:spacing w:val="-2"/>
          <w:kern w:val="22"/>
          <w:lang w:val="en-GB"/>
        </w:rPr>
        <w:t xml:space="preserve">Traditionally, </w:t>
      </w:r>
      <w:r w:rsidR="006F5E22" w:rsidRPr="001F75EE">
        <w:rPr>
          <w:spacing w:val="-2"/>
          <w:kern w:val="22"/>
          <w:lang w:val="en-GB"/>
        </w:rPr>
        <w:t xml:space="preserve">the </w:t>
      </w:r>
      <w:r w:rsidRPr="001F75EE">
        <w:rPr>
          <w:spacing w:val="-2"/>
          <w:kern w:val="22"/>
          <w:lang w:val="en-GB"/>
        </w:rPr>
        <w:t>IOA had funnel</w:t>
      </w:r>
      <w:r w:rsidR="00E42892" w:rsidRPr="001F75EE">
        <w:rPr>
          <w:spacing w:val="-2"/>
          <w:kern w:val="22"/>
          <w:lang w:val="en-GB"/>
        </w:rPr>
        <w:t>l</w:t>
      </w:r>
      <w:r w:rsidRPr="001F75EE">
        <w:rPr>
          <w:spacing w:val="-2"/>
          <w:kern w:val="22"/>
          <w:lang w:val="en-GB"/>
        </w:rPr>
        <w:t xml:space="preserve">ed the majority of the funds it raised directly into services. Major resources had never been allocated to an enterprise-wide information system. As a result, health records were not shared across programs. </w:t>
      </w:r>
      <w:r w:rsidR="006F5E22" w:rsidRPr="001F75EE">
        <w:rPr>
          <w:spacing w:val="-2"/>
          <w:kern w:val="22"/>
          <w:lang w:val="en-GB"/>
        </w:rPr>
        <w:t>The IOA</w:t>
      </w:r>
      <w:r w:rsidR="00E42892" w:rsidRPr="001F75EE">
        <w:rPr>
          <w:spacing w:val="-2"/>
          <w:kern w:val="22"/>
          <w:lang w:val="en-GB"/>
        </w:rPr>
        <w:t xml:space="preserve"> had </w:t>
      </w:r>
      <w:r w:rsidRPr="001F75EE">
        <w:rPr>
          <w:spacing w:val="-2"/>
          <w:kern w:val="22"/>
          <w:lang w:val="en-GB"/>
        </w:rPr>
        <w:t xml:space="preserve">separate systems for accounts receivable </w:t>
      </w:r>
      <w:r w:rsidR="00E42892" w:rsidRPr="001F75EE">
        <w:rPr>
          <w:spacing w:val="-2"/>
          <w:kern w:val="22"/>
          <w:lang w:val="en-GB"/>
        </w:rPr>
        <w:t xml:space="preserve">and </w:t>
      </w:r>
      <w:r w:rsidRPr="001F75EE">
        <w:rPr>
          <w:spacing w:val="-2"/>
          <w:kern w:val="22"/>
          <w:lang w:val="en-GB"/>
        </w:rPr>
        <w:t xml:space="preserve">separate systems for payroll, and </w:t>
      </w:r>
      <w:r w:rsidR="00E42892" w:rsidRPr="001F75EE">
        <w:rPr>
          <w:spacing w:val="-2"/>
          <w:kern w:val="22"/>
          <w:lang w:val="en-GB"/>
        </w:rPr>
        <w:t xml:space="preserve">the common </w:t>
      </w:r>
      <w:r w:rsidRPr="001F75EE">
        <w:rPr>
          <w:spacing w:val="-2"/>
          <w:kern w:val="22"/>
          <w:lang w:val="en-GB"/>
        </w:rPr>
        <w:t xml:space="preserve">view among the staff </w:t>
      </w:r>
      <w:r w:rsidR="00E42892" w:rsidRPr="001F75EE">
        <w:rPr>
          <w:spacing w:val="-2"/>
          <w:kern w:val="22"/>
          <w:lang w:val="en-GB"/>
        </w:rPr>
        <w:t xml:space="preserve">was </w:t>
      </w:r>
      <w:r w:rsidRPr="001F75EE">
        <w:rPr>
          <w:spacing w:val="-2"/>
          <w:kern w:val="22"/>
          <w:lang w:val="en-GB"/>
        </w:rPr>
        <w:t>that financial matters were none of their business. “Cash flow, P&amp;L</w:t>
      </w:r>
      <w:r w:rsidR="001777CD" w:rsidRPr="001F75EE">
        <w:rPr>
          <w:spacing w:val="-2"/>
          <w:kern w:val="22"/>
          <w:lang w:val="en-GB"/>
        </w:rPr>
        <w:t xml:space="preserve"> [profit and loss]</w:t>
      </w:r>
      <w:r w:rsidRPr="001F75EE">
        <w:rPr>
          <w:spacing w:val="-2"/>
          <w:kern w:val="22"/>
          <w:lang w:val="en-GB"/>
        </w:rPr>
        <w:t>, forecast,” said one employee, “</w:t>
      </w:r>
      <w:proofErr w:type="gramStart"/>
      <w:r w:rsidRPr="001F75EE">
        <w:rPr>
          <w:spacing w:val="-2"/>
          <w:kern w:val="22"/>
          <w:lang w:val="en-GB"/>
        </w:rPr>
        <w:t>those</w:t>
      </w:r>
      <w:proofErr w:type="gramEnd"/>
      <w:r w:rsidRPr="001F75EE">
        <w:rPr>
          <w:spacing w:val="-2"/>
          <w:kern w:val="22"/>
          <w:lang w:val="en-GB"/>
        </w:rPr>
        <w:t xml:space="preserve"> words weren’t in my vernacular</w:t>
      </w:r>
      <w:r w:rsidRPr="007F62B6">
        <w:rPr>
          <w:lang w:val="en-GB"/>
        </w:rPr>
        <w:t>.”</w:t>
      </w:r>
    </w:p>
    <w:p w14:paraId="7E381A2F" w14:textId="77777777" w:rsidR="00F35080" w:rsidRPr="00FD25A0" w:rsidRDefault="00F35080" w:rsidP="00A6242C">
      <w:pPr>
        <w:pStyle w:val="BodyTextMain"/>
        <w:rPr>
          <w:sz w:val="20"/>
          <w:szCs w:val="20"/>
          <w:lang w:val="en-GB"/>
        </w:rPr>
      </w:pPr>
    </w:p>
    <w:p w14:paraId="49517F39" w14:textId="6A9269E1" w:rsidR="00F35080" w:rsidRPr="007F62B6" w:rsidRDefault="00F35080" w:rsidP="00A6242C">
      <w:pPr>
        <w:pStyle w:val="BodyTextMain"/>
        <w:rPr>
          <w:lang w:val="en-GB"/>
        </w:rPr>
      </w:pPr>
      <w:proofErr w:type="spellStart"/>
      <w:r w:rsidRPr="007F62B6">
        <w:rPr>
          <w:lang w:val="en-GB"/>
        </w:rPr>
        <w:t>Briody</w:t>
      </w:r>
      <w:proofErr w:type="spellEnd"/>
      <w:r w:rsidRPr="007F62B6">
        <w:rPr>
          <w:lang w:val="en-GB"/>
        </w:rPr>
        <w:t xml:space="preserve"> and Blades sought to change this</w:t>
      </w:r>
      <w:r w:rsidR="00525812">
        <w:rPr>
          <w:lang w:val="en-GB"/>
        </w:rPr>
        <w:t xml:space="preserve"> situation</w:t>
      </w:r>
      <w:r w:rsidRPr="007F62B6">
        <w:rPr>
          <w:lang w:val="en-GB"/>
        </w:rPr>
        <w:t xml:space="preserve">. In 2012, </w:t>
      </w:r>
      <w:proofErr w:type="spellStart"/>
      <w:r w:rsidRPr="007F62B6">
        <w:rPr>
          <w:lang w:val="en-GB"/>
        </w:rPr>
        <w:t>Briody</w:t>
      </w:r>
      <w:proofErr w:type="spellEnd"/>
      <w:r w:rsidRPr="007F62B6">
        <w:rPr>
          <w:lang w:val="en-GB"/>
        </w:rPr>
        <w:t xml:space="preserve"> approached one of the original foundations that had established </w:t>
      </w:r>
      <w:r w:rsidR="006F5E22">
        <w:rPr>
          <w:lang w:val="en-GB"/>
        </w:rPr>
        <w:t xml:space="preserve">the </w:t>
      </w:r>
      <w:r w:rsidRPr="007F62B6">
        <w:rPr>
          <w:lang w:val="en-GB"/>
        </w:rPr>
        <w:t xml:space="preserve">IOA and obtained a sizable grant to improve organizational infrastructure. Using these funds, </w:t>
      </w:r>
      <w:r w:rsidR="006F5E22">
        <w:rPr>
          <w:lang w:val="en-GB"/>
        </w:rPr>
        <w:t xml:space="preserve">the </w:t>
      </w:r>
      <w:r w:rsidRPr="007F62B6">
        <w:rPr>
          <w:lang w:val="en-GB"/>
        </w:rPr>
        <w:t xml:space="preserve">IOA installed </w:t>
      </w:r>
      <w:proofErr w:type="spellStart"/>
      <w:r w:rsidRPr="007F62B6">
        <w:rPr>
          <w:lang w:val="en-GB"/>
        </w:rPr>
        <w:t>Procura</w:t>
      </w:r>
      <w:proofErr w:type="spellEnd"/>
      <w:r w:rsidR="00525812">
        <w:rPr>
          <w:lang w:val="en-GB"/>
        </w:rPr>
        <w:t>, a</w:t>
      </w:r>
      <w:r w:rsidRPr="007F62B6">
        <w:rPr>
          <w:lang w:val="en-GB"/>
        </w:rPr>
        <w:t xml:space="preserve"> system </w:t>
      </w:r>
      <w:r w:rsidR="00525812">
        <w:rPr>
          <w:lang w:val="en-GB"/>
        </w:rPr>
        <w:t xml:space="preserve">that </w:t>
      </w:r>
      <w:r w:rsidRPr="007F62B6">
        <w:rPr>
          <w:lang w:val="en-GB"/>
        </w:rPr>
        <w:t xml:space="preserve">standardized medical and billing records, made client information accessible to all programs, and provided the analytics needed to identify cost-effective strategies for improving patient outcomes. </w:t>
      </w:r>
    </w:p>
    <w:p w14:paraId="568A9B2D" w14:textId="77777777" w:rsidR="00F35080" w:rsidRPr="00FD25A0" w:rsidRDefault="00F35080" w:rsidP="00A6242C">
      <w:pPr>
        <w:pStyle w:val="BodyTextMain"/>
        <w:rPr>
          <w:sz w:val="20"/>
          <w:szCs w:val="20"/>
          <w:lang w:val="en-GB"/>
        </w:rPr>
      </w:pPr>
    </w:p>
    <w:p w14:paraId="1E6FF5A6" w14:textId="011B5149" w:rsidR="00F35080" w:rsidRPr="007F62B6" w:rsidRDefault="00F35080" w:rsidP="00A6242C">
      <w:pPr>
        <w:pStyle w:val="BodyTextMain"/>
        <w:rPr>
          <w:lang w:val="en-GB"/>
        </w:rPr>
      </w:pPr>
      <w:r w:rsidRPr="007F62B6">
        <w:rPr>
          <w:lang w:val="en-GB"/>
        </w:rPr>
        <w:t xml:space="preserve">Equipped with these new tools, Blades began to shift </w:t>
      </w:r>
      <w:r w:rsidR="006F5E22">
        <w:rPr>
          <w:lang w:val="en-GB"/>
        </w:rPr>
        <w:t xml:space="preserve">the </w:t>
      </w:r>
      <w:r w:rsidR="00525812">
        <w:rPr>
          <w:lang w:val="en-GB"/>
        </w:rPr>
        <w:t xml:space="preserve">IOA’s </w:t>
      </w:r>
      <w:r w:rsidRPr="007F62B6">
        <w:rPr>
          <w:lang w:val="en-GB"/>
        </w:rPr>
        <w:t xml:space="preserve">financial targets. She documented the revenue streams and emphasized net income over gross revenue (see </w:t>
      </w:r>
      <w:r w:rsidRPr="007F62B6">
        <w:rPr>
          <w:iCs/>
          <w:lang w:val="en-GB"/>
        </w:rPr>
        <w:t>Exhibit 7</w:t>
      </w:r>
      <w:r w:rsidRPr="007F62B6">
        <w:rPr>
          <w:lang w:val="en-GB"/>
        </w:rPr>
        <w:t xml:space="preserve">). She held monthly meetings with </w:t>
      </w:r>
      <w:r w:rsidR="006F5E22">
        <w:rPr>
          <w:lang w:val="en-GB"/>
        </w:rPr>
        <w:t xml:space="preserve">the </w:t>
      </w:r>
      <w:r w:rsidRPr="007F62B6">
        <w:rPr>
          <w:lang w:val="en-GB"/>
        </w:rPr>
        <w:t xml:space="preserve">IOA managers to review and explain financial metrics. </w:t>
      </w:r>
      <w:r w:rsidR="004D2B5A">
        <w:rPr>
          <w:lang w:val="en-GB"/>
        </w:rPr>
        <w:t>Her</w:t>
      </w:r>
      <w:r w:rsidR="004D2B5A" w:rsidRPr="007F62B6">
        <w:rPr>
          <w:lang w:val="en-GB"/>
        </w:rPr>
        <w:t xml:space="preserve"> </w:t>
      </w:r>
      <w:r w:rsidRPr="007F62B6">
        <w:rPr>
          <w:lang w:val="en-GB"/>
        </w:rPr>
        <w:t xml:space="preserve">recurring refrain to the staff was to “take off the social worker hat, take off the advocacy hat—wear your management hat for </w:t>
      </w:r>
      <w:r w:rsidR="006F5E22">
        <w:rPr>
          <w:lang w:val="en-GB"/>
        </w:rPr>
        <w:t xml:space="preserve">[the] </w:t>
      </w:r>
      <w:r w:rsidRPr="007F62B6">
        <w:rPr>
          <w:lang w:val="en-GB"/>
        </w:rPr>
        <w:t>IOA.”</w:t>
      </w:r>
    </w:p>
    <w:p w14:paraId="482FB526" w14:textId="77777777" w:rsidR="00F35080" w:rsidRPr="00FD25A0" w:rsidRDefault="00F35080" w:rsidP="00A6242C">
      <w:pPr>
        <w:pStyle w:val="BodyTextMain"/>
        <w:rPr>
          <w:sz w:val="20"/>
          <w:szCs w:val="20"/>
          <w:lang w:val="en-GB"/>
        </w:rPr>
      </w:pPr>
    </w:p>
    <w:p w14:paraId="2412B6AC" w14:textId="1C01501E" w:rsidR="00F35080" w:rsidRPr="00FD25A0" w:rsidRDefault="00F35080" w:rsidP="00FD25A0">
      <w:pPr>
        <w:pStyle w:val="BodyTextMain"/>
        <w:rPr>
          <w:lang w:val="en-GB"/>
        </w:rPr>
      </w:pPr>
      <w:r w:rsidRPr="007F62B6">
        <w:rPr>
          <w:lang w:val="en-GB"/>
        </w:rPr>
        <w:t xml:space="preserve">While Blades focused on reforming finances, Scott standardized </w:t>
      </w:r>
      <w:r w:rsidR="004D2B5A">
        <w:rPr>
          <w:lang w:val="en-GB"/>
        </w:rPr>
        <w:t xml:space="preserve">the IOA’s </w:t>
      </w:r>
      <w:r w:rsidRPr="007F62B6">
        <w:rPr>
          <w:lang w:val="en-GB"/>
        </w:rPr>
        <w:t xml:space="preserve">human resource procedures. In 2012, </w:t>
      </w:r>
      <w:r w:rsidR="006F5E22">
        <w:rPr>
          <w:lang w:val="en-GB"/>
        </w:rPr>
        <w:t xml:space="preserve">the </w:t>
      </w:r>
      <w:r w:rsidR="00525812">
        <w:rPr>
          <w:lang w:val="en-GB"/>
        </w:rPr>
        <w:t>IOA’s</w:t>
      </w:r>
      <w:r w:rsidR="00525812" w:rsidRPr="007F62B6">
        <w:rPr>
          <w:lang w:val="en-GB"/>
        </w:rPr>
        <w:t xml:space="preserve"> </w:t>
      </w:r>
      <w:r w:rsidRPr="007F62B6">
        <w:rPr>
          <w:lang w:val="en-GB"/>
        </w:rPr>
        <w:t xml:space="preserve">various service lines had separate hiring protocols and </w:t>
      </w:r>
      <w:proofErr w:type="spellStart"/>
      <w:r w:rsidRPr="007F62B6">
        <w:rPr>
          <w:lang w:val="en-GB"/>
        </w:rPr>
        <w:t>onboarding</w:t>
      </w:r>
      <w:proofErr w:type="spellEnd"/>
      <w:r w:rsidRPr="007F62B6">
        <w:rPr>
          <w:lang w:val="en-GB"/>
        </w:rPr>
        <w:t xml:space="preserve"> practices. Some even had their own employee handbooks. To improve efficiency, Scott established contracts with vendors </w:t>
      </w:r>
      <w:r w:rsidR="00525812">
        <w:rPr>
          <w:lang w:val="en-GB"/>
        </w:rPr>
        <w:t>such as</w:t>
      </w:r>
      <w:r w:rsidR="00525812" w:rsidRPr="007F62B6">
        <w:rPr>
          <w:lang w:val="en-GB"/>
        </w:rPr>
        <w:t xml:space="preserve"> </w:t>
      </w:r>
      <w:proofErr w:type="spellStart"/>
      <w:r w:rsidR="00402B19" w:rsidRPr="007F62B6">
        <w:rPr>
          <w:lang w:val="en-GB"/>
        </w:rPr>
        <w:t>SeniorCare</w:t>
      </w:r>
      <w:proofErr w:type="spellEnd"/>
      <w:r w:rsidR="00402B19" w:rsidRPr="007F62B6">
        <w:rPr>
          <w:lang w:val="en-GB"/>
        </w:rPr>
        <w:t xml:space="preserve"> Staffing</w:t>
      </w:r>
      <w:r w:rsidRPr="007F62B6">
        <w:rPr>
          <w:lang w:val="en-GB"/>
        </w:rPr>
        <w:t xml:space="preserve"> to handle employee recruitment. He created a single handbook for all IOA employees. He switched</w:t>
      </w:r>
      <w:r w:rsidR="00CF02D7">
        <w:rPr>
          <w:lang w:val="en-GB"/>
        </w:rPr>
        <w:t xml:space="preserve"> the</w:t>
      </w:r>
      <w:r w:rsidRPr="007F62B6">
        <w:rPr>
          <w:lang w:val="en-GB"/>
        </w:rPr>
        <w:t xml:space="preserve"> IOA’s outdated Ceridian payroll system to a modern ADP system. In time, </w:t>
      </w:r>
      <w:r w:rsidR="006F5E22">
        <w:rPr>
          <w:lang w:val="en-GB"/>
        </w:rPr>
        <w:t xml:space="preserve">the </w:t>
      </w:r>
      <w:r w:rsidR="00525812">
        <w:rPr>
          <w:lang w:val="en-GB"/>
        </w:rPr>
        <w:t>IOA’s</w:t>
      </w:r>
      <w:r w:rsidR="00525812" w:rsidRPr="007F62B6">
        <w:rPr>
          <w:lang w:val="en-GB"/>
        </w:rPr>
        <w:t xml:space="preserve"> </w:t>
      </w:r>
      <w:r w:rsidRPr="007F62B6">
        <w:rPr>
          <w:lang w:val="en-GB"/>
        </w:rPr>
        <w:t xml:space="preserve">operational </w:t>
      </w:r>
      <w:r w:rsidR="00525812" w:rsidRPr="007F62B6">
        <w:rPr>
          <w:lang w:val="en-GB"/>
        </w:rPr>
        <w:t>redundanc</w:t>
      </w:r>
      <w:r w:rsidR="00525812">
        <w:rPr>
          <w:lang w:val="en-GB"/>
        </w:rPr>
        <w:t>ies</w:t>
      </w:r>
      <w:r w:rsidR="00525812" w:rsidRPr="007F62B6">
        <w:rPr>
          <w:lang w:val="en-GB"/>
        </w:rPr>
        <w:t xml:space="preserve"> </w:t>
      </w:r>
      <w:r w:rsidRPr="007F62B6">
        <w:rPr>
          <w:lang w:val="en-GB"/>
        </w:rPr>
        <w:t>began to shrink.</w:t>
      </w:r>
    </w:p>
    <w:p w14:paraId="7CF6BB19" w14:textId="77777777" w:rsidR="00F35080" w:rsidRPr="00FD25A0" w:rsidRDefault="00F35080" w:rsidP="00F35080">
      <w:pPr>
        <w:rPr>
          <w:lang w:val="en-GB"/>
        </w:rPr>
      </w:pPr>
    </w:p>
    <w:p w14:paraId="249C51F8" w14:textId="77777777" w:rsidR="00FD25A0" w:rsidRPr="00FD25A0" w:rsidRDefault="00FD25A0" w:rsidP="00F35080">
      <w:pPr>
        <w:rPr>
          <w:lang w:val="en-GB"/>
        </w:rPr>
      </w:pPr>
    </w:p>
    <w:p w14:paraId="2074AD63" w14:textId="77777777" w:rsidR="00F35080" w:rsidRPr="007F62B6" w:rsidRDefault="00F35080" w:rsidP="00A6242C">
      <w:pPr>
        <w:pStyle w:val="Casehead2"/>
        <w:rPr>
          <w:lang w:val="en-GB"/>
        </w:rPr>
      </w:pPr>
      <w:r w:rsidRPr="007F62B6">
        <w:rPr>
          <w:lang w:val="en-GB"/>
        </w:rPr>
        <w:t>Fundraising</w:t>
      </w:r>
    </w:p>
    <w:p w14:paraId="372C79D2" w14:textId="77777777" w:rsidR="00F35080" w:rsidRPr="00FD25A0" w:rsidRDefault="00F35080" w:rsidP="00F35080">
      <w:pPr>
        <w:rPr>
          <w:lang w:val="en-GB"/>
        </w:rPr>
      </w:pPr>
    </w:p>
    <w:p w14:paraId="404A3260" w14:textId="52585896" w:rsidR="00F35080" w:rsidRPr="007F62B6" w:rsidRDefault="00F35080" w:rsidP="00A6242C">
      <w:pPr>
        <w:pStyle w:val="BodyTextMain"/>
        <w:rPr>
          <w:lang w:val="en-GB"/>
        </w:rPr>
      </w:pPr>
      <w:r w:rsidRPr="007F62B6">
        <w:rPr>
          <w:lang w:val="en-GB"/>
        </w:rPr>
        <w:t xml:space="preserve">As Blades and Scott streamlined internal operations, </w:t>
      </w:r>
      <w:proofErr w:type="spellStart"/>
      <w:r w:rsidRPr="007F62B6">
        <w:rPr>
          <w:lang w:val="en-GB"/>
        </w:rPr>
        <w:t>Briody</w:t>
      </w:r>
      <w:proofErr w:type="spellEnd"/>
      <w:r w:rsidRPr="007F62B6">
        <w:rPr>
          <w:lang w:val="en-GB"/>
        </w:rPr>
        <w:t xml:space="preserve"> tackled </w:t>
      </w:r>
      <w:r w:rsidR="006F5E22">
        <w:rPr>
          <w:lang w:val="en-GB"/>
        </w:rPr>
        <w:t xml:space="preserve">the </w:t>
      </w:r>
      <w:r w:rsidRPr="007F62B6">
        <w:rPr>
          <w:lang w:val="en-GB"/>
        </w:rPr>
        <w:t xml:space="preserve">IOA’s fundraising challenges. Before </w:t>
      </w:r>
      <w:proofErr w:type="spellStart"/>
      <w:r w:rsidRPr="007F62B6">
        <w:rPr>
          <w:lang w:val="en-GB"/>
        </w:rPr>
        <w:t>Briody</w:t>
      </w:r>
      <w:proofErr w:type="spellEnd"/>
      <w:r w:rsidRPr="007F62B6">
        <w:rPr>
          <w:lang w:val="en-GB"/>
        </w:rPr>
        <w:t xml:space="preserve"> was appointed CEO, the board had fired the development team. A consultant was brought in to keep things afloat, but in 2012 </w:t>
      </w:r>
      <w:r w:rsidR="006F5E22">
        <w:rPr>
          <w:lang w:val="en-GB"/>
        </w:rPr>
        <w:t xml:space="preserve">the </w:t>
      </w:r>
      <w:r w:rsidRPr="007F62B6">
        <w:rPr>
          <w:lang w:val="en-GB"/>
        </w:rPr>
        <w:t xml:space="preserve">IOA raised only $904,009. </w:t>
      </w:r>
      <w:proofErr w:type="spellStart"/>
      <w:r w:rsidRPr="007F62B6">
        <w:rPr>
          <w:lang w:val="en-GB"/>
        </w:rPr>
        <w:t>Briody</w:t>
      </w:r>
      <w:proofErr w:type="spellEnd"/>
      <w:r w:rsidRPr="007F62B6">
        <w:rPr>
          <w:lang w:val="en-GB"/>
        </w:rPr>
        <w:t xml:space="preserve"> wanted to increase </w:t>
      </w:r>
      <w:r w:rsidR="00525812">
        <w:rPr>
          <w:lang w:val="en-GB"/>
        </w:rPr>
        <w:t>the fundraising</w:t>
      </w:r>
      <w:r w:rsidR="00525812" w:rsidRPr="007F62B6">
        <w:rPr>
          <w:lang w:val="en-GB"/>
        </w:rPr>
        <w:t xml:space="preserve"> </w:t>
      </w:r>
      <w:r w:rsidRPr="007F62B6">
        <w:rPr>
          <w:lang w:val="en-GB"/>
        </w:rPr>
        <w:t xml:space="preserve">to $3.1 million by 2018. He thought he had found the solution when he hired a new </w:t>
      </w:r>
      <w:r w:rsidR="00525812">
        <w:rPr>
          <w:lang w:val="en-GB"/>
        </w:rPr>
        <w:t>c</w:t>
      </w:r>
      <w:r w:rsidRPr="007F62B6">
        <w:rPr>
          <w:lang w:val="en-GB"/>
        </w:rPr>
        <w:t xml:space="preserve">hief </w:t>
      </w:r>
      <w:r w:rsidR="00525812">
        <w:rPr>
          <w:lang w:val="en-GB"/>
        </w:rPr>
        <w:t>d</w:t>
      </w:r>
      <w:r w:rsidRPr="007F62B6">
        <w:rPr>
          <w:lang w:val="en-GB"/>
        </w:rPr>
        <w:t xml:space="preserve">evelopment </w:t>
      </w:r>
      <w:r w:rsidR="00525812">
        <w:rPr>
          <w:lang w:val="en-GB"/>
        </w:rPr>
        <w:lastRenderedPageBreak/>
        <w:t>o</w:t>
      </w:r>
      <w:r w:rsidRPr="007F62B6">
        <w:rPr>
          <w:lang w:val="en-GB"/>
        </w:rPr>
        <w:t>fficer (CDO). However, the job proved to be too overwhelming. A few months into her tenure, the CDO was scheduled to join home</w:t>
      </w:r>
      <w:r w:rsidR="00873736">
        <w:rPr>
          <w:lang w:val="en-GB"/>
        </w:rPr>
        <w:t xml:space="preserve"> </w:t>
      </w:r>
      <w:r w:rsidRPr="007F62B6">
        <w:rPr>
          <w:lang w:val="en-GB"/>
        </w:rPr>
        <w:t xml:space="preserve">care staff in the field to gain a better understanding of how </w:t>
      </w:r>
      <w:r w:rsidR="006F5E22">
        <w:rPr>
          <w:lang w:val="en-GB"/>
        </w:rPr>
        <w:t xml:space="preserve">the </w:t>
      </w:r>
      <w:r w:rsidRPr="007F62B6">
        <w:rPr>
          <w:lang w:val="en-GB"/>
        </w:rPr>
        <w:t xml:space="preserve">IOA served the local community. She never showed for the appointment, never returned to the IOA offices, and tendered her resignation. </w:t>
      </w:r>
      <w:proofErr w:type="spellStart"/>
      <w:r w:rsidRPr="007F62B6">
        <w:rPr>
          <w:lang w:val="en-GB"/>
        </w:rPr>
        <w:t>Briody</w:t>
      </w:r>
      <w:proofErr w:type="spellEnd"/>
      <w:r w:rsidRPr="007F62B6">
        <w:rPr>
          <w:lang w:val="en-GB"/>
        </w:rPr>
        <w:t xml:space="preserve"> immediately began searching for a replacement, but it took two years to fill the position. As </w:t>
      </w:r>
      <w:proofErr w:type="spellStart"/>
      <w:r w:rsidRPr="007F62B6">
        <w:rPr>
          <w:lang w:val="en-GB"/>
        </w:rPr>
        <w:t>Briody</w:t>
      </w:r>
      <w:proofErr w:type="spellEnd"/>
      <w:r w:rsidRPr="007F62B6">
        <w:rPr>
          <w:lang w:val="en-GB"/>
        </w:rPr>
        <w:t xml:space="preserve"> put it, “How do you raise money for what someone could look at as a sinking ship?”</w:t>
      </w:r>
    </w:p>
    <w:p w14:paraId="797B527B" w14:textId="77777777" w:rsidR="00F35080" w:rsidRPr="00FD25A0" w:rsidRDefault="00F35080" w:rsidP="00A6242C">
      <w:pPr>
        <w:pStyle w:val="BodyTextMain"/>
        <w:rPr>
          <w:sz w:val="20"/>
          <w:szCs w:val="20"/>
          <w:lang w:val="en-GB"/>
        </w:rPr>
      </w:pPr>
    </w:p>
    <w:p w14:paraId="0B182F13" w14:textId="2659E75E" w:rsidR="00F35080" w:rsidRPr="007F62B6" w:rsidRDefault="00F35080" w:rsidP="00A6242C">
      <w:pPr>
        <w:pStyle w:val="BodyTextMain"/>
        <w:rPr>
          <w:lang w:val="en-GB"/>
        </w:rPr>
      </w:pPr>
      <w:proofErr w:type="spellStart"/>
      <w:r w:rsidRPr="007F62B6">
        <w:rPr>
          <w:lang w:val="en-GB"/>
        </w:rPr>
        <w:t>Briody</w:t>
      </w:r>
      <w:proofErr w:type="spellEnd"/>
      <w:r w:rsidRPr="007F62B6">
        <w:rPr>
          <w:lang w:val="en-GB"/>
        </w:rPr>
        <w:t xml:space="preserve"> saw an alternative path forward by changing the composition of the board itself. For decades, board members had been selected primarily based on their friendships with other board members. Financial resources, social connections, and professional expertise </w:t>
      </w:r>
      <w:r w:rsidR="00873736">
        <w:rPr>
          <w:lang w:val="en-GB"/>
        </w:rPr>
        <w:t>had</w:t>
      </w:r>
      <w:r w:rsidR="00873736" w:rsidRPr="007F62B6">
        <w:rPr>
          <w:lang w:val="en-GB"/>
        </w:rPr>
        <w:t xml:space="preserve"> </w:t>
      </w:r>
      <w:r w:rsidRPr="007F62B6">
        <w:rPr>
          <w:lang w:val="en-GB"/>
        </w:rPr>
        <w:t xml:space="preserve">not </w:t>
      </w:r>
      <w:r w:rsidR="00873736">
        <w:rPr>
          <w:lang w:val="en-GB"/>
        </w:rPr>
        <w:t xml:space="preserve">been </w:t>
      </w:r>
      <w:r w:rsidRPr="007F62B6">
        <w:rPr>
          <w:lang w:val="en-GB"/>
        </w:rPr>
        <w:t xml:space="preserve">the top </w:t>
      </w:r>
      <w:r w:rsidR="00873736" w:rsidRPr="007F62B6">
        <w:rPr>
          <w:lang w:val="en-GB"/>
        </w:rPr>
        <w:t>priorit</w:t>
      </w:r>
      <w:r w:rsidR="00873736">
        <w:rPr>
          <w:lang w:val="en-GB"/>
        </w:rPr>
        <w:t>ies for board membership</w:t>
      </w:r>
      <w:r w:rsidRPr="007F62B6">
        <w:rPr>
          <w:lang w:val="en-GB"/>
        </w:rPr>
        <w:t xml:space="preserve">. </w:t>
      </w:r>
      <w:proofErr w:type="spellStart"/>
      <w:r w:rsidRPr="007F62B6">
        <w:rPr>
          <w:lang w:val="en-GB"/>
        </w:rPr>
        <w:t>Briody</w:t>
      </w:r>
      <w:proofErr w:type="spellEnd"/>
      <w:r w:rsidRPr="007F62B6">
        <w:rPr>
          <w:lang w:val="en-GB"/>
        </w:rPr>
        <w:t xml:space="preserve"> aimed to change that </w:t>
      </w:r>
      <w:r w:rsidR="00873736">
        <w:rPr>
          <w:lang w:val="en-GB"/>
        </w:rPr>
        <w:t xml:space="preserve">practice </w:t>
      </w:r>
      <w:r w:rsidRPr="007F62B6">
        <w:rPr>
          <w:lang w:val="en-GB"/>
        </w:rPr>
        <w:t>by establishing a formal vetting process. He also brought in Jonathan Schwartz, the former president and CEO of Sun Microsystems, who helped advocate for a minimum level of annual giving. After two years of discussion, the board agreed</w:t>
      </w:r>
      <w:r w:rsidR="00CF02D7">
        <w:rPr>
          <w:lang w:val="en-GB"/>
        </w:rPr>
        <w:t xml:space="preserve"> that each member would make </w:t>
      </w:r>
      <w:r w:rsidRPr="007F62B6">
        <w:rPr>
          <w:lang w:val="en-GB"/>
        </w:rPr>
        <w:t>an annual donation of $10,000.</w:t>
      </w:r>
    </w:p>
    <w:p w14:paraId="39D29F14" w14:textId="77777777" w:rsidR="00F35080" w:rsidRPr="00FD25A0" w:rsidRDefault="00F35080" w:rsidP="00F35080">
      <w:pPr>
        <w:rPr>
          <w:lang w:val="en-GB"/>
        </w:rPr>
      </w:pPr>
    </w:p>
    <w:p w14:paraId="602D9E6D" w14:textId="77777777" w:rsidR="00F35080" w:rsidRPr="00FD25A0" w:rsidRDefault="00F35080" w:rsidP="00F35080">
      <w:pPr>
        <w:rPr>
          <w:lang w:val="en-GB"/>
        </w:rPr>
      </w:pPr>
    </w:p>
    <w:p w14:paraId="5123A578" w14:textId="77777777" w:rsidR="00F35080" w:rsidRPr="007F62B6" w:rsidRDefault="00F35080" w:rsidP="00A6242C">
      <w:pPr>
        <w:pStyle w:val="Casehead2"/>
        <w:rPr>
          <w:lang w:val="en-GB"/>
        </w:rPr>
      </w:pPr>
      <w:r w:rsidRPr="007F62B6">
        <w:rPr>
          <w:lang w:val="en-GB"/>
        </w:rPr>
        <w:t>Staff Turnover and Morale</w:t>
      </w:r>
    </w:p>
    <w:p w14:paraId="5F8FDFAF" w14:textId="77777777" w:rsidR="00F35080" w:rsidRPr="00FD25A0" w:rsidRDefault="00F35080" w:rsidP="00A6242C">
      <w:pPr>
        <w:pStyle w:val="BodyTextMain"/>
        <w:rPr>
          <w:sz w:val="20"/>
          <w:szCs w:val="20"/>
          <w:lang w:val="en-GB"/>
        </w:rPr>
      </w:pPr>
    </w:p>
    <w:p w14:paraId="2D85166A" w14:textId="6B164DEF" w:rsidR="00F35080" w:rsidRPr="007F62B6" w:rsidRDefault="006F5E22" w:rsidP="00A6242C">
      <w:pPr>
        <w:pStyle w:val="BodyTextMain"/>
        <w:rPr>
          <w:lang w:val="en-GB"/>
        </w:rPr>
      </w:pPr>
      <w:r w:rsidRPr="001F75EE">
        <w:rPr>
          <w:spacing w:val="-2"/>
          <w:kern w:val="22"/>
          <w:lang w:val="en-GB"/>
        </w:rPr>
        <w:t xml:space="preserve">The </w:t>
      </w:r>
      <w:r w:rsidR="00CB6898" w:rsidRPr="001F75EE">
        <w:rPr>
          <w:spacing w:val="-2"/>
          <w:kern w:val="22"/>
          <w:lang w:val="en-GB"/>
        </w:rPr>
        <w:t xml:space="preserve">IOA’s </w:t>
      </w:r>
      <w:r w:rsidR="00F35080" w:rsidRPr="001F75EE">
        <w:rPr>
          <w:spacing w:val="-2"/>
          <w:kern w:val="22"/>
          <w:lang w:val="en-GB"/>
        </w:rPr>
        <w:t xml:space="preserve">rapid pace of organizational change had prompted waves of unrest to ripple through the staff. When Scott reached out to </w:t>
      </w:r>
      <w:proofErr w:type="spellStart"/>
      <w:r w:rsidR="00402B19" w:rsidRPr="001F75EE">
        <w:rPr>
          <w:spacing w:val="-2"/>
          <w:kern w:val="22"/>
          <w:lang w:val="en-GB"/>
        </w:rPr>
        <w:t>SeniorCare</w:t>
      </w:r>
      <w:proofErr w:type="spellEnd"/>
      <w:r w:rsidR="00402B19" w:rsidRPr="001F75EE">
        <w:rPr>
          <w:spacing w:val="-2"/>
          <w:kern w:val="22"/>
          <w:lang w:val="en-GB"/>
        </w:rPr>
        <w:t xml:space="preserve"> Staffing</w:t>
      </w:r>
      <w:r w:rsidR="00F35080" w:rsidRPr="001F75EE">
        <w:rPr>
          <w:spacing w:val="-2"/>
          <w:kern w:val="22"/>
          <w:lang w:val="en-GB"/>
        </w:rPr>
        <w:t xml:space="preserve">, he estimated </w:t>
      </w:r>
      <w:r w:rsidR="00CB6898" w:rsidRPr="001F75EE">
        <w:rPr>
          <w:spacing w:val="-2"/>
          <w:kern w:val="22"/>
          <w:lang w:val="en-GB"/>
        </w:rPr>
        <w:t>the</w:t>
      </w:r>
      <w:r w:rsidR="00F35080" w:rsidRPr="001F75EE">
        <w:rPr>
          <w:spacing w:val="-2"/>
          <w:kern w:val="22"/>
          <w:lang w:val="en-GB"/>
        </w:rPr>
        <w:t xml:space="preserve"> need to hire between 70 and 100 new personnel each year</w:t>
      </w:r>
      <w:r w:rsidR="00CB6898" w:rsidRPr="001F75EE">
        <w:rPr>
          <w:spacing w:val="-2"/>
          <w:kern w:val="22"/>
          <w:lang w:val="en-GB"/>
        </w:rPr>
        <w:t>; however,</w:t>
      </w:r>
      <w:r w:rsidR="00F35080" w:rsidRPr="001F75EE">
        <w:rPr>
          <w:spacing w:val="-2"/>
          <w:kern w:val="22"/>
          <w:lang w:val="en-GB"/>
        </w:rPr>
        <w:t xml:space="preserve"> </w:t>
      </w:r>
      <w:r w:rsidR="00CB6898" w:rsidRPr="001F75EE">
        <w:rPr>
          <w:spacing w:val="-2"/>
          <w:kern w:val="22"/>
          <w:lang w:val="en-GB"/>
        </w:rPr>
        <w:t>t</w:t>
      </w:r>
      <w:r w:rsidR="00F35080" w:rsidRPr="001F75EE">
        <w:rPr>
          <w:spacing w:val="-2"/>
          <w:kern w:val="22"/>
          <w:lang w:val="en-GB"/>
        </w:rPr>
        <w:t>he actual volume fluctuated between 200 and 300 per year. When Scott took over human resources</w:t>
      </w:r>
      <w:r w:rsidR="00CB6898" w:rsidRPr="001F75EE">
        <w:rPr>
          <w:spacing w:val="-2"/>
          <w:kern w:val="22"/>
          <w:lang w:val="en-GB"/>
        </w:rPr>
        <w:t>,</w:t>
      </w:r>
      <w:r w:rsidR="00F35080" w:rsidRPr="001F75EE">
        <w:rPr>
          <w:spacing w:val="-2"/>
          <w:kern w:val="22"/>
          <w:lang w:val="en-GB"/>
        </w:rPr>
        <w:t xml:space="preserve"> he was supported by two generalists who had dutifully served </w:t>
      </w:r>
      <w:r w:rsidRPr="001F75EE">
        <w:rPr>
          <w:spacing w:val="-2"/>
          <w:kern w:val="22"/>
          <w:lang w:val="en-GB"/>
        </w:rPr>
        <w:t xml:space="preserve">the </w:t>
      </w:r>
      <w:r w:rsidR="00F35080" w:rsidRPr="001F75EE">
        <w:rPr>
          <w:spacing w:val="-2"/>
          <w:kern w:val="22"/>
          <w:lang w:val="en-GB"/>
        </w:rPr>
        <w:t xml:space="preserve">IOA for years. Within a short amount of time, one of the generalists retired and the other obtained a new position at another organization. In the past, “people stayed here forever,” </w:t>
      </w:r>
      <w:proofErr w:type="spellStart"/>
      <w:r w:rsidR="00F35080" w:rsidRPr="001F75EE">
        <w:rPr>
          <w:spacing w:val="-2"/>
          <w:kern w:val="22"/>
          <w:lang w:val="en-GB"/>
        </w:rPr>
        <w:t>Briody</w:t>
      </w:r>
      <w:proofErr w:type="spellEnd"/>
      <w:r w:rsidR="00F35080" w:rsidRPr="001F75EE">
        <w:rPr>
          <w:spacing w:val="-2"/>
          <w:kern w:val="22"/>
          <w:lang w:val="en-GB"/>
        </w:rPr>
        <w:t xml:space="preserve"> remarked, “</w:t>
      </w:r>
      <w:proofErr w:type="gramStart"/>
      <w:r w:rsidR="00F35080" w:rsidRPr="001F75EE">
        <w:rPr>
          <w:spacing w:val="-2"/>
          <w:kern w:val="22"/>
          <w:lang w:val="en-GB"/>
        </w:rPr>
        <w:t>that</w:t>
      </w:r>
      <w:proofErr w:type="gramEnd"/>
      <w:r w:rsidR="00F35080" w:rsidRPr="001F75EE">
        <w:rPr>
          <w:spacing w:val="-2"/>
          <w:kern w:val="22"/>
          <w:lang w:val="en-GB"/>
        </w:rPr>
        <w:t xml:space="preserve"> wasn’t happening anymore</w:t>
      </w:r>
      <w:r w:rsidR="00F35080" w:rsidRPr="007F62B6">
        <w:rPr>
          <w:lang w:val="en-GB"/>
        </w:rPr>
        <w:t>.”</w:t>
      </w:r>
    </w:p>
    <w:p w14:paraId="65B9B22D" w14:textId="77777777" w:rsidR="00F35080" w:rsidRPr="00FD25A0" w:rsidRDefault="00F35080" w:rsidP="00A6242C">
      <w:pPr>
        <w:pStyle w:val="BodyTextMain"/>
        <w:rPr>
          <w:sz w:val="20"/>
          <w:szCs w:val="20"/>
          <w:highlight w:val="yellow"/>
          <w:lang w:val="en-GB"/>
        </w:rPr>
      </w:pPr>
    </w:p>
    <w:p w14:paraId="1FF5681A" w14:textId="35E5F61D" w:rsidR="00F35080" w:rsidRPr="007F62B6" w:rsidRDefault="00F35080" w:rsidP="00A6242C">
      <w:pPr>
        <w:pStyle w:val="BodyTextMain"/>
        <w:rPr>
          <w:lang w:val="en-GB"/>
        </w:rPr>
      </w:pPr>
      <w:r w:rsidRPr="007F62B6">
        <w:rPr>
          <w:lang w:val="en-GB"/>
        </w:rPr>
        <w:t xml:space="preserve">To address the unrest, </w:t>
      </w:r>
      <w:r w:rsidR="006F5E22">
        <w:rPr>
          <w:lang w:val="en-GB"/>
        </w:rPr>
        <w:t xml:space="preserve">the </w:t>
      </w:r>
      <w:r w:rsidR="00CB6898">
        <w:rPr>
          <w:lang w:val="en-GB"/>
        </w:rPr>
        <w:t xml:space="preserve">IOA conducted </w:t>
      </w:r>
      <w:r w:rsidRPr="007F62B6">
        <w:rPr>
          <w:lang w:val="en-GB"/>
        </w:rPr>
        <w:t xml:space="preserve">an employee engagement survey. One in </w:t>
      </w:r>
      <w:r w:rsidR="00CB6898">
        <w:rPr>
          <w:lang w:val="en-GB"/>
        </w:rPr>
        <w:t>10</w:t>
      </w:r>
      <w:r w:rsidR="00CB6898" w:rsidRPr="007F62B6">
        <w:rPr>
          <w:lang w:val="en-GB"/>
        </w:rPr>
        <w:t xml:space="preserve"> </w:t>
      </w:r>
      <w:r w:rsidRPr="007F62B6">
        <w:rPr>
          <w:lang w:val="en-GB"/>
        </w:rPr>
        <w:t>employees reported an unfavo</w:t>
      </w:r>
      <w:r w:rsidR="00CB6898">
        <w:rPr>
          <w:lang w:val="en-GB"/>
        </w:rPr>
        <w:t>u</w:t>
      </w:r>
      <w:r w:rsidRPr="007F62B6">
        <w:rPr>
          <w:lang w:val="en-GB"/>
        </w:rPr>
        <w:t xml:space="preserve">rable view of their manager and one in seven had a negative perception of the organization. A quarter of the staff believed that </w:t>
      </w:r>
      <w:r w:rsidR="006F5E22">
        <w:rPr>
          <w:lang w:val="en-GB"/>
        </w:rPr>
        <w:t xml:space="preserve">the </w:t>
      </w:r>
      <w:r w:rsidRPr="007F62B6">
        <w:rPr>
          <w:lang w:val="en-GB"/>
        </w:rPr>
        <w:t>IOA did a poor job of responding to their needs. “Communication from senior management is very challenging,” commented one individual. Another griped that “we haven’t gotten a pay increase in years.” Scott colourfully summarized the mood by noting that “there was a deep sense that senior management didn’t care</w:t>
      </w:r>
      <w:r w:rsidR="00CB6898">
        <w:rPr>
          <w:lang w:val="en-GB"/>
        </w:rPr>
        <w:t xml:space="preserve">. . . . </w:t>
      </w:r>
      <w:r w:rsidRPr="007F62B6">
        <w:rPr>
          <w:lang w:val="en-GB"/>
        </w:rPr>
        <w:t>I called it the mushroom patrol syndrome, you know, everybody craps on us and keeps us in the dark.”</w:t>
      </w:r>
    </w:p>
    <w:p w14:paraId="24A77BAC" w14:textId="77777777" w:rsidR="00F35080" w:rsidRPr="00FD25A0" w:rsidRDefault="00F35080" w:rsidP="00A6242C">
      <w:pPr>
        <w:pStyle w:val="BodyTextMain"/>
        <w:rPr>
          <w:sz w:val="20"/>
          <w:szCs w:val="20"/>
          <w:highlight w:val="yellow"/>
          <w:lang w:val="en-GB"/>
        </w:rPr>
      </w:pPr>
    </w:p>
    <w:p w14:paraId="4840413D" w14:textId="77777777" w:rsidR="00F35080" w:rsidRPr="007F62B6" w:rsidRDefault="00F35080" w:rsidP="00A6242C">
      <w:pPr>
        <w:pStyle w:val="BodyTextMain"/>
        <w:rPr>
          <w:lang w:val="en-GB"/>
        </w:rPr>
      </w:pPr>
      <w:proofErr w:type="spellStart"/>
      <w:r w:rsidRPr="007F62B6">
        <w:rPr>
          <w:lang w:val="en-GB"/>
        </w:rPr>
        <w:t>Briody</w:t>
      </w:r>
      <w:proofErr w:type="spellEnd"/>
      <w:r w:rsidRPr="007F62B6">
        <w:rPr>
          <w:lang w:val="en-GB"/>
        </w:rPr>
        <w:t xml:space="preserve"> understood the dangers inherent in these findings. He also acknowledged that his leadership style had been a contributing factor. “I operated pretty much on a directing approach in the beginning,” he admitted. “It wasn’t a team discussion. These are the priorities. This is what we got to do. The house was on fire so you had to do something rapidly.” </w:t>
      </w:r>
    </w:p>
    <w:p w14:paraId="64138D23" w14:textId="77777777" w:rsidR="00F35080" w:rsidRPr="00FD25A0" w:rsidRDefault="00F35080" w:rsidP="00A6242C">
      <w:pPr>
        <w:pStyle w:val="BodyTextMain"/>
        <w:rPr>
          <w:sz w:val="20"/>
          <w:szCs w:val="20"/>
          <w:lang w:val="en-GB"/>
        </w:rPr>
      </w:pPr>
    </w:p>
    <w:p w14:paraId="5D1A5898" w14:textId="521F740D" w:rsidR="00F35080" w:rsidRPr="007F62B6" w:rsidRDefault="00F35080" w:rsidP="00A6242C">
      <w:pPr>
        <w:pStyle w:val="BodyTextMain"/>
        <w:rPr>
          <w:lang w:val="en-GB"/>
        </w:rPr>
      </w:pPr>
      <w:r w:rsidRPr="007F62B6">
        <w:rPr>
          <w:lang w:val="en-GB"/>
        </w:rPr>
        <w:t xml:space="preserve">A course correction was made. </w:t>
      </w:r>
      <w:proofErr w:type="spellStart"/>
      <w:r w:rsidRPr="007F62B6">
        <w:rPr>
          <w:lang w:val="en-GB"/>
        </w:rPr>
        <w:t>Briody</w:t>
      </w:r>
      <w:proofErr w:type="spellEnd"/>
      <w:r w:rsidRPr="007F62B6">
        <w:rPr>
          <w:lang w:val="en-GB"/>
        </w:rPr>
        <w:t xml:space="preserve"> began by empowering employees who shared his entrepreneurial spirit. He championed the efforts of Dustin Harper, the vice</w:t>
      </w:r>
      <w:r w:rsidR="00CB6898">
        <w:rPr>
          <w:lang w:val="en-GB"/>
        </w:rPr>
        <w:t>-</w:t>
      </w:r>
      <w:r w:rsidRPr="007F62B6">
        <w:rPr>
          <w:lang w:val="en-GB"/>
        </w:rPr>
        <w:t>president of Community Living Services. This support enabled Harper and his team of seasoned social workers to begin developing contracts with health plans throughout California.</w:t>
      </w:r>
    </w:p>
    <w:p w14:paraId="56C5BA1A" w14:textId="77777777" w:rsidR="00F35080" w:rsidRPr="00FD25A0" w:rsidRDefault="00F35080" w:rsidP="00A6242C">
      <w:pPr>
        <w:pStyle w:val="BodyTextMain"/>
        <w:rPr>
          <w:sz w:val="20"/>
          <w:szCs w:val="20"/>
          <w:lang w:val="en-GB"/>
        </w:rPr>
      </w:pPr>
    </w:p>
    <w:p w14:paraId="7A814D16" w14:textId="18C632F7" w:rsidR="00F35080" w:rsidRPr="007F62B6" w:rsidRDefault="00F35080" w:rsidP="00A6242C">
      <w:pPr>
        <w:pStyle w:val="BodyTextMain"/>
        <w:rPr>
          <w:lang w:val="en-GB"/>
        </w:rPr>
      </w:pPr>
      <w:proofErr w:type="spellStart"/>
      <w:r w:rsidRPr="007F62B6">
        <w:rPr>
          <w:lang w:val="en-GB"/>
        </w:rPr>
        <w:t>Briody</w:t>
      </w:r>
      <w:proofErr w:type="spellEnd"/>
      <w:r w:rsidRPr="007F62B6">
        <w:rPr>
          <w:lang w:val="en-GB"/>
        </w:rPr>
        <w:t xml:space="preserve"> also fought for market-based salary adjustments even though </w:t>
      </w:r>
      <w:r w:rsidR="006F5E22">
        <w:rPr>
          <w:lang w:val="en-GB"/>
        </w:rPr>
        <w:t xml:space="preserve">the </w:t>
      </w:r>
      <w:r w:rsidRPr="007F62B6">
        <w:rPr>
          <w:lang w:val="en-GB"/>
        </w:rPr>
        <w:t xml:space="preserve">IOA was still losing nearly $1 million a year. “We needed to make that commitment to salaries because if we didn’t have talent we didn’t have a business,” </w:t>
      </w:r>
      <w:proofErr w:type="spellStart"/>
      <w:r w:rsidRPr="007F62B6">
        <w:rPr>
          <w:lang w:val="en-GB"/>
        </w:rPr>
        <w:t>Briody</w:t>
      </w:r>
      <w:proofErr w:type="spellEnd"/>
      <w:r w:rsidRPr="007F62B6">
        <w:rPr>
          <w:lang w:val="en-GB"/>
        </w:rPr>
        <w:t xml:space="preserve"> reasoned. “If you are just managing on the bottom line the response would be ‘we can’t afford it.’ My response was ‘we can’t afford not to do it.’ I committed to the staff that we would never again use the excuse that they were underpaid because we’re a no</w:t>
      </w:r>
      <w:r w:rsidR="00AE1C06" w:rsidRPr="007F62B6">
        <w:rPr>
          <w:lang w:val="en-GB"/>
        </w:rPr>
        <w:t>n</w:t>
      </w:r>
      <w:r w:rsidR="00EF06BA">
        <w:rPr>
          <w:lang w:val="en-GB"/>
        </w:rPr>
        <w:t>-</w:t>
      </w:r>
      <w:r w:rsidRPr="007F62B6">
        <w:rPr>
          <w:lang w:val="en-GB"/>
        </w:rPr>
        <w:t xml:space="preserve">profit.” </w:t>
      </w:r>
    </w:p>
    <w:p w14:paraId="4D77366F" w14:textId="77777777" w:rsidR="00F35080" w:rsidRPr="00FD25A0" w:rsidRDefault="00F35080" w:rsidP="00A6242C">
      <w:pPr>
        <w:pStyle w:val="BodyTextMain"/>
        <w:rPr>
          <w:sz w:val="20"/>
          <w:szCs w:val="20"/>
          <w:lang w:val="en-GB"/>
        </w:rPr>
      </w:pPr>
    </w:p>
    <w:p w14:paraId="71701A76" w14:textId="1B72673D" w:rsidR="00F35080" w:rsidRPr="007F62B6" w:rsidRDefault="00F35080" w:rsidP="00A6242C">
      <w:pPr>
        <w:pStyle w:val="BodyTextMain"/>
        <w:rPr>
          <w:lang w:val="en-GB"/>
        </w:rPr>
      </w:pPr>
      <w:r w:rsidRPr="001F75EE">
        <w:rPr>
          <w:spacing w:val="-2"/>
          <w:kern w:val="22"/>
          <w:lang w:val="en-GB"/>
        </w:rPr>
        <w:t>To ensure an open dialog</w:t>
      </w:r>
      <w:r w:rsidR="00CB6898" w:rsidRPr="001F75EE">
        <w:rPr>
          <w:spacing w:val="-2"/>
          <w:kern w:val="22"/>
          <w:lang w:val="en-GB"/>
        </w:rPr>
        <w:t>ue</w:t>
      </w:r>
      <w:r w:rsidRPr="001F75EE">
        <w:rPr>
          <w:spacing w:val="-2"/>
          <w:kern w:val="22"/>
          <w:lang w:val="en-GB"/>
        </w:rPr>
        <w:t xml:space="preserve"> with </w:t>
      </w:r>
      <w:r w:rsidR="006F5E22" w:rsidRPr="001F75EE">
        <w:rPr>
          <w:spacing w:val="-2"/>
          <w:kern w:val="22"/>
          <w:lang w:val="en-GB"/>
        </w:rPr>
        <w:t xml:space="preserve">the </w:t>
      </w:r>
      <w:r w:rsidRPr="001F75EE">
        <w:rPr>
          <w:spacing w:val="-2"/>
          <w:kern w:val="22"/>
          <w:lang w:val="en-GB"/>
        </w:rPr>
        <w:t xml:space="preserve">IOA staff, </w:t>
      </w:r>
      <w:proofErr w:type="spellStart"/>
      <w:r w:rsidRPr="001F75EE">
        <w:rPr>
          <w:spacing w:val="-2"/>
          <w:kern w:val="22"/>
          <w:lang w:val="en-GB"/>
        </w:rPr>
        <w:t>Briody</w:t>
      </w:r>
      <w:proofErr w:type="spellEnd"/>
      <w:r w:rsidRPr="001F75EE">
        <w:rPr>
          <w:spacing w:val="-2"/>
          <w:kern w:val="22"/>
          <w:lang w:val="en-GB"/>
        </w:rPr>
        <w:t xml:space="preserve"> initiated </w:t>
      </w:r>
      <w:r w:rsidR="00CB6898" w:rsidRPr="001F75EE">
        <w:rPr>
          <w:spacing w:val="-2"/>
          <w:kern w:val="22"/>
          <w:lang w:val="en-GB"/>
        </w:rPr>
        <w:t>t</w:t>
      </w:r>
      <w:r w:rsidRPr="001F75EE">
        <w:rPr>
          <w:spacing w:val="-2"/>
          <w:kern w:val="22"/>
          <w:lang w:val="en-GB"/>
        </w:rPr>
        <w:t xml:space="preserve">own </w:t>
      </w:r>
      <w:r w:rsidR="00CB6898" w:rsidRPr="001F75EE">
        <w:rPr>
          <w:spacing w:val="-2"/>
          <w:kern w:val="22"/>
          <w:lang w:val="en-GB"/>
        </w:rPr>
        <w:t>h</w:t>
      </w:r>
      <w:r w:rsidRPr="001F75EE">
        <w:rPr>
          <w:spacing w:val="-2"/>
          <w:kern w:val="22"/>
          <w:lang w:val="en-GB"/>
        </w:rPr>
        <w:t>all meetings. He also set</w:t>
      </w:r>
      <w:r w:rsidR="00CB6898" w:rsidRPr="001F75EE">
        <w:rPr>
          <w:spacing w:val="-2"/>
          <w:kern w:val="22"/>
          <w:lang w:val="en-GB"/>
        </w:rPr>
        <w:t xml:space="preserve"> </w:t>
      </w:r>
      <w:r w:rsidRPr="001F75EE">
        <w:rPr>
          <w:spacing w:val="-2"/>
          <w:kern w:val="22"/>
          <w:lang w:val="en-GB"/>
        </w:rPr>
        <w:t xml:space="preserve">up a monthly </w:t>
      </w:r>
      <w:r w:rsidR="00CB6898" w:rsidRPr="001F75EE">
        <w:rPr>
          <w:spacing w:val="-2"/>
          <w:kern w:val="22"/>
          <w:lang w:val="en-GB"/>
        </w:rPr>
        <w:t>m</w:t>
      </w:r>
      <w:r w:rsidRPr="001F75EE">
        <w:rPr>
          <w:spacing w:val="-2"/>
          <w:kern w:val="22"/>
          <w:lang w:val="en-GB"/>
        </w:rPr>
        <w:t xml:space="preserve">anagement </w:t>
      </w:r>
      <w:r w:rsidR="00CB6898" w:rsidRPr="001F75EE">
        <w:rPr>
          <w:spacing w:val="-2"/>
          <w:kern w:val="22"/>
          <w:lang w:val="en-GB"/>
        </w:rPr>
        <w:t>f</w:t>
      </w:r>
      <w:r w:rsidRPr="001F75EE">
        <w:rPr>
          <w:spacing w:val="-2"/>
          <w:kern w:val="22"/>
          <w:lang w:val="en-GB"/>
        </w:rPr>
        <w:t xml:space="preserve">orum </w:t>
      </w:r>
      <w:r w:rsidR="00CB6898" w:rsidRPr="001F75EE">
        <w:rPr>
          <w:spacing w:val="-2"/>
          <w:kern w:val="22"/>
          <w:lang w:val="en-GB"/>
        </w:rPr>
        <w:t xml:space="preserve">that </w:t>
      </w:r>
      <w:r w:rsidRPr="001F75EE">
        <w:rPr>
          <w:spacing w:val="-2"/>
          <w:kern w:val="22"/>
          <w:lang w:val="en-GB"/>
        </w:rPr>
        <w:t xml:space="preserve">allowed managers to relay the concerns of frontline staff. In 2017, </w:t>
      </w:r>
      <w:proofErr w:type="spellStart"/>
      <w:r w:rsidRPr="001F75EE">
        <w:rPr>
          <w:spacing w:val="-2"/>
          <w:kern w:val="22"/>
          <w:lang w:val="en-GB"/>
        </w:rPr>
        <w:t>Briody</w:t>
      </w:r>
      <w:proofErr w:type="spellEnd"/>
      <w:r w:rsidRPr="001F75EE">
        <w:rPr>
          <w:spacing w:val="-2"/>
          <w:kern w:val="22"/>
          <w:lang w:val="en-GB"/>
        </w:rPr>
        <w:t xml:space="preserve"> brought together a select group of employees and formed the Strategies and Operations Council. Previously, </w:t>
      </w:r>
      <w:proofErr w:type="spellStart"/>
      <w:r w:rsidRPr="001F75EE">
        <w:rPr>
          <w:spacing w:val="-2"/>
          <w:kern w:val="22"/>
          <w:lang w:val="en-GB"/>
        </w:rPr>
        <w:t>Briody</w:t>
      </w:r>
      <w:proofErr w:type="spellEnd"/>
      <w:r w:rsidRPr="001F75EE">
        <w:rPr>
          <w:spacing w:val="-2"/>
          <w:kern w:val="22"/>
          <w:lang w:val="en-GB"/>
        </w:rPr>
        <w:t xml:space="preserve"> </w:t>
      </w:r>
      <w:r w:rsidRPr="001F75EE">
        <w:rPr>
          <w:spacing w:val="-2"/>
          <w:kern w:val="22"/>
          <w:lang w:val="en-GB"/>
        </w:rPr>
        <w:lastRenderedPageBreak/>
        <w:t xml:space="preserve">had planned the future of </w:t>
      </w:r>
      <w:r w:rsidR="006F5E22" w:rsidRPr="001F75EE">
        <w:rPr>
          <w:spacing w:val="-2"/>
          <w:kern w:val="22"/>
          <w:lang w:val="en-GB"/>
        </w:rPr>
        <w:t xml:space="preserve">the </w:t>
      </w:r>
      <w:r w:rsidRPr="001F75EE">
        <w:rPr>
          <w:spacing w:val="-2"/>
          <w:kern w:val="22"/>
          <w:lang w:val="en-GB"/>
        </w:rPr>
        <w:t xml:space="preserve">IOA on his own. He now treated the process as a collaborative exercise and encouraged employees to contribute. Throughout these discussions, </w:t>
      </w:r>
      <w:proofErr w:type="spellStart"/>
      <w:r w:rsidRPr="001F75EE">
        <w:rPr>
          <w:spacing w:val="-2"/>
          <w:kern w:val="22"/>
          <w:lang w:val="en-GB"/>
        </w:rPr>
        <w:t>Briody</w:t>
      </w:r>
      <w:proofErr w:type="spellEnd"/>
      <w:r w:rsidRPr="001F75EE">
        <w:rPr>
          <w:spacing w:val="-2"/>
          <w:kern w:val="22"/>
          <w:lang w:val="en-GB"/>
        </w:rPr>
        <w:t xml:space="preserve"> paid close attention to his choice of words. “In retrospect I think I should have changed my language</w:t>
      </w:r>
      <w:r w:rsidR="00CB6898" w:rsidRPr="001F75EE">
        <w:rPr>
          <w:spacing w:val="-2"/>
          <w:kern w:val="22"/>
          <w:lang w:val="en-GB"/>
        </w:rPr>
        <w:t xml:space="preserve">. . . . </w:t>
      </w:r>
      <w:r w:rsidRPr="001F75EE">
        <w:rPr>
          <w:spacing w:val="-2"/>
          <w:kern w:val="22"/>
          <w:lang w:val="en-GB"/>
        </w:rPr>
        <w:t>I should have called it ‘mission expansion’ rather than ‘growth.’ Sometimes the vocabulary makes a difference in what people hea</w:t>
      </w:r>
      <w:r w:rsidRPr="007F62B6">
        <w:rPr>
          <w:lang w:val="en-GB"/>
        </w:rPr>
        <w:t>r.”</w:t>
      </w:r>
    </w:p>
    <w:p w14:paraId="7ACE3AB7" w14:textId="77777777" w:rsidR="0051214E" w:rsidRPr="00FD25A0" w:rsidRDefault="0051214E" w:rsidP="00A6242C">
      <w:pPr>
        <w:pStyle w:val="Casehead2"/>
        <w:rPr>
          <w:sz w:val="18"/>
          <w:lang w:val="en-GB"/>
        </w:rPr>
      </w:pPr>
    </w:p>
    <w:p w14:paraId="1D6CBE75" w14:textId="77777777" w:rsidR="00BF1DB3" w:rsidRPr="00FD25A0" w:rsidRDefault="00BF1DB3" w:rsidP="00A6242C">
      <w:pPr>
        <w:pStyle w:val="Casehead2"/>
        <w:rPr>
          <w:sz w:val="18"/>
          <w:lang w:val="en-GB"/>
        </w:rPr>
      </w:pPr>
    </w:p>
    <w:p w14:paraId="37A38F0C" w14:textId="2EFEAA0B" w:rsidR="00F35080" w:rsidRPr="007F62B6" w:rsidRDefault="00F35080" w:rsidP="00A6242C">
      <w:pPr>
        <w:pStyle w:val="Casehead2"/>
        <w:rPr>
          <w:lang w:val="en-GB"/>
        </w:rPr>
      </w:pPr>
      <w:r w:rsidRPr="007F62B6">
        <w:rPr>
          <w:lang w:val="en-GB"/>
        </w:rPr>
        <w:t>The Effects of Growth</w:t>
      </w:r>
    </w:p>
    <w:p w14:paraId="18B3A21E" w14:textId="77777777" w:rsidR="00F35080" w:rsidRPr="00FD25A0" w:rsidRDefault="00F35080" w:rsidP="00F35080">
      <w:pPr>
        <w:ind w:firstLine="360"/>
        <w:rPr>
          <w:lang w:val="en-GB"/>
        </w:rPr>
      </w:pPr>
    </w:p>
    <w:p w14:paraId="3E5F1BCF" w14:textId="0EEF505A" w:rsidR="00F35080" w:rsidRPr="007F62B6" w:rsidRDefault="00F35080" w:rsidP="00A6242C">
      <w:pPr>
        <w:pStyle w:val="BodyTextMain"/>
        <w:rPr>
          <w:lang w:val="en-GB"/>
        </w:rPr>
      </w:pPr>
      <w:r w:rsidRPr="007F62B6">
        <w:rPr>
          <w:lang w:val="en-GB"/>
        </w:rPr>
        <w:t xml:space="preserve">Between 2012 and 2017, </w:t>
      </w:r>
      <w:r w:rsidR="006F5E22">
        <w:rPr>
          <w:lang w:val="en-GB"/>
        </w:rPr>
        <w:t xml:space="preserve">the </w:t>
      </w:r>
      <w:r w:rsidRPr="007F62B6">
        <w:rPr>
          <w:lang w:val="en-GB"/>
        </w:rPr>
        <w:t>IOA made significant progress. Gross revenue had grown by 57.5 per cent. Annual fundraising had risen to $1.9 million. Revenue in the home</w:t>
      </w:r>
      <w:r w:rsidR="0051798A">
        <w:rPr>
          <w:lang w:val="en-GB"/>
        </w:rPr>
        <w:t xml:space="preserve"> </w:t>
      </w:r>
      <w:r w:rsidRPr="007F62B6">
        <w:rPr>
          <w:lang w:val="en-GB"/>
        </w:rPr>
        <w:t>care services division had grown by 30 per cent. The number of clients served by the health services division had grown by 5 per cent</w:t>
      </w:r>
      <w:r w:rsidR="0051798A">
        <w:rPr>
          <w:lang w:val="en-GB"/>
        </w:rPr>
        <w:t>,</w:t>
      </w:r>
      <w:r w:rsidRPr="007F62B6">
        <w:rPr>
          <w:lang w:val="en-GB"/>
        </w:rPr>
        <w:t xml:space="preserve"> and the capacity of its 24-hour toll-free suicide hotline had doubled. The community living services division had implemented a pilot program in Santa Clara County </w:t>
      </w:r>
      <w:r w:rsidR="0051798A">
        <w:rPr>
          <w:lang w:val="en-GB"/>
        </w:rPr>
        <w:t>that</w:t>
      </w:r>
      <w:r w:rsidR="0051798A" w:rsidRPr="007F62B6">
        <w:rPr>
          <w:lang w:val="en-GB"/>
        </w:rPr>
        <w:t xml:space="preserve"> </w:t>
      </w:r>
      <w:r w:rsidRPr="007F62B6">
        <w:rPr>
          <w:lang w:val="en-GB"/>
        </w:rPr>
        <w:t>had the potential to evolve into a $4.5 million contract. It had also negotiated a $6 million contract with the Inland Empire Health Plan</w:t>
      </w:r>
      <w:r w:rsidR="0051798A">
        <w:rPr>
          <w:lang w:val="en-GB"/>
        </w:rPr>
        <w:t>,</w:t>
      </w:r>
      <w:r w:rsidRPr="007F62B6">
        <w:rPr>
          <w:lang w:val="en-GB"/>
        </w:rPr>
        <w:t xml:space="preserve"> which operated in the counties of</w:t>
      </w:r>
      <w:r w:rsidR="00A6242C" w:rsidRPr="007F62B6">
        <w:rPr>
          <w:lang w:val="en-GB"/>
        </w:rPr>
        <w:t xml:space="preserve"> Riverside and San Bernardino.</w:t>
      </w:r>
    </w:p>
    <w:p w14:paraId="61BAB5E7" w14:textId="77777777" w:rsidR="00F35080" w:rsidRPr="00FD25A0" w:rsidRDefault="00F35080" w:rsidP="00A6242C">
      <w:pPr>
        <w:pStyle w:val="BodyTextMain"/>
        <w:rPr>
          <w:sz w:val="20"/>
          <w:lang w:val="en-GB"/>
        </w:rPr>
      </w:pPr>
    </w:p>
    <w:p w14:paraId="52E159B9" w14:textId="306DC8B2" w:rsidR="00F35080" w:rsidRPr="007F62B6" w:rsidRDefault="00F35080" w:rsidP="00A6242C">
      <w:pPr>
        <w:pStyle w:val="BodyTextMain"/>
        <w:rPr>
          <w:lang w:val="en-GB"/>
        </w:rPr>
      </w:pPr>
      <w:r w:rsidRPr="007F62B6">
        <w:rPr>
          <w:lang w:val="en-GB"/>
        </w:rPr>
        <w:t xml:space="preserve">The improved financial position of </w:t>
      </w:r>
      <w:r w:rsidR="006F5E22">
        <w:rPr>
          <w:lang w:val="en-GB"/>
        </w:rPr>
        <w:t xml:space="preserve">the </w:t>
      </w:r>
      <w:r w:rsidRPr="007F62B6">
        <w:rPr>
          <w:lang w:val="en-GB"/>
        </w:rPr>
        <w:t>IOA changed the demeano</w:t>
      </w:r>
      <w:r w:rsidR="0051798A">
        <w:rPr>
          <w:lang w:val="en-GB"/>
        </w:rPr>
        <w:t>u</w:t>
      </w:r>
      <w:r w:rsidRPr="007F62B6">
        <w:rPr>
          <w:lang w:val="en-GB"/>
        </w:rPr>
        <w:t xml:space="preserve">r of </w:t>
      </w:r>
      <w:r w:rsidR="00770A36" w:rsidRPr="007F62B6">
        <w:rPr>
          <w:lang w:val="en-GB"/>
        </w:rPr>
        <w:t>Coastal Mortgage</w:t>
      </w:r>
      <w:r w:rsidRPr="007F62B6">
        <w:rPr>
          <w:lang w:val="en-GB"/>
        </w:rPr>
        <w:t xml:space="preserve">. In 2012, </w:t>
      </w:r>
      <w:r w:rsidR="00770A36" w:rsidRPr="007F62B6">
        <w:rPr>
          <w:lang w:val="en-GB"/>
        </w:rPr>
        <w:t>Coastal Mortgage</w:t>
      </w:r>
      <w:r w:rsidRPr="007F62B6">
        <w:rPr>
          <w:lang w:val="en-GB"/>
        </w:rPr>
        <w:t xml:space="preserve"> staff had demanded representation at all board meetings. Two years into </w:t>
      </w:r>
      <w:proofErr w:type="spellStart"/>
      <w:r w:rsidRPr="007F62B6">
        <w:rPr>
          <w:lang w:val="en-GB"/>
        </w:rPr>
        <w:t>Briody’s</w:t>
      </w:r>
      <w:proofErr w:type="spellEnd"/>
      <w:r w:rsidRPr="007F62B6">
        <w:rPr>
          <w:lang w:val="en-GB"/>
        </w:rPr>
        <w:t xml:space="preserve"> tenure, they stated how impressed they were with the senior leadership and recused themselves from future meetings. </w:t>
      </w:r>
      <w:r w:rsidR="00770A36" w:rsidRPr="007F62B6">
        <w:rPr>
          <w:lang w:val="en-GB"/>
        </w:rPr>
        <w:t>Coastal Mortgage</w:t>
      </w:r>
      <w:r w:rsidRPr="007F62B6">
        <w:rPr>
          <w:lang w:val="en-GB"/>
        </w:rPr>
        <w:t xml:space="preserve"> even provided a vote of confidence by increasing the insured line of credit from $3 million to $4 million.</w:t>
      </w:r>
    </w:p>
    <w:p w14:paraId="2A3C033F" w14:textId="77777777" w:rsidR="00F35080" w:rsidRPr="00FD25A0" w:rsidRDefault="00F35080" w:rsidP="00A6242C">
      <w:pPr>
        <w:pStyle w:val="BodyTextMain"/>
        <w:rPr>
          <w:sz w:val="20"/>
          <w:lang w:val="en-GB"/>
        </w:rPr>
      </w:pPr>
    </w:p>
    <w:p w14:paraId="5B555716" w14:textId="6F6848CC" w:rsidR="00F35080" w:rsidRPr="007F62B6" w:rsidRDefault="00F35080" w:rsidP="00A6242C">
      <w:pPr>
        <w:pStyle w:val="BodyTextMain"/>
        <w:rPr>
          <w:lang w:val="en-GB"/>
        </w:rPr>
      </w:pPr>
      <w:r w:rsidRPr="007F62B6">
        <w:rPr>
          <w:lang w:val="en-GB"/>
        </w:rPr>
        <w:t xml:space="preserve">Rapid growth had placed new strains on the organization, however. </w:t>
      </w:r>
      <w:r w:rsidR="00054128">
        <w:rPr>
          <w:lang w:val="en-GB"/>
        </w:rPr>
        <w:t>For example, e</w:t>
      </w:r>
      <w:r w:rsidRPr="007F62B6">
        <w:rPr>
          <w:lang w:val="en-GB"/>
        </w:rPr>
        <w:t xml:space="preserve">stablishing contracts in different parts of the state meant hiring regional experts </w:t>
      </w:r>
      <w:r w:rsidR="00054128">
        <w:rPr>
          <w:lang w:val="en-GB"/>
        </w:rPr>
        <w:t>who had</w:t>
      </w:r>
      <w:r w:rsidR="00054128" w:rsidRPr="007F62B6">
        <w:rPr>
          <w:lang w:val="en-GB"/>
        </w:rPr>
        <w:t xml:space="preserve"> </w:t>
      </w:r>
      <w:r w:rsidRPr="007F62B6">
        <w:rPr>
          <w:lang w:val="en-GB"/>
        </w:rPr>
        <w:t xml:space="preserve">the ability to effectively implement </w:t>
      </w:r>
      <w:r w:rsidR="006F5E22">
        <w:rPr>
          <w:lang w:val="en-GB"/>
        </w:rPr>
        <w:t xml:space="preserve">the </w:t>
      </w:r>
      <w:r w:rsidRPr="007F62B6">
        <w:rPr>
          <w:lang w:val="en-GB"/>
        </w:rPr>
        <w:t xml:space="preserve">IOA programs. These new hires </w:t>
      </w:r>
      <w:r w:rsidR="0051798A">
        <w:rPr>
          <w:lang w:val="en-GB"/>
        </w:rPr>
        <w:t>needed</w:t>
      </w:r>
      <w:r w:rsidR="0051798A" w:rsidRPr="007F62B6">
        <w:rPr>
          <w:lang w:val="en-GB"/>
        </w:rPr>
        <w:t xml:space="preserve"> </w:t>
      </w:r>
      <w:r w:rsidRPr="007F62B6">
        <w:rPr>
          <w:lang w:val="en-GB"/>
        </w:rPr>
        <w:t xml:space="preserve">to be willing to share best practices and coordinate activities with managers in other geographic regions. In addition, they </w:t>
      </w:r>
      <w:r w:rsidR="0051798A">
        <w:rPr>
          <w:lang w:val="en-GB"/>
        </w:rPr>
        <w:t>needed</w:t>
      </w:r>
      <w:r w:rsidR="0051798A" w:rsidRPr="007F62B6">
        <w:rPr>
          <w:lang w:val="en-GB"/>
        </w:rPr>
        <w:t xml:space="preserve"> </w:t>
      </w:r>
      <w:r w:rsidRPr="007F62B6">
        <w:rPr>
          <w:lang w:val="en-GB"/>
        </w:rPr>
        <w:t>to embrace strategic decisions made by the leadership in San Francisco</w:t>
      </w:r>
      <w:r w:rsidR="0051798A">
        <w:rPr>
          <w:lang w:val="en-GB"/>
        </w:rPr>
        <w:t>,</w:t>
      </w:r>
      <w:r w:rsidRPr="007F62B6">
        <w:rPr>
          <w:lang w:val="en-GB"/>
        </w:rPr>
        <w:t xml:space="preserve"> </w:t>
      </w:r>
      <w:r w:rsidR="0051798A">
        <w:rPr>
          <w:lang w:val="en-GB"/>
        </w:rPr>
        <w:t xml:space="preserve">even if </w:t>
      </w:r>
      <w:r w:rsidR="00054128">
        <w:rPr>
          <w:lang w:val="en-GB"/>
        </w:rPr>
        <w:t>doing so</w:t>
      </w:r>
      <w:r w:rsidR="0051798A" w:rsidRPr="007F62B6">
        <w:rPr>
          <w:lang w:val="en-GB"/>
        </w:rPr>
        <w:t xml:space="preserve"> </w:t>
      </w:r>
      <w:r w:rsidRPr="007F62B6">
        <w:rPr>
          <w:lang w:val="en-GB"/>
        </w:rPr>
        <w:t>might burden local programs. For example, regional employees were asked to use enterprise-wide information systems that facilitated cross-program integration</w:t>
      </w:r>
      <w:r w:rsidR="001C1FC0">
        <w:rPr>
          <w:lang w:val="en-GB"/>
        </w:rPr>
        <w:t>,</w:t>
      </w:r>
      <w:r w:rsidRPr="007F62B6">
        <w:rPr>
          <w:lang w:val="en-GB"/>
        </w:rPr>
        <w:t xml:space="preserve"> but </w:t>
      </w:r>
      <w:r w:rsidR="00054128">
        <w:rPr>
          <w:lang w:val="en-GB"/>
        </w:rPr>
        <w:t>using these systems</w:t>
      </w:r>
      <w:r w:rsidR="00054128" w:rsidRPr="007F62B6">
        <w:rPr>
          <w:lang w:val="en-GB"/>
        </w:rPr>
        <w:t xml:space="preserve"> </w:t>
      </w:r>
      <w:r w:rsidRPr="007F62B6">
        <w:rPr>
          <w:lang w:val="en-GB"/>
        </w:rPr>
        <w:t>increased their administrative workload.</w:t>
      </w:r>
    </w:p>
    <w:p w14:paraId="73FAC09B" w14:textId="77777777" w:rsidR="00F35080" w:rsidRPr="00FD25A0" w:rsidRDefault="00F35080" w:rsidP="00A6242C">
      <w:pPr>
        <w:pStyle w:val="BodyTextMain"/>
        <w:rPr>
          <w:sz w:val="20"/>
          <w:lang w:val="en-GB"/>
        </w:rPr>
      </w:pPr>
    </w:p>
    <w:p w14:paraId="75BBDD70" w14:textId="664745A3" w:rsidR="00F35080" w:rsidRPr="007F62B6" w:rsidRDefault="00F35080" w:rsidP="00A6242C">
      <w:pPr>
        <w:pStyle w:val="BodyTextMain"/>
        <w:rPr>
          <w:lang w:val="en-GB"/>
        </w:rPr>
      </w:pPr>
      <w:r w:rsidRPr="001F75EE">
        <w:rPr>
          <w:spacing w:val="-2"/>
          <w:kern w:val="22"/>
          <w:lang w:val="en-GB"/>
        </w:rPr>
        <w:t xml:space="preserve">Geographic expansion also meant creating systems that permitted supervisors to remotely monitor operations. Dashboards </w:t>
      </w:r>
      <w:r w:rsidR="0051798A" w:rsidRPr="001F75EE">
        <w:rPr>
          <w:spacing w:val="-2"/>
          <w:kern w:val="22"/>
          <w:lang w:val="en-GB"/>
        </w:rPr>
        <w:t xml:space="preserve">needed </w:t>
      </w:r>
      <w:r w:rsidRPr="001F75EE">
        <w:rPr>
          <w:spacing w:val="-2"/>
          <w:kern w:val="22"/>
          <w:lang w:val="en-GB"/>
        </w:rPr>
        <w:t xml:space="preserve">to be developed for such metrics as the number of seniors served per month and the relapse rate for individuals who </w:t>
      </w:r>
      <w:r w:rsidR="00054128" w:rsidRPr="001F75EE">
        <w:rPr>
          <w:spacing w:val="-2"/>
          <w:kern w:val="22"/>
          <w:lang w:val="en-GB"/>
        </w:rPr>
        <w:t xml:space="preserve">had </w:t>
      </w:r>
      <w:r w:rsidRPr="001F75EE">
        <w:rPr>
          <w:spacing w:val="-2"/>
          <w:kern w:val="22"/>
          <w:lang w:val="en-GB"/>
        </w:rPr>
        <w:t xml:space="preserve">transitioned out of nursing homes. Managers </w:t>
      </w:r>
      <w:r w:rsidR="0051798A" w:rsidRPr="001F75EE">
        <w:rPr>
          <w:spacing w:val="-2"/>
          <w:kern w:val="22"/>
          <w:lang w:val="en-GB"/>
        </w:rPr>
        <w:t xml:space="preserve">needed </w:t>
      </w:r>
      <w:r w:rsidRPr="001F75EE">
        <w:rPr>
          <w:spacing w:val="-2"/>
          <w:kern w:val="22"/>
          <w:lang w:val="en-GB"/>
        </w:rPr>
        <w:t>to “figure out ways to evaluate whether or not we are on track without necessarily being there in that office every day.</w:t>
      </w:r>
      <w:r w:rsidRPr="007F62B6">
        <w:rPr>
          <w:lang w:val="en-GB"/>
        </w:rPr>
        <w:t xml:space="preserve">” </w:t>
      </w:r>
    </w:p>
    <w:p w14:paraId="432AF784" w14:textId="77777777" w:rsidR="00F35080" w:rsidRPr="00FD25A0" w:rsidRDefault="00F35080" w:rsidP="00A6242C">
      <w:pPr>
        <w:pStyle w:val="BodyTextMain"/>
        <w:rPr>
          <w:sz w:val="20"/>
          <w:lang w:val="en-GB"/>
        </w:rPr>
      </w:pPr>
    </w:p>
    <w:p w14:paraId="62665719" w14:textId="69264A71" w:rsidR="00F35080" w:rsidRPr="007F62B6" w:rsidRDefault="00F35080" w:rsidP="00A6242C">
      <w:pPr>
        <w:pStyle w:val="BodyTextMain"/>
        <w:rPr>
          <w:lang w:val="en-GB"/>
        </w:rPr>
      </w:pPr>
      <w:r w:rsidRPr="007F62B6">
        <w:rPr>
          <w:lang w:val="en-GB"/>
        </w:rPr>
        <w:t xml:space="preserve">Among the senior leadership, concerns were growing that the organization was rushing into new ventures without </w:t>
      </w:r>
      <w:r w:rsidR="00054128">
        <w:rPr>
          <w:lang w:val="en-GB"/>
        </w:rPr>
        <w:t xml:space="preserve">conducting proper </w:t>
      </w:r>
      <w:r w:rsidRPr="007F62B6">
        <w:rPr>
          <w:lang w:val="en-GB"/>
        </w:rPr>
        <w:t>due diligence. In San Mateo</w:t>
      </w:r>
      <w:r w:rsidR="0051798A">
        <w:rPr>
          <w:lang w:val="en-GB"/>
        </w:rPr>
        <w:t>,</w:t>
      </w:r>
      <w:r w:rsidRPr="007F62B6">
        <w:rPr>
          <w:lang w:val="en-GB"/>
        </w:rPr>
        <w:t xml:space="preserve"> the needs of the CLP had been quite different from </w:t>
      </w:r>
      <w:r w:rsidR="0051798A">
        <w:rPr>
          <w:lang w:val="en-GB"/>
        </w:rPr>
        <w:t xml:space="preserve">the needs of </w:t>
      </w:r>
      <w:r w:rsidRPr="007F62B6">
        <w:rPr>
          <w:lang w:val="en-GB"/>
        </w:rPr>
        <w:t>the CLF in San Francisco. Consequently, the start</w:t>
      </w:r>
      <w:r w:rsidR="0051798A">
        <w:rPr>
          <w:lang w:val="en-GB"/>
        </w:rPr>
        <w:t>-</w:t>
      </w:r>
      <w:r w:rsidRPr="007F62B6">
        <w:rPr>
          <w:lang w:val="en-GB"/>
        </w:rPr>
        <w:t>up phase had been more costly and time-consuming than anticipated. As one vice</w:t>
      </w:r>
      <w:r w:rsidR="0051798A">
        <w:rPr>
          <w:lang w:val="en-GB"/>
        </w:rPr>
        <w:t>-</w:t>
      </w:r>
      <w:r w:rsidRPr="007F62B6">
        <w:rPr>
          <w:lang w:val="en-GB"/>
        </w:rPr>
        <w:t>president phrased it, “</w:t>
      </w:r>
      <w:r w:rsidR="0051798A">
        <w:rPr>
          <w:lang w:val="en-GB"/>
        </w:rPr>
        <w:t>S</w:t>
      </w:r>
      <w:r w:rsidRPr="007F62B6">
        <w:rPr>
          <w:lang w:val="en-GB"/>
        </w:rPr>
        <w:t>ometimes our expectations and aspirations have not had all the rigo</w:t>
      </w:r>
      <w:r w:rsidR="0051798A">
        <w:rPr>
          <w:lang w:val="en-GB"/>
        </w:rPr>
        <w:t>u</w:t>
      </w:r>
      <w:r w:rsidRPr="007F62B6">
        <w:rPr>
          <w:lang w:val="en-GB"/>
        </w:rPr>
        <w:t>r that they need.”</w:t>
      </w:r>
    </w:p>
    <w:p w14:paraId="0B283340" w14:textId="77777777" w:rsidR="00F35080" w:rsidRPr="00FD25A0" w:rsidRDefault="00F35080" w:rsidP="00A6242C">
      <w:pPr>
        <w:pStyle w:val="BodyTextMain"/>
        <w:rPr>
          <w:sz w:val="20"/>
          <w:lang w:val="en-GB"/>
        </w:rPr>
      </w:pPr>
    </w:p>
    <w:p w14:paraId="2042D793" w14:textId="4CDEFD80" w:rsidR="00F35080" w:rsidRPr="007F62B6" w:rsidRDefault="00F35080" w:rsidP="00A6242C">
      <w:pPr>
        <w:pStyle w:val="BodyTextMain"/>
        <w:rPr>
          <w:lang w:val="en-GB"/>
        </w:rPr>
      </w:pPr>
      <w:r w:rsidRPr="007F62B6">
        <w:rPr>
          <w:lang w:val="en-GB"/>
        </w:rPr>
        <w:t xml:space="preserve">Addressing these challenges meant adopting new tactics. Before securing a large contract, prospective clients were now encouraged to conduct a comprehensive needs assessment. This process not only clarified the scope of work but also gave </w:t>
      </w:r>
      <w:r w:rsidR="006F5E22">
        <w:rPr>
          <w:lang w:val="en-GB"/>
        </w:rPr>
        <w:t xml:space="preserve">the </w:t>
      </w:r>
      <w:r w:rsidRPr="007F62B6">
        <w:rPr>
          <w:lang w:val="en-GB"/>
        </w:rPr>
        <w:t>IOA an opportunity to evaluate who benefited from the services it provided. In some counties, the structure of Medicare and Medicaid payments returned the cost</w:t>
      </w:r>
      <w:r w:rsidR="004C3405">
        <w:rPr>
          <w:lang w:val="en-GB"/>
        </w:rPr>
        <w:t xml:space="preserve"> </w:t>
      </w:r>
      <w:r w:rsidRPr="007F62B6">
        <w:rPr>
          <w:lang w:val="en-GB"/>
        </w:rPr>
        <w:t xml:space="preserve">savings to the federal government. In other counties, the value was captured by the county health plan. By performing a needs assessment, </w:t>
      </w:r>
      <w:r w:rsidR="006F5E22">
        <w:rPr>
          <w:lang w:val="en-GB"/>
        </w:rPr>
        <w:t xml:space="preserve">the </w:t>
      </w:r>
      <w:r w:rsidRPr="007F62B6">
        <w:rPr>
          <w:lang w:val="en-GB"/>
        </w:rPr>
        <w:t xml:space="preserve">IOA could adapt its approach to satisfy both the fiscal objectives of its clients and the needs of seniors in the community. </w:t>
      </w:r>
    </w:p>
    <w:p w14:paraId="3F54D428" w14:textId="77777777" w:rsidR="00F35080" w:rsidRPr="00FD25A0" w:rsidRDefault="00F35080" w:rsidP="00A6242C">
      <w:pPr>
        <w:pStyle w:val="BodyTextMain"/>
        <w:rPr>
          <w:sz w:val="20"/>
          <w:lang w:val="en-GB"/>
        </w:rPr>
      </w:pPr>
    </w:p>
    <w:p w14:paraId="345BCD63" w14:textId="55A06D81" w:rsidR="00F35080" w:rsidRPr="007F62B6" w:rsidRDefault="00F35080" w:rsidP="00A6242C">
      <w:pPr>
        <w:pStyle w:val="BodyTextMain"/>
        <w:rPr>
          <w:lang w:val="en-GB"/>
        </w:rPr>
      </w:pPr>
      <w:r w:rsidRPr="007F62B6">
        <w:rPr>
          <w:lang w:val="en-GB"/>
        </w:rPr>
        <w:t xml:space="preserve">Steps were also taken to monitor the morale of employees whose responsibilities were expanding. </w:t>
      </w:r>
      <w:r w:rsidR="004C3405">
        <w:rPr>
          <w:lang w:val="en-GB"/>
        </w:rPr>
        <w:t>Alt</w:t>
      </w:r>
      <w:r w:rsidR="004C3405" w:rsidRPr="007F62B6">
        <w:rPr>
          <w:lang w:val="en-GB"/>
        </w:rPr>
        <w:t xml:space="preserve">hough </w:t>
      </w:r>
      <w:r w:rsidRPr="007F62B6">
        <w:rPr>
          <w:lang w:val="en-GB"/>
        </w:rPr>
        <w:t xml:space="preserve">progress was slow, the trend lines from the latest staff engagement surveys were encouraging. The </w:t>
      </w:r>
      <w:r w:rsidRPr="007F62B6">
        <w:rPr>
          <w:lang w:val="en-GB"/>
        </w:rPr>
        <w:lastRenderedPageBreak/>
        <w:t>percentage of employees who reported favo</w:t>
      </w:r>
      <w:r w:rsidR="004C3405">
        <w:rPr>
          <w:lang w:val="en-GB"/>
        </w:rPr>
        <w:t>u</w:t>
      </w:r>
      <w:r w:rsidRPr="007F62B6">
        <w:rPr>
          <w:lang w:val="en-GB"/>
        </w:rPr>
        <w:t>rable views of the organization increased from 68 per cent in 2014 to 73 per cent in 2016. Favo</w:t>
      </w:r>
      <w:r w:rsidR="004C3405">
        <w:rPr>
          <w:lang w:val="en-GB"/>
        </w:rPr>
        <w:t>u</w:t>
      </w:r>
      <w:r w:rsidRPr="007F62B6">
        <w:rPr>
          <w:lang w:val="en-GB"/>
        </w:rPr>
        <w:t>rable views of managers increased from 74 per cent to 76 per cent. Perhaps most strikingly, the percentage of employees who felt that</w:t>
      </w:r>
      <w:r w:rsidR="002121E6">
        <w:rPr>
          <w:lang w:val="en-GB"/>
        </w:rPr>
        <w:t xml:space="preserve"> the</w:t>
      </w:r>
      <w:r w:rsidRPr="007F62B6">
        <w:rPr>
          <w:lang w:val="en-GB"/>
        </w:rPr>
        <w:t xml:space="preserve"> IOA had effective methods for responding to their needs increased from 51 per cent to 62 per cent. </w:t>
      </w:r>
    </w:p>
    <w:p w14:paraId="40E3140D" w14:textId="77777777" w:rsidR="00F35080" w:rsidRPr="00FD25A0" w:rsidRDefault="00F35080" w:rsidP="00A6242C">
      <w:pPr>
        <w:pStyle w:val="BodyTextMain"/>
        <w:rPr>
          <w:sz w:val="20"/>
          <w:szCs w:val="20"/>
          <w:lang w:val="en-GB"/>
        </w:rPr>
      </w:pPr>
    </w:p>
    <w:p w14:paraId="6284FC54" w14:textId="73DBFE85" w:rsidR="00F35080" w:rsidRPr="007F62B6" w:rsidRDefault="00F35080" w:rsidP="00A6242C">
      <w:pPr>
        <w:pStyle w:val="BodyTextMain"/>
        <w:rPr>
          <w:lang w:val="en-GB"/>
        </w:rPr>
      </w:pPr>
      <w:r w:rsidRPr="007F62B6">
        <w:rPr>
          <w:lang w:val="en-GB"/>
        </w:rPr>
        <w:t xml:space="preserve">Over time, many employees viewed the prior turnover at </w:t>
      </w:r>
      <w:r w:rsidR="006F5E22">
        <w:rPr>
          <w:lang w:val="en-GB"/>
        </w:rPr>
        <w:t xml:space="preserve">the </w:t>
      </w:r>
      <w:r w:rsidRPr="007F62B6">
        <w:rPr>
          <w:lang w:val="en-GB"/>
        </w:rPr>
        <w:t xml:space="preserve">IOA as a painful but necessary step. “There was some house cleaning that I think needed to happen,” stated one staff member. Others worried that acting like a for-profit firm would irrevocably damage the culture of the organization. Managers at </w:t>
      </w:r>
      <w:r w:rsidR="006F5E22">
        <w:rPr>
          <w:lang w:val="en-GB"/>
        </w:rPr>
        <w:t xml:space="preserve">the </w:t>
      </w:r>
      <w:r w:rsidRPr="007F62B6">
        <w:rPr>
          <w:lang w:val="en-GB"/>
        </w:rPr>
        <w:t xml:space="preserve">IOA had developed the habit of routinely discussing financial metrics. Equal attention now needed to be </w:t>
      </w:r>
      <w:r w:rsidR="004C3405">
        <w:rPr>
          <w:lang w:val="en-GB"/>
        </w:rPr>
        <w:t>extended</w:t>
      </w:r>
      <w:r w:rsidR="004C3405" w:rsidRPr="007F62B6">
        <w:rPr>
          <w:lang w:val="en-GB"/>
        </w:rPr>
        <w:t xml:space="preserve"> </w:t>
      </w:r>
      <w:r w:rsidRPr="007F62B6">
        <w:rPr>
          <w:lang w:val="en-GB"/>
        </w:rPr>
        <w:t>to the quality of care provided. As one supervisor put it, “What I fear is that we shift that balance so much to being so dollar-driven that we lose the special sauce we have had.”</w:t>
      </w:r>
    </w:p>
    <w:p w14:paraId="22D118E8" w14:textId="77777777" w:rsidR="00F35080" w:rsidRPr="00FD25A0" w:rsidRDefault="00F35080" w:rsidP="00F35080">
      <w:pPr>
        <w:ind w:firstLine="360"/>
        <w:rPr>
          <w:lang w:val="en-GB"/>
        </w:rPr>
      </w:pPr>
    </w:p>
    <w:p w14:paraId="4AB52F75" w14:textId="77777777" w:rsidR="00F35080" w:rsidRPr="00FD25A0" w:rsidRDefault="00F35080" w:rsidP="00F35080">
      <w:pPr>
        <w:ind w:firstLine="360"/>
        <w:rPr>
          <w:lang w:val="en-GB"/>
        </w:rPr>
      </w:pPr>
    </w:p>
    <w:p w14:paraId="23EA77AB" w14:textId="732B9088" w:rsidR="00F35080" w:rsidRPr="007F62B6" w:rsidRDefault="00F35080" w:rsidP="00A6242C">
      <w:pPr>
        <w:pStyle w:val="Casehead1"/>
        <w:rPr>
          <w:lang w:val="en-GB"/>
        </w:rPr>
      </w:pPr>
      <w:r w:rsidRPr="007F62B6">
        <w:rPr>
          <w:lang w:val="en-GB"/>
        </w:rPr>
        <w:t>Non</w:t>
      </w:r>
      <w:r w:rsidR="00EF06BA">
        <w:rPr>
          <w:lang w:val="en-GB"/>
        </w:rPr>
        <w:t>-</w:t>
      </w:r>
      <w:r w:rsidRPr="007F62B6">
        <w:rPr>
          <w:lang w:val="en-GB"/>
        </w:rPr>
        <w:t>profit, For-profit, or Hybrid?</w:t>
      </w:r>
    </w:p>
    <w:p w14:paraId="74FD9EA1" w14:textId="77777777" w:rsidR="00F35080" w:rsidRPr="00FD25A0" w:rsidRDefault="00F35080" w:rsidP="00F35080">
      <w:pPr>
        <w:ind w:firstLine="360"/>
        <w:rPr>
          <w:lang w:val="en-GB"/>
        </w:rPr>
      </w:pPr>
    </w:p>
    <w:p w14:paraId="40BB7994" w14:textId="303EA03B" w:rsidR="00F35080" w:rsidRPr="007F62B6" w:rsidRDefault="00F35080" w:rsidP="00A6242C">
      <w:pPr>
        <w:pStyle w:val="BodyTextMain"/>
        <w:rPr>
          <w:lang w:val="en-GB"/>
        </w:rPr>
      </w:pPr>
      <w:r w:rsidRPr="00FD25A0">
        <w:rPr>
          <w:spacing w:val="-2"/>
          <w:kern w:val="22"/>
          <w:lang w:val="en-GB"/>
        </w:rPr>
        <w:t>The decision to act like a for-profit was a strategy adopted by many non</w:t>
      </w:r>
      <w:r w:rsidR="00EF06BA" w:rsidRPr="00FD25A0">
        <w:rPr>
          <w:spacing w:val="-2"/>
          <w:kern w:val="22"/>
          <w:lang w:val="en-GB"/>
        </w:rPr>
        <w:t>-</w:t>
      </w:r>
      <w:r w:rsidRPr="00FD25A0">
        <w:rPr>
          <w:spacing w:val="-2"/>
          <w:kern w:val="22"/>
          <w:lang w:val="en-GB"/>
        </w:rPr>
        <w:t>profits that found themselves in competitive markets.</w:t>
      </w:r>
      <w:r w:rsidRPr="00FD25A0">
        <w:rPr>
          <w:rStyle w:val="FootnoteReference"/>
          <w:spacing w:val="-2"/>
          <w:kern w:val="22"/>
          <w:lang w:val="en-GB"/>
        </w:rPr>
        <w:footnoteReference w:id="7"/>
      </w:r>
      <w:r w:rsidRPr="00FD25A0">
        <w:rPr>
          <w:spacing w:val="-2"/>
          <w:kern w:val="22"/>
          <w:lang w:val="en-GB"/>
        </w:rPr>
        <w:t xml:space="preserve"> The question that often arose was how far that transformation should be taken. In 2015, the </w:t>
      </w:r>
      <w:r w:rsidR="008D6FB6" w:rsidRPr="00FD25A0">
        <w:rPr>
          <w:spacing w:val="-2"/>
          <w:kern w:val="22"/>
          <w:lang w:val="en-GB"/>
        </w:rPr>
        <w:t>US</w:t>
      </w:r>
      <w:r w:rsidR="006009F3" w:rsidRPr="00FD25A0">
        <w:rPr>
          <w:spacing w:val="-2"/>
          <w:kern w:val="22"/>
          <w:lang w:val="en-GB"/>
        </w:rPr>
        <w:t xml:space="preserve"> </w:t>
      </w:r>
      <w:r w:rsidRPr="00FD25A0">
        <w:rPr>
          <w:spacing w:val="-2"/>
          <w:kern w:val="22"/>
          <w:lang w:val="en-GB"/>
        </w:rPr>
        <w:t xml:space="preserve">federal government changed the rules that </w:t>
      </w:r>
      <w:r w:rsidR="006009F3" w:rsidRPr="00FD25A0">
        <w:rPr>
          <w:spacing w:val="-2"/>
          <w:kern w:val="22"/>
          <w:lang w:val="en-GB"/>
        </w:rPr>
        <w:t xml:space="preserve">had </w:t>
      </w:r>
      <w:r w:rsidRPr="00FD25A0">
        <w:rPr>
          <w:spacing w:val="-2"/>
          <w:kern w:val="22"/>
          <w:lang w:val="en-GB"/>
        </w:rPr>
        <w:t xml:space="preserve">formerly prevented PACE from being owned and operated by for-profits. Since then, companies with access to vast amounts of capital were suddenly entering the market. “The game is all changed,” </w:t>
      </w:r>
      <w:proofErr w:type="spellStart"/>
      <w:r w:rsidRPr="00FD25A0">
        <w:rPr>
          <w:spacing w:val="-2"/>
          <w:kern w:val="22"/>
          <w:lang w:val="en-GB"/>
        </w:rPr>
        <w:t>Briody</w:t>
      </w:r>
      <w:proofErr w:type="spellEnd"/>
      <w:r w:rsidRPr="00FD25A0">
        <w:rPr>
          <w:spacing w:val="-2"/>
          <w:kern w:val="22"/>
          <w:lang w:val="en-GB"/>
        </w:rPr>
        <w:t xml:space="preserve"> observed. “You have all these for-profit entities coming into the marketplace—</w:t>
      </w:r>
      <w:proofErr w:type="spellStart"/>
      <w:r w:rsidRPr="00FD25A0">
        <w:rPr>
          <w:spacing w:val="-2"/>
          <w:kern w:val="22"/>
          <w:lang w:val="en-GB"/>
        </w:rPr>
        <w:t>InnovAge</w:t>
      </w:r>
      <w:proofErr w:type="spellEnd"/>
      <w:r w:rsidRPr="00FD25A0">
        <w:rPr>
          <w:spacing w:val="-2"/>
          <w:kern w:val="22"/>
          <w:lang w:val="en-GB"/>
        </w:rPr>
        <w:t xml:space="preserve"> is one of them—with huge aspirational goals of taking over the world</w:t>
      </w:r>
      <w:r w:rsidRPr="007F62B6">
        <w:rPr>
          <w:lang w:val="en-GB"/>
        </w:rPr>
        <w:t>.”</w:t>
      </w:r>
    </w:p>
    <w:p w14:paraId="7333FC9A" w14:textId="77777777" w:rsidR="00F35080" w:rsidRPr="00FD25A0" w:rsidRDefault="00F35080" w:rsidP="00A6242C">
      <w:pPr>
        <w:pStyle w:val="BodyTextMain"/>
        <w:rPr>
          <w:sz w:val="20"/>
          <w:szCs w:val="20"/>
          <w:lang w:val="en-GB"/>
        </w:rPr>
      </w:pPr>
    </w:p>
    <w:p w14:paraId="2C6E97FB" w14:textId="272E403E" w:rsidR="00F35080" w:rsidRPr="007F62B6" w:rsidRDefault="00F35080" w:rsidP="00A6242C">
      <w:pPr>
        <w:pStyle w:val="BodyTextMain"/>
        <w:rPr>
          <w:lang w:val="en-GB"/>
        </w:rPr>
      </w:pPr>
      <w:r w:rsidRPr="007F62B6">
        <w:rPr>
          <w:lang w:val="en-GB"/>
        </w:rPr>
        <w:t xml:space="preserve">Competitors </w:t>
      </w:r>
      <w:r w:rsidR="006009F3">
        <w:rPr>
          <w:lang w:val="en-GB"/>
        </w:rPr>
        <w:t>such as</w:t>
      </w:r>
      <w:r w:rsidR="006009F3" w:rsidRPr="007F62B6">
        <w:rPr>
          <w:lang w:val="en-GB"/>
        </w:rPr>
        <w:t xml:space="preserve"> </w:t>
      </w:r>
      <w:proofErr w:type="spellStart"/>
      <w:r w:rsidRPr="007F62B6">
        <w:rPr>
          <w:lang w:val="en-GB"/>
        </w:rPr>
        <w:t>InnovAge</w:t>
      </w:r>
      <w:proofErr w:type="spellEnd"/>
      <w:r w:rsidRPr="007F62B6">
        <w:rPr>
          <w:lang w:val="en-GB"/>
        </w:rPr>
        <w:t xml:space="preserve"> were able to pursue growth on a scale that </w:t>
      </w:r>
      <w:r w:rsidR="006F5E22">
        <w:rPr>
          <w:lang w:val="en-GB"/>
        </w:rPr>
        <w:t xml:space="preserve">the </w:t>
      </w:r>
      <w:r w:rsidRPr="007F62B6">
        <w:rPr>
          <w:lang w:val="en-GB"/>
        </w:rPr>
        <w:t xml:space="preserve">IOA could not match. However, their expansion was still regulated by state and local governments. Moreover, attracting and retaining talent was a challenge. Many professionals </w:t>
      </w:r>
      <w:r w:rsidR="006009F3">
        <w:rPr>
          <w:lang w:val="en-GB"/>
        </w:rPr>
        <w:t>who had</w:t>
      </w:r>
      <w:r w:rsidR="006009F3" w:rsidRPr="007F62B6">
        <w:rPr>
          <w:lang w:val="en-GB"/>
        </w:rPr>
        <w:t xml:space="preserve"> </w:t>
      </w:r>
      <w:r w:rsidRPr="007F62B6">
        <w:rPr>
          <w:lang w:val="en-GB"/>
        </w:rPr>
        <w:t xml:space="preserve">degrees in nursing and social work </w:t>
      </w:r>
      <w:r w:rsidR="006009F3">
        <w:rPr>
          <w:lang w:val="en-GB"/>
        </w:rPr>
        <w:t xml:space="preserve">also </w:t>
      </w:r>
      <w:r w:rsidRPr="007F62B6">
        <w:rPr>
          <w:lang w:val="en-GB"/>
        </w:rPr>
        <w:t>had large student debt</w:t>
      </w:r>
      <w:r w:rsidR="006009F3">
        <w:rPr>
          <w:lang w:val="en-GB"/>
        </w:rPr>
        <w:t>s</w:t>
      </w:r>
      <w:r w:rsidRPr="007F62B6">
        <w:rPr>
          <w:lang w:val="en-GB"/>
        </w:rPr>
        <w:t xml:space="preserve">, and under the </w:t>
      </w:r>
      <w:r w:rsidR="008D6FB6">
        <w:rPr>
          <w:lang w:val="en-GB"/>
        </w:rPr>
        <w:t>US</w:t>
      </w:r>
      <w:r w:rsidR="008B002B">
        <w:rPr>
          <w:lang w:val="en-GB"/>
        </w:rPr>
        <w:t xml:space="preserve"> </w:t>
      </w:r>
      <w:r w:rsidRPr="007F62B6">
        <w:rPr>
          <w:lang w:val="en-GB"/>
        </w:rPr>
        <w:t>federal Public Service Loan Forgiveness program that debt could be erased if the individual made 120 qualifying monthly payments while working at a non</w:t>
      </w:r>
      <w:r w:rsidR="00EF06BA">
        <w:rPr>
          <w:lang w:val="en-GB"/>
        </w:rPr>
        <w:t>-</w:t>
      </w:r>
      <w:r w:rsidRPr="007F62B6">
        <w:rPr>
          <w:lang w:val="en-GB"/>
        </w:rPr>
        <w:t xml:space="preserve">profit. This </w:t>
      </w:r>
      <w:r w:rsidR="006009F3">
        <w:rPr>
          <w:lang w:val="en-GB"/>
        </w:rPr>
        <w:t xml:space="preserve">arrangement </w:t>
      </w:r>
      <w:r w:rsidRPr="007F62B6">
        <w:rPr>
          <w:lang w:val="en-GB"/>
        </w:rPr>
        <w:t xml:space="preserve">gave organizations </w:t>
      </w:r>
      <w:r w:rsidR="006F5E22">
        <w:rPr>
          <w:lang w:val="en-GB"/>
        </w:rPr>
        <w:t xml:space="preserve">such as the </w:t>
      </w:r>
      <w:r w:rsidRPr="007F62B6">
        <w:rPr>
          <w:lang w:val="en-GB"/>
        </w:rPr>
        <w:t xml:space="preserve">IOA a tremendous staffing advantage over for-profits </w:t>
      </w:r>
      <w:r w:rsidR="006009F3">
        <w:rPr>
          <w:lang w:val="en-GB"/>
        </w:rPr>
        <w:t>such as</w:t>
      </w:r>
      <w:r w:rsidR="006009F3" w:rsidRPr="007F62B6">
        <w:rPr>
          <w:lang w:val="en-GB"/>
        </w:rPr>
        <w:t xml:space="preserve"> </w:t>
      </w:r>
      <w:proofErr w:type="spellStart"/>
      <w:r w:rsidRPr="007F62B6">
        <w:rPr>
          <w:lang w:val="en-GB"/>
        </w:rPr>
        <w:t>InnovAge</w:t>
      </w:r>
      <w:proofErr w:type="spellEnd"/>
      <w:r w:rsidRPr="007F62B6">
        <w:rPr>
          <w:lang w:val="en-GB"/>
        </w:rPr>
        <w:t xml:space="preserve">. </w:t>
      </w:r>
      <w:bookmarkStart w:id="0" w:name="_GoBack"/>
      <w:bookmarkEnd w:id="0"/>
    </w:p>
    <w:p w14:paraId="29C951B9" w14:textId="77777777" w:rsidR="00F35080" w:rsidRPr="00FD25A0" w:rsidRDefault="00F35080" w:rsidP="00A6242C">
      <w:pPr>
        <w:pStyle w:val="BodyTextMain"/>
        <w:rPr>
          <w:sz w:val="20"/>
          <w:szCs w:val="20"/>
          <w:lang w:val="en-GB"/>
        </w:rPr>
      </w:pPr>
    </w:p>
    <w:p w14:paraId="2B51025F" w14:textId="725C51C3" w:rsidR="00F35080" w:rsidRPr="007F62B6" w:rsidRDefault="00F35080" w:rsidP="00A6242C">
      <w:pPr>
        <w:pStyle w:val="BodyTextMain"/>
        <w:rPr>
          <w:lang w:val="en-GB"/>
        </w:rPr>
      </w:pPr>
      <w:proofErr w:type="spellStart"/>
      <w:r w:rsidRPr="007F62B6">
        <w:rPr>
          <w:lang w:val="en-GB"/>
        </w:rPr>
        <w:t>Briody</w:t>
      </w:r>
      <w:proofErr w:type="spellEnd"/>
      <w:r w:rsidRPr="007F62B6">
        <w:rPr>
          <w:lang w:val="en-GB"/>
        </w:rPr>
        <w:t xml:space="preserve"> weighed the pros and cons as he considered his next step. Should </w:t>
      </w:r>
      <w:r w:rsidR="006F5E22">
        <w:rPr>
          <w:lang w:val="en-GB"/>
        </w:rPr>
        <w:t xml:space="preserve">the </w:t>
      </w:r>
      <w:r w:rsidRPr="007F62B6">
        <w:rPr>
          <w:lang w:val="en-GB"/>
        </w:rPr>
        <w:t>IOA remain a non</w:t>
      </w:r>
      <w:r w:rsidR="00EF06BA">
        <w:rPr>
          <w:lang w:val="en-GB"/>
        </w:rPr>
        <w:t>-</w:t>
      </w:r>
      <w:r w:rsidRPr="007F62B6">
        <w:rPr>
          <w:lang w:val="en-GB"/>
        </w:rPr>
        <w:t xml:space="preserve">profit or become a for-profit? Should he pursue a hybrid model by collaborating with other organizations to form a low-profit </w:t>
      </w:r>
      <w:r w:rsidR="006009F3">
        <w:rPr>
          <w:lang w:val="en-GB"/>
        </w:rPr>
        <w:t>l</w:t>
      </w:r>
      <w:r w:rsidRPr="007F62B6">
        <w:rPr>
          <w:lang w:val="en-GB"/>
        </w:rPr>
        <w:t xml:space="preserve">imited </w:t>
      </w:r>
      <w:r w:rsidR="006009F3">
        <w:rPr>
          <w:lang w:val="en-GB"/>
        </w:rPr>
        <w:t>l</w:t>
      </w:r>
      <w:r w:rsidRPr="007F62B6">
        <w:rPr>
          <w:lang w:val="en-GB"/>
        </w:rPr>
        <w:t xml:space="preserve">iability </w:t>
      </w:r>
      <w:r w:rsidR="006009F3">
        <w:rPr>
          <w:lang w:val="en-GB"/>
        </w:rPr>
        <w:t>c</w:t>
      </w:r>
      <w:r w:rsidRPr="007F62B6">
        <w:rPr>
          <w:lang w:val="en-GB"/>
        </w:rPr>
        <w:t xml:space="preserve">ompany? Should he attempt to protect </w:t>
      </w:r>
      <w:r w:rsidR="006F5E22">
        <w:rPr>
          <w:lang w:val="en-GB"/>
        </w:rPr>
        <w:t xml:space="preserve">the </w:t>
      </w:r>
      <w:r w:rsidRPr="007F62B6">
        <w:rPr>
          <w:lang w:val="en-GB"/>
        </w:rPr>
        <w:t xml:space="preserve">IOA against the coming wave of competition by merging with a larger organization? And what should he do about ensuring the successful execution of his growth strategy? </w:t>
      </w:r>
      <w:proofErr w:type="spellStart"/>
      <w:r w:rsidRPr="007F62B6">
        <w:rPr>
          <w:lang w:val="en-GB"/>
        </w:rPr>
        <w:t>Briody</w:t>
      </w:r>
      <w:proofErr w:type="spellEnd"/>
      <w:r w:rsidRPr="007F62B6">
        <w:rPr>
          <w:lang w:val="en-GB"/>
        </w:rPr>
        <w:t xml:space="preserve"> had prevented the ship from sinking. Now he needed to find a safe harbo</w:t>
      </w:r>
      <w:r w:rsidR="006009F3">
        <w:rPr>
          <w:lang w:val="en-GB"/>
        </w:rPr>
        <w:t>u</w:t>
      </w:r>
      <w:r w:rsidRPr="007F62B6">
        <w:rPr>
          <w:lang w:val="en-GB"/>
        </w:rPr>
        <w:t>r and sail forth to new destinations.</w:t>
      </w:r>
    </w:p>
    <w:p w14:paraId="5DD4BA05" w14:textId="77777777" w:rsidR="00F35080" w:rsidRPr="007F62B6" w:rsidRDefault="00F35080" w:rsidP="00A6242C">
      <w:pPr>
        <w:pStyle w:val="BodyTextMain"/>
        <w:rPr>
          <w:sz w:val="24"/>
          <w:szCs w:val="24"/>
          <w:lang w:val="en-GB"/>
        </w:rPr>
      </w:pPr>
    </w:p>
    <w:p w14:paraId="46263489" w14:textId="237CE1AC" w:rsidR="00A6242C" w:rsidRPr="007F62B6" w:rsidRDefault="00A6242C" w:rsidP="00A6242C">
      <w:pPr>
        <w:pStyle w:val="BodyTextMain"/>
        <w:rPr>
          <w:sz w:val="24"/>
          <w:szCs w:val="24"/>
          <w:lang w:val="en-GB"/>
        </w:rPr>
      </w:pPr>
      <w:r w:rsidRPr="007F62B6">
        <w:rPr>
          <w:noProof/>
        </w:rPr>
        <mc:AlternateContent>
          <mc:Choice Requires="wps">
            <w:drawing>
              <wp:anchor distT="45720" distB="45720" distL="114300" distR="114300" simplePos="0" relativeHeight="251659264" behindDoc="0" locked="0" layoutInCell="1" allowOverlap="1" wp14:anchorId="5D117FAD" wp14:editId="465090CA">
                <wp:simplePos x="0" y="0"/>
                <wp:positionH relativeFrom="column">
                  <wp:posOffset>920750</wp:posOffset>
                </wp:positionH>
                <wp:positionV relativeFrom="paragraph">
                  <wp:posOffset>10160</wp:posOffset>
                </wp:positionV>
                <wp:extent cx="4315460" cy="348615"/>
                <wp:effectExtent l="0" t="0" r="2794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5460" cy="348615"/>
                        </a:xfrm>
                        <a:prstGeom prst="rect">
                          <a:avLst/>
                        </a:prstGeom>
                        <a:solidFill>
                          <a:srgbClr val="FFFFFF"/>
                        </a:solidFill>
                        <a:ln w="9525">
                          <a:solidFill>
                            <a:srgbClr val="000000"/>
                          </a:solidFill>
                          <a:miter lim="800000"/>
                          <a:headEnd/>
                          <a:tailEnd/>
                        </a:ln>
                      </wps:spPr>
                      <wps:txbx>
                        <w:txbxContent>
                          <w:p w14:paraId="3F7E43A1" w14:textId="0A3AF74A" w:rsidR="003F0B53" w:rsidRPr="00A6242C" w:rsidRDefault="003F0B53" w:rsidP="00A6242C">
                            <w:pPr>
                              <w:pStyle w:val="Footnote"/>
                            </w:pPr>
                            <w:r w:rsidRPr="00A6242C">
                              <w:t>The development of this case study was</w:t>
                            </w:r>
                            <w:r>
                              <w:t xml:space="preserve"> </w:t>
                            </w:r>
                            <w:r w:rsidRPr="00A6242C">
                              <w:t>made possible through the support of the Peter F. Drucker School of Management at Claremont Graduate University.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D117FAD" id="_x0000_t202" coordsize="21600,21600" o:spt="202" path="m,l,21600r21600,l21600,xe">
                <v:stroke joinstyle="miter"/>
                <v:path gradientshapeok="t" o:connecttype="rect"/>
              </v:shapetype>
              <v:shape id="Text Box 2" o:spid="_x0000_s1026" type="#_x0000_t202" style="position:absolute;left:0;text-align:left;margin-left:72.5pt;margin-top:.8pt;width:339.8pt;height:27.45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">
                <v:textbox style="mso-fit-shape-to-text:t">
                  <w:txbxContent>
                    <w:p w14:paraId="3F7E43A1" w14:textId="0A3AF74A" w:rsidR="003F0B53" w:rsidRPr="00A6242C" w:rsidRDefault="003F0B53" w:rsidP="00A6242C">
                      <w:pPr>
                        <w:pStyle w:val="Footnote"/>
                      </w:pPr>
                      <w:r w:rsidRPr="00A6242C">
                        <w:t>The development of this case study was</w:t>
                      </w:r>
                      <w:r>
                        <w:t xml:space="preserve"> </w:t>
                      </w:r>
                      <w:r w:rsidRPr="00A6242C">
                        <w:t>made possible through the support of the Peter F. Drucker School of Management at Claremont Graduate University.</w:t>
                      </w:r>
                    </w:p>
                  </w:txbxContent>
                </v:textbox>
                <w10:wrap type="square"/>
              </v:shape>
            </w:pict>
          </mc:Fallback>
        </mc:AlternateContent>
      </w:r>
    </w:p>
    <w:p w14:paraId="42BA38A5" w14:textId="77777777" w:rsidR="00A6242C" w:rsidRPr="007F62B6" w:rsidRDefault="00A6242C" w:rsidP="00A6242C">
      <w:pPr>
        <w:pStyle w:val="BodyTextMain"/>
        <w:rPr>
          <w:sz w:val="24"/>
          <w:szCs w:val="24"/>
          <w:lang w:val="en-GB"/>
        </w:rPr>
      </w:pPr>
    </w:p>
    <w:p w14:paraId="7D1BF9B7" w14:textId="077B6275" w:rsidR="00A6242C" w:rsidRPr="007F62B6" w:rsidRDefault="00A6242C" w:rsidP="00A6242C">
      <w:pPr>
        <w:pStyle w:val="BodyTextMain"/>
        <w:rPr>
          <w:sz w:val="24"/>
          <w:szCs w:val="24"/>
          <w:lang w:val="en-GB"/>
        </w:rPr>
      </w:pPr>
    </w:p>
    <w:p w14:paraId="3547D146" w14:textId="77777777" w:rsidR="00A6242C" w:rsidRPr="007F62B6" w:rsidRDefault="00A6242C" w:rsidP="00A6242C">
      <w:pPr>
        <w:pStyle w:val="BodyTextMain"/>
        <w:rPr>
          <w:sz w:val="24"/>
          <w:szCs w:val="24"/>
          <w:lang w:val="en-GB"/>
        </w:rPr>
      </w:pPr>
    </w:p>
    <w:p w14:paraId="348ACDF3" w14:textId="62D4BE7A" w:rsidR="00F35080" w:rsidRPr="007F62B6" w:rsidRDefault="00F35080" w:rsidP="00F35080">
      <w:pPr>
        <w:rPr>
          <w:lang w:val="en-GB"/>
        </w:rPr>
        <w:sectPr w:rsidR="00F35080" w:rsidRPr="007F62B6" w:rsidSect="008D6FB6">
          <w:headerReference w:type="default" r:id="rId9"/>
          <w:footerReference w:type="default" r:id="rId10"/>
          <w:pgSz w:w="12240" w:h="15840"/>
          <w:pgMar w:top="990" w:right="1440" w:bottom="1440" w:left="1440" w:header="1080" w:footer="720" w:gutter="0"/>
          <w:cols w:space="720"/>
          <w:titlePg/>
          <w:docGrid w:linePitch="360"/>
        </w:sectPr>
      </w:pPr>
    </w:p>
    <w:p w14:paraId="760A601B" w14:textId="77777777" w:rsidR="00F35080" w:rsidRPr="007F62B6" w:rsidRDefault="00F35080" w:rsidP="00F35080">
      <w:pPr>
        <w:jc w:val="center"/>
        <w:rPr>
          <w:b/>
          <w:bCs/>
          <w:sz w:val="8"/>
          <w:szCs w:val="8"/>
          <w:lang w:val="en-GB"/>
        </w:rPr>
      </w:pPr>
    </w:p>
    <w:p w14:paraId="0715EC04" w14:textId="76B6C8E6" w:rsidR="00F35080" w:rsidRPr="007F62B6" w:rsidRDefault="00A6242C" w:rsidP="00A6242C">
      <w:pPr>
        <w:pStyle w:val="ExhibitHeading"/>
        <w:rPr>
          <w:lang w:val="en-GB"/>
        </w:rPr>
      </w:pPr>
      <w:r w:rsidRPr="007F62B6">
        <w:rPr>
          <w:lang w:val="en-GB"/>
        </w:rPr>
        <w:t>Exhibit 1:</w:t>
      </w:r>
      <w:r w:rsidR="00F35080" w:rsidRPr="007F62B6">
        <w:rPr>
          <w:lang w:val="en-GB"/>
        </w:rPr>
        <w:t xml:space="preserve"> Institute on Aging Balance Sheets</w:t>
      </w:r>
      <w:r w:rsidR="007F62B6">
        <w:rPr>
          <w:lang w:val="en-GB"/>
        </w:rPr>
        <w:t>, 2012–2017</w:t>
      </w:r>
      <w:r w:rsidR="003D7FD5">
        <w:rPr>
          <w:lang w:val="en-GB"/>
        </w:rPr>
        <w:t xml:space="preserve"> (in US$)</w:t>
      </w:r>
    </w:p>
    <w:p w14:paraId="6F0C00D6" w14:textId="77777777" w:rsidR="00F35080" w:rsidRPr="007F62B6" w:rsidRDefault="00F35080" w:rsidP="00F35080">
      <w:pPr>
        <w:ind w:hanging="720"/>
        <w:rPr>
          <w:sz w:val="8"/>
          <w:szCs w:val="8"/>
          <w:lang w:val="en-GB"/>
        </w:rPr>
      </w:pPr>
    </w:p>
    <w:tbl>
      <w:tblPr>
        <w:tblStyle w:val="TableGridLight1"/>
        <w:tblW w:w="9350" w:type="dxa"/>
        <w:tblLook w:val="04A0" w:firstRow="1" w:lastRow="0" w:firstColumn="1" w:lastColumn="0" w:noHBand="0" w:noVBand="1"/>
      </w:tblPr>
      <w:tblGrid>
        <w:gridCol w:w="2153"/>
        <w:gridCol w:w="1172"/>
        <w:gridCol w:w="1170"/>
        <w:gridCol w:w="1260"/>
        <w:gridCol w:w="1170"/>
        <w:gridCol w:w="1170"/>
        <w:gridCol w:w="1255"/>
      </w:tblGrid>
      <w:tr w:rsidR="009B2CF2" w:rsidRPr="007F62B6" w14:paraId="07DEA01F" w14:textId="77777777" w:rsidTr="009B2CF2">
        <w:trPr>
          <w:trHeight w:val="350"/>
        </w:trPr>
        <w:tc>
          <w:tcPr>
            <w:tcW w:w="2153" w:type="dxa"/>
            <w:noWrap/>
            <w:hideMark/>
          </w:tcPr>
          <w:p w14:paraId="3A88F21A" w14:textId="77777777" w:rsidR="00F35080" w:rsidRPr="007F62B6" w:rsidRDefault="00F35080" w:rsidP="00AE1C06">
            <w:pPr>
              <w:jc w:val="center"/>
              <w:rPr>
                <w:rFonts w:ascii="Arial" w:hAnsi="Arial" w:cs="Arial"/>
                <w:color w:val="000000"/>
                <w:sz w:val="19"/>
                <w:szCs w:val="19"/>
                <w:lang w:val="en-GB" w:bidi="ne-NP"/>
              </w:rPr>
            </w:pPr>
            <w:r w:rsidRPr="007F62B6">
              <w:rPr>
                <w:rFonts w:ascii="Arial" w:hAnsi="Arial" w:cs="Arial"/>
                <w:color w:val="000000"/>
                <w:sz w:val="19"/>
                <w:szCs w:val="19"/>
                <w:lang w:val="en-GB" w:bidi="ne-NP"/>
              </w:rPr>
              <w:t> </w:t>
            </w:r>
          </w:p>
        </w:tc>
        <w:tc>
          <w:tcPr>
            <w:tcW w:w="1172" w:type="dxa"/>
            <w:noWrap/>
            <w:hideMark/>
          </w:tcPr>
          <w:p w14:paraId="32BC99B3" w14:textId="77777777" w:rsidR="00F35080" w:rsidRPr="007F62B6" w:rsidRDefault="00F35080" w:rsidP="00AE1C06">
            <w:pPr>
              <w:jc w:val="center"/>
              <w:rPr>
                <w:rFonts w:ascii="Arial" w:hAnsi="Arial" w:cs="Arial"/>
                <w:b/>
                <w:bCs/>
                <w:color w:val="000000"/>
                <w:sz w:val="19"/>
                <w:szCs w:val="19"/>
                <w:u w:val="single"/>
                <w:lang w:val="en-GB" w:bidi="ne-NP"/>
              </w:rPr>
            </w:pPr>
            <w:r w:rsidRPr="007F62B6">
              <w:rPr>
                <w:rFonts w:ascii="Arial" w:hAnsi="Arial" w:cs="Arial"/>
                <w:b/>
                <w:bCs/>
                <w:color w:val="000000"/>
                <w:sz w:val="19"/>
                <w:szCs w:val="19"/>
                <w:u w:val="single"/>
                <w:lang w:val="en-GB" w:bidi="ne-NP"/>
              </w:rPr>
              <w:t>2012</w:t>
            </w:r>
          </w:p>
        </w:tc>
        <w:tc>
          <w:tcPr>
            <w:tcW w:w="1170" w:type="dxa"/>
            <w:noWrap/>
            <w:hideMark/>
          </w:tcPr>
          <w:p w14:paraId="08614218" w14:textId="77777777" w:rsidR="00F35080" w:rsidRPr="007F62B6" w:rsidRDefault="00F35080" w:rsidP="00AE1C06">
            <w:pPr>
              <w:jc w:val="center"/>
              <w:rPr>
                <w:rFonts w:ascii="Arial" w:hAnsi="Arial" w:cs="Arial"/>
                <w:b/>
                <w:bCs/>
                <w:color w:val="000000"/>
                <w:sz w:val="19"/>
                <w:szCs w:val="19"/>
                <w:u w:val="single"/>
                <w:lang w:val="en-GB" w:bidi="ne-NP"/>
              </w:rPr>
            </w:pPr>
            <w:r w:rsidRPr="007F62B6">
              <w:rPr>
                <w:rFonts w:ascii="Arial" w:hAnsi="Arial" w:cs="Arial"/>
                <w:b/>
                <w:bCs/>
                <w:color w:val="000000"/>
                <w:sz w:val="19"/>
                <w:szCs w:val="19"/>
                <w:u w:val="single"/>
                <w:lang w:val="en-GB" w:bidi="ne-NP"/>
              </w:rPr>
              <w:t>2013</w:t>
            </w:r>
          </w:p>
        </w:tc>
        <w:tc>
          <w:tcPr>
            <w:tcW w:w="1260" w:type="dxa"/>
            <w:noWrap/>
            <w:hideMark/>
          </w:tcPr>
          <w:p w14:paraId="163152EF" w14:textId="77777777" w:rsidR="00F35080" w:rsidRPr="007F62B6" w:rsidRDefault="00F35080" w:rsidP="00AE1C06">
            <w:pPr>
              <w:jc w:val="center"/>
              <w:rPr>
                <w:rFonts w:ascii="Arial" w:hAnsi="Arial" w:cs="Arial"/>
                <w:b/>
                <w:bCs/>
                <w:color w:val="000000"/>
                <w:sz w:val="19"/>
                <w:szCs w:val="19"/>
                <w:u w:val="single"/>
                <w:lang w:val="en-GB" w:bidi="ne-NP"/>
              </w:rPr>
            </w:pPr>
            <w:r w:rsidRPr="007F62B6">
              <w:rPr>
                <w:rFonts w:ascii="Arial" w:hAnsi="Arial" w:cs="Arial"/>
                <w:b/>
                <w:bCs/>
                <w:color w:val="000000"/>
                <w:sz w:val="19"/>
                <w:szCs w:val="19"/>
                <w:u w:val="single"/>
                <w:lang w:val="en-GB" w:bidi="ne-NP"/>
              </w:rPr>
              <w:t>2014</w:t>
            </w:r>
          </w:p>
        </w:tc>
        <w:tc>
          <w:tcPr>
            <w:tcW w:w="1170" w:type="dxa"/>
            <w:noWrap/>
            <w:hideMark/>
          </w:tcPr>
          <w:p w14:paraId="7D4767D9" w14:textId="77777777" w:rsidR="00F35080" w:rsidRPr="007F62B6" w:rsidRDefault="00F35080" w:rsidP="00AE1C06">
            <w:pPr>
              <w:jc w:val="center"/>
              <w:rPr>
                <w:rFonts w:ascii="Arial" w:hAnsi="Arial" w:cs="Arial"/>
                <w:b/>
                <w:bCs/>
                <w:color w:val="000000"/>
                <w:sz w:val="19"/>
                <w:szCs w:val="19"/>
                <w:u w:val="single"/>
                <w:lang w:val="en-GB" w:bidi="ne-NP"/>
              </w:rPr>
            </w:pPr>
            <w:r w:rsidRPr="007F62B6">
              <w:rPr>
                <w:rFonts w:ascii="Arial" w:hAnsi="Arial" w:cs="Arial"/>
                <w:b/>
                <w:bCs/>
                <w:color w:val="000000"/>
                <w:sz w:val="19"/>
                <w:szCs w:val="19"/>
                <w:u w:val="single"/>
                <w:lang w:val="en-GB" w:bidi="ne-NP"/>
              </w:rPr>
              <w:t>2015</w:t>
            </w:r>
          </w:p>
        </w:tc>
        <w:tc>
          <w:tcPr>
            <w:tcW w:w="1170" w:type="dxa"/>
            <w:noWrap/>
            <w:hideMark/>
          </w:tcPr>
          <w:p w14:paraId="3767E58C" w14:textId="77777777" w:rsidR="00F35080" w:rsidRPr="007F62B6" w:rsidRDefault="00F35080" w:rsidP="00AE1C06">
            <w:pPr>
              <w:jc w:val="center"/>
              <w:rPr>
                <w:rFonts w:ascii="Arial" w:hAnsi="Arial" w:cs="Arial"/>
                <w:b/>
                <w:bCs/>
                <w:color w:val="000000"/>
                <w:sz w:val="19"/>
                <w:szCs w:val="19"/>
                <w:u w:val="single"/>
                <w:lang w:val="en-GB" w:bidi="ne-NP"/>
              </w:rPr>
            </w:pPr>
            <w:r w:rsidRPr="007F62B6">
              <w:rPr>
                <w:rFonts w:ascii="Arial" w:hAnsi="Arial" w:cs="Arial"/>
                <w:b/>
                <w:bCs/>
                <w:color w:val="000000"/>
                <w:sz w:val="19"/>
                <w:szCs w:val="19"/>
                <w:u w:val="single"/>
                <w:lang w:val="en-GB" w:bidi="ne-NP"/>
              </w:rPr>
              <w:t>2016</w:t>
            </w:r>
          </w:p>
        </w:tc>
        <w:tc>
          <w:tcPr>
            <w:tcW w:w="1255" w:type="dxa"/>
            <w:noWrap/>
            <w:hideMark/>
          </w:tcPr>
          <w:p w14:paraId="27DDED20" w14:textId="77777777" w:rsidR="00F35080" w:rsidRPr="007F62B6" w:rsidRDefault="00F35080" w:rsidP="00AE1C06">
            <w:pPr>
              <w:jc w:val="center"/>
              <w:rPr>
                <w:rFonts w:ascii="Arial" w:hAnsi="Arial" w:cs="Arial"/>
                <w:b/>
                <w:bCs/>
                <w:color w:val="000000"/>
                <w:sz w:val="19"/>
                <w:szCs w:val="19"/>
                <w:u w:val="single"/>
                <w:lang w:val="en-GB" w:bidi="ne-NP"/>
              </w:rPr>
            </w:pPr>
            <w:r w:rsidRPr="007F62B6">
              <w:rPr>
                <w:rFonts w:ascii="Arial" w:hAnsi="Arial" w:cs="Arial"/>
                <w:b/>
                <w:bCs/>
                <w:color w:val="000000"/>
                <w:sz w:val="19"/>
                <w:szCs w:val="19"/>
                <w:u w:val="single"/>
                <w:lang w:val="en-GB" w:bidi="ne-NP"/>
              </w:rPr>
              <w:t>2017</w:t>
            </w:r>
          </w:p>
        </w:tc>
      </w:tr>
      <w:tr w:rsidR="009B2CF2" w:rsidRPr="007F62B6" w14:paraId="7B1653AA" w14:textId="77777777" w:rsidTr="009B2CF2">
        <w:trPr>
          <w:trHeight w:val="315"/>
        </w:trPr>
        <w:tc>
          <w:tcPr>
            <w:tcW w:w="2153" w:type="dxa"/>
            <w:noWrap/>
            <w:hideMark/>
          </w:tcPr>
          <w:p w14:paraId="663CBC84" w14:textId="0165074D" w:rsidR="00F35080" w:rsidRPr="007F62B6" w:rsidRDefault="00F35080" w:rsidP="005A108D">
            <w:pPr>
              <w:ind w:left="612" w:hanging="612"/>
              <w:rPr>
                <w:rFonts w:ascii="Arial" w:hAnsi="Arial" w:cs="Arial"/>
                <w:b/>
                <w:bCs/>
                <w:color w:val="000000"/>
                <w:sz w:val="19"/>
                <w:szCs w:val="19"/>
                <w:lang w:val="en-GB" w:bidi="ne-NP"/>
              </w:rPr>
            </w:pPr>
            <w:r w:rsidRPr="007F62B6">
              <w:rPr>
                <w:rFonts w:ascii="Arial" w:hAnsi="Arial" w:cs="Arial"/>
                <w:b/>
                <w:bCs/>
                <w:color w:val="000000"/>
                <w:sz w:val="19"/>
                <w:szCs w:val="19"/>
                <w:lang w:val="en-GB" w:bidi="ne-NP"/>
              </w:rPr>
              <w:t xml:space="preserve">Current </w:t>
            </w:r>
            <w:r w:rsidR="002F11BC">
              <w:rPr>
                <w:rFonts w:ascii="Arial" w:hAnsi="Arial" w:cs="Arial"/>
                <w:b/>
                <w:bCs/>
                <w:color w:val="000000"/>
                <w:sz w:val="19"/>
                <w:szCs w:val="19"/>
                <w:lang w:val="en-GB" w:bidi="ne-NP"/>
              </w:rPr>
              <w:t>a</w:t>
            </w:r>
            <w:r w:rsidRPr="007F62B6">
              <w:rPr>
                <w:rFonts w:ascii="Arial" w:hAnsi="Arial" w:cs="Arial"/>
                <w:b/>
                <w:bCs/>
                <w:color w:val="000000"/>
                <w:sz w:val="19"/>
                <w:szCs w:val="19"/>
                <w:lang w:val="en-GB" w:bidi="ne-NP"/>
              </w:rPr>
              <w:t>ssets</w:t>
            </w:r>
          </w:p>
        </w:tc>
        <w:tc>
          <w:tcPr>
            <w:tcW w:w="1172" w:type="dxa"/>
            <w:noWrap/>
            <w:vAlign w:val="center"/>
            <w:hideMark/>
          </w:tcPr>
          <w:p w14:paraId="4318FE94" w14:textId="6E12188E" w:rsidR="00F35080" w:rsidRPr="007F62B6" w:rsidRDefault="00F35080" w:rsidP="009B2CF2">
            <w:pPr>
              <w:jc w:val="right"/>
              <w:rPr>
                <w:rFonts w:ascii="Arial" w:hAnsi="Arial" w:cs="Arial"/>
                <w:color w:val="000000"/>
                <w:sz w:val="19"/>
                <w:szCs w:val="19"/>
                <w:lang w:val="en-GB" w:bidi="ne-NP"/>
              </w:rPr>
            </w:pPr>
          </w:p>
        </w:tc>
        <w:tc>
          <w:tcPr>
            <w:tcW w:w="1170" w:type="dxa"/>
            <w:noWrap/>
            <w:vAlign w:val="center"/>
            <w:hideMark/>
          </w:tcPr>
          <w:p w14:paraId="30EB3973" w14:textId="4744E723" w:rsidR="00F35080" w:rsidRPr="007F62B6" w:rsidRDefault="00F35080" w:rsidP="009B2CF2">
            <w:pPr>
              <w:jc w:val="right"/>
              <w:rPr>
                <w:rFonts w:ascii="Arial" w:hAnsi="Arial" w:cs="Arial"/>
                <w:color w:val="000000"/>
                <w:sz w:val="19"/>
                <w:szCs w:val="19"/>
                <w:lang w:val="en-GB" w:bidi="ne-NP"/>
              </w:rPr>
            </w:pPr>
          </w:p>
        </w:tc>
        <w:tc>
          <w:tcPr>
            <w:tcW w:w="1260" w:type="dxa"/>
            <w:noWrap/>
            <w:vAlign w:val="center"/>
            <w:hideMark/>
          </w:tcPr>
          <w:p w14:paraId="4B07C7C5" w14:textId="396404C1" w:rsidR="00F35080" w:rsidRPr="007F62B6" w:rsidRDefault="00F35080" w:rsidP="009B2CF2">
            <w:pPr>
              <w:jc w:val="right"/>
              <w:rPr>
                <w:rFonts w:ascii="Arial" w:hAnsi="Arial" w:cs="Arial"/>
                <w:color w:val="000000"/>
                <w:sz w:val="19"/>
                <w:szCs w:val="19"/>
                <w:lang w:val="en-GB" w:bidi="ne-NP"/>
              </w:rPr>
            </w:pPr>
          </w:p>
        </w:tc>
        <w:tc>
          <w:tcPr>
            <w:tcW w:w="1170" w:type="dxa"/>
            <w:noWrap/>
            <w:vAlign w:val="center"/>
            <w:hideMark/>
          </w:tcPr>
          <w:p w14:paraId="0487A5FD" w14:textId="4D172E30" w:rsidR="00F35080" w:rsidRPr="007F62B6" w:rsidRDefault="00F35080" w:rsidP="009B2CF2">
            <w:pPr>
              <w:jc w:val="right"/>
              <w:rPr>
                <w:rFonts w:ascii="Arial" w:hAnsi="Arial" w:cs="Arial"/>
                <w:color w:val="000000"/>
                <w:sz w:val="19"/>
                <w:szCs w:val="19"/>
                <w:lang w:val="en-GB" w:bidi="ne-NP"/>
              </w:rPr>
            </w:pPr>
          </w:p>
        </w:tc>
        <w:tc>
          <w:tcPr>
            <w:tcW w:w="1170" w:type="dxa"/>
            <w:noWrap/>
            <w:vAlign w:val="center"/>
            <w:hideMark/>
          </w:tcPr>
          <w:p w14:paraId="62F79115" w14:textId="0D53CB9F" w:rsidR="00F35080" w:rsidRPr="007F62B6" w:rsidRDefault="00F35080" w:rsidP="009B2CF2">
            <w:pPr>
              <w:jc w:val="right"/>
              <w:rPr>
                <w:rFonts w:ascii="Arial" w:hAnsi="Arial" w:cs="Arial"/>
                <w:color w:val="000000"/>
                <w:sz w:val="19"/>
                <w:szCs w:val="19"/>
                <w:lang w:val="en-GB" w:bidi="ne-NP"/>
              </w:rPr>
            </w:pPr>
          </w:p>
        </w:tc>
        <w:tc>
          <w:tcPr>
            <w:tcW w:w="1255" w:type="dxa"/>
            <w:noWrap/>
            <w:vAlign w:val="center"/>
            <w:hideMark/>
          </w:tcPr>
          <w:p w14:paraId="4E85B8FB" w14:textId="62B7409E" w:rsidR="00F35080" w:rsidRPr="007F62B6" w:rsidRDefault="00F35080" w:rsidP="009B2CF2">
            <w:pPr>
              <w:jc w:val="right"/>
              <w:rPr>
                <w:rFonts w:ascii="Arial" w:hAnsi="Arial" w:cs="Arial"/>
                <w:color w:val="000000"/>
                <w:sz w:val="19"/>
                <w:szCs w:val="19"/>
                <w:lang w:val="en-GB" w:bidi="ne-NP"/>
              </w:rPr>
            </w:pPr>
          </w:p>
        </w:tc>
      </w:tr>
      <w:tr w:rsidR="009B2CF2" w:rsidRPr="007F62B6" w14:paraId="43580E9C" w14:textId="77777777" w:rsidTr="009B2CF2">
        <w:trPr>
          <w:trHeight w:val="315"/>
        </w:trPr>
        <w:tc>
          <w:tcPr>
            <w:tcW w:w="2153" w:type="dxa"/>
            <w:noWrap/>
            <w:hideMark/>
          </w:tcPr>
          <w:p w14:paraId="2294A2D6" w14:textId="68B8E076" w:rsidR="00F35080" w:rsidRPr="007F62B6" w:rsidRDefault="00F35080" w:rsidP="006A64A7">
            <w:pPr>
              <w:rPr>
                <w:rFonts w:ascii="Arial" w:hAnsi="Arial" w:cs="Arial"/>
                <w:bCs/>
                <w:iCs/>
                <w:color w:val="000000"/>
                <w:sz w:val="19"/>
                <w:szCs w:val="19"/>
                <w:lang w:val="en-GB" w:bidi="ne-NP"/>
              </w:rPr>
            </w:pPr>
            <w:r w:rsidRPr="007F62B6">
              <w:rPr>
                <w:rFonts w:ascii="Arial" w:hAnsi="Arial" w:cs="Arial"/>
                <w:bCs/>
                <w:iCs/>
                <w:color w:val="000000"/>
                <w:sz w:val="19"/>
                <w:szCs w:val="19"/>
                <w:lang w:val="en-GB" w:bidi="ne-NP"/>
              </w:rPr>
              <w:t>Cash and cash equivalents</w:t>
            </w:r>
          </w:p>
        </w:tc>
        <w:tc>
          <w:tcPr>
            <w:tcW w:w="1172" w:type="dxa"/>
            <w:noWrap/>
            <w:vAlign w:val="center"/>
            <w:hideMark/>
          </w:tcPr>
          <w:p w14:paraId="3B37ABCE"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312,065</w:t>
            </w:r>
          </w:p>
        </w:tc>
        <w:tc>
          <w:tcPr>
            <w:tcW w:w="1170" w:type="dxa"/>
            <w:noWrap/>
            <w:vAlign w:val="center"/>
            <w:hideMark/>
          </w:tcPr>
          <w:p w14:paraId="61C6E349"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1,133,763</w:t>
            </w:r>
          </w:p>
        </w:tc>
        <w:tc>
          <w:tcPr>
            <w:tcW w:w="1260" w:type="dxa"/>
            <w:noWrap/>
            <w:vAlign w:val="center"/>
            <w:hideMark/>
          </w:tcPr>
          <w:p w14:paraId="260A657A"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932,719</w:t>
            </w:r>
          </w:p>
        </w:tc>
        <w:tc>
          <w:tcPr>
            <w:tcW w:w="1170" w:type="dxa"/>
            <w:noWrap/>
            <w:vAlign w:val="center"/>
            <w:hideMark/>
          </w:tcPr>
          <w:p w14:paraId="77E3B9C1"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1,480,427</w:t>
            </w:r>
          </w:p>
        </w:tc>
        <w:tc>
          <w:tcPr>
            <w:tcW w:w="1170" w:type="dxa"/>
            <w:noWrap/>
            <w:vAlign w:val="center"/>
            <w:hideMark/>
          </w:tcPr>
          <w:p w14:paraId="765A2968"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1,112,666</w:t>
            </w:r>
          </w:p>
        </w:tc>
        <w:tc>
          <w:tcPr>
            <w:tcW w:w="1255" w:type="dxa"/>
            <w:noWrap/>
            <w:vAlign w:val="center"/>
            <w:hideMark/>
          </w:tcPr>
          <w:p w14:paraId="7BF36434"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1,684,680</w:t>
            </w:r>
          </w:p>
        </w:tc>
      </w:tr>
      <w:tr w:rsidR="009B2CF2" w:rsidRPr="007F62B6" w14:paraId="354A83A9" w14:textId="77777777" w:rsidTr="009B2CF2">
        <w:trPr>
          <w:trHeight w:val="315"/>
        </w:trPr>
        <w:tc>
          <w:tcPr>
            <w:tcW w:w="2153" w:type="dxa"/>
            <w:noWrap/>
            <w:hideMark/>
          </w:tcPr>
          <w:p w14:paraId="243549EB" w14:textId="08CC00B9" w:rsidR="00F35080" w:rsidRPr="007F62B6" w:rsidRDefault="00F35080" w:rsidP="006A64A7">
            <w:pPr>
              <w:rPr>
                <w:rFonts w:ascii="Arial" w:hAnsi="Arial" w:cs="Arial"/>
                <w:bCs/>
                <w:iCs/>
                <w:color w:val="000000"/>
                <w:sz w:val="19"/>
                <w:szCs w:val="19"/>
                <w:lang w:val="en-GB" w:bidi="ne-NP"/>
              </w:rPr>
            </w:pPr>
            <w:r w:rsidRPr="007F62B6">
              <w:rPr>
                <w:rFonts w:ascii="Arial" w:hAnsi="Arial" w:cs="Arial"/>
                <w:bCs/>
                <w:iCs/>
                <w:color w:val="000000"/>
                <w:sz w:val="19"/>
                <w:szCs w:val="19"/>
                <w:lang w:val="en-GB" w:bidi="ne-NP"/>
              </w:rPr>
              <w:t>Grants receivable</w:t>
            </w:r>
          </w:p>
        </w:tc>
        <w:tc>
          <w:tcPr>
            <w:tcW w:w="1172" w:type="dxa"/>
            <w:noWrap/>
            <w:vAlign w:val="center"/>
            <w:hideMark/>
          </w:tcPr>
          <w:p w14:paraId="2B618EA5"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240,000</w:t>
            </w:r>
          </w:p>
        </w:tc>
        <w:tc>
          <w:tcPr>
            <w:tcW w:w="1170" w:type="dxa"/>
            <w:noWrap/>
            <w:vAlign w:val="center"/>
            <w:hideMark/>
          </w:tcPr>
          <w:p w14:paraId="58AA145A"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265,250</w:t>
            </w:r>
          </w:p>
        </w:tc>
        <w:tc>
          <w:tcPr>
            <w:tcW w:w="1260" w:type="dxa"/>
            <w:noWrap/>
            <w:vAlign w:val="center"/>
            <w:hideMark/>
          </w:tcPr>
          <w:p w14:paraId="0FDB9452"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55,000</w:t>
            </w:r>
          </w:p>
        </w:tc>
        <w:tc>
          <w:tcPr>
            <w:tcW w:w="1170" w:type="dxa"/>
            <w:noWrap/>
            <w:vAlign w:val="center"/>
            <w:hideMark/>
          </w:tcPr>
          <w:p w14:paraId="75D5B62C"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202,452</w:t>
            </w:r>
          </w:p>
        </w:tc>
        <w:tc>
          <w:tcPr>
            <w:tcW w:w="1170" w:type="dxa"/>
            <w:noWrap/>
            <w:vAlign w:val="center"/>
            <w:hideMark/>
          </w:tcPr>
          <w:p w14:paraId="22BAB284"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170,048</w:t>
            </w:r>
          </w:p>
        </w:tc>
        <w:tc>
          <w:tcPr>
            <w:tcW w:w="1255" w:type="dxa"/>
            <w:noWrap/>
            <w:vAlign w:val="center"/>
            <w:hideMark/>
          </w:tcPr>
          <w:p w14:paraId="6F5F4798"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305,005</w:t>
            </w:r>
          </w:p>
        </w:tc>
      </w:tr>
      <w:tr w:rsidR="009B2CF2" w:rsidRPr="007F62B6" w14:paraId="2FAA7E19" w14:textId="77777777" w:rsidTr="009B2CF2">
        <w:trPr>
          <w:trHeight w:val="315"/>
        </w:trPr>
        <w:tc>
          <w:tcPr>
            <w:tcW w:w="2153" w:type="dxa"/>
            <w:noWrap/>
            <w:hideMark/>
          </w:tcPr>
          <w:p w14:paraId="06A9C489" w14:textId="154478F9" w:rsidR="00F35080" w:rsidRPr="007F62B6" w:rsidRDefault="00F35080" w:rsidP="006A64A7">
            <w:pPr>
              <w:rPr>
                <w:rFonts w:ascii="Arial" w:hAnsi="Arial" w:cs="Arial"/>
                <w:bCs/>
                <w:iCs/>
                <w:color w:val="000000"/>
                <w:sz w:val="19"/>
                <w:szCs w:val="19"/>
                <w:lang w:val="en-GB" w:bidi="ne-NP"/>
              </w:rPr>
            </w:pPr>
            <w:r w:rsidRPr="007F62B6">
              <w:rPr>
                <w:rFonts w:ascii="Arial" w:hAnsi="Arial" w:cs="Arial"/>
                <w:bCs/>
                <w:iCs/>
                <w:color w:val="000000"/>
                <w:sz w:val="19"/>
                <w:szCs w:val="19"/>
                <w:lang w:val="en-GB" w:bidi="ne-NP"/>
              </w:rPr>
              <w:t>Accounts receivable</w:t>
            </w:r>
          </w:p>
        </w:tc>
        <w:tc>
          <w:tcPr>
            <w:tcW w:w="1172" w:type="dxa"/>
            <w:noWrap/>
            <w:vAlign w:val="center"/>
            <w:hideMark/>
          </w:tcPr>
          <w:p w14:paraId="39E582F4"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1,861,649</w:t>
            </w:r>
          </w:p>
        </w:tc>
        <w:tc>
          <w:tcPr>
            <w:tcW w:w="1170" w:type="dxa"/>
            <w:noWrap/>
            <w:vAlign w:val="center"/>
            <w:hideMark/>
          </w:tcPr>
          <w:p w14:paraId="34DD938C"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2,312,095</w:t>
            </w:r>
          </w:p>
        </w:tc>
        <w:tc>
          <w:tcPr>
            <w:tcW w:w="1260" w:type="dxa"/>
            <w:noWrap/>
            <w:vAlign w:val="center"/>
            <w:hideMark/>
          </w:tcPr>
          <w:p w14:paraId="33723196"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2,792,551</w:t>
            </w:r>
          </w:p>
        </w:tc>
        <w:tc>
          <w:tcPr>
            <w:tcW w:w="1170" w:type="dxa"/>
            <w:noWrap/>
            <w:vAlign w:val="center"/>
            <w:hideMark/>
          </w:tcPr>
          <w:p w14:paraId="3EE50529"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3,285,059</w:t>
            </w:r>
          </w:p>
        </w:tc>
        <w:tc>
          <w:tcPr>
            <w:tcW w:w="1170" w:type="dxa"/>
            <w:noWrap/>
            <w:vAlign w:val="center"/>
            <w:hideMark/>
          </w:tcPr>
          <w:p w14:paraId="7303BC2D"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3,215,104</w:t>
            </w:r>
          </w:p>
        </w:tc>
        <w:tc>
          <w:tcPr>
            <w:tcW w:w="1255" w:type="dxa"/>
            <w:noWrap/>
            <w:vAlign w:val="center"/>
            <w:hideMark/>
          </w:tcPr>
          <w:p w14:paraId="7156F2B8"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4,152,271</w:t>
            </w:r>
          </w:p>
        </w:tc>
      </w:tr>
      <w:tr w:rsidR="009B2CF2" w:rsidRPr="007F62B6" w14:paraId="4F15C710" w14:textId="77777777" w:rsidTr="009B2CF2">
        <w:trPr>
          <w:trHeight w:val="315"/>
        </w:trPr>
        <w:tc>
          <w:tcPr>
            <w:tcW w:w="2153" w:type="dxa"/>
            <w:noWrap/>
            <w:hideMark/>
          </w:tcPr>
          <w:p w14:paraId="3AB4454C" w14:textId="3377EB59" w:rsidR="00F35080" w:rsidRPr="007F62B6" w:rsidRDefault="00F35080" w:rsidP="006A64A7">
            <w:pPr>
              <w:rPr>
                <w:rFonts w:ascii="Arial" w:hAnsi="Arial" w:cs="Arial"/>
                <w:bCs/>
                <w:iCs/>
                <w:color w:val="000000"/>
                <w:sz w:val="19"/>
                <w:szCs w:val="19"/>
                <w:lang w:val="en-GB" w:bidi="ne-NP"/>
              </w:rPr>
            </w:pPr>
            <w:r w:rsidRPr="007F62B6">
              <w:rPr>
                <w:rFonts w:ascii="Arial" w:hAnsi="Arial" w:cs="Arial"/>
                <w:bCs/>
                <w:iCs/>
                <w:color w:val="000000"/>
                <w:sz w:val="19"/>
                <w:szCs w:val="19"/>
                <w:lang w:val="en-GB" w:bidi="ne-NP"/>
              </w:rPr>
              <w:t>Trust accounts related to bonds</w:t>
            </w:r>
          </w:p>
        </w:tc>
        <w:tc>
          <w:tcPr>
            <w:tcW w:w="1172" w:type="dxa"/>
            <w:noWrap/>
            <w:vAlign w:val="center"/>
            <w:hideMark/>
          </w:tcPr>
          <w:p w14:paraId="30D341A3"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1,344,383</w:t>
            </w:r>
          </w:p>
        </w:tc>
        <w:tc>
          <w:tcPr>
            <w:tcW w:w="1170" w:type="dxa"/>
            <w:noWrap/>
            <w:vAlign w:val="center"/>
            <w:hideMark/>
          </w:tcPr>
          <w:p w14:paraId="3389D991"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2,147,202</w:t>
            </w:r>
          </w:p>
        </w:tc>
        <w:tc>
          <w:tcPr>
            <w:tcW w:w="1260" w:type="dxa"/>
            <w:noWrap/>
            <w:vAlign w:val="center"/>
            <w:hideMark/>
          </w:tcPr>
          <w:p w14:paraId="4A6C50DD"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2,097,047</w:t>
            </w:r>
          </w:p>
        </w:tc>
        <w:tc>
          <w:tcPr>
            <w:tcW w:w="1170" w:type="dxa"/>
            <w:noWrap/>
            <w:vAlign w:val="center"/>
            <w:hideMark/>
          </w:tcPr>
          <w:p w14:paraId="3867092D"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2,126,532</w:t>
            </w:r>
          </w:p>
        </w:tc>
        <w:tc>
          <w:tcPr>
            <w:tcW w:w="1170" w:type="dxa"/>
            <w:noWrap/>
            <w:vAlign w:val="center"/>
            <w:hideMark/>
          </w:tcPr>
          <w:p w14:paraId="63D7C37C"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2,427,538</w:t>
            </w:r>
          </w:p>
        </w:tc>
        <w:tc>
          <w:tcPr>
            <w:tcW w:w="1255" w:type="dxa"/>
            <w:noWrap/>
            <w:vAlign w:val="center"/>
            <w:hideMark/>
          </w:tcPr>
          <w:p w14:paraId="67735877"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742,103</w:t>
            </w:r>
          </w:p>
        </w:tc>
      </w:tr>
      <w:tr w:rsidR="009B2CF2" w:rsidRPr="007F62B6" w14:paraId="55D5527E" w14:textId="77777777" w:rsidTr="009B2CF2">
        <w:trPr>
          <w:trHeight w:val="315"/>
        </w:trPr>
        <w:tc>
          <w:tcPr>
            <w:tcW w:w="2153" w:type="dxa"/>
            <w:noWrap/>
            <w:hideMark/>
          </w:tcPr>
          <w:p w14:paraId="118297FE" w14:textId="1A8C7459" w:rsidR="00F35080" w:rsidRPr="007F62B6" w:rsidRDefault="00F35080" w:rsidP="006A64A7">
            <w:pPr>
              <w:rPr>
                <w:rFonts w:ascii="Arial" w:hAnsi="Arial" w:cs="Arial"/>
                <w:bCs/>
                <w:iCs/>
                <w:color w:val="000000"/>
                <w:sz w:val="19"/>
                <w:szCs w:val="19"/>
                <w:lang w:val="en-GB" w:bidi="ne-NP"/>
              </w:rPr>
            </w:pPr>
            <w:r w:rsidRPr="007F62B6">
              <w:rPr>
                <w:rFonts w:ascii="Arial" w:hAnsi="Arial" w:cs="Arial"/>
                <w:bCs/>
                <w:iCs/>
                <w:color w:val="000000"/>
                <w:sz w:val="19"/>
                <w:szCs w:val="19"/>
                <w:lang w:val="en-GB" w:bidi="ne-NP"/>
              </w:rPr>
              <w:t>Other current assets</w:t>
            </w:r>
          </w:p>
        </w:tc>
        <w:tc>
          <w:tcPr>
            <w:tcW w:w="1172" w:type="dxa"/>
            <w:noWrap/>
            <w:vAlign w:val="center"/>
            <w:hideMark/>
          </w:tcPr>
          <w:p w14:paraId="5A0DA352"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235,109</w:t>
            </w:r>
          </w:p>
        </w:tc>
        <w:tc>
          <w:tcPr>
            <w:tcW w:w="1170" w:type="dxa"/>
            <w:noWrap/>
            <w:vAlign w:val="center"/>
            <w:hideMark/>
          </w:tcPr>
          <w:p w14:paraId="583F5588"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121,144</w:t>
            </w:r>
          </w:p>
        </w:tc>
        <w:tc>
          <w:tcPr>
            <w:tcW w:w="1260" w:type="dxa"/>
            <w:noWrap/>
            <w:vAlign w:val="center"/>
            <w:hideMark/>
          </w:tcPr>
          <w:p w14:paraId="10C12CF5"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150,022</w:t>
            </w:r>
          </w:p>
        </w:tc>
        <w:tc>
          <w:tcPr>
            <w:tcW w:w="1170" w:type="dxa"/>
            <w:noWrap/>
            <w:vAlign w:val="center"/>
            <w:hideMark/>
          </w:tcPr>
          <w:p w14:paraId="5DE671B8"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182,902</w:t>
            </w:r>
          </w:p>
        </w:tc>
        <w:tc>
          <w:tcPr>
            <w:tcW w:w="1170" w:type="dxa"/>
            <w:noWrap/>
            <w:vAlign w:val="center"/>
            <w:hideMark/>
          </w:tcPr>
          <w:p w14:paraId="6CA57AF4"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279,070</w:t>
            </w:r>
          </w:p>
        </w:tc>
        <w:tc>
          <w:tcPr>
            <w:tcW w:w="1255" w:type="dxa"/>
            <w:noWrap/>
            <w:vAlign w:val="center"/>
            <w:hideMark/>
          </w:tcPr>
          <w:p w14:paraId="236ADE0D"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434,503</w:t>
            </w:r>
          </w:p>
        </w:tc>
      </w:tr>
      <w:tr w:rsidR="009B2CF2" w:rsidRPr="007F62B6" w14:paraId="5317627F" w14:textId="77777777" w:rsidTr="009B2CF2">
        <w:trPr>
          <w:trHeight w:val="120"/>
        </w:trPr>
        <w:tc>
          <w:tcPr>
            <w:tcW w:w="2153" w:type="dxa"/>
            <w:noWrap/>
            <w:hideMark/>
          </w:tcPr>
          <w:p w14:paraId="73CA8755" w14:textId="77777777" w:rsidR="00F35080" w:rsidRPr="007F62B6" w:rsidRDefault="00F35080" w:rsidP="006A64A7">
            <w:pPr>
              <w:rPr>
                <w:rFonts w:ascii="Arial" w:hAnsi="Arial" w:cs="Arial"/>
                <w:bCs/>
                <w:color w:val="000000"/>
                <w:sz w:val="19"/>
                <w:szCs w:val="19"/>
                <w:lang w:val="en-GB" w:bidi="ne-NP"/>
              </w:rPr>
            </w:pPr>
            <w:r w:rsidRPr="007F62B6">
              <w:rPr>
                <w:rFonts w:ascii="Arial" w:hAnsi="Arial" w:cs="Arial"/>
                <w:bCs/>
                <w:color w:val="000000"/>
                <w:sz w:val="19"/>
                <w:szCs w:val="19"/>
                <w:lang w:val="en-GB" w:bidi="ne-NP"/>
              </w:rPr>
              <w:t> </w:t>
            </w:r>
          </w:p>
        </w:tc>
        <w:tc>
          <w:tcPr>
            <w:tcW w:w="1172" w:type="dxa"/>
            <w:noWrap/>
            <w:vAlign w:val="center"/>
            <w:hideMark/>
          </w:tcPr>
          <w:p w14:paraId="3BB6C6BC" w14:textId="2B36CD88" w:rsidR="00F35080" w:rsidRPr="007F62B6" w:rsidRDefault="00F35080" w:rsidP="009B2CF2">
            <w:pPr>
              <w:jc w:val="right"/>
              <w:rPr>
                <w:rFonts w:ascii="Arial" w:hAnsi="Arial" w:cs="Arial"/>
                <w:color w:val="000000"/>
                <w:sz w:val="18"/>
                <w:szCs w:val="18"/>
                <w:lang w:val="en-GB" w:bidi="ne-NP"/>
              </w:rPr>
            </w:pPr>
          </w:p>
        </w:tc>
        <w:tc>
          <w:tcPr>
            <w:tcW w:w="1170" w:type="dxa"/>
            <w:noWrap/>
            <w:vAlign w:val="center"/>
            <w:hideMark/>
          </w:tcPr>
          <w:p w14:paraId="6DF2E1B3" w14:textId="7077B5F7" w:rsidR="00F35080" w:rsidRPr="007F62B6" w:rsidRDefault="00F35080" w:rsidP="009B2CF2">
            <w:pPr>
              <w:jc w:val="right"/>
              <w:rPr>
                <w:rFonts w:ascii="Arial" w:hAnsi="Arial" w:cs="Arial"/>
                <w:color w:val="000000"/>
                <w:sz w:val="18"/>
                <w:szCs w:val="18"/>
                <w:lang w:val="en-GB" w:bidi="ne-NP"/>
              </w:rPr>
            </w:pPr>
          </w:p>
        </w:tc>
        <w:tc>
          <w:tcPr>
            <w:tcW w:w="1260" w:type="dxa"/>
            <w:noWrap/>
            <w:vAlign w:val="center"/>
            <w:hideMark/>
          </w:tcPr>
          <w:p w14:paraId="19C99434" w14:textId="3B8CC396" w:rsidR="00F35080" w:rsidRPr="007F62B6" w:rsidRDefault="00F35080" w:rsidP="009B2CF2">
            <w:pPr>
              <w:jc w:val="right"/>
              <w:rPr>
                <w:rFonts w:ascii="Arial" w:hAnsi="Arial" w:cs="Arial"/>
                <w:color w:val="000000"/>
                <w:sz w:val="18"/>
                <w:szCs w:val="18"/>
                <w:lang w:val="en-GB" w:bidi="ne-NP"/>
              </w:rPr>
            </w:pPr>
          </w:p>
        </w:tc>
        <w:tc>
          <w:tcPr>
            <w:tcW w:w="1170" w:type="dxa"/>
            <w:noWrap/>
            <w:vAlign w:val="center"/>
            <w:hideMark/>
          </w:tcPr>
          <w:p w14:paraId="65475240" w14:textId="223818E7" w:rsidR="00F35080" w:rsidRPr="007F62B6" w:rsidRDefault="00F35080" w:rsidP="009B2CF2">
            <w:pPr>
              <w:jc w:val="right"/>
              <w:rPr>
                <w:rFonts w:ascii="Arial" w:hAnsi="Arial" w:cs="Arial"/>
                <w:color w:val="000000"/>
                <w:sz w:val="18"/>
                <w:szCs w:val="18"/>
                <w:lang w:val="en-GB" w:bidi="ne-NP"/>
              </w:rPr>
            </w:pPr>
          </w:p>
        </w:tc>
        <w:tc>
          <w:tcPr>
            <w:tcW w:w="1170" w:type="dxa"/>
            <w:noWrap/>
            <w:vAlign w:val="center"/>
            <w:hideMark/>
          </w:tcPr>
          <w:p w14:paraId="7C2B4666" w14:textId="5D200D5D" w:rsidR="00F35080" w:rsidRPr="007F62B6" w:rsidRDefault="00F35080" w:rsidP="009B2CF2">
            <w:pPr>
              <w:jc w:val="right"/>
              <w:rPr>
                <w:rFonts w:ascii="Arial" w:hAnsi="Arial" w:cs="Arial"/>
                <w:color w:val="000000"/>
                <w:sz w:val="18"/>
                <w:szCs w:val="18"/>
                <w:lang w:val="en-GB" w:bidi="ne-NP"/>
              </w:rPr>
            </w:pPr>
          </w:p>
        </w:tc>
        <w:tc>
          <w:tcPr>
            <w:tcW w:w="1255" w:type="dxa"/>
            <w:noWrap/>
            <w:vAlign w:val="center"/>
            <w:hideMark/>
          </w:tcPr>
          <w:p w14:paraId="2338BF80" w14:textId="31AD9283" w:rsidR="00F35080" w:rsidRPr="007F62B6" w:rsidRDefault="00F35080" w:rsidP="009B2CF2">
            <w:pPr>
              <w:jc w:val="right"/>
              <w:rPr>
                <w:rFonts w:ascii="Arial" w:hAnsi="Arial" w:cs="Arial"/>
                <w:color w:val="000000"/>
                <w:sz w:val="18"/>
                <w:szCs w:val="18"/>
                <w:lang w:val="en-GB" w:bidi="ne-NP"/>
              </w:rPr>
            </w:pPr>
          </w:p>
        </w:tc>
      </w:tr>
      <w:tr w:rsidR="009B2CF2" w:rsidRPr="007F62B6" w14:paraId="11C3C200" w14:textId="77777777" w:rsidTr="009B2CF2">
        <w:trPr>
          <w:trHeight w:val="315"/>
        </w:trPr>
        <w:tc>
          <w:tcPr>
            <w:tcW w:w="2153" w:type="dxa"/>
            <w:noWrap/>
            <w:hideMark/>
          </w:tcPr>
          <w:p w14:paraId="432A898A" w14:textId="19584AF5" w:rsidR="00F35080" w:rsidRPr="007F62B6" w:rsidRDefault="00F35080" w:rsidP="006A64A7">
            <w:pPr>
              <w:rPr>
                <w:rFonts w:ascii="Arial" w:hAnsi="Arial" w:cs="Arial"/>
                <w:b/>
                <w:bCs/>
                <w:iCs/>
                <w:color w:val="000000"/>
                <w:sz w:val="19"/>
                <w:szCs w:val="19"/>
                <w:lang w:val="en-GB" w:bidi="ne-NP"/>
              </w:rPr>
            </w:pPr>
            <w:r w:rsidRPr="007F62B6">
              <w:rPr>
                <w:rFonts w:ascii="Arial" w:hAnsi="Arial" w:cs="Arial"/>
                <w:b/>
                <w:bCs/>
                <w:iCs/>
                <w:color w:val="000000"/>
                <w:sz w:val="19"/>
                <w:szCs w:val="19"/>
                <w:lang w:val="en-GB" w:bidi="ne-NP"/>
              </w:rPr>
              <w:t>Total current assets</w:t>
            </w:r>
          </w:p>
        </w:tc>
        <w:tc>
          <w:tcPr>
            <w:tcW w:w="1172" w:type="dxa"/>
            <w:noWrap/>
            <w:vAlign w:val="center"/>
            <w:hideMark/>
          </w:tcPr>
          <w:p w14:paraId="51EB4015"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3,993,206</w:t>
            </w:r>
          </w:p>
        </w:tc>
        <w:tc>
          <w:tcPr>
            <w:tcW w:w="1170" w:type="dxa"/>
            <w:noWrap/>
            <w:vAlign w:val="center"/>
            <w:hideMark/>
          </w:tcPr>
          <w:p w14:paraId="4906545F"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5,979,454</w:t>
            </w:r>
          </w:p>
        </w:tc>
        <w:tc>
          <w:tcPr>
            <w:tcW w:w="1260" w:type="dxa"/>
            <w:noWrap/>
            <w:vAlign w:val="center"/>
            <w:hideMark/>
          </w:tcPr>
          <w:p w14:paraId="12DFAC30"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6,027,339</w:t>
            </w:r>
          </w:p>
        </w:tc>
        <w:tc>
          <w:tcPr>
            <w:tcW w:w="1170" w:type="dxa"/>
            <w:noWrap/>
            <w:vAlign w:val="center"/>
            <w:hideMark/>
          </w:tcPr>
          <w:p w14:paraId="29DD6197"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7,277,372</w:t>
            </w:r>
          </w:p>
        </w:tc>
        <w:tc>
          <w:tcPr>
            <w:tcW w:w="1170" w:type="dxa"/>
            <w:noWrap/>
            <w:vAlign w:val="center"/>
            <w:hideMark/>
          </w:tcPr>
          <w:p w14:paraId="2CF5A184"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7,204,426</w:t>
            </w:r>
          </w:p>
        </w:tc>
        <w:tc>
          <w:tcPr>
            <w:tcW w:w="1255" w:type="dxa"/>
            <w:noWrap/>
            <w:vAlign w:val="center"/>
            <w:hideMark/>
          </w:tcPr>
          <w:p w14:paraId="66421F9D"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7,318,562</w:t>
            </w:r>
          </w:p>
        </w:tc>
      </w:tr>
      <w:tr w:rsidR="009B2CF2" w:rsidRPr="007F62B6" w14:paraId="071D8EE7" w14:textId="77777777" w:rsidTr="009B2CF2">
        <w:trPr>
          <w:trHeight w:val="120"/>
        </w:trPr>
        <w:tc>
          <w:tcPr>
            <w:tcW w:w="2153" w:type="dxa"/>
            <w:noWrap/>
            <w:hideMark/>
          </w:tcPr>
          <w:p w14:paraId="1DF6260F" w14:textId="77777777" w:rsidR="00F35080" w:rsidRPr="007F62B6" w:rsidRDefault="00F35080" w:rsidP="00AE1C06">
            <w:pPr>
              <w:jc w:val="center"/>
              <w:rPr>
                <w:rFonts w:ascii="Arial" w:hAnsi="Arial" w:cs="Arial"/>
                <w:bCs/>
                <w:color w:val="000000"/>
                <w:sz w:val="19"/>
                <w:szCs w:val="19"/>
                <w:lang w:val="en-GB" w:bidi="ne-NP"/>
              </w:rPr>
            </w:pPr>
            <w:r w:rsidRPr="007F62B6">
              <w:rPr>
                <w:rFonts w:ascii="Arial" w:hAnsi="Arial" w:cs="Arial"/>
                <w:bCs/>
                <w:color w:val="000000"/>
                <w:sz w:val="19"/>
                <w:szCs w:val="19"/>
                <w:lang w:val="en-GB" w:bidi="ne-NP"/>
              </w:rPr>
              <w:t> </w:t>
            </w:r>
          </w:p>
        </w:tc>
        <w:tc>
          <w:tcPr>
            <w:tcW w:w="1172" w:type="dxa"/>
            <w:noWrap/>
            <w:vAlign w:val="center"/>
            <w:hideMark/>
          </w:tcPr>
          <w:p w14:paraId="071EDFCD" w14:textId="6ADA6A61" w:rsidR="00F35080" w:rsidRPr="007F62B6" w:rsidRDefault="00F35080" w:rsidP="009B2CF2">
            <w:pPr>
              <w:jc w:val="right"/>
              <w:rPr>
                <w:rFonts w:ascii="Arial" w:hAnsi="Arial" w:cs="Arial"/>
                <w:color w:val="000000"/>
                <w:sz w:val="18"/>
                <w:szCs w:val="18"/>
                <w:lang w:val="en-GB" w:bidi="ne-NP"/>
              </w:rPr>
            </w:pPr>
          </w:p>
        </w:tc>
        <w:tc>
          <w:tcPr>
            <w:tcW w:w="1170" w:type="dxa"/>
            <w:noWrap/>
            <w:vAlign w:val="center"/>
            <w:hideMark/>
          </w:tcPr>
          <w:p w14:paraId="467C607D" w14:textId="582FED51" w:rsidR="00F35080" w:rsidRPr="007F62B6" w:rsidRDefault="00F35080" w:rsidP="009B2CF2">
            <w:pPr>
              <w:jc w:val="right"/>
              <w:rPr>
                <w:rFonts w:ascii="Arial" w:hAnsi="Arial" w:cs="Arial"/>
                <w:color w:val="000000"/>
                <w:sz w:val="18"/>
                <w:szCs w:val="18"/>
                <w:lang w:val="en-GB" w:bidi="ne-NP"/>
              </w:rPr>
            </w:pPr>
          </w:p>
        </w:tc>
        <w:tc>
          <w:tcPr>
            <w:tcW w:w="1260" w:type="dxa"/>
            <w:noWrap/>
            <w:vAlign w:val="center"/>
            <w:hideMark/>
          </w:tcPr>
          <w:p w14:paraId="2C8E6AE9" w14:textId="41B033C9" w:rsidR="00F35080" w:rsidRPr="007F62B6" w:rsidRDefault="00F35080" w:rsidP="009B2CF2">
            <w:pPr>
              <w:jc w:val="right"/>
              <w:rPr>
                <w:rFonts w:ascii="Arial" w:hAnsi="Arial" w:cs="Arial"/>
                <w:color w:val="000000"/>
                <w:sz w:val="18"/>
                <w:szCs w:val="18"/>
                <w:lang w:val="en-GB" w:bidi="ne-NP"/>
              </w:rPr>
            </w:pPr>
          </w:p>
        </w:tc>
        <w:tc>
          <w:tcPr>
            <w:tcW w:w="1170" w:type="dxa"/>
            <w:noWrap/>
            <w:vAlign w:val="center"/>
            <w:hideMark/>
          </w:tcPr>
          <w:p w14:paraId="6EA83BC4" w14:textId="1FBF8D6C" w:rsidR="00F35080" w:rsidRPr="007F62B6" w:rsidRDefault="00F35080" w:rsidP="009B2CF2">
            <w:pPr>
              <w:jc w:val="right"/>
              <w:rPr>
                <w:rFonts w:ascii="Arial" w:hAnsi="Arial" w:cs="Arial"/>
                <w:color w:val="000000"/>
                <w:sz w:val="18"/>
                <w:szCs w:val="18"/>
                <w:lang w:val="en-GB" w:bidi="ne-NP"/>
              </w:rPr>
            </w:pPr>
          </w:p>
        </w:tc>
        <w:tc>
          <w:tcPr>
            <w:tcW w:w="1170" w:type="dxa"/>
            <w:noWrap/>
            <w:vAlign w:val="center"/>
            <w:hideMark/>
          </w:tcPr>
          <w:p w14:paraId="4709C736" w14:textId="12A13530" w:rsidR="00F35080" w:rsidRPr="007F62B6" w:rsidRDefault="00F35080" w:rsidP="009B2CF2">
            <w:pPr>
              <w:jc w:val="right"/>
              <w:rPr>
                <w:rFonts w:ascii="Arial" w:hAnsi="Arial" w:cs="Arial"/>
                <w:color w:val="000000"/>
                <w:sz w:val="18"/>
                <w:szCs w:val="18"/>
                <w:lang w:val="en-GB" w:bidi="ne-NP"/>
              </w:rPr>
            </w:pPr>
          </w:p>
        </w:tc>
        <w:tc>
          <w:tcPr>
            <w:tcW w:w="1255" w:type="dxa"/>
            <w:noWrap/>
            <w:vAlign w:val="center"/>
            <w:hideMark/>
          </w:tcPr>
          <w:p w14:paraId="5D2C49F1" w14:textId="4D823AD1" w:rsidR="00F35080" w:rsidRPr="007F62B6" w:rsidRDefault="00F35080" w:rsidP="009B2CF2">
            <w:pPr>
              <w:jc w:val="right"/>
              <w:rPr>
                <w:rFonts w:ascii="Arial" w:hAnsi="Arial" w:cs="Arial"/>
                <w:color w:val="000000"/>
                <w:sz w:val="18"/>
                <w:szCs w:val="18"/>
                <w:lang w:val="en-GB" w:bidi="ne-NP"/>
              </w:rPr>
            </w:pPr>
          </w:p>
        </w:tc>
      </w:tr>
      <w:tr w:rsidR="009B2CF2" w:rsidRPr="007F62B6" w14:paraId="24F01761" w14:textId="77777777" w:rsidTr="009B2CF2">
        <w:trPr>
          <w:trHeight w:val="315"/>
        </w:trPr>
        <w:tc>
          <w:tcPr>
            <w:tcW w:w="2153" w:type="dxa"/>
            <w:noWrap/>
            <w:hideMark/>
          </w:tcPr>
          <w:p w14:paraId="13FFDA0F" w14:textId="77777777" w:rsidR="00F35080" w:rsidRPr="007F62B6" w:rsidRDefault="00F35080" w:rsidP="00AE1C06">
            <w:pPr>
              <w:rPr>
                <w:rFonts w:ascii="Arial" w:hAnsi="Arial" w:cs="Arial"/>
                <w:bCs/>
                <w:color w:val="000000"/>
                <w:sz w:val="19"/>
                <w:szCs w:val="19"/>
                <w:lang w:val="en-GB" w:bidi="ne-NP"/>
              </w:rPr>
            </w:pPr>
            <w:r w:rsidRPr="007F62B6">
              <w:rPr>
                <w:rFonts w:ascii="Arial" w:hAnsi="Arial" w:cs="Arial"/>
                <w:bCs/>
                <w:color w:val="000000"/>
                <w:sz w:val="19"/>
                <w:szCs w:val="19"/>
                <w:lang w:val="en-GB" w:bidi="ne-NP"/>
              </w:rPr>
              <w:t>Investments</w:t>
            </w:r>
          </w:p>
        </w:tc>
        <w:tc>
          <w:tcPr>
            <w:tcW w:w="1172" w:type="dxa"/>
            <w:noWrap/>
            <w:vAlign w:val="center"/>
            <w:hideMark/>
          </w:tcPr>
          <w:p w14:paraId="595D3662"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6,613,418</w:t>
            </w:r>
          </w:p>
        </w:tc>
        <w:tc>
          <w:tcPr>
            <w:tcW w:w="1170" w:type="dxa"/>
            <w:noWrap/>
            <w:vAlign w:val="center"/>
            <w:hideMark/>
          </w:tcPr>
          <w:p w14:paraId="67FC2BA2"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3,701,266</w:t>
            </w:r>
          </w:p>
        </w:tc>
        <w:tc>
          <w:tcPr>
            <w:tcW w:w="1260" w:type="dxa"/>
            <w:noWrap/>
            <w:vAlign w:val="center"/>
            <w:hideMark/>
          </w:tcPr>
          <w:p w14:paraId="5022E47B"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2,169,462</w:t>
            </w:r>
          </w:p>
        </w:tc>
        <w:tc>
          <w:tcPr>
            <w:tcW w:w="1170" w:type="dxa"/>
            <w:noWrap/>
            <w:vAlign w:val="center"/>
            <w:hideMark/>
          </w:tcPr>
          <w:p w14:paraId="65A41B79"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2,295,489</w:t>
            </w:r>
          </w:p>
        </w:tc>
        <w:tc>
          <w:tcPr>
            <w:tcW w:w="1170" w:type="dxa"/>
            <w:noWrap/>
            <w:vAlign w:val="center"/>
            <w:hideMark/>
          </w:tcPr>
          <w:p w14:paraId="63BED429"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2,380,177</w:t>
            </w:r>
          </w:p>
        </w:tc>
        <w:tc>
          <w:tcPr>
            <w:tcW w:w="1255" w:type="dxa"/>
            <w:noWrap/>
            <w:vAlign w:val="center"/>
            <w:hideMark/>
          </w:tcPr>
          <w:p w14:paraId="2ADE159E"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2,725,898</w:t>
            </w:r>
          </w:p>
        </w:tc>
      </w:tr>
      <w:tr w:rsidR="009B2CF2" w:rsidRPr="007F62B6" w14:paraId="24C43D6E" w14:textId="77777777" w:rsidTr="009B2CF2">
        <w:trPr>
          <w:trHeight w:val="315"/>
        </w:trPr>
        <w:tc>
          <w:tcPr>
            <w:tcW w:w="2153" w:type="dxa"/>
            <w:noWrap/>
            <w:hideMark/>
          </w:tcPr>
          <w:p w14:paraId="29BDBAEF" w14:textId="17880C13" w:rsidR="00F35080" w:rsidRPr="007F62B6" w:rsidRDefault="00F35080" w:rsidP="00A73AFC">
            <w:pPr>
              <w:rPr>
                <w:rFonts w:ascii="Arial" w:hAnsi="Arial" w:cs="Arial"/>
                <w:bCs/>
                <w:color w:val="000000"/>
                <w:sz w:val="19"/>
                <w:szCs w:val="19"/>
                <w:lang w:val="en-GB" w:bidi="ne-NP"/>
              </w:rPr>
            </w:pPr>
            <w:r w:rsidRPr="007F62B6">
              <w:rPr>
                <w:rFonts w:ascii="Arial" w:hAnsi="Arial" w:cs="Arial"/>
                <w:bCs/>
                <w:color w:val="000000"/>
                <w:sz w:val="19"/>
                <w:szCs w:val="19"/>
                <w:lang w:val="en-GB" w:bidi="ne-NP"/>
              </w:rPr>
              <w:t xml:space="preserve">Property and </w:t>
            </w:r>
            <w:r w:rsidR="00A73AFC">
              <w:rPr>
                <w:rFonts w:ascii="Arial" w:hAnsi="Arial" w:cs="Arial"/>
                <w:bCs/>
                <w:color w:val="000000"/>
                <w:sz w:val="19"/>
                <w:szCs w:val="19"/>
                <w:lang w:val="en-GB" w:bidi="ne-NP"/>
              </w:rPr>
              <w:t>e</w:t>
            </w:r>
            <w:r w:rsidRPr="007F62B6">
              <w:rPr>
                <w:rFonts w:ascii="Arial" w:hAnsi="Arial" w:cs="Arial"/>
                <w:bCs/>
                <w:color w:val="000000"/>
                <w:sz w:val="19"/>
                <w:szCs w:val="19"/>
                <w:lang w:val="en-GB" w:bidi="ne-NP"/>
              </w:rPr>
              <w:t>quipment</w:t>
            </w:r>
          </w:p>
        </w:tc>
        <w:tc>
          <w:tcPr>
            <w:tcW w:w="1172" w:type="dxa"/>
            <w:noWrap/>
            <w:vAlign w:val="center"/>
            <w:hideMark/>
          </w:tcPr>
          <w:p w14:paraId="6EB91C5E"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43,811,654</w:t>
            </w:r>
          </w:p>
        </w:tc>
        <w:tc>
          <w:tcPr>
            <w:tcW w:w="1170" w:type="dxa"/>
            <w:noWrap/>
            <w:vAlign w:val="center"/>
            <w:hideMark/>
          </w:tcPr>
          <w:p w14:paraId="4E822F2B"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39,671,059</w:t>
            </w:r>
          </w:p>
        </w:tc>
        <w:tc>
          <w:tcPr>
            <w:tcW w:w="1260" w:type="dxa"/>
            <w:noWrap/>
            <w:vAlign w:val="center"/>
            <w:hideMark/>
          </w:tcPr>
          <w:p w14:paraId="7358698C"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39,662,681</w:t>
            </w:r>
          </w:p>
        </w:tc>
        <w:tc>
          <w:tcPr>
            <w:tcW w:w="1170" w:type="dxa"/>
            <w:noWrap/>
            <w:vAlign w:val="center"/>
            <w:hideMark/>
          </w:tcPr>
          <w:p w14:paraId="21D61367"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38,568,962</w:t>
            </w:r>
          </w:p>
        </w:tc>
        <w:tc>
          <w:tcPr>
            <w:tcW w:w="1170" w:type="dxa"/>
            <w:noWrap/>
            <w:vAlign w:val="center"/>
            <w:hideMark/>
          </w:tcPr>
          <w:p w14:paraId="2CB30D7E"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37,413,980</w:t>
            </w:r>
          </w:p>
        </w:tc>
        <w:tc>
          <w:tcPr>
            <w:tcW w:w="1255" w:type="dxa"/>
            <w:noWrap/>
            <w:vAlign w:val="center"/>
            <w:hideMark/>
          </w:tcPr>
          <w:p w14:paraId="6C1961A7"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36,412,414</w:t>
            </w:r>
          </w:p>
        </w:tc>
      </w:tr>
      <w:tr w:rsidR="009B2CF2" w:rsidRPr="007F62B6" w14:paraId="5C1F15FB" w14:textId="77777777" w:rsidTr="009B2CF2">
        <w:trPr>
          <w:trHeight w:val="315"/>
        </w:trPr>
        <w:tc>
          <w:tcPr>
            <w:tcW w:w="2153" w:type="dxa"/>
            <w:noWrap/>
            <w:hideMark/>
          </w:tcPr>
          <w:p w14:paraId="17755EE2" w14:textId="20362062" w:rsidR="00F35080" w:rsidRPr="007F62B6" w:rsidRDefault="00F35080" w:rsidP="00A73AFC">
            <w:pPr>
              <w:rPr>
                <w:rFonts w:ascii="Arial" w:hAnsi="Arial" w:cs="Arial"/>
                <w:bCs/>
                <w:color w:val="000000"/>
                <w:sz w:val="19"/>
                <w:szCs w:val="19"/>
                <w:lang w:val="en-GB" w:bidi="ne-NP"/>
              </w:rPr>
            </w:pPr>
            <w:r w:rsidRPr="007F62B6">
              <w:rPr>
                <w:rFonts w:ascii="Arial" w:hAnsi="Arial" w:cs="Arial"/>
                <w:bCs/>
                <w:color w:val="000000"/>
                <w:sz w:val="19"/>
                <w:szCs w:val="19"/>
                <w:lang w:val="en-GB" w:bidi="ne-NP"/>
              </w:rPr>
              <w:t xml:space="preserve">Debt </w:t>
            </w:r>
            <w:r w:rsidR="00A73AFC">
              <w:rPr>
                <w:rFonts w:ascii="Arial" w:hAnsi="Arial" w:cs="Arial"/>
                <w:bCs/>
                <w:color w:val="000000"/>
                <w:sz w:val="19"/>
                <w:szCs w:val="19"/>
                <w:lang w:val="en-GB" w:bidi="ne-NP"/>
              </w:rPr>
              <w:t>i</w:t>
            </w:r>
            <w:r w:rsidRPr="007F62B6">
              <w:rPr>
                <w:rFonts w:ascii="Arial" w:hAnsi="Arial" w:cs="Arial"/>
                <w:bCs/>
                <w:color w:val="000000"/>
                <w:sz w:val="19"/>
                <w:szCs w:val="19"/>
                <w:lang w:val="en-GB" w:bidi="ne-NP"/>
              </w:rPr>
              <w:t xml:space="preserve">ssuance </w:t>
            </w:r>
            <w:r w:rsidR="00A73AFC">
              <w:rPr>
                <w:rFonts w:ascii="Arial" w:hAnsi="Arial" w:cs="Arial"/>
                <w:bCs/>
                <w:color w:val="000000"/>
                <w:sz w:val="19"/>
                <w:szCs w:val="19"/>
                <w:lang w:val="en-GB" w:bidi="ne-NP"/>
              </w:rPr>
              <w:t>c</w:t>
            </w:r>
            <w:r w:rsidRPr="007F62B6">
              <w:rPr>
                <w:rFonts w:ascii="Arial" w:hAnsi="Arial" w:cs="Arial"/>
                <w:bCs/>
                <w:color w:val="000000"/>
                <w:sz w:val="19"/>
                <w:szCs w:val="19"/>
                <w:lang w:val="en-GB" w:bidi="ne-NP"/>
              </w:rPr>
              <w:t>osts</w:t>
            </w:r>
          </w:p>
        </w:tc>
        <w:tc>
          <w:tcPr>
            <w:tcW w:w="1172" w:type="dxa"/>
            <w:noWrap/>
            <w:vAlign w:val="center"/>
            <w:hideMark/>
          </w:tcPr>
          <w:p w14:paraId="0CC5C73E"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2,893,766</w:t>
            </w:r>
          </w:p>
        </w:tc>
        <w:tc>
          <w:tcPr>
            <w:tcW w:w="1170" w:type="dxa"/>
            <w:noWrap/>
            <w:vAlign w:val="center"/>
            <w:hideMark/>
          </w:tcPr>
          <w:p w14:paraId="1A793F69"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3,244,248</w:t>
            </w:r>
          </w:p>
        </w:tc>
        <w:tc>
          <w:tcPr>
            <w:tcW w:w="1260" w:type="dxa"/>
            <w:noWrap/>
            <w:vAlign w:val="center"/>
            <w:hideMark/>
          </w:tcPr>
          <w:p w14:paraId="3882673A"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3,109,771</w:t>
            </w:r>
          </w:p>
        </w:tc>
        <w:tc>
          <w:tcPr>
            <w:tcW w:w="1170" w:type="dxa"/>
            <w:noWrap/>
            <w:vAlign w:val="center"/>
            <w:hideMark/>
          </w:tcPr>
          <w:p w14:paraId="7DBEEBDE"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2,975,295</w:t>
            </w:r>
          </w:p>
        </w:tc>
        <w:tc>
          <w:tcPr>
            <w:tcW w:w="1170" w:type="dxa"/>
            <w:noWrap/>
            <w:vAlign w:val="center"/>
            <w:hideMark/>
          </w:tcPr>
          <w:p w14:paraId="206B8EA6" w14:textId="51557B18" w:rsidR="00F35080" w:rsidRPr="007F62B6" w:rsidRDefault="00A73AFC" w:rsidP="009B2CF2">
            <w:pPr>
              <w:jc w:val="right"/>
              <w:rPr>
                <w:rFonts w:ascii="Arial" w:hAnsi="Arial" w:cs="Arial"/>
                <w:color w:val="000000"/>
                <w:sz w:val="18"/>
                <w:szCs w:val="18"/>
                <w:lang w:val="en-GB" w:bidi="ne-NP"/>
              </w:rPr>
            </w:pPr>
            <w:r>
              <w:rPr>
                <w:rFonts w:ascii="Arial" w:hAnsi="Arial" w:cs="Arial"/>
                <w:color w:val="000000"/>
                <w:sz w:val="18"/>
                <w:szCs w:val="18"/>
                <w:lang w:val="en-GB" w:bidi="ne-NP"/>
              </w:rPr>
              <w:t>–</w:t>
            </w:r>
          </w:p>
        </w:tc>
        <w:tc>
          <w:tcPr>
            <w:tcW w:w="1255" w:type="dxa"/>
            <w:noWrap/>
            <w:vAlign w:val="center"/>
            <w:hideMark/>
          </w:tcPr>
          <w:p w14:paraId="594C3877" w14:textId="206120B0" w:rsidR="00F35080" w:rsidRPr="007F62B6" w:rsidRDefault="00A73AFC" w:rsidP="009B2CF2">
            <w:pPr>
              <w:jc w:val="right"/>
              <w:rPr>
                <w:rFonts w:ascii="Arial" w:hAnsi="Arial" w:cs="Arial"/>
                <w:color w:val="000000"/>
                <w:sz w:val="18"/>
                <w:szCs w:val="18"/>
                <w:lang w:val="en-GB" w:bidi="ne-NP"/>
              </w:rPr>
            </w:pPr>
            <w:r>
              <w:rPr>
                <w:rFonts w:ascii="Arial" w:hAnsi="Arial" w:cs="Arial"/>
                <w:color w:val="000000"/>
                <w:sz w:val="18"/>
                <w:szCs w:val="18"/>
                <w:lang w:val="en-GB" w:bidi="ne-NP"/>
              </w:rPr>
              <w:t>–</w:t>
            </w:r>
          </w:p>
        </w:tc>
      </w:tr>
      <w:tr w:rsidR="009B2CF2" w:rsidRPr="007F62B6" w14:paraId="259EDFE3" w14:textId="77777777" w:rsidTr="009B2CF2">
        <w:trPr>
          <w:trHeight w:val="120"/>
        </w:trPr>
        <w:tc>
          <w:tcPr>
            <w:tcW w:w="2153" w:type="dxa"/>
            <w:noWrap/>
            <w:hideMark/>
          </w:tcPr>
          <w:p w14:paraId="2F9B157A" w14:textId="77777777" w:rsidR="00F35080" w:rsidRPr="007F62B6" w:rsidRDefault="00F35080" w:rsidP="00AE1C06">
            <w:pPr>
              <w:jc w:val="center"/>
              <w:rPr>
                <w:rFonts w:ascii="Arial" w:hAnsi="Arial" w:cs="Arial"/>
                <w:bCs/>
                <w:color w:val="000000"/>
                <w:sz w:val="19"/>
                <w:szCs w:val="19"/>
                <w:lang w:val="en-GB" w:bidi="ne-NP"/>
              </w:rPr>
            </w:pPr>
            <w:r w:rsidRPr="007F62B6">
              <w:rPr>
                <w:rFonts w:ascii="Arial" w:hAnsi="Arial" w:cs="Arial"/>
                <w:bCs/>
                <w:color w:val="000000"/>
                <w:sz w:val="19"/>
                <w:szCs w:val="19"/>
                <w:lang w:val="en-GB" w:bidi="ne-NP"/>
              </w:rPr>
              <w:t> </w:t>
            </w:r>
          </w:p>
        </w:tc>
        <w:tc>
          <w:tcPr>
            <w:tcW w:w="1172" w:type="dxa"/>
            <w:noWrap/>
            <w:vAlign w:val="center"/>
            <w:hideMark/>
          </w:tcPr>
          <w:p w14:paraId="6B93B43F" w14:textId="492FD189" w:rsidR="00F35080" w:rsidRPr="007F62B6" w:rsidRDefault="00F35080" w:rsidP="009B2CF2">
            <w:pPr>
              <w:jc w:val="right"/>
              <w:rPr>
                <w:rFonts w:ascii="Arial" w:hAnsi="Arial" w:cs="Arial"/>
                <w:color w:val="000000"/>
                <w:sz w:val="18"/>
                <w:szCs w:val="18"/>
                <w:lang w:val="en-GB" w:bidi="ne-NP"/>
              </w:rPr>
            </w:pPr>
          </w:p>
        </w:tc>
        <w:tc>
          <w:tcPr>
            <w:tcW w:w="1170" w:type="dxa"/>
            <w:noWrap/>
            <w:vAlign w:val="center"/>
            <w:hideMark/>
          </w:tcPr>
          <w:p w14:paraId="1C76C74E" w14:textId="4A864731" w:rsidR="00F35080" w:rsidRPr="007F62B6" w:rsidRDefault="00F35080" w:rsidP="009B2CF2">
            <w:pPr>
              <w:jc w:val="right"/>
              <w:rPr>
                <w:rFonts w:ascii="Arial" w:hAnsi="Arial" w:cs="Arial"/>
                <w:color w:val="000000"/>
                <w:sz w:val="18"/>
                <w:szCs w:val="18"/>
                <w:lang w:val="en-GB" w:bidi="ne-NP"/>
              </w:rPr>
            </w:pPr>
          </w:p>
        </w:tc>
        <w:tc>
          <w:tcPr>
            <w:tcW w:w="1260" w:type="dxa"/>
            <w:noWrap/>
            <w:vAlign w:val="center"/>
            <w:hideMark/>
          </w:tcPr>
          <w:p w14:paraId="13C8BCE7" w14:textId="1C65F526" w:rsidR="00F35080" w:rsidRPr="007F62B6" w:rsidRDefault="00F35080" w:rsidP="009B2CF2">
            <w:pPr>
              <w:jc w:val="right"/>
              <w:rPr>
                <w:rFonts w:ascii="Arial" w:hAnsi="Arial" w:cs="Arial"/>
                <w:color w:val="000000"/>
                <w:sz w:val="18"/>
                <w:szCs w:val="18"/>
                <w:lang w:val="en-GB" w:bidi="ne-NP"/>
              </w:rPr>
            </w:pPr>
          </w:p>
        </w:tc>
        <w:tc>
          <w:tcPr>
            <w:tcW w:w="1170" w:type="dxa"/>
            <w:noWrap/>
            <w:vAlign w:val="center"/>
            <w:hideMark/>
          </w:tcPr>
          <w:p w14:paraId="17039AED" w14:textId="0E7A7E30" w:rsidR="00F35080" w:rsidRPr="007F62B6" w:rsidRDefault="00F35080" w:rsidP="009B2CF2">
            <w:pPr>
              <w:jc w:val="right"/>
              <w:rPr>
                <w:rFonts w:ascii="Arial" w:hAnsi="Arial" w:cs="Arial"/>
                <w:color w:val="000000"/>
                <w:sz w:val="18"/>
                <w:szCs w:val="18"/>
                <w:lang w:val="en-GB" w:bidi="ne-NP"/>
              </w:rPr>
            </w:pPr>
          </w:p>
        </w:tc>
        <w:tc>
          <w:tcPr>
            <w:tcW w:w="1170" w:type="dxa"/>
            <w:noWrap/>
            <w:vAlign w:val="center"/>
            <w:hideMark/>
          </w:tcPr>
          <w:p w14:paraId="005B21A3" w14:textId="0C47A094" w:rsidR="00F35080" w:rsidRPr="007F62B6" w:rsidRDefault="00F35080" w:rsidP="009B2CF2">
            <w:pPr>
              <w:jc w:val="right"/>
              <w:rPr>
                <w:rFonts w:ascii="Arial" w:hAnsi="Arial" w:cs="Arial"/>
                <w:color w:val="000000"/>
                <w:sz w:val="18"/>
                <w:szCs w:val="18"/>
                <w:lang w:val="en-GB" w:bidi="ne-NP"/>
              </w:rPr>
            </w:pPr>
          </w:p>
        </w:tc>
        <w:tc>
          <w:tcPr>
            <w:tcW w:w="1255" w:type="dxa"/>
            <w:noWrap/>
            <w:vAlign w:val="center"/>
            <w:hideMark/>
          </w:tcPr>
          <w:p w14:paraId="43260BC8" w14:textId="32E7F687" w:rsidR="00F35080" w:rsidRPr="007F62B6" w:rsidRDefault="00F35080" w:rsidP="009B2CF2">
            <w:pPr>
              <w:jc w:val="right"/>
              <w:rPr>
                <w:rFonts w:ascii="Arial" w:hAnsi="Arial" w:cs="Arial"/>
                <w:color w:val="000000"/>
                <w:sz w:val="18"/>
                <w:szCs w:val="18"/>
                <w:lang w:val="en-GB" w:bidi="ne-NP"/>
              </w:rPr>
            </w:pPr>
          </w:p>
        </w:tc>
      </w:tr>
      <w:tr w:rsidR="009B2CF2" w:rsidRPr="007F62B6" w14:paraId="629107EA" w14:textId="77777777" w:rsidTr="009B2CF2">
        <w:trPr>
          <w:trHeight w:val="315"/>
        </w:trPr>
        <w:tc>
          <w:tcPr>
            <w:tcW w:w="2153" w:type="dxa"/>
            <w:noWrap/>
            <w:hideMark/>
          </w:tcPr>
          <w:p w14:paraId="5AFFBC5D" w14:textId="1BD5C7DA" w:rsidR="00F35080" w:rsidRPr="007F62B6" w:rsidRDefault="00F35080" w:rsidP="00AE1C06">
            <w:pPr>
              <w:rPr>
                <w:rFonts w:ascii="Arial" w:hAnsi="Arial" w:cs="Arial"/>
                <w:b/>
                <w:bCs/>
                <w:color w:val="000000"/>
                <w:sz w:val="19"/>
                <w:szCs w:val="19"/>
                <w:lang w:val="en-GB" w:bidi="ne-NP"/>
              </w:rPr>
            </w:pPr>
            <w:r w:rsidRPr="007F62B6">
              <w:rPr>
                <w:rFonts w:ascii="Arial" w:hAnsi="Arial" w:cs="Arial"/>
                <w:b/>
                <w:bCs/>
                <w:color w:val="000000"/>
                <w:sz w:val="19"/>
                <w:szCs w:val="19"/>
                <w:lang w:val="en-GB" w:bidi="ne-NP"/>
              </w:rPr>
              <w:t xml:space="preserve">Total </w:t>
            </w:r>
            <w:r w:rsidR="002F11BC">
              <w:rPr>
                <w:rFonts w:ascii="Arial" w:hAnsi="Arial" w:cs="Arial"/>
                <w:b/>
                <w:bCs/>
                <w:color w:val="000000"/>
                <w:sz w:val="19"/>
                <w:szCs w:val="19"/>
                <w:lang w:val="en-GB" w:bidi="ne-NP"/>
              </w:rPr>
              <w:t>a</w:t>
            </w:r>
            <w:r w:rsidRPr="007F62B6">
              <w:rPr>
                <w:rFonts w:ascii="Arial" w:hAnsi="Arial" w:cs="Arial"/>
                <w:b/>
                <w:bCs/>
                <w:color w:val="000000"/>
                <w:sz w:val="19"/>
                <w:szCs w:val="19"/>
                <w:lang w:val="en-GB" w:bidi="ne-NP"/>
              </w:rPr>
              <w:t>ssets</w:t>
            </w:r>
          </w:p>
        </w:tc>
        <w:tc>
          <w:tcPr>
            <w:tcW w:w="1172" w:type="dxa"/>
            <w:noWrap/>
            <w:vAlign w:val="center"/>
            <w:hideMark/>
          </w:tcPr>
          <w:p w14:paraId="1FEA1EC5"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57,312,044</w:t>
            </w:r>
          </w:p>
        </w:tc>
        <w:tc>
          <w:tcPr>
            <w:tcW w:w="1170" w:type="dxa"/>
            <w:noWrap/>
            <w:vAlign w:val="center"/>
            <w:hideMark/>
          </w:tcPr>
          <w:p w14:paraId="73AB1D04"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52,596,027</w:t>
            </w:r>
          </w:p>
        </w:tc>
        <w:tc>
          <w:tcPr>
            <w:tcW w:w="1260" w:type="dxa"/>
            <w:noWrap/>
            <w:vAlign w:val="center"/>
            <w:hideMark/>
          </w:tcPr>
          <w:p w14:paraId="06851E2A"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50,969,253</w:t>
            </w:r>
          </w:p>
        </w:tc>
        <w:tc>
          <w:tcPr>
            <w:tcW w:w="1170" w:type="dxa"/>
            <w:noWrap/>
            <w:vAlign w:val="center"/>
            <w:hideMark/>
          </w:tcPr>
          <w:p w14:paraId="3BE2E08A"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51,117,118</w:t>
            </w:r>
          </w:p>
        </w:tc>
        <w:tc>
          <w:tcPr>
            <w:tcW w:w="1170" w:type="dxa"/>
            <w:noWrap/>
            <w:vAlign w:val="center"/>
            <w:hideMark/>
          </w:tcPr>
          <w:p w14:paraId="09CCD937"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46,998,583</w:t>
            </w:r>
          </w:p>
        </w:tc>
        <w:tc>
          <w:tcPr>
            <w:tcW w:w="1255" w:type="dxa"/>
            <w:noWrap/>
            <w:vAlign w:val="center"/>
            <w:hideMark/>
          </w:tcPr>
          <w:p w14:paraId="12B5C69C"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46,456,874</w:t>
            </w:r>
          </w:p>
        </w:tc>
      </w:tr>
      <w:tr w:rsidR="009B2CF2" w:rsidRPr="007F62B6" w14:paraId="0300D293" w14:textId="77777777" w:rsidTr="009B2CF2">
        <w:trPr>
          <w:trHeight w:val="242"/>
        </w:trPr>
        <w:tc>
          <w:tcPr>
            <w:tcW w:w="2153" w:type="dxa"/>
            <w:noWrap/>
            <w:hideMark/>
          </w:tcPr>
          <w:p w14:paraId="70E99384" w14:textId="77777777" w:rsidR="00F35080" w:rsidRPr="007F62B6" w:rsidRDefault="00F35080" w:rsidP="00AE1C06">
            <w:pPr>
              <w:rPr>
                <w:rFonts w:ascii="Arial" w:hAnsi="Arial" w:cs="Arial"/>
                <w:bCs/>
                <w:color w:val="000000"/>
                <w:sz w:val="19"/>
                <w:szCs w:val="19"/>
                <w:lang w:val="en-GB" w:bidi="ne-NP"/>
              </w:rPr>
            </w:pPr>
            <w:r w:rsidRPr="007F62B6">
              <w:rPr>
                <w:rFonts w:ascii="Arial" w:hAnsi="Arial" w:cs="Arial"/>
                <w:bCs/>
                <w:color w:val="000000"/>
                <w:sz w:val="19"/>
                <w:szCs w:val="19"/>
                <w:lang w:val="en-GB" w:bidi="ne-NP"/>
              </w:rPr>
              <w:t> </w:t>
            </w:r>
          </w:p>
        </w:tc>
        <w:tc>
          <w:tcPr>
            <w:tcW w:w="1172" w:type="dxa"/>
            <w:noWrap/>
            <w:vAlign w:val="center"/>
            <w:hideMark/>
          </w:tcPr>
          <w:p w14:paraId="4BCD244A" w14:textId="07E96BB1" w:rsidR="00F35080" w:rsidRPr="007F62B6" w:rsidRDefault="00F35080" w:rsidP="009B2CF2">
            <w:pPr>
              <w:jc w:val="right"/>
              <w:rPr>
                <w:rFonts w:ascii="Arial" w:hAnsi="Arial" w:cs="Arial"/>
                <w:color w:val="000000"/>
                <w:sz w:val="18"/>
                <w:szCs w:val="18"/>
                <w:lang w:val="en-GB" w:bidi="ne-NP"/>
              </w:rPr>
            </w:pPr>
          </w:p>
        </w:tc>
        <w:tc>
          <w:tcPr>
            <w:tcW w:w="1170" w:type="dxa"/>
            <w:noWrap/>
            <w:vAlign w:val="center"/>
            <w:hideMark/>
          </w:tcPr>
          <w:p w14:paraId="17F6161C" w14:textId="20D52631" w:rsidR="00F35080" w:rsidRPr="007F62B6" w:rsidRDefault="00F35080" w:rsidP="009B2CF2">
            <w:pPr>
              <w:jc w:val="right"/>
              <w:rPr>
                <w:rFonts w:ascii="Arial" w:hAnsi="Arial" w:cs="Arial"/>
                <w:color w:val="000000"/>
                <w:sz w:val="18"/>
                <w:szCs w:val="18"/>
                <w:lang w:val="en-GB" w:bidi="ne-NP"/>
              </w:rPr>
            </w:pPr>
          </w:p>
        </w:tc>
        <w:tc>
          <w:tcPr>
            <w:tcW w:w="1260" w:type="dxa"/>
            <w:noWrap/>
            <w:vAlign w:val="center"/>
            <w:hideMark/>
          </w:tcPr>
          <w:p w14:paraId="56BAE0E0" w14:textId="2C26E4D1" w:rsidR="00F35080" w:rsidRPr="007F62B6" w:rsidRDefault="00F35080" w:rsidP="009B2CF2">
            <w:pPr>
              <w:jc w:val="right"/>
              <w:rPr>
                <w:rFonts w:ascii="Arial" w:hAnsi="Arial" w:cs="Arial"/>
                <w:color w:val="000000"/>
                <w:sz w:val="18"/>
                <w:szCs w:val="18"/>
                <w:lang w:val="en-GB" w:bidi="ne-NP"/>
              </w:rPr>
            </w:pPr>
          </w:p>
        </w:tc>
        <w:tc>
          <w:tcPr>
            <w:tcW w:w="1170" w:type="dxa"/>
            <w:noWrap/>
            <w:vAlign w:val="center"/>
            <w:hideMark/>
          </w:tcPr>
          <w:p w14:paraId="5A51CDC3" w14:textId="6B24F68C" w:rsidR="00F35080" w:rsidRPr="007F62B6" w:rsidRDefault="00F35080" w:rsidP="009B2CF2">
            <w:pPr>
              <w:jc w:val="right"/>
              <w:rPr>
                <w:rFonts w:ascii="Arial" w:hAnsi="Arial" w:cs="Arial"/>
                <w:color w:val="000000"/>
                <w:sz w:val="18"/>
                <w:szCs w:val="18"/>
                <w:lang w:val="en-GB" w:bidi="ne-NP"/>
              </w:rPr>
            </w:pPr>
          </w:p>
        </w:tc>
        <w:tc>
          <w:tcPr>
            <w:tcW w:w="1170" w:type="dxa"/>
            <w:noWrap/>
            <w:vAlign w:val="center"/>
            <w:hideMark/>
          </w:tcPr>
          <w:p w14:paraId="0F4F8A42" w14:textId="041343C9" w:rsidR="00F35080" w:rsidRPr="007F62B6" w:rsidRDefault="00F35080" w:rsidP="009B2CF2">
            <w:pPr>
              <w:jc w:val="right"/>
              <w:rPr>
                <w:rFonts w:ascii="Arial" w:hAnsi="Arial" w:cs="Arial"/>
                <w:color w:val="000000"/>
                <w:sz w:val="18"/>
                <w:szCs w:val="18"/>
                <w:lang w:val="en-GB" w:bidi="ne-NP"/>
              </w:rPr>
            </w:pPr>
          </w:p>
        </w:tc>
        <w:tc>
          <w:tcPr>
            <w:tcW w:w="1255" w:type="dxa"/>
            <w:noWrap/>
            <w:vAlign w:val="center"/>
            <w:hideMark/>
          </w:tcPr>
          <w:p w14:paraId="7977C656" w14:textId="721C3149" w:rsidR="00F35080" w:rsidRPr="007F62B6" w:rsidRDefault="00F35080" w:rsidP="009B2CF2">
            <w:pPr>
              <w:jc w:val="right"/>
              <w:rPr>
                <w:rFonts w:ascii="Arial" w:hAnsi="Arial" w:cs="Arial"/>
                <w:color w:val="000000"/>
                <w:sz w:val="18"/>
                <w:szCs w:val="18"/>
                <w:lang w:val="en-GB" w:bidi="ne-NP"/>
              </w:rPr>
            </w:pPr>
          </w:p>
        </w:tc>
      </w:tr>
      <w:tr w:rsidR="009B2CF2" w:rsidRPr="007F62B6" w14:paraId="53A88DFE" w14:textId="77777777" w:rsidTr="009B2CF2">
        <w:trPr>
          <w:trHeight w:val="315"/>
        </w:trPr>
        <w:tc>
          <w:tcPr>
            <w:tcW w:w="2153" w:type="dxa"/>
            <w:noWrap/>
            <w:hideMark/>
          </w:tcPr>
          <w:p w14:paraId="519AF24C" w14:textId="7360B67B" w:rsidR="00F35080" w:rsidRPr="007F62B6" w:rsidRDefault="00F35080" w:rsidP="00AE1C06">
            <w:pPr>
              <w:rPr>
                <w:rFonts w:ascii="Arial" w:hAnsi="Arial" w:cs="Arial"/>
                <w:b/>
                <w:bCs/>
                <w:color w:val="000000"/>
                <w:sz w:val="19"/>
                <w:szCs w:val="19"/>
                <w:lang w:val="en-GB" w:bidi="ne-NP"/>
              </w:rPr>
            </w:pPr>
            <w:r w:rsidRPr="007F62B6">
              <w:rPr>
                <w:rFonts w:ascii="Arial" w:hAnsi="Arial" w:cs="Arial"/>
                <w:b/>
                <w:bCs/>
                <w:color w:val="000000"/>
                <w:sz w:val="19"/>
                <w:szCs w:val="19"/>
                <w:lang w:val="en-GB" w:bidi="ne-NP"/>
              </w:rPr>
              <w:t xml:space="preserve">Current </w:t>
            </w:r>
            <w:r w:rsidR="002F11BC">
              <w:rPr>
                <w:rFonts w:ascii="Arial" w:hAnsi="Arial" w:cs="Arial"/>
                <w:b/>
                <w:bCs/>
                <w:color w:val="000000"/>
                <w:sz w:val="19"/>
                <w:szCs w:val="19"/>
                <w:lang w:val="en-GB" w:bidi="ne-NP"/>
              </w:rPr>
              <w:t>l</w:t>
            </w:r>
            <w:r w:rsidRPr="007F62B6">
              <w:rPr>
                <w:rFonts w:ascii="Arial" w:hAnsi="Arial" w:cs="Arial"/>
                <w:b/>
                <w:bCs/>
                <w:color w:val="000000"/>
                <w:sz w:val="19"/>
                <w:szCs w:val="19"/>
                <w:lang w:val="en-GB" w:bidi="ne-NP"/>
              </w:rPr>
              <w:t>iabilities</w:t>
            </w:r>
          </w:p>
        </w:tc>
        <w:tc>
          <w:tcPr>
            <w:tcW w:w="1172" w:type="dxa"/>
            <w:noWrap/>
            <w:vAlign w:val="center"/>
            <w:hideMark/>
          </w:tcPr>
          <w:p w14:paraId="404E1D7C" w14:textId="3E9BB15C" w:rsidR="00F35080" w:rsidRPr="007F62B6" w:rsidRDefault="00F35080" w:rsidP="009B2CF2">
            <w:pPr>
              <w:jc w:val="right"/>
              <w:rPr>
                <w:rFonts w:ascii="Arial" w:hAnsi="Arial" w:cs="Arial"/>
                <w:color w:val="000000"/>
                <w:sz w:val="18"/>
                <w:szCs w:val="18"/>
                <w:lang w:val="en-GB" w:bidi="ne-NP"/>
              </w:rPr>
            </w:pPr>
          </w:p>
        </w:tc>
        <w:tc>
          <w:tcPr>
            <w:tcW w:w="1170" w:type="dxa"/>
            <w:noWrap/>
            <w:vAlign w:val="center"/>
            <w:hideMark/>
          </w:tcPr>
          <w:p w14:paraId="0FCE00A8" w14:textId="75EFE95D" w:rsidR="00F35080" w:rsidRPr="007F62B6" w:rsidRDefault="00F35080" w:rsidP="009B2CF2">
            <w:pPr>
              <w:jc w:val="right"/>
              <w:rPr>
                <w:rFonts w:ascii="Arial" w:hAnsi="Arial" w:cs="Arial"/>
                <w:color w:val="000000"/>
                <w:sz w:val="18"/>
                <w:szCs w:val="18"/>
                <w:lang w:val="en-GB" w:bidi="ne-NP"/>
              </w:rPr>
            </w:pPr>
          </w:p>
        </w:tc>
        <w:tc>
          <w:tcPr>
            <w:tcW w:w="1260" w:type="dxa"/>
            <w:noWrap/>
            <w:vAlign w:val="center"/>
            <w:hideMark/>
          </w:tcPr>
          <w:p w14:paraId="6CFBE201" w14:textId="0FD897EA" w:rsidR="00F35080" w:rsidRPr="007F62B6" w:rsidRDefault="00F35080" w:rsidP="009B2CF2">
            <w:pPr>
              <w:jc w:val="right"/>
              <w:rPr>
                <w:rFonts w:ascii="Arial" w:hAnsi="Arial" w:cs="Arial"/>
                <w:color w:val="000000"/>
                <w:sz w:val="18"/>
                <w:szCs w:val="18"/>
                <w:lang w:val="en-GB" w:bidi="ne-NP"/>
              </w:rPr>
            </w:pPr>
          </w:p>
        </w:tc>
        <w:tc>
          <w:tcPr>
            <w:tcW w:w="1170" w:type="dxa"/>
            <w:noWrap/>
            <w:vAlign w:val="center"/>
            <w:hideMark/>
          </w:tcPr>
          <w:p w14:paraId="161A2A51" w14:textId="03489AB1" w:rsidR="00F35080" w:rsidRPr="007F62B6" w:rsidRDefault="00F35080" w:rsidP="009B2CF2">
            <w:pPr>
              <w:jc w:val="right"/>
              <w:rPr>
                <w:rFonts w:ascii="Arial" w:hAnsi="Arial" w:cs="Arial"/>
                <w:color w:val="000000"/>
                <w:sz w:val="18"/>
                <w:szCs w:val="18"/>
                <w:lang w:val="en-GB" w:bidi="ne-NP"/>
              </w:rPr>
            </w:pPr>
          </w:p>
        </w:tc>
        <w:tc>
          <w:tcPr>
            <w:tcW w:w="1170" w:type="dxa"/>
            <w:noWrap/>
            <w:vAlign w:val="center"/>
            <w:hideMark/>
          </w:tcPr>
          <w:p w14:paraId="04D612E9" w14:textId="13633200" w:rsidR="00F35080" w:rsidRPr="007F62B6" w:rsidRDefault="00F35080" w:rsidP="009B2CF2">
            <w:pPr>
              <w:jc w:val="right"/>
              <w:rPr>
                <w:rFonts w:ascii="Arial" w:hAnsi="Arial" w:cs="Arial"/>
                <w:color w:val="000000"/>
                <w:sz w:val="18"/>
                <w:szCs w:val="18"/>
                <w:lang w:val="en-GB" w:bidi="ne-NP"/>
              </w:rPr>
            </w:pPr>
          </w:p>
        </w:tc>
        <w:tc>
          <w:tcPr>
            <w:tcW w:w="1255" w:type="dxa"/>
            <w:noWrap/>
            <w:vAlign w:val="center"/>
            <w:hideMark/>
          </w:tcPr>
          <w:p w14:paraId="23A031F0" w14:textId="5F81D83B" w:rsidR="00F35080" w:rsidRPr="007F62B6" w:rsidRDefault="00F35080" w:rsidP="009B2CF2">
            <w:pPr>
              <w:jc w:val="right"/>
              <w:rPr>
                <w:rFonts w:ascii="Arial" w:hAnsi="Arial" w:cs="Arial"/>
                <w:color w:val="000000"/>
                <w:sz w:val="18"/>
                <w:szCs w:val="18"/>
                <w:lang w:val="en-GB" w:bidi="ne-NP"/>
              </w:rPr>
            </w:pPr>
          </w:p>
        </w:tc>
      </w:tr>
      <w:tr w:rsidR="009B2CF2" w:rsidRPr="007F62B6" w14:paraId="3C32F618" w14:textId="77777777" w:rsidTr="009B2CF2">
        <w:trPr>
          <w:trHeight w:val="315"/>
        </w:trPr>
        <w:tc>
          <w:tcPr>
            <w:tcW w:w="2153" w:type="dxa"/>
            <w:noWrap/>
            <w:hideMark/>
          </w:tcPr>
          <w:p w14:paraId="045C1FE5" w14:textId="0598AB76" w:rsidR="00F35080" w:rsidRPr="007F62B6" w:rsidRDefault="00F35080" w:rsidP="00AE1C06">
            <w:pPr>
              <w:rPr>
                <w:rFonts w:ascii="Arial" w:hAnsi="Arial" w:cs="Arial"/>
                <w:bCs/>
                <w:iCs/>
                <w:color w:val="000000"/>
                <w:sz w:val="19"/>
                <w:szCs w:val="19"/>
                <w:lang w:val="en-GB" w:bidi="ne-NP"/>
              </w:rPr>
            </w:pPr>
            <w:r w:rsidRPr="007F62B6">
              <w:rPr>
                <w:rFonts w:ascii="Arial" w:hAnsi="Arial" w:cs="Arial"/>
                <w:bCs/>
                <w:iCs/>
                <w:color w:val="000000"/>
                <w:sz w:val="19"/>
                <w:szCs w:val="19"/>
                <w:lang w:val="en-GB" w:bidi="ne-NP"/>
              </w:rPr>
              <w:t>Accounts payable</w:t>
            </w:r>
          </w:p>
        </w:tc>
        <w:tc>
          <w:tcPr>
            <w:tcW w:w="1172" w:type="dxa"/>
            <w:noWrap/>
            <w:vAlign w:val="center"/>
            <w:hideMark/>
          </w:tcPr>
          <w:p w14:paraId="5D4046C4"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1,087,253</w:t>
            </w:r>
          </w:p>
        </w:tc>
        <w:tc>
          <w:tcPr>
            <w:tcW w:w="1170" w:type="dxa"/>
            <w:noWrap/>
            <w:vAlign w:val="center"/>
            <w:hideMark/>
          </w:tcPr>
          <w:p w14:paraId="05E7BE59"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956,724</w:t>
            </w:r>
          </w:p>
        </w:tc>
        <w:tc>
          <w:tcPr>
            <w:tcW w:w="1260" w:type="dxa"/>
            <w:noWrap/>
            <w:vAlign w:val="center"/>
            <w:hideMark/>
          </w:tcPr>
          <w:p w14:paraId="267E1A73"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839,442</w:t>
            </w:r>
          </w:p>
        </w:tc>
        <w:tc>
          <w:tcPr>
            <w:tcW w:w="1170" w:type="dxa"/>
            <w:noWrap/>
            <w:vAlign w:val="center"/>
            <w:hideMark/>
          </w:tcPr>
          <w:p w14:paraId="4EC97782"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737,810</w:t>
            </w:r>
          </w:p>
        </w:tc>
        <w:tc>
          <w:tcPr>
            <w:tcW w:w="1170" w:type="dxa"/>
            <w:noWrap/>
            <w:vAlign w:val="center"/>
            <w:hideMark/>
          </w:tcPr>
          <w:p w14:paraId="21FA85E1"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906,717</w:t>
            </w:r>
          </w:p>
        </w:tc>
        <w:tc>
          <w:tcPr>
            <w:tcW w:w="1255" w:type="dxa"/>
            <w:noWrap/>
            <w:vAlign w:val="center"/>
            <w:hideMark/>
          </w:tcPr>
          <w:p w14:paraId="22EEBF70"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1,097,648</w:t>
            </w:r>
          </w:p>
        </w:tc>
      </w:tr>
      <w:tr w:rsidR="009B2CF2" w:rsidRPr="007F62B6" w14:paraId="00F93BFA" w14:textId="77777777" w:rsidTr="009B2CF2">
        <w:trPr>
          <w:trHeight w:val="315"/>
        </w:trPr>
        <w:tc>
          <w:tcPr>
            <w:tcW w:w="2153" w:type="dxa"/>
            <w:noWrap/>
            <w:hideMark/>
          </w:tcPr>
          <w:p w14:paraId="0A17B85C" w14:textId="4CF6834A" w:rsidR="00F35080" w:rsidRPr="007F62B6" w:rsidRDefault="00F35080" w:rsidP="00AE1C06">
            <w:pPr>
              <w:rPr>
                <w:rFonts w:ascii="Arial" w:hAnsi="Arial" w:cs="Arial"/>
                <w:bCs/>
                <w:iCs/>
                <w:color w:val="000000"/>
                <w:sz w:val="19"/>
                <w:szCs w:val="19"/>
                <w:lang w:val="en-GB" w:bidi="ne-NP"/>
              </w:rPr>
            </w:pPr>
            <w:r w:rsidRPr="007F62B6">
              <w:rPr>
                <w:rFonts w:ascii="Arial" w:hAnsi="Arial" w:cs="Arial"/>
                <w:bCs/>
                <w:iCs/>
                <w:color w:val="000000"/>
                <w:sz w:val="19"/>
                <w:szCs w:val="19"/>
                <w:lang w:val="en-GB" w:bidi="ne-NP"/>
              </w:rPr>
              <w:t>Accrued bond interest</w:t>
            </w:r>
          </w:p>
        </w:tc>
        <w:tc>
          <w:tcPr>
            <w:tcW w:w="1172" w:type="dxa"/>
            <w:noWrap/>
            <w:vAlign w:val="center"/>
            <w:hideMark/>
          </w:tcPr>
          <w:p w14:paraId="4B085965"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849,354</w:t>
            </w:r>
          </w:p>
        </w:tc>
        <w:tc>
          <w:tcPr>
            <w:tcW w:w="1170" w:type="dxa"/>
            <w:noWrap/>
            <w:vAlign w:val="center"/>
            <w:hideMark/>
          </w:tcPr>
          <w:p w14:paraId="1A5A4578"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833,888</w:t>
            </w:r>
          </w:p>
        </w:tc>
        <w:tc>
          <w:tcPr>
            <w:tcW w:w="1260" w:type="dxa"/>
            <w:noWrap/>
            <w:vAlign w:val="center"/>
            <w:hideMark/>
          </w:tcPr>
          <w:p w14:paraId="1427D4E7"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817,435</w:t>
            </w:r>
          </w:p>
        </w:tc>
        <w:tc>
          <w:tcPr>
            <w:tcW w:w="1170" w:type="dxa"/>
            <w:noWrap/>
            <w:vAlign w:val="center"/>
            <w:hideMark/>
          </w:tcPr>
          <w:p w14:paraId="571F6042"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800,102</w:t>
            </w:r>
          </w:p>
        </w:tc>
        <w:tc>
          <w:tcPr>
            <w:tcW w:w="1170" w:type="dxa"/>
            <w:noWrap/>
            <w:vAlign w:val="center"/>
            <w:hideMark/>
          </w:tcPr>
          <w:p w14:paraId="69BCA29C"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781,674</w:t>
            </w:r>
          </w:p>
        </w:tc>
        <w:tc>
          <w:tcPr>
            <w:tcW w:w="1255" w:type="dxa"/>
            <w:noWrap/>
            <w:vAlign w:val="center"/>
            <w:hideMark/>
          </w:tcPr>
          <w:p w14:paraId="04B72453"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142,650</w:t>
            </w:r>
          </w:p>
        </w:tc>
      </w:tr>
      <w:tr w:rsidR="009B2CF2" w:rsidRPr="007F62B6" w14:paraId="02A62B74" w14:textId="77777777" w:rsidTr="009B2CF2">
        <w:trPr>
          <w:trHeight w:val="315"/>
        </w:trPr>
        <w:tc>
          <w:tcPr>
            <w:tcW w:w="2153" w:type="dxa"/>
            <w:noWrap/>
            <w:hideMark/>
          </w:tcPr>
          <w:p w14:paraId="747EA5A8" w14:textId="28179B48" w:rsidR="00F35080" w:rsidRPr="007F62B6" w:rsidRDefault="00F35080" w:rsidP="00AE1C06">
            <w:pPr>
              <w:rPr>
                <w:rFonts w:ascii="Arial" w:hAnsi="Arial" w:cs="Arial"/>
                <w:bCs/>
                <w:iCs/>
                <w:color w:val="000000"/>
                <w:sz w:val="19"/>
                <w:szCs w:val="19"/>
                <w:lang w:val="en-GB" w:bidi="ne-NP"/>
              </w:rPr>
            </w:pPr>
            <w:r w:rsidRPr="007F62B6">
              <w:rPr>
                <w:rFonts w:ascii="Arial" w:hAnsi="Arial" w:cs="Arial"/>
                <w:bCs/>
                <w:iCs/>
                <w:color w:val="000000"/>
                <w:sz w:val="19"/>
                <w:szCs w:val="19"/>
                <w:lang w:val="en-GB" w:bidi="ne-NP"/>
              </w:rPr>
              <w:t>Accrued expenses</w:t>
            </w:r>
          </w:p>
        </w:tc>
        <w:tc>
          <w:tcPr>
            <w:tcW w:w="1172" w:type="dxa"/>
            <w:noWrap/>
            <w:vAlign w:val="center"/>
            <w:hideMark/>
          </w:tcPr>
          <w:p w14:paraId="39A614F2"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1,772,729</w:t>
            </w:r>
          </w:p>
        </w:tc>
        <w:tc>
          <w:tcPr>
            <w:tcW w:w="1170" w:type="dxa"/>
            <w:noWrap/>
            <w:vAlign w:val="center"/>
            <w:hideMark/>
          </w:tcPr>
          <w:p w14:paraId="337E511F"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2,109,538</w:t>
            </w:r>
          </w:p>
        </w:tc>
        <w:tc>
          <w:tcPr>
            <w:tcW w:w="1260" w:type="dxa"/>
            <w:noWrap/>
            <w:vAlign w:val="center"/>
            <w:hideMark/>
          </w:tcPr>
          <w:p w14:paraId="0FFAD780"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2,590,908</w:t>
            </w:r>
          </w:p>
        </w:tc>
        <w:tc>
          <w:tcPr>
            <w:tcW w:w="1170" w:type="dxa"/>
            <w:noWrap/>
            <w:vAlign w:val="center"/>
            <w:hideMark/>
          </w:tcPr>
          <w:p w14:paraId="2529F6AF"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2,860,342</w:t>
            </w:r>
          </w:p>
        </w:tc>
        <w:tc>
          <w:tcPr>
            <w:tcW w:w="1170" w:type="dxa"/>
            <w:noWrap/>
            <w:vAlign w:val="center"/>
            <w:hideMark/>
          </w:tcPr>
          <w:p w14:paraId="55E95F5B"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2,599,443</w:t>
            </w:r>
          </w:p>
        </w:tc>
        <w:tc>
          <w:tcPr>
            <w:tcW w:w="1255" w:type="dxa"/>
            <w:noWrap/>
            <w:vAlign w:val="center"/>
            <w:hideMark/>
          </w:tcPr>
          <w:p w14:paraId="74FC0058"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2,538,259</w:t>
            </w:r>
          </w:p>
        </w:tc>
      </w:tr>
      <w:tr w:rsidR="009B2CF2" w:rsidRPr="007F62B6" w14:paraId="3845DF1C" w14:textId="77777777" w:rsidTr="009B2CF2">
        <w:trPr>
          <w:trHeight w:val="315"/>
        </w:trPr>
        <w:tc>
          <w:tcPr>
            <w:tcW w:w="2153" w:type="dxa"/>
            <w:noWrap/>
            <w:hideMark/>
          </w:tcPr>
          <w:p w14:paraId="3BDDC1CE" w14:textId="2CACD420" w:rsidR="00F35080" w:rsidRPr="007F62B6" w:rsidRDefault="00F35080" w:rsidP="00AE1C06">
            <w:pPr>
              <w:rPr>
                <w:rFonts w:ascii="Arial" w:hAnsi="Arial" w:cs="Arial"/>
                <w:bCs/>
                <w:iCs/>
                <w:color w:val="000000"/>
                <w:sz w:val="19"/>
                <w:szCs w:val="19"/>
                <w:lang w:val="en-GB" w:bidi="ne-NP"/>
              </w:rPr>
            </w:pPr>
            <w:r w:rsidRPr="007F62B6">
              <w:rPr>
                <w:rFonts w:ascii="Arial" w:hAnsi="Arial" w:cs="Arial"/>
                <w:bCs/>
                <w:iCs/>
                <w:color w:val="000000"/>
                <w:sz w:val="19"/>
                <w:szCs w:val="19"/>
                <w:lang w:val="en-GB" w:bidi="ne-NP"/>
              </w:rPr>
              <w:t>Line of credit</w:t>
            </w:r>
          </w:p>
        </w:tc>
        <w:tc>
          <w:tcPr>
            <w:tcW w:w="1172" w:type="dxa"/>
            <w:noWrap/>
            <w:vAlign w:val="center"/>
            <w:hideMark/>
          </w:tcPr>
          <w:p w14:paraId="4560CC50"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3,600,000</w:t>
            </w:r>
          </w:p>
        </w:tc>
        <w:tc>
          <w:tcPr>
            <w:tcW w:w="1170" w:type="dxa"/>
            <w:noWrap/>
            <w:vAlign w:val="center"/>
            <w:hideMark/>
          </w:tcPr>
          <w:p w14:paraId="2D8AE6B1"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1,500,000</w:t>
            </w:r>
          </w:p>
        </w:tc>
        <w:tc>
          <w:tcPr>
            <w:tcW w:w="1260" w:type="dxa"/>
            <w:noWrap/>
            <w:vAlign w:val="center"/>
            <w:hideMark/>
          </w:tcPr>
          <w:p w14:paraId="44C0CEAC"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1,089,898</w:t>
            </w:r>
          </w:p>
        </w:tc>
        <w:tc>
          <w:tcPr>
            <w:tcW w:w="1170" w:type="dxa"/>
            <w:noWrap/>
            <w:vAlign w:val="center"/>
            <w:hideMark/>
          </w:tcPr>
          <w:p w14:paraId="33C56311"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2,377,775</w:t>
            </w:r>
          </w:p>
        </w:tc>
        <w:tc>
          <w:tcPr>
            <w:tcW w:w="1170" w:type="dxa"/>
            <w:noWrap/>
            <w:vAlign w:val="center"/>
            <w:hideMark/>
          </w:tcPr>
          <w:p w14:paraId="36766110"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3,000,000</w:t>
            </w:r>
          </w:p>
        </w:tc>
        <w:tc>
          <w:tcPr>
            <w:tcW w:w="1255" w:type="dxa"/>
            <w:noWrap/>
            <w:vAlign w:val="center"/>
            <w:hideMark/>
          </w:tcPr>
          <w:p w14:paraId="76766D23"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3,900,000</w:t>
            </w:r>
          </w:p>
        </w:tc>
      </w:tr>
      <w:tr w:rsidR="009B2CF2" w:rsidRPr="007F62B6" w14:paraId="448B368B" w14:textId="77777777" w:rsidTr="009B2CF2">
        <w:trPr>
          <w:trHeight w:val="315"/>
        </w:trPr>
        <w:tc>
          <w:tcPr>
            <w:tcW w:w="2153" w:type="dxa"/>
            <w:noWrap/>
            <w:hideMark/>
          </w:tcPr>
          <w:p w14:paraId="6B8D17B3" w14:textId="7D52A796" w:rsidR="00F35080" w:rsidRPr="007F62B6" w:rsidRDefault="00F35080" w:rsidP="00AE1C06">
            <w:pPr>
              <w:rPr>
                <w:rFonts w:ascii="Arial" w:hAnsi="Arial" w:cs="Arial"/>
                <w:bCs/>
                <w:iCs/>
                <w:color w:val="000000"/>
                <w:sz w:val="19"/>
                <w:szCs w:val="19"/>
                <w:lang w:val="en-GB" w:bidi="ne-NP"/>
              </w:rPr>
            </w:pPr>
            <w:r w:rsidRPr="007F62B6">
              <w:rPr>
                <w:rFonts w:ascii="Arial" w:hAnsi="Arial" w:cs="Arial"/>
                <w:bCs/>
                <w:iCs/>
                <w:color w:val="000000"/>
                <w:sz w:val="19"/>
                <w:szCs w:val="19"/>
                <w:lang w:val="en-GB" w:bidi="ne-NP"/>
              </w:rPr>
              <w:t>Bonds payable</w:t>
            </w:r>
          </w:p>
        </w:tc>
        <w:tc>
          <w:tcPr>
            <w:tcW w:w="1172" w:type="dxa"/>
            <w:noWrap/>
            <w:vAlign w:val="center"/>
            <w:hideMark/>
          </w:tcPr>
          <w:p w14:paraId="1ED328C3"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705,000</w:t>
            </w:r>
          </w:p>
        </w:tc>
        <w:tc>
          <w:tcPr>
            <w:tcW w:w="1170" w:type="dxa"/>
            <w:noWrap/>
            <w:vAlign w:val="center"/>
            <w:hideMark/>
          </w:tcPr>
          <w:p w14:paraId="25CF88B3"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750,000</w:t>
            </w:r>
          </w:p>
        </w:tc>
        <w:tc>
          <w:tcPr>
            <w:tcW w:w="1260" w:type="dxa"/>
            <w:noWrap/>
            <w:vAlign w:val="center"/>
            <w:hideMark/>
          </w:tcPr>
          <w:p w14:paraId="25BBF5EC"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790,000</w:t>
            </w:r>
          </w:p>
        </w:tc>
        <w:tc>
          <w:tcPr>
            <w:tcW w:w="1170" w:type="dxa"/>
            <w:noWrap/>
            <w:vAlign w:val="center"/>
            <w:hideMark/>
          </w:tcPr>
          <w:p w14:paraId="36D62FBC"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840,000</w:t>
            </w:r>
          </w:p>
        </w:tc>
        <w:tc>
          <w:tcPr>
            <w:tcW w:w="1170" w:type="dxa"/>
            <w:noWrap/>
            <w:vAlign w:val="center"/>
            <w:hideMark/>
          </w:tcPr>
          <w:p w14:paraId="51F20055"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885,000</w:t>
            </w:r>
          </w:p>
        </w:tc>
        <w:tc>
          <w:tcPr>
            <w:tcW w:w="1255" w:type="dxa"/>
            <w:noWrap/>
            <w:vAlign w:val="center"/>
            <w:hideMark/>
          </w:tcPr>
          <w:p w14:paraId="4C03B031" w14:textId="2F86079D" w:rsidR="00F35080" w:rsidRPr="007F62B6" w:rsidRDefault="00A73AFC" w:rsidP="009B2CF2">
            <w:pPr>
              <w:jc w:val="right"/>
              <w:rPr>
                <w:rFonts w:ascii="Arial" w:hAnsi="Arial" w:cs="Arial"/>
                <w:color w:val="000000"/>
                <w:sz w:val="18"/>
                <w:szCs w:val="18"/>
                <w:lang w:val="en-GB" w:bidi="ne-NP"/>
              </w:rPr>
            </w:pPr>
            <w:r>
              <w:rPr>
                <w:rFonts w:ascii="Arial" w:hAnsi="Arial" w:cs="Arial"/>
                <w:color w:val="000000"/>
                <w:sz w:val="18"/>
                <w:szCs w:val="18"/>
                <w:lang w:val="en-GB" w:bidi="ne-NP"/>
              </w:rPr>
              <w:t>–</w:t>
            </w:r>
          </w:p>
        </w:tc>
      </w:tr>
      <w:tr w:rsidR="009B2CF2" w:rsidRPr="007F62B6" w14:paraId="092FBE2A" w14:textId="77777777" w:rsidTr="009B2CF2">
        <w:trPr>
          <w:trHeight w:val="315"/>
        </w:trPr>
        <w:tc>
          <w:tcPr>
            <w:tcW w:w="2153" w:type="dxa"/>
            <w:noWrap/>
            <w:hideMark/>
          </w:tcPr>
          <w:p w14:paraId="2BB85E2B" w14:textId="66F42F22" w:rsidR="00F35080" w:rsidRPr="007F62B6" w:rsidRDefault="00F35080" w:rsidP="00AE1C06">
            <w:pPr>
              <w:rPr>
                <w:rFonts w:ascii="Arial" w:hAnsi="Arial" w:cs="Arial"/>
                <w:bCs/>
                <w:iCs/>
                <w:color w:val="000000"/>
                <w:sz w:val="19"/>
                <w:szCs w:val="19"/>
                <w:lang w:val="en-GB" w:bidi="ne-NP"/>
              </w:rPr>
            </w:pPr>
            <w:r w:rsidRPr="007F62B6">
              <w:rPr>
                <w:rFonts w:ascii="Arial" w:hAnsi="Arial" w:cs="Arial"/>
                <w:bCs/>
                <w:iCs/>
                <w:color w:val="000000"/>
                <w:sz w:val="19"/>
                <w:szCs w:val="19"/>
                <w:lang w:val="en-GB" w:bidi="ne-NP"/>
              </w:rPr>
              <w:t>Advances from third-party payers</w:t>
            </w:r>
          </w:p>
        </w:tc>
        <w:tc>
          <w:tcPr>
            <w:tcW w:w="1172" w:type="dxa"/>
            <w:noWrap/>
            <w:vAlign w:val="center"/>
            <w:hideMark/>
          </w:tcPr>
          <w:p w14:paraId="5B017222"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0</w:t>
            </w:r>
          </w:p>
        </w:tc>
        <w:tc>
          <w:tcPr>
            <w:tcW w:w="1170" w:type="dxa"/>
            <w:noWrap/>
            <w:vAlign w:val="center"/>
            <w:hideMark/>
          </w:tcPr>
          <w:p w14:paraId="61846C60"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1,447,604</w:t>
            </w:r>
          </w:p>
        </w:tc>
        <w:tc>
          <w:tcPr>
            <w:tcW w:w="1260" w:type="dxa"/>
            <w:noWrap/>
            <w:vAlign w:val="center"/>
            <w:hideMark/>
          </w:tcPr>
          <w:p w14:paraId="303E798A"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1,590,389</w:t>
            </w:r>
          </w:p>
        </w:tc>
        <w:tc>
          <w:tcPr>
            <w:tcW w:w="1170" w:type="dxa"/>
            <w:noWrap/>
            <w:vAlign w:val="center"/>
            <w:hideMark/>
          </w:tcPr>
          <w:p w14:paraId="67C974BA"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1,788,056</w:t>
            </w:r>
          </w:p>
        </w:tc>
        <w:tc>
          <w:tcPr>
            <w:tcW w:w="1170" w:type="dxa"/>
            <w:noWrap/>
            <w:vAlign w:val="center"/>
            <w:hideMark/>
          </w:tcPr>
          <w:p w14:paraId="368FFC5B"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2,001,012</w:t>
            </w:r>
          </w:p>
        </w:tc>
        <w:tc>
          <w:tcPr>
            <w:tcW w:w="1255" w:type="dxa"/>
            <w:noWrap/>
            <w:vAlign w:val="center"/>
            <w:hideMark/>
          </w:tcPr>
          <w:p w14:paraId="4CD10168"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2,878,154</w:t>
            </w:r>
          </w:p>
        </w:tc>
      </w:tr>
      <w:tr w:rsidR="009B2CF2" w:rsidRPr="007F62B6" w14:paraId="19EB8504" w14:textId="77777777" w:rsidTr="009B2CF2">
        <w:trPr>
          <w:trHeight w:val="120"/>
        </w:trPr>
        <w:tc>
          <w:tcPr>
            <w:tcW w:w="2153" w:type="dxa"/>
            <w:noWrap/>
            <w:hideMark/>
          </w:tcPr>
          <w:p w14:paraId="079EFA66" w14:textId="77777777" w:rsidR="00F35080" w:rsidRPr="007F62B6" w:rsidRDefault="00F35080" w:rsidP="00AE1C06">
            <w:pPr>
              <w:jc w:val="center"/>
              <w:rPr>
                <w:rFonts w:ascii="Arial" w:hAnsi="Arial" w:cs="Arial"/>
                <w:bCs/>
                <w:color w:val="000000"/>
                <w:sz w:val="19"/>
                <w:szCs w:val="19"/>
                <w:lang w:val="en-GB" w:bidi="ne-NP"/>
              </w:rPr>
            </w:pPr>
            <w:r w:rsidRPr="007F62B6">
              <w:rPr>
                <w:rFonts w:ascii="Arial" w:hAnsi="Arial" w:cs="Arial"/>
                <w:bCs/>
                <w:color w:val="000000"/>
                <w:sz w:val="19"/>
                <w:szCs w:val="19"/>
                <w:lang w:val="en-GB" w:bidi="ne-NP"/>
              </w:rPr>
              <w:t> </w:t>
            </w:r>
          </w:p>
        </w:tc>
        <w:tc>
          <w:tcPr>
            <w:tcW w:w="1172" w:type="dxa"/>
            <w:noWrap/>
            <w:vAlign w:val="center"/>
            <w:hideMark/>
          </w:tcPr>
          <w:p w14:paraId="78F8C3D0" w14:textId="43DEED39" w:rsidR="00F35080" w:rsidRPr="007F62B6" w:rsidRDefault="00F35080" w:rsidP="009B2CF2">
            <w:pPr>
              <w:jc w:val="right"/>
              <w:rPr>
                <w:rFonts w:ascii="Arial" w:hAnsi="Arial" w:cs="Arial"/>
                <w:color w:val="000000"/>
                <w:sz w:val="18"/>
                <w:szCs w:val="18"/>
                <w:lang w:val="en-GB" w:bidi="ne-NP"/>
              </w:rPr>
            </w:pPr>
          </w:p>
        </w:tc>
        <w:tc>
          <w:tcPr>
            <w:tcW w:w="1170" w:type="dxa"/>
            <w:noWrap/>
            <w:vAlign w:val="center"/>
            <w:hideMark/>
          </w:tcPr>
          <w:p w14:paraId="7A7CFB92" w14:textId="5A3F7FB8" w:rsidR="00F35080" w:rsidRPr="007F62B6" w:rsidRDefault="00F35080" w:rsidP="009B2CF2">
            <w:pPr>
              <w:jc w:val="right"/>
              <w:rPr>
                <w:rFonts w:ascii="Arial" w:hAnsi="Arial" w:cs="Arial"/>
                <w:color w:val="000000"/>
                <w:sz w:val="18"/>
                <w:szCs w:val="18"/>
                <w:lang w:val="en-GB" w:bidi="ne-NP"/>
              </w:rPr>
            </w:pPr>
          </w:p>
        </w:tc>
        <w:tc>
          <w:tcPr>
            <w:tcW w:w="1260" w:type="dxa"/>
            <w:noWrap/>
            <w:vAlign w:val="center"/>
            <w:hideMark/>
          </w:tcPr>
          <w:p w14:paraId="27CBF75E" w14:textId="511391C8" w:rsidR="00F35080" w:rsidRPr="007F62B6" w:rsidRDefault="00F35080" w:rsidP="009B2CF2">
            <w:pPr>
              <w:jc w:val="right"/>
              <w:rPr>
                <w:rFonts w:ascii="Arial" w:hAnsi="Arial" w:cs="Arial"/>
                <w:color w:val="000000"/>
                <w:sz w:val="18"/>
                <w:szCs w:val="18"/>
                <w:lang w:val="en-GB" w:bidi="ne-NP"/>
              </w:rPr>
            </w:pPr>
          </w:p>
        </w:tc>
        <w:tc>
          <w:tcPr>
            <w:tcW w:w="1170" w:type="dxa"/>
            <w:noWrap/>
            <w:vAlign w:val="center"/>
            <w:hideMark/>
          </w:tcPr>
          <w:p w14:paraId="56DD9735" w14:textId="76CC7A9F" w:rsidR="00F35080" w:rsidRPr="007F62B6" w:rsidRDefault="00F35080" w:rsidP="009B2CF2">
            <w:pPr>
              <w:jc w:val="right"/>
              <w:rPr>
                <w:rFonts w:ascii="Arial" w:hAnsi="Arial" w:cs="Arial"/>
                <w:color w:val="000000"/>
                <w:sz w:val="18"/>
                <w:szCs w:val="18"/>
                <w:lang w:val="en-GB" w:bidi="ne-NP"/>
              </w:rPr>
            </w:pPr>
          </w:p>
        </w:tc>
        <w:tc>
          <w:tcPr>
            <w:tcW w:w="1170" w:type="dxa"/>
            <w:noWrap/>
            <w:vAlign w:val="center"/>
            <w:hideMark/>
          </w:tcPr>
          <w:p w14:paraId="0DFE9FBA" w14:textId="1D892538" w:rsidR="00F35080" w:rsidRPr="007F62B6" w:rsidRDefault="00F35080" w:rsidP="009B2CF2">
            <w:pPr>
              <w:jc w:val="right"/>
              <w:rPr>
                <w:rFonts w:ascii="Arial" w:hAnsi="Arial" w:cs="Arial"/>
                <w:color w:val="000000"/>
                <w:sz w:val="18"/>
                <w:szCs w:val="18"/>
                <w:lang w:val="en-GB" w:bidi="ne-NP"/>
              </w:rPr>
            </w:pPr>
          </w:p>
        </w:tc>
        <w:tc>
          <w:tcPr>
            <w:tcW w:w="1255" w:type="dxa"/>
            <w:noWrap/>
            <w:vAlign w:val="center"/>
            <w:hideMark/>
          </w:tcPr>
          <w:p w14:paraId="7C426361" w14:textId="316587C6" w:rsidR="00F35080" w:rsidRPr="007F62B6" w:rsidRDefault="00F35080" w:rsidP="009B2CF2">
            <w:pPr>
              <w:jc w:val="right"/>
              <w:rPr>
                <w:rFonts w:ascii="Arial" w:hAnsi="Arial" w:cs="Arial"/>
                <w:color w:val="000000"/>
                <w:sz w:val="18"/>
                <w:szCs w:val="18"/>
                <w:lang w:val="en-GB" w:bidi="ne-NP"/>
              </w:rPr>
            </w:pPr>
          </w:p>
        </w:tc>
      </w:tr>
      <w:tr w:rsidR="009B2CF2" w:rsidRPr="007F62B6" w14:paraId="130494DD" w14:textId="77777777" w:rsidTr="009B2CF2">
        <w:trPr>
          <w:trHeight w:val="315"/>
        </w:trPr>
        <w:tc>
          <w:tcPr>
            <w:tcW w:w="2153" w:type="dxa"/>
            <w:noWrap/>
            <w:hideMark/>
          </w:tcPr>
          <w:p w14:paraId="7B5A98D5" w14:textId="40C11F1E" w:rsidR="00F35080" w:rsidRPr="007F62B6" w:rsidRDefault="00F35080" w:rsidP="00AE1C06">
            <w:pPr>
              <w:rPr>
                <w:rFonts w:ascii="Arial" w:hAnsi="Arial" w:cs="Arial"/>
                <w:bCs/>
                <w:iCs/>
                <w:color w:val="000000"/>
                <w:sz w:val="19"/>
                <w:szCs w:val="19"/>
                <w:lang w:val="en-GB" w:bidi="ne-NP"/>
              </w:rPr>
            </w:pPr>
            <w:r w:rsidRPr="007F62B6">
              <w:rPr>
                <w:rFonts w:ascii="Arial" w:hAnsi="Arial" w:cs="Arial"/>
                <w:bCs/>
                <w:iCs/>
                <w:color w:val="000000"/>
                <w:sz w:val="19"/>
                <w:szCs w:val="19"/>
                <w:lang w:val="en-GB" w:bidi="ne-NP"/>
              </w:rPr>
              <w:t>Total current liabilities</w:t>
            </w:r>
          </w:p>
        </w:tc>
        <w:tc>
          <w:tcPr>
            <w:tcW w:w="1172" w:type="dxa"/>
            <w:noWrap/>
            <w:vAlign w:val="center"/>
            <w:hideMark/>
          </w:tcPr>
          <w:p w14:paraId="5DA60DED"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8,014,336</w:t>
            </w:r>
          </w:p>
        </w:tc>
        <w:tc>
          <w:tcPr>
            <w:tcW w:w="1170" w:type="dxa"/>
            <w:noWrap/>
            <w:vAlign w:val="center"/>
            <w:hideMark/>
          </w:tcPr>
          <w:p w14:paraId="46712253"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7,597,754</w:t>
            </w:r>
          </w:p>
        </w:tc>
        <w:tc>
          <w:tcPr>
            <w:tcW w:w="1260" w:type="dxa"/>
            <w:noWrap/>
            <w:vAlign w:val="center"/>
            <w:hideMark/>
          </w:tcPr>
          <w:p w14:paraId="7D3EB333"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7,718,072</w:t>
            </w:r>
          </w:p>
        </w:tc>
        <w:tc>
          <w:tcPr>
            <w:tcW w:w="1170" w:type="dxa"/>
            <w:noWrap/>
            <w:vAlign w:val="center"/>
            <w:hideMark/>
          </w:tcPr>
          <w:p w14:paraId="696D9EB1"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9,404,085</w:t>
            </w:r>
          </w:p>
        </w:tc>
        <w:tc>
          <w:tcPr>
            <w:tcW w:w="1170" w:type="dxa"/>
            <w:noWrap/>
            <w:vAlign w:val="center"/>
            <w:hideMark/>
          </w:tcPr>
          <w:p w14:paraId="2D6DCD2F"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10,173,846</w:t>
            </w:r>
          </w:p>
        </w:tc>
        <w:tc>
          <w:tcPr>
            <w:tcW w:w="1255" w:type="dxa"/>
            <w:noWrap/>
            <w:vAlign w:val="center"/>
            <w:hideMark/>
          </w:tcPr>
          <w:p w14:paraId="68655897"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10,556,711</w:t>
            </w:r>
          </w:p>
        </w:tc>
      </w:tr>
      <w:tr w:rsidR="009B2CF2" w:rsidRPr="007F62B6" w14:paraId="7B44BA61" w14:textId="77777777" w:rsidTr="009B2CF2">
        <w:trPr>
          <w:trHeight w:val="120"/>
        </w:trPr>
        <w:tc>
          <w:tcPr>
            <w:tcW w:w="2153" w:type="dxa"/>
            <w:noWrap/>
            <w:hideMark/>
          </w:tcPr>
          <w:p w14:paraId="31CFAD5D" w14:textId="77777777" w:rsidR="00F35080" w:rsidRPr="007F62B6" w:rsidRDefault="00F35080" w:rsidP="00AE1C06">
            <w:pPr>
              <w:jc w:val="center"/>
              <w:rPr>
                <w:rFonts w:ascii="Arial" w:hAnsi="Arial" w:cs="Arial"/>
                <w:bCs/>
                <w:color w:val="000000"/>
                <w:sz w:val="19"/>
                <w:szCs w:val="19"/>
                <w:lang w:val="en-GB" w:bidi="ne-NP"/>
              </w:rPr>
            </w:pPr>
            <w:r w:rsidRPr="007F62B6">
              <w:rPr>
                <w:rFonts w:ascii="Arial" w:hAnsi="Arial" w:cs="Arial"/>
                <w:bCs/>
                <w:color w:val="000000"/>
                <w:sz w:val="19"/>
                <w:szCs w:val="19"/>
                <w:lang w:val="en-GB" w:bidi="ne-NP"/>
              </w:rPr>
              <w:t> </w:t>
            </w:r>
          </w:p>
        </w:tc>
        <w:tc>
          <w:tcPr>
            <w:tcW w:w="1172" w:type="dxa"/>
            <w:noWrap/>
            <w:vAlign w:val="center"/>
            <w:hideMark/>
          </w:tcPr>
          <w:p w14:paraId="073AA2C7" w14:textId="1F1673C6" w:rsidR="00F35080" w:rsidRPr="007F62B6" w:rsidRDefault="00F35080" w:rsidP="009B2CF2">
            <w:pPr>
              <w:jc w:val="right"/>
              <w:rPr>
                <w:rFonts w:ascii="Arial" w:hAnsi="Arial" w:cs="Arial"/>
                <w:color w:val="000000"/>
                <w:sz w:val="18"/>
                <w:szCs w:val="18"/>
                <w:lang w:val="en-GB" w:bidi="ne-NP"/>
              </w:rPr>
            </w:pPr>
          </w:p>
        </w:tc>
        <w:tc>
          <w:tcPr>
            <w:tcW w:w="1170" w:type="dxa"/>
            <w:noWrap/>
            <w:vAlign w:val="center"/>
            <w:hideMark/>
          </w:tcPr>
          <w:p w14:paraId="6F836589" w14:textId="3B64394A" w:rsidR="00F35080" w:rsidRPr="007F62B6" w:rsidRDefault="00F35080" w:rsidP="009B2CF2">
            <w:pPr>
              <w:jc w:val="right"/>
              <w:rPr>
                <w:rFonts w:ascii="Arial" w:hAnsi="Arial" w:cs="Arial"/>
                <w:color w:val="000000"/>
                <w:sz w:val="18"/>
                <w:szCs w:val="18"/>
                <w:lang w:val="en-GB" w:bidi="ne-NP"/>
              </w:rPr>
            </w:pPr>
          </w:p>
        </w:tc>
        <w:tc>
          <w:tcPr>
            <w:tcW w:w="1260" w:type="dxa"/>
            <w:noWrap/>
            <w:vAlign w:val="center"/>
            <w:hideMark/>
          </w:tcPr>
          <w:p w14:paraId="1EDB3048" w14:textId="0EF694DE" w:rsidR="00F35080" w:rsidRPr="007F62B6" w:rsidRDefault="00F35080" w:rsidP="009B2CF2">
            <w:pPr>
              <w:jc w:val="right"/>
              <w:rPr>
                <w:rFonts w:ascii="Arial" w:hAnsi="Arial" w:cs="Arial"/>
                <w:color w:val="000000"/>
                <w:sz w:val="18"/>
                <w:szCs w:val="18"/>
                <w:lang w:val="en-GB" w:bidi="ne-NP"/>
              </w:rPr>
            </w:pPr>
          </w:p>
        </w:tc>
        <w:tc>
          <w:tcPr>
            <w:tcW w:w="1170" w:type="dxa"/>
            <w:noWrap/>
            <w:vAlign w:val="center"/>
            <w:hideMark/>
          </w:tcPr>
          <w:p w14:paraId="59D80934" w14:textId="24B9B8FB" w:rsidR="00F35080" w:rsidRPr="007F62B6" w:rsidRDefault="00F35080" w:rsidP="009B2CF2">
            <w:pPr>
              <w:jc w:val="right"/>
              <w:rPr>
                <w:rFonts w:ascii="Arial" w:hAnsi="Arial" w:cs="Arial"/>
                <w:color w:val="000000"/>
                <w:sz w:val="18"/>
                <w:szCs w:val="18"/>
                <w:lang w:val="en-GB" w:bidi="ne-NP"/>
              </w:rPr>
            </w:pPr>
          </w:p>
        </w:tc>
        <w:tc>
          <w:tcPr>
            <w:tcW w:w="1170" w:type="dxa"/>
            <w:noWrap/>
            <w:vAlign w:val="center"/>
            <w:hideMark/>
          </w:tcPr>
          <w:p w14:paraId="4FE601EE" w14:textId="03FA2EBC" w:rsidR="00F35080" w:rsidRPr="007F62B6" w:rsidRDefault="00F35080" w:rsidP="009B2CF2">
            <w:pPr>
              <w:jc w:val="right"/>
              <w:rPr>
                <w:rFonts w:ascii="Arial" w:hAnsi="Arial" w:cs="Arial"/>
                <w:color w:val="000000"/>
                <w:sz w:val="18"/>
                <w:szCs w:val="18"/>
                <w:lang w:val="en-GB" w:bidi="ne-NP"/>
              </w:rPr>
            </w:pPr>
          </w:p>
        </w:tc>
        <w:tc>
          <w:tcPr>
            <w:tcW w:w="1255" w:type="dxa"/>
            <w:noWrap/>
            <w:vAlign w:val="center"/>
            <w:hideMark/>
          </w:tcPr>
          <w:p w14:paraId="45E4F2D5" w14:textId="2FDF8298" w:rsidR="00F35080" w:rsidRPr="007F62B6" w:rsidRDefault="00F35080" w:rsidP="009B2CF2">
            <w:pPr>
              <w:jc w:val="right"/>
              <w:rPr>
                <w:rFonts w:ascii="Arial" w:hAnsi="Arial" w:cs="Arial"/>
                <w:color w:val="000000"/>
                <w:sz w:val="18"/>
                <w:szCs w:val="18"/>
                <w:lang w:val="en-GB" w:bidi="ne-NP"/>
              </w:rPr>
            </w:pPr>
          </w:p>
        </w:tc>
      </w:tr>
      <w:tr w:rsidR="009B2CF2" w:rsidRPr="007F62B6" w14:paraId="43B2B6AD" w14:textId="77777777" w:rsidTr="009B2CF2">
        <w:trPr>
          <w:trHeight w:val="315"/>
        </w:trPr>
        <w:tc>
          <w:tcPr>
            <w:tcW w:w="2153" w:type="dxa"/>
            <w:noWrap/>
            <w:hideMark/>
          </w:tcPr>
          <w:p w14:paraId="16AF15C0" w14:textId="75771AD2" w:rsidR="00F35080" w:rsidRPr="007F62B6" w:rsidRDefault="00F35080" w:rsidP="00973E80">
            <w:pPr>
              <w:rPr>
                <w:rFonts w:ascii="Arial" w:hAnsi="Arial" w:cs="Arial"/>
                <w:bCs/>
                <w:color w:val="000000"/>
                <w:sz w:val="19"/>
                <w:szCs w:val="19"/>
                <w:lang w:val="en-GB" w:bidi="ne-NP"/>
              </w:rPr>
            </w:pPr>
            <w:r w:rsidRPr="007F62B6">
              <w:rPr>
                <w:rFonts w:ascii="Arial" w:hAnsi="Arial" w:cs="Arial"/>
                <w:bCs/>
                <w:color w:val="000000"/>
                <w:sz w:val="19"/>
                <w:szCs w:val="19"/>
                <w:lang w:val="en-GB" w:bidi="ne-NP"/>
              </w:rPr>
              <w:t xml:space="preserve">Bonds </w:t>
            </w:r>
            <w:r w:rsidR="00973E80">
              <w:rPr>
                <w:rFonts w:ascii="Arial" w:hAnsi="Arial" w:cs="Arial"/>
                <w:bCs/>
                <w:color w:val="000000"/>
                <w:sz w:val="19"/>
                <w:szCs w:val="19"/>
                <w:lang w:val="en-GB" w:bidi="ne-NP"/>
              </w:rPr>
              <w:t>p</w:t>
            </w:r>
            <w:r w:rsidRPr="007F62B6">
              <w:rPr>
                <w:rFonts w:ascii="Arial" w:hAnsi="Arial" w:cs="Arial"/>
                <w:bCs/>
                <w:color w:val="000000"/>
                <w:sz w:val="19"/>
                <w:szCs w:val="19"/>
                <w:lang w:val="en-GB" w:bidi="ne-NP"/>
              </w:rPr>
              <w:t>ayable</w:t>
            </w:r>
          </w:p>
        </w:tc>
        <w:tc>
          <w:tcPr>
            <w:tcW w:w="1172" w:type="dxa"/>
            <w:noWrap/>
            <w:vAlign w:val="center"/>
            <w:hideMark/>
          </w:tcPr>
          <w:p w14:paraId="55E219A0"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42,067,948</w:t>
            </w:r>
          </w:p>
        </w:tc>
        <w:tc>
          <w:tcPr>
            <w:tcW w:w="1170" w:type="dxa"/>
            <w:noWrap/>
            <w:vAlign w:val="center"/>
            <w:hideMark/>
          </w:tcPr>
          <w:p w14:paraId="5DFDF5C6"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39,775,000</w:t>
            </w:r>
          </w:p>
        </w:tc>
        <w:tc>
          <w:tcPr>
            <w:tcW w:w="1260" w:type="dxa"/>
            <w:noWrap/>
            <w:vAlign w:val="center"/>
            <w:hideMark/>
          </w:tcPr>
          <w:p w14:paraId="72CAA749"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38,985,000</w:t>
            </w:r>
          </w:p>
        </w:tc>
        <w:tc>
          <w:tcPr>
            <w:tcW w:w="1170" w:type="dxa"/>
            <w:noWrap/>
            <w:vAlign w:val="center"/>
            <w:hideMark/>
          </w:tcPr>
          <w:p w14:paraId="63808D1C"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38,145,000</w:t>
            </w:r>
          </w:p>
        </w:tc>
        <w:tc>
          <w:tcPr>
            <w:tcW w:w="1170" w:type="dxa"/>
            <w:noWrap/>
            <w:vAlign w:val="center"/>
            <w:hideMark/>
          </w:tcPr>
          <w:p w14:paraId="55B25319"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34,419,182</w:t>
            </w:r>
          </w:p>
        </w:tc>
        <w:tc>
          <w:tcPr>
            <w:tcW w:w="1255" w:type="dxa"/>
            <w:noWrap/>
            <w:vAlign w:val="center"/>
            <w:hideMark/>
          </w:tcPr>
          <w:p w14:paraId="352ABD73"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38,157,599</w:t>
            </w:r>
          </w:p>
        </w:tc>
      </w:tr>
      <w:tr w:rsidR="009B2CF2" w:rsidRPr="007F62B6" w14:paraId="260D2B0A" w14:textId="77777777" w:rsidTr="009B2CF2">
        <w:trPr>
          <w:trHeight w:val="315"/>
        </w:trPr>
        <w:tc>
          <w:tcPr>
            <w:tcW w:w="2153" w:type="dxa"/>
            <w:noWrap/>
            <w:hideMark/>
          </w:tcPr>
          <w:p w14:paraId="3A16D2C8" w14:textId="6045928B" w:rsidR="00F35080" w:rsidRPr="007F62B6" w:rsidRDefault="00F35080" w:rsidP="00AE1C06">
            <w:pPr>
              <w:rPr>
                <w:rFonts w:ascii="Arial" w:hAnsi="Arial" w:cs="Arial"/>
                <w:b/>
                <w:bCs/>
                <w:color w:val="000000"/>
                <w:sz w:val="19"/>
                <w:szCs w:val="19"/>
                <w:lang w:val="en-GB" w:bidi="ne-NP"/>
              </w:rPr>
            </w:pPr>
            <w:r w:rsidRPr="007F62B6">
              <w:rPr>
                <w:rFonts w:ascii="Arial" w:hAnsi="Arial" w:cs="Arial"/>
                <w:b/>
                <w:bCs/>
                <w:color w:val="000000"/>
                <w:sz w:val="19"/>
                <w:szCs w:val="19"/>
                <w:lang w:val="en-GB" w:bidi="ne-NP"/>
              </w:rPr>
              <w:t xml:space="preserve">Total </w:t>
            </w:r>
            <w:r w:rsidR="002F11BC">
              <w:rPr>
                <w:rFonts w:ascii="Arial" w:hAnsi="Arial" w:cs="Arial"/>
                <w:b/>
                <w:bCs/>
                <w:color w:val="000000"/>
                <w:sz w:val="19"/>
                <w:szCs w:val="19"/>
                <w:lang w:val="en-GB" w:bidi="ne-NP"/>
              </w:rPr>
              <w:t>l</w:t>
            </w:r>
            <w:r w:rsidRPr="007F62B6">
              <w:rPr>
                <w:rFonts w:ascii="Arial" w:hAnsi="Arial" w:cs="Arial"/>
                <w:b/>
                <w:bCs/>
                <w:color w:val="000000"/>
                <w:sz w:val="19"/>
                <w:szCs w:val="19"/>
                <w:lang w:val="en-GB" w:bidi="ne-NP"/>
              </w:rPr>
              <w:t>iabilities</w:t>
            </w:r>
          </w:p>
        </w:tc>
        <w:tc>
          <w:tcPr>
            <w:tcW w:w="1172" w:type="dxa"/>
            <w:noWrap/>
            <w:vAlign w:val="center"/>
            <w:hideMark/>
          </w:tcPr>
          <w:p w14:paraId="18A10485"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50,082,284</w:t>
            </w:r>
          </w:p>
        </w:tc>
        <w:tc>
          <w:tcPr>
            <w:tcW w:w="1170" w:type="dxa"/>
            <w:noWrap/>
            <w:vAlign w:val="center"/>
            <w:hideMark/>
          </w:tcPr>
          <w:p w14:paraId="74372F31"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47,372,754</w:t>
            </w:r>
          </w:p>
        </w:tc>
        <w:tc>
          <w:tcPr>
            <w:tcW w:w="1260" w:type="dxa"/>
            <w:noWrap/>
            <w:vAlign w:val="center"/>
            <w:hideMark/>
          </w:tcPr>
          <w:p w14:paraId="041A5295"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46,703,072</w:t>
            </w:r>
          </w:p>
        </w:tc>
        <w:tc>
          <w:tcPr>
            <w:tcW w:w="1170" w:type="dxa"/>
            <w:noWrap/>
            <w:vAlign w:val="center"/>
            <w:hideMark/>
          </w:tcPr>
          <w:p w14:paraId="00DEC146"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47,549,085</w:t>
            </w:r>
          </w:p>
        </w:tc>
        <w:tc>
          <w:tcPr>
            <w:tcW w:w="1170" w:type="dxa"/>
            <w:noWrap/>
            <w:vAlign w:val="center"/>
            <w:hideMark/>
          </w:tcPr>
          <w:p w14:paraId="7CA9552C"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44,593,028</w:t>
            </w:r>
          </w:p>
        </w:tc>
        <w:tc>
          <w:tcPr>
            <w:tcW w:w="1255" w:type="dxa"/>
            <w:noWrap/>
            <w:vAlign w:val="center"/>
            <w:hideMark/>
          </w:tcPr>
          <w:p w14:paraId="0735626A"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48,714,310</w:t>
            </w:r>
          </w:p>
        </w:tc>
      </w:tr>
      <w:tr w:rsidR="009B2CF2" w:rsidRPr="007F62B6" w14:paraId="677B5340" w14:textId="77777777" w:rsidTr="009B2CF2">
        <w:trPr>
          <w:trHeight w:val="188"/>
        </w:trPr>
        <w:tc>
          <w:tcPr>
            <w:tcW w:w="2153" w:type="dxa"/>
            <w:noWrap/>
            <w:hideMark/>
          </w:tcPr>
          <w:p w14:paraId="6238F0C1" w14:textId="77777777" w:rsidR="00F35080" w:rsidRPr="007F62B6" w:rsidRDefault="00F35080" w:rsidP="00AE1C06">
            <w:pPr>
              <w:jc w:val="center"/>
              <w:rPr>
                <w:rFonts w:ascii="Arial" w:hAnsi="Arial" w:cs="Arial"/>
                <w:bCs/>
                <w:color w:val="000000"/>
                <w:sz w:val="19"/>
                <w:szCs w:val="19"/>
                <w:lang w:val="en-GB" w:bidi="ne-NP"/>
              </w:rPr>
            </w:pPr>
            <w:r w:rsidRPr="007F62B6">
              <w:rPr>
                <w:rFonts w:ascii="Arial" w:hAnsi="Arial" w:cs="Arial"/>
                <w:bCs/>
                <w:color w:val="000000"/>
                <w:sz w:val="19"/>
                <w:szCs w:val="19"/>
                <w:lang w:val="en-GB" w:bidi="ne-NP"/>
              </w:rPr>
              <w:t> </w:t>
            </w:r>
          </w:p>
        </w:tc>
        <w:tc>
          <w:tcPr>
            <w:tcW w:w="1172" w:type="dxa"/>
            <w:noWrap/>
            <w:vAlign w:val="center"/>
            <w:hideMark/>
          </w:tcPr>
          <w:p w14:paraId="3D78F8F3" w14:textId="2CA1BFB6" w:rsidR="00F35080" w:rsidRPr="007F62B6" w:rsidRDefault="00F35080" w:rsidP="009B2CF2">
            <w:pPr>
              <w:jc w:val="right"/>
              <w:rPr>
                <w:rFonts w:ascii="Arial" w:hAnsi="Arial" w:cs="Arial"/>
                <w:color w:val="000000"/>
                <w:sz w:val="18"/>
                <w:szCs w:val="18"/>
                <w:lang w:val="en-GB" w:bidi="ne-NP"/>
              </w:rPr>
            </w:pPr>
          </w:p>
        </w:tc>
        <w:tc>
          <w:tcPr>
            <w:tcW w:w="1170" w:type="dxa"/>
            <w:noWrap/>
            <w:vAlign w:val="center"/>
            <w:hideMark/>
          </w:tcPr>
          <w:p w14:paraId="64F35E23" w14:textId="54446F53" w:rsidR="00F35080" w:rsidRPr="007F62B6" w:rsidRDefault="00F35080" w:rsidP="009B2CF2">
            <w:pPr>
              <w:jc w:val="right"/>
              <w:rPr>
                <w:rFonts w:ascii="Arial" w:hAnsi="Arial" w:cs="Arial"/>
                <w:color w:val="000000"/>
                <w:sz w:val="18"/>
                <w:szCs w:val="18"/>
                <w:lang w:val="en-GB" w:bidi="ne-NP"/>
              </w:rPr>
            </w:pPr>
          </w:p>
        </w:tc>
        <w:tc>
          <w:tcPr>
            <w:tcW w:w="1260" w:type="dxa"/>
            <w:noWrap/>
            <w:vAlign w:val="center"/>
            <w:hideMark/>
          </w:tcPr>
          <w:p w14:paraId="676F5914" w14:textId="606FA48F" w:rsidR="00F35080" w:rsidRPr="007F62B6" w:rsidRDefault="00F35080" w:rsidP="009B2CF2">
            <w:pPr>
              <w:jc w:val="right"/>
              <w:rPr>
                <w:rFonts w:ascii="Arial" w:hAnsi="Arial" w:cs="Arial"/>
                <w:color w:val="000000"/>
                <w:sz w:val="18"/>
                <w:szCs w:val="18"/>
                <w:lang w:val="en-GB" w:bidi="ne-NP"/>
              </w:rPr>
            </w:pPr>
          </w:p>
        </w:tc>
        <w:tc>
          <w:tcPr>
            <w:tcW w:w="1170" w:type="dxa"/>
            <w:noWrap/>
            <w:vAlign w:val="center"/>
            <w:hideMark/>
          </w:tcPr>
          <w:p w14:paraId="35B9317A" w14:textId="3608E0E2" w:rsidR="00F35080" w:rsidRPr="007F62B6" w:rsidRDefault="00F35080" w:rsidP="009B2CF2">
            <w:pPr>
              <w:jc w:val="right"/>
              <w:rPr>
                <w:rFonts w:ascii="Arial" w:hAnsi="Arial" w:cs="Arial"/>
                <w:color w:val="000000"/>
                <w:sz w:val="18"/>
                <w:szCs w:val="18"/>
                <w:lang w:val="en-GB" w:bidi="ne-NP"/>
              </w:rPr>
            </w:pPr>
          </w:p>
        </w:tc>
        <w:tc>
          <w:tcPr>
            <w:tcW w:w="1170" w:type="dxa"/>
            <w:noWrap/>
            <w:vAlign w:val="center"/>
            <w:hideMark/>
          </w:tcPr>
          <w:p w14:paraId="1CABEDAA" w14:textId="0DA81D44" w:rsidR="00F35080" w:rsidRPr="007F62B6" w:rsidRDefault="00F35080" w:rsidP="009B2CF2">
            <w:pPr>
              <w:jc w:val="right"/>
              <w:rPr>
                <w:rFonts w:ascii="Arial" w:hAnsi="Arial" w:cs="Arial"/>
                <w:color w:val="000000"/>
                <w:sz w:val="18"/>
                <w:szCs w:val="18"/>
                <w:lang w:val="en-GB" w:bidi="ne-NP"/>
              </w:rPr>
            </w:pPr>
          </w:p>
        </w:tc>
        <w:tc>
          <w:tcPr>
            <w:tcW w:w="1255" w:type="dxa"/>
            <w:noWrap/>
            <w:vAlign w:val="center"/>
            <w:hideMark/>
          </w:tcPr>
          <w:p w14:paraId="0AC94C28" w14:textId="0577610B" w:rsidR="00F35080" w:rsidRPr="007F62B6" w:rsidRDefault="00F35080" w:rsidP="009B2CF2">
            <w:pPr>
              <w:jc w:val="right"/>
              <w:rPr>
                <w:rFonts w:ascii="Arial" w:hAnsi="Arial" w:cs="Arial"/>
                <w:color w:val="000000"/>
                <w:sz w:val="18"/>
                <w:szCs w:val="18"/>
                <w:lang w:val="en-GB" w:bidi="ne-NP"/>
              </w:rPr>
            </w:pPr>
          </w:p>
        </w:tc>
      </w:tr>
      <w:tr w:rsidR="009B2CF2" w:rsidRPr="007F62B6" w14:paraId="475AE06A" w14:textId="77777777" w:rsidTr="009B2CF2">
        <w:trPr>
          <w:trHeight w:val="315"/>
        </w:trPr>
        <w:tc>
          <w:tcPr>
            <w:tcW w:w="2153" w:type="dxa"/>
            <w:noWrap/>
            <w:hideMark/>
          </w:tcPr>
          <w:p w14:paraId="0135AB5A" w14:textId="6813B87C" w:rsidR="00F35080" w:rsidRPr="007F62B6" w:rsidRDefault="00F35080" w:rsidP="00AE1C06">
            <w:pPr>
              <w:rPr>
                <w:rFonts w:ascii="Arial" w:hAnsi="Arial" w:cs="Arial"/>
                <w:b/>
                <w:bCs/>
                <w:color w:val="000000"/>
                <w:sz w:val="19"/>
                <w:szCs w:val="19"/>
                <w:lang w:val="en-GB" w:bidi="ne-NP"/>
              </w:rPr>
            </w:pPr>
            <w:r w:rsidRPr="007F62B6">
              <w:rPr>
                <w:rFonts w:ascii="Arial" w:hAnsi="Arial" w:cs="Arial"/>
                <w:b/>
                <w:bCs/>
                <w:color w:val="000000"/>
                <w:sz w:val="19"/>
                <w:szCs w:val="19"/>
                <w:lang w:val="en-GB" w:bidi="ne-NP"/>
              </w:rPr>
              <w:t xml:space="preserve">Net </w:t>
            </w:r>
            <w:r w:rsidR="002F11BC">
              <w:rPr>
                <w:rFonts w:ascii="Arial" w:hAnsi="Arial" w:cs="Arial"/>
                <w:b/>
                <w:bCs/>
                <w:color w:val="000000"/>
                <w:sz w:val="19"/>
                <w:szCs w:val="19"/>
                <w:lang w:val="en-GB" w:bidi="ne-NP"/>
              </w:rPr>
              <w:t>a</w:t>
            </w:r>
            <w:r w:rsidRPr="007F62B6">
              <w:rPr>
                <w:rFonts w:ascii="Arial" w:hAnsi="Arial" w:cs="Arial"/>
                <w:b/>
                <w:bCs/>
                <w:color w:val="000000"/>
                <w:sz w:val="19"/>
                <w:szCs w:val="19"/>
                <w:lang w:val="en-GB" w:bidi="ne-NP"/>
              </w:rPr>
              <w:t>ssets</w:t>
            </w:r>
          </w:p>
        </w:tc>
        <w:tc>
          <w:tcPr>
            <w:tcW w:w="1172" w:type="dxa"/>
            <w:noWrap/>
            <w:vAlign w:val="center"/>
            <w:hideMark/>
          </w:tcPr>
          <w:p w14:paraId="02FB3ACB" w14:textId="4FD2A455" w:rsidR="00F35080" w:rsidRPr="007F62B6" w:rsidRDefault="00F35080" w:rsidP="009B2CF2">
            <w:pPr>
              <w:jc w:val="right"/>
              <w:rPr>
                <w:rFonts w:ascii="Arial" w:hAnsi="Arial" w:cs="Arial"/>
                <w:color w:val="000000"/>
                <w:sz w:val="18"/>
                <w:szCs w:val="18"/>
                <w:lang w:val="en-GB" w:bidi="ne-NP"/>
              </w:rPr>
            </w:pPr>
          </w:p>
        </w:tc>
        <w:tc>
          <w:tcPr>
            <w:tcW w:w="1170" w:type="dxa"/>
            <w:noWrap/>
            <w:vAlign w:val="center"/>
            <w:hideMark/>
          </w:tcPr>
          <w:p w14:paraId="7B0B3FD5" w14:textId="5EF739B4" w:rsidR="00F35080" w:rsidRPr="007F62B6" w:rsidRDefault="00F35080" w:rsidP="009B2CF2">
            <w:pPr>
              <w:jc w:val="right"/>
              <w:rPr>
                <w:rFonts w:ascii="Arial" w:hAnsi="Arial" w:cs="Arial"/>
                <w:color w:val="000000"/>
                <w:sz w:val="18"/>
                <w:szCs w:val="18"/>
                <w:lang w:val="en-GB" w:bidi="ne-NP"/>
              </w:rPr>
            </w:pPr>
          </w:p>
        </w:tc>
        <w:tc>
          <w:tcPr>
            <w:tcW w:w="1260" w:type="dxa"/>
            <w:noWrap/>
            <w:vAlign w:val="center"/>
            <w:hideMark/>
          </w:tcPr>
          <w:p w14:paraId="799CBBA8" w14:textId="4D6D8CA6" w:rsidR="00F35080" w:rsidRPr="007F62B6" w:rsidRDefault="00F35080" w:rsidP="009B2CF2">
            <w:pPr>
              <w:jc w:val="right"/>
              <w:rPr>
                <w:rFonts w:ascii="Arial" w:hAnsi="Arial" w:cs="Arial"/>
                <w:color w:val="000000"/>
                <w:sz w:val="18"/>
                <w:szCs w:val="18"/>
                <w:lang w:val="en-GB" w:bidi="ne-NP"/>
              </w:rPr>
            </w:pPr>
          </w:p>
        </w:tc>
        <w:tc>
          <w:tcPr>
            <w:tcW w:w="1170" w:type="dxa"/>
            <w:noWrap/>
            <w:vAlign w:val="center"/>
            <w:hideMark/>
          </w:tcPr>
          <w:p w14:paraId="0CD8157E" w14:textId="7EB9A979" w:rsidR="00F35080" w:rsidRPr="007F62B6" w:rsidRDefault="00F35080" w:rsidP="009B2CF2">
            <w:pPr>
              <w:jc w:val="right"/>
              <w:rPr>
                <w:rFonts w:ascii="Arial" w:hAnsi="Arial" w:cs="Arial"/>
                <w:color w:val="000000"/>
                <w:sz w:val="18"/>
                <w:szCs w:val="18"/>
                <w:lang w:val="en-GB" w:bidi="ne-NP"/>
              </w:rPr>
            </w:pPr>
          </w:p>
        </w:tc>
        <w:tc>
          <w:tcPr>
            <w:tcW w:w="1170" w:type="dxa"/>
            <w:noWrap/>
            <w:vAlign w:val="center"/>
            <w:hideMark/>
          </w:tcPr>
          <w:p w14:paraId="58BD472F" w14:textId="33A779C0" w:rsidR="00F35080" w:rsidRPr="007F62B6" w:rsidRDefault="00F35080" w:rsidP="009B2CF2">
            <w:pPr>
              <w:jc w:val="right"/>
              <w:rPr>
                <w:rFonts w:ascii="Arial" w:hAnsi="Arial" w:cs="Arial"/>
                <w:color w:val="000000"/>
                <w:sz w:val="18"/>
                <w:szCs w:val="18"/>
                <w:lang w:val="en-GB" w:bidi="ne-NP"/>
              </w:rPr>
            </w:pPr>
          </w:p>
        </w:tc>
        <w:tc>
          <w:tcPr>
            <w:tcW w:w="1255" w:type="dxa"/>
            <w:noWrap/>
            <w:vAlign w:val="center"/>
            <w:hideMark/>
          </w:tcPr>
          <w:p w14:paraId="7060A9B1" w14:textId="3AF678B7" w:rsidR="00F35080" w:rsidRPr="007F62B6" w:rsidRDefault="00F35080" w:rsidP="009B2CF2">
            <w:pPr>
              <w:jc w:val="right"/>
              <w:rPr>
                <w:rFonts w:ascii="Arial" w:hAnsi="Arial" w:cs="Arial"/>
                <w:color w:val="000000"/>
                <w:sz w:val="18"/>
                <w:szCs w:val="18"/>
                <w:lang w:val="en-GB" w:bidi="ne-NP"/>
              </w:rPr>
            </w:pPr>
          </w:p>
        </w:tc>
      </w:tr>
      <w:tr w:rsidR="009B2CF2" w:rsidRPr="007F62B6" w14:paraId="31551CDC" w14:textId="77777777" w:rsidTr="009B2CF2">
        <w:trPr>
          <w:trHeight w:val="315"/>
        </w:trPr>
        <w:tc>
          <w:tcPr>
            <w:tcW w:w="2153" w:type="dxa"/>
            <w:noWrap/>
            <w:hideMark/>
          </w:tcPr>
          <w:p w14:paraId="046018C1" w14:textId="6E8803B6" w:rsidR="00F35080" w:rsidRPr="007F62B6" w:rsidRDefault="00F35080" w:rsidP="00AE1C06">
            <w:pPr>
              <w:rPr>
                <w:rFonts w:ascii="Arial" w:hAnsi="Arial" w:cs="Arial"/>
                <w:bCs/>
                <w:iCs/>
                <w:color w:val="000000"/>
                <w:sz w:val="19"/>
                <w:szCs w:val="19"/>
                <w:lang w:val="en-GB" w:bidi="ne-NP"/>
              </w:rPr>
            </w:pPr>
            <w:r w:rsidRPr="007F62B6">
              <w:rPr>
                <w:rFonts w:ascii="Arial" w:hAnsi="Arial" w:cs="Arial"/>
                <w:bCs/>
                <w:iCs/>
                <w:color w:val="000000"/>
                <w:sz w:val="19"/>
                <w:szCs w:val="19"/>
                <w:lang w:val="en-GB" w:bidi="ne-NP"/>
              </w:rPr>
              <w:t>Unrestricted</w:t>
            </w:r>
          </w:p>
        </w:tc>
        <w:tc>
          <w:tcPr>
            <w:tcW w:w="1172" w:type="dxa"/>
            <w:noWrap/>
            <w:vAlign w:val="center"/>
            <w:hideMark/>
          </w:tcPr>
          <w:p w14:paraId="75A25A35"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2,360,770</w:t>
            </w:r>
          </w:p>
        </w:tc>
        <w:tc>
          <w:tcPr>
            <w:tcW w:w="1170" w:type="dxa"/>
            <w:noWrap/>
            <w:vAlign w:val="center"/>
            <w:hideMark/>
          </w:tcPr>
          <w:p w14:paraId="706BA900"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3,508,010</w:t>
            </w:r>
          </w:p>
        </w:tc>
        <w:tc>
          <w:tcPr>
            <w:tcW w:w="1260" w:type="dxa"/>
            <w:noWrap/>
            <w:vAlign w:val="center"/>
            <w:hideMark/>
          </w:tcPr>
          <w:p w14:paraId="6D3F47AE"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3,160,634</w:t>
            </w:r>
          </w:p>
        </w:tc>
        <w:tc>
          <w:tcPr>
            <w:tcW w:w="1170" w:type="dxa"/>
            <w:noWrap/>
            <w:vAlign w:val="center"/>
            <w:hideMark/>
          </w:tcPr>
          <w:p w14:paraId="2FADC098"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1,690,306</w:t>
            </w:r>
          </w:p>
        </w:tc>
        <w:tc>
          <w:tcPr>
            <w:tcW w:w="1170" w:type="dxa"/>
            <w:noWrap/>
            <w:vAlign w:val="center"/>
            <w:hideMark/>
          </w:tcPr>
          <w:p w14:paraId="37C24DBA"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1,070,177</w:t>
            </w:r>
          </w:p>
        </w:tc>
        <w:tc>
          <w:tcPr>
            <w:tcW w:w="1255" w:type="dxa"/>
            <w:noWrap/>
            <w:vAlign w:val="center"/>
            <w:hideMark/>
          </w:tcPr>
          <w:p w14:paraId="342CAF7D"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(3,677,721)</w:t>
            </w:r>
          </w:p>
        </w:tc>
      </w:tr>
      <w:tr w:rsidR="009B2CF2" w:rsidRPr="007F62B6" w14:paraId="15A6A369" w14:textId="77777777" w:rsidTr="009B2CF2">
        <w:trPr>
          <w:trHeight w:val="315"/>
        </w:trPr>
        <w:tc>
          <w:tcPr>
            <w:tcW w:w="2153" w:type="dxa"/>
            <w:noWrap/>
            <w:hideMark/>
          </w:tcPr>
          <w:p w14:paraId="29410495" w14:textId="7303585F" w:rsidR="00F35080" w:rsidRPr="007F62B6" w:rsidRDefault="00F35080" w:rsidP="00AE1C06">
            <w:pPr>
              <w:rPr>
                <w:rFonts w:ascii="Arial" w:hAnsi="Arial" w:cs="Arial"/>
                <w:bCs/>
                <w:iCs/>
                <w:color w:val="000000"/>
                <w:sz w:val="19"/>
                <w:szCs w:val="19"/>
                <w:lang w:val="en-GB" w:bidi="ne-NP"/>
              </w:rPr>
            </w:pPr>
            <w:r w:rsidRPr="007F62B6">
              <w:rPr>
                <w:rFonts w:ascii="Arial" w:hAnsi="Arial" w:cs="Arial"/>
                <w:bCs/>
                <w:iCs/>
                <w:color w:val="000000"/>
                <w:sz w:val="19"/>
                <w:szCs w:val="19"/>
                <w:lang w:val="en-GB" w:bidi="ne-NP"/>
              </w:rPr>
              <w:t>Temporarily restricted</w:t>
            </w:r>
          </w:p>
        </w:tc>
        <w:tc>
          <w:tcPr>
            <w:tcW w:w="1172" w:type="dxa"/>
            <w:noWrap/>
            <w:vAlign w:val="center"/>
            <w:hideMark/>
          </w:tcPr>
          <w:p w14:paraId="3E5987BE"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3,815,994</w:t>
            </w:r>
          </w:p>
        </w:tc>
        <w:tc>
          <w:tcPr>
            <w:tcW w:w="1170" w:type="dxa"/>
            <w:noWrap/>
            <w:vAlign w:val="center"/>
            <w:hideMark/>
          </w:tcPr>
          <w:p w14:paraId="0BB96608"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662,267</w:t>
            </w:r>
          </w:p>
        </w:tc>
        <w:tc>
          <w:tcPr>
            <w:tcW w:w="1260" w:type="dxa"/>
            <w:noWrap/>
            <w:vAlign w:val="center"/>
            <w:hideMark/>
          </w:tcPr>
          <w:p w14:paraId="628C0ADC"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52,551</w:t>
            </w:r>
          </w:p>
        </w:tc>
        <w:tc>
          <w:tcPr>
            <w:tcW w:w="1170" w:type="dxa"/>
            <w:noWrap/>
            <w:vAlign w:val="center"/>
            <w:hideMark/>
          </w:tcPr>
          <w:p w14:paraId="31897E7A"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824,731</w:t>
            </w:r>
          </w:p>
        </w:tc>
        <w:tc>
          <w:tcPr>
            <w:tcW w:w="1170" w:type="dxa"/>
            <w:noWrap/>
            <w:vAlign w:val="center"/>
            <w:hideMark/>
          </w:tcPr>
          <w:p w14:paraId="02C5DF06"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282,382</w:t>
            </w:r>
          </w:p>
        </w:tc>
        <w:tc>
          <w:tcPr>
            <w:tcW w:w="1255" w:type="dxa"/>
            <w:noWrap/>
            <w:vAlign w:val="center"/>
            <w:hideMark/>
          </w:tcPr>
          <w:p w14:paraId="7C098E57" w14:textId="1C81E6A4"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367,289</w:t>
            </w:r>
          </w:p>
        </w:tc>
      </w:tr>
      <w:tr w:rsidR="009B2CF2" w:rsidRPr="007F62B6" w14:paraId="57DA634C" w14:textId="77777777" w:rsidTr="009B2CF2">
        <w:trPr>
          <w:trHeight w:val="315"/>
        </w:trPr>
        <w:tc>
          <w:tcPr>
            <w:tcW w:w="2153" w:type="dxa"/>
            <w:noWrap/>
            <w:hideMark/>
          </w:tcPr>
          <w:p w14:paraId="34D7AAAB" w14:textId="62622D12" w:rsidR="00F35080" w:rsidRPr="007F62B6" w:rsidRDefault="00F35080" w:rsidP="00AE1C06">
            <w:pPr>
              <w:rPr>
                <w:rFonts w:ascii="Arial" w:hAnsi="Arial" w:cs="Arial"/>
                <w:bCs/>
                <w:iCs/>
                <w:color w:val="000000"/>
                <w:sz w:val="19"/>
                <w:szCs w:val="19"/>
                <w:lang w:val="en-GB" w:bidi="ne-NP"/>
              </w:rPr>
            </w:pPr>
            <w:r w:rsidRPr="007F62B6">
              <w:rPr>
                <w:rFonts w:ascii="Arial" w:hAnsi="Arial" w:cs="Arial"/>
                <w:bCs/>
                <w:iCs/>
                <w:color w:val="000000"/>
                <w:sz w:val="19"/>
                <w:szCs w:val="19"/>
                <w:lang w:val="en-GB" w:bidi="ne-NP"/>
              </w:rPr>
              <w:t>Permanently restricted</w:t>
            </w:r>
          </w:p>
        </w:tc>
        <w:tc>
          <w:tcPr>
            <w:tcW w:w="1172" w:type="dxa"/>
            <w:noWrap/>
            <w:vAlign w:val="center"/>
            <w:hideMark/>
          </w:tcPr>
          <w:p w14:paraId="50BB2C73"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1,052,996</w:t>
            </w:r>
          </w:p>
        </w:tc>
        <w:tc>
          <w:tcPr>
            <w:tcW w:w="1170" w:type="dxa"/>
            <w:noWrap/>
            <w:vAlign w:val="center"/>
            <w:hideMark/>
          </w:tcPr>
          <w:p w14:paraId="37A518CF"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1,052,996</w:t>
            </w:r>
          </w:p>
        </w:tc>
        <w:tc>
          <w:tcPr>
            <w:tcW w:w="1260" w:type="dxa"/>
            <w:noWrap/>
            <w:vAlign w:val="center"/>
            <w:hideMark/>
          </w:tcPr>
          <w:p w14:paraId="53B59FA7"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1,052,996</w:t>
            </w:r>
          </w:p>
        </w:tc>
        <w:tc>
          <w:tcPr>
            <w:tcW w:w="1170" w:type="dxa"/>
            <w:noWrap/>
            <w:vAlign w:val="center"/>
            <w:hideMark/>
          </w:tcPr>
          <w:p w14:paraId="79BABD6E"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1,052,996</w:t>
            </w:r>
          </w:p>
        </w:tc>
        <w:tc>
          <w:tcPr>
            <w:tcW w:w="1170" w:type="dxa"/>
            <w:noWrap/>
            <w:vAlign w:val="center"/>
            <w:hideMark/>
          </w:tcPr>
          <w:p w14:paraId="0C021728"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1,052,996</w:t>
            </w:r>
          </w:p>
        </w:tc>
        <w:tc>
          <w:tcPr>
            <w:tcW w:w="1255" w:type="dxa"/>
            <w:noWrap/>
            <w:vAlign w:val="center"/>
            <w:hideMark/>
          </w:tcPr>
          <w:p w14:paraId="473F061D"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1,052,996</w:t>
            </w:r>
          </w:p>
        </w:tc>
      </w:tr>
      <w:tr w:rsidR="009B2CF2" w:rsidRPr="007F62B6" w14:paraId="3582ACAE" w14:textId="77777777" w:rsidTr="009B2CF2">
        <w:trPr>
          <w:trHeight w:val="120"/>
        </w:trPr>
        <w:tc>
          <w:tcPr>
            <w:tcW w:w="2153" w:type="dxa"/>
            <w:noWrap/>
            <w:hideMark/>
          </w:tcPr>
          <w:p w14:paraId="70202F80" w14:textId="77777777" w:rsidR="00F35080" w:rsidRPr="007F62B6" w:rsidRDefault="00F35080" w:rsidP="00AE1C06">
            <w:pPr>
              <w:jc w:val="center"/>
              <w:rPr>
                <w:rFonts w:ascii="Arial" w:hAnsi="Arial" w:cs="Arial"/>
                <w:bCs/>
                <w:color w:val="000000"/>
                <w:sz w:val="19"/>
                <w:szCs w:val="19"/>
                <w:lang w:val="en-GB" w:bidi="ne-NP"/>
              </w:rPr>
            </w:pPr>
            <w:r w:rsidRPr="007F62B6">
              <w:rPr>
                <w:rFonts w:ascii="Arial" w:hAnsi="Arial" w:cs="Arial"/>
                <w:bCs/>
                <w:color w:val="000000"/>
                <w:sz w:val="19"/>
                <w:szCs w:val="19"/>
                <w:lang w:val="en-GB" w:bidi="ne-NP"/>
              </w:rPr>
              <w:t> </w:t>
            </w:r>
          </w:p>
        </w:tc>
        <w:tc>
          <w:tcPr>
            <w:tcW w:w="1172" w:type="dxa"/>
            <w:noWrap/>
            <w:vAlign w:val="center"/>
            <w:hideMark/>
          </w:tcPr>
          <w:p w14:paraId="1DCB39FD" w14:textId="3E79D31B" w:rsidR="00F35080" w:rsidRPr="007F62B6" w:rsidRDefault="00F35080" w:rsidP="009B2CF2">
            <w:pPr>
              <w:jc w:val="right"/>
              <w:rPr>
                <w:rFonts w:ascii="Arial" w:hAnsi="Arial" w:cs="Arial"/>
                <w:color w:val="000000"/>
                <w:sz w:val="18"/>
                <w:szCs w:val="18"/>
                <w:lang w:val="en-GB" w:bidi="ne-NP"/>
              </w:rPr>
            </w:pPr>
          </w:p>
        </w:tc>
        <w:tc>
          <w:tcPr>
            <w:tcW w:w="1170" w:type="dxa"/>
            <w:noWrap/>
            <w:vAlign w:val="center"/>
            <w:hideMark/>
          </w:tcPr>
          <w:p w14:paraId="187C5563" w14:textId="62A48F1E" w:rsidR="00F35080" w:rsidRPr="007F62B6" w:rsidRDefault="00F35080" w:rsidP="009B2CF2">
            <w:pPr>
              <w:jc w:val="right"/>
              <w:rPr>
                <w:rFonts w:ascii="Arial" w:hAnsi="Arial" w:cs="Arial"/>
                <w:color w:val="000000"/>
                <w:sz w:val="18"/>
                <w:szCs w:val="18"/>
                <w:lang w:val="en-GB" w:bidi="ne-NP"/>
              </w:rPr>
            </w:pPr>
          </w:p>
        </w:tc>
        <w:tc>
          <w:tcPr>
            <w:tcW w:w="1260" w:type="dxa"/>
            <w:noWrap/>
            <w:vAlign w:val="center"/>
            <w:hideMark/>
          </w:tcPr>
          <w:p w14:paraId="74E46C76" w14:textId="5E1369B5" w:rsidR="00F35080" w:rsidRPr="007F62B6" w:rsidRDefault="00F35080" w:rsidP="009B2CF2">
            <w:pPr>
              <w:jc w:val="right"/>
              <w:rPr>
                <w:rFonts w:ascii="Arial" w:hAnsi="Arial" w:cs="Arial"/>
                <w:color w:val="000000"/>
                <w:sz w:val="18"/>
                <w:szCs w:val="18"/>
                <w:lang w:val="en-GB" w:bidi="ne-NP"/>
              </w:rPr>
            </w:pPr>
          </w:p>
        </w:tc>
        <w:tc>
          <w:tcPr>
            <w:tcW w:w="1170" w:type="dxa"/>
            <w:noWrap/>
            <w:vAlign w:val="center"/>
            <w:hideMark/>
          </w:tcPr>
          <w:p w14:paraId="7A21DF3A" w14:textId="29CB2F9A" w:rsidR="00F35080" w:rsidRPr="007F62B6" w:rsidRDefault="00F35080" w:rsidP="009B2CF2">
            <w:pPr>
              <w:jc w:val="right"/>
              <w:rPr>
                <w:rFonts w:ascii="Arial" w:hAnsi="Arial" w:cs="Arial"/>
                <w:color w:val="000000"/>
                <w:sz w:val="18"/>
                <w:szCs w:val="18"/>
                <w:lang w:val="en-GB" w:bidi="ne-NP"/>
              </w:rPr>
            </w:pPr>
          </w:p>
        </w:tc>
        <w:tc>
          <w:tcPr>
            <w:tcW w:w="1170" w:type="dxa"/>
            <w:noWrap/>
            <w:vAlign w:val="center"/>
            <w:hideMark/>
          </w:tcPr>
          <w:p w14:paraId="007DB7B9" w14:textId="72EE0188" w:rsidR="00F35080" w:rsidRPr="007F62B6" w:rsidRDefault="00F35080" w:rsidP="009B2CF2">
            <w:pPr>
              <w:jc w:val="right"/>
              <w:rPr>
                <w:rFonts w:ascii="Arial" w:hAnsi="Arial" w:cs="Arial"/>
                <w:color w:val="000000"/>
                <w:sz w:val="18"/>
                <w:szCs w:val="18"/>
                <w:lang w:val="en-GB" w:bidi="ne-NP"/>
              </w:rPr>
            </w:pPr>
          </w:p>
        </w:tc>
        <w:tc>
          <w:tcPr>
            <w:tcW w:w="1255" w:type="dxa"/>
            <w:noWrap/>
            <w:vAlign w:val="center"/>
            <w:hideMark/>
          </w:tcPr>
          <w:p w14:paraId="71FDED3A" w14:textId="2FBDAF66" w:rsidR="00F35080" w:rsidRPr="007F62B6" w:rsidRDefault="00F35080" w:rsidP="009B2CF2">
            <w:pPr>
              <w:jc w:val="right"/>
              <w:rPr>
                <w:rFonts w:ascii="Arial" w:hAnsi="Arial" w:cs="Arial"/>
                <w:color w:val="000000"/>
                <w:sz w:val="18"/>
                <w:szCs w:val="18"/>
                <w:lang w:val="en-GB" w:bidi="ne-NP"/>
              </w:rPr>
            </w:pPr>
          </w:p>
        </w:tc>
      </w:tr>
      <w:tr w:rsidR="009B2CF2" w:rsidRPr="007F62B6" w14:paraId="4C647E76" w14:textId="77777777" w:rsidTr="009B2CF2">
        <w:trPr>
          <w:trHeight w:val="315"/>
        </w:trPr>
        <w:tc>
          <w:tcPr>
            <w:tcW w:w="2153" w:type="dxa"/>
            <w:noWrap/>
            <w:hideMark/>
          </w:tcPr>
          <w:p w14:paraId="71274FB9" w14:textId="2F1E9A2E" w:rsidR="00F35080" w:rsidRPr="007F62B6" w:rsidRDefault="00F35080" w:rsidP="00AE1C06">
            <w:pPr>
              <w:rPr>
                <w:rFonts w:ascii="Arial" w:hAnsi="Arial" w:cs="Arial"/>
                <w:b/>
                <w:bCs/>
                <w:color w:val="000000"/>
                <w:sz w:val="19"/>
                <w:szCs w:val="19"/>
                <w:lang w:val="en-GB" w:bidi="ne-NP"/>
              </w:rPr>
            </w:pPr>
            <w:r w:rsidRPr="007F62B6">
              <w:rPr>
                <w:rFonts w:ascii="Arial" w:hAnsi="Arial" w:cs="Arial"/>
                <w:b/>
                <w:bCs/>
                <w:color w:val="000000"/>
                <w:sz w:val="19"/>
                <w:szCs w:val="19"/>
                <w:lang w:val="en-GB" w:bidi="ne-NP"/>
              </w:rPr>
              <w:t xml:space="preserve">Total </w:t>
            </w:r>
            <w:r w:rsidR="002F11BC">
              <w:rPr>
                <w:rFonts w:ascii="Arial" w:hAnsi="Arial" w:cs="Arial"/>
                <w:b/>
                <w:bCs/>
                <w:color w:val="000000"/>
                <w:sz w:val="19"/>
                <w:szCs w:val="19"/>
                <w:lang w:val="en-GB" w:bidi="ne-NP"/>
              </w:rPr>
              <w:t>n</w:t>
            </w:r>
            <w:r w:rsidRPr="007F62B6">
              <w:rPr>
                <w:rFonts w:ascii="Arial" w:hAnsi="Arial" w:cs="Arial"/>
                <w:b/>
                <w:bCs/>
                <w:color w:val="000000"/>
                <w:sz w:val="19"/>
                <w:szCs w:val="19"/>
                <w:lang w:val="en-GB" w:bidi="ne-NP"/>
              </w:rPr>
              <w:t xml:space="preserve">et </w:t>
            </w:r>
            <w:r w:rsidR="002F11BC">
              <w:rPr>
                <w:rFonts w:ascii="Arial" w:hAnsi="Arial" w:cs="Arial"/>
                <w:b/>
                <w:bCs/>
                <w:color w:val="000000"/>
                <w:sz w:val="19"/>
                <w:szCs w:val="19"/>
                <w:lang w:val="en-GB" w:bidi="ne-NP"/>
              </w:rPr>
              <w:t>a</w:t>
            </w:r>
            <w:r w:rsidRPr="007F62B6">
              <w:rPr>
                <w:rFonts w:ascii="Arial" w:hAnsi="Arial" w:cs="Arial"/>
                <w:b/>
                <w:bCs/>
                <w:color w:val="000000"/>
                <w:sz w:val="19"/>
                <w:szCs w:val="19"/>
                <w:lang w:val="en-GB" w:bidi="ne-NP"/>
              </w:rPr>
              <w:t>ssets</w:t>
            </w:r>
          </w:p>
        </w:tc>
        <w:tc>
          <w:tcPr>
            <w:tcW w:w="1172" w:type="dxa"/>
            <w:noWrap/>
            <w:vAlign w:val="center"/>
            <w:hideMark/>
          </w:tcPr>
          <w:p w14:paraId="0C2A551C"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7,229,760</w:t>
            </w:r>
          </w:p>
        </w:tc>
        <w:tc>
          <w:tcPr>
            <w:tcW w:w="1170" w:type="dxa"/>
            <w:noWrap/>
            <w:vAlign w:val="center"/>
            <w:hideMark/>
          </w:tcPr>
          <w:p w14:paraId="4F0FD209"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5,223,273</w:t>
            </w:r>
          </w:p>
        </w:tc>
        <w:tc>
          <w:tcPr>
            <w:tcW w:w="1260" w:type="dxa"/>
            <w:noWrap/>
            <w:vAlign w:val="center"/>
            <w:hideMark/>
          </w:tcPr>
          <w:p w14:paraId="2CF98C52"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4,266,181</w:t>
            </w:r>
          </w:p>
        </w:tc>
        <w:tc>
          <w:tcPr>
            <w:tcW w:w="1170" w:type="dxa"/>
            <w:noWrap/>
            <w:vAlign w:val="center"/>
            <w:hideMark/>
          </w:tcPr>
          <w:p w14:paraId="7C88F296"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3,568,033</w:t>
            </w:r>
          </w:p>
        </w:tc>
        <w:tc>
          <w:tcPr>
            <w:tcW w:w="1170" w:type="dxa"/>
            <w:noWrap/>
            <w:vAlign w:val="center"/>
            <w:hideMark/>
          </w:tcPr>
          <w:p w14:paraId="2CCF6BAA"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2,405,555</w:t>
            </w:r>
          </w:p>
        </w:tc>
        <w:tc>
          <w:tcPr>
            <w:tcW w:w="1255" w:type="dxa"/>
            <w:noWrap/>
            <w:vAlign w:val="center"/>
            <w:hideMark/>
          </w:tcPr>
          <w:p w14:paraId="2C62264F"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(2,257,436)</w:t>
            </w:r>
          </w:p>
        </w:tc>
      </w:tr>
      <w:tr w:rsidR="009B2CF2" w:rsidRPr="007F62B6" w14:paraId="35A2EA7F" w14:textId="77777777" w:rsidTr="009B2CF2">
        <w:trPr>
          <w:trHeight w:val="315"/>
        </w:trPr>
        <w:tc>
          <w:tcPr>
            <w:tcW w:w="2153" w:type="dxa"/>
            <w:noWrap/>
            <w:hideMark/>
          </w:tcPr>
          <w:p w14:paraId="1730A8CB" w14:textId="643D4A6F" w:rsidR="00F35080" w:rsidRPr="007F62B6" w:rsidRDefault="00F35080" w:rsidP="00AE1C06">
            <w:pPr>
              <w:rPr>
                <w:rFonts w:ascii="Arial" w:hAnsi="Arial" w:cs="Arial"/>
                <w:b/>
                <w:bCs/>
                <w:color w:val="000000"/>
                <w:sz w:val="19"/>
                <w:szCs w:val="19"/>
                <w:lang w:val="en-GB" w:bidi="ne-NP"/>
              </w:rPr>
            </w:pPr>
            <w:r w:rsidRPr="007F62B6">
              <w:rPr>
                <w:rFonts w:ascii="Arial" w:hAnsi="Arial" w:cs="Arial"/>
                <w:b/>
                <w:bCs/>
                <w:color w:val="000000"/>
                <w:sz w:val="19"/>
                <w:szCs w:val="19"/>
                <w:lang w:val="en-GB" w:bidi="ne-NP"/>
              </w:rPr>
              <w:t xml:space="preserve">Total </w:t>
            </w:r>
            <w:r w:rsidR="002F11BC">
              <w:rPr>
                <w:rFonts w:ascii="Arial" w:hAnsi="Arial" w:cs="Arial"/>
                <w:b/>
                <w:bCs/>
                <w:color w:val="000000"/>
                <w:sz w:val="19"/>
                <w:szCs w:val="19"/>
                <w:lang w:val="en-GB" w:bidi="ne-NP"/>
              </w:rPr>
              <w:t>l</w:t>
            </w:r>
            <w:r w:rsidRPr="007F62B6">
              <w:rPr>
                <w:rFonts w:ascii="Arial" w:hAnsi="Arial" w:cs="Arial"/>
                <w:b/>
                <w:bCs/>
                <w:color w:val="000000"/>
                <w:sz w:val="19"/>
                <w:szCs w:val="19"/>
                <w:lang w:val="en-GB" w:bidi="ne-NP"/>
              </w:rPr>
              <w:t xml:space="preserve">iabilities and </w:t>
            </w:r>
            <w:r w:rsidR="002F11BC">
              <w:rPr>
                <w:rFonts w:ascii="Arial" w:hAnsi="Arial" w:cs="Arial"/>
                <w:b/>
                <w:bCs/>
                <w:color w:val="000000"/>
                <w:sz w:val="19"/>
                <w:szCs w:val="19"/>
                <w:lang w:val="en-GB" w:bidi="ne-NP"/>
              </w:rPr>
              <w:t>n</w:t>
            </w:r>
            <w:r w:rsidRPr="007F62B6">
              <w:rPr>
                <w:rFonts w:ascii="Arial" w:hAnsi="Arial" w:cs="Arial"/>
                <w:b/>
                <w:bCs/>
                <w:color w:val="000000"/>
                <w:sz w:val="19"/>
                <w:szCs w:val="19"/>
                <w:lang w:val="en-GB" w:bidi="ne-NP"/>
              </w:rPr>
              <w:t xml:space="preserve">et </w:t>
            </w:r>
            <w:r w:rsidR="002F11BC">
              <w:rPr>
                <w:rFonts w:ascii="Arial" w:hAnsi="Arial" w:cs="Arial"/>
                <w:b/>
                <w:bCs/>
                <w:color w:val="000000"/>
                <w:sz w:val="19"/>
                <w:szCs w:val="19"/>
                <w:lang w:val="en-GB" w:bidi="ne-NP"/>
              </w:rPr>
              <w:t>a</w:t>
            </w:r>
            <w:r w:rsidRPr="007F62B6">
              <w:rPr>
                <w:rFonts w:ascii="Arial" w:hAnsi="Arial" w:cs="Arial"/>
                <w:b/>
                <w:bCs/>
                <w:color w:val="000000"/>
                <w:sz w:val="19"/>
                <w:szCs w:val="19"/>
                <w:lang w:val="en-GB" w:bidi="ne-NP"/>
              </w:rPr>
              <w:t>ssets</w:t>
            </w:r>
          </w:p>
        </w:tc>
        <w:tc>
          <w:tcPr>
            <w:tcW w:w="1172" w:type="dxa"/>
            <w:noWrap/>
            <w:vAlign w:val="center"/>
            <w:hideMark/>
          </w:tcPr>
          <w:p w14:paraId="40C82619"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57,312,044</w:t>
            </w:r>
          </w:p>
        </w:tc>
        <w:tc>
          <w:tcPr>
            <w:tcW w:w="1170" w:type="dxa"/>
            <w:noWrap/>
            <w:vAlign w:val="center"/>
            <w:hideMark/>
          </w:tcPr>
          <w:p w14:paraId="596A6951"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52,596,027</w:t>
            </w:r>
          </w:p>
        </w:tc>
        <w:tc>
          <w:tcPr>
            <w:tcW w:w="1260" w:type="dxa"/>
            <w:noWrap/>
            <w:vAlign w:val="center"/>
            <w:hideMark/>
          </w:tcPr>
          <w:p w14:paraId="62573944"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50,969,253</w:t>
            </w:r>
          </w:p>
        </w:tc>
        <w:tc>
          <w:tcPr>
            <w:tcW w:w="1170" w:type="dxa"/>
            <w:noWrap/>
            <w:vAlign w:val="center"/>
            <w:hideMark/>
          </w:tcPr>
          <w:p w14:paraId="473CD4AC"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51,117,118</w:t>
            </w:r>
          </w:p>
        </w:tc>
        <w:tc>
          <w:tcPr>
            <w:tcW w:w="1170" w:type="dxa"/>
            <w:noWrap/>
            <w:vAlign w:val="center"/>
            <w:hideMark/>
          </w:tcPr>
          <w:p w14:paraId="03B7A4B4"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46,998,583</w:t>
            </w:r>
          </w:p>
        </w:tc>
        <w:tc>
          <w:tcPr>
            <w:tcW w:w="1255" w:type="dxa"/>
            <w:noWrap/>
            <w:vAlign w:val="center"/>
            <w:hideMark/>
          </w:tcPr>
          <w:p w14:paraId="3736352E" w14:textId="77777777" w:rsidR="00F35080" w:rsidRPr="007F62B6" w:rsidRDefault="00F35080" w:rsidP="009B2CF2">
            <w:pPr>
              <w:jc w:val="right"/>
              <w:rPr>
                <w:rFonts w:ascii="Arial" w:hAnsi="Arial" w:cs="Arial"/>
                <w:color w:val="000000"/>
                <w:sz w:val="18"/>
                <w:szCs w:val="18"/>
                <w:lang w:val="en-GB" w:bidi="ne-NP"/>
              </w:rPr>
            </w:pPr>
            <w:r w:rsidRPr="007F62B6">
              <w:rPr>
                <w:rFonts w:ascii="Arial" w:hAnsi="Arial" w:cs="Arial"/>
                <w:color w:val="000000"/>
                <w:sz w:val="18"/>
                <w:szCs w:val="18"/>
                <w:lang w:val="en-GB" w:bidi="ne-NP"/>
              </w:rPr>
              <w:t>46,456,874</w:t>
            </w:r>
          </w:p>
        </w:tc>
      </w:tr>
    </w:tbl>
    <w:p w14:paraId="72FD5F97" w14:textId="77777777" w:rsidR="006A64A7" w:rsidRPr="0059629B" w:rsidRDefault="006A64A7" w:rsidP="006A64A7">
      <w:pPr>
        <w:pStyle w:val="Footnote"/>
        <w:rPr>
          <w:sz w:val="20"/>
          <w:lang w:val="en-GB"/>
        </w:rPr>
      </w:pPr>
    </w:p>
    <w:p w14:paraId="460ADA3C" w14:textId="1547C4B6" w:rsidR="00F35080" w:rsidRDefault="006A64A7" w:rsidP="006A64A7">
      <w:pPr>
        <w:pStyle w:val="Footnote"/>
        <w:rPr>
          <w:lang w:val="en-GB"/>
        </w:rPr>
      </w:pPr>
      <w:r w:rsidRPr="007F62B6">
        <w:rPr>
          <w:lang w:val="en-GB"/>
        </w:rPr>
        <w:t>Source:</w:t>
      </w:r>
      <w:r w:rsidR="00E6497F" w:rsidRPr="007F62B6">
        <w:rPr>
          <w:lang w:val="en-GB"/>
        </w:rPr>
        <w:t xml:space="preserve"> </w:t>
      </w:r>
      <w:r w:rsidRPr="007F62B6">
        <w:rPr>
          <w:lang w:val="en-GB"/>
        </w:rPr>
        <w:t xml:space="preserve">Created by </w:t>
      </w:r>
      <w:r w:rsidR="00CA186C">
        <w:rPr>
          <w:lang w:val="en-GB"/>
        </w:rPr>
        <w:t xml:space="preserve">the </w:t>
      </w:r>
      <w:r w:rsidRPr="007F62B6">
        <w:rPr>
          <w:lang w:val="en-GB"/>
        </w:rPr>
        <w:t>authors using company documents.</w:t>
      </w:r>
    </w:p>
    <w:p w14:paraId="60491B9A" w14:textId="77777777" w:rsidR="006009F3" w:rsidRPr="007F62B6" w:rsidRDefault="006009F3" w:rsidP="006A64A7">
      <w:pPr>
        <w:pStyle w:val="Footnote"/>
        <w:rPr>
          <w:rFonts w:ascii="Times New Roman" w:hAnsi="Times New Roman" w:cs="Times New Roman"/>
          <w:lang w:val="en-GB"/>
        </w:rPr>
        <w:sectPr w:rsidR="006009F3" w:rsidRPr="007F62B6" w:rsidSect="00AE1C06">
          <w:pgSz w:w="12240" w:h="15840"/>
          <w:pgMar w:top="1440" w:right="1440" w:bottom="1440" w:left="1440" w:header="720" w:footer="720" w:gutter="0"/>
          <w:cols w:space="720"/>
          <w:docGrid w:linePitch="360"/>
        </w:sectPr>
      </w:pPr>
    </w:p>
    <w:p w14:paraId="3BDC27FF" w14:textId="47FFA65F" w:rsidR="00DB6F19" w:rsidRDefault="005A108D" w:rsidP="00DB6F19">
      <w:pPr>
        <w:pStyle w:val="ExhibitHeading"/>
        <w:rPr>
          <w:lang w:val="en-GB"/>
        </w:rPr>
      </w:pPr>
      <w:r w:rsidRPr="007F62B6">
        <w:rPr>
          <w:lang w:val="en-GB"/>
        </w:rPr>
        <w:lastRenderedPageBreak/>
        <w:t>Exhibit 2:</w:t>
      </w:r>
      <w:r w:rsidR="00F35080" w:rsidRPr="007F62B6">
        <w:rPr>
          <w:lang w:val="en-GB"/>
        </w:rPr>
        <w:t xml:space="preserve"> </w:t>
      </w:r>
      <w:r w:rsidR="00DB6F19">
        <w:rPr>
          <w:lang w:val="en-GB"/>
        </w:rPr>
        <w:t>i</w:t>
      </w:r>
      <w:r w:rsidR="00DB6F19" w:rsidRPr="007F62B6">
        <w:rPr>
          <w:lang w:val="en-GB"/>
        </w:rPr>
        <w:t>nstitute on Aging Income Statements</w:t>
      </w:r>
      <w:r w:rsidR="00DB6F19">
        <w:rPr>
          <w:lang w:val="en-GB"/>
        </w:rPr>
        <w:t>, 2012–2017 (in US$)</w:t>
      </w:r>
    </w:p>
    <w:p w14:paraId="25A81ED0" w14:textId="38F0AE0A" w:rsidR="003D7FD5" w:rsidRPr="007F62B6" w:rsidRDefault="003D7FD5" w:rsidP="003D7FD5">
      <w:pPr>
        <w:pStyle w:val="ExhibitHeading"/>
        <w:rPr>
          <w:lang w:val="en-GB"/>
        </w:rPr>
      </w:pPr>
    </w:p>
    <w:tbl>
      <w:tblPr>
        <w:tblStyle w:val="TableGridLight1"/>
        <w:tblpPr w:leftFromText="180" w:rightFromText="180" w:vertAnchor="page" w:horzAnchor="margin" w:tblpXSpec="center" w:tblpY="2214"/>
        <w:tblW w:w="11171" w:type="dxa"/>
        <w:tblLook w:val="04A0" w:firstRow="1" w:lastRow="0" w:firstColumn="1" w:lastColumn="0" w:noHBand="0" w:noVBand="1"/>
      </w:tblPr>
      <w:tblGrid>
        <w:gridCol w:w="3781"/>
        <w:gridCol w:w="1239"/>
        <w:gridCol w:w="1239"/>
        <w:gridCol w:w="1217"/>
        <w:gridCol w:w="1217"/>
        <w:gridCol w:w="1239"/>
        <w:gridCol w:w="1239"/>
      </w:tblGrid>
      <w:tr w:rsidR="00DB6F19" w:rsidRPr="00D71BBE" w14:paraId="13768A16" w14:textId="77777777" w:rsidTr="00DB6F19">
        <w:trPr>
          <w:trHeight w:val="315"/>
        </w:trPr>
        <w:tc>
          <w:tcPr>
            <w:tcW w:w="3781" w:type="dxa"/>
            <w:noWrap/>
            <w:hideMark/>
          </w:tcPr>
          <w:p w14:paraId="4181E24B" w14:textId="77777777" w:rsidR="00DB6F19" w:rsidRPr="00D71BBE" w:rsidRDefault="00DB6F19" w:rsidP="00DB6F19">
            <w:pPr>
              <w:jc w:val="center"/>
              <w:rPr>
                <w:rFonts w:ascii="Arial" w:hAnsi="Arial" w:cs="Arial"/>
                <w:color w:val="000000"/>
                <w:sz w:val="19"/>
                <w:szCs w:val="19"/>
                <w:lang w:val="en-GB" w:bidi="ne-NP"/>
              </w:rPr>
            </w:pPr>
            <w:r w:rsidRPr="00D71BBE">
              <w:rPr>
                <w:rFonts w:ascii="Arial" w:hAnsi="Arial" w:cs="Arial"/>
                <w:color w:val="000000"/>
                <w:sz w:val="19"/>
                <w:szCs w:val="19"/>
                <w:lang w:val="en-GB" w:bidi="ne-NP"/>
              </w:rPr>
              <w:t> </w:t>
            </w:r>
          </w:p>
        </w:tc>
        <w:tc>
          <w:tcPr>
            <w:tcW w:w="1239" w:type="dxa"/>
            <w:noWrap/>
            <w:hideMark/>
          </w:tcPr>
          <w:p w14:paraId="2ED3343C" w14:textId="77777777" w:rsidR="00DB6F19" w:rsidRPr="00D71BBE" w:rsidRDefault="00DB6F19" w:rsidP="00DB6F19">
            <w:pPr>
              <w:jc w:val="center"/>
              <w:rPr>
                <w:rFonts w:ascii="Arial" w:hAnsi="Arial" w:cs="Arial"/>
                <w:b/>
                <w:bCs/>
                <w:color w:val="000000"/>
                <w:sz w:val="19"/>
                <w:szCs w:val="19"/>
                <w:u w:val="single"/>
                <w:lang w:val="en-GB" w:bidi="ne-NP"/>
              </w:rPr>
            </w:pPr>
            <w:r w:rsidRPr="00D71BBE">
              <w:rPr>
                <w:rFonts w:ascii="Arial" w:hAnsi="Arial" w:cs="Arial"/>
                <w:b/>
                <w:bCs/>
                <w:color w:val="000000"/>
                <w:sz w:val="19"/>
                <w:szCs w:val="19"/>
                <w:u w:val="single"/>
                <w:lang w:val="en-GB" w:bidi="ne-NP"/>
              </w:rPr>
              <w:t>2012</w:t>
            </w:r>
          </w:p>
        </w:tc>
        <w:tc>
          <w:tcPr>
            <w:tcW w:w="1239" w:type="dxa"/>
            <w:noWrap/>
            <w:hideMark/>
          </w:tcPr>
          <w:p w14:paraId="7787A53B" w14:textId="77777777" w:rsidR="00DB6F19" w:rsidRPr="00D71BBE" w:rsidRDefault="00DB6F19" w:rsidP="00DB6F19">
            <w:pPr>
              <w:jc w:val="center"/>
              <w:rPr>
                <w:rFonts w:ascii="Arial" w:hAnsi="Arial" w:cs="Arial"/>
                <w:b/>
                <w:bCs/>
                <w:color w:val="000000"/>
                <w:sz w:val="19"/>
                <w:szCs w:val="19"/>
                <w:u w:val="single"/>
                <w:lang w:val="en-GB" w:bidi="ne-NP"/>
              </w:rPr>
            </w:pPr>
            <w:r w:rsidRPr="00D71BBE">
              <w:rPr>
                <w:rFonts w:ascii="Arial" w:hAnsi="Arial" w:cs="Arial"/>
                <w:b/>
                <w:bCs/>
                <w:color w:val="000000"/>
                <w:sz w:val="19"/>
                <w:szCs w:val="19"/>
                <w:u w:val="single"/>
                <w:lang w:val="en-GB" w:bidi="ne-NP"/>
              </w:rPr>
              <w:t>2013</w:t>
            </w:r>
          </w:p>
        </w:tc>
        <w:tc>
          <w:tcPr>
            <w:tcW w:w="1217" w:type="dxa"/>
            <w:noWrap/>
            <w:hideMark/>
          </w:tcPr>
          <w:p w14:paraId="29DAB48F" w14:textId="77777777" w:rsidR="00DB6F19" w:rsidRPr="00D71BBE" w:rsidRDefault="00DB6F19" w:rsidP="00DB6F19">
            <w:pPr>
              <w:jc w:val="center"/>
              <w:rPr>
                <w:rFonts w:ascii="Arial" w:hAnsi="Arial" w:cs="Arial"/>
                <w:b/>
                <w:bCs/>
                <w:color w:val="000000"/>
                <w:sz w:val="19"/>
                <w:szCs w:val="19"/>
                <w:u w:val="single"/>
                <w:lang w:val="en-GB" w:bidi="ne-NP"/>
              </w:rPr>
            </w:pPr>
            <w:r w:rsidRPr="00D71BBE">
              <w:rPr>
                <w:rFonts w:ascii="Arial" w:hAnsi="Arial" w:cs="Arial"/>
                <w:b/>
                <w:bCs/>
                <w:color w:val="000000"/>
                <w:sz w:val="19"/>
                <w:szCs w:val="19"/>
                <w:u w:val="single"/>
                <w:lang w:val="en-GB" w:bidi="ne-NP"/>
              </w:rPr>
              <w:t>2014</w:t>
            </w:r>
          </w:p>
        </w:tc>
        <w:tc>
          <w:tcPr>
            <w:tcW w:w="1217" w:type="dxa"/>
            <w:noWrap/>
            <w:hideMark/>
          </w:tcPr>
          <w:p w14:paraId="464D899F" w14:textId="77777777" w:rsidR="00DB6F19" w:rsidRPr="00D71BBE" w:rsidRDefault="00DB6F19" w:rsidP="00DB6F19">
            <w:pPr>
              <w:jc w:val="center"/>
              <w:rPr>
                <w:rFonts w:ascii="Arial" w:hAnsi="Arial" w:cs="Arial"/>
                <w:b/>
                <w:bCs/>
                <w:color w:val="000000"/>
                <w:sz w:val="19"/>
                <w:szCs w:val="19"/>
                <w:u w:val="single"/>
                <w:lang w:val="en-GB" w:bidi="ne-NP"/>
              </w:rPr>
            </w:pPr>
            <w:r w:rsidRPr="00D71BBE">
              <w:rPr>
                <w:rFonts w:ascii="Arial" w:hAnsi="Arial" w:cs="Arial"/>
                <w:b/>
                <w:bCs/>
                <w:color w:val="000000"/>
                <w:sz w:val="19"/>
                <w:szCs w:val="19"/>
                <w:u w:val="single"/>
                <w:lang w:val="en-GB" w:bidi="ne-NP"/>
              </w:rPr>
              <w:t>2015</w:t>
            </w:r>
          </w:p>
        </w:tc>
        <w:tc>
          <w:tcPr>
            <w:tcW w:w="1239" w:type="dxa"/>
            <w:noWrap/>
            <w:hideMark/>
          </w:tcPr>
          <w:p w14:paraId="27A57107" w14:textId="77777777" w:rsidR="00DB6F19" w:rsidRPr="00D71BBE" w:rsidRDefault="00DB6F19" w:rsidP="00DB6F19">
            <w:pPr>
              <w:jc w:val="center"/>
              <w:rPr>
                <w:rFonts w:ascii="Arial" w:hAnsi="Arial" w:cs="Arial"/>
                <w:b/>
                <w:bCs/>
                <w:color w:val="000000"/>
                <w:sz w:val="19"/>
                <w:szCs w:val="19"/>
                <w:u w:val="single"/>
                <w:lang w:val="en-GB" w:bidi="ne-NP"/>
              </w:rPr>
            </w:pPr>
            <w:r w:rsidRPr="00D71BBE">
              <w:rPr>
                <w:rFonts w:ascii="Arial" w:hAnsi="Arial" w:cs="Arial"/>
                <w:b/>
                <w:bCs/>
                <w:color w:val="000000"/>
                <w:sz w:val="19"/>
                <w:szCs w:val="19"/>
                <w:u w:val="single"/>
                <w:lang w:val="en-GB" w:bidi="ne-NP"/>
              </w:rPr>
              <w:t>2016</w:t>
            </w:r>
          </w:p>
        </w:tc>
        <w:tc>
          <w:tcPr>
            <w:tcW w:w="1239" w:type="dxa"/>
            <w:noWrap/>
            <w:hideMark/>
          </w:tcPr>
          <w:p w14:paraId="10EDF256" w14:textId="77777777" w:rsidR="00DB6F19" w:rsidRPr="00D71BBE" w:rsidRDefault="00DB6F19" w:rsidP="00DB6F19">
            <w:pPr>
              <w:jc w:val="center"/>
              <w:rPr>
                <w:rFonts w:ascii="Arial" w:hAnsi="Arial" w:cs="Arial"/>
                <w:b/>
                <w:bCs/>
                <w:color w:val="000000"/>
                <w:sz w:val="19"/>
                <w:szCs w:val="19"/>
                <w:u w:val="single"/>
                <w:lang w:val="en-GB" w:bidi="ne-NP"/>
              </w:rPr>
            </w:pPr>
            <w:r w:rsidRPr="00D71BBE">
              <w:rPr>
                <w:rFonts w:ascii="Arial" w:hAnsi="Arial" w:cs="Arial"/>
                <w:b/>
                <w:bCs/>
                <w:color w:val="000000"/>
                <w:sz w:val="19"/>
                <w:szCs w:val="19"/>
                <w:u w:val="single"/>
                <w:lang w:val="en-GB" w:bidi="ne-NP"/>
              </w:rPr>
              <w:t>2017</w:t>
            </w:r>
          </w:p>
        </w:tc>
      </w:tr>
      <w:tr w:rsidR="00DB6F19" w:rsidRPr="00D71BBE" w14:paraId="1586ECB1" w14:textId="77777777" w:rsidTr="00D71BBE">
        <w:trPr>
          <w:trHeight w:val="315"/>
        </w:trPr>
        <w:tc>
          <w:tcPr>
            <w:tcW w:w="3781" w:type="dxa"/>
            <w:noWrap/>
            <w:hideMark/>
          </w:tcPr>
          <w:p w14:paraId="459C345A" w14:textId="77777777" w:rsidR="00DB6F19" w:rsidRPr="00D71BBE" w:rsidRDefault="00DB6F19" w:rsidP="00DB6F19">
            <w:pPr>
              <w:rPr>
                <w:rFonts w:ascii="Arial" w:hAnsi="Arial" w:cs="Arial"/>
                <w:b/>
                <w:bCs/>
                <w:color w:val="000000"/>
                <w:sz w:val="19"/>
                <w:szCs w:val="19"/>
                <w:lang w:val="en-GB" w:bidi="ne-NP"/>
              </w:rPr>
            </w:pPr>
            <w:r w:rsidRPr="00D71BBE">
              <w:rPr>
                <w:rFonts w:ascii="Arial" w:hAnsi="Arial" w:cs="Arial"/>
                <w:b/>
                <w:bCs/>
                <w:color w:val="000000"/>
                <w:sz w:val="19"/>
                <w:szCs w:val="19"/>
                <w:lang w:val="en-GB" w:bidi="ne-NP"/>
              </w:rPr>
              <w:t>Revenues</w:t>
            </w:r>
          </w:p>
        </w:tc>
        <w:tc>
          <w:tcPr>
            <w:tcW w:w="1239" w:type="dxa"/>
            <w:noWrap/>
            <w:vAlign w:val="center"/>
            <w:hideMark/>
          </w:tcPr>
          <w:p w14:paraId="149129AE" w14:textId="77777777" w:rsidR="00DB6F19" w:rsidRPr="00D71BBE" w:rsidRDefault="00DB6F19" w:rsidP="00D71BBE">
            <w:pPr>
              <w:jc w:val="right"/>
              <w:rPr>
                <w:rFonts w:ascii="Arial" w:hAnsi="Arial" w:cs="Arial"/>
                <w:color w:val="000000"/>
                <w:sz w:val="19"/>
                <w:szCs w:val="19"/>
                <w:lang w:val="en-GB" w:bidi="ne-NP"/>
              </w:rPr>
            </w:pPr>
            <w:r w:rsidRPr="00D71BBE">
              <w:rPr>
                <w:rFonts w:ascii="Arial" w:hAnsi="Arial" w:cs="Arial"/>
                <w:color w:val="000000"/>
                <w:sz w:val="19"/>
                <w:szCs w:val="19"/>
                <w:lang w:val="en-GB" w:bidi="ne-NP"/>
              </w:rPr>
              <w:t> </w:t>
            </w:r>
          </w:p>
        </w:tc>
        <w:tc>
          <w:tcPr>
            <w:tcW w:w="1239" w:type="dxa"/>
            <w:noWrap/>
            <w:vAlign w:val="center"/>
            <w:hideMark/>
          </w:tcPr>
          <w:p w14:paraId="1FF8A88B" w14:textId="77777777" w:rsidR="00DB6F19" w:rsidRPr="00D71BBE" w:rsidRDefault="00DB6F19" w:rsidP="00D71BBE">
            <w:pPr>
              <w:jc w:val="right"/>
              <w:rPr>
                <w:rFonts w:ascii="Arial" w:hAnsi="Arial" w:cs="Arial"/>
                <w:color w:val="000000"/>
                <w:sz w:val="19"/>
                <w:szCs w:val="19"/>
                <w:lang w:val="en-GB" w:bidi="ne-NP"/>
              </w:rPr>
            </w:pPr>
            <w:r w:rsidRPr="00D71BBE">
              <w:rPr>
                <w:rFonts w:ascii="Arial" w:hAnsi="Arial" w:cs="Arial"/>
                <w:color w:val="000000"/>
                <w:sz w:val="19"/>
                <w:szCs w:val="19"/>
                <w:lang w:val="en-GB" w:bidi="ne-NP"/>
              </w:rPr>
              <w:t> </w:t>
            </w:r>
          </w:p>
        </w:tc>
        <w:tc>
          <w:tcPr>
            <w:tcW w:w="1217" w:type="dxa"/>
            <w:noWrap/>
            <w:vAlign w:val="center"/>
            <w:hideMark/>
          </w:tcPr>
          <w:p w14:paraId="2166960B" w14:textId="77777777" w:rsidR="00DB6F19" w:rsidRPr="00D71BBE" w:rsidRDefault="00DB6F19" w:rsidP="00D71BBE">
            <w:pPr>
              <w:jc w:val="right"/>
              <w:rPr>
                <w:rFonts w:ascii="Arial" w:hAnsi="Arial" w:cs="Arial"/>
                <w:color w:val="000000"/>
                <w:sz w:val="19"/>
                <w:szCs w:val="19"/>
                <w:lang w:val="en-GB" w:bidi="ne-NP"/>
              </w:rPr>
            </w:pPr>
            <w:r w:rsidRPr="00D71BBE">
              <w:rPr>
                <w:rFonts w:ascii="Arial" w:hAnsi="Arial" w:cs="Arial"/>
                <w:color w:val="000000"/>
                <w:sz w:val="19"/>
                <w:szCs w:val="19"/>
                <w:lang w:val="en-GB" w:bidi="ne-NP"/>
              </w:rPr>
              <w:t> </w:t>
            </w:r>
          </w:p>
        </w:tc>
        <w:tc>
          <w:tcPr>
            <w:tcW w:w="1217" w:type="dxa"/>
            <w:noWrap/>
            <w:vAlign w:val="center"/>
            <w:hideMark/>
          </w:tcPr>
          <w:p w14:paraId="7796EAA7" w14:textId="77777777" w:rsidR="00DB6F19" w:rsidRPr="00D71BBE" w:rsidRDefault="00DB6F19" w:rsidP="00D71BBE">
            <w:pPr>
              <w:jc w:val="right"/>
              <w:rPr>
                <w:rFonts w:ascii="Arial" w:hAnsi="Arial" w:cs="Arial"/>
                <w:color w:val="000000"/>
                <w:sz w:val="19"/>
                <w:szCs w:val="19"/>
                <w:lang w:val="en-GB" w:bidi="ne-NP"/>
              </w:rPr>
            </w:pPr>
            <w:r w:rsidRPr="00D71BBE">
              <w:rPr>
                <w:rFonts w:ascii="Arial" w:hAnsi="Arial" w:cs="Arial"/>
                <w:color w:val="000000"/>
                <w:sz w:val="19"/>
                <w:szCs w:val="19"/>
                <w:lang w:val="en-GB" w:bidi="ne-NP"/>
              </w:rPr>
              <w:t> </w:t>
            </w:r>
          </w:p>
        </w:tc>
        <w:tc>
          <w:tcPr>
            <w:tcW w:w="1239" w:type="dxa"/>
            <w:noWrap/>
            <w:vAlign w:val="center"/>
            <w:hideMark/>
          </w:tcPr>
          <w:p w14:paraId="73B4ED85" w14:textId="77777777" w:rsidR="00DB6F19" w:rsidRPr="00D71BBE" w:rsidRDefault="00DB6F19" w:rsidP="00D71BBE">
            <w:pPr>
              <w:jc w:val="right"/>
              <w:rPr>
                <w:rFonts w:ascii="Arial" w:hAnsi="Arial" w:cs="Arial"/>
                <w:color w:val="000000"/>
                <w:sz w:val="19"/>
                <w:szCs w:val="19"/>
                <w:lang w:val="en-GB" w:bidi="ne-NP"/>
              </w:rPr>
            </w:pPr>
            <w:r w:rsidRPr="00D71BBE">
              <w:rPr>
                <w:rFonts w:ascii="Arial" w:hAnsi="Arial" w:cs="Arial"/>
                <w:color w:val="000000"/>
                <w:sz w:val="19"/>
                <w:szCs w:val="19"/>
                <w:lang w:val="en-GB" w:bidi="ne-NP"/>
              </w:rPr>
              <w:t> </w:t>
            </w:r>
          </w:p>
        </w:tc>
        <w:tc>
          <w:tcPr>
            <w:tcW w:w="1239" w:type="dxa"/>
            <w:noWrap/>
            <w:vAlign w:val="center"/>
            <w:hideMark/>
          </w:tcPr>
          <w:p w14:paraId="7F08F409" w14:textId="77777777" w:rsidR="00DB6F19" w:rsidRPr="00D71BBE" w:rsidRDefault="00DB6F19" w:rsidP="00D71BBE">
            <w:pPr>
              <w:jc w:val="right"/>
              <w:rPr>
                <w:rFonts w:ascii="Arial" w:hAnsi="Arial" w:cs="Arial"/>
                <w:color w:val="000000"/>
                <w:sz w:val="19"/>
                <w:szCs w:val="19"/>
                <w:lang w:val="en-GB" w:bidi="ne-NP"/>
              </w:rPr>
            </w:pPr>
            <w:r w:rsidRPr="00D71BBE">
              <w:rPr>
                <w:rFonts w:ascii="Arial" w:hAnsi="Arial" w:cs="Arial"/>
                <w:color w:val="000000"/>
                <w:sz w:val="19"/>
                <w:szCs w:val="19"/>
                <w:lang w:val="en-GB" w:bidi="ne-NP"/>
              </w:rPr>
              <w:t> </w:t>
            </w:r>
          </w:p>
        </w:tc>
      </w:tr>
      <w:tr w:rsidR="00DB6F19" w:rsidRPr="00D71BBE" w14:paraId="1CBBAF4F" w14:textId="77777777" w:rsidTr="00D71BBE">
        <w:trPr>
          <w:trHeight w:val="315"/>
        </w:trPr>
        <w:tc>
          <w:tcPr>
            <w:tcW w:w="3781" w:type="dxa"/>
            <w:noWrap/>
            <w:hideMark/>
          </w:tcPr>
          <w:p w14:paraId="7432F9AC" w14:textId="77777777" w:rsidR="00DB6F19" w:rsidRPr="00D71BBE" w:rsidRDefault="00DB6F19" w:rsidP="00DB6F19">
            <w:pPr>
              <w:tabs>
                <w:tab w:val="left" w:pos="142"/>
              </w:tabs>
              <w:rPr>
                <w:rFonts w:ascii="Arial" w:hAnsi="Arial" w:cs="Arial"/>
                <w:bCs/>
                <w:iCs/>
                <w:color w:val="000000"/>
                <w:sz w:val="19"/>
                <w:szCs w:val="19"/>
                <w:lang w:val="en-GB" w:bidi="ne-NP"/>
              </w:rPr>
            </w:pPr>
            <w:r w:rsidRPr="00D71BBE">
              <w:rPr>
                <w:rFonts w:ascii="Arial" w:hAnsi="Arial" w:cs="Arial"/>
                <w:bCs/>
                <w:iCs/>
                <w:color w:val="000000"/>
                <w:sz w:val="19"/>
                <w:szCs w:val="19"/>
                <w:lang w:val="en-GB" w:bidi="ne-NP"/>
              </w:rPr>
              <w:tab/>
              <w:t>Public support</w:t>
            </w:r>
          </w:p>
        </w:tc>
        <w:tc>
          <w:tcPr>
            <w:tcW w:w="1239" w:type="dxa"/>
            <w:noWrap/>
            <w:vAlign w:val="center"/>
            <w:hideMark/>
          </w:tcPr>
          <w:p w14:paraId="62A11E3D" w14:textId="77777777" w:rsidR="00DB6F19" w:rsidRPr="00D71BBE" w:rsidRDefault="00DB6F19" w:rsidP="00D71BBE">
            <w:pPr>
              <w:jc w:val="right"/>
              <w:rPr>
                <w:rFonts w:ascii="Arial" w:hAnsi="Arial" w:cs="Arial"/>
                <w:color w:val="000000"/>
                <w:sz w:val="19"/>
                <w:szCs w:val="19"/>
                <w:lang w:val="en-GB" w:bidi="ne-NP"/>
              </w:rPr>
            </w:pPr>
            <w:r w:rsidRPr="00D71BBE">
              <w:rPr>
                <w:rFonts w:ascii="Arial" w:hAnsi="Arial" w:cs="Arial"/>
                <w:color w:val="000000"/>
                <w:sz w:val="19"/>
                <w:szCs w:val="19"/>
                <w:lang w:val="en-GB" w:bidi="ne-NP"/>
              </w:rPr>
              <w:t xml:space="preserve">7,370,004 </w:t>
            </w:r>
          </w:p>
        </w:tc>
        <w:tc>
          <w:tcPr>
            <w:tcW w:w="1239" w:type="dxa"/>
            <w:noWrap/>
            <w:vAlign w:val="center"/>
            <w:hideMark/>
          </w:tcPr>
          <w:p w14:paraId="5A11F395" w14:textId="77777777" w:rsidR="00DB6F19" w:rsidRPr="00D71BBE" w:rsidRDefault="00DB6F19" w:rsidP="00D71BBE">
            <w:pPr>
              <w:jc w:val="right"/>
              <w:rPr>
                <w:rFonts w:ascii="Arial" w:hAnsi="Arial" w:cs="Arial"/>
                <w:color w:val="000000"/>
                <w:sz w:val="19"/>
                <w:szCs w:val="19"/>
                <w:lang w:val="en-GB" w:bidi="ne-NP"/>
              </w:rPr>
            </w:pPr>
            <w:r w:rsidRPr="00D71BBE">
              <w:rPr>
                <w:rFonts w:ascii="Arial" w:hAnsi="Arial" w:cs="Arial"/>
                <w:color w:val="000000"/>
                <w:sz w:val="19"/>
                <w:szCs w:val="19"/>
                <w:lang w:val="en-GB" w:bidi="ne-NP"/>
              </w:rPr>
              <w:t xml:space="preserve">8,053,134 </w:t>
            </w:r>
          </w:p>
        </w:tc>
        <w:tc>
          <w:tcPr>
            <w:tcW w:w="1217" w:type="dxa"/>
            <w:noWrap/>
            <w:vAlign w:val="center"/>
            <w:hideMark/>
          </w:tcPr>
          <w:p w14:paraId="7DBA8AC5" w14:textId="77777777" w:rsidR="00DB6F19" w:rsidRPr="00D71BBE" w:rsidRDefault="00DB6F19" w:rsidP="00D71BBE">
            <w:pPr>
              <w:jc w:val="right"/>
              <w:rPr>
                <w:rFonts w:ascii="Arial" w:hAnsi="Arial" w:cs="Arial"/>
                <w:color w:val="000000"/>
                <w:sz w:val="19"/>
                <w:szCs w:val="19"/>
                <w:lang w:val="en-GB" w:bidi="ne-NP"/>
              </w:rPr>
            </w:pPr>
            <w:r w:rsidRPr="00D71BBE">
              <w:rPr>
                <w:rFonts w:ascii="Arial" w:hAnsi="Arial" w:cs="Arial"/>
                <w:color w:val="000000"/>
                <w:sz w:val="19"/>
                <w:szCs w:val="19"/>
                <w:lang w:val="en-GB" w:bidi="ne-NP"/>
              </w:rPr>
              <w:t xml:space="preserve">8,916,824 </w:t>
            </w:r>
          </w:p>
        </w:tc>
        <w:tc>
          <w:tcPr>
            <w:tcW w:w="1217" w:type="dxa"/>
            <w:noWrap/>
            <w:vAlign w:val="center"/>
            <w:hideMark/>
          </w:tcPr>
          <w:p w14:paraId="786A9A21" w14:textId="77777777" w:rsidR="00DB6F19" w:rsidRPr="00D71BBE" w:rsidRDefault="00DB6F19" w:rsidP="00D71BBE">
            <w:pPr>
              <w:jc w:val="right"/>
              <w:rPr>
                <w:rFonts w:ascii="Arial" w:hAnsi="Arial" w:cs="Arial"/>
                <w:color w:val="000000"/>
                <w:sz w:val="19"/>
                <w:szCs w:val="19"/>
                <w:lang w:val="en-GB" w:bidi="ne-NP"/>
              </w:rPr>
            </w:pPr>
            <w:r w:rsidRPr="00D71BBE">
              <w:rPr>
                <w:rFonts w:ascii="Arial" w:hAnsi="Arial" w:cs="Arial"/>
                <w:color w:val="000000"/>
                <w:sz w:val="19"/>
                <w:szCs w:val="19"/>
                <w:lang w:val="en-GB" w:bidi="ne-NP"/>
              </w:rPr>
              <w:t xml:space="preserve">9,468,296 </w:t>
            </w:r>
          </w:p>
        </w:tc>
        <w:tc>
          <w:tcPr>
            <w:tcW w:w="1239" w:type="dxa"/>
            <w:noWrap/>
            <w:vAlign w:val="center"/>
            <w:hideMark/>
          </w:tcPr>
          <w:p w14:paraId="2CA7D9DA" w14:textId="77777777" w:rsidR="00DB6F19" w:rsidRPr="00D71BBE" w:rsidRDefault="00DB6F19" w:rsidP="00D71BBE">
            <w:pPr>
              <w:jc w:val="right"/>
              <w:rPr>
                <w:rFonts w:ascii="Arial" w:hAnsi="Arial" w:cs="Arial"/>
                <w:color w:val="000000"/>
                <w:sz w:val="19"/>
                <w:szCs w:val="19"/>
                <w:lang w:val="en-GB" w:bidi="ne-NP"/>
              </w:rPr>
            </w:pPr>
            <w:r w:rsidRPr="00D71BBE">
              <w:rPr>
                <w:rFonts w:ascii="Arial" w:hAnsi="Arial" w:cs="Arial"/>
                <w:color w:val="000000"/>
                <w:sz w:val="19"/>
                <w:szCs w:val="19"/>
                <w:lang w:val="en-GB" w:bidi="ne-NP"/>
              </w:rPr>
              <w:t xml:space="preserve">10,009,188 </w:t>
            </w:r>
          </w:p>
        </w:tc>
        <w:tc>
          <w:tcPr>
            <w:tcW w:w="1239" w:type="dxa"/>
            <w:noWrap/>
            <w:vAlign w:val="center"/>
            <w:hideMark/>
          </w:tcPr>
          <w:p w14:paraId="3E5D4F65" w14:textId="77777777" w:rsidR="00DB6F19" w:rsidRPr="00D71BBE" w:rsidRDefault="00DB6F19" w:rsidP="00D71BBE">
            <w:pPr>
              <w:jc w:val="right"/>
              <w:rPr>
                <w:rFonts w:ascii="Arial" w:hAnsi="Arial" w:cs="Arial"/>
                <w:color w:val="000000"/>
                <w:sz w:val="19"/>
                <w:szCs w:val="19"/>
                <w:lang w:val="en-GB" w:bidi="ne-NP"/>
              </w:rPr>
            </w:pPr>
            <w:r w:rsidRPr="00D71BBE">
              <w:rPr>
                <w:rFonts w:ascii="Arial" w:hAnsi="Arial" w:cs="Arial"/>
                <w:color w:val="000000"/>
                <w:sz w:val="19"/>
                <w:szCs w:val="19"/>
                <w:lang w:val="en-GB" w:bidi="ne-NP"/>
              </w:rPr>
              <w:t xml:space="preserve">11,324,308 </w:t>
            </w:r>
          </w:p>
        </w:tc>
      </w:tr>
      <w:tr w:rsidR="00DB6F19" w:rsidRPr="00D71BBE" w14:paraId="7FA6A173" w14:textId="77777777" w:rsidTr="00D71BBE">
        <w:trPr>
          <w:trHeight w:val="315"/>
        </w:trPr>
        <w:tc>
          <w:tcPr>
            <w:tcW w:w="3781" w:type="dxa"/>
            <w:noWrap/>
            <w:hideMark/>
          </w:tcPr>
          <w:p w14:paraId="67412677" w14:textId="77777777" w:rsidR="00DB6F19" w:rsidRPr="00D71BBE" w:rsidRDefault="00DB6F19" w:rsidP="00DB6F19">
            <w:pPr>
              <w:tabs>
                <w:tab w:val="left" w:pos="142"/>
              </w:tabs>
              <w:rPr>
                <w:rFonts w:ascii="Arial" w:hAnsi="Arial" w:cs="Arial"/>
                <w:bCs/>
                <w:iCs/>
                <w:color w:val="000000"/>
                <w:sz w:val="19"/>
                <w:szCs w:val="19"/>
                <w:lang w:val="en-GB" w:bidi="ne-NP"/>
              </w:rPr>
            </w:pPr>
            <w:r w:rsidRPr="00D71BBE">
              <w:rPr>
                <w:rFonts w:ascii="Arial" w:hAnsi="Arial" w:cs="Arial"/>
                <w:bCs/>
                <w:iCs/>
                <w:color w:val="000000"/>
                <w:sz w:val="19"/>
                <w:szCs w:val="19"/>
                <w:lang w:val="en-GB" w:bidi="ne-NP"/>
              </w:rPr>
              <w:tab/>
              <w:t>Other revenue</w:t>
            </w:r>
          </w:p>
        </w:tc>
        <w:tc>
          <w:tcPr>
            <w:tcW w:w="1239" w:type="dxa"/>
            <w:noWrap/>
            <w:vAlign w:val="center"/>
            <w:hideMark/>
          </w:tcPr>
          <w:p w14:paraId="496D88FC" w14:textId="77777777" w:rsidR="00DB6F19" w:rsidRPr="00D71BBE" w:rsidRDefault="00DB6F19" w:rsidP="00D71BBE">
            <w:pPr>
              <w:jc w:val="right"/>
              <w:rPr>
                <w:rFonts w:ascii="Arial" w:hAnsi="Arial" w:cs="Arial"/>
                <w:color w:val="000000"/>
                <w:sz w:val="19"/>
                <w:szCs w:val="19"/>
                <w:lang w:val="en-GB" w:bidi="ne-NP"/>
              </w:rPr>
            </w:pPr>
            <w:r w:rsidRPr="00D71BBE">
              <w:rPr>
                <w:rFonts w:ascii="Arial" w:hAnsi="Arial" w:cs="Arial"/>
                <w:color w:val="000000"/>
                <w:sz w:val="19"/>
                <w:szCs w:val="19"/>
                <w:lang w:val="en-GB" w:bidi="ne-NP"/>
              </w:rPr>
              <w:t xml:space="preserve">21,343,438 </w:t>
            </w:r>
          </w:p>
        </w:tc>
        <w:tc>
          <w:tcPr>
            <w:tcW w:w="1239" w:type="dxa"/>
            <w:noWrap/>
            <w:vAlign w:val="center"/>
            <w:hideMark/>
          </w:tcPr>
          <w:p w14:paraId="0A2CF8A7" w14:textId="77777777" w:rsidR="00DB6F19" w:rsidRPr="00D71BBE" w:rsidRDefault="00DB6F19" w:rsidP="00D71BBE">
            <w:pPr>
              <w:jc w:val="right"/>
              <w:rPr>
                <w:rFonts w:ascii="Arial" w:hAnsi="Arial" w:cs="Arial"/>
                <w:color w:val="000000"/>
                <w:sz w:val="19"/>
                <w:szCs w:val="19"/>
                <w:lang w:val="en-GB" w:bidi="ne-NP"/>
              </w:rPr>
            </w:pPr>
            <w:r w:rsidRPr="00D71BBE">
              <w:rPr>
                <w:rFonts w:ascii="Arial" w:hAnsi="Arial" w:cs="Arial"/>
                <w:color w:val="000000"/>
                <w:sz w:val="19"/>
                <w:szCs w:val="19"/>
                <w:lang w:val="en-GB" w:bidi="ne-NP"/>
              </w:rPr>
              <w:t xml:space="preserve">19,791,370 </w:t>
            </w:r>
          </w:p>
        </w:tc>
        <w:tc>
          <w:tcPr>
            <w:tcW w:w="1217" w:type="dxa"/>
            <w:noWrap/>
            <w:vAlign w:val="center"/>
            <w:hideMark/>
          </w:tcPr>
          <w:p w14:paraId="7A4BCE9E" w14:textId="77777777" w:rsidR="00DB6F19" w:rsidRPr="00D71BBE" w:rsidRDefault="00DB6F19" w:rsidP="00D71BBE">
            <w:pPr>
              <w:jc w:val="right"/>
              <w:rPr>
                <w:rFonts w:ascii="Arial" w:hAnsi="Arial" w:cs="Arial"/>
                <w:color w:val="000000"/>
                <w:sz w:val="19"/>
                <w:szCs w:val="19"/>
                <w:lang w:val="en-GB" w:bidi="ne-NP"/>
              </w:rPr>
            </w:pPr>
            <w:r w:rsidRPr="00D71BBE">
              <w:rPr>
                <w:rFonts w:ascii="Arial" w:hAnsi="Arial" w:cs="Arial"/>
                <w:color w:val="000000"/>
                <w:sz w:val="19"/>
                <w:szCs w:val="19"/>
                <w:lang w:val="en-GB" w:bidi="ne-NP"/>
              </w:rPr>
              <w:t xml:space="preserve">21,348,660 </w:t>
            </w:r>
          </w:p>
        </w:tc>
        <w:tc>
          <w:tcPr>
            <w:tcW w:w="1217" w:type="dxa"/>
            <w:noWrap/>
            <w:vAlign w:val="center"/>
            <w:hideMark/>
          </w:tcPr>
          <w:p w14:paraId="49428D31" w14:textId="77777777" w:rsidR="00DB6F19" w:rsidRPr="00D71BBE" w:rsidRDefault="00DB6F19" w:rsidP="00D71BBE">
            <w:pPr>
              <w:jc w:val="right"/>
              <w:rPr>
                <w:rFonts w:ascii="Arial" w:hAnsi="Arial" w:cs="Arial"/>
                <w:color w:val="000000"/>
                <w:sz w:val="19"/>
                <w:szCs w:val="19"/>
                <w:lang w:val="en-GB" w:bidi="ne-NP"/>
              </w:rPr>
            </w:pPr>
            <w:r w:rsidRPr="00D71BBE">
              <w:rPr>
                <w:rFonts w:ascii="Arial" w:hAnsi="Arial" w:cs="Arial"/>
                <w:color w:val="000000"/>
                <w:sz w:val="19"/>
                <w:szCs w:val="19"/>
                <w:lang w:val="en-GB" w:bidi="ne-NP"/>
              </w:rPr>
              <w:t xml:space="preserve">24,013,621 </w:t>
            </w:r>
          </w:p>
        </w:tc>
        <w:tc>
          <w:tcPr>
            <w:tcW w:w="1239" w:type="dxa"/>
            <w:noWrap/>
            <w:vAlign w:val="center"/>
            <w:hideMark/>
          </w:tcPr>
          <w:p w14:paraId="192F6C24" w14:textId="77777777" w:rsidR="00DB6F19" w:rsidRPr="00D71BBE" w:rsidRDefault="00DB6F19" w:rsidP="00D71BBE">
            <w:pPr>
              <w:jc w:val="right"/>
              <w:rPr>
                <w:rFonts w:ascii="Arial" w:hAnsi="Arial" w:cs="Arial"/>
                <w:color w:val="000000"/>
                <w:sz w:val="19"/>
                <w:szCs w:val="19"/>
                <w:lang w:val="en-GB" w:bidi="ne-NP"/>
              </w:rPr>
            </w:pPr>
            <w:r w:rsidRPr="00D71BBE">
              <w:rPr>
                <w:rFonts w:ascii="Arial" w:hAnsi="Arial" w:cs="Arial"/>
                <w:color w:val="000000"/>
                <w:sz w:val="19"/>
                <w:szCs w:val="19"/>
                <w:lang w:val="en-GB" w:bidi="ne-NP"/>
              </w:rPr>
              <w:t xml:space="preserve">28,940,732 </w:t>
            </w:r>
          </w:p>
        </w:tc>
        <w:tc>
          <w:tcPr>
            <w:tcW w:w="1239" w:type="dxa"/>
            <w:noWrap/>
            <w:vAlign w:val="center"/>
            <w:hideMark/>
          </w:tcPr>
          <w:p w14:paraId="4B5464AA" w14:textId="77777777" w:rsidR="00DB6F19" w:rsidRPr="00D71BBE" w:rsidRDefault="00DB6F19" w:rsidP="00D71BBE">
            <w:pPr>
              <w:jc w:val="right"/>
              <w:rPr>
                <w:rFonts w:ascii="Arial" w:hAnsi="Arial" w:cs="Arial"/>
                <w:color w:val="000000"/>
                <w:sz w:val="19"/>
                <w:szCs w:val="19"/>
                <w:lang w:val="en-GB" w:bidi="ne-NP"/>
              </w:rPr>
            </w:pPr>
            <w:r w:rsidRPr="00D71BBE">
              <w:rPr>
                <w:rFonts w:ascii="Arial" w:hAnsi="Arial" w:cs="Arial"/>
                <w:color w:val="000000"/>
                <w:sz w:val="19"/>
                <w:szCs w:val="19"/>
                <w:lang w:val="en-GB" w:bidi="ne-NP"/>
              </w:rPr>
              <w:t xml:space="preserve">33,888,634 </w:t>
            </w:r>
          </w:p>
        </w:tc>
      </w:tr>
      <w:tr w:rsidR="00DB6F19" w:rsidRPr="00D71BBE" w14:paraId="50B58818" w14:textId="77777777" w:rsidTr="00D71BBE">
        <w:trPr>
          <w:trHeight w:val="315"/>
        </w:trPr>
        <w:tc>
          <w:tcPr>
            <w:tcW w:w="3781" w:type="dxa"/>
            <w:noWrap/>
            <w:hideMark/>
          </w:tcPr>
          <w:p w14:paraId="368CB4DC" w14:textId="77777777" w:rsidR="00DB6F19" w:rsidRPr="00D71BBE" w:rsidRDefault="00DB6F19" w:rsidP="00DB6F19">
            <w:pPr>
              <w:rPr>
                <w:rFonts w:ascii="Arial" w:hAnsi="Arial" w:cs="Arial"/>
                <w:b/>
                <w:bCs/>
                <w:iCs/>
                <w:color w:val="000000"/>
                <w:sz w:val="19"/>
                <w:szCs w:val="19"/>
                <w:lang w:val="en-GB" w:bidi="ne-NP"/>
              </w:rPr>
            </w:pPr>
            <w:r w:rsidRPr="00D71BBE">
              <w:rPr>
                <w:rFonts w:ascii="Arial" w:hAnsi="Arial" w:cs="Arial"/>
                <w:b/>
                <w:bCs/>
                <w:iCs/>
                <w:color w:val="000000"/>
                <w:sz w:val="19"/>
                <w:szCs w:val="19"/>
                <w:lang w:val="en-GB" w:bidi="ne-NP"/>
              </w:rPr>
              <w:t>Total</w:t>
            </w:r>
          </w:p>
        </w:tc>
        <w:tc>
          <w:tcPr>
            <w:tcW w:w="1239" w:type="dxa"/>
            <w:noWrap/>
            <w:vAlign w:val="center"/>
            <w:hideMark/>
          </w:tcPr>
          <w:p w14:paraId="4F032DF8" w14:textId="77777777" w:rsidR="00DB6F19" w:rsidRPr="00D71BBE" w:rsidRDefault="00DB6F19" w:rsidP="00D71BBE">
            <w:pPr>
              <w:jc w:val="right"/>
              <w:rPr>
                <w:rFonts w:ascii="Arial" w:hAnsi="Arial" w:cs="Arial"/>
                <w:color w:val="000000"/>
                <w:sz w:val="19"/>
                <w:szCs w:val="19"/>
                <w:lang w:val="en-GB" w:bidi="ne-NP"/>
              </w:rPr>
            </w:pPr>
            <w:r w:rsidRPr="00D71BBE">
              <w:rPr>
                <w:rFonts w:ascii="Arial" w:hAnsi="Arial" w:cs="Arial"/>
                <w:color w:val="000000"/>
                <w:sz w:val="19"/>
                <w:szCs w:val="19"/>
                <w:lang w:val="en-GB" w:bidi="ne-NP"/>
              </w:rPr>
              <w:t xml:space="preserve">28,713,442 </w:t>
            </w:r>
          </w:p>
        </w:tc>
        <w:tc>
          <w:tcPr>
            <w:tcW w:w="1239" w:type="dxa"/>
            <w:noWrap/>
            <w:vAlign w:val="center"/>
            <w:hideMark/>
          </w:tcPr>
          <w:p w14:paraId="480758F6" w14:textId="77777777" w:rsidR="00DB6F19" w:rsidRPr="00D71BBE" w:rsidRDefault="00DB6F19" w:rsidP="00D71BBE">
            <w:pPr>
              <w:jc w:val="right"/>
              <w:rPr>
                <w:rFonts w:ascii="Arial" w:hAnsi="Arial" w:cs="Arial"/>
                <w:color w:val="000000"/>
                <w:sz w:val="19"/>
                <w:szCs w:val="19"/>
                <w:lang w:val="en-GB" w:bidi="ne-NP"/>
              </w:rPr>
            </w:pPr>
            <w:r w:rsidRPr="00D71BBE">
              <w:rPr>
                <w:rFonts w:ascii="Arial" w:hAnsi="Arial" w:cs="Arial"/>
                <w:color w:val="000000"/>
                <w:sz w:val="19"/>
                <w:szCs w:val="19"/>
                <w:lang w:val="en-GB" w:bidi="ne-NP"/>
              </w:rPr>
              <w:t xml:space="preserve">27,844,504 </w:t>
            </w:r>
          </w:p>
        </w:tc>
        <w:tc>
          <w:tcPr>
            <w:tcW w:w="1217" w:type="dxa"/>
            <w:noWrap/>
            <w:vAlign w:val="center"/>
            <w:hideMark/>
          </w:tcPr>
          <w:p w14:paraId="5CECB559" w14:textId="77777777" w:rsidR="00DB6F19" w:rsidRPr="00D71BBE" w:rsidRDefault="00DB6F19" w:rsidP="00D71BBE">
            <w:pPr>
              <w:jc w:val="right"/>
              <w:rPr>
                <w:rFonts w:ascii="Arial" w:hAnsi="Arial" w:cs="Arial"/>
                <w:color w:val="000000"/>
                <w:sz w:val="19"/>
                <w:szCs w:val="19"/>
                <w:lang w:val="en-GB" w:bidi="ne-NP"/>
              </w:rPr>
            </w:pPr>
            <w:r w:rsidRPr="00D71BBE">
              <w:rPr>
                <w:rFonts w:ascii="Arial" w:hAnsi="Arial" w:cs="Arial"/>
                <w:color w:val="000000"/>
                <w:sz w:val="19"/>
                <w:szCs w:val="19"/>
                <w:lang w:val="en-GB" w:bidi="ne-NP"/>
              </w:rPr>
              <w:t xml:space="preserve">30,265,484 </w:t>
            </w:r>
          </w:p>
        </w:tc>
        <w:tc>
          <w:tcPr>
            <w:tcW w:w="1217" w:type="dxa"/>
            <w:noWrap/>
            <w:vAlign w:val="center"/>
            <w:hideMark/>
          </w:tcPr>
          <w:p w14:paraId="7FF60B51" w14:textId="77777777" w:rsidR="00DB6F19" w:rsidRPr="00D71BBE" w:rsidRDefault="00DB6F19" w:rsidP="00D71BBE">
            <w:pPr>
              <w:jc w:val="right"/>
              <w:rPr>
                <w:rFonts w:ascii="Arial" w:hAnsi="Arial" w:cs="Arial"/>
                <w:color w:val="000000"/>
                <w:sz w:val="19"/>
                <w:szCs w:val="19"/>
                <w:lang w:val="en-GB" w:bidi="ne-NP"/>
              </w:rPr>
            </w:pPr>
            <w:r w:rsidRPr="00D71BBE">
              <w:rPr>
                <w:rFonts w:ascii="Arial" w:hAnsi="Arial" w:cs="Arial"/>
                <w:color w:val="000000"/>
                <w:sz w:val="19"/>
                <w:szCs w:val="19"/>
                <w:lang w:val="en-GB" w:bidi="ne-NP"/>
              </w:rPr>
              <w:t xml:space="preserve">33,481,917 </w:t>
            </w:r>
          </w:p>
        </w:tc>
        <w:tc>
          <w:tcPr>
            <w:tcW w:w="1239" w:type="dxa"/>
            <w:noWrap/>
            <w:vAlign w:val="center"/>
            <w:hideMark/>
          </w:tcPr>
          <w:p w14:paraId="1D1D2986" w14:textId="77777777" w:rsidR="00DB6F19" w:rsidRPr="00D71BBE" w:rsidRDefault="00DB6F19" w:rsidP="00D71BBE">
            <w:pPr>
              <w:jc w:val="right"/>
              <w:rPr>
                <w:rFonts w:ascii="Arial" w:hAnsi="Arial" w:cs="Arial"/>
                <w:color w:val="000000"/>
                <w:sz w:val="19"/>
                <w:szCs w:val="19"/>
                <w:lang w:val="en-GB" w:bidi="ne-NP"/>
              </w:rPr>
            </w:pPr>
            <w:r w:rsidRPr="00D71BBE">
              <w:rPr>
                <w:rFonts w:ascii="Arial" w:hAnsi="Arial" w:cs="Arial"/>
                <w:color w:val="000000"/>
                <w:sz w:val="19"/>
                <w:szCs w:val="19"/>
                <w:lang w:val="en-GB" w:bidi="ne-NP"/>
              </w:rPr>
              <w:t xml:space="preserve">38,949,920 </w:t>
            </w:r>
          </w:p>
        </w:tc>
        <w:tc>
          <w:tcPr>
            <w:tcW w:w="1239" w:type="dxa"/>
            <w:noWrap/>
            <w:vAlign w:val="center"/>
            <w:hideMark/>
          </w:tcPr>
          <w:p w14:paraId="02CEC057" w14:textId="77777777" w:rsidR="00DB6F19" w:rsidRPr="00D71BBE" w:rsidRDefault="00DB6F19" w:rsidP="00D71BBE">
            <w:pPr>
              <w:jc w:val="right"/>
              <w:rPr>
                <w:rFonts w:ascii="Arial" w:hAnsi="Arial" w:cs="Arial"/>
                <w:color w:val="000000"/>
                <w:sz w:val="19"/>
                <w:szCs w:val="19"/>
                <w:lang w:val="en-GB" w:bidi="ne-NP"/>
              </w:rPr>
            </w:pPr>
            <w:r w:rsidRPr="00D71BBE">
              <w:rPr>
                <w:rFonts w:ascii="Arial" w:hAnsi="Arial" w:cs="Arial"/>
                <w:color w:val="000000"/>
                <w:sz w:val="19"/>
                <w:szCs w:val="19"/>
                <w:lang w:val="en-GB" w:bidi="ne-NP"/>
              </w:rPr>
              <w:t xml:space="preserve">45,212,942 </w:t>
            </w:r>
          </w:p>
        </w:tc>
      </w:tr>
      <w:tr w:rsidR="00DB6F19" w:rsidRPr="00D71BBE" w14:paraId="703F8A54" w14:textId="77777777" w:rsidTr="00D71BBE">
        <w:trPr>
          <w:trHeight w:val="225"/>
        </w:trPr>
        <w:tc>
          <w:tcPr>
            <w:tcW w:w="3781" w:type="dxa"/>
            <w:noWrap/>
            <w:hideMark/>
          </w:tcPr>
          <w:p w14:paraId="5F32ED4A" w14:textId="77777777" w:rsidR="00DB6F19" w:rsidRPr="00D71BBE" w:rsidRDefault="00DB6F19" w:rsidP="00DB6F19">
            <w:pPr>
              <w:rPr>
                <w:rFonts w:ascii="Arial" w:hAnsi="Arial" w:cs="Arial"/>
                <w:b/>
                <w:bCs/>
                <w:color w:val="000000"/>
                <w:sz w:val="19"/>
                <w:szCs w:val="19"/>
                <w:lang w:val="en-GB" w:bidi="ne-NP"/>
              </w:rPr>
            </w:pPr>
            <w:r w:rsidRPr="00D71BBE">
              <w:rPr>
                <w:rFonts w:ascii="Arial" w:hAnsi="Arial" w:cs="Arial"/>
                <w:b/>
                <w:bCs/>
                <w:color w:val="000000"/>
                <w:sz w:val="19"/>
                <w:szCs w:val="19"/>
                <w:lang w:val="en-GB" w:bidi="ne-NP"/>
              </w:rPr>
              <w:t> </w:t>
            </w:r>
          </w:p>
        </w:tc>
        <w:tc>
          <w:tcPr>
            <w:tcW w:w="1239" w:type="dxa"/>
            <w:noWrap/>
            <w:vAlign w:val="center"/>
            <w:hideMark/>
          </w:tcPr>
          <w:p w14:paraId="3FC6284B" w14:textId="77777777" w:rsidR="00DB6F19" w:rsidRPr="00D71BBE" w:rsidRDefault="00DB6F19" w:rsidP="00D71BBE">
            <w:pPr>
              <w:jc w:val="right"/>
              <w:rPr>
                <w:rFonts w:ascii="Arial" w:hAnsi="Arial" w:cs="Arial"/>
                <w:color w:val="000000"/>
                <w:sz w:val="19"/>
                <w:szCs w:val="19"/>
                <w:lang w:val="en-GB" w:bidi="ne-NP"/>
              </w:rPr>
            </w:pPr>
            <w:r w:rsidRPr="00D71BBE">
              <w:rPr>
                <w:rFonts w:ascii="Arial" w:hAnsi="Arial" w:cs="Arial"/>
                <w:color w:val="000000"/>
                <w:sz w:val="19"/>
                <w:szCs w:val="19"/>
                <w:lang w:val="en-GB" w:bidi="ne-NP"/>
              </w:rPr>
              <w:t> </w:t>
            </w:r>
          </w:p>
        </w:tc>
        <w:tc>
          <w:tcPr>
            <w:tcW w:w="1239" w:type="dxa"/>
            <w:noWrap/>
            <w:vAlign w:val="center"/>
            <w:hideMark/>
          </w:tcPr>
          <w:p w14:paraId="30049B1D" w14:textId="77777777" w:rsidR="00DB6F19" w:rsidRPr="00D71BBE" w:rsidRDefault="00DB6F19" w:rsidP="00D71BBE">
            <w:pPr>
              <w:jc w:val="right"/>
              <w:rPr>
                <w:rFonts w:ascii="Arial" w:hAnsi="Arial" w:cs="Arial"/>
                <w:color w:val="000000"/>
                <w:sz w:val="19"/>
                <w:szCs w:val="19"/>
                <w:lang w:val="en-GB" w:bidi="ne-NP"/>
              </w:rPr>
            </w:pPr>
            <w:r w:rsidRPr="00D71BBE">
              <w:rPr>
                <w:rFonts w:ascii="Arial" w:hAnsi="Arial" w:cs="Arial"/>
                <w:color w:val="000000"/>
                <w:sz w:val="19"/>
                <w:szCs w:val="19"/>
                <w:lang w:val="en-GB" w:bidi="ne-NP"/>
              </w:rPr>
              <w:t> </w:t>
            </w:r>
          </w:p>
        </w:tc>
        <w:tc>
          <w:tcPr>
            <w:tcW w:w="1217" w:type="dxa"/>
            <w:noWrap/>
            <w:vAlign w:val="center"/>
            <w:hideMark/>
          </w:tcPr>
          <w:p w14:paraId="3BBF8785" w14:textId="77777777" w:rsidR="00DB6F19" w:rsidRPr="00D71BBE" w:rsidRDefault="00DB6F19" w:rsidP="00D71BBE">
            <w:pPr>
              <w:jc w:val="right"/>
              <w:rPr>
                <w:rFonts w:ascii="Arial" w:hAnsi="Arial" w:cs="Arial"/>
                <w:color w:val="000000"/>
                <w:sz w:val="19"/>
                <w:szCs w:val="19"/>
                <w:lang w:val="en-GB" w:bidi="ne-NP"/>
              </w:rPr>
            </w:pPr>
            <w:r w:rsidRPr="00D71BBE">
              <w:rPr>
                <w:rFonts w:ascii="Arial" w:hAnsi="Arial" w:cs="Arial"/>
                <w:color w:val="000000"/>
                <w:sz w:val="19"/>
                <w:szCs w:val="19"/>
                <w:lang w:val="en-GB" w:bidi="ne-NP"/>
              </w:rPr>
              <w:t> </w:t>
            </w:r>
          </w:p>
        </w:tc>
        <w:tc>
          <w:tcPr>
            <w:tcW w:w="1217" w:type="dxa"/>
            <w:noWrap/>
            <w:vAlign w:val="center"/>
            <w:hideMark/>
          </w:tcPr>
          <w:p w14:paraId="3DBEC6F1" w14:textId="77777777" w:rsidR="00DB6F19" w:rsidRPr="00D71BBE" w:rsidRDefault="00DB6F19" w:rsidP="00D71BBE">
            <w:pPr>
              <w:jc w:val="right"/>
              <w:rPr>
                <w:rFonts w:ascii="Arial" w:hAnsi="Arial" w:cs="Arial"/>
                <w:color w:val="000000"/>
                <w:sz w:val="19"/>
                <w:szCs w:val="19"/>
                <w:lang w:val="en-GB" w:bidi="ne-NP"/>
              </w:rPr>
            </w:pPr>
            <w:r w:rsidRPr="00D71BBE">
              <w:rPr>
                <w:rFonts w:ascii="Arial" w:hAnsi="Arial" w:cs="Arial"/>
                <w:color w:val="000000"/>
                <w:sz w:val="19"/>
                <w:szCs w:val="19"/>
                <w:lang w:val="en-GB" w:bidi="ne-NP"/>
              </w:rPr>
              <w:t> </w:t>
            </w:r>
          </w:p>
        </w:tc>
        <w:tc>
          <w:tcPr>
            <w:tcW w:w="1239" w:type="dxa"/>
            <w:noWrap/>
            <w:vAlign w:val="center"/>
            <w:hideMark/>
          </w:tcPr>
          <w:p w14:paraId="5AE2EC48" w14:textId="77777777" w:rsidR="00DB6F19" w:rsidRPr="00D71BBE" w:rsidRDefault="00DB6F19" w:rsidP="00D71BBE">
            <w:pPr>
              <w:jc w:val="right"/>
              <w:rPr>
                <w:rFonts w:ascii="Arial" w:hAnsi="Arial" w:cs="Arial"/>
                <w:color w:val="000000"/>
                <w:sz w:val="19"/>
                <w:szCs w:val="19"/>
                <w:lang w:val="en-GB" w:bidi="ne-NP"/>
              </w:rPr>
            </w:pPr>
            <w:r w:rsidRPr="00D71BBE">
              <w:rPr>
                <w:rFonts w:ascii="Arial" w:hAnsi="Arial" w:cs="Arial"/>
                <w:color w:val="000000"/>
                <w:sz w:val="19"/>
                <w:szCs w:val="19"/>
                <w:lang w:val="en-GB" w:bidi="ne-NP"/>
              </w:rPr>
              <w:t> </w:t>
            </w:r>
          </w:p>
        </w:tc>
        <w:tc>
          <w:tcPr>
            <w:tcW w:w="1239" w:type="dxa"/>
            <w:noWrap/>
            <w:vAlign w:val="center"/>
            <w:hideMark/>
          </w:tcPr>
          <w:p w14:paraId="4E8F731A" w14:textId="77777777" w:rsidR="00DB6F19" w:rsidRPr="00D71BBE" w:rsidRDefault="00DB6F19" w:rsidP="00D71BBE">
            <w:pPr>
              <w:jc w:val="right"/>
              <w:rPr>
                <w:rFonts w:ascii="Arial" w:hAnsi="Arial" w:cs="Arial"/>
                <w:color w:val="000000"/>
                <w:sz w:val="19"/>
                <w:szCs w:val="19"/>
                <w:lang w:val="en-GB" w:bidi="ne-NP"/>
              </w:rPr>
            </w:pPr>
            <w:r w:rsidRPr="00D71BBE">
              <w:rPr>
                <w:rFonts w:ascii="Arial" w:hAnsi="Arial" w:cs="Arial"/>
                <w:color w:val="000000"/>
                <w:sz w:val="19"/>
                <w:szCs w:val="19"/>
                <w:lang w:val="en-GB" w:bidi="ne-NP"/>
              </w:rPr>
              <w:t> </w:t>
            </w:r>
          </w:p>
        </w:tc>
      </w:tr>
      <w:tr w:rsidR="00DB6F19" w:rsidRPr="00D71BBE" w14:paraId="3AD81A84" w14:textId="77777777" w:rsidTr="00D71BBE">
        <w:trPr>
          <w:trHeight w:val="315"/>
        </w:trPr>
        <w:tc>
          <w:tcPr>
            <w:tcW w:w="3781" w:type="dxa"/>
            <w:noWrap/>
            <w:hideMark/>
          </w:tcPr>
          <w:p w14:paraId="50AAA935" w14:textId="77777777" w:rsidR="00DB6F19" w:rsidRPr="00D71BBE" w:rsidRDefault="00DB6F19" w:rsidP="00DB6F19">
            <w:pPr>
              <w:rPr>
                <w:rFonts w:ascii="Arial" w:hAnsi="Arial" w:cs="Arial"/>
                <w:b/>
                <w:bCs/>
                <w:color w:val="000000"/>
                <w:sz w:val="19"/>
                <w:szCs w:val="19"/>
                <w:lang w:val="en-GB" w:bidi="ne-NP"/>
              </w:rPr>
            </w:pPr>
            <w:r w:rsidRPr="00D71BBE">
              <w:rPr>
                <w:rFonts w:ascii="Arial" w:hAnsi="Arial" w:cs="Arial"/>
                <w:b/>
                <w:bCs/>
                <w:color w:val="000000"/>
                <w:sz w:val="19"/>
                <w:szCs w:val="19"/>
                <w:lang w:val="en-GB" w:bidi="ne-NP"/>
              </w:rPr>
              <w:t>Expenses</w:t>
            </w:r>
          </w:p>
        </w:tc>
        <w:tc>
          <w:tcPr>
            <w:tcW w:w="1239" w:type="dxa"/>
            <w:noWrap/>
            <w:vAlign w:val="center"/>
            <w:hideMark/>
          </w:tcPr>
          <w:p w14:paraId="3E2A3749" w14:textId="77777777" w:rsidR="00DB6F19" w:rsidRPr="00D71BBE" w:rsidRDefault="00DB6F19" w:rsidP="00D71BBE">
            <w:pPr>
              <w:jc w:val="right"/>
              <w:rPr>
                <w:rFonts w:ascii="Arial" w:hAnsi="Arial" w:cs="Arial"/>
                <w:color w:val="000000"/>
                <w:sz w:val="19"/>
                <w:szCs w:val="19"/>
                <w:lang w:val="en-GB" w:bidi="ne-NP"/>
              </w:rPr>
            </w:pPr>
            <w:r w:rsidRPr="00D71BBE">
              <w:rPr>
                <w:rFonts w:ascii="Arial" w:hAnsi="Arial" w:cs="Arial"/>
                <w:color w:val="000000"/>
                <w:sz w:val="19"/>
                <w:szCs w:val="19"/>
                <w:lang w:val="en-GB" w:bidi="ne-NP"/>
              </w:rPr>
              <w:t> </w:t>
            </w:r>
          </w:p>
        </w:tc>
        <w:tc>
          <w:tcPr>
            <w:tcW w:w="1239" w:type="dxa"/>
            <w:noWrap/>
            <w:vAlign w:val="center"/>
            <w:hideMark/>
          </w:tcPr>
          <w:p w14:paraId="7497CDF9" w14:textId="77777777" w:rsidR="00DB6F19" w:rsidRPr="00D71BBE" w:rsidRDefault="00DB6F19" w:rsidP="00D71BBE">
            <w:pPr>
              <w:jc w:val="right"/>
              <w:rPr>
                <w:rFonts w:ascii="Arial" w:hAnsi="Arial" w:cs="Arial"/>
                <w:color w:val="000000"/>
                <w:sz w:val="19"/>
                <w:szCs w:val="19"/>
                <w:lang w:val="en-GB" w:bidi="ne-NP"/>
              </w:rPr>
            </w:pPr>
            <w:r w:rsidRPr="00D71BBE">
              <w:rPr>
                <w:rFonts w:ascii="Arial" w:hAnsi="Arial" w:cs="Arial"/>
                <w:color w:val="000000"/>
                <w:sz w:val="19"/>
                <w:szCs w:val="19"/>
                <w:lang w:val="en-GB" w:bidi="ne-NP"/>
              </w:rPr>
              <w:t> </w:t>
            </w:r>
          </w:p>
        </w:tc>
        <w:tc>
          <w:tcPr>
            <w:tcW w:w="1217" w:type="dxa"/>
            <w:noWrap/>
            <w:vAlign w:val="center"/>
            <w:hideMark/>
          </w:tcPr>
          <w:p w14:paraId="7EC5BD38" w14:textId="77777777" w:rsidR="00DB6F19" w:rsidRPr="00D71BBE" w:rsidRDefault="00DB6F19" w:rsidP="00D71BBE">
            <w:pPr>
              <w:jc w:val="right"/>
              <w:rPr>
                <w:rFonts w:ascii="Arial" w:hAnsi="Arial" w:cs="Arial"/>
                <w:color w:val="000000"/>
                <w:sz w:val="19"/>
                <w:szCs w:val="19"/>
                <w:lang w:val="en-GB" w:bidi="ne-NP"/>
              </w:rPr>
            </w:pPr>
            <w:r w:rsidRPr="00D71BBE">
              <w:rPr>
                <w:rFonts w:ascii="Arial" w:hAnsi="Arial" w:cs="Arial"/>
                <w:color w:val="000000"/>
                <w:sz w:val="19"/>
                <w:szCs w:val="19"/>
                <w:lang w:val="en-GB" w:bidi="ne-NP"/>
              </w:rPr>
              <w:t> </w:t>
            </w:r>
          </w:p>
        </w:tc>
        <w:tc>
          <w:tcPr>
            <w:tcW w:w="1217" w:type="dxa"/>
            <w:noWrap/>
            <w:vAlign w:val="center"/>
            <w:hideMark/>
          </w:tcPr>
          <w:p w14:paraId="02F8FF9D" w14:textId="77777777" w:rsidR="00DB6F19" w:rsidRPr="00D71BBE" w:rsidRDefault="00DB6F19" w:rsidP="00D71BBE">
            <w:pPr>
              <w:jc w:val="right"/>
              <w:rPr>
                <w:rFonts w:ascii="Arial" w:hAnsi="Arial" w:cs="Arial"/>
                <w:color w:val="000000"/>
                <w:sz w:val="19"/>
                <w:szCs w:val="19"/>
                <w:lang w:val="en-GB" w:bidi="ne-NP"/>
              </w:rPr>
            </w:pPr>
            <w:r w:rsidRPr="00D71BBE">
              <w:rPr>
                <w:rFonts w:ascii="Arial" w:hAnsi="Arial" w:cs="Arial"/>
                <w:color w:val="000000"/>
                <w:sz w:val="19"/>
                <w:szCs w:val="19"/>
                <w:lang w:val="en-GB" w:bidi="ne-NP"/>
              </w:rPr>
              <w:t> </w:t>
            </w:r>
          </w:p>
        </w:tc>
        <w:tc>
          <w:tcPr>
            <w:tcW w:w="1239" w:type="dxa"/>
            <w:noWrap/>
            <w:vAlign w:val="center"/>
            <w:hideMark/>
          </w:tcPr>
          <w:p w14:paraId="2572DDAA" w14:textId="77777777" w:rsidR="00DB6F19" w:rsidRPr="00D71BBE" w:rsidRDefault="00DB6F19" w:rsidP="00D71BBE">
            <w:pPr>
              <w:jc w:val="right"/>
              <w:rPr>
                <w:rFonts w:ascii="Arial" w:hAnsi="Arial" w:cs="Arial"/>
                <w:color w:val="000000"/>
                <w:sz w:val="19"/>
                <w:szCs w:val="19"/>
                <w:lang w:val="en-GB" w:bidi="ne-NP"/>
              </w:rPr>
            </w:pPr>
            <w:r w:rsidRPr="00D71BBE">
              <w:rPr>
                <w:rFonts w:ascii="Arial" w:hAnsi="Arial" w:cs="Arial"/>
                <w:color w:val="000000"/>
                <w:sz w:val="19"/>
                <w:szCs w:val="19"/>
                <w:lang w:val="en-GB" w:bidi="ne-NP"/>
              </w:rPr>
              <w:t> </w:t>
            </w:r>
          </w:p>
        </w:tc>
        <w:tc>
          <w:tcPr>
            <w:tcW w:w="1239" w:type="dxa"/>
            <w:noWrap/>
            <w:vAlign w:val="center"/>
            <w:hideMark/>
          </w:tcPr>
          <w:p w14:paraId="42AE7C01" w14:textId="77777777" w:rsidR="00DB6F19" w:rsidRPr="00D71BBE" w:rsidRDefault="00DB6F19" w:rsidP="00D71BBE">
            <w:pPr>
              <w:jc w:val="right"/>
              <w:rPr>
                <w:rFonts w:ascii="Arial" w:hAnsi="Arial" w:cs="Arial"/>
                <w:color w:val="000000"/>
                <w:sz w:val="19"/>
                <w:szCs w:val="19"/>
                <w:lang w:val="en-GB" w:bidi="ne-NP"/>
              </w:rPr>
            </w:pPr>
            <w:r w:rsidRPr="00D71BBE">
              <w:rPr>
                <w:rFonts w:ascii="Arial" w:hAnsi="Arial" w:cs="Arial"/>
                <w:color w:val="000000"/>
                <w:sz w:val="19"/>
                <w:szCs w:val="19"/>
                <w:lang w:val="en-GB" w:bidi="ne-NP"/>
              </w:rPr>
              <w:t> </w:t>
            </w:r>
          </w:p>
        </w:tc>
      </w:tr>
      <w:tr w:rsidR="00DB6F19" w:rsidRPr="00D71BBE" w14:paraId="783A9BE1" w14:textId="77777777" w:rsidTr="00D71BBE">
        <w:trPr>
          <w:trHeight w:val="315"/>
        </w:trPr>
        <w:tc>
          <w:tcPr>
            <w:tcW w:w="3781" w:type="dxa"/>
            <w:noWrap/>
            <w:hideMark/>
          </w:tcPr>
          <w:p w14:paraId="0F7DFFDD" w14:textId="77777777" w:rsidR="00DB6F19" w:rsidRPr="00D71BBE" w:rsidRDefault="00DB6F19" w:rsidP="00DB6F19">
            <w:pPr>
              <w:tabs>
                <w:tab w:val="left" w:pos="142"/>
              </w:tabs>
              <w:rPr>
                <w:rFonts w:ascii="Arial" w:hAnsi="Arial" w:cs="Arial"/>
                <w:bCs/>
                <w:iCs/>
                <w:color w:val="000000"/>
                <w:sz w:val="19"/>
                <w:szCs w:val="19"/>
                <w:lang w:val="en-GB" w:bidi="ne-NP"/>
              </w:rPr>
            </w:pPr>
            <w:r w:rsidRPr="00D71BBE">
              <w:rPr>
                <w:rFonts w:ascii="Arial" w:hAnsi="Arial" w:cs="Arial"/>
                <w:bCs/>
                <w:iCs/>
                <w:color w:val="000000"/>
                <w:sz w:val="19"/>
                <w:szCs w:val="19"/>
                <w:lang w:val="en-GB" w:bidi="ne-NP"/>
              </w:rPr>
              <w:tab/>
              <w:t>Program services</w:t>
            </w:r>
          </w:p>
        </w:tc>
        <w:tc>
          <w:tcPr>
            <w:tcW w:w="1239" w:type="dxa"/>
            <w:noWrap/>
            <w:vAlign w:val="center"/>
            <w:hideMark/>
          </w:tcPr>
          <w:p w14:paraId="6FCD86D1" w14:textId="77777777" w:rsidR="00DB6F19" w:rsidRPr="00D71BBE" w:rsidRDefault="00DB6F19" w:rsidP="00D71BBE">
            <w:pPr>
              <w:jc w:val="right"/>
              <w:rPr>
                <w:rFonts w:ascii="Arial" w:hAnsi="Arial" w:cs="Arial"/>
                <w:color w:val="000000"/>
                <w:sz w:val="19"/>
                <w:szCs w:val="19"/>
                <w:lang w:val="en-GB" w:bidi="ne-NP"/>
              </w:rPr>
            </w:pPr>
            <w:r w:rsidRPr="00D71BBE">
              <w:rPr>
                <w:rFonts w:ascii="Arial" w:hAnsi="Arial" w:cs="Arial"/>
                <w:color w:val="000000"/>
                <w:sz w:val="19"/>
                <w:szCs w:val="19"/>
                <w:lang w:val="en-GB" w:bidi="ne-NP"/>
              </w:rPr>
              <w:t xml:space="preserve">25,772,037 </w:t>
            </w:r>
          </w:p>
        </w:tc>
        <w:tc>
          <w:tcPr>
            <w:tcW w:w="1239" w:type="dxa"/>
            <w:noWrap/>
            <w:vAlign w:val="center"/>
            <w:hideMark/>
          </w:tcPr>
          <w:p w14:paraId="3AB9EF58" w14:textId="77777777" w:rsidR="00DB6F19" w:rsidRPr="00D71BBE" w:rsidRDefault="00DB6F19" w:rsidP="00D71BBE">
            <w:pPr>
              <w:jc w:val="right"/>
              <w:rPr>
                <w:rFonts w:ascii="Arial" w:hAnsi="Arial" w:cs="Arial"/>
                <w:color w:val="000000"/>
                <w:sz w:val="19"/>
                <w:szCs w:val="19"/>
                <w:lang w:val="en-GB" w:bidi="ne-NP"/>
              </w:rPr>
            </w:pPr>
            <w:r w:rsidRPr="00D71BBE">
              <w:rPr>
                <w:rFonts w:ascii="Arial" w:hAnsi="Arial" w:cs="Arial"/>
                <w:color w:val="000000"/>
                <w:sz w:val="19"/>
                <w:szCs w:val="19"/>
                <w:lang w:val="en-GB" w:bidi="ne-NP"/>
              </w:rPr>
              <w:t xml:space="preserve">23,440,597 </w:t>
            </w:r>
          </w:p>
        </w:tc>
        <w:tc>
          <w:tcPr>
            <w:tcW w:w="1217" w:type="dxa"/>
            <w:noWrap/>
            <w:vAlign w:val="center"/>
            <w:hideMark/>
          </w:tcPr>
          <w:p w14:paraId="0A1FE0B5" w14:textId="77777777" w:rsidR="00DB6F19" w:rsidRPr="00D71BBE" w:rsidRDefault="00DB6F19" w:rsidP="00D71BBE">
            <w:pPr>
              <w:jc w:val="right"/>
              <w:rPr>
                <w:rFonts w:ascii="Arial" w:hAnsi="Arial" w:cs="Arial"/>
                <w:color w:val="000000"/>
                <w:sz w:val="19"/>
                <w:szCs w:val="19"/>
                <w:lang w:val="en-GB" w:bidi="ne-NP"/>
              </w:rPr>
            </w:pPr>
            <w:r w:rsidRPr="00D71BBE">
              <w:rPr>
                <w:rFonts w:ascii="Arial" w:hAnsi="Arial" w:cs="Arial"/>
                <w:color w:val="000000"/>
                <w:sz w:val="19"/>
                <w:szCs w:val="19"/>
                <w:lang w:val="en-GB" w:bidi="ne-NP"/>
              </w:rPr>
              <w:t xml:space="preserve">26,410,580 </w:t>
            </w:r>
          </w:p>
        </w:tc>
        <w:tc>
          <w:tcPr>
            <w:tcW w:w="1217" w:type="dxa"/>
            <w:noWrap/>
            <w:vAlign w:val="center"/>
            <w:hideMark/>
          </w:tcPr>
          <w:p w14:paraId="03FC3C26" w14:textId="77777777" w:rsidR="00DB6F19" w:rsidRPr="00D71BBE" w:rsidRDefault="00DB6F19" w:rsidP="00D71BBE">
            <w:pPr>
              <w:jc w:val="right"/>
              <w:rPr>
                <w:rFonts w:ascii="Arial" w:hAnsi="Arial" w:cs="Arial"/>
                <w:color w:val="000000"/>
                <w:sz w:val="19"/>
                <w:szCs w:val="19"/>
                <w:lang w:val="en-GB" w:bidi="ne-NP"/>
              </w:rPr>
            </w:pPr>
            <w:r w:rsidRPr="00D71BBE">
              <w:rPr>
                <w:rFonts w:ascii="Arial" w:hAnsi="Arial" w:cs="Arial"/>
                <w:color w:val="000000"/>
                <w:sz w:val="19"/>
                <w:szCs w:val="19"/>
                <w:lang w:val="en-GB" w:bidi="ne-NP"/>
              </w:rPr>
              <w:t xml:space="preserve">29,432,438 </w:t>
            </w:r>
          </w:p>
        </w:tc>
        <w:tc>
          <w:tcPr>
            <w:tcW w:w="1239" w:type="dxa"/>
            <w:noWrap/>
            <w:vAlign w:val="center"/>
            <w:hideMark/>
          </w:tcPr>
          <w:p w14:paraId="7E9C40B6" w14:textId="77777777" w:rsidR="00DB6F19" w:rsidRPr="00D71BBE" w:rsidRDefault="00DB6F19" w:rsidP="00D71BBE">
            <w:pPr>
              <w:jc w:val="right"/>
              <w:rPr>
                <w:rFonts w:ascii="Arial" w:hAnsi="Arial" w:cs="Arial"/>
                <w:color w:val="000000"/>
                <w:sz w:val="19"/>
                <w:szCs w:val="19"/>
                <w:lang w:val="en-GB" w:bidi="ne-NP"/>
              </w:rPr>
            </w:pPr>
            <w:r w:rsidRPr="00D71BBE">
              <w:rPr>
                <w:rFonts w:ascii="Arial" w:hAnsi="Arial" w:cs="Arial"/>
                <w:color w:val="000000"/>
                <w:sz w:val="19"/>
                <w:szCs w:val="19"/>
                <w:lang w:val="en-GB" w:bidi="ne-NP"/>
              </w:rPr>
              <w:t xml:space="preserve">34,420,107 </w:t>
            </w:r>
          </w:p>
        </w:tc>
        <w:tc>
          <w:tcPr>
            <w:tcW w:w="1239" w:type="dxa"/>
            <w:noWrap/>
            <w:vAlign w:val="center"/>
            <w:hideMark/>
          </w:tcPr>
          <w:p w14:paraId="4B6B8E30" w14:textId="77777777" w:rsidR="00DB6F19" w:rsidRPr="00D71BBE" w:rsidRDefault="00DB6F19" w:rsidP="00D71BBE">
            <w:pPr>
              <w:jc w:val="right"/>
              <w:rPr>
                <w:rFonts w:ascii="Arial" w:hAnsi="Arial" w:cs="Arial"/>
                <w:color w:val="000000"/>
                <w:sz w:val="19"/>
                <w:szCs w:val="19"/>
                <w:lang w:val="en-GB" w:bidi="ne-NP"/>
              </w:rPr>
            </w:pPr>
            <w:r w:rsidRPr="00D71BBE">
              <w:rPr>
                <w:rFonts w:ascii="Arial" w:hAnsi="Arial" w:cs="Arial"/>
                <w:color w:val="000000"/>
                <w:sz w:val="19"/>
                <w:szCs w:val="19"/>
                <w:lang w:val="en-GB" w:bidi="ne-NP"/>
              </w:rPr>
              <w:t xml:space="preserve">39,207,355 </w:t>
            </w:r>
          </w:p>
        </w:tc>
      </w:tr>
      <w:tr w:rsidR="00DB6F19" w:rsidRPr="00D71BBE" w14:paraId="121C3BDA" w14:textId="77777777" w:rsidTr="00D71BBE">
        <w:trPr>
          <w:trHeight w:val="315"/>
        </w:trPr>
        <w:tc>
          <w:tcPr>
            <w:tcW w:w="3781" w:type="dxa"/>
            <w:noWrap/>
            <w:hideMark/>
          </w:tcPr>
          <w:p w14:paraId="7B7AFBC6" w14:textId="77777777" w:rsidR="00DB6F19" w:rsidRPr="00D71BBE" w:rsidRDefault="00DB6F19" w:rsidP="00DB6F19">
            <w:pPr>
              <w:tabs>
                <w:tab w:val="left" w:pos="142"/>
              </w:tabs>
              <w:rPr>
                <w:rFonts w:ascii="Arial" w:hAnsi="Arial" w:cs="Arial"/>
                <w:bCs/>
                <w:iCs/>
                <w:color w:val="000000"/>
                <w:sz w:val="19"/>
                <w:szCs w:val="19"/>
                <w:lang w:val="en-GB" w:bidi="ne-NP"/>
              </w:rPr>
            </w:pPr>
            <w:r w:rsidRPr="00D71BBE">
              <w:rPr>
                <w:rFonts w:ascii="Arial" w:hAnsi="Arial" w:cs="Arial"/>
                <w:bCs/>
                <w:iCs/>
                <w:color w:val="000000"/>
                <w:sz w:val="19"/>
                <w:szCs w:val="19"/>
                <w:lang w:val="en-GB" w:bidi="ne-NP"/>
              </w:rPr>
              <w:tab/>
              <w:t>Supporting services</w:t>
            </w:r>
          </w:p>
        </w:tc>
        <w:tc>
          <w:tcPr>
            <w:tcW w:w="1239" w:type="dxa"/>
            <w:noWrap/>
            <w:vAlign w:val="center"/>
            <w:hideMark/>
          </w:tcPr>
          <w:p w14:paraId="3819D0A5" w14:textId="77777777" w:rsidR="00DB6F19" w:rsidRPr="00D71BBE" w:rsidRDefault="00DB6F19" w:rsidP="00D71BBE">
            <w:pPr>
              <w:jc w:val="right"/>
              <w:rPr>
                <w:rFonts w:ascii="Arial" w:hAnsi="Arial" w:cs="Arial"/>
                <w:color w:val="000000"/>
                <w:sz w:val="19"/>
                <w:szCs w:val="19"/>
                <w:lang w:val="en-GB" w:bidi="ne-NP"/>
              </w:rPr>
            </w:pPr>
            <w:r w:rsidRPr="00D71BBE">
              <w:rPr>
                <w:rFonts w:ascii="Arial" w:hAnsi="Arial" w:cs="Arial"/>
                <w:color w:val="000000"/>
                <w:sz w:val="19"/>
                <w:szCs w:val="19"/>
                <w:lang w:val="en-GB" w:bidi="ne-NP"/>
              </w:rPr>
              <w:t xml:space="preserve">7,227,082 </w:t>
            </w:r>
          </w:p>
        </w:tc>
        <w:tc>
          <w:tcPr>
            <w:tcW w:w="1239" w:type="dxa"/>
            <w:noWrap/>
            <w:vAlign w:val="center"/>
            <w:hideMark/>
          </w:tcPr>
          <w:p w14:paraId="51660B34" w14:textId="77777777" w:rsidR="00DB6F19" w:rsidRPr="00D71BBE" w:rsidRDefault="00DB6F19" w:rsidP="00D71BBE">
            <w:pPr>
              <w:jc w:val="right"/>
              <w:rPr>
                <w:rFonts w:ascii="Arial" w:hAnsi="Arial" w:cs="Arial"/>
                <w:color w:val="000000"/>
                <w:sz w:val="19"/>
                <w:szCs w:val="19"/>
                <w:lang w:val="en-GB" w:bidi="ne-NP"/>
              </w:rPr>
            </w:pPr>
            <w:r w:rsidRPr="00D71BBE">
              <w:rPr>
                <w:rFonts w:ascii="Arial" w:hAnsi="Arial" w:cs="Arial"/>
                <w:color w:val="000000"/>
                <w:sz w:val="19"/>
                <w:szCs w:val="19"/>
                <w:lang w:val="en-GB" w:bidi="ne-NP"/>
              </w:rPr>
              <w:t xml:space="preserve">6,141,606 </w:t>
            </w:r>
          </w:p>
        </w:tc>
        <w:tc>
          <w:tcPr>
            <w:tcW w:w="1217" w:type="dxa"/>
            <w:noWrap/>
            <w:vAlign w:val="center"/>
            <w:hideMark/>
          </w:tcPr>
          <w:p w14:paraId="52C8ABBF" w14:textId="77777777" w:rsidR="00DB6F19" w:rsidRPr="00D71BBE" w:rsidRDefault="00DB6F19" w:rsidP="00D71BBE">
            <w:pPr>
              <w:jc w:val="right"/>
              <w:rPr>
                <w:rFonts w:ascii="Arial" w:hAnsi="Arial" w:cs="Arial"/>
                <w:color w:val="000000"/>
                <w:sz w:val="19"/>
                <w:szCs w:val="19"/>
                <w:lang w:val="en-GB" w:bidi="ne-NP"/>
              </w:rPr>
            </w:pPr>
            <w:r w:rsidRPr="00D71BBE">
              <w:rPr>
                <w:rFonts w:ascii="Arial" w:hAnsi="Arial" w:cs="Arial"/>
                <w:color w:val="000000"/>
                <w:sz w:val="19"/>
                <w:szCs w:val="19"/>
                <w:lang w:val="en-GB" w:bidi="ne-NP"/>
              </w:rPr>
              <w:t xml:space="preserve">4,899,522 </w:t>
            </w:r>
          </w:p>
        </w:tc>
        <w:tc>
          <w:tcPr>
            <w:tcW w:w="1217" w:type="dxa"/>
            <w:noWrap/>
            <w:vAlign w:val="center"/>
            <w:hideMark/>
          </w:tcPr>
          <w:p w14:paraId="7771A0C4" w14:textId="77777777" w:rsidR="00DB6F19" w:rsidRPr="00D71BBE" w:rsidRDefault="00DB6F19" w:rsidP="00D71BBE">
            <w:pPr>
              <w:jc w:val="right"/>
              <w:rPr>
                <w:rFonts w:ascii="Arial" w:hAnsi="Arial" w:cs="Arial"/>
                <w:color w:val="000000"/>
                <w:sz w:val="19"/>
                <w:szCs w:val="19"/>
                <w:lang w:val="en-GB" w:bidi="ne-NP"/>
              </w:rPr>
            </w:pPr>
            <w:r w:rsidRPr="00D71BBE">
              <w:rPr>
                <w:rFonts w:ascii="Arial" w:hAnsi="Arial" w:cs="Arial"/>
                <w:color w:val="000000"/>
                <w:sz w:val="19"/>
                <w:szCs w:val="19"/>
                <w:lang w:val="en-GB" w:bidi="ne-NP"/>
              </w:rPr>
              <w:t xml:space="preserve">4,663,453 </w:t>
            </w:r>
          </w:p>
        </w:tc>
        <w:tc>
          <w:tcPr>
            <w:tcW w:w="1239" w:type="dxa"/>
            <w:noWrap/>
            <w:vAlign w:val="center"/>
            <w:hideMark/>
          </w:tcPr>
          <w:p w14:paraId="5D316BFF" w14:textId="77777777" w:rsidR="00DB6F19" w:rsidRPr="00D71BBE" w:rsidRDefault="00DB6F19" w:rsidP="00D71BBE">
            <w:pPr>
              <w:jc w:val="right"/>
              <w:rPr>
                <w:rFonts w:ascii="Arial" w:hAnsi="Arial" w:cs="Arial"/>
                <w:color w:val="000000"/>
                <w:sz w:val="19"/>
                <w:szCs w:val="19"/>
                <w:lang w:val="en-GB" w:bidi="ne-NP"/>
              </w:rPr>
            </w:pPr>
            <w:r w:rsidRPr="00D71BBE">
              <w:rPr>
                <w:rFonts w:ascii="Arial" w:hAnsi="Arial" w:cs="Arial"/>
                <w:color w:val="000000"/>
                <w:sz w:val="19"/>
                <w:szCs w:val="19"/>
                <w:lang w:val="en-GB" w:bidi="ne-NP"/>
              </w:rPr>
              <w:t xml:space="preserve">5,558,885 </w:t>
            </w:r>
          </w:p>
        </w:tc>
        <w:tc>
          <w:tcPr>
            <w:tcW w:w="1239" w:type="dxa"/>
            <w:noWrap/>
            <w:vAlign w:val="center"/>
            <w:hideMark/>
          </w:tcPr>
          <w:p w14:paraId="4C090BF3" w14:textId="77777777" w:rsidR="00DB6F19" w:rsidRPr="00D71BBE" w:rsidRDefault="00DB6F19" w:rsidP="00D71BBE">
            <w:pPr>
              <w:jc w:val="right"/>
              <w:rPr>
                <w:rFonts w:ascii="Arial" w:hAnsi="Arial" w:cs="Arial"/>
                <w:color w:val="000000"/>
                <w:sz w:val="19"/>
                <w:szCs w:val="19"/>
                <w:lang w:val="en-GB" w:bidi="ne-NP"/>
              </w:rPr>
            </w:pPr>
            <w:r w:rsidRPr="00D71BBE">
              <w:rPr>
                <w:rFonts w:ascii="Arial" w:hAnsi="Arial" w:cs="Arial"/>
                <w:color w:val="000000"/>
                <w:sz w:val="19"/>
                <w:szCs w:val="19"/>
                <w:lang w:val="en-GB" w:bidi="ne-NP"/>
              </w:rPr>
              <w:t xml:space="preserve">6,172,467 </w:t>
            </w:r>
          </w:p>
        </w:tc>
      </w:tr>
      <w:tr w:rsidR="00DB6F19" w:rsidRPr="00D71BBE" w14:paraId="66AD37E6" w14:textId="77777777" w:rsidTr="00D71BBE">
        <w:trPr>
          <w:trHeight w:val="315"/>
        </w:trPr>
        <w:tc>
          <w:tcPr>
            <w:tcW w:w="3781" w:type="dxa"/>
            <w:noWrap/>
            <w:hideMark/>
          </w:tcPr>
          <w:p w14:paraId="6030D41D" w14:textId="77777777" w:rsidR="00DB6F19" w:rsidRPr="00D71BBE" w:rsidRDefault="00DB6F19" w:rsidP="00DB6F19">
            <w:pPr>
              <w:tabs>
                <w:tab w:val="left" w:pos="142"/>
              </w:tabs>
              <w:rPr>
                <w:rFonts w:ascii="Arial" w:hAnsi="Arial" w:cs="Arial"/>
                <w:bCs/>
                <w:iCs/>
                <w:color w:val="000000"/>
                <w:sz w:val="19"/>
                <w:szCs w:val="19"/>
                <w:lang w:val="en-GB" w:bidi="ne-NP"/>
              </w:rPr>
            </w:pPr>
            <w:r w:rsidRPr="00D71BBE">
              <w:rPr>
                <w:rFonts w:ascii="Arial" w:hAnsi="Arial" w:cs="Arial"/>
                <w:bCs/>
                <w:iCs/>
                <w:color w:val="000000"/>
                <w:sz w:val="19"/>
                <w:szCs w:val="19"/>
                <w:lang w:val="en-GB" w:bidi="ne-NP"/>
              </w:rPr>
              <w:tab/>
              <w:t>Net unrealized losses on investments</w:t>
            </w:r>
          </w:p>
        </w:tc>
        <w:tc>
          <w:tcPr>
            <w:tcW w:w="1239" w:type="dxa"/>
            <w:noWrap/>
            <w:vAlign w:val="center"/>
            <w:hideMark/>
          </w:tcPr>
          <w:p w14:paraId="4C464609" w14:textId="77777777" w:rsidR="00DB6F19" w:rsidRPr="00D71BBE" w:rsidRDefault="00DB6F19" w:rsidP="00D71BBE">
            <w:pPr>
              <w:jc w:val="right"/>
              <w:rPr>
                <w:rFonts w:ascii="Arial" w:hAnsi="Arial" w:cs="Arial"/>
                <w:color w:val="000000"/>
                <w:sz w:val="19"/>
                <w:szCs w:val="19"/>
                <w:lang w:val="en-GB" w:bidi="ne-NP"/>
              </w:rPr>
            </w:pPr>
            <w:r w:rsidRPr="00D71BBE">
              <w:rPr>
                <w:rFonts w:ascii="Arial" w:hAnsi="Arial" w:cs="Arial"/>
                <w:color w:val="000000"/>
                <w:sz w:val="19"/>
                <w:szCs w:val="19"/>
                <w:lang w:val="en-GB" w:bidi="ne-NP"/>
              </w:rPr>
              <w:t xml:space="preserve"> – </w:t>
            </w:r>
          </w:p>
        </w:tc>
        <w:tc>
          <w:tcPr>
            <w:tcW w:w="1239" w:type="dxa"/>
            <w:noWrap/>
            <w:vAlign w:val="center"/>
            <w:hideMark/>
          </w:tcPr>
          <w:p w14:paraId="3EF99785" w14:textId="77777777" w:rsidR="00DB6F19" w:rsidRPr="00D71BBE" w:rsidRDefault="00DB6F19" w:rsidP="00D71BBE">
            <w:pPr>
              <w:jc w:val="right"/>
              <w:rPr>
                <w:rFonts w:ascii="Arial" w:hAnsi="Arial" w:cs="Arial"/>
                <w:color w:val="000000"/>
                <w:sz w:val="19"/>
                <w:szCs w:val="19"/>
                <w:lang w:val="en-GB" w:bidi="ne-NP"/>
              </w:rPr>
            </w:pPr>
            <w:r w:rsidRPr="00D71BBE">
              <w:rPr>
                <w:rFonts w:ascii="Arial" w:hAnsi="Arial" w:cs="Arial"/>
                <w:color w:val="000000"/>
                <w:sz w:val="19"/>
                <w:szCs w:val="19"/>
                <w:lang w:val="en-GB" w:bidi="ne-NP"/>
              </w:rPr>
              <w:t>(268,788)</w:t>
            </w:r>
          </w:p>
        </w:tc>
        <w:tc>
          <w:tcPr>
            <w:tcW w:w="1217" w:type="dxa"/>
            <w:noWrap/>
            <w:vAlign w:val="center"/>
            <w:hideMark/>
          </w:tcPr>
          <w:p w14:paraId="08369167" w14:textId="77777777" w:rsidR="00DB6F19" w:rsidRPr="00D71BBE" w:rsidRDefault="00DB6F19" w:rsidP="00D71BBE">
            <w:pPr>
              <w:jc w:val="right"/>
              <w:rPr>
                <w:rFonts w:ascii="Arial" w:hAnsi="Arial" w:cs="Arial"/>
                <w:color w:val="000000"/>
                <w:sz w:val="19"/>
                <w:szCs w:val="19"/>
                <w:lang w:val="en-GB" w:bidi="ne-NP"/>
              </w:rPr>
            </w:pPr>
            <w:r w:rsidRPr="00D71BBE">
              <w:rPr>
                <w:rFonts w:ascii="Arial" w:hAnsi="Arial" w:cs="Arial"/>
                <w:color w:val="000000"/>
                <w:sz w:val="19"/>
                <w:szCs w:val="19"/>
                <w:lang w:val="en-GB" w:bidi="ne-NP"/>
              </w:rPr>
              <w:t xml:space="preserve">87,526 </w:t>
            </w:r>
          </w:p>
        </w:tc>
        <w:tc>
          <w:tcPr>
            <w:tcW w:w="1217" w:type="dxa"/>
            <w:noWrap/>
            <w:vAlign w:val="center"/>
            <w:hideMark/>
          </w:tcPr>
          <w:p w14:paraId="3074C5DB" w14:textId="77777777" w:rsidR="00DB6F19" w:rsidRPr="00D71BBE" w:rsidRDefault="00DB6F19" w:rsidP="00D71BBE">
            <w:pPr>
              <w:jc w:val="right"/>
              <w:rPr>
                <w:rFonts w:ascii="Arial" w:hAnsi="Arial" w:cs="Arial"/>
                <w:color w:val="000000"/>
                <w:sz w:val="19"/>
                <w:szCs w:val="19"/>
                <w:lang w:val="en-GB" w:bidi="ne-NP"/>
              </w:rPr>
            </w:pPr>
            <w:r w:rsidRPr="00D71BBE">
              <w:rPr>
                <w:rFonts w:ascii="Arial" w:hAnsi="Arial" w:cs="Arial"/>
                <w:color w:val="000000"/>
                <w:sz w:val="19"/>
                <w:szCs w:val="19"/>
                <w:lang w:val="en-GB" w:bidi="ne-NP"/>
              </w:rPr>
              <w:t>(84,714)</w:t>
            </w:r>
          </w:p>
        </w:tc>
        <w:tc>
          <w:tcPr>
            <w:tcW w:w="1239" w:type="dxa"/>
            <w:noWrap/>
            <w:vAlign w:val="center"/>
            <w:hideMark/>
          </w:tcPr>
          <w:p w14:paraId="0AD72732" w14:textId="77777777" w:rsidR="00DB6F19" w:rsidRPr="00D71BBE" w:rsidRDefault="00DB6F19" w:rsidP="00D71BBE">
            <w:pPr>
              <w:jc w:val="right"/>
              <w:rPr>
                <w:rFonts w:ascii="Arial" w:hAnsi="Arial" w:cs="Arial"/>
                <w:color w:val="000000"/>
                <w:sz w:val="19"/>
                <w:szCs w:val="19"/>
                <w:lang w:val="en-GB" w:bidi="ne-NP"/>
              </w:rPr>
            </w:pPr>
            <w:r w:rsidRPr="00D71BBE">
              <w:rPr>
                <w:rFonts w:ascii="Arial" w:hAnsi="Arial" w:cs="Arial"/>
                <w:color w:val="000000"/>
                <w:sz w:val="19"/>
                <w:szCs w:val="19"/>
                <w:lang w:val="en-GB" w:bidi="ne-NP"/>
              </w:rPr>
              <w:t>(133,406)</w:t>
            </w:r>
          </w:p>
        </w:tc>
        <w:tc>
          <w:tcPr>
            <w:tcW w:w="1239" w:type="dxa"/>
            <w:noWrap/>
            <w:vAlign w:val="center"/>
            <w:hideMark/>
          </w:tcPr>
          <w:p w14:paraId="7B076B53" w14:textId="77777777" w:rsidR="00DB6F19" w:rsidRPr="00D71BBE" w:rsidRDefault="00DB6F19" w:rsidP="00D71BBE">
            <w:pPr>
              <w:jc w:val="right"/>
              <w:rPr>
                <w:rFonts w:ascii="Arial" w:hAnsi="Arial" w:cs="Arial"/>
                <w:color w:val="000000"/>
                <w:sz w:val="19"/>
                <w:szCs w:val="19"/>
                <w:lang w:val="en-GB" w:bidi="ne-NP"/>
              </w:rPr>
            </w:pPr>
            <w:r w:rsidRPr="00D71BBE">
              <w:rPr>
                <w:rFonts w:ascii="Arial" w:hAnsi="Arial" w:cs="Arial"/>
                <w:color w:val="000000"/>
                <w:sz w:val="19"/>
                <w:szCs w:val="19"/>
                <w:lang w:val="en-GB" w:bidi="ne-NP"/>
              </w:rPr>
              <w:t xml:space="preserve">114,368 </w:t>
            </w:r>
          </w:p>
        </w:tc>
      </w:tr>
      <w:tr w:rsidR="00DB6F19" w:rsidRPr="00D71BBE" w14:paraId="242BD7C8" w14:textId="77777777" w:rsidTr="00D71BBE">
        <w:trPr>
          <w:trHeight w:val="120"/>
        </w:trPr>
        <w:tc>
          <w:tcPr>
            <w:tcW w:w="3781" w:type="dxa"/>
            <w:noWrap/>
            <w:hideMark/>
          </w:tcPr>
          <w:p w14:paraId="1E46705D" w14:textId="77777777" w:rsidR="00DB6F19" w:rsidRPr="00D71BBE" w:rsidRDefault="00DB6F19" w:rsidP="00DB6F19">
            <w:pPr>
              <w:jc w:val="center"/>
              <w:rPr>
                <w:rFonts w:ascii="Arial" w:hAnsi="Arial" w:cs="Arial"/>
                <w:b/>
                <w:bCs/>
                <w:color w:val="000000"/>
                <w:sz w:val="19"/>
                <w:szCs w:val="19"/>
                <w:lang w:val="en-GB" w:bidi="ne-NP"/>
              </w:rPr>
            </w:pPr>
            <w:r w:rsidRPr="00D71BBE">
              <w:rPr>
                <w:rFonts w:ascii="Arial" w:hAnsi="Arial" w:cs="Arial"/>
                <w:b/>
                <w:bCs/>
                <w:color w:val="000000"/>
                <w:sz w:val="19"/>
                <w:szCs w:val="19"/>
                <w:lang w:val="en-GB" w:bidi="ne-NP"/>
              </w:rPr>
              <w:t> </w:t>
            </w:r>
          </w:p>
        </w:tc>
        <w:tc>
          <w:tcPr>
            <w:tcW w:w="1239" w:type="dxa"/>
            <w:noWrap/>
            <w:vAlign w:val="center"/>
            <w:hideMark/>
          </w:tcPr>
          <w:p w14:paraId="0F51524A" w14:textId="77777777" w:rsidR="00DB6F19" w:rsidRPr="00D71BBE" w:rsidRDefault="00DB6F19" w:rsidP="00D71BBE">
            <w:pPr>
              <w:jc w:val="right"/>
              <w:rPr>
                <w:rFonts w:ascii="Arial" w:hAnsi="Arial" w:cs="Arial"/>
                <w:color w:val="000000"/>
                <w:sz w:val="19"/>
                <w:szCs w:val="19"/>
                <w:lang w:val="en-GB" w:bidi="ne-NP"/>
              </w:rPr>
            </w:pPr>
            <w:r w:rsidRPr="00D71BBE">
              <w:rPr>
                <w:rFonts w:ascii="Arial" w:hAnsi="Arial" w:cs="Arial"/>
                <w:color w:val="000000"/>
                <w:sz w:val="19"/>
                <w:szCs w:val="19"/>
                <w:lang w:val="en-GB" w:bidi="ne-NP"/>
              </w:rPr>
              <w:t> </w:t>
            </w:r>
          </w:p>
        </w:tc>
        <w:tc>
          <w:tcPr>
            <w:tcW w:w="1239" w:type="dxa"/>
            <w:noWrap/>
            <w:vAlign w:val="center"/>
            <w:hideMark/>
          </w:tcPr>
          <w:p w14:paraId="3DCEA4B2" w14:textId="77777777" w:rsidR="00DB6F19" w:rsidRPr="00D71BBE" w:rsidRDefault="00DB6F19" w:rsidP="00D71BBE">
            <w:pPr>
              <w:jc w:val="right"/>
              <w:rPr>
                <w:rFonts w:ascii="Arial" w:hAnsi="Arial" w:cs="Arial"/>
                <w:color w:val="000000"/>
                <w:sz w:val="19"/>
                <w:szCs w:val="19"/>
                <w:lang w:val="en-GB" w:bidi="ne-NP"/>
              </w:rPr>
            </w:pPr>
            <w:r w:rsidRPr="00D71BBE">
              <w:rPr>
                <w:rFonts w:ascii="Arial" w:hAnsi="Arial" w:cs="Arial"/>
                <w:color w:val="000000"/>
                <w:sz w:val="19"/>
                <w:szCs w:val="19"/>
                <w:lang w:val="en-GB" w:bidi="ne-NP"/>
              </w:rPr>
              <w:t> </w:t>
            </w:r>
          </w:p>
        </w:tc>
        <w:tc>
          <w:tcPr>
            <w:tcW w:w="1217" w:type="dxa"/>
            <w:noWrap/>
            <w:vAlign w:val="center"/>
            <w:hideMark/>
          </w:tcPr>
          <w:p w14:paraId="3B9102E7" w14:textId="77777777" w:rsidR="00DB6F19" w:rsidRPr="00D71BBE" w:rsidRDefault="00DB6F19" w:rsidP="00D71BBE">
            <w:pPr>
              <w:jc w:val="right"/>
              <w:rPr>
                <w:rFonts w:ascii="Arial" w:hAnsi="Arial" w:cs="Arial"/>
                <w:color w:val="000000"/>
                <w:sz w:val="19"/>
                <w:szCs w:val="19"/>
                <w:lang w:val="en-GB" w:bidi="ne-NP"/>
              </w:rPr>
            </w:pPr>
            <w:r w:rsidRPr="00D71BBE">
              <w:rPr>
                <w:rFonts w:ascii="Arial" w:hAnsi="Arial" w:cs="Arial"/>
                <w:color w:val="000000"/>
                <w:sz w:val="19"/>
                <w:szCs w:val="19"/>
                <w:lang w:val="en-GB" w:bidi="ne-NP"/>
              </w:rPr>
              <w:t> </w:t>
            </w:r>
          </w:p>
        </w:tc>
        <w:tc>
          <w:tcPr>
            <w:tcW w:w="1217" w:type="dxa"/>
            <w:noWrap/>
            <w:vAlign w:val="center"/>
            <w:hideMark/>
          </w:tcPr>
          <w:p w14:paraId="45292146" w14:textId="77777777" w:rsidR="00DB6F19" w:rsidRPr="00D71BBE" w:rsidRDefault="00DB6F19" w:rsidP="00D71BBE">
            <w:pPr>
              <w:jc w:val="right"/>
              <w:rPr>
                <w:rFonts w:ascii="Arial" w:hAnsi="Arial" w:cs="Arial"/>
                <w:color w:val="000000"/>
                <w:sz w:val="19"/>
                <w:szCs w:val="19"/>
                <w:lang w:val="en-GB" w:bidi="ne-NP"/>
              </w:rPr>
            </w:pPr>
            <w:r w:rsidRPr="00D71BBE">
              <w:rPr>
                <w:rFonts w:ascii="Arial" w:hAnsi="Arial" w:cs="Arial"/>
                <w:color w:val="000000"/>
                <w:sz w:val="19"/>
                <w:szCs w:val="19"/>
                <w:lang w:val="en-GB" w:bidi="ne-NP"/>
              </w:rPr>
              <w:t> </w:t>
            </w:r>
          </w:p>
        </w:tc>
        <w:tc>
          <w:tcPr>
            <w:tcW w:w="1239" w:type="dxa"/>
            <w:noWrap/>
            <w:vAlign w:val="center"/>
            <w:hideMark/>
          </w:tcPr>
          <w:p w14:paraId="55EE4D99" w14:textId="77777777" w:rsidR="00DB6F19" w:rsidRPr="00D71BBE" w:rsidRDefault="00DB6F19" w:rsidP="00D71BBE">
            <w:pPr>
              <w:jc w:val="right"/>
              <w:rPr>
                <w:rFonts w:ascii="Arial" w:hAnsi="Arial" w:cs="Arial"/>
                <w:color w:val="000000"/>
                <w:sz w:val="19"/>
                <w:szCs w:val="19"/>
                <w:lang w:val="en-GB" w:bidi="ne-NP"/>
              </w:rPr>
            </w:pPr>
            <w:r w:rsidRPr="00D71BBE">
              <w:rPr>
                <w:rFonts w:ascii="Arial" w:hAnsi="Arial" w:cs="Arial"/>
                <w:color w:val="000000"/>
                <w:sz w:val="19"/>
                <w:szCs w:val="19"/>
                <w:lang w:val="en-GB" w:bidi="ne-NP"/>
              </w:rPr>
              <w:t> </w:t>
            </w:r>
          </w:p>
        </w:tc>
        <w:tc>
          <w:tcPr>
            <w:tcW w:w="1239" w:type="dxa"/>
            <w:noWrap/>
            <w:vAlign w:val="center"/>
            <w:hideMark/>
          </w:tcPr>
          <w:p w14:paraId="3223D840" w14:textId="77777777" w:rsidR="00DB6F19" w:rsidRPr="00D71BBE" w:rsidRDefault="00DB6F19" w:rsidP="00D71BBE">
            <w:pPr>
              <w:jc w:val="right"/>
              <w:rPr>
                <w:rFonts w:ascii="Arial" w:hAnsi="Arial" w:cs="Arial"/>
                <w:color w:val="000000"/>
                <w:sz w:val="19"/>
                <w:szCs w:val="19"/>
                <w:lang w:val="en-GB" w:bidi="ne-NP"/>
              </w:rPr>
            </w:pPr>
            <w:r w:rsidRPr="00D71BBE">
              <w:rPr>
                <w:rFonts w:ascii="Arial" w:hAnsi="Arial" w:cs="Arial"/>
                <w:color w:val="000000"/>
                <w:sz w:val="19"/>
                <w:szCs w:val="19"/>
                <w:lang w:val="en-GB" w:bidi="ne-NP"/>
              </w:rPr>
              <w:t> </w:t>
            </w:r>
          </w:p>
        </w:tc>
      </w:tr>
      <w:tr w:rsidR="00DB6F19" w:rsidRPr="00D71BBE" w14:paraId="4AC17FC1" w14:textId="77777777" w:rsidTr="00D71BBE">
        <w:trPr>
          <w:trHeight w:val="394"/>
        </w:trPr>
        <w:tc>
          <w:tcPr>
            <w:tcW w:w="3781" w:type="dxa"/>
            <w:hideMark/>
          </w:tcPr>
          <w:p w14:paraId="4101E6E7" w14:textId="77777777" w:rsidR="00DB6F19" w:rsidRPr="00D71BBE" w:rsidRDefault="00DB6F19" w:rsidP="00DB6F19">
            <w:pPr>
              <w:rPr>
                <w:rFonts w:ascii="Arial" w:hAnsi="Arial" w:cs="Arial"/>
                <w:b/>
                <w:bCs/>
                <w:color w:val="000000"/>
                <w:sz w:val="19"/>
                <w:szCs w:val="19"/>
                <w:lang w:val="en-GB" w:bidi="ne-NP"/>
              </w:rPr>
            </w:pPr>
            <w:r w:rsidRPr="00D71BBE">
              <w:rPr>
                <w:rFonts w:ascii="Arial" w:hAnsi="Arial" w:cs="Arial"/>
                <w:b/>
                <w:bCs/>
                <w:color w:val="000000"/>
                <w:sz w:val="19"/>
                <w:szCs w:val="19"/>
                <w:lang w:val="en-GB" w:bidi="ne-NP"/>
              </w:rPr>
              <w:t>Change in net assets (</w:t>
            </w:r>
            <w:r w:rsidRPr="00D71BBE">
              <w:rPr>
                <w:rFonts w:ascii="Arial" w:hAnsi="Arial" w:cs="Arial"/>
                <w:b/>
                <w:bCs/>
                <w:iCs/>
                <w:color w:val="000000"/>
                <w:sz w:val="19"/>
                <w:szCs w:val="19"/>
                <w:lang w:val="en-GB" w:bidi="ne-NP"/>
              </w:rPr>
              <w:t>before loss on defeasance of bonds payable</w:t>
            </w:r>
            <w:r w:rsidRPr="00D71BBE">
              <w:rPr>
                <w:rFonts w:ascii="Arial" w:hAnsi="Arial" w:cs="Arial"/>
                <w:b/>
                <w:bCs/>
                <w:color w:val="000000"/>
                <w:sz w:val="19"/>
                <w:szCs w:val="19"/>
                <w:lang w:val="en-GB" w:bidi="ne-NP"/>
              </w:rPr>
              <w:t>)</w:t>
            </w:r>
          </w:p>
        </w:tc>
        <w:tc>
          <w:tcPr>
            <w:tcW w:w="1239" w:type="dxa"/>
            <w:noWrap/>
            <w:vAlign w:val="center"/>
            <w:hideMark/>
          </w:tcPr>
          <w:p w14:paraId="0103FE32" w14:textId="77777777" w:rsidR="00DB6F19" w:rsidRPr="00D71BBE" w:rsidRDefault="00DB6F19" w:rsidP="00D71BBE">
            <w:pPr>
              <w:jc w:val="right"/>
              <w:rPr>
                <w:rFonts w:ascii="Arial" w:hAnsi="Arial" w:cs="Arial"/>
                <w:color w:val="000000"/>
                <w:sz w:val="19"/>
                <w:szCs w:val="19"/>
                <w:lang w:val="en-GB" w:bidi="ne-NP"/>
              </w:rPr>
            </w:pPr>
            <w:r w:rsidRPr="00D71BBE">
              <w:rPr>
                <w:rFonts w:ascii="Arial" w:hAnsi="Arial" w:cs="Arial"/>
                <w:color w:val="000000"/>
                <w:sz w:val="19"/>
                <w:szCs w:val="19"/>
                <w:lang w:val="en-GB" w:bidi="ne-NP"/>
              </w:rPr>
              <w:t>(4,285,677)</w:t>
            </w:r>
          </w:p>
        </w:tc>
        <w:tc>
          <w:tcPr>
            <w:tcW w:w="1239" w:type="dxa"/>
            <w:noWrap/>
            <w:vAlign w:val="center"/>
            <w:hideMark/>
          </w:tcPr>
          <w:p w14:paraId="113B6237" w14:textId="77777777" w:rsidR="00DB6F19" w:rsidRPr="00D71BBE" w:rsidRDefault="00DB6F19" w:rsidP="00D71BBE">
            <w:pPr>
              <w:jc w:val="right"/>
              <w:rPr>
                <w:rFonts w:ascii="Arial" w:hAnsi="Arial" w:cs="Arial"/>
                <w:color w:val="000000"/>
                <w:sz w:val="19"/>
                <w:szCs w:val="19"/>
                <w:lang w:val="en-GB" w:bidi="ne-NP"/>
              </w:rPr>
            </w:pPr>
            <w:r w:rsidRPr="00D71BBE">
              <w:rPr>
                <w:rFonts w:ascii="Arial" w:hAnsi="Arial" w:cs="Arial"/>
                <w:color w:val="000000"/>
                <w:sz w:val="19"/>
                <w:szCs w:val="19"/>
                <w:lang w:val="en-GB" w:bidi="ne-NP"/>
              </w:rPr>
              <w:t>(2,006,487)</w:t>
            </w:r>
          </w:p>
        </w:tc>
        <w:tc>
          <w:tcPr>
            <w:tcW w:w="1217" w:type="dxa"/>
            <w:noWrap/>
            <w:vAlign w:val="center"/>
            <w:hideMark/>
          </w:tcPr>
          <w:p w14:paraId="2E33853D" w14:textId="77777777" w:rsidR="00DB6F19" w:rsidRPr="00D71BBE" w:rsidRDefault="00DB6F19" w:rsidP="00D71BBE">
            <w:pPr>
              <w:jc w:val="right"/>
              <w:rPr>
                <w:rFonts w:ascii="Arial" w:hAnsi="Arial" w:cs="Arial"/>
                <w:color w:val="000000"/>
                <w:sz w:val="19"/>
                <w:szCs w:val="19"/>
                <w:lang w:val="en-GB" w:bidi="ne-NP"/>
              </w:rPr>
            </w:pPr>
            <w:r w:rsidRPr="00D71BBE">
              <w:rPr>
                <w:rFonts w:ascii="Arial" w:hAnsi="Arial" w:cs="Arial"/>
                <w:color w:val="000000"/>
                <w:sz w:val="19"/>
                <w:szCs w:val="19"/>
                <w:lang w:val="en-GB" w:bidi="ne-NP"/>
              </w:rPr>
              <w:t>(957,092)</w:t>
            </w:r>
          </w:p>
        </w:tc>
        <w:tc>
          <w:tcPr>
            <w:tcW w:w="1217" w:type="dxa"/>
            <w:noWrap/>
            <w:vAlign w:val="center"/>
            <w:hideMark/>
          </w:tcPr>
          <w:p w14:paraId="098B4F6A" w14:textId="77777777" w:rsidR="00DB6F19" w:rsidRPr="00D71BBE" w:rsidRDefault="00DB6F19" w:rsidP="00D71BBE">
            <w:pPr>
              <w:jc w:val="right"/>
              <w:rPr>
                <w:rFonts w:ascii="Arial" w:hAnsi="Arial" w:cs="Arial"/>
                <w:color w:val="000000"/>
                <w:sz w:val="19"/>
                <w:szCs w:val="19"/>
                <w:lang w:val="en-GB" w:bidi="ne-NP"/>
              </w:rPr>
            </w:pPr>
            <w:r w:rsidRPr="00D71BBE">
              <w:rPr>
                <w:rFonts w:ascii="Arial" w:hAnsi="Arial" w:cs="Arial"/>
                <w:color w:val="000000"/>
                <w:sz w:val="19"/>
                <w:szCs w:val="19"/>
                <w:lang w:val="en-GB" w:bidi="ne-NP"/>
              </w:rPr>
              <w:t>(698,688)</w:t>
            </w:r>
          </w:p>
        </w:tc>
        <w:tc>
          <w:tcPr>
            <w:tcW w:w="1239" w:type="dxa"/>
            <w:noWrap/>
            <w:vAlign w:val="center"/>
            <w:hideMark/>
          </w:tcPr>
          <w:p w14:paraId="407253F6" w14:textId="77777777" w:rsidR="00DB6F19" w:rsidRPr="00D71BBE" w:rsidRDefault="00DB6F19" w:rsidP="00D71BBE">
            <w:pPr>
              <w:jc w:val="right"/>
              <w:rPr>
                <w:rFonts w:ascii="Arial" w:hAnsi="Arial" w:cs="Arial"/>
                <w:color w:val="000000"/>
                <w:sz w:val="19"/>
                <w:szCs w:val="19"/>
                <w:lang w:val="en-GB" w:bidi="ne-NP"/>
              </w:rPr>
            </w:pPr>
            <w:r w:rsidRPr="00D71BBE">
              <w:rPr>
                <w:rFonts w:ascii="Arial" w:hAnsi="Arial" w:cs="Arial"/>
                <w:color w:val="000000"/>
                <w:sz w:val="19"/>
                <w:szCs w:val="19"/>
                <w:lang w:val="en-GB" w:bidi="ne-NP"/>
              </w:rPr>
              <w:t>(1,162,478)</w:t>
            </w:r>
          </w:p>
        </w:tc>
        <w:tc>
          <w:tcPr>
            <w:tcW w:w="1239" w:type="dxa"/>
            <w:noWrap/>
            <w:vAlign w:val="center"/>
            <w:hideMark/>
          </w:tcPr>
          <w:p w14:paraId="7D0BDA45" w14:textId="77777777" w:rsidR="00DB6F19" w:rsidRPr="00D71BBE" w:rsidRDefault="00DB6F19" w:rsidP="00D71BBE">
            <w:pPr>
              <w:jc w:val="right"/>
              <w:rPr>
                <w:rFonts w:ascii="Arial" w:hAnsi="Arial" w:cs="Arial"/>
                <w:color w:val="000000"/>
                <w:sz w:val="19"/>
                <w:szCs w:val="19"/>
                <w:lang w:val="en-GB" w:bidi="ne-NP"/>
              </w:rPr>
            </w:pPr>
            <w:r w:rsidRPr="00D71BBE">
              <w:rPr>
                <w:rFonts w:ascii="Arial" w:hAnsi="Arial" w:cs="Arial"/>
                <w:color w:val="000000"/>
                <w:sz w:val="19"/>
                <w:szCs w:val="19"/>
                <w:lang w:val="en-GB" w:bidi="ne-NP"/>
              </w:rPr>
              <w:t>(52,512)</w:t>
            </w:r>
          </w:p>
        </w:tc>
      </w:tr>
      <w:tr w:rsidR="00DB6F19" w:rsidRPr="00D71BBE" w14:paraId="2F786154" w14:textId="77777777" w:rsidTr="00D71BBE">
        <w:trPr>
          <w:trHeight w:val="120"/>
        </w:trPr>
        <w:tc>
          <w:tcPr>
            <w:tcW w:w="3781" w:type="dxa"/>
            <w:noWrap/>
            <w:hideMark/>
          </w:tcPr>
          <w:p w14:paraId="7C4EDE29" w14:textId="77777777" w:rsidR="00DB6F19" w:rsidRPr="00D71BBE" w:rsidRDefault="00DB6F19" w:rsidP="00DB6F19">
            <w:pPr>
              <w:jc w:val="center"/>
              <w:rPr>
                <w:rFonts w:ascii="Arial" w:hAnsi="Arial" w:cs="Arial"/>
                <w:b/>
                <w:bCs/>
                <w:color w:val="000000"/>
                <w:sz w:val="19"/>
                <w:szCs w:val="19"/>
                <w:lang w:val="en-GB" w:bidi="ne-NP"/>
              </w:rPr>
            </w:pPr>
            <w:r w:rsidRPr="00D71BBE">
              <w:rPr>
                <w:rFonts w:ascii="Arial" w:hAnsi="Arial" w:cs="Arial"/>
                <w:b/>
                <w:bCs/>
                <w:color w:val="000000"/>
                <w:sz w:val="19"/>
                <w:szCs w:val="19"/>
                <w:lang w:val="en-GB" w:bidi="ne-NP"/>
              </w:rPr>
              <w:t> </w:t>
            </w:r>
          </w:p>
        </w:tc>
        <w:tc>
          <w:tcPr>
            <w:tcW w:w="1239" w:type="dxa"/>
            <w:noWrap/>
            <w:vAlign w:val="center"/>
            <w:hideMark/>
          </w:tcPr>
          <w:p w14:paraId="78ADBCEF" w14:textId="77777777" w:rsidR="00DB6F19" w:rsidRPr="00D71BBE" w:rsidRDefault="00DB6F19" w:rsidP="00D71BBE">
            <w:pPr>
              <w:jc w:val="right"/>
              <w:rPr>
                <w:rFonts w:ascii="Arial" w:hAnsi="Arial" w:cs="Arial"/>
                <w:color w:val="000000"/>
                <w:sz w:val="19"/>
                <w:szCs w:val="19"/>
                <w:lang w:val="en-GB" w:bidi="ne-NP"/>
              </w:rPr>
            </w:pPr>
            <w:r w:rsidRPr="00D71BBE">
              <w:rPr>
                <w:rFonts w:ascii="Arial" w:hAnsi="Arial" w:cs="Arial"/>
                <w:color w:val="000000"/>
                <w:sz w:val="19"/>
                <w:szCs w:val="19"/>
                <w:lang w:val="en-GB" w:bidi="ne-NP"/>
              </w:rPr>
              <w:t> </w:t>
            </w:r>
          </w:p>
        </w:tc>
        <w:tc>
          <w:tcPr>
            <w:tcW w:w="1239" w:type="dxa"/>
            <w:noWrap/>
            <w:vAlign w:val="center"/>
            <w:hideMark/>
          </w:tcPr>
          <w:p w14:paraId="3C360859" w14:textId="77777777" w:rsidR="00DB6F19" w:rsidRPr="00D71BBE" w:rsidRDefault="00DB6F19" w:rsidP="00D71BBE">
            <w:pPr>
              <w:jc w:val="right"/>
              <w:rPr>
                <w:rFonts w:ascii="Arial" w:hAnsi="Arial" w:cs="Arial"/>
                <w:color w:val="000000"/>
                <w:sz w:val="19"/>
                <w:szCs w:val="19"/>
                <w:lang w:val="en-GB" w:bidi="ne-NP"/>
              </w:rPr>
            </w:pPr>
            <w:r w:rsidRPr="00D71BBE">
              <w:rPr>
                <w:rFonts w:ascii="Arial" w:hAnsi="Arial" w:cs="Arial"/>
                <w:color w:val="000000"/>
                <w:sz w:val="19"/>
                <w:szCs w:val="19"/>
                <w:lang w:val="en-GB" w:bidi="ne-NP"/>
              </w:rPr>
              <w:t> </w:t>
            </w:r>
          </w:p>
        </w:tc>
        <w:tc>
          <w:tcPr>
            <w:tcW w:w="1217" w:type="dxa"/>
            <w:noWrap/>
            <w:vAlign w:val="center"/>
            <w:hideMark/>
          </w:tcPr>
          <w:p w14:paraId="7FEB0AFB" w14:textId="77777777" w:rsidR="00DB6F19" w:rsidRPr="00D71BBE" w:rsidRDefault="00DB6F19" w:rsidP="00D71BBE">
            <w:pPr>
              <w:jc w:val="right"/>
              <w:rPr>
                <w:rFonts w:ascii="Arial" w:hAnsi="Arial" w:cs="Arial"/>
                <w:color w:val="000000"/>
                <w:sz w:val="19"/>
                <w:szCs w:val="19"/>
                <w:lang w:val="en-GB" w:bidi="ne-NP"/>
              </w:rPr>
            </w:pPr>
            <w:r w:rsidRPr="00D71BBE">
              <w:rPr>
                <w:rFonts w:ascii="Arial" w:hAnsi="Arial" w:cs="Arial"/>
                <w:color w:val="000000"/>
                <w:sz w:val="19"/>
                <w:szCs w:val="19"/>
                <w:lang w:val="en-GB" w:bidi="ne-NP"/>
              </w:rPr>
              <w:t> </w:t>
            </w:r>
          </w:p>
        </w:tc>
        <w:tc>
          <w:tcPr>
            <w:tcW w:w="1217" w:type="dxa"/>
            <w:noWrap/>
            <w:vAlign w:val="center"/>
            <w:hideMark/>
          </w:tcPr>
          <w:p w14:paraId="7711386A" w14:textId="77777777" w:rsidR="00DB6F19" w:rsidRPr="00D71BBE" w:rsidRDefault="00DB6F19" w:rsidP="00D71BBE">
            <w:pPr>
              <w:jc w:val="right"/>
              <w:rPr>
                <w:rFonts w:ascii="Arial" w:hAnsi="Arial" w:cs="Arial"/>
                <w:color w:val="000000"/>
                <w:sz w:val="19"/>
                <w:szCs w:val="19"/>
                <w:lang w:val="en-GB" w:bidi="ne-NP"/>
              </w:rPr>
            </w:pPr>
            <w:r w:rsidRPr="00D71BBE">
              <w:rPr>
                <w:rFonts w:ascii="Arial" w:hAnsi="Arial" w:cs="Arial"/>
                <w:color w:val="000000"/>
                <w:sz w:val="19"/>
                <w:szCs w:val="19"/>
                <w:lang w:val="en-GB" w:bidi="ne-NP"/>
              </w:rPr>
              <w:t> </w:t>
            </w:r>
          </w:p>
        </w:tc>
        <w:tc>
          <w:tcPr>
            <w:tcW w:w="1239" w:type="dxa"/>
            <w:noWrap/>
            <w:vAlign w:val="center"/>
            <w:hideMark/>
          </w:tcPr>
          <w:p w14:paraId="6AAE36D0" w14:textId="77777777" w:rsidR="00DB6F19" w:rsidRPr="00D71BBE" w:rsidRDefault="00DB6F19" w:rsidP="00D71BBE">
            <w:pPr>
              <w:jc w:val="right"/>
              <w:rPr>
                <w:rFonts w:ascii="Arial" w:hAnsi="Arial" w:cs="Arial"/>
                <w:color w:val="000000"/>
                <w:sz w:val="19"/>
                <w:szCs w:val="19"/>
                <w:lang w:val="en-GB" w:bidi="ne-NP"/>
              </w:rPr>
            </w:pPr>
            <w:r w:rsidRPr="00D71BBE">
              <w:rPr>
                <w:rFonts w:ascii="Arial" w:hAnsi="Arial" w:cs="Arial"/>
                <w:color w:val="000000"/>
                <w:sz w:val="19"/>
                <w:szCs w:val="19"/>
                <w:lang w:val="en-GB" w:bidi="ne-NP"/>
              </w:rPr>
              <w:t> </w:t>
            </w:r>
          </w:p>
        </w:tc>
        <w:tc>
          <w:tcPr>
            <w:tcW w:w="1239" w:type="dxa"/>
            <w:noWrap/>
            <w:vAlign w:val="center"/>
            <w:hideMark/>
          </w:tcPr>
          <w:p w14:paraId="3879B097" w14:textId="77777777" w:rsidR="00DB6F19" w:rsidRPr="00D71BBE" w:rsidRDefault="00DB6F19" w:rsidP="00D71BBE">
            <w:pPr>
              <w:jc w:val="right"/>
              <w:rPr>
                <w:rFonts w:ascii="Arial" w:hAnsi="Arial" w:cs="Arial"/>
                <w:color w:val="000000"/>
                <w:sz w:val="19"/>
                <w:szCs w:val="19"/>
                <w:lang w:val="en-GB" w:bidi="ne-NP"/>
              </w:rPr>
            </w:pPr>
            <w:r w:rsidRPr="00D71BBE">
              <w:rPr>
                <w:rFonts w:ascii="Arial" w:hAnsi="Arial" w:cs="Arial"/>
                <w:color w:val="000000"/>
                <w:sz w:val="19"/>
                <w:szCs w:val="19"/>
                <w:lang w:val="en-GB" w:bidi="ne-NP"/>
              </w:rPr>
              <w:t> </w:t>
            </w:r>
          </w:p>
        </w:tc>
      </w:tr>
      <w:tr w:rsidR="00DB6F19" w:rsidRPr="00D71BBE" w14:paraId="61C2D613" w14:textId="77777777" w:rsidTr="00D71BBE">
        <w:trPr>
          <w:trHeight w:val="315"/>
        </w:trPr>
        <w:tc>
          <w:tcPr>
            <w:tcW w:w="3781" w:type="dxa"/>
            <w:hideMark/>
          </w:tcPr>
          <w:p w14:paraId="383AB081" w14:textId="77777777" w:rsidR="00DB6F19" w:rsidRPr="00D71BBE" w:rsidRDefault="00DB6F19" w:rsidP="00DB6F19">
            <w:pPr>
              <w:rPr>
                <w:rFonts w:ascii="Arial" w:hAnsi="Arial" w:cs="Arial"/>
                <w:b/>
                <w:bCs/>
                <w:color w:val="000000"/>
                <w:sz w:val="19"/>
                <w:szCs w:val="19"/>
                <w:lang w:val="en-GB" w:bidi="ne-NP"/>
              </w:rPr>
            </w:pPr>
            <w:r w:rsidRPr="00D71BBE">
              <w:rPr>
                <w:rFonts w:ascii="Arial" w:hAnsi="Arial" w:cs="Arial"/>
                <w:b/>
                <w:bCs/>
                <w:color w:val="000000"/>
                <w:sz w:val="19"/>
                <w:szCs w:val="19"/>
                <w:lang w:val="en-GB" w:bidi="ne-NP"/>
              </w:rPr>
              <w:t>Loss on defeasance</w:t>
            </w:r>
          </w:p>
        </w:tc>
        <w:tc>
          <w:tcPr>
            <w:tcW w:w="1239" w:type="dxa"/>
            <w:noWrap/>
            <w:vAlign w:val="center"/>
            <w:hideMark/>
          </w:tcPr>
          <w:p w14:paraId="3E92084D" w14:textId="77777777" w:rsidR="00DB6F19" w:rsidRPr="00D71BBE" w:rsidRDefault="00DB6F19" w:rsidP="00D71BBE">
            <w:pPr>
              <w:jc w:val="right"/>
              <w:rPr>
                <w:rFonts w:ascii="Arial" w:hAnsi="Arial" w:cs="Arial"/>
                <w:color w:val="000000"/>
                <w:sz w:val="19"/>
                <w:szCs w:val="19"/>
                <w:lang w:val="en-GB" w:bidi="ne-NP"/>
              </w:rPr>
            </w:pPr>
            <w:r w:rsidRPr="00D71BBE">
              <w:rPr>
                <w:rFonts w:ascii="Arial" w:hAnsi="Arial" w:cs="Arial"/>
                <w:color w:val="000000"/>
                <w:sz w:val="19"/>
                <w:szCs w:val="19"/>
                <w:lang w:val="en-GB" w:bidi="ne-NP"/>
              </w:rPr>
              <w:t xml:space="preserve"> – </w:t>
            </w:r>
          </w:p>
        </w:tc>
        <w:tc>
          <w:tcPr>
            <w:tcW w:w="1239" w:type="dxa"/>
            <w:noWrap/>
            <w:vAlign w:val="center"/>
            <w:hideMark/>
          </w:tcPr>
          <w:p w14:paraId="035537BC" w14:textId="77777777" w:rsidR="00DB6F19" w:rsidRPr="00D71BBE" w:rsidRDefault="00DB6F19" w:rsidP="00D71BBE">
            <w:pPr>
              <w:jc w:val="right"/>
              <w:rPr>
                <w:rFonts w:ascii="Arial" w:hAnsi="Arial" w:cs="Arial"/>
                <w:color w:val="000000"/>
                <w:sz w:val="19"/>
                <w:szCs w:val="19"/>
                <w:lang w:val="en-GB" w:bidi="ne-NP"/>
              </w:rPr>
            </w:pPr>
            <w:r w:rsidRPr="00D71BBE">
              <w:rPr>
                <w:rFonts w:ascii="Arial" w:hAnsi="Arial" w:cs="Arial"/>
                <w:color w:val="000000"/>
                <w:sz w:val="19"/>
                <w:szCs w:val="19"/>
                <w:lang w:val="en-GB" w:bidi="ne-NP"/>
              </w:rPr>
              <w:t xml:space="preserve"> – </w:t>
            </w:r>
          </w:p>
        </w:tc>
        <w:tc>
          <w:tcPr>
            <w:tcW w:w="1217" w:type="dxa"/>
            <w:noWrap/>
            <w:vAlign w:val="center"/>
            <w:hideMark/>
          </w:tcPr>
          <w:p w14:paraId="7747DEE4" w14:textId="77777777" w:rsidR="00DB6F19" w:rsidRPr="00D71BBE" w:rsidRDefault="00DB6F19" w:rsidP="00D71BBE">
            <w:pPr>
              <w:jc w:val="right"/>
              <w:rPr>
                <w:rFonts w:ascii="Arial" w:hAnsi="Arial" w:cs="Arial"/>
                <w:color w:val="000000"/>
                <w:sz w:val="19"/>
                <w:szCs w:val="19"/>
                <w:lang w:val="en-GB" w:bidi="ne-NP"/>
              </w:rPr>
            </w:pPr>
            <w:r w:rsidRPr="00D71BBE">
              <w:rPr>
                <w:rFonts w:ascii="Arial" w:hAnsi="Arial" w:cs="Arial"/>
                <w:color w:val="000000"/>
                <w:sz w:val="19"/>
                <w:szCs w:val="19"/>
                <w:lang w:val="en-GB" w:bidi="ne-NP"/>
              </w:rPr>
              <w:t xml:space="preserve"> – </w:t>
            </w:r>
          </w:p>
        </w:tc>
        <w:tc>
          <w:tcPr>
            <w:tcW w:w="1217" w:type="dxa"/>
            <w:noWrap/>
            <w:vAlign w:val="center"/>
            <w:hideMark/>
          </w:tcPr>
          <w:p w14:paraId="1B3EC87E" w14:textId="77777777" w:rsidR="00DB6F19" w:rsidRPr="00D71BBE" w:rsidRDefault="00DB6F19" w:rsidP="00D71BBE">
            <w:pPr>
              <w:jc w:val="right"/>
              <w:rPr>
                <w:rFonts w:ascii="Arial" w:hAnsi="Arial" w:cs="Arial"/>
                <w:color w:val="000000"/>
                <w:sz w:val="19"/>
                <w:szCs w:val="19"/>
                <w:lang w:val="en-GB" w:bidi="ne-NP"/>
              </w:rPr>
            </w:pPr>
            <w:r w:rsidRPr="00D71BBE">
              <w:rPr>
                <w:rFonts w:ascii="Arial" w:hAnsi="Arial" w:cs="Arial"/>
                <w:color w:val="000000"/>
                <w:sz w:val="19"/>
                <w:szCs w:val="19"/>
                <w:lang w:val="en-GB" w:bidi="ne-NP"/>
              </w:rPr>
              <w:t xml:space="preserve"> – </w:t>
            </w:r>
          </w:p>
        </w:tc>
        <w:tc>
          <w:tcPr>
            <w:tcW w:w="1239" w:type="dxa"/>
            <w:noWrap/>
            <w:vAlign w:val="center"/>
            <w:hideMark/>
          </w:tcPr>
          <w:p w14:paraId="529E5753" w14:textId="77777777" w:rsidR="00DB6F19" w:rsidRPr="00D71BBE" w:rsidRDefault="00DB6F19" w:rsidP="00D71BBE">
            <w:pPr>
              <w:jc w:val="right"/>
              <w:rPr>
                <w:rFonts w:ascii="Arial" w:hAnsi="Arial" w:cs="Arial"/>
                <w:color w:val="000000"/>
                <w:sz w:val="19"/>
                <w:szCs w:val="19"/>
                <w:lang w:val="en-GB" w:bidi="ne-NP"/>
              </w:rPr>
            </w:pPr>
            <w:r w:rsidRPr="00D71BBE">
              <w:rPr>
                <w:rFonts w:ascii="Arial" w:hAnsi="Arial" w:cs="Arial"/>
                <w:color w:val="000000"/>
                <w:sz w:val="19"/>
                <w:szCs w:val="19"/>
                <w:lang w:val="en-GB" w:bidi="ne-NP"/>
              </w:rPr>
              <w:t xml:space="preserve"> – </w:t>
            </w:r>
          </w:p>
        </w:tc>
        <w:tc>
          <w:tcPr>
            <w:tcW w:w="1239" w:type="dxa"/>
            <w:noWrap/>
            <w:vAlign w:val="center"/>
            <w:hideMark/>
          </w:tcPr>
          <w:p w14:paraId="1F88E4EB" w14:textId="77777777" w:rsidR="00DB6F19" w:rsidRPr="00D71BBE" w:rsidRDefault="00DB6F19" w:rsidP="00D71BBE">
            <w:pPr>
              <w:jc w:val="right"/>
              <w:rPr>
                <w:rFonts w:ascii="Arial" w:hAnsi="Arial" w:cs="Arial"/>
                <w:color w:val="000000"/>
                <w:sz w:val="19"/>
                <w:szCs w:val="19"/>
                <w:lang w:val="en-GB" w:bidi="ne-NP"/>
              </w:rPr>
            </w:pPr>
            <w:r w:rsidRPr="00D71BBE">
              <w:rPr>
                <w:rFonts w:ascii="Arial" w:hAnsi="Arial" w:cs="Arial"/>
                <w:color w:val="000000"/>
                <w:sz w:val="19"/>
                <w:szCs w:val="19"/>
                <w:lang w:val="en-GB" w:bidi="ne-NP"/>
              </w:rPr>
              <w:t>(4,610,479)</w:t>
            </w:r>
          </w:p>
        </w:tc>
      </w:tr>
      <w:tr w:rsidR="00DB6F19" w:rsidRPr="00D71BBE" w14:paraId="5B7B2839" w14:textId="77777777" w:rsidTr="00D71BBE">
        <w:trPr>
          <w:trHeight w:val="117"/>
        </w:trPr>
        <w:tc>
          <w:tcPr>
            <w:tcW w:w="3781" w:type="dxa"/>
            <w:noWrap/>
            <w:hideMark/>
          </w:tcPr>
          <w:p w14:paraId="0A9B746B" w14:textId="77777777" w:rsidR="00DB6F19" w:rsidRPr="00D71BBE" w:rsidRDefault="00DB6F19" w:rsidP="00DB6F19">
            <w:pPr>
              <w:jc w:val="center"/>
              <w:rPr>
                <w:rFonts w:ascii="Arial" w:hAnsi="Arial" w:cs="Arial"/>
                <w:b/>
                <w:bCs/>
                <w:color w:val="000000"/>
                <w:sz w:val="19"/>
                <w:szCs w:val="19"/>
                <w:lang w:val="en-GB" w:bidi="ne-NP"/>
              </w:rPr>
            </w:pPr>
            <w:r w:rsidRPr="00D71BBE">
              <w:rPr>
                <w:rFonts w:ascii="Arial" w:hAnsi="Arial" w:cs="Arial"/>
                <w:b/>
                <w:bCs/>
                <w:color w:val="000000"/>
                <w:sz w:val="19"/>
                <w:szCs w:val="19"/>
                <w:lang w:val="en-GB" w:bidi="ne-NP"/>
              </w:rPr>
              <w:t> </w:t>
            </w:r>
          </w:p>
        </w:tc>
        <w:tc>
          <w:tcPr>
            <w:tcW w:w="1239" w:type="dxa"/>
            <w:noWrap/>
            <w:vAlign w:val="center"/>
            <w:hideMark/>
          </w:tcPr>
          <w:p w14:paraId="08CDD45D" w14:textId="77777777" w:rsidR="00DB6F19" w:rsidRPr="00D71BBE" w:rsidRDefault="00DB6F19" w:rsidP="00D71BBE">
            <w:pPr>
              <w:jc w:val="right"/>
              <w:rPr>
                <w:rFonts w:ascii="Arial" w:hAnsi="Arial" w:cs="Arial"/>
                <w:color w:val="000000"/>
                <w:sz w:val="19"/>
                <w:szCs w:val="19"/>
                <w:lang w:val="en-GB" w:bidi="ne-NP"/>
              </w:rPr>
            </w:pPr>
            <w:r w:rsidRPr="00D71BBE">
              <w:rPr>
                <w:rFonts w:ascii="Arial" w:hAnsi="Arial" w:cs="Arial"/>
                <w:color w:val="000000"/>
                <w:sz w:val="19"/>
                <w:szCs w:val="19"/>
                <w:lang w:val="en-GB" w:bidi="ne-NP"/>
              </w:rPr>
              <w:t> </w:t>
            </w:r>
          </w:p>
        </w:tc>
        <w:tc>
          <w:tcPr>
            <w:tcW w:w="1239" w:type="dxa"/>
            <w:noWrap/>
            <w:vAlign w:val="center"/>
            <w:hideMark/>
          </w:tcPr>
          <w:p w14:paraId="5B589CB2" w14:textId="77777777" w:rsidR="00DB6F19" w:rsidRPr="00D71BBE" w:rsidRDefault="00DB6F19" w:rsidP="00D71BBE">
            <w:pPr>
              <w:jc w:val="right"/>
              <w:rPr>
                <w:rFonts w:ascii="Arial" w:hAnsi="Arial" w:cs="Arial"/>
                <w:color w:val="000000"/>
                <w:sz w:val="19"/>
                <w:szCs w:val="19"/>
                <w:lang w:val="en-GB" w:bidi="ne-NP"/>
              </w:rPr>
            </w:pPr>
            <w:r w:rsidRPr="00D71BBE">
              <w:rPr>
                <w:rFonts w:ascii="Arial" w:hAnsi="Arial" w:cs="Arial"/>
                <w:color w:val="000000"/>
                <w:sz w:val="19"/>
                <w:szCs w:val="19"/>
                <w:lang w:val="en-GB" w:bidi="ne-NP"/>
              </w:rPr>
              <w:t> </w:t>
            </w:r>
          </w:p>
        </w:tc>
        <w:tc>
          <w:tcPr>
            <w:tcW w:w="1217" w:type="dxa"/>
            <w:noWrap/>
            <w:vAlign w:val="center"/>
            <w:hideMark/>
          </w:tcPr>
          <w:p w14:paraId="7180393E" w14:textId="77777777" w:rsidR="00DB6F19" w:rsidRPr="00D71BBE" w:rsidRDefault="00DB6F19" w:rsidP="00D71BBE">
            <w:pPr>
              <w:jc w:val="right"/>
              <w:rPr>
                <w:rFonts w:ascii="Arial" w:hAnsi="Arial" w:cs="Arial"/>
                <w:color w:val="000000"/>
                <w:sz w:val="19"/>
                <w:szCs w:val="19"/>
                <w:lang w:val="en-GB" w:bidi="ne-NP"/>
              </w:rPr>
            </w:pPr>
            <w:r w:rsidRPr="00D71BBE">
              <w:rPr>
                <w:rFonts w:ascii="Arial" w:hAnsi="Arial" w:cs="Arial"/>
                <w:color w:val="000000"/>
                <w:sz w:val="19"/>
                <w:szCs w:val="19"/>
                <w:lang w:val="en-GB" w:bidi="ne-NP"/>
              </w:rPr>
              <w:t> </w:t>
            </w:r>
          </w:p>
        </w:tc>
        <w:tc>
          <w:tcPr>
            <w:tcW w:w="1217" w:type="dxa"/>
            <w:noWrap/>
            <w:vAlign w:val="center"/>
            <w:hideMark/>
          </w:tcPr>
          <w:p w14:paraId="5F2104E5" w14:textId="77777777" w:rsidR="00DB6F19" w:rsidRPr="00D71BBE" w:rsidRDefault="00DB6F19" w:rsidP="00D71BBE">
            <w:pPr>
              <w:jc w:val="right"/>
              <w:rPr>
                <w:rFonts w:ascii="Arial" w:hAnsi="Arial" w:cs="Arial"/>
                <w:color w:val="000000"/>
                <w:sz w:val="19"/>
                <w:szCs w:val="19"/>
                <w:lang w:val="en-GB" w:bidi="ne-NP"/>
              </w:rPr>
            </w:pPr>
            <w:r w:rsidRPr="00D71BBE">
              <w:rPr>
                <w:rFonts w:ascii="Arial" w:hAnsi="Arial" w:cs="Arial"/>
                <w:color w:val="000000"/>
                <w:sz w:val="19"/>
                <w:szCs w:val="19"/>
                <w:lang w:val="en-GB" w:bidi="ne-NP"/>
              </w:rPr>
              <w:t> </w:t>
            </w:r>
          </w:p>
        </w:tc>
        <w:tc>
          <w:tcPr>
            <w:tcW w:w="1239" w:type="dxa"/>
            <w:noWrap/>
            <w:vAlign w:val="center"/>
            <w:hideMark/>
          </w:tcPr>
          <w:p w14:paraId="10C5AB52" w14:textId="77777777" w:rsidR="00DB6F19" w:rsidRPr="00D71BBE" w:rsidRDefault="00DB6F19" w:rsidP="00D71BBE">
            <w:pPr>
              <w:jc w:val="right"/>
              <w:rPr>
                <w:rFonts w:ascii="Arial" w:hAnsi="Arial" w:cs="Arial"/>
                <w:color w:val="000000"/>
                <w:sz w:val="19"/>
                <w:szCs w:val="19"/>
                <w:lang w:val="en-GB" w:bidi="ne-NP"/>
              </w:rPr>
            </w:pPr>
            <w:r w:rsidRPr="00D71BBE">
              <w:rPr>
                <w:rFonts w:ascii="Arial" w:hAnsi="Arial" w:cs="Arial"/>
                <w:color w:val="000000"/>
                <w:sz w:val="19"/>
                <w:szCs w:val="19"/>
                <w:lang w:val="en-GB" w:bidi="ne-NP"/>
              </w:rPr>
              <w:t> </w:t>
            </w:r>
          </w:p>
        </w:tc>
        <w:tc>
          <w:tcPr>
            <w:tcW w:w="1239" w:type="dxa"/>
            <w:noWrap/>
            <w:vAlign w:val="center"/>
            <w:hideMark/>
          </w:tcPr>
          <w:p w14:paraId="0A4A325F" w14:textId="77777777" w:rsidR="00DB6F19" w:rsidRPr="00D71BBE" w:rsidRDefault="00DB6F19" w:rsidP="00D71BBE">
            <w:pPr>
              <w:jc w:val="right"/>
              <w:rPr>
                <w:rFonts w:ascii="Arial" w:hAnsi="Arial" w:cs="Arial"/>
                <w:color w:val="000000"/>
                <w:sz w:val="19"/>
                <w:szCs w:val="19"/>
                <w:lang w:val="en-GB" w:bidi="ne-NP"/>
              </w:rPr>
            </w:pPr>
            <w:r w:rsidRPr="00D71BBE">
              <w:rPr>
                <w:rFonts w:ascii="Arial" w:hAnsi="Arial" w:cs="Arial"/>
                <w:color w:val="000000"/>
                <w:sz w:val="19"/>
                <w:szCs w:val="19"/>
                <w:lang w:val="en-GB" w:bidi="ne-NP"/>
              </w:rPr>
              <w:t> </w:t>
            </w:r>
          </w:p>
        </w:tc>
      </w:tr>
      <w:tr w:rsidR="00DB6F19" w:rsidRPr="00D71BBE" w14:paraId="154B2221" w14:textId="77777777" w:rsidTr="00D71BBE">
        <w:trPr>
          <w:trHeight w:val="205"/>
        </w:trPr>
        <w:tc>
          <w:tcPr>
            <w:tcW w:w="3781" w:type="dxa"/>
            <w:noWrap/>
            <w:hideMark/>
          </w:tcPr>
          <w:p w14:paraId="1EC2F803" w14:textId="77777777" w:rsidR="00DB6F19" w:rsidRPr="00D71BBE" w:rsidRDefault="00DB6F19" w:rsidP="00DB6F19">
            <w:pPr>
              <w:rPr>
                <w:rFonts w:ascii="Arial" w:hAnsi="Arial" w:cs="Arial"/>
                <w:b/>
                <w:bCs/>
                <w:color w:val="000000"/>
                <w:sz w:val="19"/>
                <w:szCs w:val="19"/>
                <w:lang w:val="en-GB" w:bidi="ne-NP"/>
              </w:rPr>
            </w:pPr>
            <w:r w:rsidRPr="00D71BBE">
              <w:rPr>
                <w:rFonts w:ascii="Arial" w:hAnsi="Arial" w:cs="Arial"/>
                <w:b/>
                <w:bCs/>
                <w:color w:val="000000"/>
                <w:sz w:val="19"/>
                <w:szCs w:val="19"/>
                <w:lang w:val="en-GB" w:bidi="ne-NP"/>
              </w:rPr>
              <w:t>Change in net assets</w:t>
            </w:r>
          </w:p>
        </w:tc>
        <w:tc>
          <w:tcPr>
            <w:tcW w:w="1239" w:type="dxa"/>
            <w:noWrap/>
            <w:vAlign w:val="center"/>
            <w:hideMark/>
          </w:tcPr>
          <w:p w14:paraId="38B154BF" w14:textId="77777777" w:rsidR="00DB6F19" w:rsidRPr="00D71BBE" w:rsidRDefault="00DB6F19" w:rsidP="00D71BBE">
            <w:pPr>
              <w:jc w:val="right"/>
              <w:rPr>
                <w:rFonts w:ascii="Arial" w:hAnsi="Arial" w:cs="Arial"/>
                <w:color w:val="000000"/>
                <w:sz w:val="19"/>
                <w:szCs w:val="19"/>
                <w:lang w:val="en-GB" w:bidi="ne-NP"/>
              </w:rPr>
            </w:pPr>
            <w:r w:rsidRPr="00D71BBE">
              <w:rPr>
                <w:rFonts w:ascii="Arial" w:hAnsi="Arial" w:cs="Arial"/>
                <w:color w:val="000000"/>
                <w:sz w:val="19"/>
                <w:szCs w:val="19"/>
                <w:lang w:val="en-GB" w:bidi="ne-NP"/>
              </w:rPr>
              <w:t>(4,285,677)</w:t>
            </w:r>
          </w:p>
        </w:tc>
        <w:tc>
          <w:tcPr>
            <w:tcW w:w="1239" w:type="dxa"/>
            <w:noWrap/>
            <w:vAlign w:val="center"/>
            <w:hideMark/>
          </w:tcPr>
          <w:p w14:paraId="060CEC12" w14:textId="77777777" w:rsidR="00DB6F19" w:rsidRPr="00D71BBE" w:rsidRDefault="00DB6F19" w:rsidP="00D71BBE">
            <w:pPr>
              <w:jc w:val="right"/>
              <w:rPr>
                <w:rFonts w:ascii="Arial" w:hAnsi="Arial" w:cs="Arial"/>
                <w:color w:val="000000"/>
                <w:sz w:val="19"/>
                <w:szCs w:val="19"/>
                <w:lang w:val="en-GB" w:bidi="ne-NP"/>
              </w:rPr>
            </w:pPr>
            <w:r w:rsidRPr="00D71BBE">
              <w:rPr>
                <w:rFonts w:ascii="Arial" w:hAnsi="Arial" w:cs="Arial"/>
                <w:color w:val="000000"/>
                <w:sz w:val="19"/>
                <w:szCs w:val="19"/>
                <w:lang w:val="en-GB" w:bidi="ne-NP"/>
              </w:rPr>
              <w:t>(2,006,487)</w:t>
            </w:r>
          </w:p>
        </w:tc>
        <w:tc>
          <w:tcPr>
            <w:tcW w:w="1217" w:type="dxa"/>
            <w:noWrap/>
            <w:vAlign w:val="center"/>
            <w:hideMark/>
          </w:tcPr>
          <w:p w14:paraId="38C9295C" w14:textId="77777777" w:rsidR="00DB6F19" w:rsidRPr="00D71BBE" w:rsidRDefault="00DB6F19" w:rsidP="00D71BBE">
            <w:pPr>
              <w:jc w:val="right"/>
              <w:rPr>
                <w:rFonts w:ascii="Arial" w:hAnsi="Arial" w:cs="Arial"/>
                <w:color w:val="000000"/>
                <w:sz w:val="19"/>
                <w:szCs w:val="19"/>
                <w:lang w:val="en-GB" w:bidi="ne-NP"/>
              </w:rPr>
            </w:pPr>
            <w:r w:rsidRPr="00D71BBE">
              <w:rPr>
                <w:rFonts w:ascii="Arial" w:hAnsi="Arial" w:cs="Arial"/>
                <w:color w:val="000000"/>
                <w:sz w:val="19"/>
                <w:szCs w:val="19"/>
                <w:lang w:val="en-GB" w:bidi="ne-NP"/>
              </w:rPr>
              <w:t>(957,092)</w:t>
            </w:r>
          </w:p>
        </w:tc>
        <w:tc>
          <w:tcPr>
            <w:tcW w:w="1217" w:type="dxa"/>
            <w:noWrap/>
            <w:vAlign w:val="center"/>
            <w:hideMark/>
          </w:tcPr>
          <w:p w14:paraId="18447874" w14:textId="77777777" w:rsidR="00DB6F19" w:rsidRPr="00D71BBE" w:rsidRDefault="00DB6F19" w:rsidP="00D71BBE">
            <w:pPr>
              <w:jc w:val="right"/>
              <w:rPr>
                <w:rFonts w:ascii="Arial" w:hAnsi="Arial" w:cs="Arial"/>
                <w:color w:val="000000"/>
                <w:sz w:val="19"/>
                <w:szCs w:val="19"/>
                <w:lang w:val="en-GB" w:bidi="ne-NP"/>
              </w:rPr>
            </w:pPr>
            <w:r w:rsidRPr="00D71BBE">
              <w:rPr>
                <w:rFonts w:ascii="Arial" w:hAnsi="Arial" w:cs="Arial"/>
                <w:color w:val="000000"/>
                <w:sz w:val="19"/>
                <w:szCs w:val="19"/>
                <w:lang w:val="en-GB" w:bidi="ne-NP"/>
              </w:rPr>
              <w:t>(698,688)</w:t>
            </w:r>
          </w:p>
        </w:tc>
        <w:tc>
          <w:tcPr>
            <w:tcW w:w="1239" w:type="dxa"/>
            <w:noWrap/>
            <w:vAlign w:val="center"/>
            <w:hideMark/>
          </w:tcPr>
          <w:p w14:paraId="15CDBF4D" w14:textId="77777777" w:rsidR="00DB6F19" w:rsidRPr="00D71BBE" w:rsidRDefault="00DB6F19" w:rsidP="00D71BBE">
            <w:pPr>
              <w:jc w:val="right"/>
              <w:rPr>
                <w:rFonts w:ascii="Arial" w:hAnsi="Arial" w:cs="Arial"/>
                <w:color w:val="000000"/>
                <w:sz w:val="19"/>
                <w:szCs w:val="19"/>
                <w:lang w:val="en-GB" w:bidi="ne-NP"/>
              </w:rPr>
            </w:pPr>
            <w:r w:rsidRPr="00D71BBE">
              <w:rPr>
                <w:rFonts w:ascii="Arial" w:hAnsi="Arial" w:cs="Arial"/>
                <w:color w:val="000000"/>
                <w:sz w:val="19"/>
                <w:szCs w:val="19"/>
                <w:lang w:val="en-GB" w:bidi="ne-NP"/>
              </w:rPr>
              <w:t>(1,162,478)</w:t>
            </w:r>
          </w:p>
        </w:tc>
        <w:tc>
          <w:tcPr>
            <w:tcW w:w="1239" w:type="dxa"/>
            <w:noWrap/>
            <w:vAlign w:val="center"/>
            <w:hideMark/>
          </w:tcPr>
          <w:p w14:paraId="1130B98D" w14:textId="77777777" w:rsidR="00DB6F19" w:rsidRPr="00D71BBE" w:rsidRDefault="00DB6F19" w:rsidP="00D71BBE">
            <w:pPr>
              <w:jc w:val="right"/>
              <w:rPr>
                <w:rFonts w:ascii="Arial" w:hAnsi="Arial" w:cs="Arial"/>
                <w:color w:val="000000"/>
                <w:sz w:val="19"/>
                <w:szCs w:val="19"/>
                <w:lang w:val="en-GB" w:bidi="ne-NP"/>
              </w:rPr>
            </w:pPr>
            <w:r w:rsidRPr="00D71BBE">
              <w:rPr>
                <w:rFonts w:ascii="Arial" w:hAnsi="Arial" w:cs="Arial"/>
                <w:color w:val="000000"/>
                <w:sz w:val="19"/>
                <w:szCs w:val="19"/>
                <w:lang w:val="en-GB" w:bidi="ne-NP"/>
              </w:rPr>
              <w:t>(4,662,991)</w:t>
            </w:r>
          </w:p>
        </w:tc>
      </w:tr>
    </w:tbl>
    <w:p w14:paraId="2963104E" w14:textId="2438C066" w:rsidR="00F35080" w:rsidRPr="007F62B6" w:rsidRDefault="00F35080" w:rsidP="006A64A7">
      <w:pPr>
        <w:pStyle w:val="ExhibitHeading"/>
        <w:rPr>
          <w:lang w:val="en-GB"/>
        </w:rPr>
      </w:pPr>
    </w:p>
    <w:p w14:paraId="58755860" w14:textId="77777777" w:rsidR="00F35080" w:rsidRPr="007F62B6" w:rsidRDefault="00F35080" w:rsidP="00F35080">
      <w:pPr>
        <w:rPr>
          <w:lang w:val="en-GB"/>
        </w:rPr>
      </w:pPr>
    </w:p>
    <w:p w14:paraId="422B5FBF" w14:textId="77777777" w:rsidR="00F35080" w:rsidRPr="007F62B6" w:rsidRDefault="00F35080" w:rsidP="00F35080">
      <w:pPr>
        <w:rPr>
          <w:lang w:val="en-GB"/>
        </w:rPr>
      </w:pPr>
    </w:p>
    <w:p w14:paraId="06BF4995" w14:textId="77777777" w:rsidR="006A64A7" w:rsidRPr="007F62B6" w:rsidRDefault="006A64A7" w:rsidP="00F35080">
      <w:pPr>
        <w:rPr>
          <w:lang w:val="en-GB"/>
        </w:rPr>
      </w:pPr>
    </w:p>
    <w:p w14:paraId="73767D77" w14:textId="77777777" w:rsidR="006A64A7" w:rsidRPr="007F62B6" w:rsidRDefault="006A64A7" w:rsidP="00F35080">
      <w:pPr>
        <w:rPr>
          <w:lang w:val="en-GB"/>
        </w:rPr>
      </w:pPr>
    </w:p>
    <w:p w14:paraId="23B8421B" w14:textId="77777777" w:rsidR="006A64A7" w:rsidRPr="007F62B6" w:rsidRDefault="006A64A7" w:rsidP="00F35080">
      <w:pPr>
        <w:rPr>
          <w:lang w:val="en-GB"/>
        </w:rPr>
      </w:pPr>
    </w:p>
    <w:p w14:paraId="6ECCD3A8" w14:textId="77777777" w:rsidR="006A64A7" w:rsidRPr="007F62B6" w:rsidRDefault="006A64A7" w:rsidP="00F35080">
      <w:pPr>
        <w:rPr>
          <w:lang w:val="en-GB"/>
        </w:rPr>
      </w:pPr>
    </w:p>
    <w:p w14:paraId="42E0C9AB" w14:textId="77777777" w:rsidR="006A64A7" w:rsidRPr="007F62B6" w:rsidRDefault="006A64A7" w:rsidP="00F35080">
      <w:pPr>
        <w:rPr>
          <w:lang w:val="en-GB"/>
        </w:rPr>
      </w:pPr>
    </w:p>
    <w:p w14:paraId="44A585DB" w14:textId="77777777" w:rsidR="006A64A7" w:rsidRPr="007F62B6" w:rsidRDefault="006A64A7" w:rsidP="00F35080">
      <w:pPr>
        <w:rPr>
          <w:lang w:val="en-GB"/>
        </w:rPr>
      </w:pPr>
    </w:p>
    <w:p w14:paraId="1D0CE925" w14:textId="77777777" w:rsidR="006A64A7" w:rsidRPr="007F62B6" w:rsidRDefault="006A64A7" w:rsidP="00F35080">
      <w:pPr>
        <w:rPr>
          <w:lang w:val="en-GB"/>
        </w:rPr>
      </w:pPr>
    </w:p>
    <w:p w14:paraId="1358E7F7" w14:textId="77777777" w:rsidR="006A64A7" w:rsidRPr="007F62B6" w:rsidRDefault="006A64A7" w:rsidP="00F35080">
      <w:pPr>
        <w:rPr>
          <w:lang w:val="en-GB"/>
        </w:rPr>
      </w:pPr>
    </w:p>
    <w:p w14:paraId="54C7B90F" w14:textId="77777777" w:rsidR="006A64A7" w:rsidRPr="007F62B6" w:rsidRDefault="006A64A7" w:rsidP="00F35080">
      <w:pPr>
        <w:rPr>
          <w:lang w:val="en-GB"/>
        </w:rPr>
      </w:pPr>
    </w:p>
    <w:p w14:paraId="0D13557C" w14:textId="77777777" w:rsidR="006A64A7" w:rsidRPr="007F62B6" w:rsidRDefault="006A64A7" w:rsidP="00F35080">
      <w:pPr>
        <w:rPr>
          <w:lang w:val="en-GB"/>
        </w:rPr>
      </w:pPr>
    </w:p>
    <w:p w14:paraId="39C33224" w14:textId="77777777" w:rsidR="006A64A7" w:rsidRPr="007F62B6" w:rsidRDefault="006A64A7" w:rsidP="00F35080">
      <w:pPr>
        <w:rPr>
          <w:lang w:val="en-GB"/>
        </w:rPr>
      </w:pPr>
    </w:p>
    <w:p w14:paraId="10675C7B" w14:textId="77777777" w:rsidR="006A64A7" w:rsidRPr="007F62B6" w:rsidRDefault="006A64A7" w:rsidP="00F35080">
      <w:pPr>
        <w:rPr>
          <w:lang w:val="en-GB"/>
        </w:rPr>
      </w:pPr>
    </w:p>
    <w:p w14:paraId="6853A682" w14:textId="77777777" w:rsidR="006A64A7" w:rsidRPr="007F62B6" w:rsidRDefault="006A64A7" w:rsidP="00F35080">
      <w:pPr>
        <w:rPr>
          <w:lang w:val="en-GB"/>
        </w:rPr>
      </w:pPr>
    </w:p>
    <w:p w14:paraId="6C27C288" w14:textId="77777777" w:rsidR="006A64A7" w:rsidRPr="007F62B6" w:rsidRDefault="006A64A7" w:rsidP="00F35080">
      <w:pPr>
        <w:rPr>
          <w:lang w:val="en-GB"/>
        </w:rPr>
      </w:pPr>
    </w:p>
    <w:p w14:paraId="4C5EDE88" w14:textId="77777777" w:rsidR="006A64A7" w:rsidRPr="007F62B6" w:rsidRDefault="006A64A7" w:rsidP="00F35080">
      <w:pPr>
        <w:rPr>
          <w:lang w:val="en-GB"/>
        </w:rPr>
      </w:pPr>
    </w:p>
    <w:p w14:paraId="6E8BDC73" w14:textId="77777777" w:rsidR="006A64A7" w:rsidRPr="007F62B6" w:rsidRDefault="006A64A7" w:rsidP="00F35080">
      <w:pPr>
        <w:rPr>
          <w:lang w:val="en-GB"/>
        </w:rPr>
      </w:pPr>
    </w:p>
    <w:p w14:paraId="069507D7" w14:textId="77777777" w:rsidR="006A64A7" w:rsidRPr="007F62B6" w:rsidRDefault="006A64A7" w:rsidP="00F35080">
      <w:pPr>
        <w:rPr>
          <w:lang w:val="en-GB"/>
        </w:rPr>
      </w:pPr>
    </w:p>
    <w:p w14:paraId="1E5A717D" w14:textId="77777777" w:rsidR="006A64A7" w:rsidRPr="007F62B6" w:rsidRDefault="006A64A7" w:rsidP="00F35080">
      <w:pPr>
        <w:rPr>
          <w:lang w:val="en-GB"/>
        </w:rPr>
      </w:pPr>
    </w:p>
    <w:p w14:paraId="7E68FF89" w14:textId="77777777" w:rsidR="00DB6F19" w:rsidRPr="00DB6F19" w:rsidRDefault="00DB6F19" w:rsidP="00F35080">
      <w:pPr>
        <w:rPr>
          <w:sz w:val="28"/>
          <w:lang w:val="en-GB"/>
        </w:rPr>
      </w:pPr>
    </w:p>
    <w:p w14:paraId="1504ED8B" w14:textId="619211FF" w:rsidR="00F35080" w:rsidRPr="007F62B6" w:rsidRDefault="006A64A7" w:rsidP="006A64A7">
      <w:pPr>
        <w:pStyle w:val="Footnote"/>
        <w:rPr>
          <w:rFonts w:ascii="Times New Roman" w:hAnsi="Times New Roman" w:cs="Times New Roman"/>
          <w:lang w:val="en-GB"/>
        </w:rPr>
      </w:pPr>
      <w:r w:rsidRPr="007F62B6">
        <w:rPr>
          <w:lang w:val="en-GB"/>
        </w:rPr>
        <w:t>Source:</w:t>
      </w:r>
      <w:r w:rsidR="00E6497F" w:rsidRPr="007F62B6">
        <w:rPr>
          <w:lang w:val="en-GB"/>
        </w:rPr>
        <w:t xml:space="preserve"> </w:t>
      </w:r>
      <w:r w:rsidRPr="007F62B6">
        <w:rPr>
          <w:lang w:val="en-GB"/>
        </w:rPr>
        <w:t xml:space="preserve">Created by </w:t>
      </w:r>
      <w:r w:rsidR="00CA186C">
        <w:rPr>
          <w:lang w:val="en-GB"/>
        </w:rPr>
        <w:t xml:space="preserve">the </w:t>
      </w:r>
      <w:r w:rsidRPr="007F62B6">
        <w:rPr>
          <w:lang w:val="en-GB"/>
        </w:rPr>
        <w:t>authors using company documents.</w:t>
      </w:r>
      <w:r w:rsidR="00F35080" w:rsidRPr="007F62B6">
        <w:rPr>
          <w:rFonts w:ascii="Times New Roman" w:hAnsi="Times New Roman" w:cs="Times New Roman"/>
          <w:lang w:val="en-GB"/>
        </w:rPr>
        <w:br w:type="page"/>
      </w:r>
    </w:p>
    <w:p w14:paraId="7919A816" w14:textId="43093AD2" w:rsidR="00F35080" w:rsidRPr="007F62B6" w:rsidRDefault="00F35080" w:rsidP="005A108D">
      <w:pPr>
        <w:pStyle w:val="ExhibitHeading"/>
        <w:rPr>
          <w:lang w:val="en-GB"/>
        </w:rPr>
      </w:pPr>
      <w:r w:rsidRPr="007F62B6">
        <w:rPr>
          <w:lang w:val="en-GB"/>
        </w:rPr>
        <w:lastRenderedPageBreak/>
        <w:t>Exhibit 3</w:t>
      </w:r>
      <w:r w:rsidR="005A108D" w:rsidRPr="007F62B6">
        <w:rPr>
          <w:lang w:val="en-GB"/>
        </w:rPr>
        <w:t>:</w:t>
      </w:r>
      <w:r w:rsidRPr="007F62B6">
        <w:rPr>
          <w:lang w:val="en-GB"/>
        </w:rPr>
        <w:t xml:space="preserve"> Size of </w:t>
      </w:r>
      <w:r w:rsidR="00020B4F">
        <w:rPr>
          <w:lang w:val="en-GB"/>
        </w:rPr>
        <w:t xml:space="preserve">the </w:t>
      </w:r>
      <w:r w:rsidR="008D6FB6">
        <w:rPr>
          <w:lang w:val="en-GB"/>
        </w:rPr>
        <w:t>US</w:t>
      </w:r>
      <w:r w:rsidRPr="007F62B6">
        <w:rPr>
          <w:lang w:val="en-GB"/>
        </w:rPr>
        <w:t xml:space="preserve"> Long</w:t>
      </w:r>
      <w:r w:rsidR="008C17DE">
        <w:rPr>
          <w:lang w:val="en-GB"/>
        </w:rPr>
        <w:t>-</w:t>
      </w:r>
      <w:r w:rsidRPr="007F62B6">
        <w:rPr>
          <w:lang w:val="en-GB"/>
        </w:rPr>
        <w:t>Term Care Market</w:t>
      </w:r>
      <w:r w:rsidR="008C17DE">
        <w:rPr>
          <w:lang w:val="en-GB"/>
        </w:rPr>
        <w:t>, 2011–2015</w:t>
      </w:r>
      <w:r w:rsidRPr="007F62B6">
        <w:rPr>
          <w:lang w:val="en-GB"/>
        </w:rPr>
        <w:t xml:space="preserve"> </w:t>
      </w:r>
      <w:r w:rsidR="008C17DE">
        <w:rPr>
          <w:lang w:val="en-GB"/>
        </w:rPr>
        <w:t>(</w:t>
      </w:r>
      <w:r w:rsidRPr="007F62B6">
        <w:rPr>
          <w:lang w:val="en-GB"/>
        </w:rPr>
        <w:t xml:space="preserve">in </w:t>
      </w:r>
      <w:r w:rsidR="005A108D" w:rsidRPr="007F62B6">
        <w:rPr>
          <w:lang w:val="en-GB"/>
        </w:rPr>
        <w:t>US</w:t>
      </w:r>
      <w:r w:rsidRPr="007F62B6">
        <w:rPr>
          <w:lang w:val="en-GB"/>
        </w:rPr>
        <w:t>$ Millions</w:t>
      </w:r>
      <w:r w:rsidR="008C17DE">
        <w:rPr>
          <w:lang w:val="en-GB"/>
        </w:rPr>
        <w:t>)</w:t>
      </w:r>
    </w:p>
    <w:p w14:paraId="685255D7" w14:textId="77777777" w:rsidR="00F35080" w:rsidRPr="007F62B6" w:rsidRDefault="00F35080" w:rsidP="00F35080">
      <w:pPr>
        <w:rPr>
          <w:lang w:val="en-GB"/>
        </w:rPr>
      </w:pPr>
    </w:p>
    <w:tbl>
      <w:tblPr>
        <w:tblStyle w:val="TableGridLight1"/>
        <w:tblpPr w:leftFromText="180" w:rightFromText="180" w:vertAnchor="page" w:horzAnchor="margin" w:tblpXSpec="center" w:tblpY="2270"/>
        <w:tblW w:w="8905" w:type="dxa"/>
        <w:tblLook w:val="04A0" w:firstRow="1" w:lastRow="0" w:firstColumn="1" w:lastColumn="0" w:noHBand="0" w:noVBand="1"/>
      </w:tblPr>
      <w:tblGrid>
        <w:gridCol w:w="661"/>
        <w:gridCol w:w="2124"/>
        <w:gridCol w:w="1350"/>
        <w:gridCol w:w="1530"/>
        <w:gridCol w:w="1800"/>
        <w:gridCol w:w="1440"/>
      </w:tblGrid>
      <w:tr w:rsidR="005A108D" w:rsidRPr="007F62B6" w14:paraId="28724FBA" w14:textId="77777777" w:rsidTr="005A108D">
        <w:trPr>
          <w:trHeight w:val="259"/>
        </w:trPr>
        <w:tc>
          <w:tcPr>
            <w:tcW w:w="661" w:type="dxa"/>
            <w:hideMark/>
          </w:tcPr>
          <w:p w14:paraId="2CEBD6D1" w14:textId="77777777" w:rsidR="005A108D" w:rsidRPr="007F62B6" w:rsidRDefault="005A108D" w:rsidP="005A108D">
            <w:pPr>
              <w:jc w:val="center"/>
              <w:rPr>
                <w:rFonts w:ascii="Arial" w:hAnsi="Arial" w:cs="Arial"/>
                <w:color w:val="000000"/>
                <w:lang w:val="en-GB" w:bidi="ne-NP"/>
              </w:rPr>
            </w:pPr>
            <w:r w:rsidRPr="007F62B6">
              <w:rPr>
                <w:rFonts w:ascii="Arial" w:hAnsi="Arial" w:cs="Arial"/>
                <w:b/>
                <w:bCs/>
                <w:color w:val="010202"/>
                <w:lang w:val="en-GB" w:bidi="ne-NP"/>
              </w:rPr>
              <w:t>Year</w:t>
            </w:r>
          </w:p>
        </w:tc>
        <w:tc>
          <w:tcPr>
            <w:tcW w:w="2124" w:type="dxa"/>
            <w:hideMark/>
          </w:tcPr>
          <w:p w14:paraId="6E9CDAED" w14:textId="77777777" w:rsidR="005A108D" w:rsidRPr="007F62B6" w:rsidRDefault="005A108D" w:rsidP="005A108D">
            <w:pPr>
              <w:jc w:val="center"/>
              <w:rPr>
                <w:rFonts w:ascii="Arial" w:hAnsi="Arial" w:cs="Arial"/>
                <w:b/>
                <w:bCs/>
                <w:color w:val="010202"/>
                <w:lang w:val="en-GB" w:bidi="ne-NP"/>
              </w:rPr>
            </w:pPr>
            <w:r w:rsidRPr="007F62B6">
              <w:rPr>
                <w:rFonts w:ascii="Arial" w:hAnsi="Arial" w:cs="Arial"/>
                <w:b/>
                <w:bCs/>
                <w:color w:val="010202"/>
                <w:lang w:val="en-GB" w:bidi="ne-NP"/>
              </w:rPr>
              <w:t>Nursing Home Care</w:t>
            </w:r>
          </w:p>
        </w:tc>
        <w:tc>
          <w:tcPr>
            <w:tcW w:w="1350" w:type="dxa"/>
            <w:hideMark/>
          </w:tcPr>
          <w:p w14:paraId="1287AF7C" w14:textId="77777777" w:rsidR="005A108D" w:rsidRPr="007F62B6" w:rsidRDefault="005A108D" w:rsidP="005A108D">
            <w:pPr>
              <w:jc w:val="center"/>
              <w:rPr>
                <w:rFonts w:ascii="Arial" w:hAnsi="Arial" w:cs="Arial"/>
                <w:b/>
                <w:bCs/>
                <w:color w:val="010202"/>
                <w:lang w:val="en-GB" w:bidi="ne-NP"/>
              </w:rPr>
            </w:pPr>
            <w:r w:rsidRPr="007F62B6">
              <w:rPr>
                <w:rFonts w:ascii="Arial" w:hAnsi="Arial" w:cs="Arial"/>
                <w:b/>
                <w:bCs/>
                <w:color w:val="010202"/>
                <w:lang w:val="en-GB" w:bidi="ne-NP"/>
              </w:rPr>
              <w:t>Home Care</w:t>
            </w:r>
          </w:p>
        </w:tc>
        <w:tc>
          <w:tcPr>
            <w:tcW w:w="1530" w:type="dxa"/>
            <w:hideMark/>
          </w:tcPr>
          <w:p w14:paraId="7A63E569" w14:textId="77777777" w:rsidR="005A108D" w:rsidRPr="007F62B6" w:rsidRDefault="005A108D" w:rsidP="005A108D">
            <w:pPr>
              <w:jc w:val="center"/>
              <w:rPr>
                <w:rFonts w:ascii="Arial" w:hAnsi="Arial" w:cs="Arial"/>
                <w:b/>
                <w:bCs/>
                <w:color w:val="010202"/>
                <w:lang w:val="en-GB" w:bidi="ne-NP"/>
              </w:rPr>
            </w:pPr>
            <w:r w:rsidRPr="007F62B6">
              <w:rPr>
                <w:rFonts w:ascii="Arial" w:hAnsi="Arial" w:cs="Arial"/>
                <w:b/>
                <w:bCs/>
                <w:color w:val="010202"/>
                <w:lang w:val="en-GB" w:bidi="ne-NP"/>
              </w:rPr>
              <w:t>Hospice Care</w:t>
            </w:r>
          </w:p>
        </w:tc>
        <w:tc>
          <w:tcPr>
            <w:tcW w:w="1800" w:type="dxa"/>
            <w:hideMark/>
          </w:tcPr>
          <w:p w14:paraId="6564E447" w14:textId="77777777" w:rsidR="005A108D" w:rsidRPr="007F62B6" w:rsidRDefault="005A108D" w:rsidP="005A108D">
            <w:pPr>
              <w:jc w:val="center"/>
              <w:rPr>
                <w:rFonts w:ascii="Arial" w:hAnsi="Arial" w:cs="Arial"/>
                <w:b/>
                <w:bCs/>
                <w:color w:val="010202"/>
                <w:lang w:val="en-GB" w:bidi="ne-NP"/>
              </w:rPr>
            </w:pPr>
            <w:r w:rsidRPr="007F62B6">
              <w:rPr>
                <w:rFonts w:ascii="Arial" w:hAnsi="Arial" w:cs="Arial"/>
                <w:b/>
                <w:bCs/>
                <w:color w:val="010202"/>
                <w:lang w:val="en-GB" w:bidi="ne-NP"/>
              </w:rPr>
              <w:t>Assisted Living</w:t>
            </w:r>
          </w:p>
        </w:tc>
        <w:tc>
          <w:tcPr>
            <w:tcW w:w="1440" w:type="dxa"/>
            <w:hideMark/>
          </w:tcPr>
          <w:p w14:paraId="6A9670CD" w14:textId="77777777" w:rsidR="005A108D" w:rsidRPr="007F62B6" w:rsidRDefault="005A108D" w:rsidP="005A108D">
            <w:pPr>
              <w:jc w:val="center"/>
              <w:rPr>
                <w:rFonts w:ascii="Arial" w:hAnsi="Arial" w:cs="Arial"/>
                <w:color w:val="000000"/>
                <w:lang w:val="en-GB" w:bidi="ne-NP"/>
              </w:rPr>
            </w:pPr>
            <w:r w:rsidRPr="007F62B6">
              <w:rPr>
                <w:rFonts w:ascii="Arial" w:hAnsi="Arial" w:cs="Arial"/>
                <w:b/>
                <w:bCs/>
                <w:color w:val="010202"/>
                <w:lang w:val="en-GB" w:bidi="ne-NP"/>
              </w:rPr>
              <w:t>Total</w:t>
            </w:r>
          </w:p>
        </w:tc>
      </w:tr>
      <w:tr w:rsidR="005A108D" w:rsidRPr="007F62B6" w14:paraId="61BC3734" w14:textId="77777777" w:rsidTr="005A108D">
        <w:trPr>
          <w:trHeight w:val="259"/>
        </w:trPr>
        <w:tc>
          <w:tcPr>
            <w:tcW w:w="661" w:type="dxa"/>
            <w:hideMark/>
          </w:tcPr>
          <w:p w14:paraId="44695196" w14:textId="77777777" w:rsidR="005A108D" w:rsidRPr="007F62B6" w:rsidRDefault="005A108D" w:rsidP="005A108D">
            <w:pPr>
              <w:jc w:val="center"/>
              <w:rPr>
                <w:rFonts w:ascii="Arial" w:hAnsi="Arial" w:cs="Arial"/>
                <w:color w:val="010202"/>
                <w:lang w:val="en-GB" w:bidi="ne-NP"/>
              </w:rPr>
            </w:pPr>
            <w:r w:rsidRPr="007F62B6">
              <w:rPr>
                <w:rFonts w:ascii="Arial" w:hAnsi="Arial" w:cs="Arial"/>
                <w:color w:val="010202"/>
                <w:lang w:val="en-GB" w:bidi="ne-NP"/>
              </w:rPr>
              <w:t>2011</w:t>
            </w:r>
          </w:p>
        </w:tc>
        <w:tc>
          <w:tcPr>
            <w:tcW w:w="2124" w:type="dxa"/>
            <w:hideMark/>
          </w:tcPr>
          <w:p w14:paraId="176BB81E" w14:textId="77777777" w:rsidR="005A108D" w:rsidRPr="007F62B6" w:rsidRDefault="005A108D" w:rsidP="005A108D">
            <w:pPr>
              <w:jc w:val="center"/>
              <w:rPr>
                <w:rFonts w:ascii="Arial" w:hAnsi="Arial" w:cs="Arial"/>
                <w:color w:val="010202"/>
                <w:lang w:val="en-GB" w:bidi="ne-NP"/>
              </w:rPr>
            </w:pPr>
            <w:r w:rsidRPr="007F62B6">
              <w:rPr>
                <w:rFonts w:ascii="Arial" w:hAnsi="Arial" w:cs="Arial"/>
                <w:color w:val="010202"/>
                <w:lang w:val="en-GB" w:bidi="ne-NP"/>
              </w:rPr>
              <w:t>108,298</w:t>
            </w:r>
          </w:p>
        </w:tc>
        <w:tc>
          <w:tcPr>
            <w:tcW w:w="1350" w:type="dxa"/>
            <w:hideMark/>
          </w:tcPr>
          <w:p w14:paraId="1A831B76" w14:textId="77777777" w:rsidR="005A108D" w:rsidRPr="007F62B6" w:rsidRDefault="005A108D" w:rsidP="005A108D">
            <w:pPr>
              <w:jc w:val="center"/>
              <w:rPr>
                <w:rFonts w:ascii="Arial" w:hAnsi="Arial" w:cs="Arial"/>
                <w:color w:val="010202"/>
                <w:lang w:val="en-GB" w:bidi="ne-NP"/>
              </w:rPr>
            </w:pPr>
            <w:r w:rsidRPr="007F62B6">
              <w:rPr>
                <w:rFonts w:ascii="Arial" w:hAnsi="Arial" w:cs="Arial"/>
                <w:color w:val="010202"/>
                <w:lang w:val="en-GB" w:bidi="ne-NP"/>
              </w:rPr>
              <w:t>75,488</w:t>
            </w:r>
          </w:p>
        </w:tc>
        <w:tc>
          <w:tcPr>
            <w:tcW w:w="1530" w:type="dxa"/>
            <w:hideMark/>
          </w:tcPr>
          <w:p w14:paraId="32C13910" w14:textId="77777777" w:rsidR="005A108D" w:rsidRPr="007F62B6" w:rsidRDefault="005A108D" w:rsidP="005A108D">
            <w:pPr>
              <w:jc w:val="center"/>
              <w:rPr>
                <w:rFonts w:ascii="Arial" w:hAnsi="Arial" w:cs="Arial"/>
                <w:color w:val="010202"/>
                <w:lang w:val="en-GB" w:bidi="ne-NP"/>
              </w:rPr>
            </w:pPr>
            <w:r w:rsidRPr="007F62B6">
              <w:rPr>
                <w:rFonts w:ascii="Arial" w:hAnsi="Arial" w:cs="Arial"/>
                <w:color w:val="010202"/>
                <w:lang w:val="en-GB" w:bidi="ne-NP"/>
              </w:rPr>
              <w:t>15,967</w:t>
            </w:r>
          </w:p>
        </w:tc>
        <w:tc>
          <w:tcPr>
            <w:tcW w:w="1800" w:type="dxa"/>
            <w:hideMark/>
          </w:tcPr>
          <w:p w14:paraId="39B6E152" w14:textId="77777777" w:rsidR="005A108D" w:rsidRPr="007F62B6" w:rsidRDefault="005A108D" w:rsidP="005A108D">
            <w:pPr>
              <w:jc w:val="center"/>
              <w:rPr>
                <w:rFonts w:ascii="Arial" w:hAnsi="Arial" w:cs="Arial"/>
                <w:color w:val="010202"/>
                <w:lang w:val="en-GB" w:bidi="ne-NP"/>
              </w:rPr>
            </w:pPr>
            <w:r w:rsidRPr="007F62B6">
              <w:rPr>
                <w:rFonts w:ascii="Arial" w:hAnsi="Arial" w:cs="Arial"/>
                <w:color w:val="010202"/>
                <w:lang w:val="en-GB" w:bidi="ne-NP"/>
              </w:rPr>
              <w:t>56,353</w:t>
            </w:r>
          </w:p>
        </w:tc>
        <w:tc>
          <w:tcPr>
            <w:tcW w:w="1440" w:type="dxa"/>
            <w:hideMark/>
          </w:tcPr>
          <w:p w14:paraId="37EEDDB5" w14:textId="77777777" w:rsidR="005A108D" w:rsidRPr="007F62B6" w:rsidRDefault="005A108D" w:rsidP="005A108D">
            <w:pPr>
              <w:jc w:val="center"/>
              <w:rPr>
                <w:rFonts w:ascii="Arial" w:hAnsi="Arial" w:cs="Arial"/>
                <w:color w:val="010202"/>
                <w:lang w:val="en-GB" w:bidi="ne-NP"/>
              </w:rPr>
            </w:pPr>
            <w:r w:rsidRPr="007F62B6">
              <w:rPr>
                <w:rFonts w:ascii="Arial" w:hAnsi="Arial" w:cs="Arial"/>
                <w:color w:val="010202"/>
                <w:lang w:val="en-GB" w:bidi="ne-NP"/>
              </w:rPr>
              <w:t>256,106</w:t>
            </w:r>
          </w:p>
        </w:tc>
      </w:tr>
      <w:tr w:rsidR="005A108D" w:rsidRPr="007F62B6" w14:paraId="099FDFA4" w14:textId="77777777" w:rsidTr="005A108D">
        <w:trPr>
          <w:trHeight w:val="268"/>
        </w:trPr>
        <w:tc>
          <w:tcPr>
            <w:tcW w:w="661" w:type="dxa"/>
            <w:hideMark/>
          </w:tcPr>
          <w:p w14:paraId="0C9EA68D" w14:textId="77777777" w:rsidR="005A108D" w:rsidRPr="007F62B6" w:rsidRDefault="005A108D" w:rsidP="005A108D">
            <w:pPr>
              <w:jc w:val="center"/>
              <w:rPr>
                <w:rFonts w:ascii="Arial" w:hAnsi="Arial" w:cs="Arial"/>
                <w:color w:val="010202"/>
                <w:lang w:val="en-GB" w:bidi="ne-NP"/>
              </w:rPr>
            </w:pPr>
            <w:r w:rsidRPr="007F62B6">
              <w:rPr>
                <w:rFonts w:ascii="Arial" w:hAnsi="Arial" w:cs="Arial"/>
                <w:color w:val="010202"/>
                <w:lang w:val="en-GB" w:bidi="ne-NP"/>
              </w:rPr>
              <w:t>2012</w:t>
            </w:r>
          </w:p>
        </w:tc>
        <w:tc>
          <w:tcPr>
            <w:tcW w:w="2124" w:type="dxa"/>
            <w:hideMark/>
          </w:tcPr>
          <w:p w14:paraId="3D682ED6" w14:textId="77777777" w:rsidR="005A108D" w:rsidRPr="007F62B6" w:rsidRDefault="005A108D" w:rsidP="005A108D">
            <w:pPr>
              <w:jc w:val="center"/>
              <w:rPr>
                <w:rFonts w:ascii="Arial" w:hAnsi="Arial" w:cs="Arial"/>
                <w:color w:val="010202"/>
                <w:lang w:val="en-GB" w:bidi="ne-NP"/>
              </w:rPr>
            </w:pPr>
            <w:r w:rsidRPr="007F62B6">
              <w:rPr>
                <w:rFonts w:ascii="Arial" w:hAnsi="Arial" w:cs="Arial"/>
                <w:color w:val="010202"/>
                <w:lang w:val="en-GB" w:bidi="ne-NP"/>
              </w:rPr>
              <w:t>109,056</w:t>
            </w:r>
          </w:p>
        </w:tc>
        <w:tc>
          <w:tcPr>
            <w:tcW w:w="1350" w:type="dxa"/>
            <w:hideMark/>
          </w:tcPr>
          <w:p w14:paraId="60D9A9BF" w14:textId="77777777" w:rsidR="005A108D" w:rsidRPr="007F62B6" w:rsidRDefault="005A108D" w:rsidP="005A108D">
            <w:pPr>
              <w:jc w:val="center"/>
              <w:rPr>
                <w:rFonts w:ascii="Arial" w:hAnsi="Arial" w:cs="Arial"/>
                <w:color w:val="010202"/>
                <w:lang w:val="en-GB" w:bidi="ne-NP"/>
              </w:rPr>
            </w:pPr>
            <w:r w:rsidRPr="007F62B6">
              <w:rPr>
                <w:rFonts w:ascii="Arial" w:hAnsi="Arial" w:cs="Arial"/>
                <w:color w:val="010202"/>
                <w:lang w:val="en-GB" w:bidi="ne-NP"/>
              </w:rPr>
              <w:t>81,074</w:t>
            </w:r>
          </w:p>
        </w:tc>
        <w:tc>
          <w:tcPr>
            <w:tcW w:w="1530" w:type="dxa"/>
            <w:hideMark/>
          </w:tcPr>
          <w:p w14:paraId="1951F4B5" w14:textId="77777777" w:rsidR="005A108D" w:rsidRPr="007F62B6" w:rsidRDefault="005A108D" w:rsidP="005A108D">
            <w:pPr>
              <w:jc w:val="center"/>
              <w:rPr>
                <w:rFonts w:ascii="Arial" w:hAnsi="Arial" w:cs="Arial"/>
                <w:color w:val="010202"/>
                <w:lang w:val="en-GB" w:bidi="ne-NP"/>
              </w:rPr>
            </w:pPr>
            <w:r w:rsidRPr="007F62B6">
              <w:rPr>
                <w:rFonts w:ascii="Arial" w:hAnsi="Arial" w:cs="Arial"/>
                <w:color w:val="010202"/>
                <w:lang w:val="en-GB" w:bidi="ne-NP"/>
              </w:rPr>
              <w:t>16,414</w:t>
            </w:r>
          </w:p>
        </w:tc>
        <w:tc>
          <w:tcPr>
            <w:tcW w:w="1800" w:type="dxa"/>
            <w:hideMark/>
          </w:tcPr>
          <w:p w14:paraId="782581F1" w14:textId="77777777" w:rsidR="005A108D" w:rsidRPr="007F62B6" w:rsidRDefault="005A108D" w:rsidP="005A108D">
            <w:pPr>
              <w:jc w:val="center"/>
              <w:rPr>
                <w:rFonts w:ascii="Arial" w:hAnsi="Arial" w:cs="Arial"/>
                <w:color w:val="010202"/>
                <w:lang w:val="en-GB" w:bidi="ne-NP"/>
              </w:rPr>
            </w:pPr>
            <w:r w:rsidRPr="007F62B6">
              <w:rPr>
                <w:rFonts w:ascii="Arial" w:hAnsi="Arial" w:cs="Arial"/>
                <w:color w:val="010202"/>
                <w:lang w:val="en-GB" w:bidi="ne-NP"/>
              </w:rPr>
              <w:t>59,735</w:t>
            </w:r>
          </w:p>
        </w:tc>
        <w:tc>
          <w:tcPr>
            <w:tcW w:w="1440" w:type="dxa"/>
            <w:hideMark/>
          </w:tcPr>
          <w:p w14:paraId="51F6F19C" w14:textId="77777777" w:rsidR="005A108D" w:rsidRPr="007F62B6" w:rsidRDefault="005A108D" w:rsidP="005A108D">
            <w:pPr>
              <w:jc w:val="center"/>
              <w:rPr>
                <w:rFonts w:ascii="Arial" w:hAnsi="Arial" w:cs="Arial"/>
                <w:color w:val="010202"/>
                <w:lang w:val="en-GB" w:bidi="ne-NP"/>
              </w:rPr>
            </w:pPr>
            <w:r w:rsidRPr="007F62B6">
              <w:rPr>
                <w:rFonts w:ascii="Arial" w:hAnsi="Arial" w:cs="Arial"/>
                <w:color w:val="010202"/>
                <w:lang w:val="en-GB" w:bidi="ne-NP"/>
              </w:rPr>
              <w:t>266,279</w:t>
            </w:r>
          </w:p>
        </w:tc>
      </w:tr>
      <w:tr w:rsidR="005A108D" w:rsidRPr="007F62B6" w14:paraId="1F6D19CD" w14:textId="77777777" w:rsidTr="005A108D">
        <w:trPr>
          <w:trHeight w:val="268"/>
        </w:trPr>
        <w:tc>
          <w:tcPr>
            <w:tcW w:w="661" w:type="dxa"/>
            <w:hideMark/>
          </w:tcPr>
          <w:p w14:paraId="5553549E" w14:textId="77777777" w:rsidR="005A108D" w:rsidRPr="007F62B6" w:rsidRDefault="005A108D" w:rsidP="005A108D">
            <w:pPr>
              <w:jc w:val="center"/>
              <w:rPr>
                <w:rFonts w:ascii="Arial" w:hAnsi="Arial" w:cs="Arial"/>
                <w:color w:val="010202"/>
                <w:lang w:val="en-GB" w:bidi="ne-NP"/>
              </w:rPr>
            </w:pPr>
            <w:r w:rsidRPr="007F62B6">
              <w:rPr>
                <w:rFonts w:ascii="Arial" w:hAnsi="Arial" w:cs="Arial"/>
                <w:color w:val="010202"/>
                <w:lang w:val="en-GB" w:bidi="ne-NP"/>
              </w:rPr>
              <w:t>2013</w:t>
            </w:r>
          </w:p>
        </w:tc>
        <w:tc>
          <w:tcPr>
            <w:tcW w:w="2124" w:type="dxa"/>
            <w:hideMark/>
          </w:tcPr>
          <w:p w14:paraId="78E21A85" w14:textId="77777777" w:rsidR="005A108D" w:rsidRPr="007F62B6" w:rsidRDefault="005A108D" w:rsidP="005A108D">
            <w:pPr>
              <w:jc w:val="center"/>
              <w:rPr>
                <w:rFonts w:ascii="Arial" w:hAnsi="Arial" w:cs="Arial"/>
                <w:color w:val="010202"/>
                <w:lang w:val="en-GB" w:bidi="ne-NP"/>
              </w:rPr>
            </w:pPr>
            <w:r w:rsidRPr="007F62B6">
              <w:rPr>
                <w:rFonts w:ascii="Arial" w:hAnsi="Arial" w:cs="Arial"/>
                <w:color w:val="010202"/>
                <w:lang w:val="en-GB" w:bidi="ne-NP"/>
              </w:rPr>
              <w:t>110,454</w:t>
            </w:r>
          </w:p>
        </w:tc>
        <w:tc>
          <w:tcPr>
            <w:tcW w:w="1350" w:type="dxa"/>
            <w:hideMark/>
          </w:tcPr>
          <w:p w14:paraId="15205A74" w14:textId="77777777" w:rsidR="005A108D" w:rsidRPr="007F62B6" w:rsidRDefault="005A108D" w:rsidP="005A108D">
            <w:pPr>
              <w:jc w:val="center"/>
              <w:rPr>
                <w:rFonts w:ascii="Arial" w:hAnsi="Arial" w:cs="Arial"/>
                <w:color w:val="010202"/>
                <w:lang w:val="en-GB" w:bidi="ne-NP"/>
              </w:rPr>
            </w:pPr>
            <w:r w:rsidRPr="007F62B6">
              <w:rPr>
                <w:rFonts w:ascii="Arial" w:hAnsi="Arial" w:cs="Arial"/>
                <w:color w:val="010202"/>
                <w:lang w:val="en-GB" w:bidi="ne-NP"/>
              </w:rPr>
              <w:t>86,911</w:t>
            </w:r>
          </w:p>
        </w:tc>
        <w:tc>
          <w:tcPr>
            <w:tcW w:w="1530" w:type="dxa"/>
            <w:hideMark/>
          </w:tcPr>
          <w:p w14:paraId="153ACA9E" w14:textId="77777777" w:rsidR="005A108D" w:rsidRPr="007F62B6" w:rsidRDefault="005A108D" w:rsidP="005A108D">
            <w:pPr>
              <w:jc w:val="center"/>
              <w:rPr>
                <w:rFonts w:ascii="Arial" w:hAnsi="Arial" w:cs="Arial"/>
                <w:color w:val="010202"/>
                <w:lang w:val="en-GB" w:bidi="ne-NP"/>
              </w:rPr>
            </w:pPr>
            <w:r w:rsidRPr="007F62B6">
              <w:rPr>
                <w:rFonts w:ascii="Arial" w:hAnsi="Arial" w:cs="Arial"/>
                <w:color w:val="010202"/>
                <w:lang w:val="en-GB" w:bidi="ne-NP"/>
              </w:rPr>
              <w:t>16,956</w:t>
            </w:r>
          </w:p>
        </w:tc>
        <w:tc>
          <w:tcPr>
            <w:tcW w:w="1800" w:type="dxa"/>
            <w:hideMark/>
          </w:tcPr>
          <w:p w14:paraId="0B7BC4E7" w14:textId="77777777" w:rsidR="005A108D" w:rsidRPr="007F62B6" w:rsidRDefault="005A108D" w:rsidP="005A108D">
            <w:pPr>
              <w:jc w:val="center"/>
              <w:rPr>
                <w:rFonts w:ascii="Arial" w:hAnsi="Arial" w:cs="Arial"/>
                <w:color w:val="010202"/>
                <w:lang w:val="en-GB" w:bidi="ne-NP"/>
              </w:rPr>
            </w:pPr>
            <w:r w:rsidRPr="007F62B6">
              <w:rPr>
                <w:rFonts w:ascii="Arial" w:hAnsi="Arial" w:cs="Arial"/>
                <w:color w:val="010202"/>
                <w:lang w:val="en-GB" w:bidi="ne-NP"/>
              </w:rPr>
              <w:t>63,617</w:t>
            </w:r>
          </w:p>
        </w:tc>
        <w:tc>
          <w:tcPr>
            <w:tcW w:w="1440" w:type="dxa"/>
            <w:hideMark/>
          </w:tcPr>
          <w:p w14:paraId="263D798F" w14:textId="77777777" w:rsidR="005A108D" w:rsidRPr="007F62B6" w:rsidRDefault="005A108D" w:rsidP="005A108D">
            <w:pPr>
              <w:jc w:val="center"/>
              <w:rPr>
                <w:rFonts w:ascii="Arial" w:hAnsi="Arial" w:cs="Arial"/>
                <w:color w:val="010202"/>
                <w:lang w:val="en-GB" w:bidi="ne-NP"/>
              </w:rPr>
            </w:pPr>
            <w:r w:rsidRPr="007F62B6">
              <w:rPr>
                <w:rFonts w:ascii="Arial" w:hAnsi="Arial" w:cs="Arial"/>
                <w:color w:val="010202"/>
                <w:lang w:val="en-GB" w:bidi="ne-NP"/>
              </w:rPr>
              <w:t>277,938</w:t>
            </w:r>
          </w:p>
        </w:tc>
      </w:tr>
      <w:tr w:rsidR="005A108D" w:rsidRPr="007F62B6" w14:paraId="75100CE2" w14:textId="77777777" w:rsidTr="005A108D">
        <w:trPr>
          <w:trHeight w:val="313"/>
        </w:trPr>
        <w:tc>
          <w:tcPr>
            <w:tcW w:w="661" w:type="dxa"/>
            <w:hideMark/>
          </w:tcPr>
          <w:p w14:paraId="37837F73" w14:textId="77777777" w:rsidR="005A108D" w:rsidRPr="007F62B6" w:rsidRDefault="005A108D" w:rsidP="005A108D">
            <w:pPr>
              <w:jc w:val="center"/>
              <w:rPr>
                <w:rFonts w:ascii="Arial" w:hAnsi="Arial" w:cs="Arial"/>
                <w:color w:val="010202"/>
                <w:lang w:val="en-GB" w:bidi="ne-NP"/>
              </w:rPr>
            </w:pPr>
            <w:r w:rsidRPr="007F62B6">
              <w:rPr>
                <w:rFonts w:ascii="Arial" w:hAnsi="Arial" w:cs="Arial"/>
                <w:color w:val="010202"/>
                <w:lang w:val="en-GB" w:bidi="ne-NP"/>
              </w:rPr>
              <w:t>2014</w:t>
            </w:r>
          </w:p>
        </w:tc>
        <w:tc>
          <w:tcPr>
            <w:tcW w:w="2124" w:type="dxa"/>
            <w:hideMark/>
          </w:tcPr>
          <w:p w14:paraId="4ABD3E89" w14:textId="77777777" w:rsidR="005A108D" w:rsidRPr="007F62B6" w:rsidRDefault="005A108D" w:rsidP="005A108D">
            <w:pPr>
              <w:jc w:val="center"/>
              <w:rPr>
                <w:rFonts w:ascii="Arial" w:hAnsi="Arial" w:cs="Arial"/>
                <w:color w:val="010202"/>
                <w:lang w:val="en-GB" w:bidi="ne-NP"/>
              </w:rPr>
            </w:pPr>
            <w:r w:rsidRPr="007F62B6">
              <w:rPr>
                <w:rFonts w:ascii="Arial" w:hAnsi="Arial" w:cs="Arial"/>
                <w:color w:val="010202"/>
                <w:lang w:val="en-GB" w:bidi="ne-NP"/>
              </w:rPr>
              <w:t>112,232</w:t>
            </w:r>
          </w:p>
        </w:tc>
        <w:tc>
          <w:tcPr>
            <w:tcW w:w="1350" w:type="dxa"/>
            <w:hideMark/>
          </w:tcPr>
          <w:p w14:paraId="5914ECDA" w14:textId="77777777" w:rsidR="005A108D" w:rsidRPr="007F62B6" w:rsidRDefault="005A108D" w:rsidP="005A108D">
            <w:pPr>
              <w:jc w:val="center"/>
              <w:rPr>
                <w:rFonts w:ascii="Arial" w:hAnsi="Arial" w:cs="Arial"/>
                <w:color w:val="010202"/>
                <w:lang w:val="en-GB" w:bidi="ne-NP"/>
              </w:rPr>
            </w:pPr>
            <w:r w:rsidRPr="007F62B6">
              <w:rPr>
                <w:rFonts w:ascii="Arial" w:hAnsi="Arial" w:cs="Arial"/>
                <w:color w:val="010202"/>
                <w:lang w:val="en-GB" w:bidi="ne-NP"/>
              </w:rPr>
              <w:t>93,001</w:t>
            </w:r>
          </w:p>
        </w:tc>
        <w:tc>
          <w:tcPr>
            <w:tcW w:w="1530" w:type="dxa"/>
            <w:hideMark/>
          </w:tcPr>
          <w:p w14:paraId="12CF544B" w14:textId="77777777" w:rsidR="005A108D" w:rsidRPr="007F62B6" w:rsidRDefault="005A108D" w:rsidP="005A108D">
            <w:pPr>
              <w:jc w:val="center"/>
              <w:rPr>
                <w:rFonts w:ascii="Arial" w:hAnsi="Arial" w:cs="Arial"/>
                <w:color w:val="010202"/>
                <w:lang w:val="en-GB" w:bidi="ne-NP"/>
              </w:rPr>
            </w:pPr>
            <w:r w:rsidRPr="007F62B6">
              <w:rPr>
                <w:rFonts w:ascii="Arial" w:hAnsi="Arial" w:cs="Arial"/>
                <w:color w:val="010202"/>
                <w:lang w:val="en-GB" w:bidi="ne-NP"/>
              </w:rPr>
              <w:t>17,650</w:t>
            </w:r>
          </w:p>
        </w:tc>
        <w:tc>
          <w:tcPr>
            <w:tcW w:w="1800" w:type="dxa"/>
            <w:hideMark/>
          </w:tcPr>
          <w:p w14:paraId="36E186B5" w14:textId="77777777" w:rsidR="005A108D" w:rsidRPr="007F62B6" w:rsidRDefault="005A108D" w:rsidP="005A108D">
            <w:pPr>
              <w:jc w:val="center"/>
              <w:rPr>
                <w:rFonts w:ascii="Arial" w:hAnsi="Arial" w:cs="Arial"/>
                <w:color w:val="010202"/>
                <w:lang w:val="en-GB" w:bidi="ne-NP"/>
              </w:rPr>
            </w:pPr>
            <w:r w:rsidRPr="007F62B6">
              <w:rPr>
                <w:rFonts w:ascii="Arial" w:hAnsi="Arial" w:cs="Arial"/>
                <w:color w:val="010202"/>
                <w:lang w:val="en-GB" w:bidi="ne-NP"/>
              </w:rPr>
              <w:t>68,000</w:t>
            </w:r>
          </w:p>
        </w:tc>
        <w:tc>
          <w:tcPr>
            <w:tcW w:w="1440" w:type="dxa"/>
            <w:hideMark/>
          </w:tcPr>
          <w:p w14:paraId="04F98FD8" w14:textId="77777777" w:rsidR="005A108D" w:rsidRPr="007F62B6" w:rsidRDefault="005A108D" w:rsidP="005A108D">
            <w:pPr>
              <w:jc w:val="center"/>
              <w:rPr>
                <w:rFonts w:ascii="Arial" w:hAnsi="Arial" w:cs="Arial"/>
                <w:color w:val="010202"/>
                <w:lang w:val="en-GB" w:bidi="ne-NP"/>
              </w:rPr>
            </w:pPr>
            <w:r w:rsidRPr="007F62B6">
              <w:rPr>
                <w:rFonts w:ascii="Arial" w:hAnsi="Arial" w:cs="Arial"/>
                <w:color w:val="010202"/>
                <w:lang w:val="en-GB" w:bidi="ne-NP"/>
              </w:rPr>
              <w:t>290,883</w:t>
            </w:r>
          </w:p>
        </w:tc>
      </w:tr>
      <w:tr w:rsidR="005A108D" w:rsidRPr="007F62B6" w14:paraId="238B4700" w14:textId="77777777" w:rsidTr="005A108D">
        <w:trPr>
          <w:trHeight w:val="286"/>
        </w:trPr>
        <w:tc>
          <w:tcPr>
            <w:tcW w:w="661" w:type="dxa"/>
            <w:noWrap/>
            <w:hideMark/>
          </w:tcPr>
          <w:p w14:paraId="03CB3BE2" w14:textId="77777777" w:rsidR="005A108D" w:rsidRPr="007F62B6" w:rsidRDefault="005A108D" w:rsidP="005A108D">
            <w:pPr>
              <w:jc w:val="center"/>
              <w:rPr>
                <w:rFonts w:ascii="Arial" w:hAnsi="Arial" w:cs="Arial"/>
                <w:color w:val="010202"/>
                <w:lang w:val="en-GB" w:bidi="ne-NP"/>
              </w:rPr>
            </w:pPr>
            <w:r w:rsidRPr="007F62B6">
              <w:rPr>
                <w:rFonts w:ascii="Arial" w:hAnsi="Arial" w:cs="Arial"/>
                <w:color w:val="010202"/>
                <w:lang w:val="en-GB" w:bidi="ne-NP"/>
              </w:rPr>
              <w:t>2015</w:t>
            </w:r>
          </w:p>
        </w:tc>
        <w:tc>
          <w:tcPr>
            <w:tcW w:w="2124" w:type="dxa"/>
            <w:noWrap/>
            <w:hideMark/>
          </w:tcPr>
          <w:p w14:paraId="26C4F14B" w14:textId="77777777" w:rsidR="005A108D" w:rsidRPr="007F62B6" w:rsidRDefault="005A108D" w:rsidP="005A108D">
            <w:pPr>
              <w:jc w:val="center"/>
              <w:rPr>
                <w:rFonts w:ascii="Arial" w:hAnsi="Arial" w:cs="Arial"/>
                <w:color w:val="010202"/>
                <w:lang w:val="en-GB" w:bidi="ne-NP"/>
              </w:rPr>
            </w:pPr>
            <w:r w:rsidRPr="007F62B6">
              <w:rPr>
                <w:rFonts w:ascii="Arial" w:hAnsi="Arial" w:cs="Arial"/>
                <w:color w:val="010202"/>
                <w:lang w:val="en-GB" w:bidi="ne-NP"/>
              </w:rPr>
              <w:t>114,250</w:t>
            </w:r>
          </w:p>
        </w:tc>
        <w:tc>
          <w:tcPr>
            <w:tcW w:w="1350" w:type="dxa"/>
            <w:noWrap/>
            <w:hideMark/>
          </w:tcPr>
          <w:p w14:paraId="6C6999D1" w14:textId="77777777" w:rsidR="005A108D" w:rsidRPr="007F62B6" w:rsidRDefault="005A108D" w:rsidP="005A108D">
            <w:pPr>
              <w:jc w:val="center"/>
              <w:rPr>
                <w:rFonts w:ascii="Arial" w:hAnsi="Arial" w:cs="Arial"/>
                <w:color w:val="010202"/>
                <w:lang w:val="en-GB" w:bidi="ne-NP"/>
              </w:rPr>
            </w:pPr>
            <w:r w:rsidRPr="007F62B6">
              <w:rPr>
                <w:rFonts w:ascii="Arial" w:hAnsi="Arial" w:cs="Arial"/>
                <w:color w:val="010202"/>
                <w:lang w:val="en-GB" w:bidi="ne-NP"/>
              </w:rPr>
              <w:t>99,464</w:t>
            </w:r>
          </w:p>
        </w:tc>
        <w:tc>
          <w:tcPr>
            <w:tcW w:w="1530" w:type="dxa"/>
            <w:noWrap/>
            <w:hideMark/>
          </w:tcPr>
          <w:p w14:paraId="2A3EE362" w14:textId="77777777" w:rsidR="005A108D" w:rsidRPr="007F62B6" w:rsidRDefault="005A108D" w:rsidP="005A108D">
            <w:pPr>
              <w:jc w:val="center"/>
              <w:rPr>
                <w:rFonts w:ascii="Arial" w:hAnsi="Arial" w:cs="Arial"/>
                <w:color w:val="010202"/>
                <w:lang w:val="en-GB" w:bidi="ne-NP"/>
              </w:rPr>
            </w:pPr>
            <w:r w:rsidRPr="007F62B6">
              <w:rPr>
                <w:rFonts w:ascii="Arial" w:hAnsi="Arial" w:cs="Arial"/>
                <w:color w:val="010202"/>
                <w:lang w:val="en-GB" w:bidi="ne-NP"/>
              </w:rPr>
              <w:t>18,452</w:t>
            </w:r>
          </w:p>
        </w:tc>
        <w:tc>
          <w:tcPr>
            <w:tcW w:w="1800" w:type="dxa"/>
            <w:noWrap/>
            <w:hideMark/>
          </w:tcPr>
          <w:p w14:paraId="49A5F533" w14:textId="77777777" w:rsidR="005A108D" w:rsidRPr="007F62B6" w:rsidRDefault="005A108D" w:rsidP="005A108D">
            <w:pPr>
              <w:jc w:val="center"/>
              <w:rPr>
                <w:rFonts w:ascii="Arial" w:hAnsi="Arial" w:cs="Arial"/>
                <w:color w:val="010202"/>
                <w:lang w:val="en-GB" w:bidi="ne-NP"/>
              </w:rPr>
            </w:pPr>
            <w:r w:rsidRPr="007F62B6">
              <w:rPr>
                <w:rFonts w:ascii="Arial" w:hAnsi="Arial" w:cs="Arial"/>
                <w:color w:val="010202"/>
                <w:lang w:val="en-GB" w:bidi="ne-NP"/>
              </w:rPr>
              <w:t>72,855</w:t>
            </w:r>
          </w:p>
        </w:tc>
        <w:tc>
          <w:tcPr>
            <w:tcW w:w="1440" w:type="dxa"/>
            <w:noWrap/>
            <w:hideMark/>
          </w:tcPr>
          <w:p w14:paraId="7EBC941E" w14:textId="77777777" w:rsidR="005A108D" w:rsidRPr="007F62B6" w:rsidRDefault="005A108D" w:rsidP="005A108D">
            <w:pPr>
              <w:jc w:val="center"/>
              <w:rPr>
                <w:rFonts w:ascii="Arial" w:hAnsi="Arial" w:cs="Arial"/>
                <w:color w:val="010202"/>
                <w:lang w:val="en-GB" w:bidi="ne-NP"/>
              </w:rPr>
            </w:pPr>
            <w:r w:rsidRPr="007F62B6">
              <w:rPr>
                <w:rFonts w:ascii="Arial" w:hAnsi="Arial" w:cs="Arial"/>
                <w:color w:val="010202"/>
                <w:lang w:val="en-GB" w:bidi="ne-NP"/>
              </w:rPr>
              <w:t>305,021</w:t>
            </w:r>
          </w:p>
        </w:tc>
      </w:tr>
    </w:tbl>
    <w:p w14:paraId="1E0666B5" w14:textId="77777777" w:rsidR="006F5092" w:rsidRPr="007F62B6" w:rsidRDefault="006F5092" w:rsidP="00F35080">
      <w:pPr>
        <w:rPr>
          <w:lang w:val="en-GB"/>
        </w:rPr>
      </w:pPr>
    </w:p>
    <w:p w14:paraId="7FA5285E" w14:textId="77777777" w:rsidR="006F5092" w:rsidRPr="007F62B6" w:rsidRDefault="006F5092" w:rsidP="00F35080">
      <w:pPr>
        <w:rPr>
          <w:lang w:val="en-GB"/>
        </w:rPr>
      </w:pPr>
    </w:p>
    <w:p w14:paraId="7E0A9B33" w14:textId="77777777" w:rsidR="006F5092" w:rsidRPr="007F62B6" w:rsidRDefault="006F5092" w:rsidP="00F35080">
      <w:pPr>
        <w:rPr>
          <w:lang w:val="en-GB"/>
        </w:rPr>
      </w:pPr>
    </w:p>
    <w:p w14:paraId="77F0F9DF" w14:textId="77777777" w:rsidR="006F5092" w:rsidRPr="007F62B6" w:rsidRDefault="006F5092" w:rsidP="00F35080">
      <w:pPr>
        <w:rPr>
          <w:lang w:val="en-GB"/>
        </w:rPr>
      </w:pPr>
    </w:p>
    <w:p w14:paraId="72AED413" w14:textId="77777777" w:rsidR="006F5092" w:rsidRPr="007F62B6" w:rsidRDefault="006F5092" w:rsidP="00F35080">
      <w:pPr>
        <w:rPr>
          <w:lang w:val="en-GB"/>
        </w:rPr>
      </w:pPr>
    </w:p>
    <w:p w14:paraId="380AC4AE" w14:textId="77777777" w:rsidR="006F5092" w:rsidRPr="007F62B6" w:rsidRDefault="006F5092" w:rsidP="00F35080">
      <w:pPr>
        <w:rPr>
          <w:lang w:val="en-GB"/>
        </w:rPr>
      </w:pPr>
    </w:p>
    <w:p w14:paraId="102810B8" w14:textId="77777777" w:rsidR="006F5092" w:rsidRPr="007F62B6" w:rsidRDefault="006F5092" w:rsidP="00F35080">
      <w:pPr>
        <w:rPr>
          <w:lang w:val="en-GB"/>
        </w:rPr>
      </w:pPr>
    </w:p>
    <w:p w14:paraId="2779ECEB" w14:textId="77777777" w:rsidR="006F5092" w:rsidRPr="007F62B6" w:rsidRDefault="006F5092" w:rsidP="00F35080">
      <w:pPr>
        <w:rPr>
          <w:lang w:val="en-GB"/>
        </w:rPr>
      </w:pPr>
    </w:p>
    <w:p w14:paraId="769EFAC7" w14:textId="77777777" w:rsidR="006F5092" w:rsidRPr="007F62B6" w:rsidRDefault="006F5092" w:rsidP="00F35080">
      <w:pPr>
        <w:rPr>
          <w:lang w:val="en-GB"/>
        </w:rPr>
      </w:pPr>
    </w:p>
    <w:p w14:paraId="7979C60C" w14:textId="534688EA" w:rsidR="00F35080" w:rsidRPr="00DB6F19" w:rsidRDefault="006F5092" w:rsidP="006F5092">
      <w:pPr>
        <w:pStyle w:val="Footnote"/>
        <w:rPr>
          <w:spacing w:val="-2"/>
          <w:kern w:val="17"/>
          <w:lang w:val="en-GB"/>
        </w:rPr>
      </w:pPr>
      <w:r w:rsidRPr="00DB6F19">
        <w:rPr>
          <w:spacing w:val="-2"/>
          <w:kern w:val="17"/>
          <w:lang w:val="en-GB"/>
        </w:rPr>
        <w:t xml:space="preserve">Source: </w:t>
      </w:r>
      <w:r w:rsidR="006A64A7" w:rsidRPr="00DB6F19">
        <w:rPr>
          <w:spacing w:val="-2"/>
          <w:kern w:val="17"/>
          <w:lang w:val="en-GB"/>
        </w:rPr>
        <w:t xml:space="preserve">Adapted from </w:t>
      </w:r>
      <w:proofErr w:type="spellStart"/>
      <w:r w:rsidRPr="00DB6F19">
        <w:rPr>
          <w:spacing w:val="-2"/>
          <w:kern w:val="17"/>
          <w:lang w:val="en-GB"/>
        </w:rPr>
        <w:t>Kalorama</w:t>
      </w:r>
      <w:proofErr w:type="spellEnd"/>
      <w:r w:rsidRPr="00DB6F19">
        <w:rPr>
          <w:spacing w:val="-2"/>
          <w:kern w:val="17"/>
          <w:lang w:val="en-GB"/>
        </w:rPr>
        <w:t xml:space="preserve"> Information</w:t>
      </w:r>
      <w:r w:rsidR="008C17DE" w:rsidRPr="00DB6F19">
        <w:rPr>
          <w:spacing w:val="-2"/>
          <w:kern w:val="17"/>
          <w:lang w:val="en-GB"/>
        </w:rPr>
        <w:t>,</w:t>
      </w:r>
      <w:r w:rsidRPr="00DB6F19">
        <w:rPr>
          <w:spacing w:val="-2"/>
          <w:kern w:val="17"/>
          <w:lang w:val="en-GB"/>
        </w:rPr>
        <w:t xml:space="preserve"> </w:t>
      </w:r>
      <w:r w:rsidRPr="00DB6F19">
        <w:rPr>
          <w:i/>
          <w:spacing w:val="-2"/>
          <w:kern w:val="17"/>
          <w:lang w:val="en-GB"/>
        </w:rPr>
        <w:t xml:space="preserve">Long </w:t>
      </w:r>
      <w:r w:rsidR="008C17DE" w:rsidRPr="00DB6F19">
        <w:rPr>
          <w:i/>
          <w:spacing w:val="-2"/>
          <w:kern w:val="17"/>
          <w:lang w:val="en-GB"/>
        </w:rPr>
        <w:t>T</w:t>
      </w:r>
      <w:r w:rsidRPr="00DB6F19">
        <w:rPr>
          <w:i/>
          <w:spacing w:val="-2"/>
          <w:kern w:val="17"/>
          <w:lang w:val="en-GB"/>
        </w:rPr>
        <w:t xml:space="preserve">erm </w:t>
      </w:r>
      <w:r w:rsidR="008C17DE" w:rsidRPr="00DB6F19">
        <w:rPr>
          <w:i/>
          <w:spacing w:val="-2"/>
          <w:kern w:val="17"/>
          <w:lang w:val="en-GB"/>
        </w:rPr>
        <w:t>C</w:t>
      </w:r>
      <w:r w:rsidRPr="00DB6F19">
        <w:rPr>
          <w:i/>
          <w:spacing w:val="-2"/>
          <w:kern w:val="17"/>
          <w:lang w:val="en-GB"/>
        </w:rPr>
        <w:t xml:space="preserve">are </w:t>
      </w:r>
      <w:r w:rsidR="008C17DE" w:rsidRPr="00DB6F19">
        <w:rPr>
          <w:i/>
          <w:spacing w:val="-2"/>
          <w:kern w:val="17"/>
          <w:lang w:val="en-GB"/>
        </w:rPr>
        <w:t>M</w:t>
      </w:r>
      <w:r w:rsidRPr="00DB6F19">
        <w:rPr>
          <w:i/>
          <w:spacing w:val="-2"/>
          <w:kern w:val="17"/>
          <w:lang w:val="en-GB"/>
        </w:rPr>
        <w:t xml:space="preserve">arket: A </w:t>
      </w:r>
      <w:r w:rsidR="008C17DE" w:rsidRPr="00DB6F19">
        <w:rPr>
          <w:i/>
          <w:spacing w:val="-2"/>
          <w:kern w:val="17"/>
          <w:lang w:val="en-GB"/>
        </w:rPr>
        <w:t>M</w:t>
      </w:r>
      <w:r w:rsidRPr="00DB6F19">
        <w:rPr>
          <w:i/>
          <w:spacing w:val="-2"/>
          <w:kern w:val="17"/>
          <w:lang w:val="en-GB"/>
        </w:rPr>
        <w:t xml:space="preserve">arket </w:t>
      </w:r>
      <w:r w:rsidR="008C17DE" w:rsidRPr="00DB6F19">
        <w:rPr>
          <w:i/>
          <w:spacing w:val="-2"/>
          <w:kern w:val="17"/>
          <w:lang w:val="en-GB"/>
        </w:rPr>
        <w:t>I</w:t>
      </w:r>
      <w:r w:rsidRPr="00DB6F19">
        <w:rPr>
          <w:i/>
          <w:spacing w:val="-2"/>
          <w:kern w:val="17"/>
          <w:lang w:val="en-GB"/>
        </w:rPr>
        <w:t xml:space="preserve">ntelligence </w:t>
      </w:r>
      <w:r w:rsidR="008C17DE" w:rsidRPr="00DB6F19">
        <w:rPr>
          <w:i/>
          <w:spacing w:val="-2"/>
          <w:kern w:val="17"/>
          <w:lang w:val="en-GB"/>
        </w:rPr>
        <w:t>A</w:t>
      </w:r>
      <w:r w:rsidRPr="00DB6F19">
        <w:rPr>
          <w:i/>
          <w:spacing w:val="-2"/>
          <w:kern w:val="17"/>
          <w:lang w:val="en-GB"/>
        </w:rPr>
        <w:t xml:space="preserve">nalysis of the </w:t>
      </w:r>
      <w:r w:rsidR="008C17DE" w:rsidRPr="00DB6F19">
        <w:rPr>
          <w:i/>
          <w:spacing w:val="-2"/>
          <w:kern w:val="17"/>
          <w:lang w:val="en-GB"/>
        </w:rPr>
        <w:t>M</w:t>
      </w:r>
      <w:r w:rsidRPr="00DB6F19">
        <w:rPr>
          <w:i/>
          <w:spacing w:val="-2"/>
          <w:kern w:val="17"/>
          <w:lang w:val="en-GB"/>
        </w:rPr>
        <w:t xml:space="preserve">arket for </w:t>
      </w:r>
      <w:r w:rsidR="008C17DE" w:rsidRPr="00DB6F19">
        <w:rPr>
          <w:i/>
          <w:spacing w:val="-2"/>
          <w:kern w:val="17"/>
          <w:lang w:val="en-GB"/>
        </w:rPr>
        <w:t>L</w:t>
      </w:r>
      <w:r w:rsidRPr="00DB6F19">
        <w:rPr>
          <w:i/>
          <w:spacing w:val="-2"/>
          <w:kern w:val="17"/>
          <w:lang w:val="en-GB"/>
        </w:rPr>
        <w:t xml:space="preserve">ong </w:t>
      </w:r>
      <w:r w:rsidR="008C17DE" w:rsidRPr="00DB6F19">
        <w:rPr>
          <w:i/>
          <w:spacing w:val="-2"/>
          <w:kern w:val="17"/>
          <w:lang w:val="en-GB"/>
        </w:rPr>
        <w:t>T</w:t>
      </w:r>
      <w:r w:rsidRPr="00DB6F19">
        <w:rPr>
          <w:i/>
          <w:spacing w:val="-2"/>
          <w:kern w:val="17"/>
          <w:lang w:val="en-GB"/>
        </w:rPr>
        <w:t xml:space="preserve">erm </w:t>
      </w:r>
      <w:r w:rsidR="008C17DE" w:rsidRPr="00DB6F19">
        <w:rPr>
          <w:i/>
          <w:spacing w:val="-2"/>
          <w:kern w:val="17"/>
          <w:lang w:val="en-GB"/>
        </w:rPr>
        <w:t>C</w:t>
      </w:r>
      <w:r w:rsidRPr="00DB6F19">
        <w:rPr>
          <w:i/>
          <w:spacing w:val="-2"/>
          <w:kern w:val="17"/>
          <w:lang w:val="en-GB"/>
        </w:rPr>
        <w:t>are</w:t>
      </w:r>
      <w:r w:rsidRPr="00DB6F19">
        <w:rPr>
          <w:spacing w:val="-2"/>
          <w:kern w:val="17"/>
          <w:lang w:val="en-GB"/>
        </w:rPr>
        <w:t xml:space="preserve"> (Rockville</w:t>
      </w:r>
      <w:r w:rsidR="00CA186C" w:rsidRPr="00DB6F19">
        <w:rPr>
          <w:spacing w:val="-2"/>
          <w:kern w:val="17"/>
          <w:lang w:val="en-GB"/>
        </w:rPr>
        <w:t>, MD</w:t>
      </w:r>
      <w:r w:rsidRPr="00DB6F19">
        <w:rPr>
          <w:spacing w:val="-2"/>
          <w:kern w:val="17"/>
          <w:lang w:val="en-GB"/>
        </w:rPr>
        <w:t xml:space="preserve">: </w:t>
      </w:r>
      <w:proofErr w:type="spellStart"/>
      <w:r w:rsidRPr="00DB6F19">
        <w:rPr>
          <w:spacing w:val="-2"/>
          <w:kern w:val="17"/>
          <w:lang w:val="en-GB"/>
        </w:rPr>
        <w:t>Kalorama</w:t>
      </w:r>
      <w:proofErr w:type="spellEnd"/>
      <w:r w:rsidRPr="00DB6F19">
        <w:rPr>
          <w:spacing w:val="-2"/>
          <w:kern w:val="17"/>
          <w:lang w:val="en-GB"/>
        </w:rPr>
        <w:t xml:space="preserve"> Information, 2016.)</w:t>
      </w:r>
    </w:p>
    <w:p w14:paraId="08D22A06" w14:textId="77777777" w:rsidR="00B90644" w:rsidRPr="001F75EE" w:rsidRDefault="00B90644" w:rsidP="00BF1DB3">
      <w:pPr>
        <w:pStyle w:val="Footnote"/>
        <w:rPr>
          <w:sz w:val="22"/>
          <w:lang w:val="en-GB"/>
        </w:rPr>
      </w:pPr>
    </w:p>
    <w:p w14:paraId="38C2D2FA" w14:textId="4E25B9AC" w:rsidR="00B34101" w:rsidRPr="007F62B6" w:rsidRDefault="00B34101" w:rsidP="00BF1DB3">
      <w:pPr>
        <w:rPr>
          <w:rFonts w:ascii="Arial" w:hAnsi="Arial" w:cs="Arial"/>
          <w:b/>
          <w:caps/>
          <w:lang w:val="en-GB"/>
        </w:rPr>
      </w:pPr>
    </w:p>
    <w:p w14:paraId="597F9BAB" w14:textId="2F0B6CFE" w:rsidR="00B90644" w:rsidRDefault="00F35080" w:rsidP="00BF1DB3">
      <w:pPr>
        <w:pStyle w:val="ExhibitHeading"/>
        <w:rPr>
          <w:lang w:val="en-GB"/>
        </w:rPr>
      </w:pPr>
      <w:r w:rsidRPr="007F62B6">
        <w:rPr>
          <w:lang w:val="en-GB"/>
        </w:rPr>
        <w:t>Exhibit 4</w:t>
      </w:r>
      <w:r w:rsidR="006F5092" w:rsidRPr="007F62B6">
        <w:rPr>
          <w:lang w:val="en-GB"/>
        </w:rPr>
        <w:t>:</w:t>
      </w:r>
      <w:r w:rsidRPr="007F62B6">
        <w:rPr>
          <w:lang w:val="en-GB"/>
        </w:rPr>
        <w:t xml:space="preserve"> Institute on Aging Organizational Structure in 2012</w:t>
      </w:r>
    </w:p>
    <w:p w14:paraId="64611301" w14:textId="77777777" w:rsidR="00D02E4A" w:rsidRPr="007F62B6" w:rsidRDefault="00D02E4A" w:rsidP="00BF1DB3">
      <w:pPr>
        <w:pStyle w:val="ExhibitHeading"/>
        <w:rPr>
          <w:lang w:val="en-GB"/>
        </w:rPr>
      </w:pPr>
    </w:p>
    <w:p w14:paraId="52253C9A" w14:textId="5F0199C7" w:rsidR="00B34101" w:rsidRPr="007F62B6" w:rsidRDefault="00B34101" w:rsidP="00501DAE">
      <w:pPr>
        <w:jc w:val="center"/>
        <w:rPr>
          <w:lang w:val="en-GB"/>
        </w:rPr>
      </w:pPr>
      <w:r w:rsidRPr="007F62B6">
        <w:rPr>
          <w:noProof/>
        </w:rPr>
        <mc:AlternateContent>
          <mc:Choice Requires="wpg">
            <w:drawing>
              <wp:inline distT="0" distB="0" distL="0" distR="0" wp14:anchorId="74F74D6B" wp14:editId="78422813">
                <wp:extent cx="7802880" cy="2726690"/>
                <wp:effectExtent l="0" t="0" r="26670" b="16510"/>
                <wp:docPr id="25" name="Group 1"/>
                <wp:cNvGraphicFramePr/>
                <a:graphic xmlns:a="http://schemas.openxmlformats.org/drawingml/2006/main">
                  <a:graphicData uri="http://schemas.microsoft.com/office/word/2010/wordprocessingGroup">
                    <wpg:wgp>
                      <wpg:cNvGrpSpPr/>
                      <wpg:grpSpPr>
                        <a:xfrm>
                          <a:off x="0" y="0"/>
                          <a:ext cx="7802880" cy="2726690"/>
                          <a:chOff x="0" y="0"/>
                          <a:chExt cx="8686800" cy="3036175"/>
                        </a:xfrm>
                      </wpg:grpSpPr>
                      <wps:wsp>
                        <wps:cNvPr id="26" name="Straight Arrow Connector 26"/>
                        <wps:cNvCnPr/>
                        <wps:spPr>
                          <a:xfrm flipH="1">
                            <a:off x="571500" y="461665"/>
                            <a:ext cx="3657600" cy="649254"/>
                          </a:xfrm>
                          <a:prstGeom prst="straightConnector1">
                            <a:avLst/>
                          </a:prstGeom>
                          <a:ln>
                            <a:tailEnd type="none"/>
                          </a:ln>
                        </wps:spPr>
                        <wps:style>
                          <a:lnRef idx="1">
                            <a:schemeClr val="dk1"/>
                          </a:lnRef>
                          <a:fillRef idx="0">
                            <a:schemeClr val="dk1"/>
                          </a:fillRef>
                          <a:effectRef idx="0">
                            <a:schemeClr val="dk1"/>
                          </a:effectRef>
                          <a:fontRef idx="minor">
                            <a:schemeClr val="tx1"/>
                          </a:fontRef>
                        </wps:style>
                        <wps:bodyPr/>
                      </wps:wsp>
                      <wps:wsp>
                        <wps:cNvPr id="27" name="Straight Arrow Connector 27"/>
                        <wps:cNvCnPr/>
                        <wps:spPr>
                          <a:xfrm flipH="1">
                            <a:off x="2102002" y="461665"/>
                            <a:ext cx="2127098" cy="649254"/>
                          </a:xfrm>
                          <a:prstGeom prst="straightConnector1">
                            <a:avLst/>
                          </a:prstGeom>
                          <a:ln>
                            <a:tailEnd type="none"/>
                          </a:ln>
                        </wps:spPr>
                        <wps:style>
                          <a:lnRef idx="1">
                            <a:schemeClr val="dk1"/>
                          </a:lnRef>
                          <a:fillRef idx="0">
                            <a:schemeClr val="dk1"/>
                          </a:fillRef>
                          <a:effectRef idx="0">
                            <a:schemeClr val="dk1"/>
                          </a:effectRef>
                          <a:fontRef idx="minor">
                            <a:schemeClr val="tx1"/>
                          </a:fontRef>
                        </wps:style>
                        <wps:bodyPr/>
                      </wps:wsp>
                      <wps:wsp>
                        <wps:cNvPr id="28" name="Straight Arrow Connector 28"/>
                        <wps:cNvCnPr/>
                        <wps:spPr>
                          <a:xfrm flipH="1">
                            <a:off x="3632504" y="461665"/>
                            <a:ext cx="596596" cy="649254"/>
                          </a:xfrm>
                          <a:prstGeom prst="straightConnector1">
                            <a:avLst/>
                          </a:prstGeom>
                          <a:ln>
                            <a:tailEnd type="none"/>
                          </a:ln>
                        </wps:spPr>
                        <wps:style>
                          <a:lnRef idx="1">
                            <a:schemeClr val="dk1"/>
                          </a:lnRef>
                          <a:fillRef idx="0">
                            <a:schemeClr val="dk1"/>
                          </a:fillRef>
                          <a:effectRef idx="0">
                            <a:schemeClr val="dk1"/>
                          </a:effectRef>
                          <a:fontRef idx="minor">
                            <a:schemeClr val="tx1"/>
                          </a:fontRef>
                        </wps:style>
                        <wps:bodyPr/>
                      </wps:wsp>
                      <wps:wsp>
                        <wps:cNvPr id="29" name="Straight Arrow Connector 29"/>
                        <wps:cNvCnPr/>
                        <wps:spPr>
                          <a:xfrm>
                            <a:off x="4229100" y="461665"/>
                            <a:ext cx="879550" cy="649254"/>
                          </a:xfrm>
                          <a:prstGeom prst="straightConnector1">
                            <a:avLst/>
                          </a:prstGeom>
                          <a:ln>
                            <a:tailEnd type="none"/>
                          </a:ln>
                        </wps:spPr>
                        <wps:style>
                          <a:lnRef idx="1">
                            <a:schemeClr val="dk1"/>
                          </a:lnRef>
                          <a:fillRef idx="0">
                            <a:schemeClr val="dk1"/>
                          </a:fillRef>
                          <a:effectRef idx="0">
                            <a:schemeClr val="dk1"/>
                          </a:effectRef>
                          <a:fontRef idx="minor">
                            <a:schemeClr val="tx1"/>
                          </a:fontRef>
                        </wps:style>
                        <wps:bodyPr/>
                      </wps:wsp>
                      <wps:wsp>
                        <wps:cNvPr id="30" name="Straight Arrow Connector 30"/>
                        <wps:cNvCnPr/>
                        <wps:spPr>
                          <a:xfrm>
                            <a:off x="4229100" y="461665"/>
                            <a:ext cx="2355696" cy="649254"/>
                          </a:xfrm>
                          <a:prstGeom prst="straightConnector1">
                            <a:avLst/>
                          </a:prstGeom>
                          <a:ln>
                            <a:tailEnd type="none"/>
                          </a:ln>
                        </wps:spPr>
                        <wps:style>
                          <a:lnRef idx="1">
                            <a:schemeClr val="dk1"/>
                          </a:lnRef>
                          <a:fillRef idx="0">
                            <a:schemeClr val="dk1"/>
                          </a:fillRef>
                          <a:effectRef idx="0">
                            <a:schemeClr val="dk1"/>
                          </a:effectRef>
                          <a:fontRef idx="minor">
                            <a:schemeClr val="tx1"/>
                          </a:fontRef>
                        </wps:style>
                        <wps:bodyPr/>
                      </wps:wsp>
                      <wps:wsp>
                        <wps:cNvPr id="31" name="Straight Arrow Connector 31"/>
                        <wps:cNvCnPr/>
                        <wps:spPr>
                          <a:xfrm>
                            <a:off x="4229100" y="461665"/>
                            <a:ext cx="3886200" cy="649253"/>
                          </a:xfrm>
                          <a:prstGeom prst="straightConnector1">
                            <a:avLst/>
                          </a:prstGeom>
                          <a:ln>
                            <a:tailEnd type="none"/>
                          </a:ln>
                        </wps:spPr>
                        <wps:style>
                          <a:lnRef idx="1">
                            <a:schemeClr val="dk1"/>
                          </a:lnRef>
                          <a:fillRef idx="0">
                            <a:schemeClr val="dk1"/>
                          </a:fillRef>
                          <a:effectRef idx="0">
                            <a:schemeClr val="dk1"/>
                          </a:effectRef>
                          <a:fontRef idx="minor">
                            <a:schemeClr val="tx1"/>
                          </a:fontRef>
                        </wps:style>
                        <wps:bodyPr/>
                      </wps:wsp>
                      <wps:wsp>
                        <wps:cNvPr id="32" name="Straight Arrow Connector 32"/>
                        <wps:cNvCnPr/>
                        <wps:spPr>
                          <a:xfrm flipH="1">
                            <a:off x="1562100" y="1757250"/>
                            <a:ext cx="2070404" cy="649069"/>
                          </a:xfrm>
                          <a:prstGeom prst="straightConnector1">
                            <a:avLst/>
                          </a:prstGeom>
                          <a:ln>
                            <a:tailEnd type="none"/>
                          </a:ln>
                        </wps:spPr>
                        <wps:style>
                          <a:lnRef idx="1">
                            <a:schemeClr val="dk1"/>
                          </a:lnRef>
                          <a:fillRef idx="0">
                            <a:schemeClr val="dk1"/>
                          </a:fillRef>
                          <a:effectRef idx="0">
                            <a:schemeClr val="dk1"/>
                          </a:effectRef>
                          <a:fontRef idx="minor">
                            <a:schemeClr val="tx1"/>
                          </a:fontRef>
                        </wps:style>
                        <wps:bodyPr/>
                      </wps:wsp>
                      <wps:wsp>
                        <wps:cNvPr id="33" name="Straight Arrow Connector 33"/>
                        <wps:cNvCnPr/>
                        <wps:spPr>
                          <a:xfrm flipH="1">
                            <a:off x="3330956" y="1757250"/>
                            <a:ext cx="301548" cy="649069"/>
                          </a:xfrm>
                          <a:prstGeom prst="straightConnector1">
                            <a:avLst/>
                          </a:prstGeom>
                          <a:ln>
                            <a:tailEnd type="none"/>
                          </a:ln>
                        </wps:spPr>
                        <wps:style>
                          <a:lnRef idx="1">
                            <a:schemeClr val="dk1"/>
                          </a:lnRef>
                          <a:fillRef idx="0">
                            <a:schemeClr val="dk1"/>
                          </a:fillRef>
                          <a:effectRef idx="0">
                            <a:schemeClr val="dk1"/>
                          </a:effectRef>
                          <a:fontRef idx="minor">
                            <a:schemeClr val="tx1"/>
                          </a:fontRef>
                        </wps:style>
                        <wps:bodyPr/>
                      </wps:wsp>
                      <wps:wsp>
                        <wps:cNvPr id="34" name="Straight Arrow Connector 34"/>
                        <wps:cNvCnPr/>
                        <wps:spPr>
                          <a:xfrm>
                            <a:off x="3632504" y="1757250"/>
                            <a:ext cx="1528268" cy="649069"/>
                          </a:xfrm>
                          <a:prstGeom prst="straightConnector1">
                            <a:avLst/>
                          </a:prstGeom>
                          <a:ln>
                            <a:tailEnd type="none"/>
                          </a:ln>
                        </wps:spPr>
                        <wps:style>
                          <a:lnRef idx="1">
                            <a:schemeClr val="dk1"/>
                          </a:lnRef>
                          <a:fillRef idx="0">
                            <a:schemeClr val="dk1"/>
                          </a:fillRef>
                          <a:effectRef idx="0">
                            <a:schemeClr val="dk1"/>
                          </a:effectRef>
                          <a:fontRef idx="minor">
                            <a:schemeClr val="tx1"/>
                          </a:fontRef>
                        </wps:style>
                        <wps:bodyPr/>
                      </wps:wsp>
                      <wps:wsp>
                        <wps:cNvPr id="35" name="Straight Arrow Connector 35"/>
                        <wps:cNvCnPr/>
                        <wps:spPr>
                          <a:xfrm>
                            <a:off x="3632504" y="1757250"/>
                            <a:ext cx="3415996" cy="649069"/>
                          </a:xfrm>
                          <a:prstGeom prst="straightConnector1">
                            <a:avLst/>
                          </a:prstGeom>
                          <a:ln>
                            <a:tailEnd type="none"/>
                          </a:ln>
                        </wps:spPr>
                        <wps:style>
                          <a:lnRef idx="1">
                            <a:schemeClr val="dk1"/>
                          </a:lnRef>
                          <a:fillRef idx="0">
                            <a:schemeClr val="dk1"/>
                          </a:fillRef>
                          <a:effectRef idx="0">
                            <a:schemeClr val="dk1"/>
                          </a:effectRef>
                          <a:fontRef idx="minor">
                            <a:schemeClr val="tx1"/>
                          </a:fontRef>
                        </wps:style>
                        <wps:bodyPr/>
                      </wps:wsp>
                      <wps:wsp>
                        <wps:cNvPr id="36" name="TextBox 3"/>
                        <wps:cNvSpPr txBox="1"/>
                        <wps:spPr>
                          <a:xfrm>
                            <a:off x="3505200" y="0"/>
                            <a:ext cx="1447800" cy="454660"/>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2459B314" w14:textId="77777777" w:rsidR="003F0B53" w:rsidRPr="00501DAE" w:rsidRDefault="003F0B53" w:rsidP="00B34101">
                              <w:pPr>
                                <w:pStyle w:val="NormalWeb"/>
                                <w:spacing w:before="0" w:beforeAutospacing="0" w:after="0" w:afterAutospacing="0"/>
                                <w:jc w:val="center"/>
                                <w:rPr>
                                  <w:rFonts w:ascii="Arial" w:hAnsi="Arial" w:cs="Arial"/>
                                  <w:sz w:val="20"/>
                                  <w:szCs w:val="20"/>
                                </w:rPr>
                              </w:pPr>
                              <w:proofErr w:type="gramStart"/>
                              <w:r w:rsidRPr="00501DAE">
                                <w:rPr>
                                  <w:rFonts w:ascii="Arial" w:hAnsi="Arial" w:cs="Arial"/>
                                  <w:color w:val="000000" w:themeColor="dark1"/>
                                  <w:kern w:val="24"/>
                                  <w:sz w:val="20"/>
                                  <w:szCs w:val="20"/>
                                </w:rPr>
                                <w:t>President &amp;</w:t>
                              </w:r>
                              <w:proofErr w:type="gramEnd"/>
                              <w:r w:rsidRPr="00501DAE">
                                <w:rPr>
                                  <w:rFonts w:ascii="Arial" w:hAnsi="Arial" w:cs="Arial"/>
                                  <w:color w:val="000000" w:themeColor="dark1"/>
                                  <w:kern w:val="24"/>
                                  <w:sz w:val="20"/>
                                  <w:szCs w:val="20"/>
                                </w:rPr>
                                <w:t xml:space="preserve"> CEO</w:t>
                              </w:r>
                            </w:p>
                            <w:p w14:paraId="2037DEE8" w14:textId="77777777" w:rsidR="003F0B53" w:rsidRPr="00501DAE" w:rsidRDefault="003F0B53" w:rsidP="00B34101">
                              <w:pPr>
                                <w:pStyle w:val="NormalWeb"/>
                                <w:spacing w:before="0" w:beforeAutospacing="0" w:after="0" w:afterAutospacing="0"/>
                                <w:jc w:val="center"/>
                                <w:rPr>
                                  <w:rFonts w:ascii="Arial" w:hAnsi="Arial" w:cs="Arial"/>
                                  <w:sz w:val="20"/>
                                  <w:szCs w:val="20"/>
                                </w:rPr>
                              </w:pPr>
                              <w:r w:rsidRPr="00501DAE">
                                <w:rPr>
                                  <w:rFonts w:ascii="Arial" w:hAnsi="Arial" w:cs="Arial"/>
                                  <w:i/>
                                  <w:iCs/>
                                  <w:color w:val="000000" w:themeColor="dark1"/>
                                  <w:kern w:val="24"/>
                                  <w:sz w:val="20"/>
                                  <w:szCs w:val="20"/>
                                </w:rPr>
                                <w:t xml:space="preserve">Tom </w:t>
                              </w:r>
                              <w:proofErr w:type="spellStart"/>
                              <w:r w:rsidRPr="00501DAE">
                                <w:rPr>
                                  <w:rFonts w:ascii="Arial" w:hAnsi="Arial" w:cs="Arial"/>
                                  <w:i/>
                                  <w:iCs/>
                                  <w:color w:val="000000" w:themeColor="dark1"/>
                                  <w:kern w:val="24"/>
                                  <w:sz w:val="20"/>
                                  <w:szCs w:val="20"/>
                                </w:rPr>
                                <w:t>Briody</w:t>
                              </w:r>
                              <w:proofErr w:type="spellEnd"/>
                            </w:p>
                          </w:txbxContent>
                        </wps:txbx>
                        <wps:bodyPr wrap="square" rtlCol="0">
                          <a:noAutofit/>
                        </wps:bodyPr>
                      </wps:wsp>
                      <wps:wsp>
                        <wps:cNvPr id="37" name="TextBox 10"/>
                        <wps:cNvSpPr txBox="1"/>
                        <wps:spPr>
                          <a:xfrm>
                            <a:off x="0" y="1110889"/>
                            <a:ext cx="1143000" cy="629920"/>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1A6F3F8D" w14:textId="77777777" w:rsidR="003F0B53" w:rsidRPr="00501DAE" w:rsidRDefault="003F0B53" w:rsidP="00B34101">
                              <w:pPr>
                                <w:pStyle w:val="NormalWeb"/>
                                <w:spacing w:before="0" w:beforeAutospacing="0" w:after="0" w:afterAutospacing="0"/>
                                <w:jc w:val="center"/>
                                <w:rPr>
                                  <w:rFonts w:ascii="Arial" w:hAnsi="Arial" w:cs="Arial"/>
                                  <w:sz w:val="20"/>
                                  <w:szCs w:val="20"/>
                                </w:rPr>
                              </w:pPr>
                              <w:r w:rsidRPr="00501DAE">
                                <w:rPr>
                                  <w:rFonts w:ascii="Arial" w:hAnsi="Arial" w:cs="Arial"/>
                                  <w:color w:val="000000" w:themeColor="dark1"/>
                                  <w:kern w:val="24"/>
                                  <w:sz w:val="20"/>
                                  <w:szCs w:val="20"/>
                                </w:rPr>
                                <w:t xml:space="preserve">Chief </w:t>
                              </w:r>
                            </w:p>
                            <w:p w14:paraId="38E5D2D3" w14:textId="77777777" w:rsidR="003F0B53" w:rsidRPr="00501DAE" w:rsidRDefault="003F0B53" w:rsidP="00B34101">
                              <w:pPr>
                                <w:pStyle w:val="NormalWeb"/>
                                <w:spacing w:before="0" w:beforeAutospacing="0" w:after="0" w:afterAutospacing="0"/>
                                <w:jc w:val="center"/>
                                <w:rPr>
                                  <w:rFonts w:ascii="Arial" w:hAnsi="Arial" w:cs="Arial"/>
                                  <w:sz w:val="20"/>
                                  <w:szCs w:val="20"/>
                                </w:rPr>
                              </w:pPr>
                              <w:r w:rsidRPr="00501DAE">
                                <w:rPr>
                                  <w:rFonts w:ascii="Arial" w:hAnsi="Arial" w:cs="Arial"/>
                                  <w:color w:val="000000" w:themeColor="dark1"/>
                                  <w:kern w:val="24"/>
                                  <w:sz w:val="20"/>
                                  <w:szCs w:val="20"/>
                                </w:rPr>
                                <w:t xml:space="preserve">Financial </w:t>
                              </w:r>
                            </w:p>
                            <w:p w14:paraId="63D5B0E2" w14:textId="77777777" w:rsidR="003F0B53" w:rsidRPr="00501DAE" w:rsidRDefault="003F0B53" w:rsidP="00B34101">
                              <w:pPr>
                                <w:pStyle w:val="NormalWeb"/>
                                <w:spacing w:before="0" w:beforeAutospacing="0" w:after="0" w:afterAutospacing="0"/>
                                <w:jc w:val="center"/>
                                <w:rPr>
                                  <w:rFonts w:ascii="Arial" w:hAnsi="Arial" w:cs="Arial"/>
                                  <w:sz w:val="20"/>
                                  <w:szCs w:val="20"/>
                                </w:rPr>
                              </w:pPr>
                              <w:r w:rsidRPr="00501DAE">
                                <w:rPr>
                                  <w:rFonts w:ascii="Arial" w:hAnsi="Arial" w:cs="Arial"/>
                                  <w:color w:val="000000" w:themeColor="dark1"/>
                                  <w:kern w:val="24"/>
                                  <w:sz w:val="20"/>
                                  <w:szCs w:val="20"/>
                                </w:rPr>
                                <w:t>Officer</w:t>
                              </w:r>
                            </w:p>
                          </w:txbxContent>
                        </wps:txbx>
                        <wps:bodyPr wrap="square" rtlCol="0">
                          <a:noAutofit/>
                        </wps:bodyPr>
                      </wps:wsp>
                      <wps:wsp>
                        <wps:cNvPr id="38" name="TextBox 17"/>
                        <wps:cNvSpPr txBox="1"/>
                        <wps:spPr>
                          <a:xfrm>
                            <a:off x="1530502" y="1110889"/>
                            <a:ext cx="1143000" cy="629920"/>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17EFABD7" w14:textId="77777777" w:rsidR="003F0B53" w:rsidRPr="00501DAE" w:rsidRDefault="003F0B53" w:rsidP="00B34101">
                              <w:pPr>
                                <w:pStyle w:val="NormalWeb"/>
                                <w:spacing w:before="0" w:beforeAutospacing="0" w:after="0" w:afterAutospacing="0"/>
                                <w:jc w:val="center"/>
                                <w:rPr>
                                  <w:rFonts w:ascii="Arial" w:hAnsi="Arial" w:cs="Arial"/>
                                  <w:sz w:val="20"/>
                                  <w:szCs w:val="20"/>
                                </w:rPr>
                              </w:pPr>
                              <w:r w:rsidRPr="00501DAE">
                                <w:rPr>
                                  <w:rFonts w:ascii="Arial" w:hAnsi="Arial" w:cs="Arial"/>
                                  <w:color w:val="000000" w:themeColor="dark1"/>
                                  <w:kern w:val="24"/>
                                  <w:sz w:val="20"/>
                                  <w:szCs w:val="20"/>
                                </w:rPr>
                                <w:t xml:space="preserve">Director </w:t>
                              </w:r>
                            </w:p>
                            <w:p w14:paraId="60A0137F" w14:textId="77777777" w:rsidR="003F0B53" w:rsidRPr="00501DAE" w:rsidRDefault="003F0B53" w:rsidP="00B34101">
                              <w:pPr>
                                <w:pStyle w:val="NormalWeb"/>
                                <w:spacing w:before="0" w:beforeAutospacing="0" w:after="0" w:afterAutospacing="0"/>
                                <w:jc w:val="center"/>
                                <w:rPr>
                                  <w:rFonts w:ascii="Arial" w:hAnsi="Arial" w:cs="Arial"/>
                                  <w:sz w:val="20"/>
                                  <w:szCs w:val="20"/>
                                </w:rPr>
                              </w:pPr>
                              <w:proofErr w:type="gramStart"/>
                              <w:r w:rsidRPr="00501DAE">
                                <w:rPr>
                                  <w:rFonts w:ascii="Arial" w:hAnsi="Arial" w:cs="Arial"/>
                                  <w:color w:val="000000" w:themeColor="dark1"/>
                                  <w:kern w:val="24"/>
                                  <w:sz w:val="20"/>
                                  <w:szCs w:val="20"/>
                                </w:rPr>
                                <w:t>of</w:t>
                              </w:r>
                              <w:proofErr w:type="gramEnd"/>
                              <w:r w:rsidRPr="00501DAE">
                                <w:rPr>
                                  <w:rFonts w:ascii="Arial" w:hAnsi="Arial" w:cs="Arial"/>
                                  <w:color w:val="000000" w:themeColor="dark1"/>
                                  <w:kern w:val="24"/>
                                  <w:sz w:val="20"/>
                                  <w:szCs w:val="20"/>
                                </w:rPr>
                                <w:t xml:space="preserve"> </w:t>
                              </w:r>
                            </w:p>
                            <w:p w14:paraId="7818D868" w14:textId="77777777" w:rsidR="003F0B53" w:rsidRPr="00501DAE" w:rsidRDefault="003F0B53" w:rsidP="00B34101">
                              <w:pPr>
                                <w:pStyle w:val="NormalWeb"/>
                                <w:spacing w:before="0" w:beforeAutospacing="0" w:after="0" w:afterAutospacing="0"/>
                                <w:jc w:val="center"/>
                                <w:rPr>
                                  <w:rFonts w:ascii="Arial" w:hAnsi="Arial" w:cs="Arial"/>
                                  <w:sz w:val="20"/>
                                  <w:szCs w:val="20"/>
                                </w:rPr>
                              </w:pPr>
                              <w:r w:rsidRPr="00501DAE">
                                <w:rPr>
                                  <w:rFonts w:ascii="Arial" w:hAnsi="Arial" w:cs="Arial"/>
                                  <w:color w:val="000000" w:themeColor="dark1"/>
                                  <w:kern w:val="24"/>
                                  <w:sz w:val="20"/>
                                  <w:szCs w:val="20"/>
                                </w:rPr>
                                <w:t>Facilities</w:t>
                              </w:r>
                            </w:p>
                          </w:txbxContent>
                        </wps:txbx>
                        <wps:bodyPr wrap="square" rtlCol="0">
                          <a:noAutofit/>
                        </wps:bodyPr>
                      </wps:wsp>
                      <wps:wsp>
                        <wps:cNvPr id="39" name="TextBox 18"/>
                        <wps:cNvSpPr txBox="1"/>
                        <wps:spPr>
                          <a:xfrm>
                            <a:off x="3061004" y="1110889"/>
                            <a:ext cx="1143000" cy="629920"/>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6C3315D9" w14:textId="77777777" w:rsidR="003F0B53" w:rsidRPr="00501DAE" w:rsidRDefault="003F0B53" w:rsidP="00B34101">
                              <w:pPr>
                                <w:pStyle w:val="NormalWeb"/>
                                <w:spacing w:before="0" w:beforeAutospacing="0" w:after="0" w:afterAutospacing="0"/>
                                <w:jc w:val="center"/>
                                <w:rPr>
                                  <w:rFonts w:ascii="Arial" w:hAnsi="Arial" w:cs="Arial"/>
                                  <w:sz w:val="20"/>
                                  <w:szCs w:val="20"/>
                                </w:rPr>
                              </w:pPr>
                              <w:r w:rsidRPr="00501DAE">
                                <w:rPr>
                                  <w:rFonts w:ascii="Arial" w:hAnsi="Arial" w:cs="Arial"/>
                                  <w:color w:val="000000" w:themeColor="dark1"/>
                                  <w:kern w:val="24"/>
                                  <w:sz w:val="20"/>
                                  <w:szCs w:val="20"/>
                                </w:rPr>
                                <w:t xml:space="preserve">Vice President of </w:t>
                              </w:r>
                            </w:p>
                            <w:p w14:paraId="7EDA20A3" w14:textId="77777777" w:rsidR="003F0B53" w:rsidRPr="00501DAE" w:rsidRDefault="003F0B53" w:rsidP="00B34101">
                              <w:pPr>
                                <w:pStyle w:val="NormalWeb"/>
                                <w:spacing w:before="0" w:beforeAutospacing="0" w:after="0" w:afterAutospacing="0"/>
                                <w:jc w:val="center"/>
                                <w:rPr>
                                  <w:rFonts w:ascii="Arial" w:hAnsi="Arial" w:cs="Arial"/>
                                  <w:sz w:val="20"/>
                                  <w:szCs w:val="20"/>
                                </w:rPr>
                              </w:pPr>
                              <w:r w:rsidRPr="00501DAE">
                                <w:rPr>
                                  <w:rFonts w:ascii="Arial" w:hAnsi="Arial" w:cs="Arial"/>
                                  <w:color w:val="000000" w:themeColor="dark1"/>
                                  <w:kern w:val="24"/>
                                  <w:sz w:val="20"/>
                                  <w:szCs w:val="20"/>
                                </w:rPr>
                                <w:t>Operations</w:t>
                              </w:r>
                            </w:p>
                          </w:txbxContent>
                        </wps:txbx>
                        <wps:bodyPr wrap="square" rtlCol="0">
                          <a:noAutofit/>
                        </wps:bodyPr>
                      </wps:wsp>
                      <wps:wsp>
                        <wps:cNvPr id="40" name="TextBox 19"/>
                        <wps:cNvSpPr txBox="1"/>
                        <wps:spPr>
                          <a:xfrm>
                            <a:off x="4591506" y="1110889"/>
                            <a:ext cx="1034415" cy="629920"/>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11230255" w14:textId="77777777" w:rsidR="003F0B53" w:rsidRPr="00501DAE" w:rsidRDefault="003F0B53" w:rsidP="00B34101">
                              <w:pPr>
                                <w:pStyle w:val="NormalWeb"/>
                                <w:spacing w:before="0" w:beforeAutospacing="0" w:after="0" w:afterAutospacing="0"/>
                                <w:jc w:val="center"/>
                                <w:rPr>
                                  <w:rFonts w:ascii="Arial" w:hAnsi="Arial" w:cs="Arial"/>
                                  <w:sz w:val="20"/>
                                  <w:szCs w:val="20"/>
                                </w:rPr>
                              </w:pPr>
                              <w:r w:rsidRPr="00501DAE">
                                <w:rPr>
                                  <w:rFonts w:ascii="Arial" w:hAnsi="Arial" w:cs="Arial"/>
                                  <w:color w:val="000000" w:themeColor="dark1"/>
                                  <w:kern w:val="24"/>
                                  <w:sz w:val="20"/>
                                  <w:szCs w:val="20"/>
                                </w:rPr>
                                <w:t xml:space="preserve">Director </w:t>
                              </w:r>
                            </w:p>
                            <w:p w14:paraId="071D26C3" w14:textId="77777777" w:rsidR="003F0B53" w:rsidRPr="00501DAE" w:rsidRDefault="003F0B53" w:rsidP="00B34101">
                              <w:pPr>
                                <w:pStyle w:val="NormalWeb"/>
                                <w:spacing w:before="0" w:beforeAutospacing="0" w:after="0" w:afterAutospacing="0"/>
                                <w:jc w:val="center"/>
                                <w:rPr>
                                  <w:rFonts w:ascii="Arial" w:hAnsi="Arial" w:cs="Arial"/>
                                  <w:sz w:val="20"/>
                                  <w:szCs w:val="20"/>
                                </w:rPr>
                              </w:pPr>
                              <w:proofErr w:type="gramStart"/>
                              <w:r w:rsidRPr="00501DAE">
                                <w:rPr>
                                  <w:rFonts w:ascii="Arial" w:hAnsi="Arial" w:cs="Arial"/>
                                  <w:color w:val="000000" w:themeColor="dark1"/>
                                  <w:kern w:val="24"/>
                                  <w:sz w:val="20"/>
                                  <w:szCs w:val="20"/>
                                </w:rPr>
                                <w:t>of</w:t>
                              </w:r>
                              <w:proofErr w:type="gramEnd"/>
                              <w:r w:rsidRPr="00501DAE">
                                <w:rPr>
                                  <w:rFonts w:ascii="Arial" w:hAnsi="Arial" w:cs="Arial"/>
                                  <w:color w:val="000000" w:themeColor="dark1"/>
                                  <w:kern w:val="24"/>
                                  <w:sz w:val="20"/>
                                  <w:szCs w:val="20"/>
                                </w:rPr>
                                <w:t xml:space="preserve"> </w:t>
                              </w:r>
                            </w:p>
                            <w:p w14:paraId="0464BCF1" w14:textId="77777777" w:rsidR="003F0B53" w:rsidRPr="00501DAE" w:rsidRDefault="003F0B53" w:rsidP="00B34101">
                              <w:pPr>
                                <w:pStyle w:val="NormalWeb"/>
                                <w:spacing w:before="0" w:beforeAutospacing="0" w:after="0" w:afterAutospacing="0"/>
                                <w:jc w:val="center"/>
                                <w:rPr>
                                  <w:rFonts w:ascii="Arial" w:hAnsi="Arial" w:cs="Arial"/>
                                  <w:sz w:val="20"/>
                                  <w:szCs w:val="20"/>
                                </w:rPr>
                              </w:pPr>
                              <w:r w:rsidRPr="00501DAE">
                                <w:rPr>
                                  <w:rFonts w:ascii="Arial" w:hAnsi="Arial" w:cs="Arial"/>
                                  <w:color w:val="000000" w:themeColor="dark1"/>
                                  <w:kern w:val="24"/>
                                  <w:sz w:val="20"/>
                                  <w:szCs w:val="20"/>
                                </w:rPr>
                                <w:t>Marketing</w:t>
                              </w:r>
                            </w:p>
                          </w:txbxContent>
                        </wps:txbx>
                        <wps:bodyPr wrap="square" rtlCol="0">
                          <a:noAutofit/>
                        </wps:bodyPr>
                      </wps:wsp>
                      <wps:wsp>
                        <wps:cNvPr id="41" name="TextBox 20"/>
                        <wps:cNvSpPr txBox="1"/>
                        <wps:spPr>
                          <a:xfrm>
                            <a:off x="6013296" y="1110889"/>
                            <a:ext cx="1143000" cy="629920"/>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27B12293" w14:textId="77777777" w:rsidR="003F0B53" w:rsidRPr="00501DAE" w:rsidRDefault="003F0B53" w:rsidP="00B34101">
                              <w:pPr>
                                <w:pStyle w:val="NormalWeb"/>
                                <w:spacing w:before="0" w:beforeAutospacing="0" w:after="0" w:afterAutospacing="0"/>
                                <w:jc w:val="center"/>
                                <w:rPr>
                                  <w:rFonts w:ascii="Arial" w:hAnsi="Arial" w:cs="Arial"/>
                                  <w:sz w:val="20"/>
                                  <w:szCs w:val="20"/>
                                </w:rPr>
                              </w:pPr>
                              <w:r w:rsidRPr="00501DAE">
                                <w:rPr>
                                  <w:rFonts w:ascii="Arial" w:hAnsi="Arial" w:cs="Arial"/>
                                  <w:color w:val="000000" w:themeColor="dark1"/>
                                  <w:kern w:val="24"/>
                                  <w:sz w:val="20"/>
                                  <w:szCs w:val="20"/>
                                </w:rPr>
                                <w:t>Director of Information Technology</w:t>
                              </w:r>
                            </w:p>
                          </w:txbxContent>
                        </wps:txbx>
                        <wps:bodyPr wrap="square" rtlCol="0">
                          <a:noAutofit/>
                        </wps:bodyPr>
                      </wps:wsp>
                      <wps:wsp>
                        <wps:cNvPr id="42" name="TextBox 21"/>
                        <wps:cNvSpPr txBox="1"/>
                        <wps:spPr>
                          <a:xfrm>
                            <a:off x="7543800" y="1110888"/>
                            <a:ext cx="1143000" cy="629920"/>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51881DA5" w14:textId="77777777" w:rsidR="003F0B53" w:rsidRPr="00501DAE" w:rsidRDefault="003F0B53" w:rsidP="00B34101">
                              <w:pPr>
                                <w:pStyle w:val="NormalWeb"/>
                                <w:spacing w:before="0" w:beforeAutospacing="0" w:after="0" w:afterAutospacing="0"/>
                                <w:jc w:val="center"/>
                                <w:rPr>
                                  <w:rFonts w:ascii="Arial" w:hAnsi="Arial" w:cs="Arial"/>
                                  <w:sz w:val="20"/>
                                  <w:szCs w:val="20"/>
                                </w:rPr>
                              </w:pPr>
                              <w:r w:rsidRPr="00501DAE">
                                <w:rPr>
                                  <w:rFonts w:ascii="Arial" w:hAnsi="Arial" w:cs="Arial"/>
                                  <w:color w:val="000000" w:themeColor="dark1"/>
                                  <w:kern w:val="24"/>
                                  <w:sz w:val="20"/>
                                  <w:szCs w:val="20"/>
                                </w:rPr>
                                <w:t>Director of Human Resources</w:t>
                              </w:r>
                            </w:p>
                          </w:txbxContent>
                        </wps:txbx>
                        <wps:bodyPr wrap="square" rtlCol="0">
                          <a:noAutofit/>
                        </wps:bodyPr>
                      </wps:wsp>
                      <wps:wsp>
                        <wps:cNvPr id="43" name="TextBox 22"/>
                        <wps:cNvSpPr txBox="1"/>
                        <wps:spPr>
                          <a:xfrm>
                            <a:off x="743572" y="2406255"/>
                            <a:ext cx="1425178" cy="629920"/>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6DE61E47" w14:textId="04FFA2C1" w:rsidR="003F0B53" w:rsidRPr="00501DAE" w:rsidRDefault="003F0B53" w:rsidP="00B34101">
                              <w:pPr>
                                <w:pStyle w:val="NormalWeb"/>
                                <w:spacing w:before="0" w:beforeAutospacing="0" w:after="0" w:afterAutospacing="0"/>
                                <w:jc w:val="center"/>
                                <w:rPr>
                                  <w:rFonts w:ascii="Arial" w:hAnsi="Arial" w:cs="Arial"/>
                                  <w:sz w:val="20"/>
                                  <w:szCs w:val="20"/>
                                </w:rPr>
                              </w:pPr>
                              <w:r w:rsidRPr="00501DAE">
                                <w:rPr>
                                  <w:rFonts w:ascii="Arial" w:hAnsi="Arial" w:cs="Arial"/>
                                  <w:color w:val="000000" w:themeColor="dark1"/>
                                  <w:kern w:val="24"/>
                                  <w:sz w:val="20"/>
                                  <w:szCs w:val="20"/>
                                </w:rPr>
                                <w:t xml:space="preserve">Health </w:t>
                              </w:r>
                              <w:r>
                                <w:rPr>
                                  <w:rFonts w:ascii="Arial" w:hAnsi="Arial" w:cs="Arial"/>
                                  <w:color w:val="000000" w:themeColor="dark1"/>
                                  <w:kern w:val="24"/>
                                  <w:sz w:val="20"/>
                                  <w:szCs w:val="20"/>
                                </w:rPr>
                                <w:br/>
                              </w:r>
                              <w:r w:rsidRPr="00501DAE">
                                <w:rPr>
                                  <w:rFonts w:ascii="Arial" w:hAnsi="Arial" w:cs="Arial"/>
                                  <w:color w:val="000000" w:themeColor="dark1"/>
                                  <w:kern w:val="24"/>
                                  <w:sz w:val="20"/>
                                  <w:szCs w:val="20"/>
                                </w:rPr>
                                <w:t>Services</w:t>
                              </w:r>
                            </w:p>
                            <w:p w14:paraId="302473BE" w14:textId="77777777" w:rsidR="003F0B53" w:rsidRPr="00501DAE" w:rsidRDefault="003F0B53" w:rsidP="00B34101">
                              <w:pPr>
                                <w:pStyle w:val="NormalWeb"/>
                                <w:spacing w:before="0" w:beforeAutospacing="0" w:after="0" w:afterAutospacing="0"/>
                                <w:jc w:val="center"/>
                                <w:rPr>
                                  <w:rFonts w:ascii="Arial" w:hAnsi="Arial" w:cs="Arial"/>
                                  <w:sz w:val="20"/>
                                  <w:szCs w:val="20"/>
                                </w:rPr>
                              </w:pPr>
                              <w:r w:rsidRPr="00501DAE">
                                <w:rPr>
                                  <w:rFonts w:ascii="Arial" w:hAnsi="Arial" w:cs="Arial"/>
                                  <w:i/>
                                  <w:iCs/>
                                  <w:color w:val="000000" w:themeColor="dark1"/>
                                  <w:kern w:val="24"/>
                                  <w:sz w:val="20"/>
                                  <w:szCs w:val="20"/>
                                </w:rPr>
                                <w:t>5 Service Lines</w:t>
                              </w:r>
                            </w:p>
                          </w:txbxContent>
                        </wps:txbx>
                        <wps:bodyPr wrap="square" rtlCol="0">
                          <a:noAutofit/>
                        </wps:bodyPr>
                      </wps:wsp>
                      <wps:wsp>
                        <wps:cNvPr id="44" name="TextBox 23"/>
                        <wps:cNvSpPr txBox="1"/>
                        <wps:spPr>
                          <a:xfrm>
                            <a:off x="2588768" y="2406255"/>
                            <a:ext cx="1483995" cy="629920"/>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017913DF" w14:textId="77777777" w:rsidR="003F0B53" w:rsidRPr="00501DAE" w:rsidRDefault="003F0B53" w:rsidP="00B34101">
                              <w:pPr>
                                <w:pStyle w:val="NormalWeb"/>
                                <w:spacing w:before="0" w:beforeAutospacing="0" w:after="0" w:afterAutospacing="0"/>
                                <w:jc w:val="center"/>
                                <w:rPr>
                                  <w:rFonts w:ascii="Arial" w:hAnsi="Arial" w:cs="Arial"/>
                                  <w:sz w:val="20"/>
                                  <w:szCs w:val="20"/>
                                </w:rPr>
                              </w:pPr>
                              <w:r w:rsidRPr="00501DAE">
                                <w:rPr>
                                  <w:rFonts w:ascii="Arial" w:hAnsi="Arial" w:cs="Arial"/>
                                  <w:color w:val="000000" w:themeColor="dark1"/>
                                  <w:kern w:val="24"/>
                                  <w:sz w:val="20"/>
                                  <w:szCs w:val="20"/>
                                </w:rPr>
                                <w:t>Home Care</w:t>
                              </w:r>
                            </w:p>
                            <w:p w14:paraId="1CFC0F4E" w14:textId="77777777" w:rsidR="003F0B53" w:rsidRPr="00501DAE" w:rsidRDefault="003F0B53" w:rsidP="00B34101">
                              <w:pPr>
                                <w:pStyle w:val="NormalWeb"/>
                                <w:spacing w:before="0" w:beforeAutospacing="0" w:after="0" w:afterAutospacing="0"/>
                                <w:jc w:val="center"/>
                                <w:rPr>
                                  <w:rFonts w:ascii="Arial" w:hAnsi="Arial" w:cs="Arial"/>
                                  <w:sz w:val="20"/>
                                  <w:szCs w:val="20"/>
                                </w:rPr>
                              </w:pPr>
                              <w:r w:rsidRPr="00501DAE">
                                <w:rPr>
                                  <w:rFonts w:ascii="Arial" w:hAnsi="Arial" w:cs="Arial"/>
                                  <w:color w:val="000000" w:themeColor="dark1"/>
                                  <w:kern w:val="24"/>
                                  <w:sz w:val="20"/>
                                  <w:szCs w:val="20"/>
                                </w:rPr>
                                <w:t>Services</w:t>
                              </w:r>
                            </w:p>
                            <w:p w14:paraId="0CE3ED25" w14:textId="77777777" w:rsidR="003F0B53" w:rsidRPr="00501DAE" w:rsidRDefault="003F0B53" w:rsidP="00B34101">
                              <w:pPr>
                                <w:pStyle w:val="NormalWeb"/>
                                <w:spacing w:before="0" w:beforeAutospacing="0" w:after="0" w:afterAutospacing="0"/>
                                <w:jc w:val="center"/>
                                <w:rPr>
                                  <w:rFonts w:ascii="Arial" w:hAnsi="Arial" w:cs="Arial"/>
                                  <w:sz w:val="20"/>
                                  <w:szCs w:val="20"/>
                                </w:rPr>
                              </w:pPr>
                              <w:r w:rsidRPr="00501DAE">
                                <w:rPr>
                                  <w:rFonts w:ascii="Arial" w:hAnsi="Arial" w:cs="Arial"/>
                                  <w:i/>
                                  <w:iCs/>
                                  <w:color w:val="000000" w:themeColor="dark1"/>
                                  <w:kern w:val="24"/>
                                  <w:sz w:val="20"/>
                                  <w:szCs w:val="20"/>
                                </w:rPr>
                                <w:t>6 Service Lines</w:t>
                              </w:r>
                            </w:p>
                          </w:txbxContent>
                        </wps:txbx>
                        <wps:bodyPr wrap="square" rtlCol="0">
                          <a:noAutofit/>
                        </wps:bodyPr>
                      </wps:wsp>
                      <wps:wsp>
                        <wps:cNvPr id="45" name="TextBox 24"/>
                        <wps:cNvSpPr txBox="1"/>
                        <wps:spPr>
                          <a:xfrm>
                            <a:off x="4528312" y="2406255"/>
                            <a:ext cx="1264920" cy="629920"/>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1F0D6033" w14:textId="77777777" w:rsidR="003F0B53" w:rsidRPr="00501DAE" w:rsidRDefault="003F0B53" w:rsidP="00B34101">
                              <w:pPr>
                                <w:pStyle w:val="NormalWeb"/>
                                <w:spacing w:before="0" w:beforeAutospacing="0" w:after="0" w:afterAutospacing="0"/>
                                <w:jc w:val="center"/>
                                <w:rPr>
                                  <w:rFonts w:ascii="Arial" w:hAnsi="Arial" w:cs="Arial"/>
                                  <w:sz w:val="20"/>
                                  <w:szCs w:val="20"/>
                                </w:rPr>
                              </w:pPr>
                              <w:r w:rsidRPr="00501DAE">
                                <w:rPr>
                                  <w:rFonts w:ascii="Arial" w:hAnsi="Arial" w:cs="Arial"/>
                                  <w:color w:val="000000" w:themeColor="dark1"/>
                                  <w:kern w:val="24"/>
                                  <w:sz w:val="20"/>
                                  <w:szCs w:val="20"/>
                                </w:rPr>
                                <w:t>Fiduciary Services</w:t>
                              </w:r>
                            </w:p>
                            <w:p w14:paraId="5F3045C0" w14:textId="77777777" w:rsidR="003F0B53" w:rsidRPr="00501DAE" w:rsidRDefault="003F0B53" w:rsidP="00B34101">
                              <w:pPr>
                                <w:pStyle w:val="NormalWeb"/>
                                <w:spacing w:before="0" w:beforeAutospacing="0" w:after="0" w:afterAutospacing="0"/>
                                <w:jc w:val="center"/>
                                <w:rPr>
                                  <w:rFonts w:ascii="Arial" w:hAnsi="Arial" w:cs="Arial"/>
                                  <w:sz w:val="20"/>
                                  <w:szCs w:val="20"/>
                                </w:rPr>
                              </w:pPr>
                              <w:r w:rsidRPr="00501DAE">
                                <w:rPr>
                                  <w:rFonts w:ascii="Arial" w:hAnsi="Arial" w:cs="Arial"/>
                                  <w:i/>
                                  <w:iCs/>
                                  <w:color w:val="000000" w:themeColor="dark1"/>
                                  <w:kern w:val="24"/>
                                  <w:sz w:val="20"/>
                                  <w:szCs w:val="20"/>
                                </w:rPr>
                                <w:t>3 Service Lines</w:t>
                              </w:r>
                            </w:p>
                          </w:txbxContent>
                        </wps:txbx>
                        <wps:bodyPr wrap="square" rtlCol="0">
                          <a:noAutofit/>
                        </wps:bodyPr>
                      </wps:wsp>
                      <wps:wsp>
                        <wps:cNvPr id="46" name="TextBox 25"/>
                        <wps:cNvSpPr txBox="1"/>
                        <wps:spPr>
                          <a:xfrm>
                            <a:off x="6248400" y="2406255"/>
                            <a:ext cx="1600200" cy="629920"/>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59F0C84D" w14:textId="77777777" w:rsidR="003F0B53" w:rsidRPr="00501DAE" w:rsidRDefault="003F0B53" w:rsidP="00B34101">
                              <w:pPr>
                                <w:pStyle w:val="NormalWeb"/>
                                <w:spacing w:before="0" w:beforeAutospacing="0" w:after="0" w:afterAutospacing="0"/>
                                <w:jc w:val="center"/>
                                <w:rPr>
                                  <w:rFonts w:ascii="Arial" w:hAnsi="Arial" w:cs="Arial"/>
                                  <w:sz w:val="20"/>
                                  <w:szCs w:val="20"/>
                                </w:rPr>
                              </w:pPr>
                              <w:r w:rsidRPr="00501DAE">
                                <w:rPr>
                                  <w:rFonts w:ascii="Arial" w:hAnsi="Arial" w:cs="Arial"/>
                                  <w:color w:val="000000" w:themeColor="dark1"/>
                                  <w:kern w:val="24"/>
                                  <w:sz w:val="20"/>
                                  <w:szCs w:val="20"/>
                                </w:rPr>
                                <w:t xml:space="preserve">Clinical &amp; </w:t>
                              </w:r>
                            </w:p>
                            <w:p w14:paraId="05412990" w14:textId="77777777" w:rsidR="003F0B53" w:rsidRPr="00501DAE" w:rsidRDefault="003F0B53" w:rsidP="00B34101">
                              <w:pPr>
                                <w:pStyle w:val="NormalWeb"/>
                                <w:spacing w:before="0" w:beforeAutospacing="0" w:after="0" w:afterAutospacing="0"/>
                                <w:jc w:val="center"/>
                                <w:rPr>
                                  <w:rFonts w:ascii="Arial" w:hAnsi="Arial" w:cs="Arial"/>
                                  <w:sz w:val="20"/>
                                  <w:szCs w:val="20"/>
                                </w:rPr>
                              </w:pPr>
                              <w:r w:rsidRPr="00501DAE">
                                <w:rPr>
                                  <w:rFonts w:ascii="Arial" w:hAnsi="Arial" w:cs="Arial"/>
                                  <w:color w:val="000000" w:themeColor="dark1"/>
                                  <w:kern w:val="24"/>
                                  <w:sz w:val="20"/>
                                  <w:szCs w:val="20"/>
                                </w:rPr>
                                <w:t>Community Services</w:t>
                              </w:r>
                            </w:p>
                            <w:p w14:paraId="2FE428E5" w14:textId="77777777" w:rsidR="003F0B53" w:rsidRPr="00501DAE" w:rsidRDefault="003F0B53" w:rsidP="00B34101">
                              <w:pPr>
                                <w:pStyle w:val="NormalWeb"/>
                                <w:spacing w:before="0" w:beforeAutospacing="0" w:after="0" w:afterAutospacing="0"/>
                                <w:jc w:val="center"/>
                                <w:rPr>
                                  <w:rFonts w:ascii="Arial" w:hAnsi="Arial" w:cs="Arial"/>
                                  <w:sz w:val="20"/>
                                  <w:szCs w:val="20"/>
                                </w:rPr>
                              </w:pPr>
                              <w:r w:rsidRPr="00501DAE">
                                <w:rPr>
                                  <w:rFonts w:ascii="Arial" w:hAnsi="Arial" w:cs="Arial"/>
                                  <w:i/>
                                  <w:iCs/>
                                  <w:color w:val="000000" w:themeColor="dark1"/>
                                  <w:kern w:val="24"/>
                                  <w:sz w:val="20"/>
                                  <w:szCs w:val="20"/>
                                </w:rPr>
                                <w:t>8 Service Lines</w:t>
                              </w:r>
                            </w:p>
                          </w:txbxContent>
                        </wps:txbx>
                        <wps:bodyPr wrap="square" rtlCol="0">
                          <a:noAutofit/>
                        </wps:bodyPr>
                      </wps:wsp>
                    </wpg:wgp>
                  </a:graphicData>
                </a:graphic>
              </wp:inline>
            </w:drawing>
          </mc:Choice>
          <mc:Fallback>
            <w:pict>
              <v:group w14:anchorId="74F74D6B" id="Group 1" o:spid="_x0000_s1027" style="width:614.4pt;height:214.7pt;mso-position-horizontal-relative:char;mso-position-vertical-relative:line" coordsize="86868,30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">
                <v:shapetype id="_x0000_t32" coordsize="21600,21600" o:spt="32" o:oned="t" path="m,l21600,21600e" filled="f">
                  <v:path arrowok="t" fillok="f" o:connecttype="none"/>
                  <o:lock v:ext="edit" shapetype="t"/>
                </v:shapetype>
                <v:shape id="Straight Arrow Connector 26" o:spid="_x0000_s1028" type="#_x0000_t32" style="position:absolute;left:5715;top:4616;width:36576;height:649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WBU8IAAADbAAAADwAAAGRycy9kb3ducmV2LnhtbESPzYrCMBSF94LvEK7gTlNdiFSjyICo&#10;iAsdUZfX5tqWaW5qE7X69GZAcHk4Px9nPK1NIe5Uudyygl43AkGcWJ1zqmD/O+8MQTiPrLGwTAqe&#10;5GA6aTbGGGv74C3ddz4VYYRdjAoy78tYSpdkZNB1bUkcvIutDPogq1TqCh9h3BSyH0UDaTDnQMiw&#10;pJ+Mkr/dzQRucbxuev6YXoevxSGan9bbFZ2Varfq2QiEp9p/w5/2UivoD+D/S/gBcv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LWBU8IAAADbAAAADwAAAAAAAAAAAAAA&#10;AAChAgAAZHJzL2Rvd25yZXYueG1sUEsFBgAAAAAEAAQA+QAAAJADAAAAAA==&#10;" strokecolor="black [3040]"/>
                <v:shape id="Straight Arrow Connector 27" o:spid="_x0000_s1029" type="#_x0000_t32" style="position:absolute;left:21020;top:4616;width:21271;height:649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kyMQAAADbAAAADwAAAGRycy9kb3ducmV2LnhtbESPS4vCMBSF98L8h3AH3NlUFyodowwD&#10;oiIufDC6vDZ32jLNTW2iVn+9EQSXh/P4OKNJY0pxodoVlhV0oxgEcWp1wZmC3XbaGYJwHlljaZkU&#10;3MjBZPzRGmGi7ZXXdNn4TIQRdgkqyL2vEildmpNBF9mKOHh/tjbog6wzqWu8hnFTyl4c96XBggMh&#10;x4p+ckr/N2cTuOX+tOr6fXYa3me/8fSwXC/oqFT7s/n+AuGp8e/wqz3XCnoDeH4JP0CO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STIxAAAANsAAAAPAAAAAAAAAAAA&#10;AAAAAKECAABkcnMvZG93bnJldi54bWxQSwUGAAAAAAQABAD5AAAAkgMAAAAA&#10;" strokecolor="black [3040]"/>
                <v:shape id="Straight Arrow Connector 28" o:spid="_x0000_s1030" type="#_x0000_t32" style="position:absolute;left:36325;top:4616;width:5966;height:649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awusIAAADbAAAADwAAAGRycy9kb3ducmV2LnhtbERPS2vCQBC+F/wPywjedKMHkdRVSkFU&#10;xIMPmh6n2WkSmp2N2VWjv75zKPT48b3ny87V6kZtqDwbGI8SUMS5txUXBs6n1XAGKkRki7VnMvCg&#10;AMtF72WOqfV3PtDtGAslIRxSNFDG2KRah7wkh2HkG2Lhvn3rMApsC21bvEu4q/UkSabaYcXSUGJD&#10;7yXlP8erk946u+zHMSsus+f6I1l97g5b+jJm0O/eXkFF6uK/+M+9sQYmMla+yA/Qi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mawusIAAADbAAAADwAAAAAAAAAAAAAA&#10;AAChAgAAZHJzL2Rvd25yZXYueG1sUEsFBgAAAAAEAAQA+QAAAJADAAAAAA==&#10;" strokecolor="black [3040]"/>
                <v:shape id="Straight Arrow Connector 29" o:spid="_x0000_s1031" type="#_x0000_t32" style="position:absolute;left:42291;top:4616;width:8795;height:64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qdjMUAAADbAAAADwAAAGRycy9kb3ducmV2LnhtbESPQWvCQBSE74X+h+UJXkrdKFJsdJVa&#10;CXoQodreX7PPbDD7Ns2uSfrvu0LB4zAz3zCLVW8r0VLjS8cKxqMEBHHudMmFgs9T9jwD4QOyxsox&#10;KfglD6vl48MCU+06/qD2GAoRIexTVGBCqFMpfW7Ioh+5mjh6Z9dYDFE2hdQNdhFuKzlJkhdpseS4&#10;YLCmd0P55Xi1Ctab9XZHT+7UZz/fs85sxtPD/kup4aB/m4MI1Id7+L+90womr3D7En+AX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EqdjMUAAADbAAAADwAAAAAAAAAA&#10;AAAAAAChAgAAZHJzL2Rvd25yZXYueG1sUEsFBgAAAAAEAAQA+QAAAJMDAAAAAA==&#10;" strokecolor="black [3040]"/>
                <v:shape id="Straight Arrow Connector 30" o:spid="_x0000_s1032" type="#_x0000_t32" style="position:absolute;left:42291;top:4616;width:23556;height:64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mizMIAAADbAAAADwAAAGRycy9kb3ducmV2LnhtbERPz2vCMBS+D/wfwhN2EZs6h0htFJ2I&#10;Hoagbvdn89aUNS+1yWz33y8HYceP73e+6m0t7tT6yrGCSZKCIC6crrhU8HHZjecgfEDWWDsmBb/k&#10;YbUcPOWYadfxie7nUIoYwj5DBSaEJpPSF4Ys+sQ1xJH7cq3FEGFbSt1iF8NtLV/SdCYtVhwbDDb0&#10;Zqj4Pv9YBZvtZn+gkbv0u9t13pnt5PX4/qnU87BfL0AE6sO/+OE+aAXTuD5+iT9AL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KmizMIAAADbAAAADwAAAAAAAAAAAAAA&#10;AAChAgAAZHJzL2Rvd25yZXYueG1sUEsFBgAAAAAEAAQA+QAAAJADAAAAAA==&#10;" strokecolor="black [3040]"/>
                <v:shape id="Straight Arrow Connector 31" o:spid="_x0000_s1033" type="#_x0000_t32" style="position:absolute;left:42291;top:4616;width:38862;height:64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HV8UAAADbAAAADwAAAGRycy9kb3ducmV2LnhtbESPW2vCQBSE3wv+h+UIfSm6SVuKRFfx&#10;guhDEerl/Zg9ZoPZszG7mvTfdwuFPg4z8w0zmXW2Eg9qfOlYQTpMQBDnTpdcKDge1oMRCB+QNVaO&#10;ScE3eZhNe08TzLRr+Yse+1CICGGfoQITQp1J6XNDFv3Q1cTRu7jGYoiyKaRusI1wW8nXJPmQFkuO&#10;CwZrWhrKr/u7VbBYLTZbenGHbn07j1qzSt93nyelnvvdfAwiUBf+w3/trVbwlsLvl/gD5PQ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UHV8UAAADbAAAADwAAAAAAAAAA&#10;AAAAAAChAgAAZHJzL2Rvd25yZXYueG1sUEsFBgAAAAAEAAQA+QAAAJMDAAAAAA==&#10;" strokecolor="black [3040]"/>
                <v:shape id="Straight Arrow Connector 32" o:spid="_x0000_s1034" type="#_x0000_t32" style="position:absolute;left:15621;top:17572;width:20704;height:64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cRjcQAAADbAAAADwAAAGRycy9kb3ducmV2LnhtbESPS4vCMBSF98L8h3AH3NlUBZGOUYYB&#10;UREXPhhdXps7bZnmpjZRq7/eCILLw3l8nNGkMaW4UO0Kywq6UQyCOLW64EzBbjvtDEE4j6yxtEwK&#10;buRgMv5ojTDR9sprumx8JsIIuwQV5N5XiZQuzcmgi2xFHLw/Wxv0QdaZ1DVew7gpZS+OB9JgwYGQ&#10;Y0U/OaX/m7MJ3HJ/WnX9PjsN77PfeHpYrhd0VKr92Xx/gfDU+Hf41Z5rBf0ePL+EHyDH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VxGNxAAAANsAAAAPAAAAAAAAAAAA&#10;AAAAAKECAABkcnMvZG93bnJldi54bWxQSwUGAAAAAAQABAD5AAAAkgMAAAAA&#10;" strokecolor="black [3040]"/>
                <v:shape id="Straight Arrow Connector 33" o:spid="_x0000_s1035" type="#_x0000_t32" style="position:absolute;left:33309;top:17572;width:3016;height:64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u0FsMAAADbAAAADwAAAGRycy9kb3ducmV2LnhtbESPS4vCMBSF94L/IVzBnaaOIFKNIoKM&#10;MszCB+ry2lzbYnNTm6jVXz8RBlwezuPjjKe1KcSdKpdbVtDrRiCIE6tzThXstovOEITzyBoLy6Tg&#10;SQ6mk2ZjjLG2D17TfeNTEUbYxagg876MpXRJRgZd15bEwTvbyqAPskqlrvARxk0hv6JoIA3mHAgZ&#10;ljTPKLlsbiZwi8P1t+cP6XX4+t5Hi+PPekUnpdqtejYC4an2n/B/e6kV9Pvw/hJ+gJ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EbtBbDAAAA2wAAAA8AAAAAAAAAAAAA&#10;AAAAoQIAAGRycy9kb3ducmV2LnhtbFBLBQYAAAAABAAEAPkAAACRAwAAAAA=&#10;" strokecolor="black [3040]"/>
                <v:shape id="Straight Arrow Connector 34" o:spid="_x0000_s1036" type="#_x0000_t32" style="position:absolute;left:36325;top:17572;width:15282;height:64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Kkz8UAAADbAAAADwAAAGRycy9kb3ducmV2LnhtbESPQWvCQBSE70L/w/IKvUjdWKVImo1o&#10;RfRQBLW9v2Zfs6HZtzG7NfHfuwXB4zAz3zDZvLe1OFPrK8cKxqMEBHHhdMWlgs/j+nkGwgdkjbVj&#10;UnAhD/P8YZBhql3HezofQikihH2KCkwITSqlLwxZ9CPXEEfvx7UWQ5RtKXWLXYTbWr4kyau0WHFc&#10;MNjQu6Hi9/BnFSxXy82Whu7Yr0/fs86sxtPdx5dST4/94g1EoD7cw7f2ViuYTOH/S/wBMr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Kkz8UAAADbAAAADwAAAAAAAAAA&#10;AAAAAAChAgAAZHJzL2Rvd25yZXYueG1sUEsFBgAAAAAEAAQA+QAAAJMDAAAAAA==&#10;" strokecolor="black [3040]"/>
                <v:shape id="Straight Arrow Connector 35" o:spid="_x0000_s1037" type="#_x0000_t32" style="position:absolute;left:36325;top:17572;width:34160;height:64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4BVMUAAADbAAAADwAAAGRycy9kb3ducmV2LnhtbESPQWsCMRSE74X+h/AKXqRmrVpkNYpW&#10;RA8iqO39uXndLN28rJvobv99Iwg9DjPzDTOdt7YUN6p94VhBv5eAIM6cLjhX8Hlav45B+ICssXRM&#10;Cn7Jw3z2/DTFVLuGD3Q7hlxECPsUFZgQqlRKnxmy6HuuIo7et6sthijrXOoamwi3pXxLkndpseC4&#10;YLCiD0PZz/FqFSxXy82Wuu7Uri/ncWNW/eF+96VU56VdTEAEasN/+NHeagWDEdy/xB8gZ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N4BVMUAAADbAAAADwAAAAAAAAAA&#10;AAAAAAChAgAAZHJzL2Rvd25yZXYueG1sUEsFBgAAAAAEAAQA+QAAAJMDAAAAAA==&#10;" strokecolor="black [3040]"/>
                <v:shape id="TextBox 3" o:spid="_x0000_s1038" type="#_x0000_t202" style="position:absolute;left:35052;width:14478;height:4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q8zsQA&#10;AADbAAAADwAAAGRycy9kb3ducmV2LnhtbESPT2sCMRTE7wW/Q3hCbzVrLaKrUbQgrfQg/sPrY/Pc&#10;XUxeliTV9ds3QsHjMDO/Yabz1hpxJR9qxwr6vQwEceF0zaWCw371NgIRIrJG45gU3CnAfNZ5mWKu&#10;3Y23dN3FUiQIhxwVVDE2uZShqMhi6LmGOHln5y3GJH0ptcdbglsj37NsKC3WnBYqbOizouKy+7UK&#10;zLoYn4LffJy+DvfNuDwuzU9slXrttosJiEhtfIb/299awWAIjy/pB8j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avM7EAAAA2wAAAA8AAAAAAAAAAAAAAAAAmAIAAGRycy9k&#10;b3ducmV2LnhtbFBLBQYAAAAABAAEAPUAAACJAwAAAAA=&#10;" fillcolor="white [3201]" strokecolor="black [3213]" strokeweight="1pt">
                  <v:textbox>
                    <w:txbxContent>
                      <w:p w14:paraId="2459B314" w14:textId="77777777" w:rsidR="003F0B53" w:rsidRPr="00501DAE" w:rsidRDefault="003F0B53" w:rsidP="00B34101">
                        <w:pPr>
                          <w:pStyle w:val="NormalWeb"/>
                          <w:spacing w:before="0" w:beforeAutospacing="0" w:after="0" w:afterAutospacing="0"/>
                          <w:jc w:val="center"/>
                          <w:rPr>
                            <w:rFonts w:ascii="Arial" w:hAnsi="Arial" w:cs="Arial"/>
                            <w:sz w:val="20"/>
                            <w:szCs w:val="20"/>
                          </w:rPr>
                        </w:pPr>
                        <w:proofErr w:type="gramStart"/>
                        <w:r w:rsidRPr="00501DAE">
                          <w:rPr>
                            <w:rFonts w:ascii="Arial" w:hAnsi="Arial" w:cs="Arial"/>
                            <w:color w:val="000000" w:themeColor="dark1"/>
                            <w:kern w:val="24"/>
                            <w:sz w:val="20"/>
                            <w:szCs w:val="20"/>
                          </w:rPr>
                          <w:t>President &amp;</w:t>
                        </w:r>
                        <w:proofErr w:type="gramEnd"/>
                        <w:r w:rsidRPr="00501DAE">
                          <w:rPr>
                            <w:rFonts w:ascii="Arial" w:hAnsi="Arial" w:cs="Arial"/>
                            <w:color w:val="000000" w:themeColor="dark1"/>
                            <w:kern w:val="24"/>
                            <w:sz w:val="20"/>
                            <w:szCs w:val="20"/>
                          </w:rPr>
                          <w:t xml:space="preserve"> CEO</w:t>
                        </w:r>
                      </w:p>
                      <w:p w14:paraId="2037DEE8" w14:textId="77777777" w:rsidR="003F0B53" w:rsidRPr="00501DAE" w:rsidRDefault="003F0B53" w:rsidP="00B34101">
                        <w:pPr>
                          <w:pStyle w:val="NormalWeb"/>
                          <w:spacing w:before="0" w:beforeAutospacing="0" w:after="0" w:afterAutospacing="0"/>
                          <w:jc w:val="center"/>
                          <w:rPr>
                            <w:rFonts w:ascii="Arial" w:hAnsi="Arial" w:cs="Arial"/>
                            <w:sz w:val="20"/>
                            <w:szCs w:val="20"/>
                          </w:rPr>
                        </w:pPr>
                        <w:r w:rsidRPr="00501DAE">
                          <w:rPr>
                            <w:rFonts w:ascii="Arial" w:hAnsi="Arial" w:cs="Arial"/>
                            <w:i/>
                            <w:iCs/>
                            <w:color w:val="000000" w:themeColor="dark1"/>
                            <w:kern w:val="24"/>
                            <w:sz w:val="20"/>
                            <w:szCs w:val="20"/>
                          </w:rPr>
                          <w:t xml:space="preserve">Tom </w:t>
                        </w:r>
                        <w:proofErr w:type="spellStart"/>
                        <w:r w:rsidRPr="00501DAE">
                          <w:rPr>
                            <w:rFonts w:ascii="Arial" w:hAnsi="Arial" w:cs="Arial"/>
                            <w:i/>
                            <w:iCs/>
                            <w:color w:val="000000" w:themeColor="dark1"/>
                            <w:kern w:val="24"/>
                            <w:sz w:val="20"/>
                            <w:szCs w:val="20"/>
                          </w:rPr>
                          <w:t>Briody</w:t>
                        </w:r>
                        <w:proofErr w:type="spellEnd"/>
                      </w:p>
                    </w:txbxContent>
                  </v:textbox>
                </v:shape>
                <v:shape id="TextBox 10" o:spid="_x0000_s1039" type="#_x0000_t202" style="position:absolute;top:11108;width:11430;height:6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YZVcQA&#10;AADbAAAADwAAAGRycy9kb3ducmV2LnhtbESPQWsCMRSE74L/IbxCb5ptK1pXo7SFouJBai1eH5vn&#10;7mLysiSprv/eCILHYWa+Yabz1hpxIh9qxwpe+hkI4sLpmksFu9/v3juIEJE1Gsek4EIB5rNuZ4q5&#10;dmf+odM2liJBOOSooIqxyaUMRUUWQ981xMk7OG8xJulLqT2eE9wa+ZplQ2mx5rRQYUNfFRXH7b9V&#10;YFbFeB/8ZrBf7C6bcfn3adaxVer5qf2YgIjUxkf43l5qBW8juH1JP0DO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9WGVXEAAAA2wAAAA8AAAAAAAAAAAAAAAAAmAIAAGRycy9k&#10;b3ducmV2LnhtbFBLBQYAAAAABAAEAPUAAACJAwAAAAA=&#10;" fillcolor="white [3201]" strokecolor="black [3213]" strokeweight="1pt">
                  <v:textbox>
                    <w:txbxContent>
                      <w:p w14:paraId="1A6F3F8D" w14:textId="77777777" w:rsidR="003F0B53" w:rsidRPr="00501DAE" w:rsidRDefault="003F0B53" w:rsidP="00B34101">
                        <w:pPr>
                          <w:pStyle w:val="NormalWeb"/>
                          <w:spacing w:before="0" w:beforeAutospacing="0" w:after="0" w:afterAutospacing="0"/>
                          <w:jc w:val="center"/>
                          <w:rPr>
                            <w:rFonts w:ascii="Arial" w:hAnsi="Arial" w:cs="Arial"/>
                            <w:sz w:val="20"/>
                            <w:szCs w:val="20"/>
                          </w:rPr>
                        </w:pPr>
                        <w:r w:rsidRPr="00501DAE">
                          <w:rPr>
                            <w:rFonts w:ascii="Arial" w:hAnsi="Arial" w:cs="Arial"/>
                            <w:color w:val="000000" w:themeColor="dark1"/>
                            <w:kern w:val="24"/>
                            <w:sz w:val="20"/>
                            <w:szCs w:val="20"/>
                          </w:rPr>
                          <w:t xml:space="preserve">Chief </w:t>
                        </w:r>
                      </w:p>
                      <w:p w14:paraId="38E5D2D3" w14:textId="77777777" w:rsidR="003F0B53" w:rsidRPr="00501DAE" w:rsidRDefault="003F0B53" w:rsidP="00B34101">
                        <w:pPr>
                          <w:pStyle w:val="NormalWeb"/>
                          <w:spacing w:before="0" w:beforeAutospacing="0" w:after="0" w:afterAutospacing="0"/>
                          <w:jc w:val="center"/>
                          <w:rPr>
                            <w:rFonts w:ascii="Arial" w:hAnsi="Arial" w:cs="Arial"/>
                            <w:sz w:val="20"/>
                            <w:szCs w:val="20"/>
                          </w:rPr>
                        </w:pPr>
                        <w:r w:rsidRPr="00501DAE">
                          <w:rPr>
                            <w:rFonts w:ascii="Arial" w:hAnsi="Arial" w:cs="Arial"/>
                            <w:color w:val="000000" w:themeColor="dark1"/>
                            <w:kern w:val="24"/>
                            <w:sz w:val="20"/>
                            <w:szCs w:val="20"/>
                          </w:rPr>
                          <w:t xml:space="preserve">Financial </w:t>
                        </w:r>
                      </w:p>
                      <w:p w14:paraId="63D5B0E2" w14:textId="77777777" w:rsidR="003F0B53" w:rsidRPr="00501DAE" w:rsidRDefault="003F0B53" w:rsidP="00B34101">
                        <w:pPr>
                          <w:pStyle w:val="NormalWeb"/>
                          <w:spacing w:before="0" w:beforeAutospacing="0" w:after="0" w:afterAutospacing="0"/>
                          <w:jc w:val="center"/>
                          <w:rPr>
                            <w:rFonts w:ascii="Arial" w:hAnsi="Arial" w:cs="Arial"/>
                            <w:sz w:val="20"/>
                            <w:szCs w:val="20"/>
                          </w:rPr>
                        </w:pPr>
                        <w:r w:rsidRPr="00501DAE">
                          <w:rPr>
                            <w:rFonts w:ascii="Arial" w:hAnsi="Arial" w:cs="Arial"/>
                            <w:color w:val="000000" w:themeColor="dark1"/>
                            <w:kern w:val="24"/>
                            <w:sz w:val="20"/>
                            <w:szCs w:val="20"/>
                          </w:rPr>
                          <w:t>Officer</w:t>
                        </w:r>
                      </w:p>
                    </w:txbxContent>
                  </v:textbox>
                </v:shape>
                <v:shape id="TextBox 17" o:spid="_x0000_s1040" type="#_x0000_t202" style="position:absolute;left:15305;top:11108;width:11430;height:6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mNJ8EA&#10;AADbAAAADwAAAGRycy9kb3ducmV2LnhtbERPy2oCMRTdC/5DuEJ3mrEVqaNRtFC0uJD6wO1lcp0Z&#10;TG6GJNXx782i4PJw3rNFa424kQ+1YwXDQQaCuHC65lLB8fDd/wQRIrJG45gUPCjAYt7tzDDX7s6/&#10;dNvHUqQQDjkqqGJscilDUZHFMHANceIuzluMCfpSao/3FG6NfM+ysbRYc2qosKGviorr/s8qMD/F&#10;5Bz8bnReHx+7SXlamW1slXrrtcspiEhtfIn/3Rut4CONTV/SD5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7JjSfBAAAA2wAAAA8AAAAAAAAAAAAAAAAAmAIAAGRycy9kb3du&#10;cmV2LnhtbFBLBQYAAAAABAAEAPUAAACGAwAAAAA=&#10;" fillcolor="white [3201]" strokecolor="black [3213]" strokeweight="1pt">
                  <v:textbox>
                    <w:txbxContent>
                      <w:p w14:paraId="17EFABD7" w14:textId="77777777" w:rsidR="003F0B53" w:rsidRPr="00501DAE" w:rsidRDefault="003F0B53" w:rsidP="00B34101">
                        <w:pPr>
                          <w:pStyle w:val="NormalWeb"/>
                          <w:spacing w:before="0" w:beforeAutospacing="0" w:after="0" w:afterAutospacing="0"/>
                          <w:jc w:val="center"/>
                          <w:rPr>
                            <w:rFonts w:ascii="Arial" w:hAnsi="Arial" w:cs="Arial"/>
                            <w:sz w:val="20"/>
                            <w:szCs w:val="20"/>
                          </w:rPr>
                        </w:pPr>
                        <w:r w:rsidRPr="00501DAE">
                          <w:rPr>
                            <w:rFonts w:ascii="Arial" w:hAnsi="Arial" w:cs="Arial"/>
                            <w:color w:val="000000" w:themeColor="dark1"/>
                            <w:kern w:val="24"/>
                            <w:sz w:val="20"/>
                            <w:szCs w:val="20"/>
                          </w:rPr>
                          <w:t xml:space="preserve">Director </w:t>
                        </w:r>
                      </w:p>
                      <w:p w14:paraId="60A0137F" w14:textId="77777777" w:rsidR="003F0B53" w:rsidRPr="00501DAE" w:rsidRDefault="003F0B53" w:rsidP="00B34101">
                        <w:pPr>
                          <w:pStyle w:val="NormalWeb"/>
                          <w:spacing w:before="0" w:beforeAutospacing="0" w:after="0" w:afterAutospacing="0"/>
                          <w:jc w:val="center"/>
                          <w:rPr>
                            <w:rFonts w:ascii="Arial" w:hAnsi="Arial" w:cs="Arial"/>
                            <w:sz w:val="20"/>
                            <w:szCs w:val="20"/>
                          </w:rPr>
                        </w:pPr>
                        <w:proofErr w:type="gramStart"/>
                        <w:r w:rsidRPr="00501DAE">
                          <w:rPr>
                            <w:rFonts w:ascii="Arial" w:hAnsi="Arial" w:cs="Arial"/>
                            <w:color w:val="000000" w:themeColor="dark1"/>
                            <w:kern w:val="24"/>
                            <w:sz w:val="20"/>
                            <w:szCs w:val="20"/>
                          </w:rPr>
                          <w:t>of</w:t>
                        </w:r>
                        <w:proofErr w:type="gramEnd"/>
                        <w:r w:rsidRPr="00501DAE">
                          <w:rPr>
                            <w:rFonts w:ascii="Arial" w:hAnsi="Arial" w:cs="Arial"/>
                            <w:color w:val="000000" w:themeColor="dark1"/>
                            <w:kern w:val="24"/>
                            <w:sz w:val="20"/>
                            <w:szCs w:val="20"/>
                          </w:rPr>
                          <w:t xml:space="preserve"> </w:t>
                        </w:r>
                      </w:p>
                      <w:p w14:paraId="7818D868" w14:textId="77777777" w:rsidR="003F0B53" w:rsidRPr="00501DAE" w:rsidRDefault="003F0B53" w:rsidP="00B34101">
                        <w:pPr>
                          <w:pStyle w:val="NormalWeb"/>
                          <w:spacing w:before="0" w:beforeAutospacing="0" w:after="0" w:afterAutospacing="0"/>
                          <w:jc w:val="center"/>
                          <w:rPr>
                            <w:rFonts w:ascii="Arial" w:hAnsi="Arial" w:cs="Arial"/>
                            <w:sz w:val="20"/>
                            <w:szCs w:val="20"/>
                          </w:rPr>
                        </w:pPr>
                        <w:r w:rsidRPr="00501DAE">
                          <w:rPr>
                            <w:rFonts w:ascii="Arial" w:hAnsi="Arial" w:cs="Arial"/>
                            <w:color w:val="000000" w:themeColor="dark1"/>
                            <w:kern w:val="24"/>
                            <w:sz w:val="20"/>
                            <w:szCs w:val="20"/>
                          </w:rPr>
                          <w:t>Facilities</w:t>
                        </w:r>
                      </w:p>
                    </w:txbxContent>
                  </v:textbox>
                </v:shape>
                <v:shape id="TextBox 18" o:spid="_x0000_s1041" type="#_x0000_t202" style="position:absolute;left:30610;top:11108;width:11430;height:6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UovMQA&#10;AADbAAAADwAAAGRycy9kb3ducmV2LnhtbESPQWsCMRSE70L/Q3iF3jTbVqS7GqUtFJUeRKt4fWye&#10;u4vJy5JEXf+9KQgeh5n5hpnMOmvEmXxoHCt4HWQgiEunG64UbP9++h8gQkTWaByTgisFmE2fehMs&#10;tLvwms6bWIkE4VCggjrGtpAylDVZDAPXEifv4LzFmKSvpPZ4SXBr5FuWjaTFhtNCjS1911QeNyer&#10;wCzLfB/8arifb6+rvNp9md/YKfXy3H2OQUTq4iN8by+0gvcc/r+kHyC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FKLzEAAAA2wAAAA8AAAAAAAAAAAAAAAAAmAIAAGRycy9k&#10;b3ducmV2LnhtbFBLBQYAAAAABAAEAPUAAACJAwAAAAA=&#10;" fillcolor="white [3201]" strokecolor="black [3213]" strokeweight="1pt">
                  <v:textbox>
                    <w:txbxContent>
                      <w:p w14:paraId="6C3315D9" w14:textId="77777777" w:rsidR="003F0B53" w:rsidRPr="00501DAE" w:rsidRDefault="003F0B53" w:rsidP="00B34101">
                        <w:pPr>
                          <w:pStyle w:val="NormalWeb"/>
                          <w:spacing w:before="0" w:beforeAutospacing="0" w:after="0" w:afterAutospacing="0"/>
                          <w:jc w:val="center"/>
                          <w:rPr>
                            <w:rFonts w:ascii="Arial" w:hAnsi="Arial" w:cs="Arial"/>
                            <w:sz w:val="20"/>
                            <w:szCs w:val="20"/>
                          </w:rPr>
                        </w:pPr>
                        <w:r w:rsidRPr="00501DAE">
                          <w:rPr>
                            <w:rFonts w:ascii="Arial" w:hAnsi="Arial" w:cs="Arial"/>
                            <w:color w:val="000000" w:themeColor="dark1"/>
                            <w:kern w:val="24"/>
                            <w:sz w:val="20"/>
                            <w:szCs w:val="20"/>
                          </w:rPr>
                          <w:t xml:space="preserve">Vice President of </w:t>
                        </w:r>
                      </w:p>
                      <w:p w14:paraId="7EDA20A3" w14:textId="77777777" w:rsidR="003F0B53" w:rsidRPr="00501DAE" w:rsidRDefault="003F0B53" w:rsidP="00B34101">
                        <w:pPr>
                          <w:pStyle w:val="NormalWeb"/>
                          <w:spacing w:before="0" w:beforeAutospacing="0" w:after="0" w:afterAutospacing="0"/>
                          <w:jc w:val="center"/>
                          <w:rPr>
                            <w:rFonts w:ascii="Arial" w:hAnsi="Arial" w:cs="Arial"/>
                            <w:sz w:val="20"/>
                            <w:szCs w:val="20"/>
                          </w:rPr>
                        </w:pPr>
                        <w:r w:rsidRPr="00501DAE">
                          <w:rPr>
                            <w:rFonts w:ascii="Arial" w:hAnsi="Arial" w:cs="Arial"/>
                            <w:color w:val="000000" w:themeColor="dark1"/>
                            <w:kern w:val="24"/>
                            <w:sz w:val="20"/>
                            <w:szCs w:val="20"/>
                          </w:rPr>
                          <w:t>Operations</w:t>
                        </w:r>
                      </w:p>
                    </w:txbxContent>
                  </v:textbox>
                </v:shape>
                <v:shape id="TextBox 19" o:spid="_x0000_s1042" type="#_x0000_t202" style="position:absolute;left:45915;top:11108;width:10344;height:6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nyXMAA&#10;AADbAAAADwAAAGRycy9kb3ducmV2LnhtbERPTYvCMBC9C/sfwgh701QR0WoUV5BV9iC6Ll6HZmyL&#10;yaQkUeu/N4cFj4/3PV+21og7+VA7VjDoZyCIC6drLhWcfje9CYgQkTUax6TgSQGWi4/OHHPtHnyg&#10;+zGWIoVwyFFBFWOTSxmKiiyGvmuIE3dx3mJM0JdSe3ykcGvkMMvG0mLNqaHChtYVFdfjzSowu2J6&#10;Dn4/On+fnvtp+fdlfmKr1Ge3Xc1ARGrjW/zv3moFo7Q+fUk/QC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LnyXMAAAADbAAAADwAAAAAAAAAAAAAAAACYAgAAZHJzL2Rvd25y&#10;ZXYueG1sUEsFBgAAAAAEAAQA9QAAAIUDAAAAAA==&#10;" fillcolor="white [3201]" strokecolor="black [3213]" strokeweight="1pt">
                  <v:textbox>
                    <w:txbxContent>
                      <w:p w14:paraId="11230255" w14:textId="77777777" w:rsidR="003F0B53" w:rsidRPr="00501DAE" w:rsidRDefault="003F0B53" w:rsidP="00B34101">
                        <w:pPr>
                          <w:pStyle w:val="NormalWeb"/>
                          <w:spacing w:before="0" w:beforeAutospacing="0" w:after="0" w:afterAutospacing="0"/>
                          <w:jc w:val="center"/>
                          <w:rPr>
                            <w:rFonts w:ascii="Arial" w:hAnsi="Arial" w:cs="Arial"/>
                            <w:sz w:val="20"/>
                            <w:szCs w:val="20"/>
                          </w:rPr>
                        </w:pPr>
                        <w:r w:rsidRPr="00501DAE">
                          <w:rPr>
                            <w:rFonts w:ascii="Arial" w:hAnsi="Arial" w:cs="Arial"/>
                            <w:color w:val="000000" w:themeColor="dark1"/>
                            <w:kern w:val="24"/>
                            <w:sz w:val="20"/>
                            <w:szCs w:val="20"/>
                          </w:rPr>
                          <w:t xml:space="preserve">Director </w:t>
                        </w:r>
                      </w:p>
                      <w:p w14:paraId="071D26C3" w14:textId="77777777" w:rsidR="003F0B53" w:rsidRPr="00501DAE" w:rsidRDefault="003F0B53" w:rsidP="00B34101">
                        <w:pPr>
                          <w:pStyle w:val="NormalWeb"/>
                          <w:spacing w:before="0" w:beforeAutospacing="0" w:after="0" w:afterAutospacing="0"/>
                          <w:jc w:val="center"/>
                          <w:rPr>
                            <w:rFonts w:ascii="Arial" w:hAnsi="Arial" w:cs="Arial"/>
                            <w:sz w:val="20"/>
                            <w:szCs w:val="20"/>
                          </w:rPr>
                        </w:pPr>
                        <w:proofErr w:type="gramStart"/>
                        <w:r w:rsidRPr="00501DAE">
                          <w:rPr>
                            <w:rFonts w:ascii="Arial" w:hAnsi="Arial" w:cs="Arial"/>
                            <w:color w:val="000000" w:themeColor="dark1"/>
                            <w:kern w:val="24"/>
                            <w:sz w:val="20"/>
                            <w:szCs w:val="20"/>
                          </w:rPr>
                          <w:t>of</w:t>
                        </w:r>
                        <w:proofErr w:type="gramEnd"/>
                        <w:r w:rsidRPr="00501DAE">
                          <w:rPr>
                            <w:rFonts w:ascii="Arial" w:hAnsi="Arial" w:cs="Arial"/>
                            <w:color w:val="000000" w:themeColor="dark1"/>
                            <w:kern w:val="24"/>
                            <w:sz w:val="20"/>
                            <w:szCs w:val="20"/>
                          </w:rPr>
                          <w:t xml:space="preserve"> </w:t>
                        </w:r>
                      </w:p>
                      <w:p w14:paraId="0464BCF1" w14:textId="77777777" w:rsidR="003F0B53" w:rsidRPr="00501DAE" w:rsidRDefault="003F0B53" w:rsidP="00B34101">
                        <w:pPr>
                          <w:pStyle w:val="NormalWeb"/>
                          <w:spacing w:before="0" w:beforeAutospacing="0" w:after="0" w:afterAutospacing="0"/>
                          <w:jc w:val="center"/>
                          <w:rPr>
                            <w:rFonts w:ascii="Arial" w:hAnsi="Arial" w:cs="Arial"/>
                            <w:sz w:val="20"/>
                            <w:szCs w:val="20"/>
                          </w:rPr>
                        </w:pPr>
                        <w:r w:rsidRPr="00501DAE">
                          <w:rPr>
                            <w:rFonts w:ascii="Arial" w:hAnsi="Arial" w:cs="Arial"/>
                            <w:color w:val="000000" w:themeColor="dark1"/>
                            <w:kern w:val="24"/>
                            <w:sz w:val="20"/>
                            <w:szCs w:val="20"/>
                          </w:rPr>
                          <w:t>Marketing</w:t>
                        </w:r>
                      </w:p>
                    </w:txbxContent>
                  </v:textbox>
                </v:shape>
                <v:shape id="TextBox 20" o:spid="_x0000_s1043" type="#_x0000_t202" style="position:absolute;left:60132;top:11108;width:11430;height:6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Xx8MA&#10;AADbAAAADwAAAGRycy9kb3ducmV2LnhtbESPQWsCMRSE70L/Q3iF3jSriOjWKK0gVTxItxavj83r&#10;7tLkZUmirv/eCILHYWa+YebLzhpxJh8axwqGgwwEcel0w5WCw8+6PwURIrJG45gUXCnAcvHSm2Ou&#10;3YW/6VzESiQIhxwV1DG2uZShrMliGLiWOHl/zluMSfpKao+XBLdGjrJsIi02nBZqbGlVU/lfnKwC&#10;sy1nx+D34+PX4bqfVb+fZhc7pd5eu493EJG6+Aw/2hutYDyE+5f0A+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VXx8MAAADbAAAADwAAAAAAAAAAAAAAAACYAgAAZHJzL2Rv&#10;d25yZXYueG1sUEsFBgAAAAAEAAQA9QAAAIgDAAAAAA==&#10;" fillcolor="white [3201]" strokecolor="black [3213]" strokeweight="1pt">
                  <v:textbox>
                    <w:txbxContent>
                      <w:p w14:paraId="27B12293" w14:textId="77777777" w:rsidR="003F0B53" w:rsidRPr="00501DAE" w:rsidRDefault="003F0B53" w:rsidP="00B34101">
                        <w:pPr>
                          <w:pStyle w:val="NormalWeb"/>
                          <w:spacing w:before="0" w:beforeAutospacing="0" w:after="0" w:afterAutospacing="0"/>
                          <w:jc w:val="center"/>
                          <w:rPr>
                            <w:rFonts w:ascii="Arial" w:hAnsi="Arial" w:cs="Arial"/>
                            <w:sz w:val="20"/>
                            <w:szCs w:val="20"/>
                          </w:rPr>
                        </w:pPr>
                        <w:r w:rsidRPr="00501DAE">
                          <w:rPr>
                            <w:rFonts w:ascii="Arial" w:hAnsi="Arial" w:cs="Arial"/>
                            <w:color w:val="000000" w:themeColor="dark1"/>
                            <w:kern w:val="24"/>
                            <w:sz w:val="20"/>
                            <w:szCs w:val="20"/>
                          </w:rPr>
                          <w:t>Director of Information Technology</w:t>
                        </w:r>
                      </w:p>
                    </w:txbxContent>
                  </v:textbox>
                </v:shape>
                <v:shape id="TextBox 21" o:spid="_x0000_s1044" type="#_x0000_t202" style="position:absolute;left:75438;top:11108;width:11430;height:6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fJsMQA&#10;AADbAAAADwAAAGRycy9kb3ducmV2LnhtbESPQWsCMRSE70L/Q3gFb5rtIqWuRmkLotKD1CpeH5vn&#10;7mLysiRxXf99Uyh4HGbmG2a+7K0RHfnQOFbwMs5AEJdON1wpOPysRm8gQkTWaByTgjsFWC6eBnMs&#10;tLvxN3X7WIkE4VCggjrGtpAylDVZDGPXEifv7LzFmKSvpPZ4S3BrZJ5lr9Jiw2mhxpY+ayov+6tV&#10;YLbl9BT8bnJaH+67aXX8MF+xV2r43L/PQETq4yP8395oBZMc/r6k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nybDEAAAA2wAAAA8AAAAAAAAAAAAAAAAAmAIAAGRycy9k&#10;b3ducmV2LnhtbFBLBQYAAAAABAAEAPUAAACJAwAAAAA=&#10;" fillcolor="white [3201]" strokecolor="black [3213]" strokeweight="1pt">
                  <v:textbox>
                    <w:txbxContent>
                      <w:p w14:paraId="51881DA5" w14:textId="77777777" w:rsidR="003F0B53" w:rsidRPr="00501DAE" w:rsidRDefault="003F0B53" w:rsidP="00B34101">
                        <w:pPr>
                          <w:pStyle w:val="NormalWeb"/>
                          <w:spacing w:before="0" w:beforeAutospacing="0" w:after="0" w:afterAutospacing="0"/>
                          <w:jc w:val="center"/>
                          <w:rPr>
                            <w:rFonts w:ascii="Arial" w:hAnsi="Arial" w:cs="Arial"/>
                            <w:sz w:val="20"/>
                            <w:szCs w:val="20"/>
                          </w:rPr>
                        </w:pPr>
                        <w:r w:rsidRPr="00501DAE">
                          <w:rPr>
                            <w:rFonts w:ascii="Arial" w:hAnsi="Arial" w:cs="Arial"/>
                            <w:color w:val="000000" w:themeColor="dark1"/>
                            <w:kern w:val="24"/>
                            <w:sz w:val="20"/>
                            <w:szCs w:val="20"/>
                          </w:rPr>
                          <w:t>Director of Human Resources</w:t>
                        </w:r>
                      </w:p>
                    </w:txbxContent>
                  </v:textbox>
                </v:shape>
                <v:shape id="TextBox 22" o:spid="_x0000_s1045" type="#_x0000_t202" style="position:absolute;left:7435;top:24062;width:14252;height:6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tsK8QA&#10;AADbAAAADwAAAGRycy9kb3ducmV2LnhtbESPT2sCMRTE70K/Q3gFb5qtStHVKK0gWnoQ/+H1sXnu&#10;Lk1eliTq+u2bQsHjMDO/YWaL1hpxIx9qxwre+hkI4sLpmksFx8OqNwYRIrJG45gUPCjAYv7SmWGu&#10;3Z13dNvHUiQIhxwVVDE2uZShqMhi6LuGOHkX5y3GJH0ptcd7glsjB1n2Li3WnBYqbGhZUfGzv1oF&#10;5quYnIPfjs7r42M7KU+f5ju2SnVf248piEhtfIb/2xutYDSEvy/pB8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rbCvEAAAA2wAAAA8AAAAAAAAAAAAAAAAAmAIAAGRycy9k&#10;b3ducmV2LnhtbFBLBQYAAAAABAAEAPUAAACJAwAAAAA=&#10;" fillcolor="white [3201]" strokecolor="black [3213]" strokeweight="1pt">
                  <v:textbox>
                    <w:txbxContent>
                      <w:p w14:paraId="6DE61E47" w14:textId="04FFA2C1" w:rsidR="003F0B53" w:rsidRPr="00501DAE" w:rsidRDefault="003F0B53" w:rsidP="00B34101">
                        <w:pPr>
                          <w:pStyle w:val="NormalWeb"/>
                          <w:spacing w:before="0" w:beforeAutospacing="0" w:after="0" w:afterAutospacing="0"/>
                          <w:jc w:val="center"/>
                          <w:rPr>
                            <w:rFonts w:ascii="Arial" w:hAnsi="Arial" w:cs="Arial"/>
                            <w:sz w:val="20"/>
                            <w:szCs w:val="20"/>
                          </w:rPr>
                        </w:pPr>
                        <w:r w:rsidRPr="00501DAE">
                          <w:rPr>
                            <w:rFonts w:ascii="Arial" w:hAnsi="Arial" w:cs="Arial"/>
                            <w:color w:val="000000" w:themeColor="dark1"/>
                            <w:kern w:val="24"/>
                            <w:sz w:val="20"/>
                            <w:szCs w:val="20"/>
                          </w:rPr>
                          <w:t xml:space="preserve">Health </w:t>
                        </w:r>
                        <w:r>
                          <w:rPr>
                            <w:rFonts w:ascii="Arial" w:hAnsi="Arial" w:cs="Arial"/>
                            <w:color w:val="000000" w:themeColor="dark1"/>
                            <w:kern w:val="24"/>
                            <w:sz w:val="20"/>
                            <w:szCs w:val="20"/>
                          </w:rPr>
                          <w:br/>
                        </w:r>
                        <w:r w:rsidRPr="00501DAE">
                          <w:rPr>
                            <w:rFonts w:ascii="Arial" w:hAnsi="Arial" w:cs="Arial"/>
                            <w:color w:val="000000" w:themeColor="dark1"/>
                            <w:kern w:val="24"/>
                            <w:sz w:val="20"/>
                            <w:szCs w:val="20"/>
                          </w:rPr>
                          <w:t>Services</w:t>
                        </w:r>
                      </w:p>
                      <w:p w14:paraId="302473BE" w14:textId="77777777" w:rsidR="003F0B53" w:rsidRPr="00501DAE" w:rsidRDefault="003F0B53" w:rsidP="00B34101">
                        <w:pPr>
                          <w:pStyle w:val="NormalWeb"/>
                          <w:spacing w:before="0" w:beforeAutospacing="0" w:after="0" w:afterAutospacing="0"/>
                          <w:jc w:val="center"/>
                          <w:rPr>
                            <w:rFonts w:ascii="Arial" w:hAnsi="Arial" w:cs="Arial"/>
                            <w:sz w:val="20"/>
                            <w:szCs w:val="20"/>
                          </w:rPr>
                        </w:pPr>
                        <w:r w:rsidRPr="00501DAE">
                          <w:rPr>
                            <w:rFonts w:ascii="Arial" w:hAnsi="Arial" w:cs="Arial"/>
                            <w:i/>
                            <w:iCs/>
                            <w:color w:val="000000" w:themeColor="dark1"/>
                            <w:kern w:val="24"/>
                            <w:sz w:val="20"/>
                            <w:szCs w:val="20"/>
                          </w:rPr>
                          <w:t>5 Service Lines</w:t>
                        </w:r>
                      </w:p>
                    </w:txbxContent>
                  </v:textbox>
                </v:shape>
                <v:shape id="TextBox 23" o:spid="_x0000_s1046" type="#_x0000_t202" style="position:absolute;left:25887;top:24062;width:14840;height:6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L0X8MA&#10;AADbAAAADwAAAGRycy9kb3ducmV2LnhtbESPQWsCMRSE7wX/Q3iCt5pVFtGtUVQotvQgWovXx+Z1&#10;dzF5WZJU139vCoLHYWa+YebLzhpxIR8axwpGwwwEcel0w5WC4/f76xREiMgajWNScKMAy0XvZY6F&#10;dlfe0+UQK5EgHApUUMfYFlKGsiaLYeha4uT9Om8xJukrqT1eE9waOc6yibTYcFqosaVNTeX58GcV&#10;mM9ydgp+l5+2x9tuVv2szVfslBr0u9UbiEhdfIYf7Q+tIM/h/0v6AXJ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4L0X8MAAADbAAAADwAAAAAAAAAAAAAAAACYAgAAZHJzL2Rv&#10;d25yZXYueG1sUEsFBgAAAAAEAAQA9QAAAIgDAAAAAA==&#10;" fillcolor="white [3201]" strokecolor="black [3213]" strokeweight="1pt">
                  <v:textbox>
                    <w:txbxContent>
                      <w:p w14:paraId="017913DF" w14:textId="77777777" w:rsidR="003F0B53" w:rsidRPr="00501DAE" w:rsidRDefault="003F0B53" w:rsidP="00B34101">
                        <w:pPr>
                          <w:pStyle w:val="NormalWeb"/>
                          <w:spacing w:before="0" w:beforeAutospacing="0" w:after="0" w:afterAutospacing="0"/>
                          <w:jc w:val="center"/>
                          <w:rPr>
                            <w:rFonts w:ascii="Arial" w:hAnsi="Arial" w:cs="Arial"/>
                            <w:sz w:val="20"/>
                            <w:szCs w:val="20"/>
                          </w:rPr>
                        </w:pPr>
                        <w:r w:rsidRPr="00501DAE">
                          <w:rPr>
                            <w:rFonts w:ascii="Arial" w:hAnsi="Arial" w:cs="Arial"/>
                            <w:color w:val="000000" w:themeColor="dark1"/>
                            <w:kern w:val="24"/>
                            <w:sz w:val="20"/>
                            <w:szCs w:val="20"/>
                          </w:rPr>
                          <w:t>Home Care</w:t>
                        </w:r>
                      </w:p>
                      <w:p w14:paraId="1CFC0F4E" w14:textId="77777777" w:rsidR="003F0B53" w:rsidRPr="00501DAE" w:rsidRDefault="003F0B53" w:rsidP="00B34101">
                        <w:pPr>
                          <w:pStyle w:val="NormalWeb"/>
                          <w:spacing w:before="0" w:beforeAutospacing="0" w:after="0" w:afterAutospacing="0"/>
                          <w:jc w:val="center"/>
                          <w:rPr>
                            <w:rFonts w:ascii="Arial" w:hAnsi="Arial" w:cs="Arial"/>
                            <w:sz w:val="20"/>
                            <w:szCs w:val="20"/>
                          </w:rPr>
                        </w:pPr>
                        <w:r w:rsidRPr="00501DAE">
                          <w:rPr>
                            <w:rFonts w:ascii="Arial" w:hAnsi="Arial" w:cs="Arial"/>
                            <w:color w:val="000000" w:themeColor="dark1"/>
                            <w:kern w:val="24"/>
                            <w:sz w:val="20"/>
                            <w:szCs w:val="20"/>
                          </w:rPr>
                          <w:t>Services</w:t>
                        </w:r>
                      </w:p>
                      <w:p w14:paraId="0CE3ED25" w14:textId="77777777" w:rsidR="003F0B53" w:rsidRPr="00501DAE" w:rsidRDefault="003F0B53" w:rsidP="00B34101">
                        <w:pPr>
                          <w:pStyle w:val="NormalWeb"/>
                          <w:spacing w:before="0" w:beforeAutospacing="0" w:after="0" w:afterAutospacing="0"/>
                          <w:jc w:val="center"/>
                          <w:rPr>
                            <w:rFonts w:ascii="Arial" w:hAnsi="Arial" w:cs="Arial"/>
                            <w:sz w:val="20"/>
                            <w:szCs w:val="20"/>
                          </w:rPr>
                        </w:pPr>
                        <w:r w:rsidRPr="00501DAE">
                          <w:rPr>
                            <w:rFonts w:ascii="Arial" w:hAnsi="Arial" w:cs="Arial"/>
                            <w:i/>
                            <w:iCs/>
                            <w:color w:val="000000" w:themeColor="dark1"/>
                            <w:kern w:val="24"/>
                            <w:sz w:val="20"/>
                            <w:szCs w:val="20"/>
                          </w:rPr>
                          <w:t>6 Service Lines</w:t>
                        </w:r>
                      </w:p>
                    </w:txbxContent>
                  </v:textbox>
                </v:shape>
                <v:shape id="TextBox 24" o:spid="_x0000_s1047" type="#_x0000_t202" style="position:absolute;left:45283;top:24062;width:12649;height:6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5RxMQA&#10;AADbAAAADwAAAGRycy9kb3ducmV2LnhtbESPT2sCMRTE7wW/Q3iCt5q12KKrUbQgbfEg/sPrY/Pc&#10;XUxeliTV9ds3QsHjMDO/Yabz1hpxJR9qxwoG/QwEceF0zaWCw371OgIRIrJG45gU3CnAfNZ5mWKu&#10;3Y23dN3FUiQIhxwVVDE2uZShqMhi6LuGOHln5y3GJH0ptcdbglsj37LsQ1qsOS1U2NBnRcVl92sV&#10;mJ9ifAp+Mzx9He6bcXlcmnVslep128UERKQ2PsP/7W+tYPgOjy/pB8j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OUcTEAAAA2wAAAA8AAAAAAAAAAAAAAAAAmAIAAGRycy9k&#10;b3ducmV2LnhtbFBLBQYAAAAABAAEAPUAAACJAwAAAAA=&#10;" fillcolor="white [3201]" strokecolor="black [3213]" strokeweight="1pt">
                  <v:textbox>
                    <w:txbxContent>
                      <w:p w14:paraId="1F0D6033" w14:textId="77777777" w:rsidR="003F0B53" w:rsidRPr="00501DAE" w:rsidRDefault="003F0B53" w:rsidP="00B34101">
                        <w:pPr>
                          <w:pStyle w:val="NormalWeb"/>
                          <w:spacing w:before="0" w:beforeAutospacing="0" w:after="0" w:afterAutospacing="0"/>
                          <w:jc w:val="center"/>
                          <w:rPr>
                            <w:rFonts w:ascii="Arial" w:hAnsi="Arial" w:cs="Arial"/>
                            <w:sz w:val="20"/>
                            <w:szCs w:val="20"/>
                          </w:rPr>
                        </w:pPr>
                        <w:r w:rsidRPr="00501DAE">
                          <w:rPr>
                            <w:rFonts w:ascii="Arial" w:hAnsi="Arial" w:cs="Arial"/>
                            <w:color w:val="000000" w:themeColor="dark1"/>
                            <w:kern w:val="24"/>
                            <w:sz w:val="20"/>
                            <w:szCs w:val="20"/>
                          </w:rPr>
                          <w:t>Fiduciary Services</w:t>
                        </w:r>
                      </w:p>
                      <w:p w14:paraId="5F3045C0" w14:textId="77777777" w:rsidR="003F0B53" w:rsidRPr="00501DAE" w:rsidRDefault="003F0B53" w:rsidP="00B34101">
                        <w:pPr>
                          <w:pStyle w:val="NormalWeb"/>
                          <w:spacing w:before="0" w:beforeAutospacing="0" w:after="0" w:afterAutospacing="0"/>
                          <w:jc w:val="center"/>
                          <w:rPr>
                            <w:rFonts w:ascii="Arial" w:hAnsi="Arial" w:cs="Arial"/>
                            <w:sz w:val="20"/>
                            <w:szCs w:val="20"/>
                          </w:rPr>
                        </w:pPr>
                        <w:r w:rsidRPr="00501DAE">
                          <w:rPr>
                            <w:rFonts w:ascii="Arial" w:hAnsi="Arial" w:cs="Arial"/>
                            <w:i/>
                            <w:iCs/>
                            <w:color w:val="000000" w:themeColor="dark1"/>
                            <w:kern w:val="24"/>
                            <w:sz w:val="20"/>
                            <w:szCs w:val="20"/>
                          </w:rPr>
                          <w:t>3 Service Lines</w:t>
                        </w:r>
                      </w:p>
                    </w:txbxContent>
                  </v:textbox>
                </v:shape>
                <v:shape id="TextBox 25" o:spid="_x0000_s1048" type="#_x0000_t202" style="position:absolute;left:62484;top:24062;width:16002;height:6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zPs8MA&#10;AADbAAAADwAAAGRycy9kb3ducmV2LnhtbESPT2sCMRTE74LfITyhN80qInVrFBXESg/in+L1sXnd&#10;XZq8LEnU9dubQsHjMDO/YWaL1hpxIx9qxwqGgwwEceF0zaWC82nTfwcRIrJG45gUPCjAYt7tzDDX&#10;7s4Huh1jKRKEQ44KqhibXMpQVGQxDFxDnLwf5y3GJH0ptcd7glsjR1k2kRZrTgsVNrSuqPg9Xq0C&#10;syuml+D348v2/NhPy++V+YqtUm+9dvkBIlIbX+H/9qdWMJ7A35f0A+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zPs8MAAADbAAAADwAAAAAAAAAAAAAAAACYAgAAZHJzL2Rv&#10;d25yZXYueG1sUEsFBgAAAAAEAAQA9QAAAIgDAAAAAA==&#10;" fillcolor="white [3201]" strokecolor="black [3213]" strokeweight="1pt">
                  <v:textbox>
                    <w:txbxContent>
                      <w:p w14:paraId="59F0C84D" w14:textId="77777777" w:rsidR="003F0B53" w:rsidRPr="00501DAE" w:rsidRDefault="003F0B53" w:rsidP="00B34101">
                        <w:pPr>
                          <w:pStyle w:val="NormalWeb"/>
                          <w:spacing w:before="0" w:beforeAutospacing="0" w:after="0" w:afterAutospacing="0"/>
                          <w:jc w:val="center"/>
                          <w:rPr>
                            <w:rFonts w:ascii="Arial" w:hAnsi="Arial" w:cs="Arial"/>
                            <w:sz w:val="20"/>
                            <w:szCs w:val="20"/>
                          </w:rPr>
                        </w:pPr>
                        <w:r w:rsidRPr="00501DAE">
                          <w:rPr>
                            <w:rFonts w:ascii="Arial" w:hAnsi="Arial" w:cs="Arial"/>
                            <w:color w:val="000000" w:themeColor="dark1"/>
                            <w:kern w:val="24"/>
                            <w:sz w:val="20"/>
                            <w:szCs w:val="20"/>
                          </w:rPr>
                          <w:t xml:space="preserve">Clinical &amp; </w:t>
                        </w:r>
                      </w:p>
                      <w:p w14:paraId="05412990" w14:textId="77777777" w:rsidR="003F0B53" w:rsidRPr="00501DAE" w:rsidRDefault="003F0B53" w:rsidP="00B34101">
                        <w:pPr>
                          <w:pStyle w:val="NormalWeb"/>
                          <w:spacing w:before="0" w:beforeAutospacing="0" w:after="0" w:afterAutospacing="0"/>
                          <w:jc w:val="center"/>
                          <w:rPr>
                            <w:rFonts w:ascii="Arial" w:hAnsi="Arial" w:cs="Arial"/>
                            <w:sz w:val="20"/>
                            <w:szCs w:val="20"/>
                          </w:rPr>
                        </w:pPr>
                        <w:r w:rsidRPr="00501DAE">
                          <w:rPr>
                            <w:rFonts w:ascii="Arial" w:hAnsi="Arial" w:cs="Arial"/>
                            <w:color w:val="000000" w:themeColor="dark1"/>
                            <w:kern w:val="24"/>
                            <w:sz w:val="20"/>
                            <w:szCs w:val="20"/>
                          </w:rPr>
                          <w:t>Community Services</w:t>
                        </w:r>
                      </w:p>
                      <w:p w14:paraId="2FE428E5" w14:textId="77777777" w:rsidR="003F0B53" w:rsidRPr="00501DAE" w:rsidRDefault="003F0B53" w:rsidP="00B34101">
                        <w:pPr>
                          <w:pStyle w:val="NormalWeb"/>
                          <w:spacing w:before="0" w:beforeAutospacing="0" w:after="0" w:afterAutospacing="0"/>
                          <w:jc w:val="center"/>
                          <w:rPr>
                            <w:rFonts w:ascii="Arial" w:hAnsi="Arial" w:cs="Arial"/>
                            <w:sz w:val="20"/>
                            <w:szCs w:val="20"/>
                          </w:rPr>
                        </w:pPr>
                        <w:r w:rsidRPr="00501DAE">
                          <w:rPr>
                            <w:rFonts w:ascii="Arial" w:hAnsi="Arial" w:cs="Arial"/>
                            <w:i/>
                            <w:iCs/>
                            <w:color w:val="000000" w:themeColor="dark1"/>
                            <w:kern w:val="24"/>
                            <w:sz w:val="20"/>
                            <w:szCs w:val="20"/>
                          </w:rPr>
                          <w:t>8 Service Lines</w:t>
                        </w:r>
                      </w:p>
                    </w:txbxContent>
                  </v:textbox>
                </v:shape>
                <w10:anchorlock/>
              </v:group>
            </w:pict>
          </mc:Fallback>
        </mc:AlternateContent>
      </w:r>
    </w:p>
    <w:p w14:paraId="206951BB" w14:textId="77777777" w:rsidR="00B34101" w:rsidRPr="007F62B6" w:rsidRDefault="00B34101" w:rsidP="006F5092">
      <w:pPr>
        <w:jc w:val="both"/>
        <w:rPr>
          <w:lang w:val="en-GB"/>
        </w:rPr>
      </w:pPr>
    </w:p>
    <w:p w14:paraId="4C32F215" w14:textId="73F3D98F" w:rsidR="00CA186C" w:rsidRDefault="00CA186C" w:rsidP="006F5092">
      <w:pPr>
        <w:pStyle w:val="Footnote"/>
        <w:rPr>
          <w:lang w:val="en-GB"/>
        </w:rPr>
      </w:pPr>
      <w:r>
        <w:rPr>
          <w:lang w:val="en-GB"/>
        </w:rPr>
        <w:t>Note: CEO = chief executive officer</w:t>
      </w:r>
    </w:p>
    <w:p w14:paraId="10B6810F" w14:textId="02394FEC" w:rsidR="006F5092" w:rsidRPr="007F62B6" w:rsidRDefault="006F5092" w:rsidP="006F5092">
      <w:pPr>
        <w:pStyle w:val="Footnote"/>
        <w:rPr>
          <w:lang w:val="en-GB"/>
        </w:rPr>
      </w:pPr>
      <w:r w:rsidRPr="007F62B6">
        <w:rPr>
          <w:lang w:val="en-GB"/>
        </w:rPr>
        <w:t>Source</w:t>
      </w:r>
      <w:proofErr w:type="gramStart"/>
      <w:r w:rsidRPr="007F62B6">
        <w:rPr>
          <w:lang w:val="en-GB"/>
        </w:rPr>
        <w:t>:</w:t>
      </w:r>
      <w:proofErr w:type="gramEnd"/>
      <w:r w:rsidRPr="007F62B6">
        <w:rPr>
          <w:rStyle w:val="FootnoteReference"/>
          <w:lang w:val="en-GB"/>
        </w:rPr>
        <w:t xml:space="preserve"> </w:t>
      </w:r>
      <w:r w:rsidRPr="007F62B6">
        <w:rPr>
          <w:lang w:val="en-GB"/>
        </w:rPr>
        <w:t xml:space="preserve">Created by </w:t>
      </w:r>
      <w:r w:rsidR="00CA186C">
        <w:rPr>
          <w:lang w:val="en-GB"/>
        </w:rPr>
        <w:t xml:space="preserve">the </w:t>
      </w:r>
      <w:r w:rsidRPr="007F62B6">
        <w:rPr>
          <w:lang w:val="en-GB"/>
        </w:rPr>
        <w:t xml:space="preserve">authors using </w:t>
      </w:r>
      <w:r w:rsidR="006A64A7" w:rsidRPr="007F62B6">
        <w:rPr>
          <w:lang w:val="en-GB"/>
        </w:rPr>
        <w:t>company documents.</w:t>
      </w:r>
    </w:p>
    <w:p w14:paraId="3EF535E6" w14:textId="77777777" w:rsidR="00B34101" w:rsidRPr="007F62B6" w:rsidRDefault="00B34101">
      <w:pPr>
        <w:spacing w:after="200" w:line="276" w:lineRule="auto"/>
        <w:rPr>
          <w:rFonts w:ascii="Arial" w:hAnsi="Arial" w:cs="Arial"/>
          <w:b/>
          <w:caps/>
          <w:lang w:val="en-GB"/>
        </w:rPr>
      </w:pPr>
      <w:r w:rsidRPr="007F62B6">
        <w:rPr>
          <w:lang w:val="en-GB"/>
        </w:rPr>
        <w:br w:type="page"/>
      </w:r>
    </w:p>
    <w:p w14:paraId="6FE4693C" w14:textId="233BE627" w:rsidR="00F35080" w:rsidRPr="007F62B6" w:rsidRDefault="00F35080" w:rsidP="006F5092">
      <w:pPr>
        <w:pStyle w:val="ExhibitHeading"/>
        <w:rPr>
          <w:lang w:val="en-GB"/>
        </w:rPr>
      </w:pPr>
      <w:r w:rsidRPr="007F62B6">
        <w:rPr>
          <w:lang w:val="en-GB"/>
        </w:rPr>
        <w:lastRenderedPageBreak/>
        <w:t>Exhibit 5</w:t>
      </w:r>
      <w:r w:rsidR="006F5092" w:rsidRPr="007F62B6">
        <w:rPr>
          <w:lang w:val="en-GB"/>
        </w:rPr>
        <w:t>:</w:t>
      </w:r>
      <w:r w:rsidRPr="007F62B6">
        <w:rPr>
          <w:lang w:val="en-GB"/>
        </w:rPr>
        <w:t xml:space="preserve"> Institute on Aging Organizational Structure in 2017</w:t>
      </w:r>
    </w:p>
    <w:p w14:paraId="4BF92F13" w14:textId="77777777" w:rsidR="00B34101" w:rsidRPr="007F62B6" w:rsidRDefault="00B34101" w:rsidP="006F5092">
      <w:pPr>
        <w:pStyle w:val="ExhibitHeading"/>
        <w:rPr>
          <w:rFonts w:ascii="Times New Roman" w:hAnsi="Times New Roman" w:cs="Times New Roman"/>
          <w:lang w:val="en-GB"/>
        </w:rPr>
      </w:pPr>
    </w:p>
    <w:p w14:paraId="2028A9A5" w14:textId="2192331C" w:rsidR="00B34101" w:rsidRPr="007F62B6" w:rsidRDefault="00B34101" w:rsidP="00F35080">
      <w:pPr>
        <w:jc w:val="center"/>
        <w:rPr>
          <w:sz w:val="24"/>
          <w:szCs w:val="24"/>
          <w:lang w:val="en-GB"/>
        </w:rPr>
      </w:pPr>
      <w:r w:rsidRPr="007F62B6">
        <w:rPr>
          <w:noProof/>
          <w:sz w:val="24"/>
          <w:szCs w:val="24"/>
        </w:rPr>
        <mc:AlternateContent>
          <mc:Choice Requires="wpg">
            <w:drawing>
              <wp:inline distT="0" distB="0" distL="0" distR="0" wp14:anchorId="49AA781D" wp14:editId="1D90C71B">
                <wp:extent cx="8450580" cy="3712633"/>
                <wp:effectExtent l="0" t="0" r="33020" b="21590"/>
                <wp:docPr id="47" name="Group 12"/>
                <wp:cNvGraphicFramePr/>
                <a:graphic xmlns:a="http://schemas.openxmlformats.org/drawingml/2006/main">
                  <a:graphicData uri="http://schemas.microsoft.com/office/word/2010/wordprocessingGroup">
                    <wpg:wgp>
                      <wpg:cNvGrpSpPr/>
                      <wpg:grpSpPr>
                        <a:xfrm>
                          <a:off x="0" y="0"/>
                          <a:ext cx="8450580" cy="3712633"/>
                          <a:chOff x="0" y="0"/>
                          <a:chExt cx="8797928" cy="3741437"/>
                        </a:xfrm>
                      </wpg:grpSpPr>
                      <wps:wsp>
                        <wps:cNvPr id="48" name="Straight Arrow Connector 48"/>
                        <wps:cNvCnPr>
                          <a:stCxn id="192" idx="2"/>
                          <a:endCxn id="198" idx="0"/>
                        </wps:cNvCnPr>
                        <wps:spPr>
                          <a:xfrm>
                            <a:off x="817625" y="2080213"/>
                            <a:ext cx="2910963" cy="972669"/>
                          </a:xfrm>
                          <a:prstGeom prst="straightConnector1">
                            <a:avLst/>
                          </a:prstGeom>
                          <a:ln>
                            <a:tailEnd type="none"/>
                          </a:ln>
                        </wps:spPr>
                        <wps:style>
                          <a:lnRef idx="1">
                            <a:schemeClr val="dk1"/>
                          </a:lnRef>
                          <a:fillRef idx="0">
                            <a:schemeClr val="dk1"/>
                          </a:fillRef>
                          <a:effectRef idx="0">
                            <a:schemeClr val="dk1"/>
                          </a:effectRef>
                          <a:fontRef idx="minor">
                            <a:schemeClr val="tx1"/>
                          </a:fontRef>
                        </wps:style>
                        <wps:bodyPr/>
                      </wps:wsp>
                      <wps:wsp>
                        <wps:cNvPr id="49" name="Straight Arrow Connector 49"/>
                        <wps:cNvCnPr>
                          <a:stCxn id="59" idx="2"/>
                          <a:endCxn id="192" idx="0"/>
                        </wps:cNvCnPr>
                        <wps:spPr>
                          <a:xfrm flipH="1">
                            <a:off x="817625" y="396240"/>
                            <a:ext cx="3598865" cy="1097727"/>
                          </a:xfrm>
                          <a:prstGeom prst="straightConnector1">
                            <a:avLst/>
                          </a:prstGeom>
                          <a:ln>
                            <a:tailEnd type="none"/>
                          </a:ln>
                        </wps:spPr>
                        <wps:style>
                          <a:lnRef idx="1">
                            <a:schemeClr val="dk1"/>
                          </a:lnRef>
                          <a:fillRef idx="0">
                            <a:schemeClr val="dk1"/>
                          </a:fillRef>
                          <a:effectRef idx="0">
                            <a:schemeClr val="dk1"/>
                          </a:effectRef>
                          <a:fontRef idx="minor">
                            <a:schemeClr val="tx1"/>
                          </a:fontRef>
                        </wps:style>
                        <wps:bodyPr/>
                      </wps:wsp>
                      <wps:wsp>
                        <wps:cNvPr id="50" name="Straight Arrow Connector 50"/>
                        <wps:cNvCnPr>
                          <a:stCxn id="59" idx="2"/>
                          <a:endCxn id="60" idx="0"/>
                        </wps:cNvCnPr>
                        <wps:spPr>
                          <a:xfrm flipH="1">
                            <a:off x="2698208" y="396240"/>
                            <a:ext cx="1718282" cy="1097727"/>
                          </a:xfrm>
                          <a:prstGeom prst="straightConnector1">
                            <a:avLst/>
                          </a:prstGeom>
                          <a:ln>
                            <a:tailEnd type="none"/>
                          </a:ln>
                        </wps:spPr>
                        <wps:style>
                          <a:lnRef idx="1">
                            <a:schemeClr val="dk1"/>
                          </a:lnRef>
                          <a:fillRef idx="0">
                            <a:schemeClr val="dk1"/>
                          </a:fillRef>
                          <a:effectRef idx="0">
                            <a:schemeClr val="dk1"/>
                          </a:effectRef>
                          <a:fontRef idx="minor">
                            <a:schemeClr val="tx1"/>
                          </a:fontRef>
                        </wps:style>
                        <wps:bodyPr/>
                      </wps:wsp>
                      <wps:wsp>
                        <wps:cNvPr id="51" name="Straight Arrow Connector 51"/>
                        <wps:cNvCnPr>
                          <a:stCxn id="59" idx="2"/>
                          <a:endCxn id="61" idx="0"/>
                        </wps:cNvCnPr>
                        <wps:spPr>
                          <a:xfrm>
                            <a:off x="4416490" y="396240"/>
                            <a:ext cx="0" cy="1097584"/>
                          </a:xfrm>
                          <a:prstGeom prst="straightConnector1">
                            <a:avLst/>
                          </a:prstGeom>
                          <a:ln>
                            <a:tailEnd type="none"/>
                          </a:ln>
                        </wps:spPr>
                        <wps:style>
                          <a:lnRef idx="1">
                            <a:schemeClr val="dk1"/>
                          </a:lnRef>
                          <a:fillRef idx="0">
                            <a:schemeClr val="dk1"/>
                          </a:fillRef>
                          <a:effectRef idx="0">
                            <a:schemeClr val="dk1"/>
                          </a:effectRef>
                          <a:fontRef idx="minor">
                            <a:schemeClr val="tx1"/>
                          </a:fontRef>
                        </wps:style>
                        <wps:bodyPr/>
                      </wps:wsp>
                      <wps:wsp>
                        <wps:cNvPr id="52" name="Straight Arrow Connector 52"/>
                        <wps:cNvCnPr>
                          <a:stCxn id="59" idx="2"/>
                          <a:endCxn id="62" idx="0"/>
                        </wps:cNvCnPr>
                        <wps:spPr>
                          <a:xfrm>
                            <a:off x="4416490" y="396240"/>
                            <a:ext cx="1803041" cy="1097601"/>
                          </a:xfrm>
                          <a:prstGeom prst="straightConnector1">
                            <a:avLst/>
                          </a:prstGeom>
                          <a:ln>
                            <a:tailEnd type="none"/>
                          </a:ln>
                        </wps:spPr>
                        <wps:style>
                          <a:lnRef idx="1">
                            <a:schemeClr val="dk1"/>
                          </a:lnRef>
                          <a:fillRef idx="0">
                            <a:schemeClr val="dk1"/>
                          </a:fillRef>
                          <a:effectRef idx="0">
                            <a:schemeClr val="dk1"/>
                          </a:effectRef>
                          <a:fontRef idx="minor">
                            <a:schemeClr val="tx1"/>
                          </a:fontRef>
                        </wps:style>
                        <wps:bodyPr/>
                      </wps:wsp>
                      <wps:wsp>
                        <wps:cNvPr id="53" name="Straight Arrow Connector 53"/>
                        <wps:cNvCnPr>
                          <a:stCxn id="59" idx="2"/>
                          <a:endCxn id="63" idx="0"/>
                        </wps:cNvCnPr>
                        <wps:spPr>
                          <a:xfrm>
                            <a:off x="4416490" y="396240"/>
                            <a:ext cx="3657538" cy="1097727"/>
                          </a:xfrm>
                          <a:prstGeom prst="straightConnector1">
                            <a:avLst/>
                          </a:prstGeom>
                          <a:ln>
                            <a:tailEnd type="none"/>
                          </a:ln>
                        </wps:spPr>
                        <wps:style>
                          <a:lnRef idx="1">
                            <a:schemeClr val="dk1"/>
                          </a:lnRef>
                          <a:fillRef idx="0">
                            <a:schemeClr val="dk1"/>
                          </a:fillRef>
                          <a:effectRef idx="0">
                            <a:schemeClr val="dk1"/>
                          </a:effectRef>
                          <a:fontRef idx="minor">
                            <a:schemeClr val="tx1"/>
                          </a:fontRef>
                        </wps:style>
                        <wps:bodyPr/>
                      </wps:wsp>
                      <wps:wsp>
                        <wps:cNvPr id="54" name="Straight Arrow Connector 54"/>
                        <wps:cNvCnPr>
                          <a:stCxn id="192" idx="2"/>
                          <a:endCxn id="193" idx="0"/>
                        </wps:cNvCnPr>
                        <wps:spPr>
                          <a:xfrm flipH="1">
                            <a:off x="817563" y="2080213"/>
                            <a:ext cx="62" cy="972884"/>
                          </a:xfrm>
                          <a:prstGeom prst="straightConnector1">
                            <a:avLst/>
                          </a:prstGeom>
                          <a:ln>
                            <a:tailEnd type="none"/>
                          </a:ln>
                        </wps:spPr>
                        <wps:style>
                          <a:lnRef idx="1">
                            <a:schemeClr val="dk1"/>
                          </a:lnRef>
                          <a:fillRef idx="0">
                            <a:schemeClr val="dk1"/>
                          </a:fillRef>
                          <a:effectRef idx="0">
                            <a:schemeClr val="dk1"/>
                          </a:effectRef>
                          <a:fontRef idx="minor">
                            <a:schemeClr val="tx1"/>
                          </a:fontRef>
                        </wps:style>
                        <wps:bodyPr/>
                      </wps:wsp>
                      <wps:wsp>
                        <wps:cNvPr id="55" name="Straight Arrow Connector 55"/>
                        <wps:cNvCnPr>
                          <a:stCxn id="192" idx="2"/>
                          <a:endCxn id="194" idx="0"/>
                        </wps:cNvCnPr>
                        <wps:spPr>
                          <a:xfrm>
                            <a:off x="817625" y="2080213"/>
                            <a:ext cx="1578527" cy="972715"/>
                          </a:xfrm>
                          <a:prstGeom prst="straightConnector1">
                            <a:avLst/>
                          </a:prstGeom>
                          <a:ln>
                            <a:tailEnd type="none"/>
                          </a:ln>
                        </wps:spPr>
                        <wps:style>
                          <a:lnRef idx="1">
                            <a:schemeClr val="dk1"/>
                          </a:lnRef>
                          <a:fillRef idx="0">
                            <a:schemeClr val="dk1"/>
                          </a:fillRef>
                          <a:effectRef idx="0">
                            <a:schemeClr val="dk1"/>
                          </a:effectRef>
                          <a:fontRef idx="minor">
                            <a:schemeClr val="tx1"/>
                          </a:fontRef>
                        </wps:style>
                        <wps:bodyPr/>
                      </wps:wsp>
                      <wps:wsp>
                        <wps:cNvPr id="56" name="Straight Arrow Connector 56"/>
                        <wps:cNvCnPr>
                          <a:stCxn id="63" idx="2"/>
                          <a:endCxn id="195" idx="0"/>
                        </wps:cNvCnPr>
                        <wps:spPr>
                          <a:xfrm flipH="1">
                            <a:off x="5237835" y="2080213"/>
                            <a:ext cx="2836193" cy="969706"/>
                          </a:xfrm>
                          <a:prstGeom prst="straightConnector1">
                            <a:avLst/>
                          </a:prstGeom>
                          <a:ln>
                            <a:tailEnd type="none"/>
                          </a:ln>
                        </wps:spPr>
                        <wps:style>
                          <a:lnRef idx="1">
                            <a:schemeClr val="dk1"/>
                          </a:lnRef>
                          <a:fillRef idx="0">
                            <a:schemeClr val="dk1"/>
                          </a:fillRef>
                          <a:effectRef idx="0">
                            <a:schemeClr val="dk1"/>
                          </a:effectRef>
                          <a:fontRef idx="minor">
                            <a:schemeClr val="tx1"/>
                          </a:fontRef>
                        </wps:style>
                        <wps:bodyPr/>
                      </wps:wsp>
                      <wps:wsp>
                        <wps:cNvPr id="57" name="Straight Arrow Connector 57"/>
                        <wps:cNvCnPr>
                          <a:stCxn id="63" idx="2"/>
                          <a:endCxn id="196" idx="0"/>
                        </wps:cNvCnPr>
                        <wps:spPr>
                          <a:xfrm flipH="1">
                            <a:off x="6571085" y="2080213"/>
                            <a:ext cx="1502943" cy="969706"/>
                          </a:xfrm>
                          <a:prstGeom prst="straightConnector1">
                            <a:avLst/>
                          </a:prstGeom>
                          <a:ln>
                            <a:tailEnd type="none"/>
                          </a:ln>
                        </wps:spPr>
                        <wps:style>
                          <a:lnRef idx="1">
                            <a:schemeClr val="dk1"/>
                          </a:lnRef>
                          <a:fillRef idx="0">
                            <a:schemeClr val="dk1"/>
                          </a:fillRef>
                          <a:effectRef idx="0">
                            <a:schemeClr val="dk1"/>
                          </a:effectRef>
                          <a:fontRef idx="minor">
                            <a:schemeClr val="tx1"/>
                          </a:fontRef>
                        </wps:style>
                        <wps:bodyPr/>
                      </wps:wsp>
                      <wps:wsp>
                        <wps:cNvPr id="58" name="Straight Arrow Connector 58"/>
                        <wps:cNvCnPr>
                          <a:stCxn id="63" idx="2"/>
                          <a:endCxn id="197" idx="0"/>
                        </wps:cNvCnPr>
                        <wps:spPr>
                          <a:xfrm>
                            <a:off x="8074028" y="2080213"/>
                            <a:ext cx="0" cy="969751"/>
                          </a:xfrm>
                          <a:prstGeom prst="straightConnector1">
                            <a:avLst/>
                          </a:prstGeom>
                          <a:ln>
                            <a:tailEnd type="none"/>
                          </a:ln>
                        </wps:spPr>
                        <wps:style>
                          <a:lnRef idx="1">
                            <a:schemeClr val="dk1"/>
                          </a:lnRef>
                          <a:fillRef idx="0">
                            <a:schemeClr val="dk1"/>
                          </a:fillRef>
                          <a:effectRef idx="0">
                            <a:schemeClr val="dk1"/>
                          </a:effectRef>
                          <a:fontRef idx="minor">
                            <a:schemeClr val="tx1"/>
                          </a:fontRef>
                        </wps:style>
                        <wps:bodyPr/>
                      </wps:wsp>
                      <wps:wsp>
                        <wps:cNvPr id="59" name="TextBox 3"/>
                        <wps:cNvSpPr txBox="1"/>
                        <wps:spPr>
                          <a:xfrm>
                            <a:off x="3692590" y="0"/>
                            <a:ext cx="1447800" cy="39624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1B509E27" w14:textId="77777777" w:rsidR="003F0B53" w:rsidRPr="00501DAE" w:rsidRDefault="003F0B53" w:rsidP="00B34101">
                              <w:pPr>
                                <w:pStyle w:val="NormalWeb"/>
                                <w:spacing w:before="0" w:beforeAutospacing="0" w:after="0" w:afterAutospacing="0"/>
                                <w:jc w:val="center"/>
                                <w:rPr>
                                  <w:rFonts w:ascii="Arial" w:hAnsi="Arial" w:cs="Arial"/>
                                  <w:sz w:val="20"/>
                                  <w:szCs w:val="20"/>
                                </w:rPr>
                              </w:pPr>
                              <w:proofErr w:type="gramStart"/>
                              <w:r w:rsidRPr="00501DAE">
                                <w:rPr>
                                  <w:rFonts w:ascii="Arial" w:hAnsi="Arial" w:cs="Arial"/>
                                  <w:color w:val="000000" w:themeColor="dark1"/>
                                  <w:kern w:val="24"/>
                                  <w:sz w:val="20"/>
                                  <w:szCs w:val="20"/>
                                </w:rPr>
                                <w:t>President &amp;</w:t>
                              </w:r>
                              <w:proofErr w:type="gramEnd"/>
                              <w:r w:rsidRPr="00501DAE">
                                <w:rPr>
                                  <w:rFonts w:ascii="Arial" w:hAnsi="Arial" w:cs="Arial"/>
                                  <w:color w:val="000000" w:themeColor="dark1"/>
                                  <w:kern w:val="24"/>
                                  <w:sz w:val="20"/>
                                  <w:szCs w:val="20"/>
                                </w:rPr>
                                <w:t xml:space="preserve"> CEO</w:t>
                              </w:r>
                            </w:p>
                            <w:p w14:paraId="7ED00ABE" w14:textId="77777777" w:rsidR="003F0B53" w:rsidRPr="00501DAE" w:rsidRDefault="003F0B53" w:rsidP="00B34101">
                              <w:pPr>
                                <w:pStyle w:val="NormalWeb"/>
                                <w:spacing w:before="0" w:beforeAutospacing="0" w:after="0" w:afterAutospacing="0"/>
                                <w:jc w:val="center"/>
                                <w:rPr>
                                  <w:rFonts w:ascii="Arial" w:hAnsi="Arial" w:cs="Arial"/>
                                  <w:sz w:val="20"/>
                                  <w:szCs w:val="20"/>
                                </w:rPr>
                              </w:pPr>
                              <w:r w:rsidRPr="00501DAE">
                                <w:rPr>
                                  <w:rFonts w:ascii="Arial" w:hAnsi="Arial" w:cs="Arial"/>
                                  <w:i/>
                                  <w:iCs/>
                                  <w:color w:val="000000" w:themeColor="dark1"/>
                                  <w:kern w:val="24"/>
                                  <w:sz w:val="20"/>
                                  <w:szCs w:val="20"/>
                                </w:rPr>
                                <w:t xml:space="preserve">Tom </w:t>
                              </w:r>
                              <w:proofErr w:type="spellStart"/>
                              <w:r w:rsidRPr="00501DAE">
                                <w:rPr>
                                  <w:rFonts w:ascii="Arial" w:hAnsi="Arial" w:cs="Arial"/>
                                  <w:i/>
                                  <w:iCs/>
                                  <w:color w:val="000000" w:themeColor="dark1"/>
                                  <w:kern w:val="24"/>
                                  <w:sz w:val="20"/>
                                  <w:szCs w:val="20"/>
                                </w:rPr>
                                <w:t>Briody</w:t>
                              </w:r>
                              <w:proofErr w:type="spellEnd"/>
                            </w:p>
                          </w:txbxContent>
                        </wps:txbx>
                        <wps:bodyPr wrap="square" rtlCol="0">
                          <a:noAutofit/>
                        </wps:bodyPr>
                      </wps:wsp>
                      <wps:wsp>
                        <wps:cNvPr id="60" name="TextBox 17"/>
                        <wps:cNvSpPr txBox="1"/>
                        <wps:spPr>
                          <a:xfrm>
                            <a:off x="2008598" y="1493967"/>
                            <a:ext cx="1379219" cy="586246"/>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3DBFA9DF" w14:textId="77777777" w:rsidR="003F0B53" w:rsidRPr="00501DAE" w:rsidRDefault="003F0B53" w:rsidP="00B34101">
                              <w:pPr>
                                <w:pStyle w:val="NormalWeb"/>
                                <w:spacing w:before="0" w:beforeAutospacing="0" w:after="0" w:afterAutospacing="0"/>
                                <w:jc w:val="center"/>
                                <w:rPr>
                                  <w:rFonts w:ascii="Arial" w:hAnsi="Arial" w:cs="Arial"/>
                                  <w:sz w:val="20"/>
                                  <w:szCs w:val="20"/>
                                </w:rPr>
                              </w:pPr>
                              <w:r w:rsidRPr="00501DAE">
                                <w:rPr>
                                  <w:rFonts w:ascii="Arial" w:hAnsi="Arial" w:cs="Arial"/>
                                  <w:color w:val="000000" w:themeColor="dark1"/>
                                  <w:kern w:val="24"/>
                                  <w:sz w:val="20"/>
                                  <w:szCs w:val="20"/>
                                </w:rPr>
                                <w:t>Vice President of Marketing</w:t>
                              </w:r>
                            </w:p>
                            <w:p w14:paraId="7CE4AF9E" w14:textId="77777777" w:rsidR="003F0B53" w:rsidRPr="00501DAE" w:rsidRDefault="003F0B53" w:rsidP="00B34101">
                              <w:pPr>
                                <w:pStyle w:val="NormalWeb"/>
                                <w:spacing w:before="0" w:beforeAutospacing="0" w:after="0" w:afterAutospacing="0"/>
                                <w:jc w:val="center"/>
                                <w:rPr>
                                  <w:rFonts w:ascii="Arial" w:hAnsi="Arial" w:cs="Arial"/>
                                  <w:sz w:val="20"/>
                                  <w:szCs w:val="20"/>
                                </w:rPr>
                              </w:pPr>
                              <w:r w:rsidRPr="00501DAE">
                                <w:rPr>
                                  <w:rFonts w:ascii="Arial" w:hAnsi="Arial" w:cs="Arial"/>
                                  <w:i/>
                                  <w:iCs/>
                                  <w:color w:val="000000" w:themeColor="dark1"/>
                                  <w:kern w:val="24"/>
                                  <w:sz w:val="20"/>
                                  <w:szCs w:val="20"/>
                                </w:rPr>
                                <w:t>Deborah Cantu</w:t>
                              </w:r>
                            </w:p>
                          </w:txbxContent>
                        </wps:txbx>
                        <wps:bodyPr wrap="square" rtlCol="0">
                          <a:noAutofit/>
                        </wps:bodyPr>
                      </wps:wsp>
                      <wps:wsp>
                        <wps:cNvPr id="61" name="TextBox 18"/>
                        <wps:cNvSpPr txBox="1"/>
                        <wps:spPr>
                          <a:xfrm>
                            <a:off x="3761169" y="1493823"/>
                            <a:ext cx="1310640" cy="586389"/>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5D97B4B1" w14:textId="77777777" w:rsidR="003F0B53" w:rsidRPr="00501DAE" w:rsidRDefault="003F0B53" w:rsidP="00B34101">
                              <w:pPr>
                                <w:pStyle w:val="NormalWeb"/>
                                <w:spacing w:before="0" w:beforeAutospacing="0" w:after="0" w:afterAutospacing="0"/>
                                <w:jc w:val="center"/>
                                <w:rPr>
                                  <w:rFonts w:ascii="Arial" w:hAnsi="Arial" w:cs="Arial"/>
                                  <w:sz w:val="20"/>
                                  <w:szCs w:val="20"/>
                                </w:rPr>
                              </w:pPr>
                              <w:r w:rsidRPr="00501DAE">
                                <w:rPr>
                                  <w:rFonts w:ascii="Arial" w:hAnsi="Arial" w:cs="Arial"/>
                                  <w:color w:val="000000" w:themeColor="dark1"/>
                                  <w:kern w:val="24"/>
                                  <w:sz w:val="20"/>
                                  <w:szCs w:val="20"/>
                                </w:rPr>
                                <w:t>Vice President of Philanthropy</w:t>
                              </w:r>
                            </w:p>
                            <w:p w14:paraId="1FFBDC6B" w14:textId="77777777" w:rsidR="003F0B53" w:rsidRPr="00501DAE" w:rsidRDefault="003F0B53" w:rsidP="00B34101">
                              <w:pPr>
                                <w:pStyle w:val="NormalWeb"/>
                                <w:spacing w:before="0" w:beforeAutospacing="0" w:after="0" w:afterAutospacing="0"/>
                                <w:jc w:val="center"/>
                                <w:rPr>
                                  <w:rFonts w:ascii="Arial" w:hAnsi="Arial" w:cs="Arial"/>
                                  <w:sz w:val="20"/>
                                  <w:szCs w:val="20"/>
                                </w:rPr>
                              </w:pPr>
                              <w:proofErr w:type="spellStart"/>
                              <w:r w:rsidRPr="00501DAE">
                                <w:rPr>
                                  <w:rFonts w:ascii="Arial" w:hAnsi="Arial" w:cs="Arial"/>
                                  <w:i/>
                                  <w:iCs/>
                                  <w:color w:val="000000" w:themeColor="dark1"/>
                                  <w:kern w:val="24"/>
                                  <w:sz w:val="20"/>
                                  <w:szCs w:val="20"/>
                                </w:rPr>
                                <w:t>Shabana</w:t>
                              </w:r>
                              <w:proofErr w:type="spellEnd"/>
                              <w:r w:rsidRPr="00501DAE">
                                <w:rPr>
                                  <w:rFonts w:ascii="Arial" w:hAnsi="Arial" w:cs="Arial"/>
                                  <w:i/>
                                  <w:iCs/>
                                  <w:color w:val="000000" w:themeColor="dark1"/>
                                  <w:kern w:val="24"/>
                                  <w:sz w:val="20"/>
                                  <w:szCs w:val="20"/>
                                </w:rPr>
                                <w:t xml:space="preserve"> Siegel</w:t>
                              </w:r>
                            </w:p>
                          </w:txbxContent>
                        </wps:txbx>
                        <wps:bodyPr wrap="square" rtlCol="0">
                          <a:noAutofit/>
                        </wps:bodyPr>
                      </wps:wsp>
                      <wps:wsp>
                        <wps:cNvPr id="62" name="TextBox 19"/>
                        <wps:cNvSpPr txBox="1"/>
                        <wps:spPr>
                          <a:xfrm>
                            <a:off x="5393713" y="1493841"/>
                            <a:ext cx="1651635" cy="586372"/>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6E4A25B6" w14:textId="77777777" w:rsidR="003F0B53" w:rsidRPr="00501DAE" w:rsidRDefault="003F0B53" w:rsidP="00B34101">
                              <w:pPr>
                                <w:pStyle w:val="NormalWeb"/>
                                <w:spacing w:before="0" w:beforeAutospacing="0" w:after="0" w:afterAutospacing="0"/>
                                <w:jc w:val="center"/>
                                <w:rPr>
                                  <w:rFonts w:ascii="Arial" w:hAnsi="Arial" w:cs="Arial"/>
                                  <w:sz w:val="20"/>
                                  <w:szCs w:val="20"/>
                                </w:rPr>
                              </w:pPr>
                              <w:r w:rsidRPr="00501DAE">
                                <w:rPr>
                                  <w:rFonts w:ascii="Arial" w:hAnsi="Arial" w:cs="Arial"/>
                                  <w:color w:val="000000" w:themeColor="dark1"/>
                                  <w:kern w:val="24"/>
                                  <w:sz w:val="20"/>
                                  <w:szCs w:val="20"/>
                                </w:rPr>
                                <w:t>Vice President of Business Development</w:t>
                              </w:r>
                            </w:p>
                            <w:p w14:paraId="2D95B200" w14:textId="77777777" w:rsidR="003F0B53" w:rsidRPr="00501DAE" w:rsidRDefault="003F0B53" w:rsidP="00B34101">
                              <w:pPr>
                                <w:pStyle w:val="NormalWeb"/>
                                <w:spacing w:before="0" w:beforeAutospacing="0" w:after="0" w:afterAutospacing="0"/>
                                <w:jc w:val="center"/>
                                <w:rPr>
                                  <w:rFonts w:ascii="Arial" w:hAnsi="Arial" w:cs="Arial"/>
                                  <w:sz w:val="20"/>
                                  <w:szCs w:val="20"/>
                                </w:rPr>
                              </w:pPr>
                              <w:r w:rsidRPr="00501DAE">
                                <w:rPr>
                                  <w:rFonts w:ascii="Arial" w:hAnsi="Arial" w:cs="Arial"/>
                                  <w:i/>
                                  <w:iCs/>
                                  <w:color w:val="000000" w:themeColor="dark1"/>
                                  <w:kern w:val="24"/>
                                  <w:sz w:val="20"/>
                                  <w:szCs w:val="20"/>
                                </w:rPr>
                                <w:t>(To Be Named)</w:t>
                              </w:r>
                            </w:p>
                          </w:txbxContent>
                        </wps:txbx>
                        <wps:bodyPr wrap="square" rtlCol="0">
                          <a:noAutofit/>
                        </wps:bodyPr>
                      </wps:wsp>
                      <wps:wsp>
                        <wps:cNvPr id="63" name="TextBox 20"/>
                        <wps:cNvSpPr txBox="1"/>
                        <wps:spPr>
                          <a:xfrm>
                            <a:off x="7350128" y="1493967"/>
                            <a:ext cx="1447800" cy="586246"/>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735FA804" w14:textId="77777777" w:rsidR="003F0B53" w:rsidRPr="00501DAE" w:rsidRDefault="003F0B53" w:rsidP="00B34101">
                              <w:pPr>
                                <w:pStyle w:val="NormalWeb"/>
                                <w:spacing w:before="0" w:beforeAutospacing="0" w:after="0" w:afterAutospacing="0"/>
                                <w:jc w:val="center"/>
                                <w:rPr>
                                  <w:rFonts w:ascii="Arial" w:hAnsi="Arial" w:cs="Arial"/>
                                  <w:sz w:val="20"/>
                                  <w:szCs w:val="20"/>
                                </w:rPr>
                              </w:pPr>
                              <w:r w:rsidRPr="00501DAE">
                                <w:rPr>
                                  <w:rFonts w:ascii="Arial" w:hAnsi="Arial" w:cs="Arial"/>
                                  <w:color w:val="000000" w:themeColor="dark1"/>
                                  <w:kern w:val="24"/>
                                  <w:sz w:val="20"/>
                                  <w:szCs w:val="20"/>
                                </w:rPr>
                                <w:t xml:space="preserve">Chief </w:t>
                              </w:r>
                            </w:p>
                            <w:p w14:paraId="37BDA1CE" w14:textId="77777777" w:rsidR="003F0B53" w:rsidRPr="00501DAE" w:rsidRDefault="003F0B53" w:rsidP="00B34101">
                              <w:pPr>
                                <w:pStyle w:val="NormalWeb"/>
                                <w:spacing w:before="0" w:beforeAutospacing="0" w:after="0" w:afterAutospacing="0"/>
                                <w:jc w:val="center"/>
                                <w:rPr>
                                  <w:rFonts w:ascii="Arial" w:hAnsi="Arial" w:cs="Arial"/>
                                  <w:sz w:val="20"/>
                                  <w:szCs w:val="20"/>
                                </w:rPr>
                              </w:pPr>
                              <w:r w:rsidRPr="00501DAE">
                                <w:rPr>
                                  <w:rFonts w:ascii="Arial" w:hAnsi="Arial" w:cs="Arial"/>
                                  <w:color w:val="000000" w:themeColor="dark1"/>
                                  <w:kern w:val="24"/>
                                  <w:sz w:val="20"/>
                                  <w:szCs w:val="20"/>
                                </w:rPr>
                                <w:t>Operating Officer</w:t>
                              </w:r>
                            </w:p>
                            <w:p w14:paraId="00F53B86" w14:textId="77777777" w:rsidR="003F0B53" w:rsidRPr="00501DAE" w:rsidRDefault="003F0B53" w:rsidP="00B34101">
                              <w:pPr>
                                <w:pStyle w:val="NormalWeb"/>
                                <w:spacing w:before="0" w:beforeAutospacing="0" w:after="0" w:afterAutospacing="0"/>
                                <w:jc w:val="center"/>
                                <w:rPr>
                                  <w:rFonts w:ascii="Arial" w:hAnsi="Arial" w:cs="Arial"/>
                                  <w:sz w:val="20"/>
                                  <w:szCs w:val="20"/>
                                </w:rPr>
                              </w:pPr>
                              <w:r w:rsidRPr="00501DAE">
                                <w:rPr>
                                  <w:rFonts w:ascii="Arial" w:hAnsi="Arial" w:cs="Arial"/>
                                  <w:i/>
                                  <w:iCs/>
                                  <w:color w:val="000000" w:themeColor="dark1"/>
                                  <w:kern w:val="24"/>
                                  <w:sz w:val="20"/>
                                  <w:szCs w:val="20"/>
                                </w:rPr>
                                <w:t>Melissa Welch</w:t>
                              </w:r>
                            </w:p>
                          </w:txbxContent>
                        </wps:txbx>
                        <wps:bodyPr wrap="square" rtlCol="0">
                          <a:noAutofit/>
                        </wps:bodyPr>
                      </wps:wsp>
                      <wps:wsp>
                        <wps:cNvPr id="192" name="TextBox 31"/>
                        <wps:cNvSpPr txBox="1"/>
                        <wps:spPr>
                          <a:xfrm>
                            <a:off x="93725" y="1493967"/>
                            <a:ext cx="1447800" cy="586246"/>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2583AE2E" w14:textId="77777777" w:rsidR="003F0B53" w:rsidRPr="00501DAE" w:rsidRDefault="003F0B53" w:rsidP="00B34101">
                              <w:pPr>
                                <w:pStyle w:val="NormalWeb"/>
                                <w:spacing w:before="0" w:beforeAutospacing="0" w:after="0" w:afterAutospacing="0"/>
                                <w:jc w:val="center"/>
                                <w:rPr>
                                  <w:rFonts w:ascii="Arial" w:hAnsi="Arial" w:cs="Arial"/>
                                  <w:sz w:val="20"/>
                                  <w:szCs w:val="20"/>
                                </w:rPr>
                              </w:pPr>
                              <w:r w:rsidRPr="00501DAE">
                                <w:rPr>
                                  <w:rFonts w:ascii="Arial" w:hAnsi="Arial" w:cs="Arial"/>
                                  <w:color w:val="000000" w:themeColor="dark1"/>
                                  <w:kern w:val="24"/>
                                  <w:sz w:val="20"/>
                                  <w:szCs w:val="20"/>
                                </w:rPr>
                                <w:t>Chief</w:t>
                              </w:r>
                            </w:p>
                            <w:p w14:paraId="47BDEB42" w14:textId="77777777" w:rsidR="003F0B53" w:rsidRPr="00501DAE" w:rsidRDefault="003F0B53" w:rsidP="00B34101">
                              <w:pPr>
                                <w:pStyle w:val="NormalWeb"/>
                                <w:spacing w:before="0" w:beforeAutospacing="0" w:after="0" w:afterAutospacing="0"/>
                                <w:jc w:val="center"/>
                                <w:rPr>
                                  <w:rFonts w:ascii="Arial" w:hAnsi="Arial" w:cs="Arial"/>
                                  <w:sz w:val="20"/>
                                  <w:szCs w:val="20"/>
                                </w:rPr>
                              </w:pPr>
                              <w:r w:rsidRPr="00501DAE">
                                <w:rPr>
                                  <w:rFonts w:ascii="Arial" w:hAnsi="Arial" w:cs="Arial"/>
                                  <w:color w:val="000000" w:themeColor="dark1"/>
                                  <w:kern w:val="24"/>
                                  <w:sz w:val="20"/>
                                  <w:szCs w:val="20"/>
                                </w:rPr>
                                <w:t>Financial Officer</w:t>
                              </w:r>
                            </w:p>
                            <w:p w14:paraId="5BF726EE" w14:textId="77777777" w:rsidR="003F0B53" w:rsidRPr="00501DAE" w:rsidRDefault="003F0B53" w:rsidP="00B34101">
                              <w:pPr>
                                <w:pStyle w:val="NormalWeb"/>
                                <w:spacing w:before="0" w:beforeAutospacing="0" w:after="0" w:afterAutospacing="0"/>
                                <w:jc w:val="center"/>
                                <w:rPr>
                                  <w:rFonts w:ascii="Arial" w:hAnsi="Arial" w:cs="Arial"/>
                                  <w:sz w:val="20"/>
                                  <w:szCs w:val="20"/>
                                </w:rPr>
                              </w:pPr>
                              <w:r w:rsidRPr="00501DAE">
                                <w:rPr>
                                  <w:rFonts w:ascii="Arial" w:hAnsi="Arial" w:cs="Arial"/>
                                  <w:i/>
                                  <w:iCs/>
                                  <w:color w:val="000000" w:themeColor="dark1"/>
                                  <w:kern w:val="24"/>
                                  <w:sz w:val="20"/>
                                  <w:szCs w:val="20"/>
                                </w:rPr>
                                <w:t>Roxana Blades</w:t>
                              </w:r>
                            </w:p>
                          </w:txbxContent>
                        </wps:txbx>
                        <wps:bodyPr wrap="square" rtlCol="0">
                          <a:noAutofit/>
                        </wps:bodyPr>
                      </wps:wsp>
                      <wps:wsp>
                        <wps:cNvPr id="193" name="TextBox 42"/>
                        <wps:cNvSpPr txBox="1"/>
                        <wps:spPr>
                          <a:xfrm>
                            <a:off x="0" y="3053097"/>
                            <a:ext cx="1635125" cy="68834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37315136" w14:textId="77777777" w:rsidR="003F0B53" w:rsidRPr="00501DAE" w:rsidRDefault="003F0B53" w:rsidP="00B34101">
                              <w:pPr>
                                <w:pStyle w:val="NormalWeb"/>
                                <w:spacing w:before="0" w:beforeAutospacing="0" w:after="0" w:afterAutospacing="0"/>
                                <w:jc w:val="center"/>
                                <w:rPr>
                                  <w:rFonts w:ascii="Arial" w:hAnsi="Arial" w:cs="Arial"/>
                                  <w:sz w:val="20"/>
                                  <w:szCs w:val="20"/>
                                </w:rPr>
                              </w:pPr>
                              <w:r w:rsidRPr="00501DAE">
                                <w:rPr>
                                  <w:rFonts w:ascii="Arial" w:hAnsi="Arial" w:cs="Arial"/>
                                  <w:color w:val="000000" w:themeColor="dark1"/>
                                  <w:kern w:val="24"/>
                                  <w:sz w:val="20"/>
                                  <w:szCs w:val="20"/>
                                </w:rPr>
                                <w:t>Vice President of Technology Services &amp; Facilities Management</w:t>
                              </w:r>
                            </w:p>
                            <w:p w14:paraId="7A055F0D" w14:textId="77777777" w:rsidR="003F0B53" w:rsidRPr="00501DAE" w:rsidRDefault="003F0B53" w:rsidP="00B34101">
                              <w:pPr>
                                <w:pStyle w:val="NormalWeb"/>
                                <w:spacing w:before="0" w:beforeAutospacing="0" w:after="0" w:afterAutospacing="0"/>
                                <w:jc w:val="center"/>
                                <w:rPr>
                                  <w:rFonts w:ascii="Arial" w:hAnsi="Arial" w:cs="Arial"/>
                                  <w:sz w:val="20"/>
                                  <w:szCs w:val="20"/>
                                </w:rPr>
                              </w:pPr>
                              <w:r w:rsidRPr="00501DAE">
                                <w:rPr>
                                  <w:rFonts w:ascii="Arial" w:hAnsi="Arial" w:cs="Arial"/>
                                  <w:i/>
                                  <w:iCs/>
                                  <w:color w:val="000000" w:themeColor="dark1"/>
                                  <w:kern w:val="24"/>
                                  <w:sz w:val="20"/>
                                  <w:szCs w:val="20"/>
                                </w:rPr>
                                <w:t xml:space="preserve">Joan </w:t>
                              </w:r>
                              <w:proofErr w:type="spellStart"/>
                              <w:r w:rsidRPr="00501DAE">
                                <w:rPr>
                                  <w:rFonts w:ascii="Arial" w:hAnsi="Arial" w:cs="Arial"/>
                                  <w:i/>
                                  <w:iCs/>
                                  <w:color w:val="000000" w:themeColor="dark1"/>
                                  <w:kern w:val="24"/>
                                  <w:sz w:val="20"/>
                                  <w:szCs w:val="20"/>
                                </w:rPr>
                                <w:t>Hestenes</w:t>
                              </w:r>
                              <w:proofErr w:type="spellEnd"/>
                            </w:p>
                          </w:txbxContent>
                        </wps:txbx>
                        <wps:bodyPr wrap="square" rtlCol="0">
                          <a:noAutofit/>
                        </wps:bodyPr>
                      </wps:wsp>
                      <wps:wsp>
                        <wps:cNvPr id="194" name="TextBox 43"/>
                        <wps:cNvSpPr txBox="1"/>
                        <wps:spPr>
                          <a:xfrm>
                            <a:off x="1710353" y="3052927"/>
                            <a:ext cx="1371600" cy="68834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4F466703" w14:textId="77777777" w:rsidR="003F0B53" w:rsidRPr="00501DAE" w:rsidRDefault="003F0B53" w:rsidP="00B34101">
                              <w:pPr>
                                <w:pStyle w:val="NormalWeb"/>
                                <w:spacing w:before="0" w:beforeAutospacing="0" w:after="0" w:afterAutospacing="0"/>
                                <w:jc w:val="center"/>
                                <w:rPr>
                                  <w:rFonts w:ascii="Arial" w:hAnsi="Arial" w:cs="Arial"/>
                                  <w:sz w:val="20"/>
                                  <w:szCs w:val="20"/>
                                </w:rPr>
                              </w:pPr>
                              <w:r w:rsidRPr="00501DAE">
                                <w:rPr>
                                  <w:rFonts w:ascii="Arial" w:hAnsi="Arial" w:cs="Arial"/>
                                  <w:color w:val="000000" w:themeColor="dark1"/>
                                  <w:kern w:val="24"/>
                                  <w:sz w:val="20"/>
                                  <w:szCs w:val="20"/>
                                </w:rPr>
                                <w:t>Vice President</w:t>
                              </w:r>
                            </w:p>
                            <w:p w14:paraId="5AEABD3F" w14:textId="77777777" w:rsidR="003F0B53" w:rsidRPr="00501DAE" w:rsidRDefault="003F0B53" w:rsidP="00B34101">
                              <w:pPr>
                                <w:pStyle w:val="NormalWeb"/>
                                <w:spacing w:before="0" w:beforeAutospacing="0" w:after="0" w:afterAutospacing="0"/>
                                <w:jc w:val="center"/>
                                <w:rPr>
                                  <w:rFonts w:ascii="Arial" w:hAnsi="Arial" w:cs="Arial"/>
                                  <w:sz w:val="20"/>
                                  <w:szCs w:val="20"/>
                                </w:rPr>
                              </w:pPr>
                              <w:proofErr w:type="gramStart"/>
                              <w:r w:rsidRPr="00501DAE">
                                <w:rPr>
                                  <w:rFonts w:ascii="Arial" w:hAnsi="Arial" w:cs="Arial"/>
                                  <w:color w:val="000000" w:themeColor="dark1"/>
                                  <w:kern w:val="24"/>
                                  <w:sz w:val="20"/>
                                  <w:szCs w:val="20"/>
                                </w:rPr>
                                <w:t>of</w:t>
                              </w:r>
                              <w:proofErr w:type="gramEnd"/>
                              <w:r w:rsidRPr="00501DAE">
                                <w:rPr>
                                  <w:rFonts w:ascii="Arial" w:hAnsi="Arial" w:cs="Arial"/>
                                  <w:color w:val="000000" w:themeColor="dark1"/>
                                  <w:kern w:val="24"/>
                                  <w:sz w:val="20"/>
                                  <w:szCs w:val="20"/>
                                </w:rPr>
                                <w:t xml:space="preserve"> Human Resources</w:t>
                              </w:r>
                            </w:p>
                            <w:p w14:paraId="7A6B0DF3" w14:textId="77777777" w:rsidR="003F0B53" w:rsidRPr="00501DAE" w:rsidRDefault="003F0B53" w:rsidP="00B34101">
                              <w:pPr>
                                <w:pStyle w:val="NormalWeb"/>
                                <w:spacing w:before="0" w:beforeAutospacing="0" w:after="0" w:afterAutospacing="0"/>
                                <w:jc w:val="center"/>
                                <w:rPr>
                                  <w:rFonts w:ascii="Arial" w:hAnsi="Arial" w:cs="Arial"/>
                                  <w:sz w:val="20"/>
                                  <w:szCs w:val="20"/>
                                </w:rPr>
                              </w:pPr>
                              <w:r w:rsidRPr="00501DAE">
                                <w:rPr>
                                  <w:rFonts w:ascii="Arial" w:hAnsi="Arial" w:cs="Arial"/>
                                  <w:i/>
                                  <w:iCs/>
                                  <w:color w:val="000000" w:themeColor="dark1"/>
                                  <w:kern w:val="24"/>
                                  <w:sz w:val="20"/>
                                  <w:szCs w:val="20"/>
                                </w:rPr>
                                <w:t>Shari Moore</w:t>
                              </w:r>
                            </w:p>
                          </w:txbxContent>
                        </wps:txbx>
                        <wps:bodyPr wrap="square" rtlCol="0">
                          <a:noAutofit/>
                        </wps:bodyPr>
                      </wps:wsp>
                      <wps:wsp>
                        <wps:cNvPr id="195" name="TextBox 46"/>
                        <wps:cNvSpPr txBox="1"/>
                        <wps:spPr>
                          <a:xfrm>
                            <a:off x="4683162" y="3049919"/>
                            <a:ext cx="1109345" cy="68834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27C901A6" w14:textId="77777777" w:rsidR="003F0B53" w:rsidRPr="00501DAE" w:rsidRDefault="003F0B53" w:rsidP="00B34101">
                              <w:pPr>
                                <w:pStyle w:val="NormalWeb"/>
                                <w:spacing w:before="0" w:beforeAutospacing="0" w:after="0" w:afterAutospacing="0"/>
                                <w:jc w:val="center"/>
                                <w:rPr>
                                  <w:rFonts w:ascii="Arial" w:hAnsi="Arial" w:cs="Arial"/>
                                  <w:sz w:val="20"/>
                                  <w:szCs w:val="20"/>
                                </w:rPr>
                              </w:pPr>
                              <w:r w:rsidRPr="00501DAE">
                                <w:rPr>
                                  <w:rFonts w:ascii="Arial" w:hAnsi="Arial" w:cs="Arial"/>
                                  <w:color w:val="000000" w:themeColor="dark1"/>
                                  <w:kern w:val="24"/>
                                  <w:sz w:val="20"/>
                                  <w:szCs w:val="20"/>
                                </w:rPr>
                                <w:t xml:space="preserve">Vice President </w:t>
                              </w:r>
                            </w:p>
                            <w:p w14:paraId="6550F546" w14:textId="77777777" w:rsidR="003F0B53" w:rsidRPr="00501DAE" w:rsidRDefault="003F0B53" w:rsidP="00B34101">
                              <w:pPr>
                                <w:pStyle w:val="NormalWeb"/>
                                <w:spacing w:before="0" w:beforeAutospacing="0" w:after="0" w:afterAutospacing="0"/>
                                <w:jc w:val="center"/>
                                <w:rPr>
                                  <w:rFonts w:ascii="Arial" w:hAnsi="Arial" w:cs="Arial"/>
                                  <w:sz w:val="20"/>
                                  <w:szCs w:val="20"/>
                                </w:rPr>
                              </w:pPr>
                              <w:proofErr w:type="gramStart"/>
                              <w:r w:rsidRPr="00501DAE">
                                <w:rPr>
                                  <w:rFonts w:ascii="Arial" w:hAnsi="Arial" w:cs="Arial"/>
                                  <w:color w:val="000000" w:themeColor="dark1"/>
                                  <w:kern w:val="24"/>
                                  <w:sz w:val="20"/>
                                  <w:szCs w:val="20"/>
                                </w:rPr>
                                <w:t>of</w:t>
                              </w:r>
                              <w:proofErr w:type="gramEnd"/>
                              <w:r w:rsidRPr="00501DAE">
                                <w:rPr>
                                  <w:rFonts w:ascii="Arial" w:hAnsi="Arial" w:cs="Arial"/>
                                  <w:color w:val="000000" w:themeColor="dark1"/>
                                  <w:kern w:val="24"/>
                                  <w:sz w:val="20"/>
                                  <w:szCs w:val="20"/>
                                </w:rPr>
                                <w:t xml:space="preserve"> Health Services</w:t>
                              </w:r>
                            </w:p>
                            <w:p w14:paraId="6DDE7291" w14:textId="77777777" w:rsidR="003F0B53" w:rsidRPr="00501DAE" w:rsidRDefault="003F0B53" w:rsidP="00B34101">
                              <w:pPr>
                                <w:pStyle w:val="NormalWeb"/>
                                <w:spacing w:before="0" w:beforeAutospacing="0" w:after="0" w:afterAutospacing="0"/>
                                <w:jc w:val="center"/>
                                <w:rPr>
                                  <w:rFonts w:ascii="Arial" w:hAnsi="Arial" w:cs="Arial"/>
                                  <w:sz w:val="20"/>
                                  <w:szCs w:val="20"/>
                                </w:rPr>
                              </w:pPr>
                              <w:r w:rsidRPr="00501DAE">
                                <w:rPr>
                                  <w:rFonts w:ascii="Arial" w:hAnsi="Arial" w:cs="Arial"/>
                                  <w:i/>
                                  <w:iCs/>
                                  <w:color w:val="000000" w:themeColor="dark1"/>
                                  <w:kern w:val="24"/>
                                  <w:sz w:val="20"/>
                                  <w:szCs w:val="20"/>
                                </w:rPr>
                                <w:t>Kristina Lugo</w:t>
                              </w:r>
                            </w:p>
                          </w:txbxContent>
                        </wps:txbx>
                        <wps:bodyPr wrap="square" rtlCol="0">
                          <a:noAutofit/>
                        </wps:bodyPr>
                      </wps:wsp>
                      <wps:wsp>
                        <wps:cNvPr id="196" name="TextBox 47"/>
                        <wps:cNvSpPr txBox="1"/>
                        <wps:spPr>
                          <a:xfrm>
                            <a:off x="5884967" y="3049919"/>
                            <a:ext cx="1372235" cy="68834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2798FBC0" w14:textId="77777777" w:rsidR="003F0B53" w:rsidRPr="00501DAE" w:rsidRDefault="003F0B53" w:rsidP="00B34101">
                              <w:pPr>
                                <w:pStyle w:val="NormalWeb"/>
                                <w:spacing w:before="0" w:beforeAutospacing="0" w:after="0" w:afterAutospacing="0"/>
                                <w:jc w:val="center"/>
                                <w:rPr>
                                  <w:rFonts w:ascii="Arial" w:hAnsi="Arial" w:cs="Arial"/>
                                  <w:sz w:val="20"/>
                                  <w:szCs w:val="20"/>
                                </w:rPr>
                              </w:pPr>
                              <w:r w:rsidRPr="00501DAE">
                                <w:rPr>
                                  <w:rFonts w:ascii="Arial" w:hAnsi="Arial" w:cs="Arial"/>
                                  <w:color w:val="000000" w:themeColor="dark1"/>
                                  <w:kern w:val="24"/>
                                  <w:sz w:val="20"/>
                                  <w:szCs w:val="20"/>
                                </w:rPr>
                                <w:t xml:space="preserve">Vice President of </w:t>
                              </w:r>
                            </w:p>
                            <w:p w14:paraId="32FEB3FE" w14:textId="77777777" w:rsidR="003F0B53" w:rsidRPr="00501DAE" w:rsidRDefault="003F0B53" w:rsidP="00B34101">
                              <w:pPr>
                                <w:pStyle w:val="NormalWeb"/>
                                <w:spacing w:before="0" w:beforeAutospacing="0" w:after="0" w:afterAutospacing="0"/>
                                <w:jc w:val="center"/>
                                <w:rPr>
                                  <w:rFonts w:ascii="Arial" w:hAnsi="Arial" w:cs="Arial"/>
                                  <w:sz w:val="20"/>
                                  <w:szCs w:val="20"/>
                                </w:rPr>
                              </w:pPr>
                              <w:r w:rsidRPr="00501DAE">
                                <w:rPr>
                                  <w:rFonts w:ascii="Arial" w:hAnsi="Arial" w:cs="Arial"/>
                                  <w:color w:val="000000" w:themeColor="dark1"/>
                                  <w:kern w:val="24"/>
                                  <w:sz w:val="20"/>
                                  <w:szCs w:val="20"/>
                                </w:rPr>
                                <w:t xml:space="preserve">Community Living </w:t>
                              </w:r>
                            </w:p>
                            <w:p w14:paraId="704BD66F" w14:textId="77777777" w:rsidR="003F0B53" w:rsidRPr="00501DAE" w:rsidRDefault="003F0B53" w:rsidP="00B34101">
                              <w:pPr>
                                <w:pStyle w:val="NormalWeb"/>
                                <w:spacing w:before="0" w:beforeAutospacing="0" w:after="0" w:afterAutospacing="0"/>
                                <w:jc w:val="center"/>
                                <w:rPr>
                                  <w:rFonts w:ascii="Arial" w:hAnsi="Arial" w:cs="Arial"/>
                                  <w:sz w:val="20"/>
                                  <w:szCs w:val="20"/>
                                </w:rPr>
                              </w:pPr>
                              <w:r w:rsidRPr="00501DAE">
                                <w:rPr>
                                  <w:rFonts w:ascii="Arial" w:hAnsi="Arial" w:cs="Arial"/>
                                  <w:color w:val="000000" w:themeColor="dark1"/>
                                  <w:kern w:val="24"/>
                                  <w:sz w:val="20"/>
                                  <w:szCs w:val="20"/>
                                </w:rPr>
                                <w:t>Services</w:t>
                              </w:r>
                            </w:p>
                            <w:p w14:paraId="286E6540" w14:textId="77777777" w:rsidR="003F0B53" w:rsidRPr="00501DAE" w:rsidRDefault="003F0B53" w:rsidP="00B34101">
                              <w:pPr>
                                <w:pStyle w:val="NormalWeb"/>
                                <w:spacing w:before="0" w:beforeAutospacing="0" w:after="0" w:afterAutospacing="0"/>
                                <w:jc w:val="center"/>
                                <w:rPr>
                                  <w:rFonts w:ascii="Arial" w:hAnsi="Arial" w:cs="Arial"/>
                                  <w:sz w:val="20"/>
                                  <w:szCs w:val="20"/>
                                </w:rPr>
                              </w:pPr>
                              <w:r w:rsidRPr="00501DAE">
                                <w:rPr>
                                  <w:rFonts w:ascii="Arial" w:hAnsi="Arial" w:cs="Arial"/>
                                  <w:i/>
                                  <w:iCs/>
                                  <w:color w:val="000000" w:themeColor="dark1"/>
                                  <w:kern w:val="24"/>
                                  <w:sz w:val="20"/>
                                  <w:szCs w:val="20"/>
                                </w:rPr>
                                <w:t>Dustin Harper</w:t>
                              </w:r>
                            </w:p>
                          </w:txbxContent>
                        </wps:txbx>
                        <wps:bodyPr wrap="square" rtlCol="0">
                          <a:noAutofit/>
                        </wps:bodyPr>
                      </wps:wsp>
                      <wps:wsp>
                        <wps:cNvPr id="197" name="TextBox 49"/>
                        <wps:cNvSpPr txBox="1"/>
                        <wps:spPr>
                          <a:xfrm>
                            <a:off x="7350128" y="3049963"/>
                            <a:ext cx="1447800" cy="68834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5CD4D0B9" w14:textId="77777777" w:rsidR="003F0B53" w:rsidRPr="00501DAE" w:rsidRDefault="003F0B53" w:rsidP="00B34101">
                              <w:pPr>
                                <w:pStyle w:val="NormalWeb"/>
                                <w:spacing w:before="0" w:beforeAutospacing="0" w:after="0" w:afterAutospacing="0"/>
                                <w:jc w:val="center"/>
                                <w:rPr>
                                  <w:rFonts w:ascii="Arial" w:hAnsi="Arial" w:cs="Arial"/>
                                  <w:sz w:val="20"/>
                                  <w:szCs w:val="20"/>
                                </w:rPr>
                              </w:pPr>
                              <w:r w:rsidRPr="00501DAE">
                                <w:rPr>
                                  <w:rFonts w:ascii="Arial" w:hAnsi="Arial" w:cs="Arial"/>
                                  <w:color w:val="000000" w:themeColor="dark1"/>
                                  <w:kern w:val="24"/>
                                  <w:sz w:val="20"/>
                                  <w:szCs w:val="20"/>
                                </w:rPr>
                                <w:t xml:space="preserve">Vice President of </w:t>
                              </w:r>
                            </w:p>
                            <w:p w14:paraId="6B5826CA" w14:textId="77777777" w:rsidR="003F0B53" w:rsidRPr="00501DAE" w:rsidRDefault="003F0B53" w:rsidP="00B34101">
                              <w:pPr>
                                <w:pStyle w:val="NormalWeb"/>
                                <w:spacing w:before="0" w:beforeAutospacing="0" w:after="0" w:afterAutospacing="0"/>
                                <w:jc w:val="center"/>
                                <w:rPr>
                                  <w:rFonts w:ascii="Arial" w:hAnsi="Arial" w:cs="Arial"/>
                                  <w:sz w:val="20"/>
                                  <w:szCs w:val="20"/>
                                </w:rPr>
                              </w:pPr>
                              <w:r w:rsidRPr="00501DAE">
                                <w:rPr>
                                  <w:rFonts w:ascii="Arial" w:hAnsi="Arial" w:cs="Arial"/>
                                  <w:color w:val="000000" w:themeColor="dark1"/>
                                  <w:kern w:val="24"/>
                                  <w:sz w:val="20"/>
                                  <w:szCs w:val="20"/>
                                </w:rPr>
                                <w:t>Home Care</w:t>
                              </w:r>
                            </w:p>
                            <w:p w14:paraId="2FD50E91" w14:textId="77777777" w:rsidR="003F0B53" w:rsidRPr="00501DAE" w:rsidRDefault="003F0B53" w:rsidP="00B34101">
                              <w:pPr>
                                <w:pStyle w:val="NormalWeb"/>
                                <w:spacing w:before="0" w:beforeAutospacing="0" w:after="0" w:afterAutospacing="0"/>
                                <w:jc w:val="center"/>
                                <w:rPr>
                                  <w:rFonts w:ascii="Arial" w:hAnsi="Arial" w:cs="Arial"/>
                                  <w:sz w:val="20"/>
                                  <w:szCs w:val="20"/>
                                </w:rPr>
                              </w:pPr>
                              <w:r w:rsidRPr="00501DAE">
                                <w:rPr>
                                  <w:rFonts w:ascii="Arial" w:hAnsi="Arial" w:cs="Arial"/>
                                  <w:color w:val="000000" w:themeColor="dark1"/>
                                  <w:kern w:val="24"/>
                                  <w:sz w:val="20"/>
                                  <w:szCs w:val="20"/>
                                </w:rPr>
                                <w:t>Services</w:t>
                              </w:r>
                            </w:p>
                            <w:p w14:paraId="1B9C9BD5" w14:textId="77777777" w:rsidR="003F0B53" w:rsidRPr="00501DAE" w:rsidRDefault="003F0B53" w:rsidP="00B34101">
                              <w:pPr>
                                <w:pStyle w:val="NormalWeb"/>
                                <w:spacing w:before="0" w:beforeAutospacing="0" w:after="0" w:afterAutospacing="0"/>
                                <w:jc w:val="center"/>
                                <w:rPr>
                                  <w:rFonts w:ascii="Arial" w:hAnsi="Arial" w:cs="Arial"/>
                                  <w:sz w:val="20"/>
                                  <w:szCs w:val="20"/>
                                </w:rPr>
                              </w:pPr>
                              <w:r w:rsidRPr="00501DAE">
                                <w:rPr>
                                  <w:rFonts w:ascii="Arial" w:hAnsi="Arial" w:cs="Arial"/>
                                  <w:i/>
                                  <w:iCs/>
                                  <w:color w:val="000000" w:themeColor="dark1"/>
                                  <w:kern w:val="24"/>
                                  <w:sz w:val="20"/>
                                  <w:szCs w:val="20"/>
                                </w:rPr>
                                <w:t xml:space="preserve">Abby </w:t>
                              </w:r>
                              <w:proofErr w:type="spellStart"/>
                              <w:r w:rsidRPr="00501DAE">
                                <w:rPr>
                                  <w:rFonts w:ascii="Arial" w:hAnsi="Arial" w:cs="Arial"/>
                                  <w:i/>
                                  <w:iCs/>
                                  <w:color w:val="000000" w:themeColor="dark1"/>
                                  <w:kern w:val="24"/>
                                  <w:sz w:val="20"/>
                                  <w:szCs w:val="20"/>
                                </w:rPr>
                                <w:t>Bourhis</w:t>
                              </w:r>
                              <w:proofErr w:type="spellEnd"/>
                            </w:p>
                          </w:txbxContent>
                        </wps:txbx>
                        <wps:bodyPr wrap="square" rtlCol="0">
                          <a:noAutofit/>
                        </wps:bodyPr>
                      </wps:wsp>
                      <wps:wsp>
                        <wps:cNvPr id="198" name="TextBox 23"/>
                        <wps:cNvSpPr txBox="1"/>
                        <wps:spPr>
                          <a:xfrm>
                            <a:off x="3157088" y="3052881"/>
                            <a:ext cx="1143000" cy="68834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0C4CCFF3" w14:textId="3C11A043" w:rsidR="003F0B53" w:rsidRDefault="003F0B53" w:rsidP="00B34101">
                              <w:pPr>
                                <w:pStyle w:val="NormalWeb"/>
                                <w:spacing w:before="0" w:beforeAutospacing="0" w:after="0" w:afterAutospacing="0"/>
                                <w:jc w:val="center"/>
                                <w:rPr>
                                  <w:rFonts w:ascii="Arial" w:hAnsi="Arial" w:cs="Arial"/>
                                  <w:color w:val="000000" w:themeColor="dark1"/>
                                  <w:kern w:val="24"/>
                                  <w:sz w:val="20"/>
                                  <w:szCs w:val="20"/>
                                </w:rPr>
                              </w:pPr>
                              <w:r w:rsidRPr="00501DAE">
                                <w:rPr>
                                  <w:rFonts w:ascii="Arial" w:hAnsi="Arial" w:cs="Arial"/>
                                  <w:color w:val="000000" w:themeColor="dark1"/>
                                  <w:kern w:val="24"/>
                                  <w:sz w:val="20"/>
                                  <w:szCs w:val="20"/>
                                </w:rPr>
                                <w:t xml:space="preserve">Vice </w:t>
                              </w:r>
                              <w:proofErr w:type="gramStart"/>
                              <w:r w:rsidRPr="00501DAE">
                                <w:rPr>
                                  <w:rFonts w:ascii="Arial" w:hAnsi="Arial" w:cs="Arial"/>
                                  <w:color w:val="000000" w:themeColor="dark1"/>
                                  <w:kern w:val="24"/>
                                  <w:sz w:val="20"/>
                                  <w:szCs w:val="20"/>
                                </w:rPr>
                                <w:t>President &amp;</w:t>
                              </w:r>
                              <w:proofErr w:type="gramEnd"/>
                              <w:r w:rsidRPr="00501DAE">
                                <w:rPr>
                                  <w:rFonts w:ascii="Arial" w:hAnsi="Arial" w:cs="Arial"/>
                                  <w:color w:val="000000" w:themeColor="dark1"/>
                                  <w:kern w:val="24"/>
                                  <w:sz w:val="20"/>
                                  <w:szCs w:val="20"/>
                                </w:rPr>
                                <w:t xml:space="preserve"> Controller</w:t>
                              </w:r>
                            </w:p>
                            <w:p w14:paraId="0B3E04DB" w14:textId="77777777" w:rsidR="003F0B53" w:rsidRDefault="003F0B53" w:rsidP="00B34101">
                              <w:pPr>
                                <w:pStyle w:val="NormalWeb"/>
                                <w:spacing w:before="0" w:beforeAutospacing="0" w:after="0" w:afterAutospacing="0"/>
                                <w:jc w:val="center"/>
                                <w:rPr>
                                  <w:rFonts w:ascii="Arial" w:hAnsi="Arial" w:cs="Arial"/>
                                  <w:color w:val="000000" w:themeColor="dark1"/>
                                  <w:kern w:val="24"/>
                                  <w:sz w:val="20"/>
                                  <w:szCs w:val="20"/>
                                </w:rPr>
                              </w:pPr>
                            </w:p>
                            <w:p w14:paraId="79D2486F" w14:textId="77777777" w:rsidR="003F0B53" w:rsidRPr="00501DAE" w:rsidRDefault="003F0B53" w:rsidP="00B34101">
                              <w:pPr>
                                <w:pStyle w:val="NormalWeb"/>
                                <w:spacing w:before="0" w:beforeAutospacing="0" w:after="0" w:afterAutospacing="0"/>
                                <w:jc w:val="center"/>
                                <w:rPr>
                                  <w:rFonts w:ascii="Arial" w:hAnsi="Arial" w:cs="Arial"/>
                                  <w:sz w:val="20"/>
                                  <w:szCs w:val="20"/>
                                </w:rPr>
                              </w:pPr>
                              <w:r w:rsidRPr="00501DAE">
                                <w:rPr>
                                  <w:rFonts w:ascii="Arial" w:hAnsi="Arial" w:cs="Arial"/>
                                  <w:i/>
                                  <w:iCs/>
                                  <w:color w:val="000000" w:themeColor="dark1"/>
                                  <w:kern w:val="24"/>
                                  <w:sz w:val="20"/>
                                  <w:szCs w:val="20"/>
                                </w:rPr>
                                <w:t xml:space="preserve">Virginia </w:t>
                              </w:r>
                              <w:proofErr w:type="spellStart"/>
                              <w:r w:rsidRPr="00501DAE">
                                <w:rPr>
                                  <w:rFonts w:ascii="Arial" w:hAnsi="Arial" w:cs="Arial"/>
                                  <w:i/>
                                  <w:iCs/>
                                  <w:color w:val="000000" w:themeColor="dark1"/>
                                  <w:kern w:val="24"/>
                                  <w:sz w:val="20"/>
                                  <w:szCs w:val="20"/>
                                </w:rPr>
                                <w:t>Lui</w:t>
                              </w:r>
                              <w:proofErr w:type="spellEnd"/>
                            </w:p>
                          </w:txbxContent>
                        </wps:txbx>
                        <wps:bodyPr wrap="square" rtlCol="0">
                          <a:noAutofit/>
                        </wps:bodyPr>
                      </wps:wsp>
                    </wpg:wgp>
                  </a:graphicData>
                </a:graphic>
              </wp:inline>
            </w:drawing>
          </mc:Choice>
          <mc:Fallback>
            <w:pict>
              <v:group w14:anchorId="49AA781D" id="Group 12" o:spid="_x0000_s1049" style="width:665.4pt;height:292.35pt;mso-position-horizontal-relative:char;mso-position-vertical-relative:line" coordsize="87979,37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">
                <v:shape id="Straight Arrow Connector 48" o:spid="_x0000_s1050" type="#_x0000_t32" style="position:absolute;left:8176;top:20802;width:29109;height:97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ndt8MAAADbAAAADwAAAGRycy9kb3ducmV2LnhtbERPy2rCQBTdF/yH4QrdFJ2khCLRURpF&#10;6kIK9bG/zdxmQjN3YmaapH/fWQhdHs57tRltI3rqfO1YQTpPQBCXTtdcKbic97MFCB+QNTaOScEv&#10;edisJw8rzLUb+IP6U6hEDGGfowITQptL6UtDFv3ctcSR+3KdxRBhV0nd4RDDbSOfk+RFWqw5Nhhs&#10;aWuo/D79WAXFrng70JM7j/vb52IwuzR7P16VepyOr0sQgcbwL767D1pBFsfGL/EHy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7Z3bfDAAAA2wAAAA8AAAAAAAAAAAAA&#10;AAAAoQIAAGRycy9kb3ducmV2LnhtbFBLBQYAAAAABAAEAPkAAACRAwAAAAA=&#10;" strokecolor="black [3040]"/>
                <v:shape id="Straight Arrow Connector 49" o:spid="_x0000_s1051" type="#_x0000_t32" style="position:absolute;left:8176;top:3962;width:35988;height:109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XwgcQAAADbAAAADwAAAGRycy9kb3ducmV2LnhtbESPS4vCMBSF9wP+h3AFd2OqyKDVKCKI&#10;yuDCB+ry2lzbYnNTm6h1fv1EGJjl4Tw+zmhSm0I8qHK5ZQWddgSCOLE651TBfjf/7INwHlljYZkU&#10;vMjBZNz4GGGs7ZM39Nj6VIQRdjEqyLwvYyldkpFB17YlcfAutjLog6xSqSt8hnFTyG4UfUmDOQdC&#10;hiXNMkqu27sJ3OJ4W3f8Mb31fxaHaH763qzorFSrWU+HIDzV/j/8115qBb0BvL+EHyDH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9fCBxAAAANsAAAAPAAAAAAAAAAAA&#10;AAAAAKECAABkcnMvZG93bnJldi54bWxQSwUGAAAAAAQABAD5AAAAkgMAAAAA&#10;" strokecolor="black [3040]"/>
                <v:shape id="Straight Arrow Connector 50" o:spid="_x0000_s1052" type="#_x0000_t32" style="position:absolute;left:26982;top:3962;width:17182;height:109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bPwcIAAADbAAAADwAAAGRycy9kb3ducmV2LnhtbERPS2vCQBC+F/wPywi91U0KLRJdgwhi&#10;S+nBB+pxzI5JMDsbs1tN++s7h0KPH997mveuUTfqQu3ZQDpKQBEX3tZcGthtl09jUCEiW2w8k4Fv&#10;CpDPBg9TzKy/85pum1gqCeGQoYEqxjbTOhQVOQwj3xILd/adwyiwK7Xt8C7hrtHPSfKqHdYsDRW2&#10;tKiouGy+nPQ2h+tnGg/ldfyz2ifL48f6nU7GPA77+QRUpD7+i//cb9bAi6yXL/ID9Ow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BbPwcIAAADbAAAADwAAAAAAAAAAAAAA&#10;AAChAgAAZHJzL2Rvd25yZXYueG1sUEsFBgAAAAAEAAQA+QAAAJADAAAAAA==&#10;" strokecolor="black [3040]"/>
                <v:shape id="Straight Arrow Connector 51" o:spid="_x0000_s1053" type="#_x0000_t32" style="position:absolute;left:44164;top:3962;width:0;height:109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ri98UAAADbAAAADwAAAGRycy9kb3ducmV2LnhtbESPW2vCQBSE3wv+h+UIfSm6SWmLRFfx&#10;guhDEerl/Zg9ZoPZszG7mvTfdwuFPg4z8w0zmXW2Eg9qfOlYQTpMQBDnTpdcKDge1oMRCB+QNVaO&#10;ScE3eZhNe08TzLRr+Yse+1CICGGfoQITQp1J6XNDFv3Q1cTRu7jGYoiyKaRusI1wW8nXJPmQFkuO&#10;CwZrWhrKr/u7VbBYLTZbenGHbn07j1qzSt92nyelnvvdfAwiUBf+w3/trVbwnsLvl/gD5PQ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jri98UAAADbAAAADwAAAAAAAAAA&#10;AAAAAAChAgAAZHJzL2Rvd25yZXYueG1sUEsFBgAAAAAEAAQA+QAAAJMDAAAAAA==&#10;" strokecolor="black [3040]"/>
                <v:shape id="Straight Arrow Connector 52" o:spid="_x0000_s1054" type="#_x0000_t32" style="position:absolute;left:44164;top:3962;width:18031;height:109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h8gMUAAADbAAAADwAAAGRycy9kb3ducmV2LnhtbESPT2sCMRTE74LfITyhl6JZxYqsRtGK&#10;1EMp1D/35+a5Wdy8rJvUXb99Uyh4HGbmN8x82dpS3Kn2hWMFw0ECgjhzuuBcwfGw7U9B+ICssXRM&#10;Ch7kYbnoduaYatfwN933IRcRwj5FBSaEKpXSZ4Ys+oGriKN3cbXFEGWdS11jE+G2lKMkmUiLBccF&#10;gxW9G8qu+x+rYL1Zf+zo1R3a7e08bcxmOP76PCn10mtXMxCB2vAM/7d3WsHbCP6+xB8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uh8gMUAAADbAAAADwAAAAAAAAAA&#10;AAAAAAChAgAAZHJzL2Rvd25yZXYueG1sUEsFBgAAAAAEAAQA+QAAAJMDAAAAAA==&#10;" strokecolor="black [3040]"/>
                <v:shape id="Straight Arrow Connector 53" o:spid="_x0000_s1055" type="#_x0000_t32" style="position:absolute;left:44164;top:3962;width:36576;height:109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aTZG8UAAADbAAAADwAAAGRycy9kb3ducmV2LnhtbESPQWsCMRSE74X+h/AKXqRmrVpkNYpW&#10;RA8iqO39uXndLN28rJvobv99Iwg9DjPzDTOdt7YUN6p94VhBv5eAIM6cLjhX8Hlav45B+ICssXRM&#10;Cn7Jw3z2/DTFVLuGD3Q7hlxECPsUFZgQqlRKnxmy6HuuIo7et6sthijrXOoamwi3pXxLkndpseC4&#10;YLCiD0PZz/FqFSxXy82Wuu7Uri/ncWNW/eF+96VU56VdTEAEasN/+NHeagWjAdy/xB8gZ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aTZG8UAAADbAAAADwAAAAAAAAAA&#10;AAAAAAChAgAAZHJzL2Rvd25yZXYueG1sUEsFBgAAAAAEAAQA+QAAAJMDAAAAAA==&#10;" strokecolor="black [3040]"/>
                <v:shape id="Straight Arrow Connector 54" o:spid="_x0000_s1056" type="#_x0000_t32" style="position:absolute;left:8175;top:20802;width:1;height:972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3JwsQAAADbAAAADwAAAGRycy9kb3ducmV2LnhtbESPS4vCMBSF9wP+h3AFd2OqOCLVKCLI&#10;jAwufKAur821LTY3tYla59dPBMHl4Tw+zmhSm0LcqHK5ZQWddgSCOLE651TBdjP/HIBwHlljYZkU&#10;PMjBZNz4GGGs7Z1XdFv7VIQRdjEqyLwvYyldkpFB17YlcfBOtjLog6xSqSu8h3FTyG4U9aXBnAMh&#10;w5JmGSXn9dUEbrG/LDt+n14Gf9+7aH74XS3oqFSrWU+HIDzV/h1+tX+0gq8ePL+EHyD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LcnCxAAAANsAAAAPAAAAAAAAAAAA&#10;AAAAAKECAABkcnMvZG93bnJldi54bWxQSwUGAAAAAAQABAD5AAAAkgMAAAAA&#10;" strokecolor="black [3040]"/>
                <v:shape id="Straight Arrow Connector 55" o:spid="_x0000_s1057" type="#_x0000_t32" style="position:absolute;left:8176;top:20802;width:15785;height:97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Hk9MUAAADbAAAADwAAAGRycy9kb3ducmV2LnhtbESPQWvCQBSE70L/w/IKvUjdWLRImo1o&#10;RfRQBLW9v2Zfs6HZtzG7NfHfuwXB4zAz3zDZvLe1OFPrK8cKxqMEBHHhdMWlgs/j+nkGwgdkjbVj&#10;UnAhD/P8YZBhql3HezofQikihH2KCkwITSqlLwxZ9CPXEEfvx7UWQ5RtKXWLXYTbWr4kyau0WHFc&#10;MNjQu6Hi9/BnFSxXy82Whu7Yr0/fs86sxpPdx5dST4/94g1EoD7cw7f2ViuYTuH/S/wBMr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QHk9MUAAADbAAAADwAAAAAAAAAA&#10;AAAAAAChAgAAZHJzL2Rvd25yZXYueG1sUEsFBgAAAAAEAAQA+QAAAJMDAAAAAA==&#10;" strokecolor="black [3040]"/>
                <v:shape id="Straight Arrow Connector 56" o:spid="_x0000_s1058" type="#_x0000_t32" style="position:absolute;left:52378;top:20802;width:28362;height:96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PyLsUAAADbAAAADwAAAGRycy9kb3ducmV2LnhtbESPS2vCQBSF94X+h+EWumsmCg2SZpRS&#10;EFuKCx80Lq+Z2yQ0cydmpib66x1BcHk4j4+TzQbTiCN1rrasYBTFIIgLq2suFWw385cJCOeRNTaW&#10;ScGJHMymjw8Zptr2vKLj2pcijLBLUUHlfZtK6YqKDLrItsTB+7WdQR9kV0rdYR/GTSPHcZxIgzUH&#10;QoUtfVRU/K3/TeA2+WE58nl5mJwXP/F89736or1Sz0/D+xsIT4O/h2/tT63gNYHrl/AD5PQ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LPyLsUAAADbAAAADwAAAAAAAAAA&#10;AAAAAAChAgAAZHJzL2Rvd25yZXYueG1sUEsFBgAAAAAEAAQA+QAAAJMDAAAAAA==&#10;" strokecolor="black [3040]"/>
                <v:shape id="Straight Arrow Connector 57" o:spid="_x0000_s1059" type="#_x0000_t32" style="position:absolute;left:65710;top:20802;width:15030;height:96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9XtcQAAADbAAAADwAAAGRycy9kb3ducmV2LnhtbESPS4vCMBSF9wP+h3AFd2Oq4CjVKCLI&#10;jAwufKAur821LTY3tYla59dPBMHl4Tw+zmhSm0LcqHK5ZQWddgSCOLE651TBdjP/HIBwHlljYZkU&#10;PMjBZNz4GGGs7Z1XdFv7VIQRdjEqyLwvYyldkpFB17YlcfBOtjLog6xSqSu8h3FTyG4UfUmDOQdC&#10;hiXNMkrO66sJ3GJ/WXb8Pr0M/r530fzwu1rQUalWs54OQXiq/Tv8av9oBb0+PL+EHyD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1e1xAAAANsAAAAPAAAAAAAAAAAA&#10;AAAAAKECAABkcnMvZG93bnJldi54bWxQSwUGAAAAAAQABAD5AAAAkgMAAAAA&#10;" strokecolor="black [3040]"/>
                <v:shape id="Straight Arrow Connector 58" o:spid="_x0000_s1060" type="#_x0000_t32" style="position:absolute;left:80740;top:20802;width:0;height:96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LasIAAADbAAAADwAAAGRycy9kb3ducmV2LnhtbERPz2vCMBS+D/wfwhN2EZs6nEhtFJ2I&#10;Hoagbvdn89aUNS+1yWz33y8HYceP73e+6m0t7tT6yrGCSZKCIC6crrhU8HHZjecgfEDWWDsmBb/k&#10;YbUcPOWYadfxie7nUIoYwj5DBSaEJpPSF4Ys+sQ1xJH7cq3FEGFbSt1iF8NtLV/SdCYtVhwbDDb0&#10;Zqj4Pv9YBZvtZn+gkbv0u9t13pntZHp8/1TqedivFyAC9eFf/HAftILXODZ+iT9AL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BLasIAAADbAAAADwAAAAAAAAAAAAAA&#10;AAChAgAAZHJzL2Rvd25yZXYueG1sUEsFBgAAAAAEAAQA+QAAAJADAAAAAA==&#10;" strokecolor="black [3040]"/>
                <v:shape id="TextBox 3" o:spid="_x0000_s1061" type="#_x0000_t202" style="position:absolute;left:36925;width:14478;height:3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gScsIA&#10;AADbAAAADwAAAGRycy9kb3ducmV2LnhtbESPzarCMBSE94LvEI7gTlNv8aLVKHpFEHHjz8LloTm2&#10;xeakNNHWtzeCcJfDzHzDzJetKcWTaldYVjAaRiCIU6sLzhRcztvBBITzyBpLy6TgRQ6Wi25njom2&#10;DR/pefKZCBB2CSrIva8SKV2ak0E3tBVx8G62NuiDrDOpa2wC3JTyJ4p+pcGCw0KOFf3llN5PD6Ng&#10;H9P9Gmfu4JrbOt7paHMo9xul+r12NQPhqfX/4W97pxWMp/D5En6AXL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mBJywgAAANsAAAAPAAAAAAAAAAAAAAAAAJgCAABkcnMvZG93&#10;bnJldi54bWxQSwUGAAAAAAQABAD1AAAAhwMAAAAA&#10;" fillcolor="white [3201]" strokecolor="black [3200]" strokeweight="1pt">
                  <v:textbox>
                    <w:txbxContent>
                      <w:p w14:paraId="1B509E27" w14:textId="77777777" w:rsidR="003F0B53" w:rsidRPr="00501DAE" w:rsidRDefault="003F0B53" w:rsidP="00B34101">
                        <w:pPr>
                          <w:pStyle w:val="NormalWeb"/>
                          <w:spacing w:before="0" w:beforeAutospacing="0" w:after="0" w:afterAutospacing="0"/>
                          <w:jc w:val="center"/>
                          <w:rPr>
                            <w:rFonts w:ascii="Arial" w:hAnsi="Arial" w:cs="Arial"/>
                            <w:sz w:val="20"/>
                            <w:szCs w:val="20"/>
                          </w:rPr>
                        </w:pPr>
                        <w:proofErr w:type="gramStart"/>
                        <w:r w:rsidRPr="00501DAE">
                          <w:rPr>
                            <w:rFonts w:ascii="Arial" w:hAnsi="Arial" w:cs="Arial"/>
                            <w:color w:val="000000" w:themeColor="dark1"/>
                            <w:kern w:val="24"/>
                            <w:sz w:val="20"/>
                            <w:szCs w:val="20"/>
                          </w:rPr>
                          <w:t>President &amp;</w:t>
                        </w:r>
                        <w:proofErr w:type="gramEnd"/>
                        <w:r w:rsidRPr="00501DAE">
                          <w:rPr>
                            <w:rFonts w:ascii="Arial" w:hAnsi="Arial" w:cs="Arial"/>
                            <w:color w:val="000000" w:themeColor="dark1"/>
                            <w:kern w:val="24"/>
                            <w:sz w:val="20"/>
                            <w:szCs w:val="20"/>
                          </w:rPr>
                          <w:t xml:space="preserve"> CEO</w:t>
                        </w:r>
                      </w:p>
                      <w:p w14:paraId="7ED00ABE" w14:textId="77777777" w:rsidR="003F0B53" w:rsidRPr="00501DAE" w:rsidRDefault="003F0B53" w:rsidP="00B34101">
                        <w:pPr>
                          <w:pStyle w:val="NormalWeb"/>
                          <w:spacing w:before="0" w:beforeAutospacing="0" w:after="0" w:afterAutospacing="0"/>
                          <w:jc w:val="center"/>
                          <w:rPr>
                            <w:rFonts w:ascii="Arial" w:hAnsi="Arial" w:cs="Arial"/>
                            <w:sz w:val="20"/>
                            <w:szCs w:val="20"/>
                          </w:rPr>
                        </w:pPr>
                        <w:r w:rsidRPr="00501DAE">
                          <w:rPr>
                            <w:rFonts w:ascii="Arial" w:hAnsi="Arial" w:cs="Arial"/>
                            <w:i/>
                            <w:iCs/>
                            <w:color w:val="000000" w:themeColor="dark1"/>
                            <w:kern w:val="24"/>
                            <w:sz w:val="20"/>
                            <w:szCs w:val="20"/>
                          </w:rPr>
                          <w:t xml:space="preserve">Tom </w:t>
                        </w:r>
                        <w:proofErr w:type="spellStart"/>
                        <w:r w:rsidRPr="00501DAE">
                          <w:rPr>
                            <w:rFonts w:ascii="Arial" w:hAnsi="Arial" w:cs="Arial"/>
                            <w:i/>
                            <w:iCs/>
                            <w:color w:val="000000" w:themeColor="dark1"/>
                            <w:kern w:val="24"/>
                            <w:sz w:val="20"/>
                            <w:szCs w:val="20"/>
                          </w:rPr>
                          <w:t>Briody</w:t>
                        </w:r>
                        <w:proofErr w:type="spellEnd"/>
                      </w:p>
                    </w:txbxContent>
                  </v:textbox>
                </v:shape>
                <v:shape id="TextBox 17" o:spid="_x0000_s1062" type="#_x0000_t202" style="position:absolute;left:20085;top:14939;width:13793;height:5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5xUr0A&#10;AADbAAAADwAAAGRycy9kb3ducmV2LnhtbERPyQrCMBC9C/5DGMGbTbUgUo3igiDixeXgcWjGtthM&#10;ShNt/XtzEDw+3r5YdaYSb2pcaVnBOIpBEGdWl5wruF33oxkI55E1VpZJwYccrJb93gJTbVs+0/vi&#10;cxFC2KWooPC+TqV0WUEGXWRr4sA9bGPQB9jkUjfYhnBTyUkcT6XBkkNDgTVtC8qel5dRcEzoeU9y&#10;d3LtY5McdLw7VcedUsNBt56D8NT5v/jnPmgF07A+fAk/QC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2c5xUr0AAADbAAAADwAAAAAAAAAAAAAAAACYAgAAZHJzL2Rvd25yZXYu&#10;eG1sUEsFBgAAAAAEAAQA9QAAAIIDAAAAAA==&#10;" fillcolor="white [3201]" strokecolor="black [3200]" strokeweight="1pt">
                  <v:textbox>
                    <w:txbxContent>
                      <w:p w14:paraId="3DBFA9DF" w14:textId="77777777" w:rsidR="003F0B53" w:rsidRPr="00501DAE" w:rsidRDefault="003F0B53" w:rsidP="00B34101">
                        <w:pPr>
                          <w:pStyle w:val="NormalWeb"/>
                          <w:spacing w:before="0" w:beforeAutospacing="0" w:after="0" w:afterAutospacing="0"/>
                          <w:jc w:val="center"/>
                          <w:rPr>
                            <w:rFonts w:ascii="Arial" w:hAnsi="Arial" w:cs="Arial"/>
                            <w:sz w:val="20"/>
                            <w:szCs w:val="20"/>
                          </w:rPr>
                        </w:pPr>
                        <w:r w:rsidRPr="00501DAE">
                          <w:rPr>
                            <w:rFonts w:ascii="Arial" w:hAnsi="Arial" w:cs="Arial"/>
                            <w:color w:val="000000" w:themeColor="dark1"/>
                            <w:kern w:val="24"/>
                            <w:sz w:val="20"/>
                            <w:szCs w:val="20"/>
                          </w:rPr>
                          <w:t>Vice President of Marketing</w:t>
                        </w:r>
                      </w:p>
                      <w:p w14:paraId="7CE4AF9E" w14:textId="77777777" w:rsidR="003F0B53" w:rsidRPr="00501DAE" w:rsidRDefault="003F0B53" w:rsidP="00B34101">
                        <w:pPr>
                          <w:pStyle w:val="NormalWeb"/>
                          <w:spacing w:before="0" w:beforeAutospacing="0" w:after="0" w:afterAutospacing="0"/>
                          <w:jc w:val="center"/>
                          <w:rPr>
                            <w:rFonts w:ascii="Arial" w:hAnsi="Arial" w:cs="Arial"/>
                            <w:sz w:val="20"/>
                            <w:szCs w:val="20"/>
                          </w:rPr>
                        </w:pPr>
                        <w:r w:rsidRPr="00501DAE">
                          <w:rPr>
                            <w:rFonts w:ascii="Arial" w:hAnsi="Arial" w:cs="Arial"/>
                            <w:i/>
                            <w:iCs/>
                            <w:color w:val="000000" w:themeColor="dark1"/>
                            <w:kern w:val="24"/>
                            <w:sz w:val="20"/>
                            <w:szCs w:val="20"/>
                          </w:rPr>
                          <w:t>Deborah Cantu</w:t>
                        </w:r>
                      </w:p>
                    </w:txbxContent>
                  </v:textbox>
                </v:shape>
                <v:shape id="TextBox 18" o:spid="_x0000_s1063" type="#_x0000_t202" style="position:absolute;left:37611;top:14938;width:13107;height:5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LUycAA&#10;AADbAAAADwAAAGRycy9kb3ducmV2LnhtbESPSwvCMBCE74L/IazgTVMtiFSj+EAQ8eLj4HFp1rbY&#10;bEoTbf33RhA8DjPzDTNftqYUL6pdYVnBaBiBIE6tLjhTcL3sBlMQziNrLC2Tgjc5WC66nTkm2jZ8&#10;otfZZyJA2CWoIPe+SqR0aU4G3dBWxMG729qgD7LOpK6xCXBTynEUTaTBgsNCjhVtckof56dRcIjp&#10;cYszd3TNfR3vdbQ9loetUv1eu5qB8NT6f/jX3msFkxF8v4QfIB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oLUycAAAADbAAAADwAAAAAAAAAAAAAAAACYAgAAZHJzL2Rvd25y&#10;ZXYueG1sUEsFBgAAAAAEAAQA9QAAAIUDAAAAAA==&#10;" fillcolor="white [3201]" strokecolor="black [3200]" strokeweight="1pt">
                  <v:textbox>
                    <w:txbxContent>
                      <w:p w14:paraId="5D97B4B1" w14:textId="77777777" w:rsidR="003F0B53" w:rsidRPr="00501DAE" w:rsidRDefault="003F0B53" w:rsidP="00B34101">
                        <w:pPr>
                          <w:pStyle w:val="NormalWeb"/>
                          <w:spacing w:before="0" w:beforeAutospacing="0" w:after="0" w:afterAutospacing="0"/>
                          <w:jc w:val="center"/>
                          <w:rPr>
                            <w:rFonts w:ascii="Arial" w:hAnsi="Arial" w:cs="Arial"/>
                            <w:sz w:val="20"/>
                            <w:szCs w:val="20"/>
                          </w:rPr>
                        </w:pPr>
                        <w:r w:rsidRPr="00501DAE">
                          <w:rPr>
                            <w:rFonts w:ascii="Arial" w:hAnsi="Arial" w:cs="Arial"/>
                            <w:color w:val="000000" w:themeColor="dark1"/>
                            <w:kern w:val="24"/>
                            <w:sz w:val="20"/>
                            <w:szCs w:val="20"/>
                          </w:rPr>
                          <w:t>Vice President of Philanthropy</w:t>
                        </w:r>
                      </w:p>
                      <w:p w14:paraId="1FFBDC6B" w14:textId="77777777" w:rsidR="003F0B53" w:rsidRPr="00501DAE" w:rsidRDefault="003F0B53" w:rsidP="00B34101">
                        <w:pPr>
                          <w:pStyle w:val="NormalWeb"/>
                          <w:spacing w:before="0" w:beforeAutospacing="0" w:after="0" w:afterAutospacing="0"/>
                          <w:jc w:val="center"/>
                          <w:rPr>
                            <w:rFonts w:ascii="Arial" w:hAnsi="Arial" w:cs="Arial"/>
                            <w:sz w:val="20"/>
                            <w:szCs w:val="20"/>
                          </w:rPr>
                        </w:pPr>
                        <w:proofErr w:type="spellStart"/>
                        <w:r w:rsidRPr="00501DAE">
                          <w:rPr>
                            <w:rFonts w:ascii="Arial" w:hAnsi="Arial" w:cs="Arial"/>
                            <w:i/>
                            <w:iCs/>
                            <w:color w:val="000000" w:themeColor="dark1"/>
                            <w:kern w:val="24"/>
                            <w:sz w:val="20"/>
                            <w:szCs w:val="20"/>
                          </w:rPr>
                          <w:t>Shabana</w:t>
                        </w:r>
                        <w:proofErr w:type="spellEnd"/>
                        <w:r w:rsidRPr="00501DAE">
                          <w:rPr>
                            <w:rFonts w:ascii="Arial" w:hAnsi="Arial" w:cs="Arial"/>
                            <w:i/>
                            <w:iCs/>
                            <w:color w:val="000000" w:themeColor="dark1"/>
                            <w:kern w:val="24"/>
                            <w:sz w:val="20"/>
                            <w:szCs w:val="20"/>
                          </w:rPr>
                          <w:t xml:space="preserve"> Siegel</w:t>
                        </w:r>
                      </w:p>
                    </w:txbxContent>
                  </v:textbox>
                </v:shape>
                <v:shape id="TextBox 19" o:spid="_x0000_s1064" type="#_x0000_t202" style="position:absolute;left:53937;top:14938;width:16516;height:5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BKvsAA&#10;AADbAAAADwAAAGRycy9kb3ducmV2LnhtbESPSwvCMBCE74L/IazgTVMtiFSj+EAQ8eLj4HFp1rbY&#10;bEoTbf33RhA8DjPzDTNftqYUL6pdYVnBaBiBIE6tLjhTcL3sBlMQziNrLC2Tgjc5WC66nTkm2jZ8&#10;otfZZyJA2CWoIPe+SqR0aU4G3dBWxMG729qgD7LOpK6xCXBTynEUTaTBgsNCjhVtckof56dRcIjp&#10;cYszd3TNfR3vdbQ9loetUv1eu5qB8NT6f/jX3msFkzF8v4QfIB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lBKvsAAAADbAAAADwAAAAAAAAAAAAAAAACYAgAAZHJzL2Rvd25y&#10;ZXYueG1sUEsFBgAAAAAEAAQA9QAAAIUDAAAAAA==&#10;" fillcolor="white [3201]" strokecolor="black [3200]" strokeweight="1pt">
                  <v:textbox>
                    <w:txbxContent>
                      <w:p w14:paraId="6E4A25B6" w14:textId="77777777" w:rsidR="003F0B53" w:rsidRPr="00501DAE" w:rsidRDefault="003F0B53" w:rsidP="00B34101">
                        <w:pPr>
                          <w:pStyle w:val="NormalWeb"/>
                          <w:spacing w:before="0" w:beforeAutospacing="0" w:after="0" w:afterAutospacing="0"/>
                          <w:jc w:val="center"/>
                          <w:rPr>
                            <w:rFonts w:ascii="Arial" w:hAnsi="Arial" w:cs="Arial"/>
                            <w:sz w:val="20"/>
                            <w:szCs w:val="20"/>
                          </w:rPr>
                        </w:pPr>
                        <w:r w:rsidRPr="00501DAE">
                          <w:rPr>
                            <w:rFonts w:ascii="Arial" w:hAnsi="Arial" w:cs="Arial"/>
                            <w:color w:val="000000" w:themeColor="dark1"/>
                            <w:kern w:val="24"/>
                            <w:sz w:val="20"/>
                            <w:szCs w:val="20"/>
                          </w:rPr>
                          <w:t>Vice President of Business Development</w:t>
                        </w:r>
                      </w:p>
                      <w:p w14:paraId="2D95B200" w14:textId="77777777" w:rsidR="003F0B53" w:rsidRPr="00501DAE" w:rsidRDefault="003F0B53" w:rsidP="00B34101">
                        <w:pPr>
                          <w:pStyle w:val="NormalWeb"/>
                          <w:spacing w:before="0" w:beforeAutospacing="0" w:after="0" w:afterAutospacing="0"/>
                          <w:jc w:val="center"/>
                          <w:rPr>
                            <w:rFonts w:ascii="Arial" w:hAnsi="Arial" w:cs="Arial"/>
                            <w:sz w:val="20"/>
                            <w:szCs w:val="20"/>
                          </w:rPr>
                        </w:pPr>
                        <w:r w:rsidRPr="00501DAE">
                          <w:rPr>
                            <w:rFonts w:ascii="Arial" w:hAnsi="Arial" w:cs="Arial"/>
                            <w:i/>
                            <w:iCs/>
                            <w:color w:val="000000" w:themeColor="dark1"/>
                            <w:kern w:val="24"/>
                            <w:sz w:val="20"/>
                            <w:szCs w:val="20"/>
                          </w:rPr>
                          <w:t>(To Be Named)</w:t>
                        </w:r>
                      </w:p>
                    </w:txbxContent>
                  </v:textbox>
                </v:shape>
                <v:shape id="TextBox 20" o:spid="_x0000_s1065" type="#_x0000_t202" style="position:absolute;left:73501;top:14939;width:14478;height:5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zvJcAA&#10;AADbAAAADwAAAGRycy9kb3ducmV2LnhtbESPSwvCMBCE74L/IazgTVMtiFSj+EAQ8eLj4HFp1rbY&#10;bEoTbf33RhA8DjPzDTNftqYUL6pdYVnBaBiBIE6tLjhTcL3sBlMQziNrLC2Tgjc5WC66nTkm2jZ8&#10;otfZZyJA2CWoIPe+SqR0aU4G3dBWxMG729qgD7LOpK6xCXBTynEUTaTBgsNCjhVtckof56dRcIjp&#10;cYszd3TNfR3vdbQ9loetUv1eu5qB8NT6f/jX3msFkxi+X8IPkIs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RzvJcAAAADbAAAADwAAAAAAAAAAAAAAAACYAgAAZHJzL2Rvd25y&#10;ZXYueG1sUEsFBgAAAAAEAAQA9QAAAIUDAAAAAA==&#10;" fillcolor="white [3201]" strokecolor="black [3200]" strokeweight="1pt">
                  <v:textbox>
                    <w:txbxContent>
                      <w:p w14:paraId="735FA804" w14:textId="77777777" w:rsidR="003F0B53" w:rsidRPr="00501DAE" w:rsidRDefault="003F0B53" w:rsidP="00B34101">
                        <w:pPr>
                          <w:pStyle w:val="NormalWeb"/>
                          <w:spacing w:before="0" w:beforeAutospacing="0" w:after="0" w:afterAutospacing="0"/>
                          <w:jc w:val="center"/>
                          <w:rPr>
                            <w:rFonts w:ascii="Arial" w:hAnsi="Arial" w:cs="Arial"/>
                            <w:sz w:val="20"/>
                            <w:szCs w:val="20"/>
                          </w:rPr>
                        </w:pPr>
                        <w:r w:rsidRPr="00501DAE">
                          <w:rPr>
                            <w:rFonts w:ascii="Arial" w:hAnsi="Arial" w:cs="Arial"/>
                            <w:color w:val="000000" w:themeColor="dark1"/>
                            <w:kern w:val="24"/>
                            <w:sz w:val="20"/>
                            <w:szCs w:val="20"/>
                          </w:rPr>
                          <w:t xml:space="preserve">Chief </w:t>
                        </w:r>
                      </w:p>
                      <w:p w14:paraId="37BDA1CE" w14:textId="77777777" w:rsidR="003F0B53" w:rsidRPr="00501DAE" w:rsidRDefault="003F0B53" w:rsidP="00B34101">
                        <w:pPr>
                          <w:pStyle w:val="NormalWeb"/>
                          <w:spacing w:before="0" w:beforeAutospacing="0" w:after="0" w:afterAutospacing="0"/>
                          <w:jc w:val="center"/>
                          <w:rPr>
                            <w:rFonts w:ascii="Arial" w:hAnsi="Arial" w:cs="Arial"/>
                            <w:sz w:val="20"/>
                            <w:szCs w:val="20"/>
                          </w:rPr>
                        </w:pPr>
                        <w:r w:rsidRPr="00501DAE">
                          <w:rPr>
                            <w:rFonts w:ascii="Arial" w:hAnsi="Arial" w:cs="Arial"/>
                            <w:color w:val="000000" w:themeColor="dark1"/>
                            <w:kern w:val="24"/>
                            <w:sz w:val="20"/>
                            <w:szCs w:val="20"/>
                          </w:rPr>
                          <w:t>Operating Officer</w:t>
                        </w:r>
                      </w:p>
                      <w:p w14:paraId="00F53B86" w14:textId="77777777" w:rsidR="003F0B53" w:rsidRPr="00501DAE" w:rsidRDefault="003F0B53" w:rsidP="00B34101">
                        <w:pPr>
                          <w:pStyle w:val="NormalWeb"/>
                          <w:spacing w:before="0" w:beforeAutospacing="0" w:after="0" w:afterAutospacing="0"/>
                          <w:jc w:val="center"/>
                          <w:rPr>
                            <w:rFonts w:ascii="Arial" w:hAnsi="Arial" w:cs="Arial"/>
                            <w:sz w:val="20"/>
                            <w:szCs w:val="20"/>
                          </w:rPr>
                        </w:pPr>
                        <w:r w:rsidRPr="00501DAE">
                          <w:rPr>
                            <w:rFonts w:ascii="Arial" w:hAnsi="Arial" w:cs="Arial"/>
                            <w:i/>
                            <w:iCs/>
                            <w:color w:val="000000" w:themeColor="dark1"/>
                            <w:kern w:val="24"/>
                            <w:sz w:val="20"/>
                            <w:szCs w:val="20"/>
                          </w:rPr>
                          <w:t>Melissa Welch</w:t>
                        </w:r>
                      </w:p>
                    </w:txbxContent>
                  </v:textbox>
                </v:shape>
                <v:shape id="TextBox 31" o:spid="_x0000_s1066" type="#_x0000_t202" style="position:absolute;left:937;top:14939;width:14478;height:5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0Fc8IA&#10;AADcAAAADwAAAGRycy9kb3ducmV2LnhtbERPS2vCQBC+C/6HZQq9mU0NSBuzBh8URLw07aHHITsm&#10;IdnZkF1N+u+7guBtPr7nZPlkOnGjwTWWFbxFMQji0uqGKwU/35+LdxDOI2vsLJOCP3KQb+azDFNt&#10;R/6iW+ErEULYpaig9r5PpXRlTQZdZHviwF3sYNAHOFRSDziGcNPJZRyvpMGGQ0ONPe1rKtviahSc&#10;Emp/k8qd3XjZJUcdH87d6aDU68u0XYPwNPmn+OE+6jD/Ywn3Z8IFcvM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vQVzwgAAANwAAAAPAAAAAAAAAAAAAAAAAJgCAABkcnMvZG93&#10;bnJldi54bWxQSwUGAAAAAAQABAD1AAAAhwMAAAAA&#10;" fillcolor="white [3201]" strokecolor="black [3200]" strokeweight="1pt">
                  <v:textbox>
                    <w:txbxContent>
                      <w:p w14:paraId="2583AE2E" w14:textId="77777777" w:rsidR="003F0B53" w:rsidRPr="00501DAE" w:rsidRDefault="003F0B53" w:rsidP="00B34101">
                        <w:pPr>
                          <w:pStyle w:val="NormalWeb"/>
                          <w:spacing w:before="0" w:beforeAutospacing="0" w:after="0" w:afterAutospacing="0"/>
                          <w:jc w:val="center"/>
                          <w:rPr>
                            <w:rFonts w:ascii="Arial" w:hAnsi="Arial" w:cs="Arial"/>
                            <w:sz w:val="20"/>
                            <w:szCs w:val="20"/>
                          </w:rPr>
                        </w:pPr>
                        <w:r w:rsidRPr="00501DAE">
                          <w:rPr>
                            <w:rFonts w:ascii="Arial" w:hAnsi="Arial" w:cs="Arial"/>
                            <w:color w:val="000000" w:themeColor="dark1"/>
                            <w:kern w:val="24"/>
                            <w:sz w:val="20"/>
                            <w:szCs w:val="20"/>
                          </w:rPr>
                          <w:t>Chief</w:t>
                        </w:r>
                      </w:p>
                      <w:p w14:paraId="47BDEB42" w14:textId="77777777" w:rsidR="003F0B53" w:rsidRPr="00501DAE" w:rsidRDefault="003F0B53" w:rsidP="00B34101">
                        <w:pPr>
                          <w:pStyle w:val="NormalWeb"/>
                          <w:spacing w:before="0" w:beforeAutospacing="0" w:after="0" w:afterAutospacing="0"/>
                          <w:jc w:val="center"/>
                          <w:rPr>
                            <w:rFonts w:ascii="Arial" w:hAnsi="Arial" w:cs="Arial"/>
                            <w:sz w:val="20"/>
                            <w:szCs w:val="20"/>
                          </w:rPr>
                        </w:pPr>
                        <w:r w:rsidRPr="00501DAE">
                          <w:rPr>
                            <w:rFonts w:ascii="Arial" w:hAnsi="Arial" w:cs="Arial"/>
                            <w:color w:val="000000" w:themeColor="dark1"/>
                            <w:kern w:val="24"/>
                            <w:sz w:val="20"/>
                            <w:szCs w:val="20"/>
                          </w:rPr>
                          <w:t>Financial Officer</w:t>
                        </w:r>
                      </w:p>
                      <w:p w14:paraId="5BF726EE" w14:textId="77777777" w:rsidR="003F0B53" w:rsidRPr="00501DAE" w:rsidRDefault="003F0B53" w:rsidP="00B34101">
                        <w:pPr>
                          <w:pStyle w:val="NormalWeb"/>
                          <w:spacing w:before="0" w:beforeAutospacing="0" w:after="0" w:afterAutospacing="0"/>
                          <w:jc w:val="center"/>
                          <w:rPr>
                            <w:rFonts w:ascii="Arial" w:hAnsi="Arial" w:cs="Arial"/>
                            <w:sz w:val="20"/>
                            <w:szCs w:val="20"/>
                          </w:rPr>
                        </w:pPr>
                        <w:r w:rsidRPr="00501DAE">
                          <w:rPr>
                            <w:rFonts w:ascii="Arial" w:hAnsi="Arial" w:cs="Arial"/>
                            <w:i/>
                            <w:iCs/>
                            <w:color w:val="000000" w:themeColor="dark1"/>
                            <w:kern w:val="24"/>
                            <w:sz w:val="20"/>
                            <w:szCs w:val="20"/>
                          </w:rPr>
                          <w:t>Roxana Blades</w:t>
                        </w:r>
                      </w:p>
                    </w:txbxContent>
                  </v:textbox>
                </v:shape>
                <v:shape id="TextBox 42" o:spid="_x0000_s1067" type="#_x0000_t202" style="position:absolute;top:30530;width:16351;height:68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Gg6MEA&#10;AADcAAAADwAAAGRycy9kb3ducmV2LnhtbERPS4vCMBC+L/gfwgje1tQtyFpNxQeCiJetHjwOzfSB&#10;zaQ0Wdv99xtB8DYf33NW68E04kGdqy0rmE0jEMS51TWXCq6Xw+c3COeRNTaWScEfOVino48VJtr2&#10;/EOPzJcihLBLUEHlfZtI6fKKDLqpbYkDV9jOoA+wK6XusA/hppFfUTSXBmsODRW2tKsov2e/RsEp&#10;pvstLt3Z9cU2Pupof25Oe6Um42GzBOFp8G/xy33UYf4ihucz4QK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xoOjBAAAA3AAAAA8AAAAAAAAAAAAAAAAAmAIAAGRycy9kb3du&#10;cmV2LnhtbFBLBQYAAAAABAAEAPUAAACGAwAAAAA=&#10;" fillcolor="white [3201]" strokecolor="black [3200]" strokeweight="1pt">
                  <v:textbox>
                    <w:txbxContent>
                      <w:p w14:paraId="37315136" w14:textId="77777777" w:rsidR="003F0B53" w:rsidRPr="00501DAE" w:rsidRDefault="003F0B53" w:rsidP="00B34101">
                        <w:pPr>
                          <w:pStyle w:val="NormalWeb"/>
                          <w:spacing w:before="0" w:beforeAutospacing="0" w:after="0" w:afterAutospacing="0"/>
                          <w:jc w:val="center"/>
                          <w:rPr>
                            <w:rFonts w:ascii="Arial" w:hAnsi="Arial" w:cs="Arial"/>
                            <w:sz w:val="20"/>
                            <w:szCs w:val="20"/>
                          </w:rPr>
                        </w:pPr>
                        <w:r w:rsidRPr="00501DAE">
                          <w:rPr>
                            <w:rFonts w:ascii="Arial" w:hAnsi="Arial" w:cs="Arial"/>
                            <w:color w:val="000000" w:themeColor="dark1"/>
                            <w:kern w:val="24"/>
                            <w:sz w:val="20"/>
                            <w:szCs w:val="20"/>
                          </w:rPr>
                          <w:t>Vice President of Technology Services &amp; Facilities Management</w:t>
                        </w:r>
                      </w:p>
                      <w:p w14:paraId="7A055F0D" w14:textId="77777777" w:rsidR="003F0B53" w:rsidRPr="00501DAE" w:rsidRDefault="003F0B53" w:rsidP="00B34101">
                        <w:pPr>
                          <w:pStyle w:val="NormalWeb"/>
                          <w:spacing w:before="0" w:beforeAutospacing="0" w:after="0" w:afterAutospacing="0"/>
                          <w:jc w:val="center"/>
                          <w:rPr>
                            <w:rFonts w:ascii="Arial" w:hAnsi="Arial" w:cs="Arial"/>
                            <w:sz w:val="20"/>
                            <w:szCs w:val="20"/>
                          </w:rPr>
                        </w:pPr>
                        <w:r w:rsidRPr="00501DAE">
                          <w:rPr>
                            <w:rFonts w:ascii="Arial" w:hAnsi="Arial" w:cs="Arial"/>
                            <w:i/>
                            <w:iCs/>
                            <w:color w:val="000000" w:themeColor="dark1"/>
                            <w:kern w:val="24"/>
                            <w:sz w:val="20"/>
                            <w:szCs w:val="20"/>
                          </w:rPr>
                          <w:t xml:space="preserve">Joan </w:t>
                        </w:r>
                        <w:proofErr w:type="spellStart"/>
                        <w:r w:rsidRPr="00501DAE">
                          <w:rPr>
                            <w:rFonts w:ascii="Arial" w:hAnsi="Arial" w:cs="Arial"/>
                            <w:i/>
                            <w:iCs/>
                            <w:color w:val="000000" w:themeColor="dark1"/>
                            <w:kern w:val="24"/>
                            <w:sz w:val="20"/>
                            <w:szCs w:val="20"/>
                          </w:rPr>
                          <w:t>Hestenes</w:t>
                        </w:r>
                        <w:proofErr w:type="spellEnd"/>
                      </w:p>
                    </w:txbxContent>
                  </v:textbox>
                </v:shape>
                <v:shape id="TextBox 43" o:spid="_x0000_s1068" type="#_x0000_t202" style="position:absolute;left:17103;top:30529;width:13716;height:68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g4nMAA&#10;AADcAAAADwAAAGRycy9kb3ducmV2LnhtbERPy6rCMBDdC/5DGMGdpt7KRatR9Iog4sbHwuXQjG2x&#10;mZQm2vr3RhDubg7nOfNla0rxpNoVlhWMhhEI4tTqgjMFl/N2MAHhPLLG0jIpeJGD5aLbmWOibcNH&#10;ep58JkIIuwQV5N5XiZQuzcmgG9qKOHA3Wxv0AdaZ1DU2IdyU8ieKfqXBgkNDjhX95ZTeTw+jYB/T&#10;/Rpn7uCa2zre6WhzKPcbpfq9djUD4an1/+Kve6fD/OkYPs+EC+Ti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hg4nMAAAADcAAAADwAAAAAAAAAAAAAAAACYAgAAZHJzL2Rvd25y&#10;ZXYueG1sUEsFBgAAAAAEAAQA9QAAAIUDAAAAAA==&#10;" fillcolor="white [3201]" strokecolor="black [3200]" strokeweight="1pt">
                  <v:textbox>
                    <w:txbxContent>
                      <w:p w14:paraId="4F466703" w14:textId="77777777" w:rsidR="003F0B53" w:rsidRPr="00501DAE" w:rsidRDefault="003F0B53" w:rsidP="00B34101">
                        <w:pPr>
                          <w:pStyle w:val="NormalWeb"/>
                          <w:spacing w:before="0" w:beforeAutospacing="0" w:after="0" w:afterAutospacing="0"/>
                          <w:jc w:val="center"/>
                          <w:rPr>
                            <w:rFonts w:ascii="Arial" w:hAnsi="Arial" w:cs="Arial"/>
                            <w:sz w:val="20"/>
                            <w:szCs w:val="20"/>
                          </w:rPr>
                        </w:pPr>
                        <w:r w:rsidRPr="00501DAE">
                          <w:rPr>
                            <w:rFonts w:ascii="Arial" w:hAnsi="Arial" w:cs="Arial"/>
                            <w:color w:val="000000" w:themeColor="dark1"/>
                            <w:kern w:val="24"/>
                            <w:sz w:val="20"/>
                            <w:szCs w:val="20"/>
                          </w:rPr>
                          <w:t>Vice President</w:t>
                        </w:r>
                      </w:p>
                      <w:p w14:paraId="5AEABD3F" w14:textId="77777777" w:rsidR="003F0B53" w:rsidRPr="00501DAE" w:rsidRDefault="003F0B53" w:rsidP="00B34101">
                        <w:pPr>
                          <w:pStyle w:val="NormalWeb"/>
                          <w:spacing w:before="0" w:beforeAutospacing="0" w:after="0" w:afterAutospacing="0"/>
                          <w:jc w:val="center"/>
                          <w:rPr>
                            <w:rFonts w:ascii="Arial" w:hAnsi="Arial" w:cs="Arial"/>
                            <w:sz w:val="20"/>
                            <w:szCs w:val="20"/>
                          </w:rPr>
                        </w:pPr>
                        <w:proofErr w:type="gramStart"/>
                        <w:r w:rsidRPr="00501DAE">
                          <w:rPr>
                            <w:rFonts w:ascii="Arial" w:hAnsi="Arial" w:cs="Arial"/>
                            <w:color w:val="000000" w:themeColor="dark1"/>
                            <w:kern w:val="24"/>
                            <w:sz w:val="20"/>
                            <w:szCs w:val="20"/>
                          </w:rPr>
                          <w:t>of</w:t>
                        </w:r>
                        <w:proofErr w:type="gramEnd"/>
                        <w:r w:rsidRPr="00501DAE">
                          <w:rPr>
                            <w:rFonts w:ascii="Arial" w:hAnsi="Arial" w:cs="Arial"/>
                            <w:color w:val="000000" w:themeColor="dark1"/>
                            <w:kern w:val="24"/>
                            <w:sz w:val="20"/>
                            <w:szCs w:val="20"/>
                          </w:rPr>
                          <w:t xml:space="preserve"> Human Resources</w:t>
                        </w:r>
                      </w:p>
                      <w:p w14:paraId="7A6B0DF3" w14:textId="77777777" w:rsidR="003F0B53" w:rsidRPr="00501DAE" w:rsidRDefault="003F0B53" w:rsidP="00B34101">
                        <w:pPr>
                          <w:pStyle w:val="NormalWeb"/>
                          <w:spacing w:before="0" w:beforeAutospacing="0" w:after="0" w:afterAutospacing="0"/>
                          <w:jc w:val="center"/>
                          <w:rPr>
                            <w:rFonts w:ascii="Arial" w:hAnsi="Arial" w:cs="Arial"/>
                            <w:sz w:val="20"/>
                            <w:szCs w:val="20"/>
                          </w:rPr>
                        </w:pPr>
                        <w:r w:rsidRPr="00501DAE">
                          <w:rPr>
                            <w:rFonts w:ascii="Arial" w:hAnsi="Arial" w:cs="Arial"/>
                            <w:i/>
                            <w:iCs/>
                            <w:color w:val="000000" w:themeColor="dark1"/>
                            <w:kern w:val="24"/>
                            <w:sz w:val="20"/>
                            <w:szCs w:val="20"/>
                          </w:rPr>
                          <w:t>Shari Moore</w:t>
                        </w:r>
                      </w:p>
                    </w:txbxContent>
                  </v:textbox>
                </v:shape>
                <v:shape id="TextBox 46" o:spid="_x0000_s1069" type="#_x0000_t202" style="position:absolute;left:46831;top:30499;width:11094;height:68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SdB8AA&#10;AADcAAAADwAAAGRycy9kb3ducmV2LnhtbERPy6rCMBDdC/5DGMGdpt7iRatR9Iog4sbHwuXQjG2x&#10;mZQm2vr3RhDubg7nOfNla0rxpNoVlhWMhhEI4tTqgjMFl/N2MAHhPLLG0jIpeJGD5aLbmWOibcNH&#10;ep58JkIIuwQV5N5XiZQuzcmgG9qKOHA3Wxv0AdaZ1DU2IdyU8ieKfqXBgkNDjhX95ZTeTw+jYB/T&#10;/Rpn7uCa2zre6WhzKPcbpfq9djUD4an1/+Kve6fD/OkYPs+EC+Ti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VSdB8AAAADcAAAADwAAAAAAAAAAAAAAAACYAgAAZHJzL2Rvd25y&#10;ZXYueG1sUEsFBgAAAAAEAAQA9QAAAIUDAAAAAA==&#10;" fillcolor="white [3201]" strokecolor="black [3200]" strokeweight="1pt">
                  <v:textbox>
                    <w:txbxContent>
                      <w:p w14:paraId="27C901A6" w14:textId="77777777" w:rsidR="003F0B53" w:rsidRPr="00501DAE" w:rsidRDefault="003F0B53" w:rsidP="00B34101">
                        <w:pPr>
                          <w:pStyle w:val="NormalWeb"/>
                          <w:spacing w:before="0" w:beforeAutospacing="0" w:after="0" w:afterAutospacing="0"/>
                          <w:jc w:val="center"/>
                          <w:rPr>
                            <w:rFonts w:ascii="Arial" w:hAnsi="Arial" w:cs="Arial"/>
                            <w:sz w:val="20"/>
                            <w:szCs w:val="20"/>
                          </w:rPr>
                        </w:pPr>
                        <w:r w:rsidRPr="00501DAE">
                          <w:rPr>
                            <w:rFonts w:ascii="Arial" w:hAnsi="Arial" w:cs="Arial"/>
                            <w:color w:val="000000" w:themeColor="dark1"/>
                            <w:kern w:val="24"/>
                            <w:sz w:val="20"/>
                            <w:szCs w:val="20"/>
                          </w:rPr>
                          <w:t xml:space="preserve">Vice President </w:t>
                        </w:r>
                      </w:p>
                      <w:p w14:paraId="6550F546" w14:textId="77777777" w:rsidR="003F0B53" w:rsidRPr="00501DAE" w:rsidRDefault="003F0B53" w:rsidP="00B34101">
                        <w:pPr>
                          <w:pStyle w:val="NormalWeb"/>
                          <w:spacing w:before="0" w:beforeAutospacing="0" w:after="0" w:afterAutospacing="0"/>
                          <w:jc w:val="center"/>
                          <w:rPr>
                            <w:rFonts w:ascii="Arial" w:hAnsi="Arial" w:cs="Arial"/>
                            <w:sz w:val="20"/>
                            <w:szCs w:val="20"/>
                          </w:rPr>
                        </w:pPr>
                        <w:proofErr w:type="gramStart"/>
                        <w:r w:rsidRPr="00501DAE">
                          <w:rPr>
                            <w:rFonts w:ascii="Arial" w:hAnsi="Arial" w:cs="Arial"/>
                            <w:color w:val="000000" w:themeColor="dark1"/>
                            <w:kern w:val="24"/>
                            <w:sz w:val="20"/>
                            <w:szCs w:val="20"/>
                          </w:rPr>
                          <w:t>of</w:t>
                        </w:r>
                        <w:proofErr w:type="gramEnd"/>
                        <w:r w:rsidRPr="00501DAE">
                          <w:rPr>
                            <w:rFonts w:ascii="Arial" w:hAnsi="Arial" w:cs="Arial"/>
                            <w:color w:val="000000" w:themeColor="dark1"/>
                            <w:kern w:val="24"/>
                            <w:sz w:val="20"/>
                            <w:szCs w:val="20"/>
                          </w:rPr>
                          <w:t xml:space="preserve"> Health Services</w:t>
                        </w:r>
                      </w:p>
                      <w:p w14:paraId="6DDE7291" w14:textId="77777777" w:rsidR="003F0B53" w:rsidRPr="00501DAE" w:rsidRDefault="003F0B53" w:rsidP="00B34101">
                        <w:pPr>
                          <w:pStyle w:val="NormalWeb"/>
                          <w:spacing w:before="0" w:beforeAutospacing="0" w:after="0" w:afterAutospacing="0"/>
                          <w:jc w:val="center"/>
                          <w:rPr>
                            <w:rFonts w:ascii="Arial" w:hAnsi="Arial" w:cs="Arial"/>
                            <w:sz w:val="20"/>
                            <w:szCs w:val="20"/>
                          </w:rPr>
                        </w:pPr>
                        <w:r w:rsidRPr="00501DAE">
                          <w:rPr>
                            <w:rFonts w:ascii="Arial" w:hAnsi="Arial" w:cs="Arial"/>
                            <w:i/>
                            <w:iCs/>
                            <w:color w:val="000000" w:themeColor="dark1"/>
                            <w:kern w:val="24"/>
                            <w:sz w:val="20"/>
                            <w:szCs w:val="20"/>
                          </w:rPr>
                          <w:t>Kristina Lugo</w:t>
                        </w:r>
                      </w:p>
                    </w:txbxContent>
                  </v:textbox>
                </v:shape>
                <v:shape id="TextBox 47" o:spid="_x0000_s1070" type="#_x0000_t202" style="position:absolute;left:58849;top:30499;width:13723;height:68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YDcMIA&#10;AADcAAAADwAAAGRycy9kb3ducmV2LnhtbERPS2vCQBC+C/6HZQrezKYGpMaswQeCiJdqDz0O2TEJ&#10;yc6G7Griv+8WCr3Nx/ecLB9NK57Uu9qygvcoBkFcWF1zqeDrdpx/gHAeWWNrmRS8yEG+mU4yTLUd&#10;+JOeV1+KEMIuRQWV910qpSsqMugi2xEH7m57gz7AvpS6xyGEm1Yu4ngpDdYcGirsaF9R0VwfRsE5&#10;oeY7Kd3FDfddctLx4dKeD0rN3sbtGoSn0f+L/9wnHeavlvD7TLhA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hgNwwgAAANwAAAAPAAAAAAAAAAAAAAAAAJgCAABkcnMvZG93&#10;bnJldi54bWxQSwUGAAAAAAQABAD1AAAAhwMAAAAA&#10;" fillcolor="white [3201]" strokecolor="black [3200]" strokeweight="1pt">
                  <v:textbox>
                    <w:txbxContent>
                      <w:p w14:paraId="2798FBC0" w14:textId="77777777" w:rsidR="003F0B53" w:rsidRPr="00501DAE" w:rsidRDefault="003F0B53" w:rsidP="00B34101">
                        <w:pPr>
                          <w:pStyle w:val="NormalWeb"/>
                          <w:spacing w:before="0" w:beforeAutospacing="0" w:after="0" w:afterAutospacing="0"/>
                          <w:jc w:val="center"/>
                          <w:rPr>
                            <w:rFonts w:ascii="Arial" w:hAnsi="Arial" w:cs="Arial"/>
                            <w:sz w:val="20"/>
                            <w:szCs w:val="20"/>
                          </w:rPr>
                        </w:pPr>
                        <w:r w:rsidRPr="00501DAE">
                          <w:rPr>
                            <w:rFonts w:ascii="Arial" w:hAnsi="Arial" w:cs="Arial"/>
                            <w:color w:val="000000" w:themeColor="dark1"/>
                            <w:kern w:val="24"/>
                            <w:sz w:val="20"/>
                            <w:szCs w:val="20"/>
                          </w:rPr>
                          <w:t xml:space="preserve">Vice President of </w:t>
                        </w:r>
                      </w:p>
                      <w:p w14:paraId="32FEB3FE" w14:textId="77777777" w:rsidR="003F0B53" w:rsidRPr="00501DAE" w:rsidRDefault="003F0B53" w:rsidP="00B34101">
                        <w:pPr>
                          <w:pStyle w:val="NormalWeb"/>
                          <w:spacing w:before="0" w:beforeAutospacing="0" w:after="0" w:afterAutospacing="0"/>
                          <w:jc w:val="center"/>
                          <w:rPr>
                            <w:rFonts w:ascii="Arial" w:hAnsi="Arial" w:cs="Arial"/>
                            <w:sz w:val="20"/>
                            <w:szCs w:val="20"/>
                          </w:rPr>
                        </w:pPr>
                        <w:r w:rsidRPr="00501DAE">
                          <w:rPr>
                            <w:rFonts w:ascii="Arial" w:hAnsi="Arial" w:cs="Arial"/>
                            <w:color w:val="000000" w:themeColor="dark1"/>
                            <w:kern w:val="24"/>
                            <w:sz w:val="20"/>
                            <w:szCs w:val="20"/>
                          </w:rPr>
                          <w:t xml:space="preserve">Community Living </w:t>
                        </w:r>
                      </w:p>
                      <w:p w14:paraId="704BD66F" w14:textId="77777777" w:rsidR="003F0B53" w:rsidRPr="00501DAE" w:rsidRDefault="003F0B53" w:rsidP="00B34101">
                        <w:pPr>
                          <w:pStyle w:val="NormalWeb"/>
                          <w:spacing w:before="0" w:beforeAutospacing="0" w:after="0" w:afterAutospacing="0"/>
                          <w:jc w:val="center"/>
                          <w:rPr>
                            <w:rFonts w:ascii="Arial" w:hAnsi="Arial" w:cs="Arial"/>
                            <w:sz w:val="20"/>
                            <w:szCs w:val="20"/>
                          </w:rPr>
                        </w:pPr>
                        <w:r w:rsidRPr="00501DAE">
                          <w:rPr>
                            <w:rFonts w:ascii="Arial" w:hAnsi="Arial" w:cs="Arial"/>
                            <w:color w:val="000000" w:themeColor="dark1"/>
                            <w:kern w:val="24"/>
                            <w:sz w:val="20"/>
                            <w:szCs w:val="20"/>
                          </w:rPr>
                          <w:t>Services</w:t>
                        </w:r>
                      </w:p>
                      <w:p w14:paraId="286E6540" w14:textId="77777777" w:rsidR="003F0B53" w:rsidRPr="00501DAE" w:rsidRDefault="003F0B53" w:rsidP="00B34101">
                        <w:pPr>
                          <w:pStyle w:val="NormalWeb"/>
                          <w:spacing w:before="0" w:beforeAutospacing="0" w:after="0" w:afterAutospacing="0"/>
                          <w:jc w:val="center"/>
                          <w:rPr>
                            <w:rFonts w:ascii="Arial" w:hAnsi="Arial" w:cs="Arial"/>
                            <w:sz w:val="20"/>
                            <w:szCs w:val="20"/>
                          </w:rPr>
                        </w:pPr>
                        <w:r w:rsidRPr="00501DAE">
                          <w:rPr>
                            <w:rFonts w:ascii="Arial" w:hAnsi="Arial" w:cs="Arial"/>
                            <w:i/>
                            <w:iCs/>
                            <w:color w:val="000000" w:themeColor="dark1"/>
                            <w:kern w:val="24"/>
                            <w:sz w:val="20"/>
                            <w:szCs w:val="20"/>
                          </w:rPr>
                          <w:t>Dustin Harper</w:t>
                        </w:r>
                      </w:p>
                    </w:txbxContent>
                  </v:textbox>
                </v:shape>
                <v:shape id="TextBox 49" o:spid="_x0000_s1071" type="#_x0000_t202" style="position:absolute;left:73501;top:30499;width:14478;height:68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qm68AA&#10;AADcAAAADwAAAGRycy9kb3ducmV2LnhtbERPy6rCMBDdC/5DGMGdpt6CV6tR9Iog4sbHwuXQjG2x&#10;mZQm2vr3RhDubg7nOfNla0rxpNoVlhWMhhEI4tTqgjMFl/N2MAHhPLLG0jIpeJGD5aLbmWOibcNH&#10;ep58JkIIuwQV5N5XiZQuzcmgG9qKOHA3Wxv0AdaZ1DU2IdyU8ieKxtJgwaEhx4r+ckrvp4dRsI/p&#10;fo0zd3DNbR3vdLQ5lPuNUv1eu5qB8NT6f/HXvdNh/vQXPs+EC+Ti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sqm68AAAADcAAAADwAAAAAAAAAAAAAAAACYAgAAZHJzL2Rvd25y&#10;ZXYueG1sUEsFBgAAAAAEAAQA9QAAAIUDAAAAAA==&#10;" fillcolor="white [3201]" strokecolor="black [3200]" strokeweight="1pt">
                  <v:textbox>
                    <w:txbxContent>
                      <w:p w14:paraId="5CD4D0B9" w14:textId="77777777" w:rsidR="003F0B53" w:rsidRPr="00501DAE" w:rsidRDefault="003F0B53" w:rsidP="00B34101">
                        <w:pPr>
                          <w:pStyle w:val="NormalWeb"/>
                          <w:spacing w:before="0" w:beforeAutospacing="0" w:after="0" w:afterAutospacing="0"/>
                          <w:jc w:val="center"/>
                          <w:rPr>
                            <w:rFonts w:ascii="Arial" w:hAnsi="Arial" w:cs="Arial"/>
                            <w:sz w:val="20"/>
                            <w:szCs w:val="20"/>
                          </w:rPr>
                        </w:pPr>
                        <w:r w:rsidRPr="00501DAE">
                          <w:rPr>
                            <w:rFonts w:ascii="Arial" w:hAnsi="Arial" w:cs="Arial"/>
                            <w:color w:val="000000" w:themeColor="dark1"/>
                            <w:kern w:val="24"/>
                            <w:sz w:val="20"/>
                            <w:szCs w:val="20"/>
                          </w:rPr>
                          <w:t xml:space="preserve">Vice President of </w:t>
                        </w:r>
                      </w:p>
                      <w:p w14:paraId="6B5826CA" w14:textId="77777777" w:rsidR="003F0B53" w:rsidRPr="00501DAE" w:rsidRDefault="003F0B53" w:rsidP="00B34101">
                        <w:pPr>
                          <w:pStyle w:val="NormalWeb"/>
                          <w:spacing w:before="0" w:beforeAutospacing="0" w:after="0" w:afterAutospacing="0"/>
                          <w:jc w:val="center"/>
                          <w:rPr>
                            <w:rFonts w:ascii="Arial" w:hAnsi="Arial" w:cs="Arial"/>
                            <w:sz w:val="20"/>
                            <w:szCs w:val="20"/>
                          </w:rPr>
                        </w:pPr>
                        <w:r w:rsidRPr="00501DAE">
                          <w:rPr>
                            <w:rFonts w:ascii="Arial" w:hAnsi="Arial" w:cs="Arial"/>
                            <w:color w:val="000000" w:themeColor="dark1"/>
                            <w:kern w:val="24"/>
                            <w:sz w:val="20"/>
                            <w:szCs w:val="20"/>
                          </w:rPr>
                          <w:t>Home Care</w:t>
                        </w:r>
                      </w:p>
                      <w:p w14:paraId="2FD50E91" w14:textId="77777777" w:rsidR="003F0B53" w:rsidRPr="00501DAE" w:rsidRDefault="003F0B53" w:rsidP="00B34101">
                        <w:pPr>
                          <w:pStyle w:val="NormalWeb"/>
                          <w:spacing w:before="0" w:beforeAutospacing="0" w:after="0" w:afterAutospacing="0"/>
                          <w:jc w:val="center"/>
                          <w:rPr>
                            <w:rFonts w:ascii="Arial" w:hAnsi="Arial" w:cs="Arial"/>
                            <w:sz w:val="20"/>
                            <w:szCs w:val="20"/>
                          </w:rPr>
                        </w:pPr>
                        <w:r w:rsidRPr="00501DAE">
                          <w:rPr>
                            <w:rFonts w:ascii="Arial" w:hAnsi="Arial" w:cs="Arial"/>
                            <w:color w:val="000000" w:themeColor="dark1"/>
                            <w:kern w:val="24"/>
                            <w:sz w:val="20"/>
                            <w:szCs w:val="20"/>
                          </w:rPr>
                          <w:t>Services</w:t>
                        </w:r>
                      </w:p>
                      <w:p w14:paraId="1B9C9BD5" w14:textId="77777777" w:rsidR="003F0B53" w:rsidRPr="00501DAE" w:rsidRDefault="003F0B53" w:rsidP="00B34101">
                        <w:pPr>
                          <w:pStyle w:val="NormalWeb"/>
                          <w:spacing w:before="0" w:beforeAutospacing="0" w:after="0" w:afterAutospacing="0"/>
                          <w:jc w:val="center"/>
                          <w:rPr>
                            <w:rFonts w:ascii="Arial" w:hAnsi="Arial" w:cs="Arial"/>
                            <w:sz w:val="20"/>
                            <w:szCs w:val="20"/>
                          </w:rPr>
                        </w:pPr>
                        <w:r w:rsidRPr="00501DAE">
                          <w:rPr>
                            <w:rFonts w:ascii="Arial" w:hAnsi="Arial" w:cs="Arial"/>
                            <w:i/>
                            <w:iCs/>
                            <w:color w:val="000000" w:themeColor="dark1"/>
                            <w:kern w:val="24"/>
                            <w:sz w:val="20"/>
                            <w:szCs w:val="20"/>
                          </w:rPr>
                          <w:t xml:space="preserve">Abby </w:t>
                        </w:r>
                        <w:proofErr w:type="spellStart"/>
                        <w:r w:rsidRPr="00501DAE">
                          <w:rPr>
                            <w:rFonts w:ascii="Arial" w:hAnsi="Arial" w:cs="Arial"/>
                            <w:i/>
                            <w:iCs/>
                            <w:color w:val="000000" w:themeColor="dark1"/>
                            <w:kern w:val="24"/>
                            <w:sz w:val="20"/>
                            <w:szCs w:val="20"/>
                          </w:rPr>
                          <w:t>Bourhis</w:t>
                        </w:r>
                        <w:proofErr w:type="spellEnd"/>
                      </w:p>
                    </w:txbxContent>
                  </v:textbox>
                </v:shape>
                <v:shape id="TextBox 23" o:spid="_x0000_s1072" type="#_x0000_t202" style="position:absolute;left:31570;top:30528;width:11430;height:68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UymcMA&#10;AADcAAAADwAAAGRycy9kb3ducmV2LnhtbESPQYvCQAyF78L+hyHC3nSqBdHqKK6yIOJF3cMeQye2&#10;xU6mdGZt99+bg+At4b2892W16V2tHtSGyrOByTgBRZx7W3Fh4Of6PZqDChHZYu2ZDPxTgM36Y7DC&#10;zPqOz/S4xEJJCIcMDZQxNpnWIS/JYRj7hli0m28dRlnbQtsWOwl3tZ4myUw7rFgaSmxoV1J+v/w5&#10;A8eU7r9pEU6hu32lB5vsT/Vxb8znsN8uQUXq49v8uj5YwV8IrTwjE+j1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1UymcMAAADcAAAADwAAAAAAAAAAAAAAAACYAgAAZHJzL2Rv&#10;d25yZXYueG1sUEsFBgAAAAAEAAQA9QAAAIgDAAAAAA==&#10;" fillcolor="white [3201]" strokecolor="black [3200]" strokeweight="1pt">
                  <v:textbox>
                    <w:txbxContent>
                      <w:p w14:paraId="0C4CCFF3" w14:textId="3C11A043" w:rsidR="003F0B53" w:rsidRDefault="003F0B53" w:rsidP="00B34101">
                        <w:pPr>
                          <w:pStyle w:val="NormalWeb"/>
                          <w:spacing w:before="0" w:beforeAutospacing="0" w:after="0" w:afterAutospacing="0"/>
                          <w:jc w:val="center"/>
                          <w:rPr>
                            <w:rFonts w:ascii="Arial" w:hAnsi="Arial" w:cs="Arial"/>
                            <w:color w:val="000000" w:themeColor="dark1"/>
                            <w:kern w:val="24"/>
                            <w:sz w:val="20"/>
                            <w:szCs w:val="20"/>
                          </w:rPr>
                        </w:pPr>
                        <w:r w:rsidRPr="00501DAE">
                          <w:rPr>
                            <w:rFonts w:ascii="Arial" w:hAnsi="Arial" w:cs="Arial"/>
                            <w:color w:val="000000" w:themeColor="dark1"/>
                            <w:kern w:val="24"/>
                            <w:sz w:val="20"/>
                            <w:szCs w:val="20"/>
                          </w:rPr>
                          <w:t xml:space="preserve">Vice </w:t>
                        </w:r>
                        <w:proofErr w:type="gramStart"/>
                        <w:r w:rsidRPr="00501DAE">
                          <w:rPr>
                            <w:rFonts w:ascii="Arial" w:hAnsi="Arial" w:cs="Arial"/>
                            <w:color w:val="000000" w:themeColor="dark1"/>
                            <w:kern w:val="24"/>
                            <w:sz w:val="20"/>
                            <w:szCs w:val="20"/>
                          </w:rPr>
                          <w:t>President &amp;</w:t>
                        </w:r>
                        <w:proofErr w:type="gramEnd"/>
                        <w:r w:rsidRPr="00501DAE">
                          <w:rPr>
                            <w:rFonts w:ascii="Arial" w:hAnsi="Arial" w:cs="Arial"/>
                            <w:color w:val="000000" w:themeColor="dark1"/>
                            <w:kern w:val="24"/>
                            <w:sz w:val="20"/>
                            <w:szCs w:val="20"/>
                          </w:rPr>
                          <w:t xml:space="preserve"> Controller</w:t>
                        </w:r>
                      </w:p>
                      <w:p w14:paraId="0B3E04DB" w14:textId="77777777" w:rsidR="003F0B53" w:rsidRDefault="003F0B53" w:rsidP="00B34101">
                        <w:pPr>
                          <w:pStyle w:val="NormalWeb"/>
                          <w:spacing w:before="0" w:beforeAutospacing="0" w:after="0" w:afterAutospacing="0"/>
                          <w:jc w:val="center"/>
                          <w:rPr>
                            <w:rFonts w:ascii="Arial" w:hAnsi="Arial" w:cs="Arial"/>
                            <w:color w:val="000000" w:themeColor="dark1"/>
                            <w:kern w:val="24"/>
                            <w:sz w:val="20"/>
                            <w:szCs w:val="20"/>
                          </w:rPr>
                        </w:pPr>
                      </w:p>
                      <w:p w14:paraId="79D2486F" w14:textId="77777777" w:rsidR="003F0B53" w:rsidRPr="00501DAE" w:rsidRDefault="003F0B53" w:rsidP="00B34101">
                        <w:pPr>
                          <w:pStyle w:val="NormalWeb"/>
                          <w:spacing w:before="0" w:beforeAutospacing="0" w:after="0" w:afterAutospacing="0"/>
                          <w:jc w:val="center"/>
                          <w:rPr>
                            <w:rFonts w:ascii="Arial" w:hAnsi="Arial" w:cs="Arial"/>
                            <w:sz w:val="20"/>
                            <w:szCs w:val="20"/>
                          </w:rPr>
                        </w:pPr>
                        <w:r w:rsidRPr="00501DAE">
                          <w:rPr>
                            <w:rFonts w:ascii="Arial" w:hAnsi="Arial" w:cs="Arial"/>
                            <w:i/>
                            <w:iCs/>
                            <w:color w:val="000000" w:themeColor="dark1"/>
                            <w:kern w:val="24"/>
                            <w:sz w:val="20"/>
                            <w:szCs w:val="20"/>
                          </w:rPr>
                          <w:t xml:space="preserve">Virginia </w:t>
                        </w:r>
                        <w:proofErr w:type="spellStart"/>
                        <w:r w:rsidRPr="00501DAE">
                          <w:rPr>
                            <w:rFonts w:ascii="Arial" w:hAnsi="Arial" w:cs="Arial"/>
                            <w:i/>
                            <w:iCs/>
                            <w:color w:val="000000" w:themeColor="dark1"/>
                            <w:kern w:val="24"/>
                            <w:sz w:val="20"/>
                            <w:szCs w:val="20"/>
                          </w:rPr>
                          <w:t>Lui</w:t>
                        </w:r>
                        <w:proofErr w:type="spellEnd"/>
                      </w:p>
                    </w:txbxContent>
                  </v:textbox>
                </v:shape>
                <w10:anchorlock/>
              </v:group>
            </w:pict>
          </mc:Fallback>
        </mc:AlternateContent>
      </w:r>
    </w:p>
    <w:p w14:paraId="20DFEA89" w14:textId="77777777" w:rsidR="006F5092" w:rsidRPr="007F62B6" w:rsidRDefault="006F5092" w:rsidP="00F35080">
      <w:pPr>
        <w:jc w:val="center"/>
        <w:rPr>
          <w:sz w:val="24"/>
          <w:szCs w:val="24"/>
          <w:lang w:val="en-GB"/>
        </w:rPr>
      </w:pPr>
    </w:p>
    <w:p w14:paraId="2FBFF308" w14:textId="4930E0E4" w:rsidR="00CA186C" w:rsidRDefault="00CA186C" w:rsidP="006F5092">
      <w:pPr>
        <w:pStyle w:val="Footnote"/>
        <w:rPr>
          <w:lang w:val="en-GB"/>
        </w:rPr>
      </w:pPr>
      <w:r>
        <w:rPr>
          <w:lang w:val="en-GB"/>
        </w:rPr>
        <w:t>Note: CEO = chief executive officer</w:t>
      </w:r>
    </w:p>
    <w:p w14:paraId="0C0F63C2" w14:textId="0B295E7E" w:rsidR="006F5092" w:rsidRPr="007F62B6" w:rsidRDefault="006F5092" w:rsidP="006F5092">
      <w:pPr>
        <w:pStyle w:val="Footnote"/>
        <w:rPr>
          <w:lang w:val="en-GB"/>
        </w:rPr>
      </w:pPr>
      <w:r w:rsidRPr="007F62B6">
        <w:rPr>
          <w:rStyle w:val="FootnoteReference"/>
          <w:vertAlign w:val="baseline"/>
          <w:lang w:val="en-GB"/>
        </w:rPr>
        <w:t>S</w:t>
      </w:r>
      <w:proofErr w:type="gramStart"/>
      <w:r w:rsidRPr="007F62B6">
        <w:rPr>
          <w:lang w:val="en-GB"/>
        </w:rPr>
        <w:t>ource</w:t>
      </w:r>
      <w:proofErr w:type="gramEnd"/>
      <w:r w:rsidRPr="007F62B6">
        <w:rPr>
          <w:lang w:val="en-GB"/>
        </w:rPr>
        <w:t xml:space="preserve">: Created by </w:t>
      </w:r>
      <w:r w:rsidR="00CA186C">
        <w:rPr>
          <w:lang w:val="en-GB"/>
        </w:rPr>
        <w:t xml:space="preserve">the </w:t>
      </w:r>
      <w:r w:rsidRPr="007F62B6">
        <w:rPr>
          <w:lang w:val="en-GB"/>
        </w:rPr>
        <w:t>author</w:t>
      </w:r>
      <w:r w:rsidR="006A64A7" w:rsidRPr="007F62B6">
        <w:rPr>
          <w:lang w:val="en-GB"/>
        </w:rPr>
        <w:t>s using company documents.</w:t>
      </w:r>
    </w:p>
    <w:p w14:paraId="49353CB8" w14:textId="77777777" w:rsidR="006F5092" w:rsidRPr="007F62B6" w:rsidRDefault="006F5092" w:rsidP="00F35080">
      <w:pPr>
        <w:jc w:val="center"/>
        <w:rPr>
          <w:sz w:val="24"/>
          <w:szCs w:val="24"/>
          <w:lang w:val="en-GB"/>
        </w:rPr>
      </w:pPr>
    </w:p>
    <w:p w14:paraId="1A674C77" w14:textId="77777777" w:rsidR="006F5092" w:rsidRPr="007F62B6" w:rsidRDefault="006F5092" w:rsidP="006F5092">
      <w:pPr>
        <w:rPr>
          <w:sz w:val="24"/>
          <w:szCs w:val="24"/>
          <w:lang w:val="en-GB"/>
        </w:rPr>
      </w:pPr>
    </w:p>
    <w:p w14:paraId="431730ED" w14:textId="77777777" w:rsidR="004D668D" w:rsidRPr="007F62B6" w:rsidRDefault="00F35080" w:rsidP="006F5092">
      <w:pPr>
        <w:pStyle w:val="ExhibitHeading"/>
        <w:rPr>
          <w:sz w:val="24"/>
          <w:szCs w:val="24"/>
          <w:lang w:val="en-GB"/>
        </w:rPr>
        <w:sectPr w:rsidR="004D668D" w:rsidRPr="007F62B6" w:rsidSect="006F5092">
          <w:headerReference w:type="default" r:id="rId11"/>
          <w:headerReference w:type="first" r:id="rId12"/>
          <w:pgSz w:w="15840" w:h="12240" w:orient="landscape" w:code="1"/>
          <w:pgMar w:top="1440" w:right="1080" w:bottom="1440" w:left="1440" w:header="1080" w:footer="720" w:gutter="0"/>
          <w:cols w:space="720"/>
          <w:titlePg/>
          <w:docGrid w:linePitch="360"/>
        </w:sectPr>
      </w:pPr>
      <w:r w:rsidRPr="007F62B6">
        <w:rPr>
          <w:sz w:val="24"/>
          <w:szCs w:val="24"/>
          <w:lang w:val="en-GB"/>
        </w:rPr>
        <w:br w:type="page"/>
      </w:r>
    </w:p>
    <w:p w14:paraId="4CA4B196" w14:textId="53FF6B59" w:rsidR="00F35080" w:rsidRPr="007F62B6" w:rsidRDefault="00F35080" w:rsidP="006F5092">
      <w:pPr>
        <w:pStyle w:val="ExhibitHeading"/>
        <w:rPr>
          <w:lang w:val="en-GB"/>
        </w:rPr>
      </w:pPr>
      <w:r w:rsidRPr="007F62B6">
        <w:rPr>
          <w:lang w:val="en-GB"/>
        </w:rPr>
        <w:lastRenderedPageBreak/>
        <w:t>Exhibit 6</w:t>
      </w:r>
      <w:r w:rsidR="00973E80">
        <w:rPr>
          <w:lang w:val="en-GB"/>
        </w:rPr>
        <w:t>:</w:t>
      </w:r>
      <w:r w:rsidRPr="007F62B6">
        <w:rPr>
          <w:lang w:val="en-GB"/>
        </w:rPr>
        <w:t xml:space="preserve"> Institute on Aging</w:t>
      </w:r>
      <w:r w:rsidR="00CA186C">
        <w:rPr>
          <w:lang w:val="en-GB"/>
        </w:rPr>
        <w:t>’s</w:t>
      </w:r>
      <w:r w:rsidRPr="007F62B6">
        <w:rPr>
          <w:lang w:val="en-GB"/>
        </w:rPr>
        <w:t xml:space="preserve"> Debt Covenants</w:t>
      </w:r>
      <w:r w:rsidR="00CA186C">
        <w:rPr>
          <w:lang w:val="en-GB"/>
        </w:rPr>
        <w:t>, 2012–2017</w:t>
      </w:r>
    </w:p>
    <w:p w14:paraId="653DABAB" w14:textId="77777777" w:rsidR="00F35080" w:rsidRPr="007F62B6" w:rsidRDefault="00F35080" w:rsidP="00F35080">
      <w:pPr>
        <w:rPr>
          <w:lang w:val="en-GB"/>
        </w:rPr>
      </w:pPr>
    </w:p>
    <w:tbl>
      <w:tblPr>
        <w:tblStyle w:val="TableGridLight1"/>
        <w:tblW w:w="9270" w:type="dxa"/>
        <w:jc w:val="center"/>
        <w:tblLook w:val="04A0" w:firstRow="1" w:lastRow="0" w:firstColumn="1" w:lastColumn="0" w:noHBand="0" w:noVBand="1"/>
      </w:tblPr>
      <w:tblGrid>
        <w:gridCol w:w="2090"/>
        <w:gridCol w:w="1150"/>
        <w:gridCol w:w="1170"/>
        <w:gridCol w:w="1260"/>
        <w:gridCol w:w="1260"/>
        <w:gridCol w:w="1170"/>
        <w:gridCol w:w="1170"/>
      </w:tblGrid>
      <w:tr w:rsidR="006F5092" w:rsidRPr="007F62B6" w14:paraId="1D8DD2FC" w14:textId="77777777" w:rsidTr="006F5092">
        <w:trPr>
          <w:trHeight w:val="315"/>
          <w:jc w:val="center"/>
        </w:trPr>
        <w:tc>
          <w:tcPr>
            <w:tcW w:w="2090" w:type="dxa"/>
            <w:noWrap/>
            <w:hideMark/>
          </w:tcPr>
          <w:p w14:paraId="09EFB9B5" w14:textId="77777777" w:rsidR="00F35080" w:rsidRPr="007F62B6" w:rsidRDefault="00F35080" w:rsidP="00AE1C06">
            <w:pPr>
              <w:jc w:val="center"/>
              <w:rPr>
                <w:rFonts w:ascii="Arial" w:hAnsi="Arial" w:cs="Arial"/>
                <w:color w:val="000000"/>
                <w:lang w:val="en-GB" w:bidi="ne-NP"/>
              </w:rPr>
            </w:pPr>
            <w:r w:rsidRPr="007F62B6">
              <w:rPr>
                <w:rFonts w:ascii="Arial" w:hAnsi="Arial" w:cs="Arial"/>
                <w:color w:val="000000"/>
                <w:lang w:val="en-GB" w:bidi="ne-NP"/>
              </w:rPr>
              <w:t> </w:t>
            </w:r>
          </w:p>
        </w:tc>
        <w:tc>
          <w:tcPr>
            <w:tcW w:w="1150" w:type="dxa"/>
            <w:noWrap/>
            <w:hideMark/>
          </w:tcPr>
          <w:p w14:paraId="4CB40E86" w14:textId="77777777" w:rsidR="00F35080" w:rsidRPr="007F62B6" w:rsidRDefault="00F35080" w:rsidP="00AE1C06">
            <w:pPr>
              <w:jc w:val="center"/>
              <w:rPr>
                <w:rFonts w:ascii="Arial" w:hAnsi="Arial" w:cs="Arial"/>
                <w:b/>
                <w:bCs/>
                <w:color w:val="000000"/>
                <w:u w:val="single"/>
                <w:lang w:val="en-GB" w:bidi="ne-NP"/>
              </w:rPr>
            </w:pPr>
            <w:r w:rsidRPr="007F62B6">
              <w:rPr>
                <w:rFonts w:ascii="Arial" w:hAnsi="Arial" w:cs="Arial"/>
                <w:b/>
                <w:bCs/>
                <w:color w:val="000000"/>
                <w:u w:val="single"/>
                <w:lang w:val="en-GB" w:bidi="ne-NP"/>
              </w:rPr>
              <w:t>2012</w:t>
            </w:r>
          </w:p>
        </w:tc>
        <w:tc>
          <w:tcPr>
            <w:tcW w:w="1170" w:type="dxa"/>
            <w:noWrap/>
            <w:hideMark/>
          </w:tcPr>
          <w:p w14:paraId="329E063E" w14:textId="77777777" w:rsidR="00F35080" w:rsidRPr="007F62B6" w:rsidRDefault="00F35080" w:rsidP="00AE1C06">
            <w:pPr>
              <w:jc w:val="center"/>
              <w:rPr>
                <w:rFonts w:ascii="Arial" w:hAnsi="Arial" w:cs="Arial"/>
                <w:b/>
                <w:bCs/>
                <w:color w:val="000000"/>
                <w:u w:val="single"/>
                <w:lang w:val="en-GB" w:bidi="ne-NP"/>
              </w:rPr>
            </w:pPr>
            <w:r w:rsidRPr="007F62B6">
              <w:rPr>
                <w:rFonts w:ascii="Arial" w:hAnsi="Arial" w:cs="Arial"/>
                <w:b/>
                <w:bCs/>
                <w:color w:val="000000"/>
                <w:u w:val="single"/>
                <w:lang w:val="en-GB" w:bidi="ne-NP"/>
              </w:rPr>
              <w:t>2013</w:t>
            </w:r>
          </w:p>
        </w:tc>
        <w:tc>
          <w:tcPr>
            <w:tcW w:w="1260" w:type="dxa"/>
            <w:noWrap/>
            <w:hideMark/>
          </w:tcPr>
          <w:p w14:paraId="73625103" w14:textId="77777777" w:rsidR="00F35080" w:rsidRPr="007F62B6" w:rsidRDefault="00F35080" w:rsidP="00AE1C06">
            <w:pPr>
              <w:jc w:val="center"/>
              <w:rPr>
                <w:rFonts w:ascii="Arial" w:hAnsi="Arial" w:cs="Arial"/>
                <w:b/>
                <w:bCs/>
                <w:color w:val="000000"/>
                <w:u w:val="single"/>
                <w:lang w:val="en-GB" w:bidi="ne-NP"/>
              </w:rPr>
            </w:pPr>
            <w:r w:rsidRPr="007F62B6">
              <w:rPr>
                <w:rFonts w:ascii="Arial" w:hAnsi="Arial" w:cs="Arial"/>
                <w:b/>
                <w:bCs/>
                <w:color w:val="000000"/>
                <w:u w:val="single"/>
                <w:lang w:val="en-GB" w:bidi="ne-NP"/>
              </w:rPr>
              <w:t>2014</w:t>
            </w:r>
          </w:p>
        </w:tc>
        <w:tc>
          <w:tcPr>
            <w:tcW w:w="1260" w:type="dxa"/>
            <w:noWrap/>
            <w:hideMark/>
          </w:tcPr>
          <w:p w14:paraId="1DCACDCA" w14:textId="77777777" w:rsidR="00F35080" w:rsidRPr="007F62B6" w:rsidRDefault="00F35080" w:rsidP="00AE1C06">
            <w:pPr>
              <w:jc w:val="center"/>
              <w:rPr>
                <w:rFonts w:ascii="Arial" w:hAnsi="Arial" w:cs="Arial"/>
                <w:b/>
                <w:bCs/>
                <w:color w:val="000000"/>
                <w:u w:val="single"/>
                <w:lang w:val="en-GB" w:bidi="ne-NP"/>
              </w:rPr>
            </w:pPr>
            <w:r w:rsidRPr="007F62B6">
              <w:rPr>
                <w:rFonts w:ascii="Arial" w:hAnsi="Arial" w:cs="Arial"/>
                <w:b/>
                <w:bCs/>
                <w:color w:val="000000"/>
                <w:u w:val="single"/>
                <w:lang w:val="en-GB" w:bidi="ne-NP"/>
              </w:rPr>
              <w:t>2015</w:t>
            </w:r>
          </w:p>
        </w:tc>
        <w:tc>
          <w:tcPr>
            <w:tcW w:w="1170" w:type="dxa"/>
            <w:noWrap/>
            <w:hideMark/>
          </w:tcPr>
          <w:p w14:paraId="08456EDD" w14:textId="77777777" w:rsidR="00F35080" w:rsidRPr="007F62B6" w:rsidRDefault="00F35080" w:rsidP="00AE1C06">
            <w:pPr>
              <w:jc w:val="center"/>
              <w:rPr>
                <w:rFonts w:ascii="Arial" w:hAnsi="Arial" w:cs="Arial"/>
                <w:b/>
                <w:bCs/>
                <w:color w:val="000000"/>
                <w:u w:val="single"/>
                <w:lang w:val="en-GB" w:bidi="ne-NP"/>
              </w:rPr>
            </w:pPr>
            <w:r w:rsidRPr="007F62B6">
              <w:rPr>
                <w:rFonts w:ascii="Arial" w:hAnsi="Arial" w:cs="Arial"/>
                <w:b/>
                <w:bCs/>
                <w:color w:val="000000"/>
                <w:u w:val="single"/>
                <w:lang w:val="en-GB" w:bidi="ne-NP"/>
              </w:rPr>
              <w:t>2016</w:t>
            </w:r>
          </w:p>
        </w:tc>
        <w:tc>
          <w:tcPr>
            <w:tcW w:w="1170" w:type="dxa"/>
            <w:noWrap/>
            <w:hideMark/>
          </w:tcPr>
          <w:p w14:paraId="6ABADBC4" w14:textId="77777777" w:rsidR="00F35080" w:rsidRPr="007F62B6" w:rsidRDefault="00F35080" w:rsidP="00AE1C06">
            <w:pPr>
              <w:jc w:val="center"/>
              <w:rPr>
                <w:rFonts w:ascii="Arial" w:hAnsi="Arial" w:cs="Arial"/>
                <w:b/>
                <w:bCs/>
                <w:color w:val="000000"/>
                <w:u w:val="single"/>
                <w:lang w:val="en-GB" w:bidi="ne-NP"/>
              </w:rPr>
            </w:pPr>
            <w:r w:rsidRPr="007F62B6">
              <w:rPr>
                <w:rFonts w:ascii="Arial" w:hAnsi="Arial" w:cs="Arial"/>
                <w:b/>
                <w:bCs/>
                <w:color w:val="000000"/>
                <w:u w:val="single"/>
                <w:lang w:val="en-GB" w:bidi="ne-NP"/>
              </w:rPr>
              <w:t>2017</w:t>
            </w:r>
          </w:p>
        </w:tc>
      </w:tr>
      <w:tr w:rsidR="006F5092" w:rsidRPr="007F62B6" w14:paraId="6E193A07" w14:textId="77777777" w:rsidTr="006F5092">
        <w:trPr>
          <w:trHeight w:val="315"/>
          <w:jc w:val="center"/>
        </w:trPr>
        <w:tc>
          <w:tcPr>
            <w:tcW w:w="2090" w:type="dxa"/>
            <w:noWrap/>
            <w:hideMark/>
          </w:tcPr>
          <w:p w14:paraId="64E3CCC9" w14:textId="77777777" w:rsidR="00F35080" w:rsidRPr="007F62B6" w:rsidRDefault="00F35080" w:rsidP="00AE1C06">
            <w:pPr>
              <w:rPr>
                <w:rFonts w:ascii="Arial" w:hAnsi="Arial" w:cs="Arial"/>
                <w:b/>
                <w:bCs/>
                <w:color w:val="000000"/>
                <w:lang w:val="en-GB" w:bidi="ne-NP"/>
              </w:rPr>
            </w:pPr>
            <w:r w:rsidRPr="007F62B6">
              <w:rPr>
                <w:rFonts w:ascii="Arial" w:hAnsi="Arial" w:cs="Arial"/>
                <w:b/>
                <w:bCs/>
                <w:color w:val="000000"/>
                <w:lang w:val="en-GB" w:bidi="ne-NP"/>
              </w:rPr>
              <w:t>Current Ratio</w:t>
            </w:r>
          </w:p>
        </w:tc>
        <w:tc>
          <w:tcPr>
            <w:tcW w:w="1150" w:type="dxa"/>
            <w:noWrap/>
            <w:hideMark/>
          </w:tcPr>
          <w:p w14:paraId="1234208D" w14:textId="77777777" w:rsidR="00F35080" w:rsidRPr="007F62B6" w:rsidRDefault="00F35080" w:rsidP="00054B7A">
            <w:pPr>
              <w:tabs>
                <w:tab w:val="decimal" w:pos="451"/>
              </w:tabs>
              <w:rPr>
                <w:rFonts w:ascii="Arial" w:hAnsi="Arial" w:cs="Arial"/>
                <w:color w:val="000000"/>
                <w:lang w:val="en-GB" w:bidi="ne-NP"/>
              </w:rPr>
            </w:pPr>
            <w:r w:rsidRPr="007F62B6">
              <w:rPr>
                <w:rFonts w:ascii="Arial" w:hAnsi="Arial" w:cs="Arial"/>
                <w:color w:val="000000"/>
                <w:lang w:val="en-GB" w:bidi="ne-NP"/>
              </w:rPr>
              <w:t>0.72</w:t>
            </w:r>
          </w:p>
        </w:tc>
        <w:tc>
          <w:tcPr>
            <w:tcW w:w="1170" w:type="dxa"/>
            <w:noWrap/>
            <w:hideMark/>
          </w:tcPr>
          <w:p w14:paraId="74D1796A" w14:textId="77777777" w:rsidR="00F35080" w:rsidRPr="007F62B6" w:rsidRDefault="00F35080" w:rsidP="00AE1C06">
            <w:pPr>
              <w:jc w:val="center"/>
              <w:rPr>
                <w:rFonts w:ascii="Arial" w:hAnsi="Arial" w:cs="Arial"/>
                <w:color w:val="000000"/>
                <w:lang w:val="en-GB" w:bidi="ne-NP"/>
              </w:rPr>
            </w:pPr>
            <w:r w:rsidRPr="007F62B6">
              <w:rPr>
                <w:rFonts w:ascii="Arial" w:hAnsi="Arial" w:cs="Arial"/>
                <w:color w:val="000000"/>
                <w:lang w:val="en-GB" w:bidi="ne-NP"/>
              </w:rPr>
              <w:t>0.79</w:t>
            </w:r>
          </w:p>
        </w:tc>
        <w:tc>
          <w:tcPr>
            <w:tcW w:w="1260" w:type="dxa"/>
            <w:noWrap/>
            <w:hideMark/>
          </w:tcPr>
          <w:p w14:paraId="232BE08E" w14:textId="77777777" w:rsidR="00F35080" w:rsidRPr="007F62B6" w:rsidRDefault="00F35080" w:rsidP="00AE1C06">
            <w:pPr>
              <w:jc w:val="center"/>
              <w:rPr>
                <w:rFonts w:ascii="Arial" w:hAnsi="Arial" w:cs="Arial"/>
                <w:color w:val="000000"/>
                <w:lang w:val="en-GB" w:bidi="ne-NP"/>
              </w:rPr>
            </w:pPr>
            <w:r w:rsidRPr="007F62B6">
              <w:rPr>
                <w:rFonts w:ascii="Arial" w:hAnsi="Arial" w:cs="Arial"/>
                <w:color w:val="000000"/>
                <w:lang w:val="en-GB" w:bidi="ne-NP"/>
              </w:rPr>
              <w:t>0.78</w:t>
            </w:r>
          </w:p>
        </w:tc>
        <w:tc>
          <w:tcPr>
            <w:tcW w:w="1260" w:type="dxa"/>
            <w:noWrap/>
            <w:hideMark/>
          </w:tcPr>
          <w:p w14:paraId="6552639A" w14:textId="77777777" w:rsidR="00F35080" w:rsidRPr="007F62B6" w:rsidRDefault="00F35080" w:rsidP="00AE1C06">
            <w:pPr>
              <w:jc w:val="center"/>
              <w:rPr>
                <w:rFonts w:ascii="Arial" w:hAnsi="Arial" w:cs="Arial"/>
                <w:color w:val="000000"/>
                <w:lang w:val="en-GB" w:bidi="ne-NP"/>
              </w:rPr>
            </w:pPr>
            <w:r w:rsidRPr="007F62B6">
              <w:rPr>
                <w:rFonts w:ascii="Arial" w:hAnsi="Arial" w:cs="Arial"/>
                <w:color w:val="000000"/>
                <w:lang w:val="en-GB" w:bidi="ne-NP"/>
              </w:rPr>
              <w:t>0.91</w:t>
            </w:r>
          </w:p>
        </w:tc>
        <w:tc>
          <w:tcPr>
            <w:tcW w:w="1170" w:type="dxa"/>
            <w:noWrap/>
            <w:hideMark/>
          </w:tcPr>
          <w:p w14:paraId="24C3F7BE" w14:textId="77777777" w:rsidR="00F35080" w:rsidRPr="007F62B6" w:rsidRDefault="00F35080" w:rsidP="00AE1C06">
            <w:pPr>
              <w:jc w:val="center"/>
              <w:rPr>
                <w:rFonts w:ascii="Arial" w:hAnsi="Arial" w:cs="Arial"/>
                <w:color w:val="000000"/>
                <w:lang w:val="en-GB" w:bidi="ne-NP"/>
              </w:rPr>
            </w:pPr>
            <w:r w:rsidRPr="007F62B6">
              <w:rPr>
                <w:rFonts w:ascii="Arial" w:hAnsi="Arial" w:cs="Arial"/>
                <w:color w:val="000000"/>
                <w:lang w:val="en-GB" w:bidi="ne-NP"/>
              </w:rPr>
              <w:t>0.79</w:t>
            </w:r>
          </w:p>
        </w:tc>
        <w:tc>
          <w:tcPr>
            <w:tcW w:w="1170" w:type="dxa"/>
            <w:noWrap/>
            <w:hideMark/>
          </w:tcPr>
          <w:p w14:paraId="0D0403FA" w14:textId="77777777" w:rsidR="00F35080" w:rsidRPr="007F62B6" w:rsidRDefault="00F35080" w:rsidP="00AE1C06">
            <w:pPr>
              <w:jc w:val="center"/>
              <w:rPr>
                <w:rFonts w:ascii="Arial" w:hAnsi="Arial" w:cs="Arial"/>
                <w:color w:val="000000"/>
                <w:lang w:val="en-GB" w:bidi="ne-NP"/>
              </w:rPr>
            </w:pPr>
            <w:r w:rsidRPr="007F62B6">
              <w:rPr>
                <w:rFonts w:ascii="Arial" w:hAnsi="Arial" w:cs="Arial"/>
                <w:color w:val="000000"/>
                <w:lang w:val="en-GB" w:bidi="ne-NP"/>
              </w:rPr>
              <w:t>0.80</w:t>
            </w:r>
          </w:p>
        </w:tc>
      </w:tr>
      <w:tr w:rsidR="006F5092" w:rsidRPr="007F62B6" w14:paraId="2252A2FD" w14:textId="77777777" w:rsidTr="006F5092">
        <w:trPr>
          <w:trHeight w:val="315"/>
          <w:jc w:val="center"/>
        </w:trPr>
        <w:tc>
          <w:tcPr>
            <w:tcW w:w="2090" w:type="dxa"/>
            <w:noWrap/>
            <w:hideMark/>
          </w:tcPr>
          <w:p w14:paraId="58D3FED3" w14:textId="77777777" w:rsidR="00F35080" w:rsidRPr="007F62B6" w:rsidRDefault="00F35080" w:rsidP="00AE1C06">
            <w:pPr>
              <w:rPr>
                <w:rFonts w:ascii="Arial" w:hAnsi="Arial" w:cs="Arial"/>
                <w:b/>
                <w:bCs/>
                <w:color w:val="000000"/>
                <w:lang w:val="en-GB" w:bidi="ne-NP"/>
              </w:rPr>
            </w:pPr>
            <w:r w:rsidRPr="007F62B6">
              <w:rPr>
                <w:rFonts w:ascii="Arial" w:hAnsi="Arial" w:cs="Arial"/>
                <w:b/>
                <w:bCs/>
                <w:color w:val="000000"/>
                <w:lang w:val="en-GB" w:bidi="ne-NP"/>
              </w:rPr>
              <w:t>Debt Service Ratio</w:t>
            </w:r>
          </w:p>
        </w:tc>
        <w:tc>
          <w:tcPr>
            <w:tcW w:w="1150" w:type="dxa"/>
            <w:noWrap/>
            <w:hideMark/>
          </w:tcPr>
          <w:p w14:paraId="57E3CE3A" w14:textId="08C61638" w:rsidR="00F35080" w:rsidRPr="007F62B6" w:rsidRDefault="000B33B4" w:rsidP="00054B7A">
            <w:pPr>
              <w:tabs>
                <w:tab w:val="decimal" w:pos="451"/>
              </w:tabs>
              <w:rPr>
                <w:rFonts w:ascii="Arial" w:hAnsi="Arial" w:cs="Arial"/>
                <w:color w:val="000000"/>
                <w:lang w:val="en-GB" w:bidi="ne-NP"/>
              </w:rPr>
            </w:pPr>
            <w:r>
              <w:rPr>
                <w:rFonts w:ascii="Arial" w:hAnsi="Arial" w:cs="Arial"/>
                <w:color w:val="000000"/>
                <w:lang w:val="en-GB" w:bidi="ne-NP"/>
              </w:rPr>
              <w:t>–</w:t>
            </w:r>
            <w:r w:rsidR="00F35080" w:rsidRPr="007F62B6">
              <w:rPr>
                <w:rFonts w:ascii="Arial" w:hAnsi="Arial" w:cs="Arial"/>
                <w:color w:val="000000"/>
                <w:lang w:val="en-GB" w:bidi="ne-NP"/>
              </w:rPr>
              <w:t>0.08</w:t>
            </w:r>
          </w:p>
        </w:tc>
        <w:tc>
          <w:tcPr>
            <w:tcW w:w="1170" w:type="dxa"/>
            <w:noWrap/>
            <w:hideMark/>
          </w:tcPr>
          <w:p w14:paraId="596B5E49" w14:textId="77777777" w:rsidR="00F35080" w:rsidRPr="007F62B6" w:rsidRDefault="00F35080" w:rsidP="00AE1C06">
            <w:pPr>
              <w:jc w:val="center"/>
              <w:rPr>
                <w:rFonts w:ascii="Arial" w:hAnsi="Arial" w:cs="Arial"/>
                <w:color w:val="000000"/>
                <w:lang w:val="en-GB" w:bidi="ne-NP"/>
              </w:rPr>
            </w:pPr>
            <w:r w:rsidRPr="007F62B6">
              <w:rPr>
                <w:rFonts w:ascii="Arial" w:hAnsi="Arial" w:cs="Arial"/>
                <w:color w:val="000000"/>
                <w:lang w:val="en-GB" w:bidi="ne-NP"/>
              </w:rPr>
              <w:t>0.55</w:t>
            </w:r>
          </w:p>
        </w:tc>
        <w:tc>
          <w:tcPr>
            <w:tcW w:w="1260" w:type="dxa"/>
            <w:noWrap/>
            <w:hideMark/>
          </w:tcPr>
          <w:p w14:paraId="070D00D9" w14:textId="77777777" w:rsidR="00F35080" w:rsidRPr="007F62B6" w:rsidRDefault="00F35080" w:rsidP="00AE1C06">
            <w:pPr>
              <w:jc w:val="center"/>
              <w:rPr>
                <w:rFonts w:ascii="Arial" w:hAnsi="Arial" w:cs="Arial"/>
                <w:color w:val="000000"/>
                <w:lang w:val="en-GB" w:bidi="ne-NP"/>
              </w:rPr>
            </w:pPr>
            <w:r w:rsidRPr="007F62B6">
              <w:rPr>
                <w:rFonts w:ascii="Arial" w:hAnsi="Arial" w:cs="Arial"/>
                <w:color w:val="000000"/>
                <w:lang w:val="en-GB" w:bidi="ne-NP"/>
              </w:rPr>
              <w:t>0.82</w:t>
            </w:r>
          </w:p>
        </w:tc>
        <w:tc>
          <w:tcPr>
            <w:tcW w:w="1260" w:type="dxa"/>
            <w:noWrap/>
            <w:hideMark/>
          </w:tcPr>
          <w:p w14:paraId="18E62EA5" w14:textId="77777777" w:rsidR="00F35080" w:rsidRPr="007F62B6" w:rsidRDefault="00F35080" w:rsidP="00AE1C06">
            <w:pPr>
              <w:jc w:val="center"/>
              <w:rPr>
                <w:rFonts w:ascii="Arial" w:hAnsi="Arial" w:cs="Arial"/>
                <w:color w:val="000000"/>
                <w:lang w:val="en-GB" w:bidi="ne-NP"/>
              </w:rPr>
            </w:pPr>
            <w:r w:rsidRPr="007F62B6">
              <w:rPr>
                <w:rFonts w:ascii="Arial" w:hAnsi="Arial" w:cs="Arial"/>
                <w:color w:val="000000"/>
                <w:lang w:val="en-GB" w:bidi="ne-NP"/>
              </w:rPr>
              <w:t>0.96</w:t>
            </w:r>
          </w:p>
        </w:tc>
        <w:tc>
          <w:tcPr>
            <w:tcW w:w="1170" w:type="dxa"/>
            <w:noWrap/>
            <w:hideMark/>
          </w:tcPr>
          <w:p w14:paraId="5198310E" w14:textId="77777777" w:rsidR="00F35080" w:rsidRPr="007F62B6" w:rsidRDefault="00F35080" w:rsidP="00AE1C06">
            <w:pPr>
              <w:jc w:val="center"/>
              <w:rPr>
                <w:rFonts w:ascii="Arial" w:hAnsi="Arial" w:cs="Arial"/>
                <w:color w:val="000000"/>
                <w:lang w:val="en-GB" w:bidi="ne-NP"/>
              </w:rPr>
            </w:pPr>
            <w:r w:rsidRPr="007F62B6">
              <w:rPr>
                <w:rFonts w:ascii="Arial" w:hAnsi="Arial" w:cs="Arial"/>
                <w:color w:val="000000"/>
                <w:lang w:val="en-GB" w:bidi="ne-NP"/>
              </w:rPr>
              <w:t>0.83</w:t>
            </w:r>
          </w:p>
        </w:tc>
        <w:tc>
          <w:tcPr>
            <w:tcW w:w="1170" w:type="dxa"/>
            <w:noWrap/>
            <w:hideMark/>
          </w:tcPr>
          <w:p w14:paraId="569EBA01" w14:textId="77777777" w:rsidR="00F35080" w:rsidRPr="007F62B6" w:rsidRDefault="00F35080" w:rsidP="00AE1C06">
            <w:pPr>
              <w:jc w:val="center"/>
              <w:rPr>
                <w:rFonts w:ascii="Arial" w:hAnsi="Arial" w:cs="Arial"/>
                <w:color w:val="000000"/>
                <w:lang w:val="en-GB" w:bidi="ne-NP"/>
              </w:rPr>
            </w:pPr>
            <w:r w:rsidRPr="007F62B6">
              <w:rPr>
                <w:rFonts w:ascii="Arial" w:hAnsi="Arial" w:cs="Arial"/>
                <w:color w:val="000000"/>
                <w:lang w:val="en-GB" w:bidi="ne-NP"/>
              </w:rPr>
              <w:t>1.02</w:t>
            </w:r>
          </w:p>
        </w:tc>
      </w:tr>
      <w:tr w:rsidR="006F5092" w:rsidRPr="007F62B6" w14:paraId="7D3E7D9E" w14:textId="77777777" w:rsidTr="006F5092">
        <w:trPr>
          <w:trHeight w:val="315"/>
          <w:jc w:val="center"/>
        </w:trPr>
        <w:tc>
          <w:tcPr>
            <w:tcW w:w="2090" w:type="dxa"/>
            <w:noWrap/>
            <w:hideMark/>
          </w:tcPr>
          <w:p w14:paraId="57438998" w14:textId="77777777" w:rsidR="00F35080" w:rsidRPr="007F62B6" w:rsidRDefault="00F35080" w:rsidP="00AE1C06">
            <w:pPr>
              <w:rPr>
                <w:rFonts w:ascii="Arial" w:hAnsi="Arial" w:cs="Arial"/>
                <w:b/>
                <w:bCs/>
                <w:color w:val="000000"/>
                <w:lang w:val="en-GB" w:bidi="ne-NP"/>
              </w:rPr>
            </w:pPr>
            <w:r w:rsidRPr="007F62B6">
              <w:rPr>
                <w:rFonts w:ascii="Arial" w:hAnsi="Arial" w:cs="Arial"/>
                <w:b/>
                <w:bCs/>
                <w:color w:val="000000"/>
                <w:lang w:val="en-GB" w:bidi="ne-NP"/>
              </w:rPr>
              <w:t>Days of Cash</w:t>
            </w:r>
          </w:p>
        </w:tc>
        <w:tc>
          <w:tcPr>
            <w:tcW w:w="1150" w:type="dxa"/>
            <w:noWrap/>
            <w:hideMark/>
          </w:tcPr>
          <w:p w14:paraId="55026336" w14:textId="77777777" w:rsidR="00F35080" w:rsidRPr="007F62B6" w:rsidRDefault="00F35080" w:rsidP="00054B7A">
            <w:pPr>
              <w:tabs>
                <w:tab w:val="decimal" w:pos="451"/>
              </w:tabs>
              <w:jc w:val="center"/>
              <w:rPr>
                <w:rFonts w:ascii="Arial" w:hAnsi="Arial" w:cs="Arial"/>
                <w:color w:val="000000"/>
                <w:lang w:val="en-GB" w:bidi="ne-NP"/>
              </w:rPr>
            </w:pPr>
            <w:r w:rsidRPr="007F62B6">
              <w:rPr>
                <w:rFonts w:ascii="Arial" w:hAnsi="Arial" w:cs="Arial"/>
                <w:color w:val="000000"/>
                <w:lang w:val="en-GB" w:bidi="ne-NP"/>
              </w:rPr>
              <w:t>16</w:t>
            </w:r>
          </w:p>
        </w:tc>
        <w:tc>
          <w:tcPr>
            <w:tcW w:w="1170" w:type="dxa"/>
            <w:noWrap/>
            <w:hideMark/>
          </w:tcPr>
          <w:p w14:paraId="57A4E409" w14:textId="77777777" w:rsidR="00F35080" w:rsidRPr="007F62B6" w:rsidRDefault="00F35080" w:rsidP="00AE1C06">
            <w:pPr>
              <w:jc w:val="center"/>
              <w:rPr>
                <w:rFonts w:ascii="Arial" w:hAnsi="Arial" w:cs="Arial"/>
                <w:color w:val="000000"/>
                <w:lang w:val="en-GB" w:bidi="ne-NP"/>
              </w:rPr>
            </w:pPr>
            <w:r w:rsidRPr="007F62B6">
              <w:rPr>
                <w:rFonts w:ascii="Arial" w:hAnsi="Arial" w:cs="Arial"/>
                <w:color w:val="000000"/>
                <w:lang w:val="en-GB" w:bidi="ne-NP"/>
              </w:rPr>
              <w:t>25</w:t>
            </w:r>
          </w:p>
        </w:tc>
        <w:tc>
          <w:tcPr>
            <w:tcW w:w="1260" w:type="dxa"/>
            <w:noWrap/>
            <w:hideMark/>
          </w:tcPr>
          <w:p w14:paraId="6BCD09CE" w14:textId="77777777" w:rsidR="00F35080" w:rsidRPr="007F62B6" w:rsidRDefault="00F35080" w:rsidP="00AE1C06">
            <w:pPr>
              <w:jc w:val="center"/>
              <w:rPr>
                <w:rFonts w:ascii="Arial" w:hAnsi="Arial" w:cs="Arial"/>
                <w:color w:val="000000"/>
                <w:lang w:val="en-GB" w:bidi="ne-NP"/>
              </w:rPr>
            </w:pPr>
            <w:r w:rsidRPr="007F62B6">
              <w:rPr>
                <w:rFonts w:ascii="Arial" w:hAnsi="Arial" w:cs="Arial"/>
                <w:color w:val="000000"/>
                <w:lang w:val="en-GB" w:bidi="ne-NP"/>
              </w:rPr>
              <w:t>25</w:t>
            </w:r>
          </w:p>
        </w:tc>
        <w:tc>
          <w:tcPr>
            <w:tcW w:w="1260" w:type="dxa"/>
            <w:noWrap/>
            <w:hideMark/>
          </w:tcPr>
          <w:p w14:paraId="33FE0A30" w14:textId="77777777" w:rsidR="00F35080" w:rsidRPr="007F62B6" w:rsidRDefault="00F35080" w:rsidP="00AE1C06">
            <w:pPr>
              <w:jc w:val="center"/>
              <w:rPr>
                <w:rFonts w:ascii="Arial" w:hAnsi="Arial" w:cs="Arial"/>
                <w:color w:val="000000"/>
                <w:lang w:val="en-GB" w:bidi="ne-NP"/>
              </w:rPr>
            </w:pPr>
            <w:r w:rsidRPr="007F62B6">
              <w:rPr>
                <w:rFonts w:ascii="Arial" w:hAnsi="Arial" w:cs="Arial"/>
                <w:color w:val="000000"/>
                <w:lang w:val="en-GB" w:bidi="ne-NP"/>
              </w:rPr>
              <w:t>30</w:t>
            </w:r>
          </w:p>
        </w:tc>
        <w:tc>
          <w:tcPr>
            <w:tcW w:w="1170" w:type="dxa"/>
            <w:noWrap/>
            <w:hideMark/>
          </w:tcPr>
          <w:p w14:paraId="33D9B213" w14:textId="77777777" w:rsidR="00F35080" w:rsidRPr="007F62B6" w:rsidRDefault="00F35080" w:rsidP="00AE1C06">
            <w:pPr>
              <w:jc w:val="center"/>
              <w:rPr>
                <w:rFonts w:ascii="Arial" w:hAnsi="Arial" w:cs="Arial"/>
                <w:color w:val="000000"/>
                <w:lang w:val="en-GB" w:bidi="ne-NP"/>
              </w:rPr>
            </w:pPr>
            <w:r w:rsidRPr="007F62B6">
              <w:rPr>
                <w:rFonts w:ascii="Arial" w:hAnsi="Arial" w:cs="Arial"/>
                <w:color w:val="000000"/>
                <w:lang w:val="en-GB" w:bidi="ne-NP"/>
              </w:rPr>
              <w:t>23</w:t>
            </w:r>
          </w:p>
        </w:tc>
        <w:tc>
          <w:tcPr>
            <w:tcW w:w="1170" w:type="dxa"/>
            <w:noWrap/>
            <w:hideMark/>
          </w:tcPr>
          <w:p w14:paraId="41914630" w14:textId="77777777" w:rsidR="00F35080" w:rsidRPr="007F62B6" w:rsidRDefault="00F35080" w:rsidP="00AE1C06">
            <w:pPr>
              <w:jc w:val="center"/>
              <w:rPr>
                <w:rFonts w:ascii="Arial" w:hAnsi="Arial" w:cs="Arial"/>
                <w:color w:val="000000"/>
                <w:lang w:val="en-GB" w:bidi="ne-NP"/>
              </w:rPr>
            </w:pPr>
            <w:r w:rsidRPr="007F62B6">
              <w:rPr>
                <w:rFonts w:ascii="Arial" w:hAnsi="Arial" w:cs="Arial"/>
                <w:color w:val="000000"/>
                <w:lang w:val="en-GB" w:bidi="ne-NP"/>
              </w:rPr>
              <w:t>30</w:t>
            </w:r>
          </w:p>
        </w:tc>
      </w:tr>
    </w:tbl>
    <w:p w14:paraId="616622F6" w14:textId="77777777" w:rsidR="00F35080" w:rsidRPr="007F62B6" w:rsidRDefault="00F35080" w:rsidP="00F35080">
      <w:pPr>
        <w:rPr>
          <w:b/>
          <w:bCs/>
          <w:i/>
          <w:iCs/>
          <w:lang w:val="en-GB"/>
        </w:rPr>
      </w:pPr>
    </w:p>
    <w:p w14:paraId="2F71FE3D" w14:textId="10282E0A" w:rsidR="006F5092" w:rsidRPr="007F62B6" w:rsidRDefault="006F5092" w:rsidP="006F5092">
      <w:pPr>
        <w:pStyle w:val="Footnote"/>
        <w:rPr>
          <w:lang w:val="en-GB"/>
        </w:rPr>
      </w:pPr>
      <w:r w:rsidRPr="007F62B6">
        <w:rPr>
          <w:lang w:val="en-GB"/>
        </w:rPr>
        <w:t xml:space="preserve">Notes: </w:t>
      </w:r>
      <w:r w:rsidR="00F35080" w:rsidRPr="00054B7A">
        <w:rPr>
          <w:lang w:val="en-GB"/>
        </w:rPr>
        <w:t>Current Ratio</w:t>
      </w:r>
      <w:r w:rsidR="00CA186C">
        <w:rPr>
          <w:i/>
          <w:lang w:val="en-GB"/>
        </w:rPr>
        <w:t xml:space="preserve"> =</w:t>
      </w:r>
      <w:r w:rsidR="00F35080" w:rsidRPr="007F62B6">
        <w:rPr>
          <w:lang w:val="en-GB"/>
        </w:rPr>
        <w:t xml:space="preserve"> A measure of liquidity calculated by dividing the current assets by the current liabilities</w:t>
      </w:r>
      <w:r w:rsidR="00CA186C">
        <w:rPr>
          <w:lang w:val="en-GB"/>
        </w:rPr>
        <w:t>;</w:t>
      </w:r>
      <w:r w:rsidR="00CA186C">
        <w:rPr>
          <w:i/>
          <w:lang w:val="en-GB"/>
        </w:rPr>
        <w:t xml:space="preserve"> </w:t>
      </w:r>
      <w:r w:rsidR="00F35080" w:rsidRPr="00054B7A">
        <w:rPr>
          <w:lang w:val="en-GB"/>
        </w:rPr>
        <w:t>Debt Service Ratio</w:t>
      </w:r>
      <w:r w:rsidR="00CA186C">
        <w:rPr>
          <w:lang w:val="en-GB"/>
        </w:rPr>
        <w:t xml:space="preserve"> =</w:t>
      </w:r>
      <w:r w:rsidR="00F35080" w:rsidRPr="007F62B6">
        <w:rPr>
          <w:lang w:val="en-GB"/>
        </w:rPr>
        <w:t xml:space="preserve"> A measure of solvency calculated by dividing the cash available for debt payments by the amount required for principal and interest </w:t>
      </w:r>
      <w:r w:rsidR="00F35080" w:rsidRPr="00CA186C">
        <w:rPr>
          <w:lang w:val="en-GB"/>
        </w:rPr>
        <w:t>payments</w:t>
      </w:r>
      <w:r w:rsidR="00CA186C">
        <w:rPr>
          <w:lang w:val="en-GB"/>
        </w:rPr>
        <w:t xml:space="preserve">; </w:t>
      </w:r>
      <w:r w:rsidR="00F35080" w:rsidRPr="00054B7A">
        <w:rPr>
          <w:lang w:val="en-GB"/>
        </w:rPr>
        <w:t>Days</w:t>
      </w:r>
      <w:r w:rsidR="00F35080" w:rsidRPr="007F62B6">
        <w:rPr>
          <w:i/>
          <w:lang w:val="en-GB"/>
        </w:rPr>
        <w:t xml:space="preserve"> </w:t>
      </w:r>
      <w:r w:rsidR="00F35080" w:rsidRPr="00054B7A">
        <w:rPr>
          <w:lang w:val="en-GB"/>
        </w:rPr>
        <w:t>of Cash</w:t>
      </w:r>
      <w:r w:rsidR="00F35080" w:rsidRPr="007F62B6">
        <w:rPr>
          <w:lang w:val="en-GB"/>
        </w:rPr>
        <w:t xml:space="preserve"> </w:t>
      </w:r>
      <w:r w:rsidR="00CA186C">
        <w:rPr>
          <w:lang w:val="en-GB"/>
        </w:rPr>
        <w:t xml:space="preserve">= </w:t>
      </w:r>
      <w:r w:rsidR="00F35080" w:rsidRPr="007F62B6">
        <w:rPr>
          <w:lang w:val="en-GB"/>
        </w:rPr>
        <w:t>Number of days an organization can continue to pay its operating expenses using cash on hand.</w:t>
      </w:r>
    </w:p>
    <w:p w14:paraId="433345B9" w14:textId="4A500A3E" w:rsidR="006F5092" w:rsidRPr="007F62B6" w:rsidRDefault="006F5092" w:rsidP="006F5092">
      <w:pPr>
        <w:pStyle w:val="Footnote"/>
        <w:rPr>
          <w:lang w:val="en-GB"/>
        </w:rPr>
      </w:pPr>
      <w:r w:rsidRPr="007F62B6">
        <w:rPr>
          <w:lang w:val="en-GB"/>
        </w:rPr>
        <w:t xml:space="preserve">Source: </w:t>
      </w:r>
      <w:r w:rsidR="00E6497F" w:rsidRPr="007F62B6">
        <w:rPr>
          <w:lang w:val="en-GB"/>
        </w:rPr>
        <w:t xml:space="preserve">Created by </w:t>
      </w:r>
      <w:r w:rsidR="00CA186C">
        <w:rPr>
          <w:lang w:val="en-GB"/>
        </w:rPr>
        <w:t xml:space="preserve">the </w:t>
      </w:r>
      <w:r w:rsidR="00E6497F" w:rsidRPr="007F62B6">
        <w:rPr>
          <w:lang w:val="en-GB"/>
        </w:rPr>
        <w:t>authors using company documents</w:t>
      </w:r>
      <w:r w:rsidRPr="007F62B6">
        <w:rPr>
          <w:lang w:val="en-GB"/>
        </w:rPr>
        <w:t>.</w:t>
      </w:r>
    </w:p>
    <w:p w14:paraId="220D1924" w14:textId="77777777" w:rsidR="00F35080" w:rsidRDefault="00F35080" w:rsidP="00F35080">
      <w:pPr>
        <w:ind w:left="720"/>
        <w:rPr>
          <w:sz w:val="24"/>
          <w:szCs w:val="24"/>
          <w:lang w:val="en-GB"/>
        </w:rPr>
      </w:pPr>
    </w:p>
    <w:p w14:paraId="404941AF" w14:textId="77777777" w:rsidR="00D71BBE" w:rsidRPr="007F62B6" w:rsidRDefault="00D71BBE" w:rsidP="00F35080">
      <w:pPr>
        <w:ind w:left="720"/>
        <w:rPr>
          <w:sz w:val="24"/>
          <w:szCs w:val="24"/>
          <w:lang w:val="en-GB"/>
        </w:rPr>
      </w:pPr>
    </w:p>
    <w:p w14:paraId="07BB07FF" w14:textId="1FD4D114" w:rsidR="00F35080" w:rsidRPr="007F62B6" w:rsidRDefault="00F35080" w:rsidP="00045C78">
      <w:pPr>
        <w:pStyle w:val="ExhibitHeading"/>
        <w:rPr>
          <w:lang w:val="en-GB"/>
        </w:rPr>
      </w:pPr>
      <w:r w:rsidRPr="007F62B6">
        <w:rPr>
          <w:lang w:val="en-GB"/>
        </w:rPr>
        <w:t>Exhibit 7</w:t>
      </w:r>
      <w:r w:rsidR="006F5092" w:rsidRPr="007F62B6">
        <w:rPr>
          <w:lang w:val="en-GB"/>
        </w:rPr>
        <w:t>:</w:t>
      </w:r>
      <w:r w:rsidRPr="007F62B6">
        <w:rPr>
          <w:lang w:val="en-GB"/>
        </w:rPr>
        <w:t xml:space="preserve"> Institute on Aging</w:t>
      </w:r>
      <w:r w:rsidR="00CA186C">
        <w:rPr>
          <w:lang w:val="en-GB"/>
        </w:rPr>
        <w:t>’s</w:t>
      </w:r>
      <w:r w:rsidRPr="007F62B6">
        <w:rPr>
          <w:lang w:val="en-GB"/>
        </w:rPr>
        <w:t xml:space="preserve"> Revenue Streams</w:t>
      </w:r>
      <w:r w:rsidR="00525812">
        <w:rPr>
          <w:lang w:val="en-GB"/>
        </w:rPr>
        <w:t>, 2012–2017</w:t>
      </w:r>
    </w:p>
    <w:p w14:paraId="2D2E7830" w14:textId="77777777" w:rsidR="00F35080" w:rsidRPr="007F62B6" w:rsidRDefault="00F35080" w:rsidP="00F35080">
      <w:pPr>
        <w:rPr>
          <w:lang w:val="en-GB"/>
        </w:rPr>
      </w:pPr>
    </w:p>
    <w:tbl>
      <w:tblPr>
        <w:tblStyle w:val="TableGridLight1"/>
        <w:tblW w:w="9355" w:type="dxa"/>
        <w:jc w:val="center"/>
        <w:tblLayout w:type="fixed"/>
        <w:tblLook w:val="04A0" w:firstRow="1" w:lastRow="0" w:firstColumn="1" w:lastColumn="0" w:noHBand="0" w:noVBand="1"/>
      </w:tblPr>
      <w:tblGrid>
        <w:gridCol w:w="2445"/>
        <w:gridCol w:w="1151"/>
        <w:gridCol w:w="1152"/>
        <w:gridCol w:w="1152"/>
        <w:gridCol w:w="1151"/>
        <w:gridCol w:w="1152"/>
        <w:gridCol w:w="1152"/>
      </w:tblGrid>
      <w:tr w:rsidR="00F35080" w:rsidRPr="007F62B6" w14:paraId="436DD798" w14:textId="77777777" w:rsidTr="00054B7A">
        <w:trPr>
          <w:trHeight w:val="315"/>
          <w:jc w:val="center"/>
        </w:trPr>
        <w:tc>
          <w:tcPr>
            <w:tcW w:w="2445" w:type="dxa"/>
            <w:noWrap/>
            <w:hideMark/>
          </w:tcPr>
          <w:p w14:paraId="6AC585E7" w14:textId="77777777" w:rsidR="00F35080" w:rsidRPr="007F62B6" w:rsidRDefault="00F35080" w:rsidP="00AE1C06">
            <w:pPr>
              <w:jc w:val="center"/>
              <w:rPr>
                <w:rFonts w:ascii="Arial" w:hAnsi="Arial" w:cs="Arial"/>
                <w:color w:val="000000"/>
                <w:lang w:val="en-GB" w:bidi="ne-NP"/>
              </w:rPr>
            </w:pPr>
            <w:r w:rsidRPr="007F62B6">
              <w:rPr>
                <w:rFonts w:ascii="Arial" w:hAnsi="Arial" w:cs="Arial"/>
                <w:color w:val="000000"/>
                <w:lang w:val="en-GB" w:bidi="ne-NP"/>
              </w:rPr>
              <w:t> </w:t>
            </w:r>
          </w:p>
        </w:tc>
        <w:tc>
          <w:tcPr>
            <w:tcW w:w="1151" w:type="dxa"/>
            <w:noWrap/>
            <w:hideMark/>
          </w:tcPr>
          <w:p w14:paraId="36AEDF29" w14:textId="77777777" w:rsidR="00F35080" w:rsidRPr="007F62B6" w:rsidRDefault="00F35080" w:rsidP="00AE1C06">
            <w:pPr>
              <w:jc w:val="center"/>
              <w:rPr>
                <w:rFonts w:ascii="Arial" w:hAnsi="Arial" w:cs="Arial"/>
                <w:b/>
                <w:bCs/>
                <w:color w:val="000000"/>
                <w:u w:val="single"/>
                <w:lang w:val="en-GB" w:bidi="ne-NP"/>
              </w:rPr>
            </w:pPr>
            <w:r w:rsidRPr="007F62B6">
              <w:rPr>
                <w:rFonts w:ascii="Arial" w:hAnsi="Arial" w:cs="Arial"/>
                <w:b/>
                <w:bCs/>
                <w:color w:val="000000"/>
                <w:u w:val="single"/>
                <w:lang w:val="en-GB" w:bidi="ne-NP"/>
              </w:rPr>
              <w:t>2012</w:t>
            </w:r>
          </w:p>
        </w:tc>
        <w:tc>
          <w:tcPr>
            <w:tcW w:w="1152" w:type="dxa"/>
            <w:noWrap/>
            <w:hideMark/>
          </w:tcPr>
          <w:p w14:paraId="6DB405A1" w14:textId="77777777" w:rsidR="00F35080" w:rsidRPr="007F62B6" w:rsidRDefault="00F35080" w:rsidP="00AE1C06">
            <w:pPr>
              <w:jc w:val="center"/>
              <w:rPr>
                <w:rFonts w:ascii="Arial" w:hAnsi="Arial" w:cs="Arial"/>
                <w:b/>
                <w:bCs/>
                <w:color w:val="000000"/>
                <w:u w:val="single"/>
                <w:lang w:val="en-GB" w:bidi="ne-NP"/>
              </w:rPr>
            </w:pPr>
            <w:r w:rsidRPr="007F62B6">
              <w:rPr>
                <w:rFonts w:ascii="Arial" w:hAnsi="Arial" w:cs="Arial"/>
                <w:b/>
                <w:bCs/>
                <w:color w:val="000000"/>
                <w:u w:val="single"/>
                <w:lang w:val="en-GB" w:bidi="ne-NP"/>
              </w:rPr>
              <w:t>2013</w:t>
            </w:r>
          </w:p>
        </w:tc>
        <w:tc>
          <w:tcPr>
            <w:tcW w:w="1152" w:type="dxa"/>
            <w:noWrap/>
            <w:hideMark/>
          </w:tcPr>
          <w:p w14:paraId="2E48D43F" w14:textId="77777777" w:rsidR="00F35080" w:rsidRPr="007F62B6" w:rsidRDefault="00F35080" w:rsidP="00AE1C06">
            <w:pPr>
              <w:jc w:val="center"/>
              <w:rPr>
                <w:rFonts w:ascii="Arial" w:hAnsi="Arial" w:cs="Arial"/>
                <w:b/>
                <w:bCs/>
                <w:color w:val="000000"/>
                <w:u w:val="single"/>
                <w:lang w:val="en-GB" w:bidi="ne-NP"/>
              </w:rPr>
            </w:pPr>
            <w:r w:rsidRPr="007F62B6">
              <w:rPr>
                <w:rFonts w:ascii="Arial" w:hAnsi="Arial" w:cs="Arial"/>
                <w:b/>
                <w:bCs/>
                <w:color w:val="000000"/>
                <w:u w:val="single"/>
                <w:lang w:val="en-GB" w:bidi="ne-NP"/>
              </w:rPr>
              <w:t>2014</w:t>
            </w:r>
          </w:p>
        </w:tc>
        <w:tc>
          <w:tcPr>
            <w:tcW w:w="1151" w:type="dxa"/>
            <w:noWrap/>
            <w:hideMark/>
          </w:tcPr>
          <w:p w14:paraId="3B0337F3" w14:textId="77777777" w:rsidR="00F35080" w:rsidRPr="007F62B6" w:rsidRDefault="00F35080" w:rsidP="00AE1C06">
            <w:pPr>
              <w:jc w:val="center"/>
              <w:rPr>
                <w:rFonts w:ascii="Arial" w:hAnsi="Arial" w:cs="Arial"/>
                <w:b/>
                <w:bCs/>
                <w:color w:val="000000"/>
                <w:u w:val="single"/>
                <w:lang w:val="en-GB" w:bidi="ne-NP"/>
              </w:rPr>
            </w:pPr>
            <w:r w:rsidRPr="007F62B6">
              <w:rPr>
                <w:rFonts w:ascii="Arial" w:hAnsi="Arial" w:cs="Arial"/>
                <w:b/>
                <w:bCs/>
                <w:color w:val="000000"/>
                <w:u w:val="single"/>
                <w:lang w:val="en-GB" w:bidi="ne-NP"/>
              </w:rPr>
              <w:t>2015</w:t>
            </w:r>
          </w:p>
        </w:tc>
        <w:tc>
          <w:tcPr>
            <w:tcW w:w="1152" w:type="dxa"/>
            <w:noWrap/>
            <w:hideMark/>
          </w:tcPr>
          <w:p w14:paraId="05862E90" w14:textId="77777777" w:rsidR="00F35080" w:rsidRPr="007F62B6" w:rsidRDefault="00F35080" w:rsidP="00AE1C06">
            <w:pPr>
              <w:jc w:val="center"/>
              <w:rPr>
                <w:rFonts w:ascii="Arial" w:hAnsi="Arial" w:cs="Arial"/>
                <w:b/>
                <w:bCs/>
                <w:color w:val="000000"/>
                <w:u w:val="single"/>
                <w:lang w:val="en-GB" w:bidi="ne-NP"/>
              </w:rPr>
            </w:pPr>
            <w:r w:rsidRPr="007F62B6">
              <w:rPr>
                <w:rFonts w:ascii="Arial" w:hAnsi="Arial" w:cs="Arial"/>
                <w:b/>
                <w:bCs/>
                <w:color w:val="000000"/>
                <w:u w:val="single"/>
                <w:lang w:val="en-GB" w:bidi="ne-NP"/>
              </w:rPr>
              <w:t>2016</w:t>
            </w:r>
          </w:p>
        </w:tc>
        <w:tc>
          <w:tcPr>
            <w:tcW w:w="1152" w:type="dxa"/>
            <w:noWrap/>
            <w:hideMark/>
          </w:tcPr>
          <w:p w14:paraId="07B4F028" w14:textId="77777777" w:rsidR="00F35080" w:rsidRPr="007F62B6" w:rsidRDefault="00F35080" w:rsidP="00AE1C06">
            <w:pPr>
              <w:jc w:val="center"/>
              <w:rPr>
                <w:rFonts w:ascii="Arial" w:hAnsi="Arial" w:cs="Arial"/>
                <w:b/>
                <w:bCs/>
                <w:color w:val="000000"/>
                <w:u w:val="single"/>
                <w:lang w:val="en-GB" w:bidi="ne-NP"/>
              </w:rPr>
            </w:pPr>
            <w:r w:rsidRPr="007F62B6">
              <w:rPr>
                <w:rFonts w:ascii="Arial" w:hAnsi="Arial" w:cs="Arial"/>
                <w:b/>
                <w:bCs/>
                <w:color w:val="000000"/>
                <w:u w:val="single"/>
                <w:lang w:val="en-GB" w:bidi="ne-NP"/>
              </w:rPr>
              <w:t>2017</w:t>
            </w:r>
          </w:p>
        </w:tc>
      </w:tr>
      <w:tr w:rsidR="00F35080" w:rsidRPr="007F62B6" w14:paraId="2318D1C9" w14:textId="77777777" w:rsidTr="00054B7A">
        <w:trPr>
          <w:trHeight w:val="315"/>
          <w:jc w:val="center"/>
        </w:trPr>
        <w:tc>
          <w:tcPr>
            <w:tcW w:w="2445" w:type="dxa"/>
            <w:noWrap/>
            <w:hideMark/>
          </w:tcPr>
          <w:p w14:paraId="67F4AA5F" w14:textId="77777777" w:rsidR="00F35080" w:rsidRPr="007F62B6" w:rsidRDefault="00F35080" w:rsidP="00AE1C06">
            <w:pPr>
              <w:rPr>
                <w:rFonts w:ascii="Arial" w:hAnsi="Arial" w:cs="Arial"/>
                <w:b/>
                <w:bCs/>
                <w:color w:val="000000"/>
                <w:lang w:val="en-GB" w:bidi="ne-NP"/>
              </w:rPr>
            </w:pPr>
            <w:r w:rsidRPr="007F62B6">
              <w:rPr>
                <w:rFonts w:ascii="Arial" w:hAnsi="Arial" w:cs="Arial"/>
                <w:b/>
                <w:bCs/>
                <w:color w:val="000000"/>
                <w:lang w:val="en-GB" w:bidi="ne-NP"/>
              </w:rPr>
              <w:t>Capitation Revenue</w:t>
            </w:r>
          </w:p>
        </w:tc>
        <w:tc>
          <w:tcPr>
            <w:tcW w:w="1151" w:type="dxa"/>
            <w:noWrap/>
            <w:hideMark/>
          </w:tcPr>
          <w:p w14:paraId="3038FBA5" w14:textId="77777777" w:rsidR="00F35080" w:rsidRPr="007F62B6" w:rsidRDefault="00F35080" w:rsidP="00054B7A">
            <w:pPr>
              <w:tabs>
                <w:tab w:val="decimal" w:pos="422"/>
              </w:tabs>
              <w:jc w:val="center"/>
              <w:rPr>
                <w:rFonts w:ascii="Arial" w:hAnsi="Arial" w:cs="Arial"/>
                <w:color w:val="000000"/>
                <w:lang w:val="en-GB" w:bidi="ne-NP"/>
              </w:rPr>
            </w:pPr>
            <w:r w:rsidRPr="007F62B6">
              <w:rPr>
                <w:rFonts w:ascii="Arial" w:hAnsi="Arial" w:cs="Arial"/>
                <w:color w:val="000000"/>
                <w:lang w:val="en-GB" w:bidi="ne-NP"/>
              </w:rPr>
              <w:t>42.6%</w:t>
            </w:r>
          </w:p>
        </w:tc>
        <w:tc>
          <w:tcPr>
            <w:tcW w:w="1152" w:type="dxa"/>
            <w:noWrap/>
            <w:hideMark/>
          </w:tcPr>
          <w:p w14:paraId="151AA975" w14:textId="77777777" w:rsidR="00F35080" w:rsidRPr="007F62B6" w:rsidRDefault="00F35080" w:rsidP="00054B7A">
            <w:pPr>
              <w:tabs>
                <w:tab w:val="decimal" w:pos="406"/>
              </w:tabs>
              <w:jc w:val="center"/>
              <w:rPr>
                <w:rFonts w:ascii="Arial" w:hAnsi="Arial" w:cs="Arial"/>
                <w:color w:val="000000"/>
                <w:lang w:val="en-GB" w:bidi="ne-NP"/>
              </w:rPr>
            </w:pPr>
            <w:r w:rsidRPr="007F62B6">
              <w:rPr>
                <w:rFonts w:ascii="Arial" w:hAnsi="Arial" w:cs="Arial"/>
                <w:color w:val="000000"/>
                <w:lang w:val="en-GB" w:bidi="ne-NP"/>
              </w:rPr>
              <w:t>43.2%</w:t>
            </w:r>
          </w:p>
        </w:tc>
        <w:tc>
          <w:tcPr>
            <w:tcW w:w="1152" w:type="dxa"/>
            <w:noWrap/>
            <w:hideMark/>
          </w:tcPr>
          <w:p w14:paraId="3AE3B00A" w14:textId="77777777" w:rsidR="00F35080" w:rsidRPr="007F62B6" w:rsidRDefault="00F35080" w:rsidP="00054B7A">
            <w:pPr>
              <w:tabs>
                <w:tab w:val="decimal" w:pos="422"/>
              </w:tabs>
              <w:jc w:val="center"/>
              <w:rPr>
                <w:rFonts w:ascii="Arial" w:hAnsi="Arial" w:cs="Arial"/>
                <w:color w:val="000000"/>
                <w:lang w:val="en-GB" w:bidi="ne-NP"/>
              </w:rPr>
            </w:pPr>
            <w:r w:rsidRPr="007F62B6">
              <w:rPr>
                <w:rFonts w:ascii="Arial" w:hAnsi="Arial" w:cs="Arial"/>
                <w:color w:val="000000"/>
                <w:lang w:val="en-GB" w:bidi="ne-NP"/>
              </w:rPr>
              <w:t>41.7%</w:t>
            </w:r>
          </w:p>
        </w:tc>
        <w:tc>
          <w:tcPr>
            <w:tcW w:w="1151" w:type="dxa"/>
            <w:noWrap/>
            <w:hideMark/>
          </w:tcPr>
          <w:p w14:paraId="4BE554DC" w14:textId="77777777" w:rsidR="00F35080" w:rsidRPr="007F62B6" w:rsidRDefault="00F35080" w:rsidP="00054B7A">
            <w:pPr>
              <w:tabs>
                <w:tab w:val="decimal" w:pos="386"/>
              </w:tabs>
              <w:jc w:val="center"/>
              <w:rPr>
                <w:rFonts w:ascii="Arial" w:hAnsi="Arial" w:cs="Arial"/>
                <w:color w:val="000000"/>
                <w:lang w:val="en-GB" w:bidi="ne-NP"/>
              </w:rPr>
            </w:pPr>
            <w:r w:rsidRPr="007F62B6">
              <w:rPr>
                <w:rFonts w:ascii="Arial" w:hAnsi="Arial" w:cs="Arial"/>
                <w:color w:val="000000"/>
                <w:lang w:val="en-GB" w:bidi="ne-NP"/>
              </w:rPr>
              <w:t>40.8%</w:t>
            </w:r>
          </w:p>
        </w:tc>
        <w:tc>
          <w:tcPr>
            <w:tcW w:w="1152" w:type="dxa"/>
            <w:noWrap/>
            <w:hideMark/>
          </w:tcPr>
          <w:p w14:paraId="37F564F9" w14:textId="77777777" w:rsidR="00F35080" w:rsidRPr="007F62B6" w:rsidRDefault="00F35080" w:rsidP="00054B7A">
            <w:pPr>
              <w:tabs>
                <w:tab w:val="decimal" w:pos="298"/>
              </w:tabs>
              <w:jc w:val="center"/>
              <w:rPr>
                <w:rFonts w:ascii="Arial" w:hAnsi="Arial" w:cs="Arial"/>
                <w:color w:val="000000"/>
                <w:lang w:val="en-GB" w:bidi="ne-NP"/>
              </w:rPr>
            </w:pPr>
            <w:r w:rsidRPr="007F62B6">
              <w:rPr>
                <w:rFonts w:ascii="Arial" w:hAnsi="Arial" w:cs="Arial"/>
                <w:color w:val="000000"/>
                <w:lang w:val="en-GB" w:bidi="ne-NP"/>
              </w:rPr>
              <w:t>40.1%</w:t>
            </w:r>
          </w:p>
        </w:tc>
        <w:tc>
          <w:tcPr>
            <w:tcW w:w="1152" w:type="dxa"/>
            <w:noWrap/>
            <w:hideMark/>
          </w:tcPr>
          <w:p w14:paraId="5C2F7142" w14:textId="77777777" w:rsidR="00F35080" w:rsidRPr="007F62B6" w:rsidRDefault="00F35080" w:rsidP="00054B7A">
            <w:pPr>
              <w:tabs>
                <w:tab w:val="decimal" w:pos="404"/>
              </w:tabs>
              <w:jc w:val="center"/>
              <w:rPr>
                <w:rFonts w:ascii="Arial" w:hAnsi="Arial" w:cs="Arial"/>
                <w:color w:val="000000"/>
                <w:lang w:val="en-GB" w:bidi="ne-NP"/>
              </w:rPr>
            </w:pPr>
            <w:r w:rsidRPr="007F62B6">
              <w:rPr>
                <w:rFonts w:ascii="Arial" w:hAnsi="Arial" w:cs="Arial"/>
                <w:color w:val="000000"/>
                <w:lang w:val="en-GB" w:bidi="ne-NP"/>
              </w:rPr>
              <w:t>39.0%</w:t>
            </w:r>
          </w:p>
        </w:tc>
      </w:tr>
      <w:tr w:rsidR="00F35080" w:rsidRPr="007F62B6" w14:paraId="172B2511" w14:textId="77777777" w:rsidTr="00054B7A">
        <w:trPr>
          <w:trHeight w:val="315"/>
          <w:jc w:val="center"/>
        </w:trPr>
        <w:tc>
          <w:tcPr>
            <w:tcW w:w="2445" w:type="dxa"/>
            <w:noWrap/>
            <w:hideMark/>
          </w:tcPr>
          <w:p w14:paraId="0A34D993" w14:textId="77777777" w:rsidR="00F35080" w:rsidRPr="007F62B6" w:rsidRDefault="00F35080" w:rsidP="00AE1C06">
            <w:pPr>
              <w:rPr>
                <w:rFonts w:ascii="Arial" w:hAnsi="Arial" w:cs="Arial"/>
                <w:b/>
                <w:bCs/>
                <w:color w:val="000000"/>
                <w:lang w:val="en-GB" w:bidi="ne-NP"/>
              </w:rPr>
            </w:pPr>
            <w:r w:rsidRPr="007F62B6">
              <w:rPr>
                <w:rFonts w:ascii="Arial" w:hAnsi="Arial" w:cs="Arial"/>
                <w:b/>
                <w:bCs/>
                <w:color w:val="000000"/>
                <w:lang w:val="en-GB" w:bidi="ne-NP"/>
              </w:rPr>
              <w:t>Net Patient Service</w:t>
            </w:r>
          </w:p>
        </w:tc>
        <w:tc>
          <w:tcPr>
            <w:tcW w:w="1151" w:type="dxa"/>
            <w:noWrap/>
            <w:hideMark/>
          </w:tcPr>
          <w:p w14:paraId="288B8FCE" w14:textId="77777777" w:rsidR="00F35080" w:rsidRPr="007F62B6" w:rsidRDefault="00F35080" w:rsidP="00054B7A">
            <w:pPr>
              <w:tabs>
                <w:tab w:val="decimal" w:pos="422"/>
              </w:tabs>
              <w:jc w:val="center"/>
              <w:rPr>
                <w:rFonts w:ascii="Arial" w:hAnsi="Arial" w:cs="Arial"/>
                <w:color w:val="000000"/>
                <w:lang w:val="en-GB" w:bidi="ne-NP"/>
              </w:rPr>
            </w:pPr>
            <w:r w:rsidRPr="007F62B6">
              <w:rPr>
                <w:rFonts w:ascii="Arial" w:hAnsi="Arial" w:cs="Arial"/>
                <w:color w:val="000000"/>
                <w:lang w:val="en-GB" w:bidi="ne-NP"/>
              </w:rPr>
              <w:t>30.4%</w:t>
            </w:r>
          </w:p>
        </w:tc>
        <w:tc>
          <w:tcPr>
            <w:tcW w:w="1152" w:type="dxa"/>
            <w:noWrap/>
            <w:hideMark/>
          </w:tcPr>
          <w:p w14:paraId="0D189C8B" w14:textId="77777777" w:rsidR="00F35080" w:rsidRPr="007F62B6" w:rsidRDefault="00F35080" w:rsidP="00054B7A">
            <w:pPr>
              <w:tabs>
                <w:tab w:val="decimal" w:pos="406"/>
              </w:tabs>
              <w:jc w:val="center"/>
              <w:rPr>
                <w:rFonts w:ascii="Arial" w:hAnsi="Arial" w:cs="Arial"/>
                <w:color w:val="000000"/>
                <w:lang w:val="en-GB" w:bidi="ne-NP"/>
              </w:rPr>
            </w:pPr>
            <w:r w:rsidRPr="007F62B6">
              <w:rPr>
                <w:rFonts w:ascii="Arial" w:hAnsi="Arial" w:cs="Arial"/>
                <w:color w:val="000000"/>
                <w:lang w:val="en-GB" w:bidi="ne-NP"/>
              </w:rPr>
              <w:t>24.5%</w:t>
            </w:r>
          </w:p>
        </w:tc>
        <w:tc>
          <w:tcPr>
            <w:tcW w:w="1152" w:type="dxa"/>
            <w:noWrap/>
            <w:hideMark/>
          </w:tcPr>
          <w:p w14:paraId="043A37A6" w14:textId="77777777" w:rsidR="00F35080" w:rsidRPr="007F62B6" w:rsidRDefault="00F35080" w:rsidP="00054B7A">
            <w:pPr>
              <w:tabs>
                <w:tab w:val="decimal" w:pos="422"/>
              </w:tabs>
              <w:jc w:val="center"/>
              <w:rPr>
                <w:rFonts w:ascii="Arial" w:hAnsi="Arial" w:cs="Arial"/>
                <w:color w:val="000000"/>
                <w:lang w:val="en-GB" w:bidi="ne-NP"/>
              </w:rPr>
            </w:pPr>
            <w:r w:rsidRPr="007F62B6">
              <w:rPr>
                <w:rFonts w:ascii="Arial" w:hAnsi="Arial" w:cs="Arial"/>
                <w:color w:val="000000"/>
                <w:lang w:val="en-GB" w:bidi="ne-NP"/>
              </w:rPr>
              <w:t>25.4%</w:t>
            </w:r>
          </w:p>
        </w:tc>
        <w:tc>
          <w:tcPr>
            <w:tcW w:w="1151" w:type="dxa"/>
            <w:noWrap/>
            <w:hideMark/>
          </w:tcPr>
          <w:p w14:paraId="487582CB" w14:textId="77777777" w:rsidR="00F35080" w:rsidRPr="007F62B6" w:rsidRDefault="00F35080" w:rsidP="00054B7A">
            <w:pPr>
              <w:tabs>
                <w:tab w:val="decimal" w:pos="386"/>
              </w:tabs>
              <w:jc w:val="center"/>
              <w:rPr>
                <w:rFonts w:ascii="Arial" w:hAnsi="Arial" w:cs="Arial"/>
                <w:color w:val="000000"/>
                <w:lang w:val="en-GB" w:bidi="ne-NP"/>
              </w:rPr>
            </w:pPr>
            <w:r w:rsidRPr="007F62B6">
              <w:rPr>
                <w:rFonts w:ascii="Arial" w:hAnsi="Arial" w:cs="Arial"/>
                <w:color w:val="000000"/>
                <w:lang w:val="en-GB" w:bidi="ne-NP"/>
              </w:rPr>
              <w:t>24.5%</w:t>
            </w:r>
          </w:p>
        </w:tc>
        <w:tc>
          <w:tcPr>
            <w:tcW w:w="1152" w:type="dxa"/>
            <w:noWrap/>
            <w:hideMark/>
          </w:tcPr>
          <w:p w14:paraId="5F277505" w14:textId="77777777" w:rsidR="00F35080" w:rsidRPr="007F62B6" w:rsidRDefault="00F35080" w:rsidP="00054B7A">
            <w:pPr>
              <w:tabs>
                <w:tab w:val="decimal" w:pos="298"/>
              </w:tabs>
              <w:jc w:val="center"/>
              <w:rPr>
                <w:rFonts w:ascii="Arial" w:hAnsi="Arial" w:cs="Arial"/>
                <w:color w:val="000000"/>
                <w:lang w:val="en-GB" w:bidi="ne-NP"/>
              </w:rPr>
            </w:pPr>
            <w:r w:rsidRPr="007F62B6">
              <w:rPr>
                <w:rFonts w:ascii="Arial" w:hAnsi="Arial" w:cs="Arial"/>
                <w:color w:val="000000"/>
                <w:lang w:val="en-GB" w:bidi="ne-NP"/>
              </w:rPr>
              <w:t>25.2%</w:t>
            </w:r>
          </w:p>
        </w:tc>
        <w:tc>
          <w:tcPr>
            <w:tcW w:w="1152" w:type="dxa"/>
            <w:noWrap/>
            <w:hideMark/>
          </w:tcPr>
          <w:p w14:paraId="07C12167" w14:textId="77777777" w:rsidR="00F35080" w:rsidRPr="007F62B6" w:rsidRDefault="00F35080" w:rsidP="00054B7A">
            <w:pPr>
              <w:tabs>
                <w:tab w:val="decimal" w:pos="404"/>
              </w:tabs>
              <w:jc w:val="center"/>
              <w:rPr>
                <w:rFonts w:ascii="Arial" w:hAnsi="Arial" w:cs="Arial"/>
                <w:color w:val="000000"/>
                <w:lang w:val="en-GB" w:bidi="ne-NP"/>
              </w:rPr>
            </w:pPr>
            <w:r w:rsidRPr="007F62B6">
              <w:rPr>
                <w:rFonts w:ascii="Arial" w:hAnsi="Arial" w:cs="Arial"/>
                <w:color w:val="000000"/>
                <w:lang w:val="en-GB" w:bidi="ne-NP"/>
              </w:rPr>
              <w:t>23.5%</w:t>
            </w:r>
          </w:p>
        </w:tc>
      </w:tr>
      <w:tr w:rsidR="00F35080" w:rsidRPr="007F62B6" w14:paraId="5686814E" w14:textId="77777777" w:rsidTr="00054B7A">
        <w:trPr>
          <w:trHeight w:val="315"/>
          <w:jc w:val="center"/>
        </w:trPr>
        <w:tc>
          <w:tcPr>
            <w:tcW w:w="2445" w:type="dxa"/>
            <w:noWrap/>
            <w:hideMark/>
          </w:tcPr>
          <w:p w14:paraId="6D39BCF0" w14:textId="77777777" w:rsidR="00F35080" w:rsidRPr="007F62B6" w:rsidRDefault="00F35080" w:rsidP="00AE1C06">
            <w:pPr>
              <w:rPr>
                <w:rFonts w:ascii="Arial" w:hAnsi="Arial" w:cs="Arial"/>
                <w:b/>
                <w:bCs/>
                <w:color w:val="000000"/>
                <w:lang w:val="en-GB" w:bidi="ne-NP"/>
              </w:rPr>
            </w:pPr>
            <w:r w:rsidRPr="007F62B6">
              <w:rPr>
                <w:rFonts w:ascii="Arial" w:hAnsi="Arial" w:cs="Arial"/>
                <w:b/>
                <w:bCs/>
                <w:color w:val="000000"/>
                <w:lang w:val="en-GB" w:bidi="ne-NP"/>
              </w:rPr>
              <w:t>Grant and Contribution</w:t>
            </w:r>
          </w:p>
        </w:tc>
        <w:tc>
          <w:tcPr>
            <w:tcW w:w="1151" w:type="dxa"/>
            <w:noWrap/>
            <w:hideMark/>
          </w:tcPr>
          <w:p w14:paraId="5B123321" w14:textId="77777777" w:rsidR="00F35080" w:rsidRPr="007F62B6" w:rsidRDefault="00F35080" w:rsidP="00054B7A">
            <w:pPr>
              <w:tabs>
                <w:tab w:val="decimal" w:pos="422"/>
              </w:tabs>
              <w:jc w:val="center"/>
              <w:rPr>
                <w:rFonts w:ascii="Arial" w:hAnsi="Arial" w:cs="Arial"/>
                <w:color w:val="000000"/>
                <w:lang w:val="en-GB" w:bidi="ne-NP"/>
              </w:rPr>
            </w:pPr>
            <w:r w:rsidRPr="007F62B6">
              <w:rPr>
                <w:rFonts w:ascii="Arial" w:hAnsi="Arial" w:cs="Arial"/>
                <w:color w:val="000000"/>
                <w:lang w:val="en-GB" w:bidi="ne-NP"/>
              </w:rPr>
              <w:t>4.6%</w:t>
            </w:r>
          </w:p>
        </w:tc>
        <w:tc>
          <w:tcPr>
            <w:tcW w:w="1152" w:type="dxa"/>
            <w:noWrap/>
            <w:hideMark/>
          </w:tcPr>
          <w:p w14:paraId="64406136" w14:textId="77777777" w:rsidR="00F35080" w:rsidRPr="007F62B6" w:rsidRDefault="00F35080" w:rsidP="00054B7A">
            <w:pPr>
              <w:tabs>
                <w:tab w:val="decimal" w:pos="406"/>
              </w:tabs>
              <w:jc w:val="center"/>
              <w:rPr>
                <w:rFonts w:ascii="Arial" w:hAnsi="Arial" w:cs="Arial"/>
                <w:color w:val="000000"/>
                <w:lang w:val="en-GB" w:bidi="ne-NP"/>
              </w:rPr>
            </w:pPr>
            <w:r w:rsidRPr="007F62B6">
              <w:rPr>
                <w:rFonts w:ascii="Arial" w:hAnsi="Arial" w:cs="Arial"/>
                <w:color w:val="000000"/>
                <w:lang w:val="en-GB" w:bidi="ne-NP"/>
              </w:rPr>
              <w:t>4.8%</w:t>
            </w:r>
          </w:p>
        </w:tc>
        <w:tc>
          <w:tcPr>
            <w:tcW w:w="1152" w:type="dxa"/>
            <w:noWrap/>
            <w:hideMark/>
          </w:tcPr>
          <w:p w14:paraId="14DE47DC" w14:textId="77777777" w:rsidR="00F35080" w:rsidRPr="007F62B6" w:rsidRDefault="00F35080" w:rsidP="00054B7A">
            <w:pPr>
              <w:tabs>
                <w:tab w:val="decimal" w:pos="422"/>
              </w:tabs>
              <w:jc w:val="center"/>
              <w:rPr>
                <w:rFonts w:ascii="Arial" w:hAnsi="Arial" w:cs="Arial"/>
                <w:color w:val="000000"/>
                <w:lang w:val="en-GB" w:bidi="ne-NP"/>
              </w:rPr>
            </w:pPr>
            <w:r w:rsidRPr="007F62B6">
              <w:rPr>
                <w:rFonts w:ascii="Arial" w:hAnsi="Arial" w:cs="Arial"/>
                <w:color w:val="000000"/>
                <w:lang w:val="en-GB" w:bidi="ne-NP"/>
              </w:rPr>
              <w:t>3.8%</w:t>
            </w:r>
          </w:p>
        </w:tc>
        <w:tc>
          <w:tcPr>
            <w:tcW w:w="1151" w:type="dxa"/>
            <w:noWrap/>
            <w:hideMark/>
          </w:tcPr>
          <w:p w14:paraId="2E778456" w14:textId="77777777" w:rsidR="00F35080" w:rsidRPr="007F62B6" w:rsidRDefault="00F35080" w:rsidP="00054B7A">
            <w:pPr>
              <w:tabs>
                <w:tab w:val="decimal" w:pos="386"/>
              </w:tabs>
              <w:jc w:val="center"/>
              <w:rPr>
                <w:rFonts w:ascii="Arial" w:hAnsi="Arial" w:cs="Arial"/>
                <w:color w:val="000000"/>
                <w:lang w:val="en-GB" w:bidi="ne-NP"/>
              </w:rPr>
            </w:pPr>
            <w:r w:rsidRPr="007F62B6">
              <w:rPr>
                <w:rFonts w:ascii="Arial" w:hAnsi="Arial" w:cs="Arial"/>
                <w:color w:val="000000"/>
                <w:lang w:val="en-GB" w:bidi="ne-NP"/>
              </w:rPr>
              <w:t>4.9%</w:t>
            </w:r>
          </w:p>
        </w:tc>
        <w:tc>
          <w:tcPr>
            <w:tcW w:w="1152" w:type="dxa"/>
            <w:noWrap/>
            <w:hideMark/>
          </w:tcPr>
          <w:p w14:paraId="3A1CA0AC" w14:textId="77777777" w:rsidR="00F35080" w:rsidRPr="007F62B6" w:rsidRDefault="00F35080" w:rsidP="00054B7A">
            <w:pPr>
              <w:tabs>
                <w:tab w:val="decimal" w:pos="298"/>
              </w:tabs>
              <w:jc w:val="center"/>
              <w:rPr>
                <w:rFonts w:ascii="Arial" w:hAnsi="Arial" w:cs="Arial"/>
                <w:color w:val="000000"/>
                <w:lang w:val="en-GB" w:bidi="ne-NP"/>
              </w:rPr>
            </w:pPr>
            <w:r w:rsidRPr="007F62B6">
              <w:rPr>
                <w:rFonts w:ascii="Arial" w:hAnsi="Arial" w:cs="Arial"/>
                <w:color w:val="000000"/>
                <w:lang w:val="en-GB" w:bidi="ne-NP"/>
              </w:rPr>
              <w:t>4.3%</w:t>
            </w:r>
          </w:p>
        </w:tc>
        <w:tc>
          <w:tcPr>
            <w:tcW w:w="1152" w:type="dxa"/>
            <w:noWrap/>
            <w:hideMark/>
          </w:tcPr>
          <w:p w14:paraId="774CC09F" w14:textId="77777777" w:rsidR="00F35080" w:rsidRPr="007F62B6" w:rsidRDefault="00F35080" w:rsidP="00054B7A">
            <w:pPr>
              <w:tabs>
                <w:tab w:val="decimal" w:pos="404"/>
              </w:tabs>
              <w:jc w:val="center"/>
              <w:rPr>
                <w:rFonts w:ascii="Arial" w:hAnsi="Arial" w:cs="Arial"/>
                <w:color w:val="000000"/>
                <w:lang w:val="en-GB" w:bidi="ne-NP"/>
              </w:rPr>
            </w:pPr>
            <w:r w:rsidRPr="007F62B6">
              <w:rPr>
                <w:rFonts w:ascii="Arial" w:hAnsi="Arial" w:cs="Arial"/>
                <w:color w:val="000000"/>
                <w:lang w:val="en-GB" w:bidi="ne-NP"/>
              </w:rPr>
              <w:t>4.3%</w:t>
            </w:r>
          </w:p>
        </w:tc>
      </w:tr>
      <w:tr w:rsidR="00F35080" w:rsidRPr="007F62B6" w14:paraId="5AF40BFD" w14:textId="77777777" w:rsidTr="00054B7A">
        <w:trPr>
          <w:trHeight w:val="315"/>
          <w:jc w:val="center"/>
        </w:trPr>
        <w:tc>
          <w:tcPr>
            <w:tcW w:w="2445" w:type="dxa"/>
            <w:noWrap/>
            <w:hideMark/>
          </w:tcPr>
          <w:p w14:paraId="011B7CC2" w14:textId="77777777" w:rsidR="00F35080" w:rsidRPr="007F62B6" w:rsidRDefault="00F35080" w:rsidP="00AE1C06">
            <w:pPr>
              <w:rPr>
                <w:rFonts w:ascii="Arial" w:hAnsi="Arial" w:cs="Arial"/>
                <w:b/>
                <w:bCs/>
                <w:color w:val="000000"/>
                <w:lang w:val="en-GB" w:bidi="ne-NP"/>
              </w:rPr>
            </w:pPr>
            <w:r w:rsidRPr="007F62B6">
              <w:rPr>
                <w:rFonts w:ascii="Arial" w:hAnsi="Arial" w:cs="Arial"/>
                <w:b/>
                <w:bCs/>
                <w:color w:val="000000"/>
                <w:lang w:val="en-GB" w:bidi="ne-NP"/>
              </w:rPr>
              <w:t>Government Contract</w:t>
            </w:r>
          </w:p>
        </w:tc>
        <w:tc>
          <w:tcPr>
            <w:tcW w:w="1151" w:type="dxa"/>
            <w:noWrap/>
            <w:hideMark/>
          </w:tcPr>
          <w:p w14:paraId="168DD5C7" w14:textId="77777777" w:rsidR="00F35080" w:rsidRPr="007F62B6" w:rsidRDefault="00F35080" w:rsidP="00054B7A">
            <w:pPr>
              <w:tabs>
                <w:tab w:val="decimal" w:pos="422"/>
              </w:tabs>
              <w:jc w:val="center"/>
              <w:rPr>
                <w:rFonts w:ascii="Arial" w:hAnsi="Arial" w:cs="Arial"/>
                <w:color w:val="000000"/>
                <w:lang w:val="en-GB" w:bidi="ne-NP"/>
              </w:rPr>
            </w:pPr>
            <w:r w:rsidRPr="007F62B6">
              <w:rPr>
                <w:rFonts w:ascii="Arial" w:hAnsi="Arial" w:cs="Arial"/>
                <w:color w:val="000000"/>
                <w:lang w:val="en-GB" w:bidi="ne-NP"/>
              </w:rPr>
              <w:t>21.1%</w:t>
            </w:r>
          </w:p>
        </w:tc>
        <w:tc>
          <w:tcPr>
            <w:tcW w:w="1152" w:type="dxa"/>
            <w:noWrap/>
            <w:hideMark/>
          </w:tcPr>
          <w:p w14:paraId="5A4EE8B7" w14:textId="77777777" w:rsidR="00F35080" w:rsidRPr="007F62B6" w:rsidRDefault="00F35080" w:rsidP="00054B7A">
            <w:pPr>
              <w:tabs>
                <w:tab w:val="decimal" w:pos="406"/>
              </w:tabs>
              <w:jc w:val="center"/>
              <w:rPr>
                <w:rFonts w:ascii="Arial" w:hAnsi="Arial" w:cs="Arial"/>
                <w:color w:val="000000"/>
                <w:lang w:val="en-GB" w:bidi="ne-NP"/>
              </w:rPr>
            </w:pPr>
            <w:r w:rsidRPr="007F62B6">
              <w:rPr>
                <w:rFonts w:ascii="Arial" w:hAnsi="Arial" w:cs="Arial"/>
                <w:color w:val="000000"/>
                <w:lang w:val="en-GB" w:bidi="ne-NP"/>
              </w:rPr>
              <w:t>24.4%</w:t>
            </w:r>
          </w:p>
        </w:tc>
        <w:tc>
          <w:tcPr>
            <w:tcW w:w="1152" w:type="dxa"/>
            <w:noWrap/>
            <w:hideMark/>
          </w:tcPr>
          <w:p w14:paraId="2042AD61" w14:textId="77777777" w:rsidR="00F35080" w:rsidRPr="007F62B6" w:rsidRDefault="00F35080" w:rsidP="00054B7A">
            <w:pPr>
              <w:tabs>
                <w:tab w:val="decimal" w:pos="422"/>
              </w:tabs>
              <w:jc w:val="center"/>
              <w:rPr>
                <w:rFonts w:ascii="Arial" w:hAnsi="Arial" w:cs="Arial"/>
                <w:color w:val="000000"/>
                <w:lang w:val="en-GB" w:bidi="ne-NP"/>
              </w:rPr>
            </w:pPr>
            <w:r w:rsidRPr="007F62B6">
              <w:rPr>
                <w:rFonts w:ascii="Arial" w:hAnsi="Arial" w:cs="Arial"/>
                <w:color w:val="000000"/>
                <w:lang w:val="en-GB" w:bidi="ne-NP"/>
              </w:rPr>
              <w:t>25.6%</w:t>
            </w:r>
          </w:p>
        </w:tc>
        <w:tc>
          <w:tcPr>
            <w:tcW w:w="1151" w:type="dxa"/>
            <w:noWrap/>
            <w:hideMark/>
          </w:tcPr>
          <w:p w14:paraId="39022BD2" w14:textId="77777777" w:rsidR="00F35080" w:rsidRPr="007F62B6" w:rsidRDefault="00F35080" w:rsidP="00054B7A">
            <w:pPr>
              <w:tabs>
                <w:tab w:val="decimal" w:pos="386"/>
              </w:tabs>
              <w:jc w:val="center"/>
              <w:rPr>
                <w:rFonts w:ascii="Arial" w:hAnsi="Arial" w:cs="Arial"/>
                <w:color w:val="000000"/>
                <w:lang w:val="en-GB" w:bidi="ne-NP"/>
              </w:rPr>
            </w:pPr>
            <w:r w:rsidRPr="007F62B6">
              <w:rPr>
                <w:rFonts w:ascii="Arial" w:hAnsi="Arial" w:cs="Arial"/>
                <w:color w:val="000000"/>
                <w:lang w:val="en-GB" w:bidi="ne-NP"/>
              </w:rPr>
              <w:t>23.4%</w:t>
            </w:r>
          </w:p>
        </w:tc>
        <w:tc>
          <w:tcPr>
            <w:tcW w:w="1152" w:type="dxa"/>
            <w:noWrap/>
            <w:hideMark/>
          </w:tcPr>
          <w:p w14:paraId="2357D901" w14:textId="77777777" w:rsidR="00F35080" w:rsidRPr="007F62B6" w:rsidRDefault="00F35080" w:rsidP="00054B7A">
            <w:pPr>
              <w:tabs>
                <w:tab w:val="decimal" w:pos="298"/>
              </w:tabs>
              <w:jc w:val="center"/>
              <w:rPr>
                <w:rFonts w:ascii="Arial" w:hAnsi="Arial" w:cs="Arial"/>
                <w:color w:val="000000"/>
                <w:lang w:val="en-GB" w:bidi="ne-NP"/>
              </w:rPr>
            </w:pPr>
            <w:r w:rsidRPr="007F62B6">
              <w:rPr>
                <w:rFonts w:ascii="Arial" w:hAnsi="Arial" w:cs="Arial"/>
                <w:color w:val="000000"/>
                <w:lang w:val="en-GB" w:bidi="ne-NP"/>
              </w:rPr>
              <w:t>21.4%</w:t>
            </w:r>
          </w:p>
        </w:tc>
        <w:tc>
          <w:tcPr>
            <w:tcW w:w="1152" w:type="dxa"/>
            <w:noWrap/>
            <w:hideMark/>
          </w:tcPr>
          <w:p w14:paraId="7C2CBA4D" w14:textId="77777777" w:rsidR="00F35080" w:rsidRPr="007F62B6" w:rsidRDefault="00F35080" w:rsidP="00054B7A">
            <w:pPr>
              <w:tabs>
                <w:tab w:val="decimal" w:pos="404"/>
              </w:tabs>
              <w:jc w:val="center"/>
              <w:rPr>
                <w:rFonts w:ascii="Arial" w:hAnsi="Arial" w:cs="Arial"/>
                <w:color w:val="000000"/>
                <w:lang w:val="en-GB" w:bidi="ne-NP"/>
              </w:rPr>
            </w:pPr>
            <w:r w:rsidRPr="007F62B6">
              <w:rPr>
                <w:rFonts w:ascii="Arial" w:hAnsi="Arial" w:cs="Arial"/>
                <w:color w:val="000000"/>
                <w:lang w:val="en-GB" w:bidi="ne-NP"/>
              </w:rPr>
              <w:t>20.8%</w:t>
            </w:r>
          </w:p>
        </w:tc>
      </w:tr>
      <w:tr w:rsidR="00F35080" w:rsidRPr="007F62B6" w14:paraId="14A93D52" w14:textId="77777777" w:rsidTr="00054B7A">
        <w:trPr>
          <w:trHeight w:val="315"/>
          <w:jc w:val="center"/>
        </w:trPr>
        <w:tc>
          <w:tcPr>
            <w:tcW w:w="2445" w:type="dxa"/>
            <w:noWrap/>
            <w:hideMark/>
          </w:tcPr>
          <w:p w14:paraId="5F7CD807" w14:textId="77777777" w:rsidR="00F35080" w:rsidRPr="007F62B6" w:rsidRDefault="00F35080" w:rsidP="00AE1C06">
            <w:pPr>
              <w:rPr>
                <w:rFonts w:ascii="Arial" w:hAnsi="Arial" w:cs="Arial"/>
                <w:b/>
                <w:bCs/>
                <w:color w:val="000000"/>
                <w:lang w:val="en-GB" w:bidi="ne-NP"/>
              </w:rPr>
            </w:pPr>
            <w:r w:rsidRPr="007F62B6">
              <w:rPr>
                <w:rFonts w:ascii="Arial" w:hAnsi="Arial" w:cs="Arial"/>
                <w:b/>
                <w:bCs/>
                <w:color w:val="000000"/>
                <w:lang w:val="en-GB" w:bidi="ne-NP"/>
              </w:rPr>
              <w:t>Investment Income</w:t>
            </w:r>
          </w:p>
        </w:tc>
        <w:tc>
          <w:tcPr>
            <w:tcW w:w="1151" w:type="dxa"/>
            <w:noWrap/>
            <w:hideMark/>
          </w:tcPr>
          <w:p w14:paraId="53786CB1" w14:textId="77777777" w:rsidR="00F35080" w:rsidRPr="007F62B6" w:rsidRDefault="00F35080" w:rsidP="00054B7A">
            <w:pPr>
              <w:tabs>
                <w:tab w:val="decimal" w:pos="422"/>
              </w:tabs>
              <w:jc w:val="center"/>
              <w:rPr>
                <w:rFonts w:ascii="Arial" w:hAnsi="Arial" w:cs="Arial"/>
                <w:color w:val="000000"/>
                <w:lang w:val="en-GB" w:bidi="ne-NP"/>
              </w:rPr>
            </w:pPr>
            <w:r w:rsidRPr="007F62B6">
              <w:rPr>
                <w:rFonts w:ascii="Arial" w:hAnsi="Arial" w:cs="Arial"/>
                <w:color w:val="000000"/>
                <w:lang w:val="en-GB" w:bidi="ne-NP"/>
              </w:rPr>
              <w:t>1.4%</w:t>
            </w:r>
          </w:p>
        </w:tc>
        <w:tc>
          <w:tcPr>
            <w:tcW w:w="1152" w:type="dxa"/>
            <w:noWrap/>
            <w:hideMark/>
          </w:tcPr>
          <w:p w14:paraId="4DEEAE92" w14:textId="77777777" w:rsidR="00F35080" w:rsidRPr="007F62B6" w:rsidRDefault="00F35080" w:rsidP="00054B7A">
            <w:pPr>
              <w:tabs>
                <w:tab w:val="decimal" w:pos="406"/>
              </w:tabs>
              <w:jc w:val="center"/>
              <w:rPr>
                <w:rFonts w:ascii="Arial" w:hAnsi="Arial" w:cs="Arial"/>
                <w:color w:val="000000"/>
                <w:lang w:val="en-GB" w:bidi="ne-NP"/>
              </w:rPr>
            </w:pPr>
            <w:r w:rsidRPr="007F62B6">
              <w:rPr>
                <w:rFonts w:ascii="Arial" w:hAnsi="Arial" w:cs="Arial"/>
                <w:color w:val="000000"/>
                <w:lang w:val="en-GB" w:bidi="ne-NP"/>
              </w:rPr>
              <w:t>1.0%</w:t>
            </w:r>
          </w:p>
        </w:tc>
        <w:tc>
          <w:tcPr>
            <w:tcW w:w="1152" w:type="dxa"/>
            <w:noWrap/>
            <w:hideMark/>
          </w:tcPr>
          <w:p w14:paraId="58AC02EF" w14:textId="77777777" w:rsidR="00F35080" w:rsidRPr="007F62B6" w:rsidRDefault="00F35080" w:rsidP="00054B7A">
            <w:pPr>
              <w:tabs>
                <w:tab w:val="decimal" w:pos="422"/>
              </w:tabs>
              <w:jc w:val="center"/>
              <w:rPr>
                <w:rFonts w:ascii="Arial" w:hAnsi="Arial" w:cs="Arial"/>
                <w:color w:val="000000"/>
                <w:lang w:val="en-GB" w:bidi="ne-NP"/>
              </w:rPr>
            </w:pPr>
            <w:r w:rsidRPr="007F62B6">
              <w:rPr>
                <w:rFonts w:ascii="Arial" w:hAnsi="Arial" w:cs="Arial"/>
                <w:color w:val="000000"/>
                <w:lang w:val="en-GB" w:bidi="ne-NP"/>
              </w:rPr>
              <w:t>0.5%</w:t>
            </w:r>
          </w:p>
        </w:tc>
        <w:tc>
          <w:tcPr>
            <w:tcW w:w="1151" w:type="dxa"/>
            <w:noWrap/>
            <w:hideMark/>
          </w:tcPr>
          <w:p w14:paraId="59F97A3E" w14:textId="77777777" w:rsidR="00F35080" w:rsidRPr="007F62B6" w:rsidRDefault="00F35080" w:rsidP="00054B7A">
            <w:pPr>
              <w:tabs>
                <w:tab w:val="decimal" w:pos="386"/>
              </w:tabs>
              <w:jc w:val="center"/>
              <w:rPr>
                <w:rFonts w:ascii="Arial" w:hAnsi="Arial" w:cs="Arial"/>
                <w:color w:val="000000"/>
                <w:lang w:val="en-GB" w:bidi="ne-NP"/>
              </w:rPr>
            </w:pPr>
            <w:r w:rsidRPr="007F62B6">
              <w:rPr>
                <w:rFonts w:ascii="Arial" w:hAnsi="Arial" w:cs="Arial"/>
                <w:color w:val="000000"/>
                <w:lang w:val="en-GB" w:bidi="ne-NP"/>
              </w:rPr>
              <w:t>0.4%</w:t>
            </w:r>
          </w:p>
        </w:tc>
        <w:tc>
          <w:tcPr>
            <w:tcW w:w="1152" w:type="dxa"/>
            <w:noWrap/>
            <w:hideMark/>
          </w:tcPr>
          <w:p w14:paraId="52D37A2F" w14:textId="77777777" w:rsidR="00F35080" w:rsidRPr="007F62B6" w:rsidRDefault="00F35080" w:rsidP="00054B7A">
            <w:pPr>
              <w:tabs>
                <w:tab w:val="decimal" w:pos="298"/>
              </w:tabs>
              <w:jc w:val="center"/>
              <w:rPr>
                <w:rFonts w:ascii="Arial" w:hAnsi="Arial" w:cs="Arial"/>
                <w:color w:val="000000"/>
                <w:lang w:val="en-GB" w:bidi="ne-NP"/>
              </w:rPr>
            </w:pPr>
            <w:r w:rsidRPr="007F62B6">
              <w:rPr>
                <w:rFonts w:ascii="Arial" w:hAnsi="Arial" w:cs="Arial"/>
                <w:color w:val="000000"/>
                <w:lang w:val="en-GB" w:bidi="ne-NP"/>
              </w:rPr>
              <w:t>0.3%</w:t>
            </w:r>
          </w:p>
        </w:tc>
        <w:tc>
          <w:tcPr>
            <w:tcW w:w="1152" w:type="dxa"/>
            <w:noWrap/>
            <w:hideMark/>
          </w:tcPr>
          <w:p w14:paraId="160338DD" w14:textId="77777777" w:rsidR="00F35080" w:rsidRPr="007F62B6" w:rsidRDefault="00F35080" w:rsidP="00054B7A">
            <w:pPr>
              <w:tabs>
                <w:tab w:val="decimal" w:pos="404"/>
              </w:tabs>
              <w:jc w:val="center"/>
              <w:rPr>
                <w:rFonts w:ascii="Arial" w:hAnsi="Arial" w:cs="Arial"/>
                <w:color w:val="000000"/>
                <w:lang w:val="en-GB" w:bidi="ne-NP"/>
              </w:rPr>
            </w:pPr>
            <w:r w:rsidRPr="007F62B6">
              <w:rPr>
                <w:rFonts w:ascii="Arial" w:hAnsi="Arial" w:cs="Arial"/>
                <w:color w:val="000000"/>
                <w:lang w:val="en-GB" w:bidi="ne-NP"/>
              </w:rPr>
              <w:t>0.3%</w:t>
            </w:r>
          </w:p>
        </w:tc>
      </w:tr>
      <w:tr w:rsidR="00F35080" w:rsidRPr="007F62B6" w14:paraId="2031990A" w14:textId="77777777" w:rsidTr="00054B7A">
        <w:trPr>
          <w:trHeight w:val="315"/>
          <w:jc w:val="center"/>
        </w:trPr>
        <w:tc>
          <w:tcPr>
            <w:tcW w:w="2445" w:type="dxa"/>
            <w:noWrap/>
            <w:hideMark/>
          </w:tcPr>
          <w:p w14:paraId="3BA22DC2" w14:textId="77777777" w:rsidR="00F35080" w:rsidRPr="007F62B6" w:rsidRDefault="00F35080" w:rsidP="00AE1C06">
            <w:pPr>
              <w:rPr>
                <w:rFonts w:ascii="Arial" w:hAnsi="Arial" w:cs="Arial"/>
                <w:b/>
                <w:bCs/>
                <w:color w:val="000000"/>
                <w:lang w:val="en-GB" w:bidi="ne-NP"/>
              </w:rPr>
            </w:pPr>
            <w:r w:rsidRPr="007F62B6">
              <w:rPr>
                <w:rFonts w:ascii="Arial" w:hAnsi="Arial" w:cs="Arial"/>
                <w:b/>
                <w:bCs/>
                <w:color w:val="000000"/>
                <w:lang w:val="en-GB" w:bidi="ne-NP"/>
              </w:rPr>
              <w:t>Realized and Unrealized</w:t>
            </w:r>
          </w:p>
        </w:tc>
        <w:tc>
          <w:tcPr>
            <w:tcW w:w="1151" w:type="dxa"/>
            <w:noWrap/>
            <w:hideMark/>
          </w:tcPr>
          <w:p w14:paraId="57C24371" w14:textId="707AE49C" w:rsidR="00F35080" w:rsidRPr="007F62B6" w:rsidRDefault="00CA186C" w:rsidP="00054B7A">
            <w:pPr>
              <w:tabs>
                <w:tab w:val="decimal" w:pos="422"/>
              </w:tabs>
              <w:jc w:val="center"/>
              <w:rPr>
                <w:rFonts w:ascii="Arial" w:hAnsi="Arial" w:cs="Arial"/>
                <w:color w:val="000000"/>
                <w:lang w:val="en-GB" w:bidi="ne-NP"/>
              </w:rPr>
            </w:pPr>
            <w:r>
              <w:rPr>
                <w:rFonts w:ascii="Arial" w:hAnsi="Arial" w:cs="Arial"/>
                <w:color w:val="000000"/>
                <w:lang w:val="en-GB" w:bidi="ne-NP"/>
              </w:rPr>
              <w:t>–</w:t>
            </w:r>
            <w:r w:rsidR="00F35080" w:rsidRPr="007F62B6">
              <w:rPr>
                <w:rFonts w:ascii="Arial" w:hAnsi="Arial" w:cs="Arial"/>
                <w:color w:val="000000"/>
                <w:lang w:val="en-GB" w:bidi="ne-NP"/>
              </w:rPr>
              <w:t>1.2%</w:t>
            </w:r>
          </w:p>
        </w:tc>
        <w:tc>
          <w:tcPr>
            <w:tcW w:w="1152" w:type="dxa"/>
            <w:noWrap/>
            <w:hideMark/>
          </w:tcPr>
          <w:p w14:paraId="52A22954" w14:textId="77777777" w:rsidR="00F35080" w:rsidRPr="007F62B6" w:rsidRDefault="00F35080" w:rsidP="00054B7A">
            <w:pPr>
              <w:tabs>
                <w:tab w:val="decimal" w:pos="406"/>
              </w:tabs>
              <w:jc w:val="center"/>
              <w:rPr>
                <w:rFonts w:ascii="Arial" w:hAnsi="Arial" w:cs="Arial"/>
                <w:color w:val="000000"/>
                <w:lang w:val="en-GB" w:bidi="ne-NP"/>
              </w:rPr>
            </w:pPr>
            <w:r w:rsidRPr="007F62B6">
              <w:rPr>
                <w:rFonts w:ascii="Arial" w:hAnsi="Arial" w:cs="Arial"/>
                <w:color w:val="000000"/>
                <w:lang w:val="en-GB" w:bidi="ne-NP"/>
              </w:rPr>
              <w:t>0.8%</w:t>
            </w:r>
          </w:p>
        </w:tc>
        <w:tc>
          <w:tcPr>
            <w:tcW w:w="1152" w:type="dxa"/>
            <w:noWrap/>
            <w:hideMark/>
          </w:tcPr>
          <w:p w14:paraId="32186F35" w14:textId="77777777" w:rsidR="00F35080" w:rsidRPr="007F62B6" w:rsidRDefault="00F35080" w:rsidP="00054B7A">
            <w:pPr>
              <w:tabs>
                <w:tab w:val="decimal" w:pos="422"/>
              </w:tabs>
              <w:jc w:val="center"/>
              <w:rPr>
                <w:rFonts w:ascii="Arial" w:hAnsi="Arial" w:cs="Arial"/>
                <w:color w:val="000000"/>
                <w:lang w:val="en-GB" w:bidi="ne-NP"/>
              </w:rPr>
            </w:pPr>
            <w:r w:rsidRPr="007F62B6">
              <w:rPr>
                <w:rFonts w:ascii="Arial" w:hAnsi="Arial" w:cs="Arial"/>
                <w:color w:val="000000"/>
                <w:lang w:val="en-GB" w:bidi="ne-NP"/>
              </w:rPr>
              <w:t>0.3%</w:t>
            </w:r>
          </w:p>
        </w:tc>
        <w:tc>
          <w:tcPr>
            <w:tcW w:w="1151" w:type="dxa"/>
            <w:noWrap/>
            <w:hideMark/>
          </w:tcPr>
          <w:p w14:paraId="6E6F091C" w14:textId="35A1309B" w:rsidR="00F35080" w:rsidRPr="007F62B6" w:rsidRDefault="00CA186C" w:rsidP="00054B7A">
            <w:pPr>
              <w:tabs>
                <w:tab w:val="decimal" w:pos="386"/>
              </w:tabs>
              <w:jc w:val="center"/>
              <w:rPr>
                <w:rFonts w:ascii="Arial" w:hAnsi="Arial" w:cs="Arial"/>
                <w:color w:val="000000"/>
                <w:lang w:val="en-GB" w:bidi="ne-NP"/>
              </w:rPr>
            </w:pPr>
            <w:r>
              <w:rPr>
                <w:rFonts w:ascii="Arial" w:hAnsi="Arial" w:cs="Arial"/>
                <w:color w:val="000000"/>
                <w:lang w:val="en-GB" w:bidi="ne-NP"/>
              </w:rPr>
              <w:t>–</w:t>
            </w:r>
            <w:r w:rsidR="00F35080" w:rsidRPr="007F62B6">
              <w:rPr>
                <w:rFonts w:ascii="Arial" w:hAnsi="Arial" w:cs="Arial"/>
                <w:color w:val="000000"/>
                <w:lang w:val="en-GB" w:bidi="ne-NP"/>
              </w:rPr>
              <w:t>0.2%</w:t>
            </w:r>
          </w:p>
        </w:tc>
        <w:tc>
          <w:tcPr>
            <w:tcW w:w="1152" w:type="dxa"/>
            <w:noWrap/>
            <w:hideMark/>
          </w:tcPr>
          <w:p w14:paraId="34BD749A" w14:textId="03D26E93" w:rsidR="00F35080" w:rsidRPr="007F62B6" w:rsidRDefault="00CA186C" w:rsidP="00054B7A">
            <w:pPr>
              <w:tabs>
                <w:tab w:val="decimal" w:pos="298"/>
              </w:tabs>
              <w:jc w:val="center"/>
              <w:rPr>
                <w:rFonts w:ascii="Arial" w:hAnsi="Arial" w:cs="Arial"/>
                <w:color w:val="000000"/>
                <w:lang w:val="en-GB" w:bidi="ne-NP"/>
              </w:rPr>
            </w:pPr>
            <w:r>
              <w:rPr>
                <w:rFonts w:ascii="Arial" w:hAnsi="Arial" w:cs="Arial"/>
                <w:color w:val="000000"/>
                <w:lang w:val="en-GB" w:bidi="ne-NP"/>
              </w:rPr>
              <w:t>–</w:t>
            </w:r>
            <w:r w:rsidR="00F35080" w:rsidRPr="007F62B6">
              <w:rPr>
                <w:rFonts w:ascii="Arial" w:hAnsi="Arial" w:cs="Arial"/>
                <w:color w:val="000000"/>
                <w:lang w:val="en-GB" w:bidi="ne-NP"/>
              </w:rPr>
              <w:t>0.3%</w:t>
            </w:r>
          </w:p>
        </w:tc>
        <w:tc>
          <w:tcPr>
            <w:tcW w:w="1152" w:type="dxa"/>
            <w:noWrap/>
            <w:hideMark/>
          </w:tcPr>
          <w:p w14:paraId="632F147B" w14:textId="77777777" w:rsidR="00F35080" w:rsidRPr="007F62B6" w:rsidRDefault="00F35080" w:rsidP="00054B7A">
            <w:pPr>
              <w:tabs>
                <w:tab w:val="decimal" w:pos="404"/>
              </w:tabs>
              <w:jc w:val="center"/>
              <w:rPr>
                <w:rFonts w:ascii="Arial" w:hAnsi="Arial" w:cs="Arial"/>
                <w:color w:val="000000"/>
                <w:lang w:val="en-GB" w:bidi="ne-NP"/>
              </w:rPr>
            </w:pPr>
            <w:r w:rsidRPr="007F62B6">
              <w:rPr>
                <w:rFonts w:ascii="Arial" w:hAnsi="Arial" w:cs="Arial"/>
                <w:color w:val="000000"/>
                <w:lang w:val="en-GB" w:bidi="ne-NP"/>
              </w:rPr>
              <w:t>0.0%</w:t>
            </w:r>
          </w:p>
        </w:tc>
      </w:tr>
      <w:tr w:rsidR="00F35080" w:rsidRPr="007F62B6" w14:paraId="7B8DBD56" w14:textId="77777777" w:rsidTr="00054B7A">
        <w:trPr>
          <w:trHeight w:val="315"/>
          <w:jc w:val="center"/>
        </w:trPr>
        <w:tc>
          <w:tcPr>
            <w:tcW w:w="2445" w:type="dxa"/>
            <w:noWrap/>
            <w:hideMark/>
          </w:tcPr>
          <w:p w14:paraId="29C8CCC1" w14:textId="77777777" w:rsidR="00F35080" w:rsidRPr="007F62B6" w:rsidRDefault="00F35080" w:rsidP="00AE1C06">
            <w:pPr>
              <w:rPr>
                <w:rFonts w:ascii="Arial" w:hAnsi="Arial" w:cs="Arial"/>
                <w:b/>
                <w:bCs/>
                <w:color w:val="000000"/>
                <w:lang w:val="en-GB" w:bidi="ne-NP"/>
              </w:rPr>
            </w:pPr>
            <w:r w:rsidRPr="007F62B6">
              <w:rPr>
                <w:rFonts w:ascii="Arial" w:hAnsi="Arial" w:cs="Arial"/>
                <w:b/>
                <w:bCs/>
                <w:color w:val="000000"/>
                <w:lang w:val="en-GB" w:bidi="ne-NP"/>
              </w:rPr>
              <w:t>Health Plan Revenue</w:t>
            </w:r>
          </w:p>
        </w:tc>
        <w:tc>
          <w:tcPr>
            <w:tcW w:w="1151" w:type="dxa"/>
            <w:noWrap/>
            <w:hideMark/>
          </w:tcPr>
          <w:p w14:paraId="1763E3D4" w14:textId="3AE89CB9" w:rsidR="00F35080" w:rsidRPr="007F62B6" w:rsidRDefault="00F35080" w:rsidP="00054B7A">
            <w:pPr>
              <w:tabs>
                <w:tab w:val="decimal" w:pos="422"/>
              </w:tabs>
              <w:jc w:val="center"/>
              <w:rPr>
                <w:rFonts w:ascii="Arial" w:hAnsi="Arial" w:cs="Arial"/>
                <w:color w:val="000000"/>
                <w:lang w:val="en-GB" w:bidi="ne-NP"/>
              </w:rPr>
            </w:pPr>
            <w:r w:rsidRPr="007F62B6">
              <w:rPr>
                <w:rFonts w:ascii="Arial" w:hAnsi="Arial" w:cs="Arial"/>
                <w:color w:val="000000"/>
                <w:lang w:val="en-GB" w:bidi="ne-NP"/>
              </w:rPr>
              <w:t xml:space="preserve"> </w:t>
            </w:r>
            <w:r w:rsidR="00CA186C">
              <w:rPr>
                <w:rFonts w:ascii="Arial" w:hAnsi="Arial" w:cs="Arial"/>
                <w:color w:val="000000"/>
                <w:lang w:val="en-GB" w:bidi="ne-NP"/>
              </w:rPr>
              <w:t>–</w:t>
            </w:r>
            <w:r w:rsidR="00CA186C" w:rsidRPr="007F62B6">
              <w:rPr>
                <w:rFonts w:ascii="Arial" w:hAnsi="Arial" w:cs="Arial"/>
                <w:color w:val="000000"/>
                <w:lang w:val="en-GB" w:bidi="ne-NP"/>
              </w:rPr>
              <w:t xml:space="preserve"> </w:t>
            </w:r>
          </w:p>
        </w:tc>
        <w:tc>
          <w:tcPr>
            <w:tcW w:w="1152" w:type="dxa"/>
            <w:noWrap/>
            <w:hideMark/>
          </w:tcPr>
          <w:p w14:paraId="6E27FC14" w14:textId="08D13C34" w:rsidR="00F35080" w:rsidRPr="007F62B6" w:rsidRDefault="00F35080" w:rsidP="00054B7A">
            <w:pPr>
              <w:tabs>
                <w:tab w:val="decimal" w:pos="406"/>
              </w:tabs>
              <w:jc w:val="center"/>
              <w:rPr>
                <w:rFonts w:ascii="Arial" w:hAnsi="Arial" w:cs="Arial"/>
                <w:color w:val="000000"/>
                <w:lang w:val="en-GB" w:bidi="ne-NP"/>
              </w:rPr>
            </w:pPr>
            <w:r w:rsidRPr="007F62B6">
              <w:rPr>
                <w:rFonts w:ascii="Arial" w:hAnsi="Arial" w:cs="Arial"/>
                <w:color w:val="000000"/>
                <w:lang w:val="en-GB" w:bidi="ne-NP"/>
              </w:rPr>
              <w:t xml:space="preserve"> </w:t>
            </w:r>
            <w:r w:rsidR="00CA186C">
              <w:rPr>
                <w:rFonts w:ascii="Arial" w:hAnsi="Arial" w:cs="Arial"/>
                <w:color w:val="000000"/>
                <w:lang w:val="en-GB" w:bidi="ne-NP"/>
              </w:rPr>
              <w:t>–</w:t>
            </w:r>
            <w:r w:rsidRPr="007F62B6">
              <w:rPr>
                <w:rFonts w:ascii="Arial" w:hAnsi="Arial" w:cs="Arial"/>
                <w:color w:val="000000"/>
                <w:lang w:val="en-GB" w:bidi="ne-NP"/>
              </w:rPr>
              <w:t xml:space="preserve"> </w:t>
            </w:r>
          </w:p>
        </w:tc>
        <w:tc>
          <w:tcPr>
            <w:tcW w:w="1152" w:type="dxa"/>
            <w:noWrap/>
            <w:hideMark/>
          </w:tcPr>
          <w:p w14:paraId="0EFE70B9" w14:textId="5DFF45F2" w:rsidR="00F35080" w:rsidRPr="007F62B6" w:rsidRDefault="00F35080" w:rsidP="00054B7A">
            <w:pPr>
              <w:tabs>
                <w:tab w:val="decimal" w:pos="422"/>
              </w:tabs>
              <w:jc w:val="center"/>
              <w:rPr>
                <w:rFonts w:ascii="Arial" w:hAnsi="Arial" w:cs="Arial"/>
                <w:color w:val="000000"/>
                <w:lang w:val="en-GB" w:bidi="ne-NP"/>
              </w:rPr>
            </w:pPr>
            <w:r w:rsidRPr="007F62B6">
              <w:rPr>
                <w:rFonts w:ascii="Arial" w:hAnsi="Arial" w:cs="Arial"/>
                <w:color w:val="000000"/>
                <w:lang w:val="en-GB" w:bidi="ne-NP"/>
              </w:rPr>
              <w:t xml:space="preserve"> </w:t>
            </w:r>
            <w:r w:rsidR="00CA186C">
              <w:rPr>
                <w:rFonts w:ascii="Arial" w:hAnsi="Arial" w:cs="Arial"/>
                <w:color w:val="000000"/>
                <w:lang w:val="en-GB" w:bidi="ne-NP"/>
              </w:rPr>
              <w:t>–</w:t>
            </w:r>
            <w:r w:rsidRPr="007F62B6">
              <w:rPr>
                <w:rFonts w:ascii="Arial" w:hAnsi="Arial" w:cs="Arial"/>
                <w:color w:val="000000"/>
                <w:lang w:val="en-GB" w:bidi="ne-NP"/>
              </w:rPr>
              <w:t xml:space="preserve"> </w:t>
            </w:r>
          </w:p>
        </w:tc>
        <w:tc>
          <w:tcPr>
            <w:tcW w:w="1151" w:type="dxa"/>
            <w:noWrap/>
            <w:hideMark/>
          </w:tcPr>
          <w:p w14:paraId="52371A96" w14:textId="77777777" w:rsidR="00F35080" w:rsidRPr="007F62B6" w:rsidRDefault="00F35080" w:rsidP="00054B7A">
            <w:pPr>
              <w:tabs>
                <w:tab w:val="decimal" w:pos="386"/>
              </w:tabs>
              <w:jc w:val="center"/>
              <w:rPr>
                <w:rFonts w:ascii="Arial" w:hAnsi="Arial" w:cs="Arial"/>
                <w:color w:val="000000"/>
                <w:lang w:val="en-GB" w:bidi="ne-NP"/>
              </w:rPr>
            </w:pPr>
            <w:r w:rsidRPr="007F62B6">
              <w:rPr>
                <w:rFonts w:ascii="Arial" w:hAnsi="Arial" w:cs="Arial"/>
                <w:color w:val="000000"/>
                <w:lang w:val="en-GB" w:bidi="ne-NP"/>
              </w:rPr>
              <w:t>4.0%</w:t>
            </w:r>
          </w:p>
        </w:tc>
        <w:tc>
          <w:tcPr>
            <w:tcW w:w="1152" w:type="dxa"/>
            <w:noWrap/>
            <w:hideMark/>
          </w:tcPr>
          <w:p w14:paraId="2703BADE" w14:textId="77777777" w:rsidR="00F35080" w:rsidRPr="007F62B6" w:rsidRDefault="00F35080" w:rsidP="00054B7A">
            <w:pPr>
              <w:tabs>
                <w:tab w:val="decimal" w:pos="298"/>
              </w:tabs>
              <w:jc w:val="center"/>
              <w:rPr>
                <w:rFonts w:ascii="Arial" w:hAnsi="Arial" w:cs="Arial"/>
                <w:color w:val="000000"/>
                <w:lang w:val="en-GB" w:bidi="ne-NP"/>
              </w:rPr>
            </w:pPr>
            <w:r w:rsidRPr="007F62B6">
              <w:rPr>
                <w:rFonts w:ascii="Arial" w:hAnsi="Arial" w:cs="Arial"/>
                <w:color w:val="000000"/>
                <w:lang w:val="en-GB" w:bidi="ne-NP"/>
              </w:rPr>
              <w:t>7.0%</w:t>
            </w:r>
          </w:p>
        </w:tc>
        <w:tc>
          <w:tcPr>
            <w:tcW w:w="1152" w:type="dxa"/>
            <w:noWrap/>
            <w:hideMark/>
          </w:tcPr>
          <w:p w14:paraId="5524B056" w14:textId="77777777" w:rsidR="00F35080" w:rsidRPr="007F62B6" w:rsidRDefault="00F35080" w:rsidP="00054B7A">
            <w:pPr>
              <w:tabs>
                <w:tab w:val="decimal" w:pos="404"/>
              </w:tabs>
              <w:jc w:val="center"/>
              <w:rPr>
                <w:rFonts w:ascii="Arial" w:hAnsi="Arial" w:cs="Arial"/>
                <w:color w:val="000000"/>
                <w:lang w:val="en-GB" w:bidi="ne-NP"/>
              </w:rPr>
            </w:pPr>
            <w:r w:rsidRPr="007F62B6">
              <w:rPr>
                <w:rFonts w:ascii="Arial" w:hAnsi="Arial" w:cs="Arial"/>
                <w:color w:val="000000"/>
                <w:lang w:val="en-GB" w:bidi="ne-NP"/>
              </w:rPr>
              <w:t>9.2%</w:t>
            </w:r>
          </w:p>
        </w:tc>
      </w:tr>
      <w:tr w:rsidR="00F35080" w:rsidRPr="007F62B6" w14:paraId="12908FA8" w14:textId="77777777" w:rsidTr="00054B7A">
        <w:trPr>
          <w:trHeight w:val="315"/>
          <w:jc w:val="center"/>
        </w:trPr>
        <w:tc>
          <w:tcPr>
            <w:tcW w:w="2445" w:type="dxa"/>
            <w:noWrap/>
            <w:hideMark/>
          </w:tcPr>
          <w:p w14:paraId="07A5943E" w14:textId="77777777" w:rsidR="00F35080" w:rsidRPr="007F62B6" w:rsidRDefault="00F35080" w:rsidP="00AE1C06">
            <w:pPr>
              <w:rPr>
                <w:rFonts w:ascii="Arial" w:hAnsi="Arial" w:cs="Arial"/>
                <w:b/>
                <w:bCs/>
                <w:color w:val="000000"/>
                <w:lang w:val="en-GB" w:bidi="ne-NP"/>
              </w:rPr>
            </w:pPr>
            <w:r w:rsidRPr="007F62B6">
              <w:rPr>
                <w:rFonts w:ascii="Arial" w:hAnsi="Arial" w:cs="Arial"/>
                <w:b/>
                <w:bCs/>
                <w:color w:val="000000"/>
                <w:lang w:val="en-GB" w:bidi="ne-NP"/>
              </w:rPr>
              <w:t>Other Revenue</w:t>
            </w:r>
          </w:p>
        </w:tc>
        <w:tc>
          <w:tcPr>
            <w:tcW w:w="1151" w:type="dxa"/>
            <w:noWrap/>
            <w:hideMark/>
          </w:tcPr>
          <w:p w14:paraId="7634B5B5" w14:textId="77777777" w:rsidR="00F35080" w:rsidRPr="007F62B6" w:rsidRDefault="00F35080" w:rsidP="00054B7A">
            <w:pPr>
              <w:tabs>
                <w:tab w:val="decimal" w:pos="422"/>
              </w:tabs>
              <w:jc w:val="center"/>
              <w:rPr>
                <w:rFonts w:ascii="Arial" w:hAnsi="Arial" w:cs="Arial"/>
                <w:color w:val="000000"/>
                <w:lang w:val="en-GB" w:bidi="ne-NP"/>
              </w:rPr>
            </w:pPr>
            <w:r w:rsidRPr="007F62B6">
              <w:rPr>
                <w:rFonts w:ascii="Arial" w:hAnsi="Arial" w:cs="Arial"/>
                <w:color w:val="000000"/>
                <w:lang w:val="en-GB" w:bidi="ne-NP"/>
              </w:rPr>
              <w:t>1.1%</w:t>
            </w:r>
          </w:p>
        </w:tc>
        <w:tc>
          <w:tcPr>
            <w:tcW w:w="1152" w:type="dxa"/>
            <w:noWrap/>
            <w:hideMark/>
          </w:tcPr>
          <w:p w14:paraId="5F2BE0E1" w14:textId="77777777" w:rsidR="00F35080" w:rsidRPr="007F62B6" w:rsidRDefault="00F35080" w:rsidP="00054B7A">
            <w:pPr>
              <w:tabs>
                <w:tab w:val="decimal" w:pos="406"/>
              </w:tabs>
              <w:jc w:val="center"/>
              <w:rPr>
                <w:rFonts w:ascii="Arial" w:hAnsi="Arial" w:cs="Arial"/>
                <w:color w:val="000000"/>
                <w:lang w:val="en-GB" w:bidi="ne-NP"/>
              </w:rPr>
            </w:pPr>
            <w:r w:rsidRPr="007F62B6">
              <w:rPr>
                <w:rFonts w:ascii="Arial" w:hAnsi="Arial" w:cs="Arial"/>
                <w:color w:val="000000"/>
                <w:lang w:val="en-GB" w:bidi="ne-NP"/>
              </w:rPr>
              <w:t>1.3%</w:t>
            </w:r>
          </w:p>
        </w:tc>
        <w:tc>
          <w:tcPr>
            <w:tcW w:w="1152" w:type="dxa"/>
            <w:noWrap/>
            <w:hideMark/>
          </w:tcPr>
          <w:p w14:paraId="315F08F5" w14:textId="77777777" w:rsidR="00F35080" w:rsidRPr="007F62B6" w:rsidRDefault="00F35080" w:rsidP="00054B7A">
            <w:pPr>
              <w:tabs>
                <w:tab w:val="decimal" w:pos="422"/>
              </w:tabs>
              <w:jc w:val="center"/>
              <w:rPr>
                <w:rFonts w:ascii="Arial" w:hAnsi="Arial" w:cs="Arial"/>
                <w:color w:val="000000"/>
                <w:lang w:val="en-GB" w:bidi="ne-NP"/>
              </w:rPr>
            </w:pPr>
            <w:r w:rsidRPr="007F62B6">
              <w:rPr>
                <w:rFonts w:ascii="Arial" w:hAnsi="Arial" w:cs="Arial"/>
                <w:color w:val="000000"/>
                <w:lang w:val="en-GB" w:bidi="ne-NP"/>
              </w:rPr>
              <w:t>2.7%</w:t>
            </w:r>
          </w:p>
        </w:tc>
        <w:tc>
          <w:tcPr>
            <w:tcW w:w="1151" w:type="dxa"/>
            <w:noWrap/>
            <w:hideMark/>
          </w:tcPr>
          <w:p w14:paraId="25E76417" w14:textId="77777777" w:rsidR="00F35080" w:rsidRPr="007F62B6" w:rsidRDefault="00F35080" w:rsidP="00054B7A">
            <w:pPr>
              <w:tabs>
                <w:tab w:val="decimal" w:pos="386"/>
              </w:tabs>
              <w:jc w:val="center"/>
              <w:rPr>
                <w:rFonts w:ascii="Arial" w:hAnsi="Arial" w:cs="Arial"/>
                <w:color w:val="000000"/>
                <w:lang w:val="en-GB" w:bidi="ne-NP"/>
              </w:rPr>
            </w:pPr>
            <w:r w:rsidRPr="007F62B6">
              <w:rPr>
                <w:rFonts w:ascii="Arial" w:hAnsi="Arial" w:cs="Arial"/>
                <w:color w:val="000000"/>
                <w:lang w:val="en-GB" w:bidi="ne-NP"/>
              </w:rPr>
              <w:t>1.7%</w:t>
            </w:r>
          </w:p>
        </w:tc>
        <w:tc>
          <w:tcPr>
            <w:tcW w:w="1152" w:type="dxa"/>
            <w:noWrap/>
            <w:hideMark/>
          </w:tcPr>
          <w:p w14:paraId="38F78BF7" w14:textId="77777777" w:rsidR="00F35080" w:rsidRPr="007F62B6" w:rsidRDefault="00F35080" w:rsidP="00054B7A">
            <w:pPr>
              <w:tabs>
                <w:tab w:val="decimal" w:pos="298"/>
              </w:tabs>
              <w:jc w:val="center"/>
              <w:rPr>
                <w:rFonts w:ascii="Arial" w:hAnsi="Arial" w:cs="Arial"/>
                <w:color w:val="000000"/>
                <w:lang w:val="en-GB" w:bidi="ne-NP"/>
              </w:rPr>
            </w:pPr>
            <w:r w:rsidRPr="007F62B6">
              <w:rPr>
                <w:rFonts w:ascii="Arial" w:hAnsi="Arial" w:cs="Arial"/>
                <w:color w:val="000000"/>
                <w:lang w:val="en-GB" w:bidi="ne-NP"/>
              </w:rPr>
              <w:t>2.1%</w:t>
            </w:r>
          </w:p>
        </w:tc>
        <w:tc>
          <w:tcPr>
            <w:tcW w:w="1152" w:type="dxa"/>
            <w:noWrap/>
            <w:hideMark/>
          </w:tcPr>
          <w:p w14:paraId="0BC152C2" w14:textId="77777777" w:rsidR="00F35080" w:rsidRPr="007F62B6" w:rsidRDefault="00F35080" w:rsidP="00054B7A">
            <w:pPr>
              <w:tabs>
                <w:tab w:val="decimal" w:pos="404"/>
              </w:tabs>
              <w:jc w:val="center"/>
              <w:rPr>
                <w:rFonts w:ascii="Arial" w:hAnsi="Arial" w:cs="Arial"/>
                <w:color w:val="000000"/>
                <w:lang w:val="en-GB" w:bidi="ne-NP"/>
              </w:rPr>
            </w:pPr>
            <w:r w:rsidRPr="007F62B6">
              <w:rPr>
                <w:rFonts w:ascii="Arial" w:hAnsi="Arial" w:cs="Arial"/>
                <w:color w:val="000000"/>
                <w:lang w:val="en-GB" w:bidi="ne-NP"/>
              </w:rPr>
              <w:t>3.0%</w:t>
            </w:r>
          </w:p>
        </w:tc>
      </w:tr>
    </w:tbl>
    <w:p w14:paraId="4EE3D5D4" w14:textId="77777777" w:rsidR="00F35080" w:rsidRPr="007F62B6" w:rsidRDefault="00F35080" w:rsidP="006F5092">
      <w:pPr>
        <w:pStyle w:val="Footnote"/>
        <w:rPr>
          <w:lang w:val="en-GB"/>
        </w:rPr>
      </w:pPr>
    </w:p>
    <w:p w14:paraId="3B30FB0F" w14:textId="6402C02E" w:rsidR="006F5092" w:rsidRPr="007F62B6" w:rsidRDefault="006F5092" w:rsidP="006F5092">
      <w:pPr>
        <w:pStyle w:val="Footnote"/>
        <w:rPr>
          <w:lang w:val="en-GB"/>
        </w:rPr>
      </w:pPr>
      <w:r w:rsidRPr="007F62B6">
        <w:rPr>
          <w:bCs/>
          <w:iCs/>
          <w:lang w:val="en-GB"/>
        </w:rPr>
        <w:t>Notes</w:t>
      </w:r>
      <w:r w:rsidR="00F35080" w:rsidRPr="007F62B6">
        <w:rPr>
          <w:bCs/>
          <w:iCs/>
          <w:lang w:val="en-GB"/>
        </w:rPr>
        <w:t>:</w:t>
      </w:r>
      <w:r w:rsidRPr="007F62B6">
        <w:rPr>
          <w:bCs/>
          <w:iCs/>
          <w:lang w:val="en-GB"/>
        </w:rPr>
        <w:t xml:space="preserve"> </w:t>
      </w:r>
      <w:r w:rsidR="00F35080" w:rsidRPr="00054B7A">
        <w:rPr>
          <w:iCs/>
          <w:lang w:val="en-GB"/>
        </w:rPr>
        <w:t>Capitation Revenue</w:t>
      </w:r>
      <w:r w:rsidR="00CA186C">
        <w:rPr>
          <w:iCs/>
          <w:lang w:val="en-GB"/>
        </w:rPr>
        <w:t xml:space="preserve"> =</w:t>
      </w:r>
      <w:r w:rsidR="00F35080" w:rsidRPr="007F62B6">
        <w:rPr>
          <w:lang w:val="en-GB"/>
        </w:rPr>
        <w:t xml:space="preserve"> Payments received from </w:t>
      </w:r>
      <w:r w:rsidR="00B34B29" w:rsidRPr="007F62B6">
        <w:rPr>
          <w:lang w:val="en-GB"/>
        </w:rPr>
        <w:t>S</w:t>
      </w:r>
      <w:r w:rsidR="00CA186C">
        <w:rPr>
          <w:lang w:val="en-GB"/>
        </w:rPr>
        <w:t xml:space="preserve">enior </w:t>
      </w:r>
      <w:r w:rsidR="00B34B29" w:rsidRPr="007F62B6">
        <w:rPr>
          <w:lang w:val="en-GB"/>
        </w:rPr>
        <w:t>S</w:t>
      </w:r>
      <w:r w:rsidR="00CA186C">
        <w:rPr>
          <w:lang w:val="en-GB"/>
        </w:rPr>
        <w:t xml:space="preserve">ervices </w:t>
      </w:r>
      <w:r w:rsidR="00B34B29" w:rsidRPr="007F62B6">
        <w:rPr>
          <w:lang w:val="en-GB"/>
        </w:rPr>
        <w:t>I</w:t>
      </w:r>
      <w:r w:rsidR="00CA186C">
        <w:rPr>
          <w:lang w:val="en-GB"/>
        </w:rPr>
        <w:t>ncorporated</w:t>
      </w:r>
      <w:r w:rsidR="00B34B29" w:rsidRPr="007F62B6">
        <w:rPr>
          <w:lang w:val="en-GB"/>
        </w:rPr>
        <w:t xml:space="preserve"> </w:t>
      </w:r>
      <w:r w:rsidR="00F35080" w:rsidRPr="007F62B6">
        <w:rPr>
          <w:lang w:val="en-GB"/>
        </w:rPr>
        <w:t>for providing medical services to P</w:t>
      </w:r>
      <w:r w:rsidR="00E70269">
        <w:rPr>
          <w:lang w:val="en-GB"/>
        </w:rPr>
        <w:t xml:space="preserve">rograms of </w:t>
      </w:r>
      <w:r w:rsidR="00F35080" w:rsidRPr="007F62B6">
        <w:rPr>
          <w:lang w:val="en-GB"/>
        </w:rPr>
        <w:t>A</w:t>
      </w:r>
      <w:r w:rsidR="00E70269">
        <w:rPr>
          <w:lang w:val="en-GB"/>
        </w:rPr>
        <w:t xml:space="preserve">ll-Inclusive </w:t>
      </w:r>
      <w:r w:rsidR="00F35080" w:rsidRPr="007F62B6">
        <w:rPr>
          <w:lang w:val="en-GB"/>
        </w:rPr>
        <w:t>C</w:t>
      </w:r>
      <w:r w:rsidR="00E70269">
        <w:rPr>
          <w:lang w:val="en-GB"/>
        </w:rPr>
        <w:t xml:space="preserve">are for the </w:t>
      </w:r>
      <w:r w:rsidR="00F35080" w:rsidRPr="007F62B6">
        <w:rPr>
          <w:lang w:val="en-GB"/>
        </w:rPr>
        <w:t>E</w:t>
      </w:r>
      <w:r w:rsidR="00E70269">
        <w:rPr>
          <w:lang w:val="en-GB"/>
        </w:rPr>
        <w:t>lderly</w:t>
      </w:r>
      <w:r w:rsidR="00F35080" w:rsidRPr="007F62B6">
        <w:rPr>
          <w:lang w:val="en-GB"/>
        </w:rPr>
        <w:t xml:space="preserve"> clients</w:t>
      </w:r>
      <w:r w:rsidR="00E70269">
        <w:rPr>
          <w:lang w:val="en-GB"/>
        </w:rPr>
        <w:t xml:space="preserve">; </w:t>
      </w:r>
      <w:r w:rsidR="00F35080" w:rsidRPr="00054B7A">
        <w:rPr>
          <w:iCs/>
          <w:lang w:val="en-GB"/>
        </w:rPr>
        <w:t>Net Patient Service</w:t>
      </w:r>
      <w:r w:rsidR="00E70269">
        <w:rPr>
          <w:iCs/>
          <w:lang w:val="en-GB"/>
        </w:rPr>
        <w:t xml:space="preserve"> =</w:t>
      </w:r>
      <w:r w:rsidR="00F35080" w:rsidRPr="007F62B6">
        <w:rPr>
          <w:lang w:val="en-GB"/>
        </w:rPr>
        <w:t xml:space="preserve"> Payments received from patients and third parties for providing direct services</w:t>
      </w:r>
      <w:r w:rsidR="00E70269">
        <w:rPr>
          <w:lang w:val="en-GB"/>
        </w:rPr>
        <w:t>;</w:t>
      </w:r>
      <w:r w:rsidR="00E70269">
        <w:rPr>
          <w:i/>
          <w:iCs/>
          <w:lang w:val="en-GB"/>
        </w:rPr>
        <w:t xml:space="preserve"> </w:t>
      </w:r>
      <w:r w:rsidR="00F35080" w:rsidRPr="00054B7A">
        <w:rPr>
          <w:iCs/>
          <w:lang w:val="en-GB"/>
        </w:rPr>
        <w:t>Grant and Contribution</w:t>
      </w:r>
      <w:r w:rsidR="00F35080" w:rsidRPr="007F62B6">
        <w:rPr>
          <w:lang w:val="en-GB"/>
        </w:rPr>
        <w:t xml:space="preserve"> </w:t>
      </w:r>
      <w:r w:rsidR="00E70269">
        <w:rPr>
          <w:lang w:val="en-GB"/>
        </w:rPr>
        <w:t xml:space="preserve">= </w:t>
      </w:r>
      <w:r w:rsidR="00F35080" w:rsidRPr="007F62B6">
        <w:rPr>
          <w:lang w:val="en-GB"/>
        </w:rPr>
        <w:t>Support from donations and grants</w:t>
      </w:r>
      <w:r w:rsidR="00E70269">
        <w:rPr>
          <w:lang w:val="en-GB"/>
        </w:rPr>
        <w:t xml:space="preserve">; </w:t>
      </w:r>
      <w:r w:rsidR="00F35080" w:rsidRPr="00054B7A">
        <w:rPr>
          <w:iCs/>
          <w:lang w:val="en-GB"/>
        </w:rPr>
        <w:t>Government Contract</w:t>
      </w:r>
      <w:r w:rsidR="00E70269">
        <w:rPr>
          <w:iCs/>
          <w:lang w:val="en-GB"/>
        </w:rPr>
        <w:t xml:space="preserve"> =</w:t>
      </w:r>
      <w:r w:rsidR="00F35080" w:rsidRPr="007F62B6">
        <w:rPr>
          <w:lang w:val="en-GB"/>
        </w:rPr>
        <w:t xml:space="preserve"> Funds provided through federal, state, and county contracts</w:t>
      </w:r>
      <w:r w:rsidR="00E70269">
        <w:rPr>
          <w:lang w:val="en-GB"/>
        </w:rPr>
        <w:t xml:space="preserve">; </w:t>
      </w:r>
      <w:r w:rsidR="00F35080" w:rsidRPr="00054B7A">
        <w:rPr>
          <w:iCs/>
          <w:lang w:val="en-GB"/>
        </w:rPr>
        <w:t>Investment Income</w:t>
      </w:r>
      <w:r w:rsidR="00F35080" w:rsidRPr="007F62B6">
        <w:rPr>
          <w:lang w:val="en-GB"/>
        </w:rPr>
        <w:t xml:space="preserve"> </w:t>
      </w:r>
      <w:r w:rsidR="00E70269">
        <w:rPr>
          <w:lang w:val="en-GB"/>
        </w:rPr>
        <w:t xml:space="preserve">= </w:t>
      </w:r>
      <w:r w:rsidR="00F35080" w:rsidRPr="007F62B6">
        <w:rPr>
          <w:lang w:val="en-GB"/>
        </w:rPr>
        <w:t>Revenue from investments</w:t>
      </w:r>
      <w:r w:rsidR="00E70269">
        <w:rPr>
          <w:lang w:val="en-GB"/>
        </w:rPr>
        <w:t xml:space="preserve">; </w:t>
      </w:r>
      <w:r w:rsidR="00F35080" w:rsidRPr="00054B7A">
        <w:rPr>
          <w:iCs/>
          <w:lang w:val="en-GB"/>
        </w:rPr>
        <w:t>Realized and Unrealized</w:t>
      </w:r>
      <w:r w:rsidR="00E70269">
        <w:rPr>
          <w:iCs/>
          <w:lang w:val="en-GB"/>
        </w:rPr>
        <w:t xml:space="preserve"> =</w:t>
      </w:r>
      <w:r w:rsidR="00F35080" w:rsidRPr="00E70269">
        <w:rPr>
          <w:lang w:val="en-GB"/>
        </w:rPr>
        <w:t xml:space="preserve"> </w:t>
      </w:r>
      <w:r w:rsidR="00F35080" w:rsidRPr="007F62B6">
        <w:rPr>
          <w:lang w:val="en-GB"/>
        </w:rPr>
        <w:t>Gains and losses from changes in the value of assets or liabilities</w:t>
      </w:r>
      <w:r w:rsidR="00E70269">
        <w:rPr>
          <w:lang w:val="en-GB"/>
        </w:rPr>
        <w:t xml:space="preserve">; </w:t>
      </w:r>
      <w:r w:rsidR="00F35080" w:rsidRPr="00054B7A">
        <w:rPr>
          <w:iCs/>
          <w:lang w:val="en-GB"/>
        </w:rPr>
        <w:t>Health Plan Revenue</w:t>
      </w:r>
      <w:r w:rsidR="00F35080" w:rsidRPr="007F62B6">
        <w:rPr>
          <w:lang w:val="en-GB"/>
        </w:rPr>
        <w:t xml:space="preserve"> </w:t>
      </w:r>
      <w:r w:rsidR="00E70269">
        <w:rPr>
          <w:lang w:val="en-GB"/>
        </w:rPr>
        <w:t xml:space="preserve">= </w:t>
      </w:r>
      <w:r w:rsidR="00F35080" w:rsidRPr="007F62B6">
        <w:rPr>
          <w:lang w:val="en-GB"/>
        </w:rPr>
        <w:t>Income generated from contracts with county health plans</w:t>
      </w:r>
      <w:r w:rsidR="00E70269">
        <w:rPr>
          <w:lang w:val="en-GB"/>
        </w:rPr>
        <w:t>,</w:t>
      </w:r>
      <w:r w:rsidR="00F35080" w:rsidRPr="007F62B6">
        <w:rPr>
          <w:lang w:val="en-GB"/>
        </w:rPr>
        <w:t xml:space="preserve"> such as the Inland Empire Health Plan</w:t>
      </w:r>
      <w:r w:rsidR="00E70269">
        <w:rPr>
          <w:lang w:val="en-GB"/>
        </w:rPr>
        <w:t xml:space="preserve">; </w:t>
      </w:r>
      <w:r w:rsidR="00F35080" w:rsidRPr="00054B7A">
        <w:rPr>
          <w:iCs/>
          <w:lang w:val="en-GB"/>
        </w:rPr>
        <w:t>Other Revenue</w:t>
      </w:r>
      <w:r w:rsidR="00F35080" w:rsidRPr="007F62B6">
        <w:rPr>
          <w:lang w:val="en-GB"/>
        </w:rPr>
        <w:t xml:space="preserve"> </w:t>
      </w:r>
      <w:r w:rsidR="00E70269">
        <w:rPr>
          <w:lang w:val="en-GB"/>
        </w:rPr>
        <w:t xml:space="preserve">= </w:t>
      </w:r>
      <w:r w:rsidR="00F35080" w:rsidRPr="007F62B6">
        <w:rPr>
          <w:lang w:val="en-GB"/>
        </w:rPr>
        <w:t>Miscellaneous sources of income.</w:t>
      </w:r>
    </w:p>
    <w:p w14:paraId="33F88AAD" w14:textId="5D185FE6" w:rsidR="00F35080" w:rsidRPr="007F62B6" w:rsidRDefault="006F5092" w:rsidP="00A82A12">
      <w:pPr>
        <w:pStyle w:val="Footnote"/>
        <w:rPr>
          <w:rFonts w:ascii="Times New Roman" w:hAnsi="Times New Roman"/>
          <w:sz w:val="20"/>
          <w:lang w:val="en-GB"/>
        </w:rPr>
      </w:pPr>
      <w:r w:rsidRPr="007F62B6">
        <w:rPr>
          <w:lang w:val="en-GB"/>
        </w:rPr>
        <w:t xml:space="preserve">Source: </w:t>
      </w:r>
      <w:r w:rsidR="00E6497F" w:rsidRPr="007F62B6">
        <w:rPr>
          <w:lang w:val="en-GB"/>
        </w:rPr>
        <w:t xml:space="preserve">Created by </w:t>
      </w:r>
      <w:r w:rsidR="00E70269">
        <w:rPr>
          <w:lang w:val="en-GB"/>
        </w:rPr>
        <w:t xml:space="preserve">the </w:t>
      </w:r>
      <w:r w:rsidR="00E6497F" w:rsidRPr="007F62B6">
        <w:rPr>
          <w:lang w:val="en-GB"/>
        </w:rPr>
        <w:t>authors using company documents</w:t>
      </w:r>
      <w:r w:rsidR="00A82A12" w:rsidRPr="007F62B6">
        <w:rPr>
          <w:lang w:val="en-GB"/>
        </w:rPr>
        <w:t>.</w:t>
      </w:r>
    </w:p>
    <w:sectPr w:rsidR="00F35080" w:rsidRPr="007F62B6" w:rsidSect="004D668D">
      <w:headerReference w:type="first" r:id="rId13"/>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DB9524" w16cid:durableId="1F3CF5C1"/>
  <w16cid:commentId w16cid:paraId="48B1650A" w16cid:durableId="1F3CF623"/>
  <w16cid:commentId w16cid:paraId="4A82F2BB" w16cid:durableId="1F3D123C"/>
  <w16cid:commentId w16cid:paraId="65ECAAD8" w16cid:durableId="1F3B9872"/>
  <w16cid:commentId w16cid:paraId="4B7555B7" w16cid:durableId="1F3B98F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3C55C9" w14:textId="77777777" w:rsidR="003F0B53" w:rsidRDefault="003F0B53" w:rsidP="00D75295">
      <w:r>
        <w:separator/>
      </w:r>
    </w:p>
  </w:endnote>
  <w:endnote w:type="continuationSeparator" w:id="0">
    <w:p w14:paraId="544CBA87" w14:textId="77777777" w:rsidR="003F0B53" w:rsidRDefault="003F0B53"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CE8D78" w14:textId="6DB9B4FE" w:rsidR="003F0B53" w:rsidRPr="006B5A11" w:rsidRDefault="003F0B53" w:rsidP="00A6242C">
    <w:pPr>
      <w:pStyle w:val="Footer"/>
      <w:jc w:val="center"/>
      <w:rPr>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589A7A" w14:textId="77777777" w:rsidR="003F0B53" w:rsidRDefault="003F0B53" w:rsidP="00D75295">
      <w:r>
        <w:separator/>
      </w:r>
    </w:p>
  </w:footnote>
  <w:footnote w:type="continuationSeparator" w:id="0">
    <w:p w14:paraId="656EF207" w14:textId="77777777" w:rsidR="003F0B53" w:rsidRDefault="003F0B53" w:rsidP="00D75295">
      <w:r>
        <w:continuationSeparator/>
      </w:r>
    </w:p>
  </w:footnote>
  <w:footnote w:id="1">
    <w:p w14:paraId="5798E0AD" w14:textId="4A49A39D" w:rsidR="003F0B53" w:rsidRDefault="003F0B53" w:rsidP="005F2F3D">
      <w:pPr>
        <w:pStyle w:val="Footnote"/>
      </w:pPr>
      <w:r>
        <w:rPr>
          <w:rStyle w:val="FootnoteReference"/>
        </w:rPr>
        <w:footnoteRef/>
      </w:r>
      <w:r>
        <w:t xml:space="preserve"> All currency amounts are in US$ unless otherwise specified.</w:t>
      </w:r>
    </w:p>
  </w:footnote>
  <w:footnote w:id="2">
    <w:p w14:paraId="1EF0433D" w14:textId="67658382" w:rsidR="003F0B53" w:rsidRPr="002A76B3" w:rsidRDefault="003F0B53" w:rsidP="005F2F3D">
      <w:pPr>
        <w:pStyle w:val="Footnote"/>
        <w:rPr>
          <w:rFonts w:ascii="Times New Roman" w:hAnsi="Times New Roman" w:cs="Times New Roman"/>
        </w:rPr>
      </w:pPr>
      <w:r w:rsidRPr="00054B7A">
        <w:rPr>
          <w:rStyle w:val="FootnoteReference"/>
        </w:rPr>
        <w:footnoteRef/>
      </w:r>
      <w:r>
        <w:t xml:space="preserve"> </w:t>
      </w:r>
      <w:r w:rsidRPr="005F2F3D">
        <w:t>Keren Brown Wilson</w:t>
      </w:r>
      <w:r>
        <w:t>,</w:t>
      </w:r>
      <w:r w:rsidRPr="005F2F3D">
        <w:t xml:space="preserve"> </w:t>
      </w:r>
      <w:r>
        <w:t>“</w:t>
      </w:r>
      <w:r w:rsidRPr="005F2F3D">
        <w:t xml:space="preserve">Historical </w:t>
      </w:r>
      <w:r>
        <w:t>E</w:t>
      </w:r>
      <w:r w:rsidRPr="005F2F3D">
        <w:t xml:space="preserve">volution of </w:t>
      </w:r>
      <w:r>
        <w:t>A</w:t>
      </w:r>
      <w:r w:rsidRPr="005F2F3D">
        <w:t xml:space="preserve">ssisted </w:t>
      </w:r>
      <w:r>
        <w:t>L</w:t>
      </w:r>
      <w:r w:rsidRPr="005F2F3D">
        <w:t xml:space="preserve">iving in the United States, 1979 to the </w:t>
      </w:r>
      <w:r>
        <w:t>P</w:t>
      </w:r>
      <w:r w:rsidRPr="005F2F3D">
        <w:t>resent,</w:t>
      </w:r>
      <w:r>
        <w:t>”</w:t>
      </w:r>
      <w:r w:rsidRPr="005F2F3D">
        <w:t xml:space="preserve"> </w:t>
      </w:r>
      <w:r w:rsidRPr="00B15DE2">
        <w:rPr>
          <w:i/>
        </w:rPr>
        <w:t>The Gerontologist</w:t>
      </w:r>
      <w:r w:rsidRPr="005F2F3D">
        <w:t xml:space="preserve"> 47, suppl</w:t>
      </w:r>
      <w:r>
        <w:t xml:space="preserve">ement </w:t>
      </w:r>
      <w:r w:rsidRPr="005F2F3D">
        <w:t>1 (2007): 8</w:t>
      </w:r>
      <w:r>
        <w:t>–</w:t>
      </w:r>
      <w:r w:rsidRPr="005F2F3D">
        <w:t>22.</w:t>
      </w:r>
    </w:p>
  </w:footnote>
  <w:footnote w:id="3">
    <w:p w14:paraId="03A33644" w14:textId="6839D012" w:rsidR="003F0B53" w:rsidRPr="000C44CA" w:rsidRDefault="003F0B53" w:rsidP="00054B7A">
      <w:pPr>
        <w:pStyle w:val="FootnoteText"/>
        <w:jc w:val="both"/>
        <w:rPr>
          <w:rFonts w:ascii="Arial" w:hAnsi="Arial" w:cs="Arial"/>
          <w:sz w:val="17"/>
          <w:szCs w:val="17"/>
        </w:rPr>
      </w:pPr>
      <w:r w:rsidRPr="00054B7A">
        <w:rPr>
          <w:rStyle w:val="FootnoteReference"/>
          <w:rFonts w:ascii="Arial" w:hAnsi="Arial" w:cs="Arial"/>
          <w:sz w:val="17"/>
          <w:szCs w:val="17"/>
        </w:rPr>
        <w:footnoteRef/>
      </w:r>
      <w:r>
        <w:rPr>
          <w:rFonts w:ascii="Arial" w:hAnsi="Arial" w:cs="Arial"/>
          <w:sz w:val="17"/>
          <w:szCs w:val="17"/>
        </w:rPr>
        <w:t xml:space="preserve"> According to</w:t>
      </w:r>
      <w:r w:rsidRPr="009B2762">
        <w:rPr>
          <w:rFonts w:ascii="Arial" w:hAnsi="Arial" w:cs="Arial"/>
          <w:sz w:val="17"/>
          <w:szCs w:val="17"/>
        </w:rPr>
        <w:t xml:space="preserve"> the United</w:t>
      </w:r>
      <w:r w:rsidRPr="00B15DE2">
        <w:rPr>
          <w:rFonts w:ascii="Arial" w:hAnsi="Arial" w:cs="Arial"/>
          <w:sz w:val="17"/>
          <w:szCs w:val="17"/>
        </w:rPr>
        <w:t xml:space="preserve"> States Internal Revenue Code</w:t>
      </w:r>
      <w:r>
        <w:rPr>
          <w:rFonts w:ascii="Arial" w:hAnsi="Arial" w:cs="Arial"/>
          <w:sz w:val="17"/>
          <w:szCs w:val="17"/>
        </w:rPr>
        <w:t>,</w:t>
      </w:r>
      <w:r w:rsidRPr="00B15DE2">
        <w:rPr>
          <w:rFonts w:ascii="Arial" w:hAnsi="Arial" w:cs="Arial"/>
          <w:sz w:val="17"/>
          <w:szCs w:val="17"/>
        </w:rPr>
        <w:t xml:space="preserve"> </w:t>
      </w:r>
      <w:r>
        <w:rPr>
          <w:rFonts w:ascii="Arial" w:hAnsi="Arial" w:cs="Arial"/>
          <w:sz w:val="17"/>
          <w:szCs w:val="17"/>
        </w:rPr>
        <w:t>this</w:t>
      </w:r>
      <w:r w:rsidRPr="009B2762">
        <w:rPr>
          <w:rFonts w:ascii="Arial" w:hAnsi="Arial" w:cs="Arial"/>
          <w:sz w:val="17"/>
          <w:szCs w:val="17"/>
        </w:rPr>
        <w:t xml:space="preserve"> designation </w:t>
      </w:r>
      <w:r w:rsidRPr="00B15DE2">
        <w:rPr>
          <w:rFonts w:ascii="Arial" w:hAnsi="Arial" w:cs="Arial"/>
          <w:sz w:val="17"/>
          <w:szCs w:val="17"/>
        </w:rPr>
        <w:t>classifie</w:t>
      </w:r>
      <w:r>
        <w:rPr>
          <w:rFonts w:ascii="Arial" w:hAnsi="Arial" w:cs="Arial"/>
          <w:sz w:val="17"/>
          <w:szCs w:val="17"/>
        </w:rPr>
        <w:t>d</w:t>
      </w:r>
      <w:r w:rsidRPr="00B15DE2">
        <w:rPr>
          <w:rFonts w:ascii="Arial" w:hAnsi="Arial" w:cs="Arial"/>
          <w:sz w:val="17"/>
          <w:szCs w:val="17"/>
        </w:rPr>
        <w:t xml:space="preserve"> an organization as </w:t>
      </w:r>
      <w:r>
        <w:rPr>
          <w:rFonts w:ascii="Arial" w:hAnsi="Arial" w:cs="Arial"/>
          <w:sz w:val="17"/>
          <w:szCs w:val="17"/>
        </w:rPr>
        <w:t xml:space="preserve">being </w:t>
      </w:r>
      <w:r w:rsidRPr="00B15DE2">
        <w:rPr>
          <w:rFonts w:ascii="Arial" w:hAnsi="Arial" w:cs="Arial"/>
          <w:sz w:val="17"/>
          <w:szCs w:val="17"/>
        </w:rPr>
        <w:t>exempt from federal income tax</w:t>
      </w:r>
      <w:r>
        <w:rPr>
          <w:rFonts w:ascii="Arial" w:hAnsi="Arial" w:cs="Arial"/>
          <w:sz w:val="17"/>
          <w:szCs w:val="17"/>
        </w:rPr>
        <w:t xml:space="preserve">, </w:t>
      </w:r>
      <w:r w:rsidRPr="00B15DE2">
        <w:rPr>
          <w:rFonts w:ascii="Arial" w:hAnsi="Arial" w:cs="Arial"/>
          <w:sz w:val="17"/>
          <w:szCs w:val="17"/>
        </w:rPr>
        <w:t>and mandate</w:t>
      </w:r>
      <w:r>
        <w:rPr>
          <w:rFonts w:ascii="Arial" w:hAnsi="Arial" w:cs="Arial"/>
          <w:sz w:val="17"/>
          <w:szCs w:val="17"/>
        </w:rPr>
        <w:t>d</w:t>
      </w:r>
      <w:r w:rsidRPr="00B15DE2">
        <w:rPr>
          <w:rFonts w:ascii="Arial" w:hAnsi="Arial" w:cs="Arial"/>
          <w:sz w:val="17"/>
          <w:szCs w:val="17"/>
        </w:rPr>
        <w:t xml:space="preserve"> that none of its earnings be distributed to private individu</w:t>
      </w:r>
      <w:r w:rsidRPr="00D02E4A">
        <w:rPr>
          <w:rFonts w:ascii="Arial" w:hAnsi="Arial" w:cs="Arial"/>
          <w:sz w:val="17"/>
          <w:szCs w:val="17"/>
        </w:rPr>
        <w:t>als or shareholders.</w:t>
      </w:r>
    </w:p>
  </w:footnote>
  <w:footnote w:id="4">
    <w:p w14:paraId="79585166" w14:textId="6FC2C47B" w:rsidR="003F0B53" w:rsidRDefault="003F0B53">
      <w:pPr>
        <w:pStyle w:val="FootnoteText"/>
      </w:pPr>
      <w:r w:rsidRPr="000C44CA">
        <w:rPr>
          <w:rStyle w:val="FootnoteReference"/>
          <w:rFonts w:ascii="Arial" w:hAnsi="Arial" w:cs="Arial"/>
          <w:sz w:val="17"/>
          <w:szCs w:val="17"/>
        </w:rPr>
        <w:footnoteRef/>
      </w:r>
      <w:r w:rsidRPr="000C44CA">
        <w:rPr>
          <w:rFonts w:ascii="Arial" w:hAnsi="Arial" w:cs="Arial"/>
          <w:sz w:val="17"/>
          <w:szCs w:val="17"/>
        </w:rPr>
        <w:t xml:space="preserve"> Institute on Aging, </w:t>
      </w:r>
      <w:r w:rsidRPr="00E142F8">
        <w:rPr>
          <w:rFonts w:ascii="Arial" w:hAnsi="Arial" w:cs="Arial"/>
          <w:i/>
          <w:sz w:val="17"/>
          <w:szCs w:val="17"/>
        </w:rPr>
        <w:t>Employee Handbook</w:t>
      </w:r>
      <w:r w:rsidRPr="007F0E1E">
        <w:rPr>
          <w:rFonts w:ascii="Arial" w:hAnsi="Arial" w:cs="Arial"/>
          <w:sz w:val="17"/>
          <w:szCs w:val="17"/>
        </w:rPr>
        <w:t xml:space="preserve"> (San Francisco, CA: Institute on Aging, 2006).</w:t>
      </w:r>
    </w:p>
  </w:footnote>
  <w:footnote w:id="5">
    <w:p w14:paraId="02502E57" w14:textId="458501E0" w:rsidR="003F0B53" w:rsidRPr="002A76B3" w:rsidRDefault="003F0B53" w:rsidP="005F2F3D">
      <w:pPr>
        <w:pStyle w:val="Footnote"/>
      </w:pPr>
      <w:r w:rsidRPr="00054B7A">
        <w:rPr>
          <w:rStyle w:val="FootnoteReference"/>
        </w:rPr>
        <w:footnoteRef/>
      </w:r>
      <w:r>
        <w:t xml:space="preserve"> Administration on Aging,</w:t>
      </w:r>
      <w:r w:rsidRPr="002A76B3">
        <w:t xml:space="preserve"> </w:t>
      </w:r>
      <w:proofErr w:type="gramStart"/>
      <w:r w:rsidRPr="00E20FD6">
        <w:rPr>
          <w:i/>
          <w:iCs/>
        </w:rPr>
        <w:t>A</w:t>
      </w:r>
      <w:proofErr w:type="gramEnd"/>
      <w:r w:rsidRPr="00E20FD6">
        <w:rPr>
          <w:i/>
          <w:iCs/>
        </w:rPr>
        <w:t xml:space="preserve"> </w:t>
      </w:r>
      <w:r>
        <w:rPr>
          <w:i/>
          <w:iCs/>
        </w:rPr>
        <w:t>P</w:t>
      </w:r>
      <w:r w:rsidRPr="00E20FD6">
        <w:rPr>
          <w:i/>
          <w:iCs/>
        </w:rPr>
        <w:t xml:space="preserve">rofile of </w:t>
      </w:r>
      <w:r>
        <w:rPr>
          <w:i/>
          <w:iCs/>
        </w:rPr>
        <w:t>O</w:t>
      </w:r>
      <w:r w:rsidRPr="00E20FD6">
        <w:rPr>
          <w:i/>
          <w:iCs/>
        </w:rPr>
        <w:t>lder Americans</w:t>
      </w:r>
      <w:r w:rsidRPr="002A76B3">
        <w:t xml:space="preserve"> </w:t>
      </w:r>
      <w:r>
        <w:t>(</w:t>
      </w:r>
      <w:r w:rsidRPr="002A76B3">
        <w:t xml:space="preserve">Washington, DC: </w:t>
      </w:r>
      <w:r>
        <w:t>US</w:t>
      </w:r>
      <w:r w:rsidRPr="002A76B3">
        <w:t xml:space="preserve"> Department of H</w:t>
      </w:r>
      <w:r>
        <w:t>ealth and Human Services, 2016).</w:t>
      </w:r>
    </w:p>
  </w:footnote>
  <w:footnote w:id="6">
    <w:p w14:paraId="590E7567" w14:textId="37E9E125" w:rsidR="003F0B53" w:rsidRDefault="003F0B53" w:rsidP="005F2F3D">
      <w:pPr>
        <w:pStyle w:val="Footnote"/>
      </w:pPr>
      <w:r w:rsidRPr="00054B7A">
        <w:rPr>
          <w:rStyle w:val="FootnoteReference"/>
        </w:rPr>
        <w:footnoteRef/>
      </w:r>
      <w:r>
        <w:t xml:space="preserve"> </w:t>
      </w:r>
      <w:proofErr w:type="spellStart"/>
      <w:r>
        <w:t>Kalorama</w:t>
      </w:r>
      <w:proofErr w:type="spellEnd"/>
      <w:r>
        <w:t xml:space="preserve"> Information,</w:t>
      </w:r>
      <w:r w:rsidRPr="002A76B3">
        <w:t xml:space="preserve"> </w:t>
      </w:r>
      <w:r w:rsidRPr="00E20FD6">
        <w:rPr>
          <w:i/>
          <w:iCs/>
        </w:rPr>
        <w:t xml:space="preserve">Long </w:t>
      </w:r>
      <w:r>
        <w:rPr>
          <w:i/>
          <w:iCs/>
        </w:rPr>
        <w:t>T</w:t>
      </w:r>
      <w:r w:rsidRPr="00E20FD6">
        <w:rPr>
          <w:i/>
          <w:iCs/>
        </w:rPr>
        <w:t xml:space="preserve">erm </w:t>
      </w:r>
      <w:r>
        <w:rPr>
          <w:i/>
          <w:iCs/>
        </w:rPr>
        <w:t>C</w:t>
      </w:r>
      <w:r w:rsidRPr="00E20FD6">
        <w:rPr>
          <w:i/>
          <w:iCs/>
        </w:rPr>
        <w:t xml:space="preserve">are </w:t>
      </w:r>
      <w:r>
        <w:rPr>
          <w:i/>
          <w:iCs/>
        </w:rPr>
        <w:t>M</w:t>
      </w:r>
      <w:r w:rsidRPr="00E20FD6">
        <w:rPr>
          <w:i/>
          <w:iCs/>
        </w:rPr>
        <w:t xml:space="preserve">arket: A </w:t>
      </w:r>
      <w:r>
        <w:rPr>
          <w:i/>
          <w:iCs/>
        </w:rPr>
        <w:t>M</w:t>
      </w:r>
      <w:r w:rsidRPr="00E20FD6">
        <w:rPr>
          <w:i/>
          <w:iCs/>
        </w:rPr>
        <w:t xml:space="preserve">arket </w:t>
      </w:r>
      <w:r>
        <w:rPr>
          <w:i/>
          <w:iCs/>
        </w:rPr>
        <w:t>I</w:t>
      </w:r>
      <w:r w:rsidRPr="00E20FD6">
        <w:rPr>
          <w:i/>
          <w:iCs/>
        </w:rPr>
        <w:t xml:space="preserve">ntelligence </w:t>
      </w:r>
      <w:r>
        <w:rPr>
          <w:i/>
          <w:iCs/>
        </w:rPr>
        <w:t>A</w:t>
      </w:r>
      <w:r w:rsidRPr="00E20FD6">
        <w:rPr>
          <w:i/>
          <w:iCs/>
        </w:rPr>
        <w:t>nalysis of t</w:t>
      </w:r>
      <w:r>
        <w:rPr>
          <w:i/>
          <w:iCs/>
        </w:rPr>
        <w:t>he Market for</w:t>
      </w:r>
      <w:r w:rsidRPr="00E20FD6">
        <w:rPr>
          <w:i/>
          <w:iCs/>
        </w:rPr>
        <w:t xml:space="preserve"> </w:t>
      </w:r>
      <w:r>
        <w:rPr>
          <w:i/>
          <w:iCs/>
        </w:rPr>
        <w:t>L</w:t>
      </w:r>
      <w:r w:rsidRPr="00E20FD6">
        <w:rPr>
          <w:i/>
          <w:iCs/>
        </w:rPr>
        <w:t xml:space="preserve">ong </w:t>
      </w:r>
      <w:r>
        <w:rPr>
          <w:i/>
          <w:iCs/>
        </w:rPr>
        <w:t>T</w:t>
      </w:r>
      <w:r w:rsidRPr="00E20FD6">
        <w:rPr>
          <w:i/>
          <w:iCs/>
        </w:rPr>
        <w:t xml:space="preserve">erm </w:t>
      </w:r>
      <w:r>
        <w:rPr>
          <w:i/>
          <w:iCs/>
        </w:rPr>
        <w:t>C</w:t>
      </w:r>
      <w:r w:rsidRPr="00E20FD6">
        <w:rPr>
          <w:i/>
          <w:iCs/>
        </w:rPr>
        <w:t>are</w:t>
      </w:r>
      <w:r w:rsidRPr="002A76B3">
        <w:t xml:space="preserve"> </w:t>
      </w:r>
      <w:r>
        <w:t>(</w:t>
      </w:r>
      <w:r w:rsidRPr="002A76B3">
        <w:t>Rockville</w:t>
      </w:r>
      <w:r>
        <w:t>, MD</w:t>
      </w:r>
      <w:r w:rsidRPr="002A76B3">
        <w:t xml:space="preserve">: </w:t>
      </w:r>
      <w:proofErr w:type="spellStart"/>
      <w:r w:rsidRPr="002A76B3">
        <w:t>Kalorama</w:t>
      </w:r>
      <w:proofErr w:type="spellEnd"/>
      <w:r w:rsidRPr="002A76B3">
        <w:t xml:space="preserve"> Information, 2016</w:t>
      </w:r>
      <w:r>
        <w:t>)</w:t>
      </w:r>
      <w:r w:rsidRPr="002A76B3">
        <w:t>.</w:t>
      </w:r>
    </w:p>
  </w:footnote>
  <w:footnote w:id="7">
    <w:p w14:paraId="1ABADA4C" w14:textId="4F1BFF9F" w:rsidR="003F0B53" w:rsidRPr="008D4399" w:rsidRDefault="003F0B53" w:rsidP="00A6242C">
      <w:pPr>
        <w:pStyle w:val="Footnote"/>
      </w:pPr>
      <w:r w:rsidRPr="007F0E1E">
        <w:rPr>
          <w:vertAlign w:val="superscript"/>
        </w:rPr>
        <w:footnoteRef/>
      </w:r>
      <w:r w:rsidRPr="007F0E1E">
        <w:rPr>
          <w:vertAlign w:val="superscript"/>
        </w:rPr>
        <w:t xml:space="preserve"> </w:t>
      </w:r>
      <w:r w:rsidRPr="008D4399">
        <w:t>Elaine V</w:t>
      </w:r>
      <w:r>
        <w:t xml:space="preserve">. </w:t>
      </w:r>
      <w:r w:rsidRPr="008D4399">
        <w:t xml:space="preserve">Backman and Steven </w:t>
      </w:r>
      <w:proofErr w:type="spellStart"/>
      <w:r w:rsidRPr="008D4399">
        <w:t>Rathgeb</w:t>
      </w:r>
      <w:proofErr w:type="spellEnd"/>
      <w:r w:rsidRPr="008D4399">
        <w:t xml:space="preserve"> Smith</w:t>
      </w:r>
      <w:r>
        <w:t>,</w:t>
      </w:r>
      <w:r w:rsidRPr="008D4399">
        <w:t xml:space="preserve"> </w:t>
      </w:r>
      <w:r>
        <w:t>“</w:t>
      </w:r>
      <w:r w:rsidRPr="008D4399">
        <w:t xml:space="preserve">Healthy </w:t>
      </w:r>
      <w:r>
        <w:t>O</w:t>
      </w:r>
      <w:r w:rsidRPr="008D4399">
        <w:t xml:space="preserve">rganizations, </w:t>
      </w:r>
      <w:r>
        <w:t>U</w:t>
      </w:r>
      <w:r w:rsidRPr="008D4399">
        <w:t xml:space="preserve">nhealthy </w:t>
      </w:r>
      <w:r>
        <w:t>C</w:t>
      </w:r>
      <w:r w:rsidRPr="008D4399">
        <w:t>ommunities?</w:t>
      </w:r>
      <w:r>
        <w:t>,”</w:t>
      </w:r>
      <w:r w:rsidRPr="008D4399">
        <w:t xml:space="preserve"> </w:t>
      </w:r>
      <w:r w:rsidRPr="007E6153">
        <w:rPr>
          <w:i/>
          <w:iCs/>
        </w:rPr>
        <w:t>Nonprofit Management and Leadership</w:t>
      </w:r>
      <w:r>
        <w:t xml:space="preserve"> 10, no. 4 (2000): 355–373; </w:t>
      </w:r>
      <w:r w:rsidRPr="00A6356E">
        <w:t xml:space="preserve">Florentine Maier, Michael Meyer, and Martin </w:t>
      </w:r>
      <w:proofErr w:type="spellStart"/>
      <w:r w:rsidRPr="00A6356E">
        <w:t>Steinbereithner</w:t>
      </w:r>
      <w:proofErr w:type="spellEnd"/>
      <w:r>
        <w:t>,</w:t>
      </w:r>
      <w:r w:rsidRPr="00A6356E">
        <w:t xml:space="preserve"> </w:t>
      </w:r>
      <w:r>
        <w:t>“</w:t>
      </w:r>
      <w:r w:rsidRPr="00A6356E">
        <w:t xml:space="preserve">Nonprofit </w:t>
      </w:r>
      <w:r>
        <w:t>O</w:t>
      </w:r>
      <w:r w:rsidRPr="00A6356E">
        <w:t xml:space="preserve">rganizations </w:t>
      </w:r>
      <w:r>
        <w:t>B</w:t>
      </w:r>
      <w:r w:rsidRPr="00A6356E">
        <w:t xml:space="preserve">ecoming </w:t>
      </w:r>
      <w:r>
        <w:t>B</w:t>
      </w:r>
      <w:r w:rsidRPr="00A6356E">
        <w:t>usiness-</w:t>
      </w:r>
      <w:r>
        <w:t>L</w:t>
      </w:r>
      <w:r w:rsidRPr="00A6356E">
        <w:t xml:space="preserve">ike: A </w:t>
      </w:r>
      <w:r>
        <w:t>S</w:t>
      </w:r>
      <w:r w:rsidRPr="00A6356E">
        <w:t xml:space="preserve">ystematic </w:t>
      </w:r>
      <w:r>
        <w:t>R</w:t>
      </w:r>
      <w:r w:rsidRPr="00A6356E">
        <w:t>eview</w:t>
      </w:r>
      <w:r>
        <w:t>,”</w:t>
      </w:r>
      <w:r w:rsidRPr="00A6356E">
        <w:t xml:space="preserve"> </w:t>
      </w:r>
      <w:r w:rsidRPr="00B15DE2">
        <w:rPr>
          <w:i/>
        </w:rPr>
        <w:t>Nonprofit and Voluntary Sector Quarterly</w:t>
      </w:r>
      <w:r w:rsidRPr="00A6356E">
        <w:t xml:space="preserve"> 45, no. 1 (2016): 64</w:t>
      </w:r>
      <w:r>
        <w:t>–</w:t>
      </w:r>
      <w:r w:rsidRPr="00A6356E">
        <w:t>86</w:t>
      </w:r>
      <w:r>
        <w:t xml:space="preserve">; </w:t>
      </w:r>
      <w:r w:rsidRPr="008D4399">
        <w:t>Nobuko</w:t>
      </w:r>
      <w:r>
        <w:t xml:space="preserve"> </w:t>
      </w:r>
      <w:proofErr w:type="spellStart"/>
      <w:r>
        <w:t>Kanaya</w:t>
      </w:r>
      <w:proofErr w:type="spellEnd"/>
      <w:r w:rsidRPr="008D4399">
        <w:t xml:space="preserve">, Hiromasa Takahashi, and </w:t>
      </w:r>
      <w:proofErr w:type="spellStart"/>
      <w:r w:rsidRPr="008D4399">
        <w:t>Junyi</w:t>
      </w:r>
      <w:proofErr w:type="spellEnd"/>
      <w:r w:rsidRPr="008D4399">
        <w:t xml:space="preserve"> Shen</w:t>
      </w:r>
      <w:r>
        <w:t>,</w:t>
      </w:r>
      <w:r w:rsidRPr="008D4399">
        <w:t xml:space="preserve"> </w:t>
      </w:r>
      <w:r>
        <w:t>“</w:t>
      </w:r>
      <w:r w:rsidRPr="008D4399">
        <w:t xml:space="preserve">The </w:t>
      </w:r>
      <w:r>
        <w:t>S</w:t>
      </w:r>
      <w:r w:rsidRPr="008D4399">
        <w:t xml:space="preserve">hare of </w:t>
      </w:r>
      <w:r>
        <w:t>N</w:t>
      </w:r>
      <w:r w:rsidRPr="008D4399">
        <w:t xml:space="preserve">onprofit and </w:t>
      </w:r>
      <w:r>
        <w:t>F</w:t>
      </w:r>
      <w:r w:rsidRPr="008D4399">
        <w:t>or-</w:t>
      </w:r>
      <w:r>
        <w:t>P</w:t>
      </w:r>
      <w:r w:rsidRPr="008D4399">
        <w:t xml:space="preserve">rofit </w:t>
      </w:r>
      <w:r>
        <w:t>O</w:t>
      </w:r>
      <w:r w:rsidRPr="008D4399">
        <w:t xml:space="preserve">rganizations in the </w:t>
      </w:r>
      <w:r>
        <w:t>Q</w:t>
      </w:r>
      <w:r w:rsidRPr="008D4399">
        <w:t>uasi-</w:t>
      </w:r>
      <w:r>
        <w:t>M</w:t>
      </w:r>
      <w:r w:rsidRPr="008D4399">
        <w:t xml:space="preserve">arket: An </w:t>
      </w:r>
      <w:r>
        <w:t>A</w:t>
      </w:r>
      <w:r w:rsidRPr="008D4399">
        <w:t xml:space="preserve">nalysis of the </w:t>
      </w:r>
      <w:r>
        <w:t>L</w:t>
      </w:r>
      <w:r w:rsidRPr="008D4399">
        <w:t>ong-</w:t>
      </w:r>
      <w:r>
        <w:t>T</w:t>
      </w:r>
      <w:r w:rsidRPr="008D4399">
        <w:t>er</w:t>
      </w:r>
      <w:r>
        <w:t>m Care Services Market in Japan,”</w:t>
      </w:r>
      <w:r w:rsidRPr="008D4399">
        <w:t xml:space="preserve"> </w:t>
      </w:r>
      <w:r w:rsidRPr="007E6153">
        <w:rPr>
          <w:i/>
          <w:iCs/>
        </w:rPr>
        <w:t>Annals of Public and Cooperative Economics</w:t>
      </w:r>
      <w:r w:rsidRPr="008D4399">
        <w:t xml:space="preserve"> 86, no. 2 (2015): 245</w:t>
      </w:r>
      <w:r>
        <w:t>–</w:t>
      </w:r>
      <w:r w:rsidRPr="008D4399">
        <w:t>266.</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D5C30" w14:textId="7D3677E7" w:rsidR="003F0B53" w:rsidRPr="00C92CC4" w:rsidRDefault="003F0B53" w:rsidP="007F5CCE">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FD25A0">
      <w:rPr>
        <w:rFonts w:ascii="Arial" w:hAnsi="Arial"/>
        <w:b/>
        <w:noProof/>
      </w:rPr>
      <w:t>11</w:t>
    </w:r>
    <w:r>
      <w:rPr>
        <w:rFonts w:ascii="Arial" w:hAnsi="Arial"/>
        <w:b/>
      </w:rPr>
      <w:fldChar w:fldCharType="end"/>
    </w:r>
    <w:r>
      <w:rPr>
        <w:rFonts w:ascii="Arial" w:hAnsi="Arial"/>
        <w:b/>
      </w:rPr>
      <w:tab/>
      <w:t>9B18M130</w:t>
    </w:r>
  </w:p>
  <w:p w14:paraId="1A50A0D1" w14:textId="77777777" w:rsidR="003F0B53" w:rsidRDefault="003F0B53" w:rsidP="007F5CCE">
    <w:pPr>
      <w:pStyle w:val="Header"/>
    </w:pPr>
  </w:p>
  <w:p w14:paraId="1FC672F2" w14:textId="77777777" w:rsidR="003F0B53" w:rsidRPr="007F5CCE" w:rsidRDefault="003F0B53" w:rsidP="007F5CC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67142" w14:textId="7F065A45" w:rsidR="003F0B53" w:rsidRPr="00C92CC4" w:rsidRDefault="003F0B53"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FD25A0">
      <w:rPr>
        <w:rFonts w:ascii="Arial" w:hAnsi="Arial"/>
        <w:b/>
        <w:noProof/>
      </w:rPr>
      <w:t>14</w:t>
    </w:r>
    <w:r>
      <w:rPr>
        <w:rFonts w:ascii="Arial" w:hAnsi="Arial"/>
        <w:b/>
      </w:rPr>
      <w:fldChar w:fldCharType="end"/>
    </w:r>
    <w:r>
      <w:rPr>
        <w:rFonts w:ascii="Arial" w:hAnsi="Arial"/>
        <w:b/>
      </w:rPr>
      <w:tab/>
    </w:r>
    <w:r w:rsidR="00D71BBE">
      <w:rPr>
        <w:rFonts w:ascii="Arial" w:hAnsi="Arial"/>
        <w:b/>
      </w:rPr>
      <w:tab/>
    </w:r>
    <w:r w:rsidR="00D71BBE">
      <w:rPr>
        <w:rFonts w:ascii="Arial" w:hAnsi="Arial"/>
        <w:b/>
      </w:rPr>
      <w:tab/>
    </w:r>
    <w:r w:rsidR="00D71BBE">
      <w:rPr>
        <w:rFonts w:ascii="Arial" w:hAnsi="Arial"/>
        <w:b/>
      </w:rPr>
      <w:tab/>
    </w:r>
    <w:r w:rsidR="00D71BBE">
      <w:rPr>
        <w:rFonts w:ascii="Arial" w:hAnsi="Arial"/>
        <w:b/>
      </w:rPr>
      <w:tab/>
      <w:t xml:space="preserve"> 9B18M130</w:t>
    </w:r>
  </w:p>
  <w:p w14:paraId="2B53C0A0" w14:textId="77777777" w:rsidR="003F0B53" w:rsidRDefault="003F0B53" w:rsidP="00D13667">
    <w:pPr>
      <w:pStyle w:val="Header"/>
      <w:tabs>
        <w:tab w:val="clear" w:pos="4680"/>
      </w:tabs>
      <w:rPr>
        <w:sz w:val="18"/>
        <w:szCs w:val="18"/>
      </w:rPr>
    </w:pPr>
  </w:p>
  <w:p w14:paraId="47119730" w14:textId="77777777" w:rsidR="003F0B53" w:rsidRPr="00C92CC4" w:rsidRDefault="003F0B53" w:rsidP="00D13667">
    <w:pPr>
      <w:pStyle w:val="Header"/>
      <w:tabs>
        <w:tab w:val="clear" w:pos="4680"/>
      </w:tabs>
      <w:rPr>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C82824" w14:textId="454790E7" w:rsidR="003F0B53" w:rsidRPr="00C92CC4" w:rsidRDefault="003F0B53" w:rsidP="00D71BBE">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FD25A0">
      <w:rPr>
        <w:rFonts w:ascii="Arial" w:hAnsi="Arial"/>
        <w:b/>
        <w:noProof/>
      </w:rPr>
      <w:t>12</w:t>
    </w:r>
    <w:r>
      <w:rPr>
        <w:rFonts w:ascii="Arial" w:hAnsi="Arial"/>
        <w:b/>
      </w:rPr>
      <w:fldChar w:fldCharType="end"/>
    </w:r>
    <w:r>
      <w:rPr>
        <w:rFonts w:ascii="Arial" w:hAnsi="Arial"/>
        <w:b/>
      </w:rPr>
      <w:tab/>
    </w:r>
    <w:r w:rsidR="00D71BBE">
      <w:rPr>
        <w:rFonts w:ascii="Arial" w:hAnsi="Arial"/>
        <w:b/>
      </w:rPr>
      <w:t xml:space="preserve">      </w:t>
    </w:r>
    <w:r w:rsidR="00D71BBE">
      <w:rPr>
        <w:rFonts w:ascii="Arial" w:hAnsi="Arial"/>
        <w:b/>
      </w:rPr>
      <w:tab/>
    </w:r>
    <w:r w:rsidR="00D71BBE">
      <w:rPr>
        <w:rFonts w:ascii="Arial" w:hAnsi="Arial"/>
        <w:b/>
      </w:rPr>
      <w:tab/>
      <w:t xml:space="preserve">                           9B18M130</w:t>
    </w:r>
  </w:p>
  <w:p w14:paraId="61B8D91F" w14:textId="77777777" w:rsidR="003F0B53" w:rsidRPr="00DB6F19" w:rsidRDefault="003F0B53" w:rsidP="00DB6F19">
    <w:pPr>
      <w:pStyle w:val="Header"/>
      <w:rPr>
        <w:sz w:val="16"/>
      </w:rPr>
    </w:pPr>
  </w:p>
  <w:p w14:paraId="3932B14A" w14:textId="77777777" w:rsidR="003F0B53" w:rsidRPr="00DB6F19" w:rsidRDefault="003F0B53" w:rsidP="00DB6F19">
    <w:pPr>
      <w:pStyle w:val="Header"/>
      <w:rPr>
        <w:sz w:val="16"/>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5C505A" w14:textId="6DF1ADC0" w:rsidR="003F0B53" w:rsidRPr="00C92CC4" w:rsidRDefault="003F0B53" w:rsidP="00DB6F19">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FD25A0">
      <w:rPr>
        <w:rFonts w:ascii="Arial" w:hAnsi="Arial"/>
        <w:b/>
        <w:noProof/>
      </w:rPr>
      <w:t>15</w:t>
    </w:r>
    <w:r>
      <w:rPr>
        <w:rFonts w:ascii="Arial" w:hAnsi="Arial"/>
        <w:b/>
      </w:rPr>
      <w:fldChar w:fldCharType="end"/>
    </w:r>
    <w:r>
      <w:rPr>
        <w:rFonts w:ascii="Arial" w:hAnsi="Arial"/>
        <w:b/>
      </w:rPr>
      <w:tab/>
    </w:r>
    <w:r w:rsidR="00D71BBE">
      <w:rPr>
        <w:rFonts w:ascii="Arial" w:hAnsi="Arial"/>
        <w:b/>
      </w:rPr>
      <w:t>9B18M130</w:t>
    </w:r>
  </w:p>
  <w:p w14:paraId="4335C230" w14:textId="77777777" w:rsidR="003F0B53" w:rsidRPr="007F5CCE" w:rsidRDefault="003F0B53" w:rsidP="00DB6F19">
    <w:pPr>
      <w:pStyle w:val="Header"/>
    </w:pPr>
  </w:p>
  <w:p w14:paraId="00679218" w14:textId="77777777" w:rsidR="003F0B53" w:rsidRPr="00DB6F19" w:rsidRDefault="003F0B53" w:rsidP="00DB6F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947EF"/>
    <w:multiLevelType w:val="hybridMultilevel"/>
    <w:tmpl w:val="2B920552"/>
    <w:lvl w:ilvl="0" w:tplc="E13C7BF6">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1AA3E12"/>
    <w:multiLevelType w:val="hybridMultilevel"/>
    <w:tmpl w:val="11EAB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6813553"/>
    <w:multiLevelType w:val="hybridMultilevel"/>
    <w:tmpl w:val="FBEC1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EA749FA"/>
    <w:multiLevelType w:val="hybridMultilevel"/>
    <w:tmpl w:val="F1865E58"/>
    <w:lvl w:ilvl="0" w:tplc="613496C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014A05"/>
    <w:multiLevelType w:val="hybridMultilevel"/>
    <w:tmpl w:val="AAC01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90A20E7"/>
    <w:multiLevelType w:val="hybridMultilevel"/>
    <w:tmpl w:val="94040002"/>
    <w:lvl w:ilvl="0" w:tplc="CE3C660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A987246"/>
    <w:multiLevelType w:val="hybridMultilevel"/>
    <w:tmpl w:val="D6541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9"/>
  </w:num>
  <w:num w:numId="3">
    <w:abstractNumId w:val="4"/>
  </w:num>
  <w:num w:numId="4">
    <w:abstractNumId w:val="11"/>
  </w:num>
  <w:num w:numId="5">
    <w:abstractNumId w:val="7"/>
  </w:num>
  <w:num w:numId="6">
    <w:abstractNumId w:val="10"/>
  </w:num>
  <w:num w:numId="7">
    <w:abstractNumId w:val="1"/>
  </w:num>
  <w:num w:numId="8">
    <w:abstractNumId w:val="3"/>
  </w:num>
  <w:num w:numId="9">
    <w:abstractNumId w:val="13"/>
  </w:num>
  <w:num w:numId="10">
    <w:abstractNumId w:val="0"/>
  </w:num>
  <w:num w:numId="11">
    <w:abstractNumId w:val="6"/>
  </w:num>
  <w:num w:numId="12">
    <w:abstractNumId w:val="8"/>
  </w:num>
  <w:num w:numId="13">
    <w:abstractNumId w:val="2"/>
  </w:num>
  <w:num w:numId="14">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20B4F"/>
    <w:rsid w:val="000216CE"/>
    <w:rsid w:val="00024ED4"/>
    <w:rsid w:val="00025DC7"/>
    <w:rsid w:val="00035F09"/>
    <w:rsid w:val="00044ECC"/>
    <w:rsid w:val="00045C78"/>
    <w:rsid w:val="000531D3"/>
    <w:rsid w:val="00054128"/>
    <w:rsid w:val="00054B7A"/>
    <w:rsid w:val="0005646B"/>
    <w:rsid w:val="0008102D"/>
    <w:rsid w:val="00086B26"/>
    <w:rsid w:val="00094200"/>
    <w:rsid w:val="00094C0E"/>
    <w:rsid w:val="000A146D"/>
    <w:rsid w:val="000B33B4"/>
    <w:rsid w:val="000C44CA"/>
    <w:rsid w:val="000D1016"/>
    <w:rsid w:val="000D7091"/>
    <w:rsid w:val="000E4F2B"/>
    <w:rsid w:val="000F0C22"/>
    <w:rsid w:val="000F6B09"/>
    <w:rsid w:val="000F6FDC"/>
    <w:rsid w:val="00104567"/>
    <w:rsid w:val="00104916"/>
    <w:rsid w:val="00104AA7"/>
    <w:rsid w:val="0012732D"/>
    <w:rsid w:val="001412DC"/>
    <w:rsid w:val="0014300B"/>
    <w:rsid w:val="00143F25"/>
    <w:rsid w:val="00152682"/>
    <w:rsid w:val="00154FC9"/>
    <w:rsid w:val="001777CD"/>
    <w:rsid w:val="0019241A"/>
    <w:rsid w:val="00192A18"/>
    <w:rsid w:val="001A22D1"/>
    <w:rsid w:val="001A6CEF"/>
    <w:rsid w:val="001A752D"/>
    <w:rsid w:val="001A757E"/>
    <w:rsid w:val="001B5032"/>
    <w:rsid w:val="001C1FC0"/>
    <w:rsid w:val="001C43CD"/>
    <w:rsid w:val="001C7777"/>
    <w:rsid w:val="001D344B"/>
    <w:rsid w:val="001E364F"/>
    <w:rsid w:val="001F4222"/>
    <w:rsid w:val="001F75EE"/>
    <w:rsid w:val="00203AA1"/>
    <w:rsid w:val="002121E6"/>
    <w:rsid w:val="00213E98"/>
    <w:rsid w:val="00224DCF"/>
    <w:rsid w:val="00230150"/>
    <w:rsid w:val="0023081A"/>
    <w:rsid w:val="00233111"/>
    <w:rsid w:val="00233250"/>
    <w:rsid w:val="00244E48"/>
    <w:rsid w:val="002510F4"/>
    <w:rsid w:val="00265FA8"/>
    <w:rsid w:val="002A5DAF"/>
    <w:rsid w:val="002C4E29"/>
    <w:rsid w:val="002D5AE0"/>
    <w:rsid w:val="002F11BC"/>
    <w:rsid w:val="002F460C"/>
    <w:rsid w:val="002F48D6"/>
    <w:rsid w:val="002F6F93"/>
    <w:rsid w:val="003050C7"/>
    <w:rsid w:val="00317391"/>
    <w:rsid w:val="00326216"/>
    <w:rsid w:val="00336580"/>
    <w:rsid w:val="0034160C"/>
    <w:rsid w:val="00354899"/>
    <w:rsid w:val="0035522B"/>
    <w:rsid w:val="00355FD6"/>
    <w:rsid w:val="003567F7"/>
    <w:rsid w:val="00364A5C"/>
    <w:rsid w:val="00373FB1"/>
    <w:rsid w:val="00396C76"/>
    <w:rsid w:val="003A2B50"/>
    <w:rsid w:val="003B30D8"/>
    <w:rsid w:val="003B7EF2"/>
    <w:rsid w:val="003C3FA4"/>
    <w:rsid w:val="003D0BA1"/>
    <w:rsid w:val="003D7FD5"/>
    <w:rsid w:val="003F0B53"/>
    <w:rsid w:val="003F2B0C"/>
    <w:rsid w:val="00402B19"/>
    <w:rsid w:val="004105B2"/>
    <w:rsid w:val="0041145A"/>
    <w:rsid w:val="00412900"/>
    <w:rsid w:val="004221E4"/>
    <w:rsid w:val="004273F8"/>
    <w:rsid w:val="004355A3"/>
    <w:rsid w:val="00446546"/>
    <w:rsid w:val="00452769"/>
    <w:rsid w:val="00454FA7"/>
    <w:rsid w:val="00465348"/>
    <w:rsid w:val="004979A5"/>
    <w:rsid w:val="004A25E0"/>
    <w:rsid w:val="004B1CCB"/>
    <w:rsid w:val="004B2F3E"/>
    <w:rsid w:val="004B632F"/>
    <w:rsid w:val="004C3405"/>
    <w:rsid w:val="004D1614"/>
    <w:rsid w:val="004D2B5A"/>
    <w:rsid w:val="004D3FB1"/>
    <w:rsid w:val="004D668D"/>
    <w:rsid w:val="004D6F21"/>
    <w:rsid w:val="004D73A5"/>
    <w:rsid w:val="00501DAE"/>
    <w:rsid w:val="0051214E"/>
    <w:rsid w:val="005160F1"/>
    <w:rsid w:val="0051798A"/>
    <w:rsid w:val="00524F2F"/>
    <w:rsid w:val="00525812"/>
    <w:rsid w:val="00526B05"/>
    <w:rsid w:val="00527E5C"/>
    <w:rsid w:val="00532CF5"/>
    <w:rsid w:val="00537946"/>
    <w:rsid w:val="005528CB"/>
    <w:rsid w:val="00552D0F"/>
    <w:rsid w:val="00566771"/>
    <w:rsid w:val="00581E2E"/>
    <w:rsid w:val="00584F15"/>
    <w:rsid w:val="005929C2"/>
    <w:rsid w:val="0059514B"/>
    <w:rsid w:val="0059629B"/>
    <w:rsid w:val="005A108D"/>
    <w:rsid w:val="005A1B0F"/>
    <w:rsid w:val="005B5EFE"/>
    <w:rsid w:val="005F2F3D"/>
    <w:rsid w:val="006009F3"/>
    <w:rsid w:val="00607659"/>
    <w:rsid w:val="006163F7"/>
    <w:rsid w:val="00627C63"/>
    <w:rsid w:val="0063350B"/>
    <w:rsid w:val="00652606"/>
    <w:rsid w:val="006946EE"/>
    <w:rsid w:val="006947F6"/>
    <w:rsid w:val="006A58A9"/>
    <w:rsid w:val="006A606D"/>
    <w:rsid w:val="006A64A7"/>
    <w:rsid w:val="006C0371"/>
    <w:rsid w:val="006C08B6"/>
    <w:rsid w:val="006C0B1A"/>
    <w:rsid w:val="006C6065"/>
    <w:rsid w:val="006C7F9F"/>
    <w:rsid w:val="006E2F6D"/>
    <w:rsid w:val="006E58F6"/>
    <w:rsid w:val="006E77E1"/>
    <w:rsid w:val="006F131D"/>
    <w:rsid w:val="006F5092"/>
    <w:rsid w:val="006F5E22"/>
    <w:rsid w:val="00711642"/>
    <w:rsid w:val="007507C6"/>
    <w:rsid w:val="00751E0B"/>
    <w:rsid w:val="00752BCD"/>
    <w:rsid w:val="00766DA1"/>
    <w:rsid w:val="00770A36"/>
    <w:rsid w:val="00780D94"/>
    <w:rsid w:val="00784408"/>
    <w:rsid w:val="007866A6"/>
    <w:rsid w:val="007A130D"/>
    <w:rsid w:val="007A7B3F"/>
    <w:rsid w:val="007D1A2D"/>
    <w:rsid w:val="007D4102"/>
    <w:rsid w:val="007E3330"/>
    <w:rsid w:val="007E54A7"/>
    <w:rsid w:val="007F0E1E"/>
    <w:rsid w:val="007F43B7"/>
    <w:rsid w:val="007F47BF"/>
    <w:rsid w:val="007F5CCE"/>
    <w:rsid w:val="007F62B6"/>
    <w:rsid w:val="00800831"/>
    <w:rsid w:val="00821FFC"/>
    <w:rsid w:val="0082419A"/>
    <w:rsid w:val="008271CA"/>
    <w:rsid w:val="008374A2"/>
    <w:rsid w:val="0084420E"/>
    <w:rsid w:val="008467D5"/>
    <w:rsid w:val="00873736"/>
    <w:rsid w:val="008847BA"/>
    <w:rsid w:val="008A3300"/>
    <w:rsid w:val="008A4DC4"/>
    <w:rsid w:val="008B002B"/>
    <w:rsid w:val="008B438C"/>
    <w:rsid w:val="008C17DE"/>
    <w:rsid w:val="008D06CA"/>
    <w:rsid w:val="008D3A46"/>
    <w:rsid w:val="008D4447"/>
    <w:rsid w:val="008D6FB6"/>
    <w:rsid w:val="008F2385"/>
    <w:rsid w:val="009067A4"/>
    <w:rsid w:val="00915E5D"/>
    <w:rsid w:val="00930885"/>
    <w:rsid w:val="00933D68"/>
    <w:rsid w:val="009340DB"/>
    <w:rsid w:val="0094618C"/>
    <w:rsid w:val="0095684B"/>
    <w:rsid w:val="00957A19"/>
    <w:rsid w:val="00972498"/>
    <w:rsid w:val="00973E80"/>
    <w:rsid w:val="0097481F"/>
    <w:rsid w:val="00974CC6"/>
    <w:rsid w:val="00976AD4"/>
    <w:rsid w:val="009942A5"/>
    <w:rsid w:val="00995547"/>
    <w:rsid w:val="009A312F"/>
    <w:rsid w:val="009A5348"/>
    <w:rsid w:val="009B0AB7"/>
    <w:rsid w:val="009B2762"/>
    <w:rsid w:val="009B2CF2"/>
    <w:rsid w:val="009B3F0C"/>
    <w:rsid w:val="009C76D5"/>
    <w:rsid w:val="009F7AA4"/>
    <w:rsid w:val="00A10AD7"/>
    <w:rsid w:val="00A454A5"/>
    <w:rsid w:val="00A46331"/>
    <w:rsid w:val="00A559DB"/>
    <w:rsid w:val="00A569EA"/>
    <w:rsid w:val="00A6242C"/>
    <w:rsid w:val="00A6356E"/>
    <w:rsid w:val="00A676A0"/>
    <w:rsid w:val="00A73AFC"/>
    <w:rsid w:val="00A82A12"/>
    <w:rsid w:val="00AD6235"/>
    <w:rsid w:val="00AE1C06"/>
    <w:rsid w:val="00AE4574"/>
    <w:rsid w:val="00AF1A13"/>
    <w:rsid w:val="00AF35FC"/>
    <w:rsid w:val="00AF5556"/>
    <w:rsid w:val="00B03639"/>
    <w:rsid w:val="00B0652A"/>
    <w:rsid w:val="00B15DE2"/>
    <w:rsid w:val="00B34101"/>
    <w:rsid w:val="00B34B29"/>
    <w:rsid w:val="00B40937"/>
    <w:rsid w:val="00B423EF"/>
    <w:rsid w:val="00B453DE"/>
    <w:rsid w:val="00B72597"/>
    <w:rsid w:val="00B901F9"/>
    <w:rsid w:val="00B90644"/>
    <w:rsid w:val="00B94FC8"/>
    <w:rsid w:val="00BB7CC8"/>
    <w:rsid w:val="00BC4D98"/>
    <w:rsid w:val="00BD6EFB"/>
    <w:rsid w:val="00BF1DB3"/>
    <w:rsid w:val="00BF5EAB"/>
    <w:rsid w:val="00C02410"/>
    <w:rsid w:val="00C1584D"/>
    <w:rsid w:val="00C15BE2"/>
    <w:rsid w:val="00C253D6"/>
    <w:rsid w:val="00C3447F"/>
    <w:rsid w:val="00C44714"/>
    <w:rsid w:val="00C604A9"/>
    <w:rsid w:val="00C6064D"/>
    <w:rsid w:val="00C67102"/>
    <w:rsid w:val="00C81491"/>
    <w:rsid w:val="00C81676"/>
    <w:rsid w:val="00C85C5D"/>
    <w:rsid w:val="00C92CC4"/>
    <w:rsid w:val="00CA0AFB"/>
    <w:rsid w:val="00CA186C"/>
    <w:rsid w:val="00CA2CE1"/>
    <w:rsid w:val="00CA3976"/>
    <w:rsid w:val="00CA50E3"/>
    <w:rsid w:val="00CA757B"/>
    <w:rsid w:val="00CB6898"/>
    <w:rsid w:val="00CC1787"/>
    <w:rsid w:val="00CC182C"/>
    <w:rsid w:val="00CD0824"/>
    <w:rsid w:val="00CD2908"/>
    <w:rsid w:val="00CD4442"/>
    <w:rsid w:val="00CF02D7"/>
    <w:rsid w:val="00CF2CBA"/>
    <w:rsid w:val="00D02E4A"/>
    <w:rsid w:val="00D03A82"/>
    <w:rsid w:val="00D13667"/>
    <w:rsid w:val="00D15344"/>
    <w:rsid w:val="00D23F57"/>
    <w:rsid w:val="00D31BEC"/>
    <w:rsid w:val="00D410D1"/>
    <w:rsid w:val="00D63150"/>
    <w:rsid w:val="00D636BA"/>
    <w:rsid w:val="00D64A32"/>
    <w:rsid w:val="00D64C0B"/>
    <w:rsid w:val="00D64EFC"/>
    <w:rsid w:val="00D71BBE"/>
    <w:rsid w:val="00D75295"/>
    <w:rsid w:val="00D76CE9"/>
    <w:rsid w:val="00D97F12"/>
    <w:rsid w:val="00DA6095"/>
    <w:rsid w:val="00DB42E7"/>
    <w:rsid w:val="00DB6F19"/>
    <w:rsid w:val="00DC09D8"/>
    <w:rsid w:val="00DC68DA"/>
    <w:rsid w:val="00DD0834"/>
    <w:rsid w:val="00DE01A6"/>
    <w:rsid w:val="00DE2622"/>
    <w:rsid w:val="00DE7A98"/>
    <w:rsid w:val="00DF32C2"/>
    <w:rsid w:val="00E050AE"/>
    <w:rsid w:val="00E142F8"/>
    <w:rsid w:val="00E42892"/>
    <w:rsid w:val="00E469C9"/>
    <w:rsid w:val="00E471A7"/>
    <w:rsid w:val="00E635CF"/>
    <w:rsid w:val="00E6497F"/>
    <w:rsid w:val="00E70269"/>
    <w:rsid w:val="00E86903"/>
    <w:rsid w:val="00E90447"/>
    <w:rsid w:val="00EB1E3B"/>
    <w:rsid w:val="00EC6E0A"/>
    <w:rsid w:val="00ED4E18"/>
    <w:rsid w:val="00ED7922"/>
    <w:rsid w:val="00EE02C4"/>
    <w:rsid w:val="00EE1F37"/>
    <w:rsid w:val="00EF06BA"/>
    <w:rsid w:val="00EF603C"/>
    <w:rsid w:val="00F0159C"/>
    <w:rsid w:val="00F105B7"/>
    <w:rsid w:val="00F13220"/>
    <w:rsid w:val="00F17A21"/>
    <w:rsid w:val="00F35080"/>
    <w:rsid w:val="00F37B27"/>
    <w:rsid w:val="00F46556"/>
    <w:rsid w:val="00F50E91"/>
    <w:rsid w:val="00F54B92"/>
    <w:rsid w:val="00F57D29"/>
    <w:rsid w:val="00F60786"/>
    <w:rsid w:val="00F8306F"/>
    <w:rsid w:val="00F91BC7"/>
    <w:rsid w:val="00F96201"/>
    <w:rsid w:val="00FD0B18"/>
    <w:rsid w:val="00FD25A0"/>
    <w:rsid w:val="00FD2FAD"/>
    <w:rsid w:val="00FE714F"/>
    <w:rsid w:val="00FF77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4577"/>
    <o:shapelayout v:ext="edit">
      <o:idmap v:ext="edit" data="1"/>
    </o:shapelayout>
  </w:shapeDefaults>
  <w:decimalSymbol w:val="."/>
  <w:listSeparator w:val=","/>
  <w14:docId w14:val="779AA937"/>
  <w15:docId w15:val="{34CB7C18-225C-4FEF-80EF-E6E42BBD3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iPriority w:val="99"/>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paragraph" w:styleId="Bibliography">
    <w:name w:val="Bibliography"/>
    <w:basedOn w:val="Normal"/>
    <w:next w:val="Normal"/>
    <w:uiPriority w:val="37"/>
    <w:unhideWhenUsed/>
    <w:rsid w:val="00F35080"/>
    <w:pPr>
      <w:spacing w:after="200" w:line="276" w:lineRule="auto"/>
    </w:pPr>
    <w:rPr>
      <w:rFonts w:asciiTheme="minorHAnsi" w:eastAsiaTheme="minorHAnsi" w:hAnsiTheme="minorHAnsi" w:cstheme="minorBidi"/>
      <w:sz w:val="22"/>
      <w:szCs w:val="22"/>
    </w:rPr>
  </w:style>
  <w:style w:type="table" w:customStyle="1" w:styleId="PlainTable11">
    <w:name w:val="Plain Table 11"/>
    <w:basedOn w:val="TableNormal"/>
    <w:uiPriority w:val="41"/>
    <w:rsid w:val="005A108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5A108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 w:id="209624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C11746-3ACE-4EE6-9BB7-672694046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15</Pages>
  <Words>6345</Words>
  <Characters>36170</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42431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Gow, Jasmin</cp:lastModifiedBy>
  <cp:revision>7</cp:revision>
  <cp:lastPrinted>2015-03-04T20:34:00Z</cp:lastPrinted>
  <dcterms:created xsi:type="dcterms:W3CDTF">2018-09-10T13:32:00Z</dcterms:created>
  <dcterms:modified xsi:type="dcterms:W3CDTF">2018-09-17T19:43:00Z</dcterms:modified>
</cp:coreProperties>
</file>