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671EA" w14:textId="559D2FCB" w:rsidR="008F15BC" w:rsidRPr="003669E7" w:rsidRDefault="00DF0EF8" w:rsidP="00FC4F2B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  <w:r>
        <w:rPr>
          <w:rFonts w:ascii="Arial" w:hAnsi="Arial"/>
          <w:b/>
          <w:noProof/>
          <w:sz w:val="24"/>
        </w:rPr>
        <w:drawing>
          <wp:inline distT="0" distB="0" distL="0" distR="0" wp14:anchorId="39DC7A6E" wp14:editId="671B6ABB">
            <wp:extent cx="2615565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D9A0" w14:textId="0B202879" w:rsidR="00C02410" w:rsidRPr="003669E7" w:rsidRDefault="002C3172" w:rsidP="00FC4F2B">
      <w:pPr>
        <w:pStyle w:val="ProductNumber"/>
        <w:rPr>
          <w:lang w:val="en-GB"/>
        </w:rPr>
      </w:pPr>
      <w:r>
        <w:rPr>
          <w:lang w:val="en-GB"/>
        </w:rPr>
        <w:t>9B18M131</w:t>
      </w:r>
    </w:p>
    <w:p w14:paraId="4E057522" w14:textId="77777777" w:rsidR="00D75295" w:rsidRPr="003669E7" w:rsidRDefault="00D75295" w:rsidP="00FC4F2B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426B7211" w14:textId="77777777" w:rsidR="00013360" w:rsidRPr="003669E7" w:rsidRDefault="00013360" w:rsidP="00FC4F2B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02924D69" w14:textId="37B2803A" w:rsidR="00FC4F2B" w:rsidRPr="003669E7" w:rsidRDefault="00FC4F2B" w:rsidP="00FC4F2B">
      <w:pPr>
        <w:pStyle w:val="CaseTitle"/>
        <w:spacing w:after="0" w:line="240" w:lineRule="auto"/>
        <w:rPr>
          <w:rFonts w:eastAsia="Arial"/>
          <w:lang w:val="en-GB"/>
        </w:rPr>
      </w:pPr>
      <w:r w:rsidRPr="003669E7">
        <w:rPr>
          <w:rFonts w:eastAsia="Arial"/>
          <w:lang w:val="en-GB"/>
        </w:rPr>
        <w:t>Junkkari</w:t>
      </w:r>
      <w:r w:rsidR="009C72CB">
        <w:rPr>
          <w:rFonts w:eastAsia="Arial"/>
          <w:lang w:val="en-GB"/>
        </w:rPr>
        <w:t xml:space="preserve"> </w:t>
      </w:r>
      <w:r w:rsidRPr="003669E7">
        <w:rPr>
          <w:rFonts w:eastAsia="Arial"/>
          <w:lang w:val="en-GB"/>
        </w:rPr>
        <w:t>Oy</w:t>
      </w:r>
      <w:r w:rsidR="009E375E">
        <w:rPr>
          <w:rFonts w:eastAsia="Arial"/>
          <w:lang w:val="en-GB"/>
        </w:rPr>
        <w:t>:</w:t>
      </w:r>
      <w:r w:rsidR="009C72CB">
        <w:rPr>
          <w:rFonts w:eastAsia="Arial"/>
          <w:lang w:val="en-GB"/>
        </w:rPr>
        <w:t xml:space="preserve"> </w:t>
      </w:r>
      <w:r w:rsidR="00C0648C">
        <w:rPr>
          <w:rFonts w:eastAsia="Arial"/>
          <w:lang w:val="en-GB"/>
        </w:rPr>
        <w:t>GROWING</w:t>
      </w:r>
      <w:r w:rsidR="009C72CB">
        <w:rPr>
          <w:rFonts w:eastAsia="Arial"/>
          <w:lang w:val="en-GB"/>
        </w:rPr>
        <w:t xml:space="preserve"> </w:t>
      </w:r>
      <w:r w:rsidRPr="003669E7">
        <w:rPr>
          <w:rFonts w:eastAsia="Arial"/>
          <w:lang w:val="en-GB"/>
        </w:rPr>
        <w:t>the</w:t>
      </w:r>
      <w:r w:rsidR="009C72CB">
        <w:rPr>
          <w:rFonts w:eastAsia="Arial"/>
          <w:lang w:val="en-GB"/>
        </w:rPr>
        <w:t xml:space="preserve"> </w:t>
      </w:r>
      <w:r w:rsidR="00FD35AA" w:rsidRPr="003669E7">
        <w:rPr>
          <w:rFonts w:eastAsia="Arial"/>
          <w:lang w:val="en-GB"/>
        </w:rPr>
        <w:t>Wood-</w:t>
      </w:r>
      <w:r w:rsidRPr="003669E7">
        <w:rPr>
          <w:rFonts w:eastAsia="Arial"/>
          <w:lang w:val="en-GB"/>
        </w:rPr>
        <w:t>Chipper</w:t>
      </w:r>
      <w:r w:rsidR="009C72CB">
        <w:rPr>
          <w:rFonts w:eastAsia="Arial"/>
          <w:lang w:val="en-GB"/>
        </w:rPr>
        <w:t xml:space="preserve"> </w:t>
      </w:r>
      <w:r w:rsidRPr="003669E7">
        <w:rPr>
          <w:rFonts w:eastAsia="Arial"/>
          <w:lang w:val="en-GB"/>
        </w:rPr>
        <w:t>Business</w:t>
      </w:r>
      <w:r w:rsidR="009C72CB">
        <w:rPr>
          <w:rFonts w:eastAsia="Arial"/>
          <w:lang w:val="en-GB"/>
        </w:rPr>
        <w:t xml:space="preserve"> </w:t>
      </w:r>
    </w:p>
    <w:p w14:paraId="40ABF6FD" w14:textId="77777777" w:rsidR="00CA3976" w:rsidRPr="003669E7" w:rsidRDefault="00CA3976" w:rsidP="00FC4F2B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202F1085" w14:textId="77777777" w:rsidR="00013360" w:rsidRPr="003669E7" w:rsidRDefault="00013360" w:rsidP="00FC4F2B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58B0C73F" w14:textId="0729BFEE" w:rsidR="00086B26" w:rsidRPr="003669E7" w:rsidRDefault="00FC4F2B" w:rsidP="00FC4F2B">
      <w:pPr>
        <w:pStyle w:val="StyleCopyrightStatementAfter0ptBottomSinglesolidline1"/>
        <w:rPr>
          <w:lang w:val="en-GB"/>
        </w:rPr>
      </w:pPr>
      <w:r w:rsidRPr="003669E7">
        <w:rPr>
          <w:rFonts w:cs="Arial"/>
          <w:szCs w:val="16"/>
          <w:lang w:val="en-GB"/>
        </w:rPr>
        <w:t>Bonita</w:t>
      </w:r>
      <w:r w:rsidR="009C72CB">
        <w:rPr>
          <w:rFonts w:cs="Arial"/>
          <w:szCs w:val="16"/>
          <w:lang w:val="en-GB"/>
        </w:rPr>
        <w:t xml:space="preserve"> </w:t>
      </w:r>
      <w:r w:rsidRPr="003669E7">
        <w:rPr>
          <w:rFonts w:cs="Arial"/>
          <w:szCs w:val="16"/>
          <w:lang w:val="en-GB"/>
        </w:rPr>
        <w:t>Russell</w:t>
      </w:r>
      <w:r w:rsidR="009C72CB">
        <w:rPr>
          <w:rFonts w:cs="Arial"/>
          <w:szCs w:val="16"/>
          <w:lang w:val="en-GB"/>
        </w:rPr>
        <w:t xml:space="preserve"> </w:t>
      </w:r>
      <w:r w:rsidRPr="003669E7">
        <w:rPr>
          <w:rFonts w:cs="Arial"/>
          <w:szCs w:val="16"/>
          <w:lang w:val="en-GB"/>
        </w:rPr>
        <w:t>and</w:t>
      </w:r>
      <w:r w:rsidR="009C72CB">
        <w:rPr>
          <w:rFonts w:cs="Arial"/>
          <w:szCs w:val="16"/>
          <w:lang w:val="en-GB"/>
        </w:rPr>
        <w:t xml:space="preserve"> </w:t>
      </w:r>
      <w:r w:rsidRPr="003669E7">
        <w:rPr>
          <w:rFonts w:cs="Arial"/>
          <w:szCs w:val="16"/>
          <w:lang w:val="en-GB"/>
        </w:rPr>
        <w:t>Cory</w:t>
      </w:r>
      <w:r w:rsidR="009C72CB">
        <w:rPr>
          <w:rFonts w:cs="Arial"/>
          <w:szCs w:val="16"/>
          <w:lang w:val="en-GB"/>
        </w:rPr>
        <w:t xml:space="preserve"> </w:t>
      </w:r>
      <w:r w:rsidRPr="003669E7">
        <w:rPr>
          <w:rFonts w:cs="Arial"/>
          <w:szCs w:val="16"/>
          <w:lang w:val="en-GB"/>
        </w:rPr>
        <w:t>Isaacs</w:t>
      </w:r>
      <w:r w:rsidR="009C72CB">
        <w:rPr>
          <w:rFonts w:cs="Arial"/>
          <w:szCs w:val="16"/>
          <w:lang w:val="en-GB"/>
        </w:rPr>
        <w:t xml:space="preserve"> </w:t>
      </w:r>
      <w:r w:rsidR="00086B26" w:rsidRPr="003669E7">
        <w:rPr>
          <w:lang w:val="en-GB"/>
        </w:rPr>
        <w:t>wrote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this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case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solely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provide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material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class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discussion.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authors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do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intend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illustrate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either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effective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or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ineffective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handling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managerial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situation.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authors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may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have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disguised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certain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names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other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identifying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information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protect</w:t>
      </w:r>
      <w:r w:rsidR="009C72CB">
        <w:rPr>
          <w:lang w:val="en-GB"/>
        </w:rPr>
        <w:t xml:space="preserve"> </w:t>
      </w:r>
      <w:r w:rsidR="00086B26" w:rsidRPr="003669E7">
        <w:rPr>
          <w:lang w:val="en-GB"/>
        </w:rPr>
        <w:t>confidentiality.</w:t>
      </w:r>
    </w:p>
    <w:p w14:paraId="10D89D5F" w14:textId="77777777" w:rsidR="00086B26" w:rsidRPr="003669E7" w:rsidRDefault="00086B26" w:rsidP="00FC4F2B">
      <w:pPr>
        <w:pStyle w:val="StyleCopyrightStatementAfter0ptBottomSinglesolidline1"/>
        <w:rPr>
          <w:lang w:val="en-GB"/>
        </w:rPr>
      </w:pPr>
    </w:p>
    <w:p w14:paraId="2A667162" w14:textId="62127E86" w:rsidR="00DF0EF8" w:rsidRPr="00DF0EF8" w:rsidRDefault="00DF0EF8" w:rsidP="00DF0EF8">
      <w:pPr>
        <w:pStyle w:val="StyleStyleCopyrightStatementAfter0ptBottomSinglesolid"/>
        <w:rPr>
          <w:rFonts w:cs="Arial"/>
          <w:iCs w:val="0"/>
          <w:color w:val="auto"/>
          <w:szCs w:val="16"/>
          <w:lang w:val="en-GB"/>
        </w:rPr>
      </w:pPr>
      <w:r w:rsidRPr="00DF0EF8">
        <w:rPr>
          <w:rFonts w:cs="Arial"/>
          <w:iCs w:val="0"/>
          <w:color w:val="auto"/>
          <w:szCs w:val="16"/>
          <w:lang w:val="en-GB"/>
        </w:rPr>
        <w:t>This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publication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may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not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be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transmitted,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photocopied,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digitized,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or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otherwise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reproduced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in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any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form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or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by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any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means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without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the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permission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of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the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copyright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holder.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Reproduction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of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this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material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is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not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covered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under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authorization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by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any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reproduction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rights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organization.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To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order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copies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or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request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permission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to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reproduce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materials,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contact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Ivey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Publishing,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Ivey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Business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School,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Western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University,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London,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Ontario,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Canada,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N6G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0N1;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(t)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519.661.3208;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(e)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cases@ivey.ca;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www.iveycases.com.</w:t>
      </w:r>
    </w:p>
    <w:p w14:paraId="371897F1" w14:textId="77777777" w:rsidR="00DF0EF8" w:rsidRPr="00DF0EF8" w:rsidRDefault="00DF0EF8" w:rsidP="00DF0EF8">
      <w:pPr>
        <w:pStyle w:val="StyleStyleCopyrightStatementAfter0ptBottomSinglesolid"/>
        <w:rPr>
          <w:rFonts w:cs="Arial"/>
          <w:iCs w:val="0"/>
          <w:color w:val="auto"/>
          <w:szCs w:val="16"/>
          <w:lang w:val="en-GB"/>
        </w:rPr>
      </w:pPr>
    </w:p>
    <w:p w14:paraId="3922E14F" w14:textId="5F9C52D3" w:rsidR="00751E0B" w:rsidRPr="003669E7" w:rsidRDefault="00DF0EF8" w:rsidP="00DF0EF8">
      <w:pPr>
        <w:pStyle w:val="StyleStyleCopyrightStatementAfter0ptBottomSinglesolid"/>
        <w:rPr>
          <w:rFonts w:cs="Arial"/>
          <w:szCs w:val="16"/>
          <w:lang w:val="en-GB"/>
        </w:rPr>
      </w:pPr>
      <w:r>
        <w:rPr>
          <w:rFonts w:cs="Arial"/>
          <w:iCs w:val="0"/>
          <w:color w:val="auto"/>
          <w:szCs w:val="16"/>
          <w:lang w:val="en-GB"/>
        </w:rPr>
        <w:t>Copyright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>
        <w:rPr>
          <w:rFonts w:cs="Arial"/>
          <w:iCs w:val="0"/>
          <w:color w:val="auto"/>
          <w:szCs w:val="16"/>
          <w:lang w:val="en-GB"/>
        </w:rPr>
        <w:t>©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>
        <w:rPr>
          <w:rFonts w:cs="Arial"/>
          <w:iCs w:val="0"/>
          <w:color w:val="auto"/>
          <w:szCs w:val="16"/>
          <w:lang w:val="en-GB"/>
        </w:rPr>
        <w:t>2018</w:t>
      </w:r>
      <w:r w:rsidRPr="00DF0EF8">
        <w:rPr>
          <w:rFonts w:cs="Arial"/>
          <w:iCs w:val="0"/>
          <w:color w:val="auto"/>
          <w:szCs w:val="16"/>
          <w:lang w:val="en-GB"/>
        </w:rPr>
        <w:t>,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Ivey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Business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School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Pr="00DF0EF8">
        <w:rPr>
          <w:rFonts w:cs="Arial"/>
          <w:iCs w:val="0"/>
          <w:color w:val="auto"/>
          <w:szCs w:val="16"/>
          <w:lang w:val="en-GB"/>
        </w:rPr>
        <w:t>Foundation</w:t>
      </w:r>
      <w:r w:rsidR="00C02410" w:rsidRPr="003669E7">
        <w:rPr>
          <w:rFonts w:cs="Arial"/>
          <w:iCs w:val="0"/>
          <w:color w:val="auto"/>
          <w:szCs w:val="16"/>
          <w:lang w:val="en-GB"/>
        </w:rPr>
        <w:tab/>
      </w:r>
      <w:r w:rsidR="007C7F23">
        <w:rPr>
          <w:rFonts w:cs="Arial"/>
          <w:iCs w:val="0"/>
          <w:color w:val="auto"/>
          <w:szCs w:val="16"/>
          <w:lang w:val="en-GB"/>
        </w:rPr>
        <w:t>Version:</w:t>
      </w:r>
      <w:r w:rsidR="009C72CB">
        <w:rPr>
          <w:rFonts w:cs="Arial"/>
          <w:iCs w:val="0"/>
          <w:color w:val="auto"/>
          <w:szCs w:val="16"/>
          <w:lang w:val="en-GB"/>
        </w:rPr>
        <w:t xml:space="preserve"> </w:t>
      </w:r>
      <w:r w:rsidR="007C7F23">
        <w:rPr>
          <w:rFonts w:cs="Arial"/>
          <w:iCs w:val="0"/>
          <w:color w:val="auto"/>
          <w:szCs w:val="16"/>
          <w:lang w:val="en-GB"/>
        </w:rPr>
        <w:t>2018-09</w:t>
      </w:r>
      <w:r w:rsidR="0085112A">
        <w:rPr>
          <w:rFonts w:cs="Arial"/>
          <w:iCs w:val="0"/>
          <w:color w:val="auto"/>
          <w:szCs w:val="16"/>
          <w:lang w:val="en-GB"/>
        </w:rPr>
        <w:t>-</w:t>
      </w:r>
      <w:r w:rsidR="00554E0E">
        <w:rPr>
          <w:rFonts w:cs="Arial"/>
          <w:iCs w:val="0"/>
          <w:color w:val="auto"/>
          <w:szCs w:val="16"/>
          <w:lang w:val="en-GB"/>
        </w:rPr>
        <w:t>14</w:t>
      </w:r>
    </w:p>
    <w:p w14:paraId="0A2A54E4" w14:textId="77777777" w:rsidR="00751E0B" w:rsidRPr="003669E7" w:rsidRDefault="00751E0B" w:rsidP="00FC4F2B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2C183161" w14:textId="77777777" w:rsidR="00B87DC0" w:rsidRPr="003669E7" w:rsidRDefault="00B87DC0" w:rsidP="00FC4F2B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4E49EBDC" w14:textId="5F98A852" w:rsidR="008A66C2" w:rsidRPr="003669E7" w:rsidRDefault="008A66C2" w:rsidP="008A66C2">
      <w:pPr>
        <w:pStyle w:val="BodyTextMain"/>
        <w:rPr>
          <w:lang w:val="en-GB" w:eastAsia="zh-CN"/>
        </w:rPr>
      </w:pPr>
      <w:r w:rsidRPr="003669E7">
        <w:rPr>
          <w:lang w:val="en-GB" w:eastAsia="zh-CN"/>
        </w:rPr>
        <w:t>MSK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Group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Oy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(MSK)</w:t>
      </w:r>
      <w:r w:rsidRPr="003669E7">
        <w:rPr>
          <w:lang w:val="en-GB" w:eastAsia="zh-CN"/>
        </w:rPr>
        <w:t>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third-generation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family-owned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business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located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Ylihärmä,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Finland,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manufactured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agricultural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forestry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equipment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under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brand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name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Junkkari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Oy</w:t>
      </w:r>
      <w:r w:rsidR="009C72CB">
        <w:rPr>
          <w:lang w:val="en-GB" w:eastAsia="zh-CN"/>
        </w:rPr>
        <w:t xml:space="preserve"> </w:t>
      </w:r>
      <w:r w:rsidR="00AB012E" w:rsidRPr="003669E7">
        <w:rPr>
          <w:lang w:val="en-GB" w:eastAsia="zh-CN"/>
        </w:rPr>
        <w:t>(Junkkari</w:t>
      </w:r>
      <w:r w:rsidRPr="003669E7">
        <w:rPr>
          <w:lang w:val="en-GB" w:eastAsia="zh-CN"/>
        </w:rPr>
        <w:t>)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line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utility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trailers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under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brand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name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Juncar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Oy</w:t>
      </w:r>
      <w:r w:rsidR="009C72CB">
        <w:rPr>
          <w:lang w:val="en-GB" w:eastAsia="zh-CN"/>
        </w:rPr>
        <w:t xml:space="preserve"> </w:t>
      </w:r>
      <w:r w:rsidR="00AB012E" w:rsidRPr="003669E7">
        <w:rPr>
          <w:lang w:val="en-GB" w:eastAsia="zh-CN"/>
        </w:rPr>
        <w:t>(Juncar</w:t>
      </w:r>
      <w:r w:rsidRPr="003669E7">
        <w:rPr>
          <w:lang w:val="en-GB" w:eastAsia="zh-CN"/>
        </w:rPr>
        <w:t>).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firm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also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provided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contract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manufacturing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services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through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its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subsidiaries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MSK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Cabins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Oy</w:t>
      </w:r>
      <w:r w:rsidR="009C72CB">
        <w:rPr>
          <w:lang w:val="en-GB" w:eastAsia="zh-CN"/>
        </w:rPr>
        <w:t xml:space="preserve"> </w:t>
      </w:r>
      <w:r w:rsidR="004C32EB">
        <w:rPr>
          <w:lang w:val="en-GB" w:eastAsia="zh-CN"/>
        </w:rPr>
        <w:t>(MSK</w:t>
      </w:r>
      <w:r w:rsidR="009C72CB">
        <w:rPr>
          <w:lang w:val="en-GB" w:eastAsia="zh-CN"/>
        </w:rPr>
        <w:t xml:space="preserve"> </w:t>
      </w:r>
      <w:r w:rsidR="004C32EB">
        <w:rPr>
          <w:lang w:val="en-GB" w:eastAsia="zh-CN"/>
        </w:rPr>
        <w:t>Cabins)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MSK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Plast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Oy</w:t>
      </w:r>
      <w:r w:rsidR="009C72CB">
        <w:rPr>
          <w:lang w:val="en-GB" w:eastAsia="zh-CN"/>
        </w:rPr>
        <w:t xml:space="preserve"> </w:t>
      </w:r>
      <w:r w:rsidR="004C32EB">
        <w:rPr>
          <w:lang w:val="en-GB" w:eastAsia="zh-CN"/>
        </w:rPr>
        <w:t>(MSK</w:t>
      </w:r>
      <w:r w:rsidR="009C72CB">
        <w:rPr>
          <w:lang w:val="en-GB" w:eastAsia="zh-CN"/>
        </w:rPr>
        <w:t xml:space="preserve"> </w:t>
      </w:r>
      <w:r w:rsidR="004C32EB">
        <w:rPr>
          <w:lang w:val="en-GB" w:eastAsia="zh-CN"/>
        </w:rPr>
        <w:t>Plast)</w:t>
      </w:r>
      <w:r w:rsidRPr="003669E7">
        <w:rPr>
          <w:lang w:val="en-GB" w:eastAsia="zh-CN"/>
        </w:rPr>
        <w:t>.</w:t>
      </w:r>
      <w:r w:rsidR="009C72CB">
        <w:rPr>
          <w:lang w:val="en-GB" w:eastAsia="zh-CN"/>
        </w:rPr>
        <w:t xml:space="preserve"> </w:t>
      </w:r>
    </w:p>
    <w:p w14:paraId="04EA2CB8" w14:textId="77777777" w:rsidR="008A66C2" w:rsidRPr="009C72CB" w:rsidRDefault="008A66C2" w:rsidP="008A66C2">
      <w:pPr>
        <w:pStyle w:val="BodyTextMain"/>
        <w:rPr>
          <w:sz w:val="20"/>
          <w:lang w:val="en-GB" w:eastAsia="zh-CN"/>
        </w:rPr>
      </w:pPr>
    </w:p>
    <w:p w14:paraId="26C2417F" w14:textId="4047CDE9" w:rsidR="008A66C2" w:rsidRPr="003669E7" w:rsidRDefault="008A66C2" w:rsidP="008A66C2">
      <w:pPr>
        <w:pStyle w:val="BodyTextMain"/>
        <w:rPr>
          <w:lang w:val="en-GB" w:eastAsia="zh-CN"/>
        </w:rPr>
      </w:pP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Junkkari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plant,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located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Kauhava,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Finland,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produced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range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mid-sized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d</w:t>
      </w:r>
      <w:r w:rsidR="007C7F23">
        <w:rPr>
          <w:lang w:val="en-GB" w:eastAsia="zh-CN"/>
        </w:rPr>
        <w:t>isk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wood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chippers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for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small-</w:t>
      </w:r>
      <w:r w:rsidRPr="003669E7">
        <w:rPr>
          <w:lang w:val="en-GB" w:eastAsia="zh-CN"/>
        </w:rPr>
        <w:t>scale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farming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forestry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applications.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typical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year,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plant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manufactured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to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order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some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200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machines,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most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which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were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exported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to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markets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Europe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South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Africa.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Junkkari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was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not,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however,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only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Finnish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firm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manufacturing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wood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chippers,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and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there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was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little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to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differentiate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Junkkari’s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machines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from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those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its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competitors.</w:t>
      </w:r>
      <w:r w:rsidR="009C72CB">
        <w:rPr>
          <w:lang w:val="en-GB" w:eastAsia="zh-CN"/>
        </w:rPr>
        <w:t xml:space="preserve">  </w:t>
      </w:r>
    </w:p>
    <w:p w14:paraId="055776E3" w14:textId="77777777" w:rsidR="008A66C2" w:rsidRPr="009C72CB" w:rsidRDefault="008A66C2" w:rsidP="008A66C2">
      <w:pPr>
        <w:pStyle w:val="BodyTextMain"/>
        <w:rPr>
          <w:sz w:val="20"/>
          <w:lang w:val="en-GB" w:eastAsia="zh-CN"/>
        </w:rPr>
      </w:pPr>
    </w:p>
    <w:p w14:paraId="07789C77" w14:textId="0D2A849D" w:rsidR="008A66C2" w:rsidRPr="003669E7" w:rsidRDefault="008A66C2" w:rsidP="008A66C2">
      <w:pPr>
        <w:pStyle w:val="BodyTextMain"/>
        <w:rPr>
          <w:lang w:val="en-GB" w:eastAsia="zh-CN"/>
        </w:rPr>
      </w:pP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early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2017,</w:t>
      </w:r>
      <w:r w:rsidR="009C72CB">
        <w:rPr>
          <w:lang w:val="en-GB" w:eastAsia="zh-CN"/>
        </w:rPr>
        <w:t xml:space="preserve"> </w:t>
      </w:r>
      <w:r w:rsidRPr="003669E7">
        <w:rPr>
          <w:lang w:val="en-GB"/>
        </w:rPr>
        <w:t>Toni</w:t>
      </w:r>
      <w:r w:rsidR="009C72CB">
        <w:rPr>
          <w:lang w:val="en-GB"/>
        </w:rPr>
        <w:t xml:space="preserve"> </w:t>
      </w:r>
      <w:bookmarkStart w:id="0" w:name="_Hlk503283258"/>
      <w:r w:rsidRPr="003669E7">
        <w:rPr>
          <w:lang w:val="en-GB"/>
        </w:rPr>
        <w:t>Ruokoja</w:t>
      </w:r>
      <w:bookmarkEnd w:id="0"/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90723F">
        <w:rPr>
          <w:lang w:val="en-GB"/>
        </w:rPr>
        <w:t>Junkkari’s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export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manager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reviewing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book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Ruokoja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knew</w:t>
      </w:r>
      <w:r w:rsidR="009C72CB">
        <w:rPr>
          <w:lang w:val="en-GB" w:eastAsia="zh-CN"/>
        </w:rPr>
        <w:t xml:space="preserve"> </w:t>
      </w:r>
      <w:r w:rsidR="00112EB7" w:rsidRPr="003669E7">
        <w:rPr>
          <w:lang w:val="en-GB" w:eastAsia="zh-CN"/>
        </w:rPr>
        <w:t>that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firm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was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capable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doubling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its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annual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production,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but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absence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of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firm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orders,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growth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was</w:t>
      </w:r>
      <w:r w:rsidR="009C72CB">
        <w:rPr>
          <w:lang w:val="en-GB" w:eastAsia="zh-CN"/>
        </w:rPr>
        <w:t xml:space="preserve"> </w:t>
      </w:r>
      <w:r w:rsidRPr="003669E7">
        <w:rPr>
          <w:lang w:val="en-GB" w:eastAsia="zh-CN"/>
        </w:rPr>
        <w:t>stalled.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Returns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had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been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negative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for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several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years</w:t>
      </w:r>
      <w:r w:rsidR="00112EB7" w:rsidRPr="003669E7">
        <w:rPr>
          <w:lang w:val="en-GB" w:eastAsia="zh-CN"/>
        </w:rPr>
        <w:t>,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but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the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firm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was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on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track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to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show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a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small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profit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in</w:t>
      </w:r>
      <w:r w:rsidR="009C72CB">
        <w:rPr>
          <w:lang w:val="en-GB" w:eastAsia="zh-CN"/>
        </w:rPr>
        <w:t xml:space="preserve"> </w:t>
      </w:r>
      <w:r w:rsidR="00C05A92" w:rsidRPr="003669E7">
        <w:rPr>
          <w:lang w:val="en-GB" w:eastAsia="zh-CN"/>
        </w:rPr>
        <w:t>2017.</w:t>
      </w:r>
      <w:r w:rsidR="009C72CB">
        <w:rPr>
          <w:lang w:val="en-GB" w:eastAsia="zh-CN"/>
        </w:rPr>
        <w:t xml:space="preserve"> </w:t>
      </w:r>
    </w:p>
    <w:p w14:paraId="3BB20683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37B09D4B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00D362FB" w14:textId="0E8363F1" w:rsidR="00FC4F2B" w:rsidRPr="003669E7" w:rsidRDefault="00FC4F2B" w:rsidP="00FC4F2B">
      <w:pPr>
        <w:pStyle w:val="Casehead1"/>
        <w:rPr>
          <w:lang w:val="en-GB"/>
        </w:rPr>
      </w:pP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</w:t>
      </w:r>
    </w:p>
    <w:p w14:paraId="4888ECC2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47EFA372" w14:textId="1CAEC3E6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t>MSK</w:t>
      </w:r>
      <w:r w:rsidR="00112EB7" w:rsidRPr="003669E7">
        <w:rPr>
          <w:lang w:val="en-GB"/>
        </w:rPr>
        <w:t>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motto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was,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“</w:t>
      </w:r>
      <w:r w:rsidR="00112EB7" w:rsidRPr="003669E7">
        <w:rPr>
          <w:lang w:val="en-GB"/>
        </w:rPr>
        <w:t>feet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ground,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aiming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high</w:t>
      </w:r>
      <w:r w:rsidR="00112EB7" w:rsidRPr="003669E7">
        <w:rPr>
          <w:lang w:val="en-GB"/>
        </w:rPr>
        <w:t>,</w:t>
      </w:r>
      <w:r w:rsidRPr="003669E7">
        <w:rPr>
          <w:lang w:val="en-GB"/>
        </w:rPr>
        <w:t>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testament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commitment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practicality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quality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craftsmanship.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Although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incorporated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until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2003,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traced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roots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back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1950s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began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1960s,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added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t</w:t>
      </w:r>
      <w:r w:rsidR="007C7F23">
        <w:rPr>
          <w:lang w:val="en-GB"/>
        </w:rPr>
        <w:t>ractor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safety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</w:t>
      </w:r>
      <w:r w:rsidR="009C72CB">
        <w:rPr>
          <w:lang w:val="en-GB"/>
        </w:rPr>
        <w:t xml:space="preserve"> </w:t>
      </w:r>
      <w:r w:rsidR="009436A9">
        <w:rPr>
          <w:lang w:val="en-GB"/>
        </w:rPr>
        <w:t>lineup</w:t>
      </w:r>
      <w:r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1970s,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added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utility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trailers.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values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founder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Ville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Isosaari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his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Jaakko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Isosaari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remained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fundamental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nine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family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members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still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involved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firm.</w:t>
      </w:r>
      <w:r w:rsidR="009C72CB">
        <w:rPr>
          <w:lang w:val="en-GB"/>
        </w:rPr>
        <w:t xml:space="preserve">  </w:t>
      </w:r>
    </w:p>
    <w:p w14:paraId="4F5E30F8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6B896ACA" w14:textId="74DDF2B8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7C7F23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7C7F23">
        <w:rPr>
          <w:lang w:val="en-GB"/>
        </w:rPr>
        <w:t>four</w:t>
      </w:r>
      <w:r w:rsidR="009C72CB">
        <w:rPr>
          <w:lang w:val="en-GB"/>
        </w:rPr>
        <w:t xml:space="preserve"> </w:t>
      </w:r>
      <w:r w:rsidR="007C7F23">
        <w:rPr>
          <w:lang w:val="en-GB"/>
        </w:rPr>
        <w:t>subsidiaries:</w:t>
      </w:r>
      <w:r w:rsidR="009C72CB">
        <w:rPr>
          <w:lang w:val="en-GB"/>
        </w:rPr>
        <w:t xml:space="preserve"> </w:t>
      </w:r>
      <w:r w:rsidR="007C7F23">
        <w:rPr>
          <w:lang w:val="en-GB"/>
        </w:rPr>
        <w:t>Junkkari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Juncar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Plast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Juncar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utility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trailers.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two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remaining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subsidiaries,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Plast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contract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parent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company’s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certified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ISO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9001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ISO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14001</w:t>
      </w:r>
      <w:r w:rsidR="007C7F23">
        <w:rPr>
          <w:rStyle w:val="FootnoteReference"/>
          <w:lang w:val="en-GB"/>
        </w:rPr>
        <w:footnoteReference w:id="1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quality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standards.</w:t>
      </w:r>
      <w:r w:rsidR="009C72CB">
        <w:rPr>
          <w:lang w:val="en-GB"/>
        </w:rPr>
        <w:t xml:space="preserve">  </w:t>
      </w:r>
    </w:p>
    <w:p w14:paraId="5C1A8FDD" w14:textId="26A0DFA0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lastRenderedPageBreak/>
        <w:t>Turnover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seven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averaged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between</w:t>
      </w:r>
      <w:r w:rsidR="009C72CB">
        <w:rPr>
          <w:lang w:val="en-GB"/>
        </w:rPr>
        <w:t xml:space="preserve"> </w:t>
      </w:r>
      <w:bookmarkStart w:id="1" w:name="_Hlk518898316"/>
      <w:r w:rsidRPr="003669E7">
        <w:rPr>
          <w:lang w:val="en-GB"/>
        </w:rPr>
        <w:t>€</w:t>
      </w:r>
      <w:bookmarkEnd w:id="1"/>
      <w:r w:rsidRPr="003669E7">
        <w:rPr>
          <w:lang w:val="en-GB"/>
        </w:rPr>
        <w:t>80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million</w:t>
      </w:r>
      <w:r w:rsidR="003B23C7" w:rsidRPr="003669E7">
        <w:rPr>
          <w:rStyle w:val="FootnoteReference"/>
          <w:lang w:val="en-GB"/>
        </w:rPr>
        <w:footnoteReference w:id="2"/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112EB7" w:rsidRPr="003669E7">
        <w:rPr>
          <w:lang w:val="en-GB"/>
        </w:rPr>
        <w:t>€</w:t>
      </w:r>
      <w:r w:rsidRPr="003669E7">
        <w:rPr>
          <w:lang w:val="en-GB"/>
        </w:rPr>
        <w:t>100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million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(see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36285A">
        <w:rPr>
          <w:lang w:val="en-GB"/>
        </w:rPr>
        <w:t>1</w:t>
      </w:r>
      <w:r w:rsidR="007C7F23">
        <w:rPr>
          <w:lang w:val="en-GB"/>
        </w:rPr>
        <w:t>)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2016</w:t>
      </w:r>
      <w:r w:rsidR="00112EB7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EA6CD5"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="00EA6CD5" w:rsidRPr="003669E7">
        <w:rPr>
          <w:lang w:val="en-GB"/>
        </w:rPr>
        <w:t>revenue</w:t>
      </w:r>
      <w:r w:rsidR="009C72CB">
        <w:rPr>
          <w:lang w:val="en-GB"/>
        </w:rPr>
        <w:t xml:space="preserve"> </w:t>
      </w:r>
      <w:r w:rsidR="00FD718A" w:rsidRPr="003669E7">
        <w:rPr>
          <w:lang w:val="en-GB"/>
        </w:rPr>
        <w:t>totalled</w:t>
      </w:r>
      <w:r w:rsidR="009C72CB">
        <w:rPr>
          <w:lang w:val="en-GB"/>
        </w:rPr>
        <w:t xml:space="preserve"> </w:t>
      </w:r>
      <w:r w:rsidR="00EA6CD5" w:rsidRPr="003669E7">
        <w:rPr>
          <w:lang w:val="en-GB"/>
        </w:rPr>
        <w:t>€93</w:t>
      </w:r>
      <w:r w:rsidR="009C72CB">
        <w:rPr>
          <w:lang w:val="en-GB"/>
        </w:rPr>
        <w:t xml:space="preserve"> </w:t>
      </w:r>
      <w:r w:rsidR="00EA6CD5" w:rsidRPr="003669E7">
        <w:rPr>
          <w:lang w:val="en-GB"/>
        </w:rPr>
        <w:t>million</w:t>
      </w:r>
      <w:r w:rsidR="00E02199"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="00025183" w:rsidRPr="003669E7">
        <w:rPr>
          <w:lang w:val="en-GB"/>
        </w:rPr>
        <w:t>86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this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revenue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associated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contract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activities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(</w:t>
      </w:r>
      <w:r w:rsidR="00E02199" w:rsidRPr="003669E7">
        <w:rPr>
          <w:lang w:val="en-GB"/>
        </w:rPr>
        <w:t>69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17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="00025183"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Plast</w:t>
      </w:r>
      <w:r w:rsidR="00025183" w:rsidRPr="003669E7">
        <w:rPr>
          <w:lang w:val="en-GB"/>
        </w:rPr>
        <w:t>)</w:t>
      </w:r>
      <w:r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14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associated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(10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="00E542EF"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4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Juncar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Oy</w:t>
      </w:r>
      <w:r w:rsidR="00E02199" w:rsidRPr="003669E7">
        <w:rPr>
          <w:lang w:val="en-GB"/>
        </w:rPr>
        <w:t>)</w:t>
      </w:r>
      <w:r w:rsidR="00E542EF" w:rsidRPr="003669E7">
        <w:rPr>
          <w:lang w:val="en-GB"/>
        </w:rPr>
        <w:t>.</w:t>
      </w:r>
    </w:p>
    <w:p w14:paraId="020DFE89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6DEA7ACD" w14:textId="0618E8E0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number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at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remained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between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400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500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few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head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office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21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Plast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115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66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Juncar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24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majority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workers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men,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skilled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crafts</w:t>
      </w:r>
      <w:r w:rsidR="00E02199" w:rsidRPr="003669E7">
        <w:rPr>
          <w:lang w:val="en-GB"/>
        </w:rPr>
        <w:t>people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(23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professional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workers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77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workers).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average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43.</w:t>
      </w:r>
      <w:r w:rsidR="009C72CB">
        <w:rPr>
          <w:lang w:val="en-GB"/>
        </w:rPr>
        <w:t xml:space="preserve"> </w:t>
      </w:r>
    </w:p>
    <w:p w14:paraId="5775EAAF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61B90ED1" w14:textId="2ABF33CA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further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organized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according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line</w:t>
      </w:r>
      <w:r w:rsidR="00E02199" w:rsidRPr="003669E7">
        <w:rPr>
          <w:lang w:val="en-GB"/>
        </w:rPr>
        <w:t>s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specialized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drills,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acid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applicators,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tipping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trailers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E02199" w:rsidRPr="003669E7">
        <w:rPr>
          <w:lang w:val="en-GB"/>
        </w:rPr>
        <w:t>small-</w:t>
      </w:r>
      <w:r w:rsidRPr="003669E7">
        <w:rPr>
          <w:lang w:val="en-GB"/>
        </w:rPr>
        <w:t>scale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loaders,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trailers,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industry.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exported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="002926F9" w:rsidRPr="003669E7">
        <w:rPr>
          <w:lang w:val="en-GB"/>
        </w:rPr>
        <w:t>product</w:t>
      </w:r>
      <w:r w:rsidR="002926F9">
        <w:rPr>
          <w:lang w:val="en-GB"/>
        </w:rPr>
        <w:t>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parts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Europe,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Africa,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Asia.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Juncar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Oy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Finland’s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largest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utility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trailers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personal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professional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use.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major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i/>
          <w:lang w:val="en-GB"/>
        </w:rPr>
        <w:t xml:space="preserve"> </w:t>
      </w:r>
      <w:r w:rsidRPr="003669E7">
        <w:rPr>
          <w:lang w:val="en-GB"/>
        </w:rPr>
        <w:t>safety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capable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pre-</w:t>
      </w:r>
      <w:r w:rsidR="00AB012E" w:rsidRPr="003669E7">
        <w:rPr>
          <w:lang w:val="en-GB"/>
        </w:rPr>
        <w:t>assembly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fully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trimmed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tractors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earth-</w:t>
      </w:r>
      <w:r w:rsidRPr="003669E7">
        <w:rPr>
          <w:lang w:val="en-GB"/>
        </w:rPr>
        <w:t>moving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equipment.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c</w:t>
      </w:r>
      <w:r w:rsidRPr="003669E7">
        <w:rPr>
          <w:lang w:val="en-GB"/>
        </w:rPr>
        <w:t>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under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contract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75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different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countries.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limited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approximately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50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cabins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day.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Plast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contract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manufacturer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specialized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plastic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reaction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injection</w:t>
      </w:r>
      <w:r w:rsidR="009C72CB">
        <w:rPr>
          <w:lang w:val="en-GB"/>
        </w:rPr>
        <w:t xml:space="preserve"> </w:t>
      </w:r>
      <w:r w:rsidR="00FD718A" w:rsidRPr="003669E7">
        <w:rPr>
          <w:lang w:val="en-GB"/>
        </w:rPr>
        <w:t>moulding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Plast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1,500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different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products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piece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weights</w:t>
      </w:r>
      <w:r w:rsidR="009C72CB">
        <w:rPr>
          <w:lang w:val="en-GB"/>
        </w:rPr>
        <w:t xml:space="preserve"> </w:t>
      </w:r>
      <w:r w:rsidR="00AB012E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0.1–3</w:t>
      </w:r>
      <w:r w:rsidR="00AB012E" w:rsidRPr="003669E7">
        <w:rPr>
          <w:lang w:val="en-GB"/>
        </w:rPr>
        <w:t>,</w:t>
      </w:r>
      <w:r w:rsidR="00B86942" w:rsidRPr="003669E7">
        <w:rPr>
          <w:lang w:val="en-GB"/>
        </w:rPr>
        <w:t>000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</w:t>
      </w:r>
      <w:r w:rsidR="00B86942" w:rsidRPr="003669E7">
        <w:rPr>
          <w:lang w:val="en-GB"/>
        </w:rPr>
        <w:t>rams,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applications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fields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medicine,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electricity,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energy,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heavy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could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found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world.</w:t>
      </w:r>
      <w:r w:rsidR="009C72CB">
        <w:rPr>
          <w:lang w:val="en-GB"/>
        </w:rPr>
        <w:t xml:space="preserve"> </w:t>
      </w:r>
    </w:p>
    <w:p w14:paraId="545B98B0" w14:textId="77777777" w:rsidR="00FC4F2B" w:rsidRPr="009C72CB" w:rsidRDefault="00FC4F2B" w:rsidP="00FC4F2B">
      <w:pPr>
        <w:pStyle w:val="BodyTextMain"/>
        <w:rPr>
          <w:sz w:val="20"/>
          <w:lang w:val="en-GB"/>
        </w:rPr>
      </w:pPr>
    </w:p>
    <w:p w14:paraId="1DC5FF73" w14:textId="066D34BA" w:rsidR="0072036E" w:rsidRPr="003669E7" w:rsidRDefault="0072036E" w:rsidP="009C72CB">
      <w:pPr>
        <w:pStyle w:val="BodyTextMain"/>
        <w:rPr>
          <w:lang w:val="en-GB"/>
        </w:rPr>
      </w:pPr>
      <w:r w:rsidRPr="003669E7">
        <w:rPr>
          <w:lang w:val="en-GB"/>
        </w:rPr>
        <w:t>Finland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challenging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country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which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business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because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domestic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market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high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labour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taxation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rates.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Productivity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sector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particular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concern</w:t>
      </w:r>
      <w:r w:rsidR="00B86942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capital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investments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weak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wages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increa</w:t>
      </w:r>
      <w:r w:rsidR="00E32492" w:rsidRPr="003669E7">
        <w:rPr>
          <w:lang w:val="en-GB"/>
        </w:rPr>
        <w:t>sed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faster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than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productivity.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Finland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ranked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last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terms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labour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productivity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among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countries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(Ireland,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Denmark,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Belgium,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Sweden,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Netherlands,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Austria)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(see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36285A">
        <w:rPr>
          <w:lang w:val="en-GB"/>
        </w:rPr>
        <w:t>2)</w:t>
      </w:r>
      <w:r w:rsidR="00E32492" w:rsidRPr="003669E7">
        <w:rPr>
          <w:lang w:val="en-GB"/>
        </w:rPr>
        <w:t>.</w:t>
      </w:r>
      <w:r w:rsidRPr="003669E7">
        <w:rPr>
          <w:rStyle w:val="FootnoteReference"/>
          <w:lang w:val="en-GB"/>
        </w:rPr>
        <w:footnoteReference w:id="3"/>
      </w:r>
      <w:r w:rsidR="009C72CB">
        <w:rPr>
          <w:lang w:val="en-GB"/>
        </w:rPr>
        <w:t xml:space="preserve"> </w:t>
      </w:r>
    </w:p>
    <w:p w14:paraId="10F2411F" w14:textId="77777777" w:rsidR="0072036E" w:rsidRPr="009C72CB" w:rsidRDefault="0072036E" w:rsidP="009C72CB">
      <w:pPr>
        <w:pStyle w:val="BodyTextMain"/>
        <w:rPr>
          <w:sz w:val="20"/>
          <w:lang w:val="en-GB"/>
        </w:rPr>
      </w:pPr>
    </w:p>
    <w:p w14:paraId="4FE5A788" w14:textId="1D962617" w:rsidR="0072036E" w:rsidRPr="003669E7" w:rsidRDefault="0072036E" w:rsidP="009C72CB">
      <w:pPr>
        <w:pStyle w:val="BodyTextMain"/>
        <w:rPr>
          <w:lang w:val="en-GB"/>
        </w:rPr>
      </w:pPr>
      <w:r w:rsidRPr="003669E7">
        <w:rPr>
          <w:lang w:val="en-GB"/>
        </w:rPr>
        <w:t>Finland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tended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export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intermediate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goods,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metal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than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did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goods</w:t>
      </w:r>
      <w:r w:rsidR="00B86942"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this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part</w:t>
      </w:r>
      <w:r w:rsidR="00B86942" w:rsidRPr="003669E7">
        <w:rPr>
          <w:lang w:val="en-GB"/>
        </w:rPr>
        <w:t>l</w:t>
      </w:r>
      <w:r w:rsidRPr="003669E7">
        <w:rPr>
          <w:lang w:val="en-GB"/>
        </w:rPr>
        <w:t>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because</w:t>
      </w:r>
      <w:r w:rsidR="009C72CB">
        <w:rPr>
          <w:lang w:val="en-GB"/>
        </w:rPr>
        <w:t xml:space="preserve"> </w:t>
      </w:r>
      <w:r w:rsidR="00AB0E14">
        <w:rPr>
          <w:lang w:val="en-GB"/>
        </w:rPr>
        <w:t>Finnish-manufactured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goods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considered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competitive.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According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government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sources,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Finland’s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competitiveness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deteriorated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some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10</w:t>
      </w:r>
      <w:r w:rsidR="00B86942" w:rsidRPr="003669E7">
        <w:rPr>
          <w:lang w:val="en-GB"/>
        </w:rPr>
        <w:t>–15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cent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recent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years.</w:t>
      </w:r>
      <w:r w:rsidRPr="003669E7">
        <w:rPr>
          <w:rStyle w:val="FootnoteReference"/>
          <w:lang w:val="en-GB"/>
        </w:rPr>
        <w:footnoteReference w:id="4"/>
      </w:r>
      <w:r w:rsidR="009C72CB">
        <w:rPr>
          <w:lang w:val="en-GB"/>
        </w:rPr>
        <w:t xml:space="preserve">  </w:t>
      </w:r>
    </w:p>
    <w:p w14:paraId="38B90E64" w14:textId="77777777" w:rsidR="0072036E" w:rsidRPr="009C72CB" w:rsidRDefault="0072036E" w:rsidP="0072036E">
      <w:pPr>
        <w:rPr>
          <w:szCs w:val="22"/>
          <w:lang w:val="en-GB"/>
        </w:rPr>
      </w:pPr>
    </w:p>
    <w:p w14:paraId="3858F48F" w14:textId="17AB56E7" w:rsidR="0072036E" w:rsidRPr="003669E7" w:rsidRDefault="0072036E" w:rsidP="009C72CB">
      <w:pPr>
        <w:pStyle w:val="BodyTextMain"/>
        <w:rPr>
          <w:lang w:val="en-GB"/>
        </w:rPr>
      </w:pPr>
      <w:r w:rsidRPr="003669E7">
        <w:rPr>
          <w:lang w:val="en-GB"/>
        </w:rPr>
        <w:t>Nonetheless,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established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reputation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high-</w:t>
      </w:r>
      <w:r w:rsidRPr="003669E7">
        <w:rPr>
          <w:lang w:val="en-GB"/>
        </w:rPr>
        <w:t>quality,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responsible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agricultural,</w:t>
      </w:r>
      <w:r w:rsidR="009C72CB">
        <w:rPr>
          <w:lang w:val="en-GB"/>
        </w:rPr>
        <w:t xml:space="preserve"> </w:t>
      </w:r>
      <w:r w:rsidR="00BF2E65">
        <w:rPr>
          <w:lang w:val="en-GB"/>
        </w:rPr>
        <w:t>heavy-equipment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electrical,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electronic,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BF2E65">
        <w:rPr>
          <w:lang w:val="en-GB"/>
        </w:rPr>
        <w:t>health-technology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industries</w:t>
      </w:r>
      <w:r w:rsidR="00B86942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trustworthy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important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consideration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aimed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B86942" w:rsidRPr="003669E7">
        <w:rPr>
          <w:lang w:val="en-GB"/>
        </w:rPr>
        <w:t>“</w:t>
      </w:r>
      <w:r w:rsidRPr="003669E7">
        <w:rPr>
          <w:lang w:val="en-GB"/>
        </w:rPr>
        <w:t>genuine,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straightforward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honest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partner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customers,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stakeholders</w:t>
      </w:r>
      <w:r w:rsidR="00D175C0" w:rsidRPr="003669E7">
        <w:rPr>
          <w:lang w:val="en-GB"/>
        </w:rPr>
        <w:t>.</w:t>
      </w:r>
      <w:r w:rsidR="00B86942" w:rsidRPr="003669E7">
        <w:rPr>
          <w:lang w:val="en-GB"/>
        </w:rPr>
        <w:t>”</w:t>
      </w:r>
      <w:r w:rsidRPr="003669E7">
        <w:rPr>
          <w:rStyle w:val="FootnoteReference"/>
          <w:lang w:val="en-GB"/>
        </w:rPr>
        <w:footnoteReference w:id="5"/>
      </w:r>
      <w:r w:rsidR="009C72CB">
        <w:rPr>
          <w:lang w:val="en-GB"/>
        </w:rPr>
        <w:t xml:space="preserve"> </w:t>
      </w:r>
    </w:p>
    <w:p w14:paraId="58FD7898" w14:textId="77777777" w:rsidR="00FC4F2B" w:rsidRPr="003669E7" w:rsidRDefault="00FC4F2B" w:rsidP="00FC4F2B">
      <w:pPr>
        <w:pStyle w:val="BodyTextMain"/>
        <w:rPr>
          <w:lang w:val="en-GB"/>
        </w:rPr>
      </w:pPr>
    </w:p>
    <w:p w14:paraId="295A9229" w14:textId="77777777" w:rsidR="00B86942" w:rsidRPr="003669E7" w:rsidRDefault="00B86942" w:rsidP="00FC4F2B">
      <w:pPr>
        <w:pStyle w:val="BodyTextMain"/>
        <w:rPr>
          <w:lang w:val="en-GB"/>
        </w:rPr>
      </w:pPr>
    </w:p>
    <w:p w14:paraId="137A6090" w14:textId="062F6885" w:rsidR="00FC4F2B" w:rsidRPr="003669E7" w:rsidRDefault="00FC4F2B" w:rsidP="009E375E">
      <w:pPr>
        <w:pStyle w:val="Casehead1"/>
        <w:keepNext/>
        <w:keepLines/>
        <w:rPr>
          <w:lang w:val="en-GB"/>
        </w:rPr>
      </w:pPr>
      <w:bookmarkStart w:id="2" w:name="_Hlk505106868"/>
      <w:r w:rsidRPr="003669E7">
        <w:rPr>
          <w:lang w:val="en-GB"/>
        </w:rPr>
        <w:lastRenderedPageBreak/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Wood-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Business</w:t>
      </w:r>
      <w:bookmarkEnd w:id="2"/>
    </w:p>
    <w:p w14:paraId="58D738B9" w14:textId="77777777" w:rsidR="00FC4F2B" w:rsidRPr="003669E7" w:rsidRDefault="00FC4F2B" w:rsidP="009E375E">
      <w:pPr>
        <w:pStyle w:val="BodyTextMain"/>
        <w:keepNext/>
        <w:keepLines/>
        <w:rPr>
          <w:lang w:val="en-GB"/>
        </w:rPr>
      </w:pPr>
    </w:p>
    <w:p w14:paraId="53A7E4D3" w14:textId="4C1FC390" w:rsidR="00FC4F2B" w:rsidRPr="003669E7" w:rsidRDefault="00FC4F2B" w:rsidP="009E375E">
      <w:pPr>
        <w:pStyle w:val="BodyTextMain"/>
        <w:keepNext/>
        <w:keepLines/>
        <w:rPr>
          <w:lang w:val="en-GB"/>
        </w:rPr>
      </w:pP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owed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their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origins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grinders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shredders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first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1940s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1950s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land-</w:t>
      </w:r>
      <w:r w:rsidRPr="003669E7">
        <w:rPr>
          <w:lang w:val="en-GB"/>
        </w:rPr>
        <w:t>clearing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basic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designs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changed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much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since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then</w:t>
      </w:r>
      <w:r w:rsidR="00D175C0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although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modern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bigger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engines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heavy-duty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components.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still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land-</w:t>
      </w:r>
      <w:r w:rsidRPr="003669E7">
        <w:rPr>
          <w:lang w:val="en-GB"/>
        </w:rPr>
        <w:t>clearing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but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two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new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emerged</w:t>
      </w:r>
      <w:r w:rsidR="00D175C0"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recycling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organic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materials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biomass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alternative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energy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source.</w:t>
      </w:r>
      <w:r w:rsidRPr="003669E7">
        <w:rPr>
          <w:rStyle w:val="FootnoteReference"/>
          <w:lang w:val="en-GB"/>
        </w:rPr>
        <w:footnoteReference w:id="6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Municipalities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home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owners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started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use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composting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purposes,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although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principal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driver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growth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forestry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industry.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U.S.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market,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sizeable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estimated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US</w:t>
      </w:r>
      <w:r w:rsidRPr="003669E7">
        <w:rPr>
          <w:lang w:val="en-GB"/>
        </w:rPr>
        <w:t>$400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million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2016</w:t>
      </w:r>
      <w:r w:rsidR="00D175C0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annual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growth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rate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</w:t>
      </w:r>
      <w:r w:rsidR="00D175C0"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dominated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three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manufacturers: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Bandit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Industries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Inc.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Morbark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LLC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="00D175C0" w:rsidRPr="003669E7">
        <w:rPr>
          <w:lang w:val="en-GB"/>
        </w:rPr>
        <w:t>Corporation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consolidation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expected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continue.</w:t>
      </w:r>
      <w:r w:rsidRPr="003669E7">
        <w:rPr>
          <w:rStyle w:val="FootnoteReference"/>
          <w:lang w:val="en-GB"/>
        </w:rPr>
        <w:footnoteReference w:id="7"/>
      </w:r>
      <w:r w:rsidR="009C72CB">
        <w:rPr>
          <w:lang w:val="en-GB"/>
        </w:rPr>
        <w:t xml:space="preserve">  </w:t>
      </w:r>
    </w:p>
    <w:p w14:paraId="6B0267C3" w14:textId="77777777" w:rsidR="00FC4F2B" w:rsidRPr="003669E7" w:rsidRDefault="00FC4F2B" w:rsidP="00FC4F2B">
      <w:pPr>
        <w:pStyle w:val="BodyTextMain"/>
        <w:rPr>
          <w:lang w:val="en-GB"/>
        </w:rPr>
      </w:pPr>
    </w:p>
    <w:p w14:paraId="5653A05F" w14:textId="06064B36" w:rsidR="00FC4F2B" w:rsidRPr="003669E7" w:rsidRDefault="00FC4F2B" w:rsidP="00FC4F2B">
      <w:pPr>
        <w:pStyle w:val="BodyTextMain"/>
        <w:rPr>
          <w:szCs w:val="24"/>
          <w:lang w:val="en-GB"/>
        </w:rPr>
      </w:pP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reduced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waste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from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construction,</w:t>
      </w:r>
      <w:r w:rsidR="009C72CB">
        <w:rPr>
          <w:szCs w:val="24"/>
          <w:lang w:val="en-GB"/>
        </w:rPr>
        <w:t xml:space="preserve"> </w:t>
      </w:r>
      <w:r w:rsidR="00D175C0" w:rsidRPr="003669E7">
        <w:rPr>
          <w:szCs w:val="24"/>
          <w:lang w:val="en-GB"/>
        </w:rPr>
        <w:t>furniture-</w:t>
      </w:r>
      <w:r w:rsidRPr="003669E7">
        <w:rPr>
          <w:szCs w:val="24"/>
          <w:lang w:val="en-GB"/>
        </w:rPr>
        <w:t>manufacturing,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landscaping,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logging,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sawmill</w:t>
      </w:r>
      <w:r w:rsidR="00D175C0"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="00D175C0"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="00D175C0" w:rsidRPr="003669E7">
        <w:rPr>
          <w:szCs w:val="24"/>
          <w:lang w:val="en-GB"/>
        </w:rPr>
        <w:t>similar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operations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into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sawdust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="002926F9">
        <w:rPr>
          <w:szCs w:val="24"/>
          <w:lang w:val="en-GB"/>
        </w:rPr>
        <w:t>use</w:t>
      </w:r>
      <w:r w:rsidR="009C72CB">
        <w:rPr>
          <w:szCs w:val="24"/>
          <w:lang w:val="en-GB"/>
        </w:rPr>
        <w:t xml:space="preserve"> </w:t>
      </w:r>
      <w:r w:rsidR="002926F9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ground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cover,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composting,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biomass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fuel,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paper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making.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All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had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same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basic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components</w:t>
      </w:r>
      <w:r w:rsidR="00FD35AA" w:rsidRPr="003669E7">
        <w:rPr>
          <w:szCs w:val="24"/>
          <w:lang w:val="en-GB"/>
        </w:rPr>
        <w:t>—</w:t>
      </w:r>
      <w:r w:rsidRPr="003669E7">
        <w:rPr>
          <w:szCs w:val="24"/>
          <w:lang w:val="en-GB"/>
        </w:rPr>
        <w:t>that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is,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collar,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chipping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mechanism,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collection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chute</w:t>
      </w:r>
      <w:r w:rsidR="00FD35AA" w:rsidRPr="003669E7">
        <w:rPr>
          <w:szCs w:val="24"/>
          <w:lang w:val="en-GB"/>
        </w:rPr>
        <w:t>—which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powered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electric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motor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diesel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engine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could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mounted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truck</w:t>
      </w:r>
      <w:r w:rsidR="009C72CB">
        <w:rPr>
          <w:szCs w:val="24"/>
          <w:lang w:val="en-GB"/>
        </w:rPr>
        <w:t xml:space="preserve"> </w:t>
      </w:r>
      <w:r w:rsidR="00FD35AA" w:rsidRPr="003669E7">
        <w:rPr>
          <w:szCs w:val="24"/>
          <w:lang w:val="en-GB"/>
        </w:rPr>
        <w:t>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tractor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towed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behind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vehicle.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three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basic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types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chippers: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high-torque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roller,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dis</w:t>
      </w:r>
      <w:r w:rsidR="007C7F23">
        <w:rPr>
          <w:szCs w:val="24"/>
          <w:lang w:val="en-GB"/>
        </w:rPr>
        <w:t>k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drum.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high-torque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roller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self-feeding,</w:t>
      </w:r>
      <w:r w:rsidR="009C72CB">
        <w:rPr>
          <w:szCs w:val="24"/>
          <w:lang w:val="en-GB"/>
        </w:rPr>
        <w:t xml:space="preserve"> </w:t>
      </w:r>
      <w:r w:rsidR="00FD35AA" w:rsidRPr="003669E7">
        <w:rPr>
          <w:szCs w:val="24"/>
          <w:lang w:val="en-GB"/>
        </w:rPr>
        <w:t>low-</w:t>
      </w:r>
      <w:r w:rsidRPr="003669E7">
        <w:rPr>
          <w:szCs w:val="24"/>
          <w:lang w:val="en-GB"/>
        </w:rPr>
        <w:t>speed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intended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residential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use.</w:t>
      </w:r>
      <w:r w:rsidR="009C72CB">
        <w:rPr>
          <w:szCs w:val="24"/>
          <w:lang w:val="en-GB"/>
        </w:rPr>
        <w:t xml:space="preserve"> </w:t>
      </w:r>
      <w:r w:rsidR="00FD35AA"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="00FD35AA" w:rsidRPr="003669E7">
        <w:rPr>
          <w:szCs w:val="24"/>
          <w:lang w:val="en-GB"/>
        </w:rPr>
        <w:t>d</w:t>
      </w:r>
      <w:r w:rsidRPr="003669E7">
        <w:rPr>
          <w:szCs w:val="24"/>
          <w:lang w:val="en-GB"/>
        </w:rPr>
        <w:t>is</w:t>
      </w:r>
      <w:r w:rsidR="007C7F23">
        <w:rPr>
          <w:szCs w:val="24"/>
          <w:lang w:val="en-GB"/>
        </w:rPr>
        <w:t>k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used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spinning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metal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</w:t>
      </w:r>
      <w:r w:rsidR="007C7F23">
        <w:rPr>
          <w:szCs w:val="24"/>
          <w:lang w:val="en-GB"/>
        </w:rPr>
        <w:t>isk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with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attached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cutting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blades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produce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chips</w:t>
      </w:r>
      <w:r w:rsidR="00E56634">
        <w:rPr>
          <w:szCs w:val="24"/>
          <w:lang w:val="en-GB"/>
        </w:rPr>
        <w:t>.</w:t>
      </w:r>
      <w:r w:rsidR="009C72CB">
        <w:rPr>
          <w:szCs w:val="24"/>
          <w:lang w:val="en-GB"/>
        </w:rPr>
        <w:t xml:space="preserve"> </w:t>
      </w:r>
      <w:r w:rsidR="00E56634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drum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had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large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motor-powered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drum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centre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</w:t>
      </w:r>
      <w:r w:rsidR="00FD35AA"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which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material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moved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towards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chute.</w:t>
      </w:r>
      <w:r w:rsidRPr="003669E7">
        <w:rPr>
          <w:rStyle w:val="FootnoteReference"/>
          <w:szCs w:val="24"/>
          <w:lang w:val="en-GB"/>
        </w:rPr>
        <w:footnoteReference w:id="8"/>
      </w:r>
      <w:r w:rsidR="009C72CB">
        <w:rPr>
          <w:szCs w:val="24"/>
          <w:lang w:val="en-GB"/>
        </w:rPr>
        <w:t xml:space="preserve">  </w:t>
      </w:r>
    </w:p>
    <w:p w14:paraId="613C3227" w14:textId="77777777" w:rsidR="00FC4F2B" w:rsidRPr="003669E7" w:rsidRDefault="00FC4F2B" w:rsidP="00FC4F2B">
      <w:pPr>
        <w:pStyle w:val="BodyTextMain"/>
        <w:rPr>
          <w:szCs w:val="24"/>
          <w:lang w:val="en-GB"/>
        </w:rPr>
      </w:pPr>
    </w:p>
    <w:p w14:paraId="5D5CF39C" w14:textId="73AB340C" w:rsidR="00FC4F2B" w:rsidRPr="009C72CB" w:rsidRDefault="00FC4F2B" w:rsidP="009C72CB">
      <w:pPr>
        <w:pStyle w:val="BodyTextMain"/>
        <w:rPr>
          <w:lang w:val="en-GB"/>
        </w:rPr>
      </w:pPr>
      <w:r w:rsidRPr="009C72CB">
        <w:rPr>
          <w:lang w:val="en-GB"/>
        </w:rPr>
        <w:t>Demand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for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wood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chippers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was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strong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North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America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and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was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expected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to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grow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the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Asia-</w:t>
      </w:r>
      <w:r w:rsidRPr="009C72CB">
        <w:rPr>
          <w:lang w:val="en-GB"/>
        </w:rPr>
        <w:t>Pacific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region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due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to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increased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building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construction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and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furniture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manufacturing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developing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countries.</w:t>
      </w:r>
      <w:r w:rsidRPr="009C72CB">
        <w:rPr>
          <w:rStyle w:val="FootnoteReference"/>
          <w:spacing w:val="-2"/>
          <w:kern w:val="22"/>
          <w:lang w:val="en-GB"/>
        </w:rPr>
        <w:footnoteReference w:id="9"/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Demand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for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wood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chips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was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also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strong,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driven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part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by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the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use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of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wood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chips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biomass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power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plants,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particularly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in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the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European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Union</w:t>
      </w:r>
      <w:r w:rsidR="00FD35AA" w:rsidRPr="009C72CB">
        <w:rPr>
          <w:lang w:val="en-GB"/>
        </w:rPr>
        <w:t>,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where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member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countries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were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bound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to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a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targe</w:t>
      </w:r>
      <w:r w:rsidR="00E32492" w:rsidRPr="009C72CB">
        <w:rPr>
          <w:lang w:val="en-GB"/>
        </w:rPr>
        <w:t>t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of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deriving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20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per</w:t>
      </w:r>
      <w:r w:rsidR="009C72CB" w:rsidRPr="009C72CB">
        <w:rPr>
          <w:lang w:val="en-GB"/>
        </w:rPr>
        <w:t xml:space="preserve"> </w:t>
      </w:r>
      <w:r w:rsidR="00E32492" w:rsidRPr="009C72CB">
        <w:rPr>
          <w:lang w:val="en-GB"/>
        </w:rPr>
        <w:t>cent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of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final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energy</w:t>
      </w:r>
      <w:r w:rsidR="009C72CB" w:rsidRPr="009C72CB">
        <w:rPr>
          <w:lang w:val="en-GB"/>
        </w:rPr>
        <w:t xml:space="preserve"> </w:t>
      </w:r>
      <w:r w:rsidR="00FD35AA" w:rsidRPr="009C72CB">
        <w:rPr>
          <w:lang w:val="en-GB"/>
        </w:rPr>
        <w:t>consumed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from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renewable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sources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by</w:t>
      </w:r>
      <w:r w:rsidR="009C72CB" w:rsidRPr="009C72CB">
        <w:rPr>
          <w:lang w:val="en-GB"/>
        </w:rPr>
        <w:t xml:space="preserve"> </w:t>
      </w:r>
      <w:r w:rsidRPr="009C72CB">
        <w:rPr>
          <w:lang w:val="en-GB"/>
        </w:rPr>
        <w:t>2020.</w:t>
      </w:r>
      <w:r w:rsidRPr="009C72CB">
        <w:rPr>
          <w:rStyle w:val="FootnoteReference"/>
          <w:spacing w:val="-2"/>
          <w:kern w:val="22"/>
          <w:lang w:val="en-GB"/>
        </w:rPr>
        <w:footnoteReference w:id="10"/>
      </w:r>
      <w:r w:rsidR="009C72CB" w:rsidRPr="009C72CB">
        <w:rPr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Nonetheless,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the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wood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chipper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was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mature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product</w:t>
      </w:r>
      <w:r w:rsidR="00E56634" w:rsidRPr="009C72CB">
        <w:rPr>
          <w:rFonts w:cstheme="minorHAnsi"/>
          <w:lang w:val="en-GB"/>
        </w:rPr>
        <w:t>,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and</w:t>
      </w:r>
      <w:r w:rsidR="00FD35AA" w:rsidRPr="009C72CB">
        <w:rPr>
          <w:rFonts w:cstheme="minorHAnsi"/>
          <w:lang w:val="en-GB"/>
        </w:rPr>
        <w:t>,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such,</w:t>
      </w:r>
      <w:r w:rsidR="009C72CB" w:rsidRPr="009C72CB">
        <w:rPr>
          <w:rFonts w:cstheme="minorHAnsi"/>
          <w:lang w:val="en-GB"/>
        </w:rPr>
        <w:t xml:space="preserve"> </w:t>
      </w:r>
      <w:r w:rsidR="00FD35AA" w:rsidRPr="009C72CB">
        <w:rPr>
          <w:rFonts w:cstheme="minorHAnsi"/>
          <w:lang w:val="en-GB"/>
        </w:rPr>
        <w:t>its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buyers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were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focused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on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price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and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performance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and</w:t>
      </w:r>
      <w:r w:rsidR="009C72CB" w:rsidRPr="009C72CB">
        <w:rPr>
          <w:rFonts w:cstheme="minorHAnsi"/>
          <w:lang w:val="en-GB"/>
        </w:rPr>
        <w:t xml:space="preserve"> </w:t>
      </w:r>
      <w:r w:rsidR="00FD35AA" w:rsidRPr="009C72CB">
        <w:rPr>
          <w:rFonts w:cstheme="minorHAnsi"/>
          <w:lang w:val="en-GB"/>
        </w:rPr>
        <w:t>its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suppliers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on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maintaining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preference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for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the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brand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through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incremental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improvements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to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the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product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and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augmented</w:t>
      </w:r>
      <w:r w:rsidR="009C72CB" w:rsidRPr="009C72CB">
        <w:rPr>
          <w:rFonts w:cstheme="minorHAnsi"/>
          <w:lang w:val="en-GB"/>
        </w:rPr>
        <w:t xml:space="preserve"> </w:t>
      </w:r>
      <w:r w:rsidR="0072036E" w:rsidRPr="009C72CB">
        <w:rPr>
          <w:rFonts w:cstheme="minorHAnsi"/>
          <w:lang w:val="en-GB"/>
        </w:rPr>
        <w:t>service</w:t>
      </w:r>
      <w:r w:rsidR="0072036E" w:rsidRPr="009C72CB">
        <w:rPr>
          <w:lang w:val="en-GB"/>
        </w:rPr>
        <w:t>.</w:t>
      </w:r>
      <w:r w:rsidR="0072036E" w:rsidRPr="009C72CB">
        <w:rPr>
          <w:rStyle w:val="FootnoteReference"/>
          <w:spacing w:val="-2"/>
          <w:kern w:val="22"/>
          <w:lang w:val="en-GB"/>
        </w:rPr>
        <w:footnoteReference w:id="11"/>
      </w:r>
    </w:p>
    <w:p w14:paraId="51FA81A9" w14:textId="77777777" w:rsidR="00FC4F2B" w:rsidRPr="003669E7" w:rsidRDefault="00FC4F2B" w:rsidP="00FC4F2B">
      <w:pPr>
        <w:pStyle w:val="BodyTextMain"/>
        <w:rPr>
          <w:lang w:val="en-GB"/>
        </w:rPr>
      </w:pPr>
    </w:p>
    <w:p w14:paraId="124D1002" w14:textId="78989FE1" w:rsidR="00FC4F2B" w:rsidRPr="003669E7" w:rsidRDefault="00FC4F2B" w:rsidP="00FC4F2B">
      <w:pPr>
        <w:pStyle w:val="BodyTextMain"/>
        <w:rPr>
          <w:szCs w:val="24"/>
          <w:lang w:val="en-GB"/>
        </w:rPr>
      </w:pP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Junkkari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plant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Kauhava,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Finland</w:t>
      </w:r>
      <w:r w:rsidR="00FD35AA"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produced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range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mid-sized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dis</w:t>
      </w:r>
      <w:r w:rsidR="007C7F23">
        <w:rPr>
          <w:szCs w:val="24"/>
          <w:lang w:val="en-GB"/>
        </w:rPr>
        <w:t>k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="00FD35AA" w:rsidRPr="003669E7">
        <w:rPr>
          <w:szCs w:val="24"/>
          <w:lang w:val="en-GB"/>
        </w:rPr>
        <w:t>small-</w:t>
      </w:r>
      <w:r w:rsidRPr="003669E7">
        <w:rPr>
          <w:szCs w:val="24"/>
          <w:lang w:val="en-GB"/>
        </w:rPr>
        <w:t>scale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farming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forestry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applications.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trees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branches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range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two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to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45</w:t>
      </w:r>
      <w:r w:rsidR="009C72CB">
        <w:rPr>
          <w:szCs w:val="24"/>
          <w:lang w:val="en-GB"/>
        </w:rPr>
        <w:t xml:space="preserve"> </w:t>
      </w:r>
      <w:r w:rsidR="00E32492" w:rsidRPr="003669E7">
        <w:rPr>
          <w:szCs w:val="24"/>
          <w:lang w:val="en-GB"/>
        </w:rPr>
        <w:t>centimetre</w:t>
      </w:r>
      <w:r w:rsidR="00FD35AA" w:rsidRPr="003669E7">
        <w:rPr>
          <w:szCs w:val="24"/>
          <w:lang w:val="en-GB"/>
        </w:rPr>
        <w:t>s</w:t>
      </w:r>
      <w:r w:rsidR="009C72CB">
        <w:rPr>
          <w:szCs w:val="24"/>
          <w:lang w:val="en-GB"/>
        </w:rPr>
        <w:t xml:space="preserve"> </w:t>
      </w:r>
      <w:r w:rsidR="00E32492" w:rsidRPr="003669E7">
        <w:rPr>
          <w:szCs w:val="24"/>
          <w:lang w:val="en-GB"/>
        </w:rPr>
        <w:t>(</w:t>
      </w:r>
      <w:r w:rsidRPr="003669E7">
        <w:rPr>
          <w:szCs w:val="24"/>
          <w:lang w:val="en-GB"/>
        </w:rPr>
        <w:t>cm</w:t>
      </w:r>
      <w:r w:rsidR="00E32492" w:rsidRPr="003669E7">
        <w:rPr>
          <w:szCs w:val="24"/>
          <w:lang w:val="en-GB"/>
        </w:rPr>
        <w:t>)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diameter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produced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between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two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100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cubic</w:t>
      </w:r>
      <w:r w:rsidR="009C72CB">
        <w:rPr>
          <w:szCs w:val="24"/>
          <w:lang w:val="en-GB"/>
        </w:rPr>
        <w:t xml:space="preserve"> </w:t>
      </w:r>
      <w:r w:rsidR="00E32492" w:rsidRPr="003669E7">
        <w:rPr>
          <w:szCs w:val="24"/>
          <w:lang w:val="en-GB"/>
        </w:rPr>
        <w:t>metre</w:t>
      </w:r>
      <w:r w:rsidR="006B770B" w:rsidRPr="003669E7">
        <w:rPr>
          <w:szCs w:val="24"/>
          <w:lang w:val="en-GB"/>
        </w:rPr>
        <w:t>s</w:t>
      </w:r>
      <w:r w:rsidR="009C72CB">
        <w:rPr>
          <w:szCs w:val="24"/>
          <w:lang w:val="en-GB"/>
        </w:rPr>
        <w:t xml:space="preserve"> </w:t>
      </w:r>
      <w:r w:rsidR="00E32492" w:rsidRPr="003669E7">
        <w:rPr>
          <w:szCs w:val="24"/>
          <w:lang w:val="en-GB"/>
        </w:rPr>
        <w:t>(</w:t>
      </w:r>
      <w:r w:rsidRPr="003669E7">
        <w:rPr>
          <w:szCs w:val="24"/>
          <w:lang w:val="en-GB"/>
        </w:rPr>
        <w:t>m</w:t>
      </w:r>
      <w:r w:rsidRPr="003669E7">
        <w:rPr>
          <w:szCs w:val="24"/>
          <w:vertAlign w:val="superscript"/>
          <w:lang w:val="en-GB"/>
        </w:rPr>
        <w:t>3</w:t>
      </w:r>
      <w:r w:rsidR="006B770B" w:rsidRPr="003669E7">
        <w:rPr>
          <w:szCs w:val="24"/>
          <w:lang w:val="en-GB"/>
        </w:rPr>
        <w:t>)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hour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(see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Exhibit</w:t>
      </w:r>
      <w:r w:rsidR="009C72CB">
        <w:rPr>
          <w:szCs w:val="24"/>
          <w:lang w:val="en-GB"/>
        </w:rPr>
        <w:t xml:space="preserve"> </w:t>
      </w:r>
      <w:r w:rsidR="00ED76BE" w:rsidRPr="003669E7">
        <w:rPr>
          <w:szCs w:val="24"/>
          <w:lang w:val="en-GB"/>
        </w:rPr>
        <w:t>3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model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comparisons).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high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quality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built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last.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most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popular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models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were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HJ170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HJ250</w:t>
      </w:r>
      <w:r w:rsidR="006B770B" w:rsidRPr="003669E7">
        <w:rPr>
          <w:szCs w:val="24"/>
          <w:lang w:val="en-GB"/>
        </w:rPr>
        <w:t>—</w:t>
      </w:r>
      <w:r w:rsidRPr="003669E7">
        <w:rPr>
          <w:szCs w:val="24"/>
          <w:lang w:val="en-GB"/>
        </w:rPr>
        <w:t>tractor</w:t>
      </w:r>
      <w:r w:rsidR="006B770B" w:rsidRPr="003669E7">
        <w:rPr>
          <w:szCs w:val="24"/>
          <w:lang w:val="en-GB"/>
        </w:rPr>
        <w:t>-</w:t>
      </w:r>
      <w:r w:rsidRPr="003669E7">
        <w:rPr>
          <w:szCs w:val="24"/>
          <w:lang w:val="en-GB"/>
        </w:rPr>
        <w:t>mounted</w:t>
      </w:r>
      <w:r w:rsidR="006B770B"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hand-</w:t>
      </w:r>
      <w:r w:rsidRPr="003669E7">
        <w:rPr>
          <w:szCs w:val="24"/>
          <w:lang w:val="en-GB"/>
        </w:rPr>
        <w:t>feed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chippers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that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retailed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between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€9</w:t>
      </w:r>
      <w:r w:rsidR="006B770B" w:rsidRPr="003669E7">
        <w:rPr>
          <w:szCs w:val="24"/>
          <w:lang w:val="en-GB"/>
        </w:rPr>
        <w:t>,</w:t>
      </w:r>
      <w:r w:rsidRPr="003669E7">
        <w:rPr>
          <w:szCs w:val="24"/>
          <w:lang w:val="en-GB"/>
        </w:rPr>
        <w:t>300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€</w:t>
      </w:r>
      <w:r w:rsidRPr="003669E7">
        <w:rPr>
          <w:szCs w:val="24"/>
          <w:lang w:val="en-GB"/>
        </w:rPr>
        <w:t>12</w:t>
      </w:r>
      <w:r w:rsidR="006B770B" w:rsidRPr="003669E7">
        <w:rPr>
          <w:szCs w:val="24"/>
          <w:lang w:val="en-GB"/>
        </w:rPr>
        <w:t>,</w:t>
      </w:r>
      <w:r w:rsidRPr="003669E7">
        <w:rPr>
          <w:szCs w:val="24"/>
          <w:lang w:val="en-GB"/>
        </w:rPr>
        <w:t>300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(plus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shipping),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with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competitive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discount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importer.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Shipping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costs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ranged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from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€300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to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€3,000,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depending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on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size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number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of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machines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being</w:t>
      </w:r>
      <w:r w:rsidR="009C72CB">
        <w:rPr>
          <w:szCs w:val="24"/>
          <w:lang w:val="en-GB"/>
        </w:rPr>
        <w:t xml:space="preserve"> </w:t>
      </w:r>
      <w:r w:rsidR="000A0FF7" w:rsidRPr="003669E7">
        <w:rPr>
          <w:szCs w:val="24"/>
          <w:lang w:val="en-GB"/>
        </w:rPr>
        <w:t>shipped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destination</w:t>
      </w:r>
      <w:r w:rsidR="000A0FF7" w:rsidRPr="003669E7">
        <w:rPr>
          <w:szCs w:val="24"/>
          <w:lang w:val="en-GB"/>
        </w:rPr>
        <w:t>.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The</w:t>
      </w:r>
      <w:r w:rsidR="009C72CB">
        <w:rPr>
          <w:szCs w:val="24"/>
          <w:lang w:val="en-GB"/>
        </w:rPr>
        <w:t xml:space="preserve"> </w:t>
      </w:r>
      <w:r w:rsidR="006B770B" w:rsidRPr="003669E7">
        <w:rPr>
          <w:szCs w:val="24"/>
          <w:lang w:val="en-GB"/>
        </w:rPr>
        <w:t>lowest-</w:t>
      </w:r>
      <w:r w:rsidR="00304982" w:rsidRPr="003669E7">
        <w:rPr>
          <w:szCs w:val="24"/>
          <w:lang w:val="en-GB"/>
        </w:rPr>
        <w:t>cost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shipping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option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was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full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container</w:t>
      </w:r>
      <w:r w:rsidR="009C72CB">
        <w:rPr>
          <w:szCs w:val="24"/>
          <w:lang w:val="en-GB"/>
        </w:rPr>
        <w:t xml:space="preserve"> </w:t>
      </w:r>
      <w:r w:rsidR="00304982" w:rsidRPr="003669E7">
        <w:rPr>
          <w:szCs w:val="24"/>
          <w:lang w:val="en-GB"/>
        </w:rPr>
        <w:t>load.</w:t>
      </w:r>
      <w:r w:rsidR="009C72CB">
        <w:rPr>
          <w:szCs w:val="24"/>
          <w:lang w:val="en-GB"/>
        </w:rPr>
        <w:t xml:space="preserve">  </w:t>
      </w:r>
    </w:p>
    <w:p w14:paraId="0ED1BB91" w14:textId="6A2D739F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lastRenderedPageBreak/>
        <w:t>Junkkari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made-to-order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business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model</w:t>
      </w:r>
      <w:r w:rsidR="00B437A6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whereby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orders</w:t>
      </w:r>
      <w:r w:rsidR="00B437A6" w:rsidRPr="003669E7">
        <w:rPr>
          <w:lang w:val="en-GB"/>
        </w:rPr>
        <w:t>—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process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could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take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four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six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weeks.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Made-to-order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suitable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process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low-volume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operations.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Off-the-</w:t>
      </w:r>
      <w:r w:rsidRPr="003669E7">
        <w:rPr>
          <w:lang w:val="en-GB"/>
        </w:rPr>
        <w:t>shelf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components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provided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assembled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product.</w:t>
      </w:r>
      <w:r w:rsidRPr="003669E7">
        <w:rPr>
          <w:rStyle w:val="FootnoteReference"/>
          <w:lang w:val="en-GB"/>
        </w:rPr>
        <w:footnoteReference w:id="12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basic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metal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processing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carried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out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Kauhava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plant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included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welding,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soldering,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bolting,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spray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painting,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assembling.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advantages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made-to-order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(a)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closely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linked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demand,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(b)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could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customized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needs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customer</w:t>
      </w:r>
      <w:r w:rsidR="00B437A6" w:rsidRPr="003669E7">
        <w:rPr>
          <w:lang w:val="en-GB"/>
        </w:rPr>
        <w:t>,</w:t>
      </w:r>
      <w:r w:rsidRPr="003669E7">
        <w:rPr>
          <w:rStyle w:val="FootnoteReference"/>
          <w:lang w:val="en-GB"/>
        </w:rPr>
        <w:footnoteReference w:id="13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(c)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have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finance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inventory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finished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primary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disadvantage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customer</w:t>
      </w:r>
      <w:r w:rsidR="00B437A6"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delivery,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which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might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problem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if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distributor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prepared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order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inventory.</w:t>
      </w:r>
      <w:r w:rsidR="009C72CB">
        <w:rPr>
          <w:lang w:val="en-GB"/>
        </w:rPr>
        <w:t xml:space="preserve">  </w:t>
      </w:r>
    </w:p>
    <w:p w14:paraId="1F156E63" w14:textId="77777777" w:rsidR="00FC4F2B" w:rsidRPr="003669E7" w:rsidRDefault="00FC4F2B" w:rsidP="00FC4F2B">
      <w:pPr>
        <w:pStyle w:val="BodyTextMain"/>
        <w:rPr>
          <w:szCs w:val="24"/>
          <w:lang w:val="en-GB"/>
        </w:rPr>
      </w:pPr>
    </w:p>
    <w:p w14:paraId="49E7171E" w14:textId="73810B3E" w:rsidR="00AE4792" w:rsidRPr="007C7F23" w:rsidRDefault="00AE4792" w:rsidP="009C72CB">
      <w:pPr>
        <w:pStyle w:val="BodyTextMain"/>
        <w:rPr>
          <w:lang w:val="en-GB"/>
        </w:rPr>
      </w:pP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some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10,000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30-year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history</w:t>
      </w:r>
      <w:r w:rsidR="00B437A6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making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player</w:t>
      </w:r>
      <w:r w:rsidR="00B437A6"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However,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words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B437A6" w:rsidRPr="003669E7">
        <w:rPr>
          <w:lang w:val="en-GB" w:eastAsia="en-CA"/>
        </w:rPr>
        <w:t>managing</w:t>
      </w:r>
      <w:r w:rsidR="009C72CB">
        <w:rPr>
          <w:lang w:val="en-GB" w:eastAsia="en-CA"/>
        </w:rPr>
        <w:t xml:space="preserve"> </w:t>
      </w:r>
      <w:r w:rsidR="00B437A6" w:rsidRPr="003669E7">
        <w:rPr>
          <w:lang w:val="en-GB" w:eastAsia="en-CA"/>
        </w:rPr>
        <w:t>director</w:t>
      </w:r>
      <w:r w:rsidRPr="003669E7">
        <w:rPr>
          <w:lang w:val="en-GB" w:eastAsia="en-CA"/>
        </w:rPr>
        <w:t>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Harri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Hytonen,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Junkkari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made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up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for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this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with</w:t>
      </w:r>
      <w:r w:rsidR="009C72CB">
        <w:rPr>
          <w:lang w:val="en-GB" w:eastAsia="en-CA"/>
        </w:rPr>
        <w:t xml:space="preserve"> </w:t>
      </w:r>
      <w:r w:rsidR="00B437A6" w:rsidRPr="003669E7">
        <w:rPr>
          <w:lang w:val="en-GB" w:eastAsia="en-CA"/>
        </w:rPr>
        <w:t>its</w:t>
      </w:r>
      <w:r w:rsidR="009C72CB">
        <w:rPr>
          <w:lang w:val="en-GB" w:eastAsia="en-CA"/>
        </w:rPr>
        <w:t xml:space="preserve"> </w:t>
      </w:r>
      <w:r w:rsidR="00B437A6" w:rsidRPr="003669E7">
        <w:rPr>
          <w:lang w:val="en-GB" w:eastAsia="en-CA"/>
        </w:rPr>
        <w:t>“</w:t>
      </w:r>
      <w:r w:rsidRPr="003669E7">
        <w:rPr>
          <w:lang w:val="en-GB" w:eastAsia="en-CA"/>
        </w:rPr>
        <w:t>long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experience,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high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flexibility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and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first-rate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quality.”</w:t>
      </w:r>
      <w:r w:rsidRPr="003669E7">
        <w:rPr>
          <w:rStyle w:val="FootnoteReference"/>
          <w:rFonts w:cstheme="minorHAnsi"/>
          <w:lang w:val="en-GB" w:eastAsia="en-CA"/>
        </w:rPr>
        <w:footnoteReference w:id="14"/>
      </w:r>
      <w:r w:rsidR="009C72CB">
        <w:rPr>
          <w:lang w:val="en-GB" w:eastAsia="en-CA"/>
        </w:rPr>
        <w:t xml:space="preserve"> </w:t>
      </w:r>
      <w:r w:rsidRPr="003669E7">
        <w:rPr>
          <w:lang w:val="en-GB"/>
        </w:rPr>
        <w:t>Ruokoja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echoed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those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sentiments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asked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describe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competitive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advantage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chippers,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saying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they</w:t>
      </w:r>
      <w:r w:rsidR="009C72CB">
        <w:rPr>
          <w:lang w:val="en-GB"/>
        </w:rPr>
        <w:t xml:space="preserve"> </w:t>
      </w:r>
      <w:r w:rsidR="00B437A6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“high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quality,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ergonomical</w:t>
      </w:r>
      <w:r w:rsidR="00445891">
        <w:rPr>
          <w:lang w:val="en-GB"/>
        </w:rPr>
        <w:t>[ly</w:t>
      </w:r>
      <w:r w:rsidR="009C72CB">
        <w:rPr>
          <w:lang w:val="en-GB"/>
        </w:rPr>
        <w:t xml:space="preserve"> </w:t>
      </w:r>
      <w:r w:rsidR="00445891">
        <w:rPr>
          <w:lang w:val="en-GB"/>
        </w:rPr>
        <w:t>correct]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easy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use</w:t>
      </w:r>
      <w:r w:rsidR="004B5BF1" w:rsidRPr="003669E7">
        <w:rPr>
          <w:lang w:val="en-GB"/>
        </w:rPr>
        <w:t>”</w:t>
      </w:r>
      <w:r w:rsidR="009C72CB">
        <w:rPr>
          <w:lang w:val="en-GB"/>
        </w:rPr>
        <w:t xml:space="preserve"> </w:t>
      </w:r>
      <w:r w:rsidR="004B5BF1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4B5BF1" w:rsidRPr="003669E7">
        <w:rPr>
          <w:lang w:val="en-GB"/>
        </w:rPr>
        <w:t>produced</w:t>
      </w:r>
      <w:r w:rsidR="009C72CB">
        <w:rPr>
          <w:lang w:val="en-GB"/>
        </w:rPr>
        <w:t xml:space="preserve"> </w:t>
      </w:r>
      <w:r w:rsidR="004B5BF1"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="004B5BF1" w:rsidRPr="003669E7">
        <w:rPr>
          <w:lang w:val="en-GB"/>
        </w:rPr>
        <w:t>“a</w:t>
      </w:r>
      <w:r w:rsidRPr="003669E7">
        <w:rPr>
          <w:lang w:val="en-GB"/>
        </w:rPr>
        <w:t>djustable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size.”</w:t>
      </w:r>
    </w:p>
    <w:p w14:paraId="4FDDE0BA" w14:textId="77777777" w:rsidR="00AE4792" w:rsidRPr="003669E7" w:rsidRDefault="00AE4792" w:rsidP="00E32492">
      <w:pPr>
        <w:rPr>
          <w:rFonts w:cstheme="minorHAnsi"/>
          <w:lang w:val="en-GB" w:eastAsia="en-CA"/>
        </w:rPr>
      </w:pPr>
    </w:p>
    <w:p w14:paraId="14389519" w14:textId="29BF0D19" w:rsidR="00FC4F2B" w:rsidRPr="003669E7" w:rsidRDefault="00FC4F2B" w:rsidP="009C72CB">
      <w:pPr>
        <w:pStyle w:val="BodyTextMain"/>
        <w:rPr>
          <w:lang w:val="en-GB"/>
        </w:rPr>
      </w:pPr>
      <w:r w:rsidRPr="009C72CB">
        <w:rPr>
          <w:spacing w:val="-2"/>
          <w:kern w:val="22"/>
          <w:lang w:val="en-GB"/>
        </w:rPr>
        <w:t>In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a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typical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year,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Junkkari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manufactured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some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200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machines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4B5BF1"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4B5BF1" w:rsidRPr="009C72CB">
        <w:rPr>
          <w:spacing w:val="-2"/>
          <w:kern w:val="22"/>
          <w:lang w:val="en-GB"/>
        </w:rPr>
        <w:t>order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(see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Exhibit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ED76BE" w:rsidRPr="009C72CB">
        <w:rPr>
          <w:spacing w:val="-2"/>
          <w:kern w:val="22"/>
          <w:lang w:val="en-GB"/>
        </w:rPr>
        <w:t>4</w:t>
      </w:r>
      <w:r w:rsidRPr="009C72CB">
        <w:rPr>
          <w:spacing w:val="-2"/>
          <w:kern w:val="22"/>
          <w:lang w:val="en-GB"/>
        </w:rPr>
        <w:t>).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The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skills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required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produce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the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chippers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were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the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same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skills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need</w:t>
      </w:r>
      <w:r w:rsidR="00445891" w:rsidRPr="009C72CB">
        <w:rPr>
          <w:spacing w:val="-2"/>
          <w:kern w:val="22"/>
          <w:lang w:val="en-GB"/>
        </w:rPr>
        <w:t>ed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manufacture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other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machines,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which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gave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the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firm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considerable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flexibility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when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it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came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scheduling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production.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Although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the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firm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72036E" w:rsidRPr="009C72CB">
        <w:rPr>
          <w:spacing w:val="-2"/>
          <w:kern w:val="22"/>
          <w:lang w:val="en-GB"/>
        </w:rPr>
        <w:t>had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long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manufactured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order,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4B5BF1" w:rsidRPr="009C72CB">
        <w:rPr>
          <w:spacing w:val="-2"/>
          <w:kern w:val="22"/>
          <w:lang w:val="en-GB"/>
        </w:rPr>
        <w:t>it</w:t>
      </w:r>
      <w:r w:rsidR="009C72CB" w:rsidRPr="009C72CB">
        <w:rPr>
          <w:spacing w:val="-2"/>
          <w:kern w:val="22"/>
          <w:lang w:val="en-GB"/>
        </w:rPr>
        <w:t xml:space="preserve"> </w:t>
      </w:r>
      <w:r w:rsidR="004B5BF1" w:rsidRPr="009C72CB">
        <w:rPr>
          <w:spacing w:val="-2"/>
          <w:kern w:val="22"/>
          <w:lang w:val="en-GB"/>
        </w:rPr>
        <w:t>had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more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recently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begun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to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manufacture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its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more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popular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machines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based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on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its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annual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sales</w:t>
      </w:r>
      <w:r w:rsidR="009C72CB" w:rsidRPr="009C72CB">
        <w:rPr>
          <w:spacing w:val="-2"/>
          <w:kern w:val="22"/>
          <w:lang w:val="en-GB"/>
        </w:rPr>
        <w:t xml:space="preserve"> </w:t>
      </w:r>
      <w:r w:rsidRPr="009C72CB">
        <w:rPr>
          <w:spacing w:val="-2"/>
          <w:kern w:val="22"/>
          <w:lang w:val="en-GB"/>
        </w:rPr>
        <w:t>forecast</w:t>
      </w:r>
      <w:r w:rsidRPr="003669E7">
        <w:rPr>
          <w:lang w:val="en-GB"/>
        </w:rPr>
        <w:t>.</w:t>
      </w:r>
    </w:p>
    <w:p w14:paraId="59BC9E59" w14:textId="77777777" w:rsidR="00FC4F2B" w:rsidRPr="003669E7" w:rsidRDefault="00FC4F2B" w:rsidP="009C72CB">
      <w:pPr>
        <w:pStyle w:val="BodyTextMain"/>
        <w:rPr>
          <w:szCs w:val="24"/>
          <w:lang w:val="en-GB"/>
        </w:rPr>
      </w:pPr>
    </w:p>
    <w:p w14:paraId="34139400" w14:textId="68EDEE4A" w:rsidR="00FC4F2B" w:rsidRPr="003669E7" w:rsidRDefault="00FC4F2B" w:rsidP="009C72CB">
      <w:pPr>
        <w:pStyle w:val="BodyTextMain"/>
        <w:rPr>
          <w:szCs w:val="24"/>
          <w:lang w:val="en-GB"/>
        </w:rPr>
      </w:pPr>
      <w:r w:rsidRPr="009C72CB">
        <w:rPr>
          <w:spacing w:val="-2"/>
          <w:kern w:val="22"/>
          <w:szCs w:val="24"/>
          <w:lang w:val="en-GB"/>
        </w:rPr>
        <w:t>Junkkari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was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not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the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only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Finnish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firm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manufacturing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wood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chippers.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Five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other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Finnish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firms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also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produced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wood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chippers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of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various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types,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and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other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manufacturers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could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be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found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in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nearby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countries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(e.g.,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Sweden,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Russia,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Estonia,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Denmark,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Germany,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and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the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United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Kingdom).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There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was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a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high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degree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of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comparability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between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the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models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manufactured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by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Junkkari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and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those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produced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by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its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competitors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(see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Pr="009C72CB">
        <w:rPr>
          <w:spacing w:val="-2"/>
          <w:kern w:val="22"/>
          <w:szCs w:val="24"/>
          <w:lang w:val="en-GB"/>
        </w:rPr>
        <w:t>Exhibit</w:t>
      </w:r>
      <w:r w:rsidR="009C72CB" w:rsidRPr="009C72CB">
        <w:rPr>
          <w:spacing w:val="-2"/>
          <w:kern w:val="22"/>
          <w:szCs w:val="24"/>
          <w:lang w:val="en-GB"/>
        </w:rPr>
        <w:t xml:space="preserve"> </w:t>
      </w:r>
      <w:r w:rsidR="00ED76BE" w:rsidRPr="009C72CB">
        <w:rPr>
          <w:spacing w:val="-2"/>
          <w:kern w:val="22"/>
          <w:szCs w:val="24"/>
          <w:lang w:val="en-GB"/>
        </w:rPr>
        <w:t>5</w:t>
      </w:r>
      <w:r w:rsidRPr="009C72CB">
        <w:rPr>
          <w:spacing w:val="-2"/>
          <w:kern w:val="22"/>
          <w:szCs w:val="24"/>
          <w:lang w:val="en-GB"/>
        </w:rPr>
        <w:t>)</w:t>
      </w:r>
      <w:r w:rsidRPr="003669E7">
        <w:rPr>
          <w:szCs w:val="24"/>
          <w:lang w:val="en-GB"/>
        </w:rPr>
        <w:t>.</w:t>
      </w:r>
      <w:r w:rsidR="009C72CB">
        <w:rPr>
          <w:szCs w:val="24"/>
          <w:lang w:val="en-GB"/>
        </w:rPr>
        <w:t xml:space="preserve">  </w:t>
      </w:r>
    </w:p>
    <w:p w14:paraId="73DE9F11" w14:textId="77777777" w:rsidR="0072036E" w:rsidRPr="003669E7" w:rsidRDefault="0072036E" w:rsidP="009C72CB">
      <w:pPr>
        <w:pStyle w:val="BodyTextMain"/>
        <w:rPr>
          <w:szCs w:val="24"/>
          <w:lang w:val="en-GB"/>
        </w:rPr>
      </w:pPr>
    </w:p>
    <w:p w14:paraId="2EE58437" w14:textId="79E779D2" w:rsidR="0072036E" w:rsidRPr="003669E7" w:rsidRDefault="0072036E" w:rsidP="009C72CB">
      <w:pPr>
        <w:pStyle w:val="BodyTextMain"/>
        <w:rPr>
          <w:rFonts w:cstheme="minorHAnsi"/>
          <w:lang w:val="en-GB"/>
        </w:rPr>
      </w:pPr>
      <w:r w:rsidRPr="003669E7">
        <w:rPr>
          <w:rFonts w:cstheme="minorHAnsi"/>
          <w:lang w:val="en-GB"/>
        </w:rPr>
        <w:t>For</w:t>
      </w:r>
      <w:r w:rsidR="009C72CB">
        <w:rPr>
          <w:rFonts w:cstheme="minorHAnsi"/>
          <w:lang w:val="en-GB"/>
        </w:rPr>
        <w:t xml:space="preserve"> </w:t>
      </w:r>
      <w:r w:rsidR="000A0FF7" w:rsidRPr="003669E7">
        <w:rPr>
          <w:rFonts w:cstheme="minorHAnsi"/>
          <w:lang w:val="en-GB"/>
        </w:rPr>
        <w:t>other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equipment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manufacturers,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the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product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was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often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an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extension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to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an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existing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product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line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of</w:t>
      </w:r>
      <w:r w:rsidR="009C72CB">
        <w:rPr>
          <w:rFonts w:cstheme="minorHAnsi"/>
          <w:lang w:val="en-GB"/>
        </w:rPr>
        <w:t xml:space="preserve"> </w:t>
      </w:r>
      <w:r w:rsidR="004B5BF1" w:rsidRPr="003669E7">
        <w:rPr>
          <w:rFonts w:cstheme="minorHAnsi"/>
          <w:lang w:val="en-GB"/>
        </w:rPr>
        <w:t>wood-</w:t>
      </w:r>
      <w:r w:rsidRPr="003669E7">
        <w:rPr>
          <w:rFonts w:cstheme="minorHAnsi"/>
          <w:lang w:val="en-GB"/>
        </w:rPr>
        <w:t>processing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equipment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such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as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grinders,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chippers,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compost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turners,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shredders,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and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debarking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systems.</w:t>
      </w:r>
      <w:r w:rsidR="009C72CB">
        <w:rPr>
          <w:rFonts w:cstheme="minorHAnsi"/>
          <w:lang w:val="en-GB"/>
        </w:rPr>
        <w:t xml:space="preserve"> </w:t>
      </w:r>
      <w:r w:rsidR="004B5BF1" w:rsidRPr="003669E7">
        <w:rPr>
          <w:rFonts w:cstheme="minorHAnsi"/>
          <w:lang w:val="en-GB"/>
        </w:rPr>
        <w:t>However</w:t>
      </w:r>
      <w:r w:rsidRPr="003669E7">
        <w:rPr>
          <w:rFonts w:cstheme="minorHAnsi"/>
          <w:lang w:val="en-GB"/>
        </w:rPr>
        <w:t>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the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wood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chipper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was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the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only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material</w:t>
      </w:r>
      <w:r w:rsidR="004B5BF1" w:rsidRPr="003669E7">
        <w:rPr>
          <w:rFonts w:cstheme="minorHAnsi"/>
          <w:lang w:val="en-GB"/>
        </w:rPr>
        <w:t>-p</w:t>
      </w:r>
      <w:r w:rsidRPr="003669E7">
        <w:rPr>
          <w:rFonts w:cstheme="minorHAnsi"/>
          <w:lang w:val="en-GB"/>
        </w:rPr>
        <w:t>rocessing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piece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of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equipment</w:t>
      </w:r>
      <w:r w:rsidR="009C72CB">
        <w:rPr>
          <w:rFonts w:cstheme="minorHAnsi"/>
          <w:lang w:val="en-GB"/>
        </w:rPr>
        <w:t xml:space="preserve"> </w:t>
      </w:r>
      <w:r w:rsidR="004B5BF1" w:rsidRPr="003669E7">
        <w:rPr>
          <w:rFonts w:cstheme="minorHAnsi"/>
          <w:lang w:val="en-GB"/>
        </w:rPr>
        <w:t>Junkkari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produced</w:t>
      </w:r>
      <w:r w:rsidR="000A0FF7" w:rsidRPr="003669E7">
        <w:rPr>
          <w:rFonts w:cstheme="minorHAnsi"/>
          <w:lang w:val="en-GB"/>
        </w:rPr>
        <w:t>;</w:t>
      </w:r>
      <w:r w:rsidR="009C72CB">
        <w:rPr>
          <w:rFonts w:cstheme="minorHAnsi"/>
          <w:lang w:val="en-GB"/>
        </w:rPr>
        <w:t xml:space="preserve"> </w:t>
      </w:r>
      <w:r w:rsidR="000A0FF7" w:rsidRPr="003669E7">
        <w:rPr>
          <w:rFonts w:cstheme="minorHAnsi"/>
          <w:lang w:val="en-GB"/>
        </w:rPr>
        <w:t>its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other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products</w:t>
      </w:r>
      <w:r w:rsidR="009C72CB">
        <w:rPr>
          <w:rFonts w:cstheme="minorHAnsi"/>
          <w:lang w:val="en-GB"/>
        </w:rPr>
        <w:t xml:space="preserve"> </w:t>
      </w:r>
      <w:r w:rsidR="004B5BF1" w:rsidRPr="003669E7">
        <w:rPr>
          <w:rFonts w:cstheme="minorHAnsi"/>
          <w:lang w:val="en-GB"/>
        </w:rPr>
        <w:t>were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seed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drills</w:t>
      </w:r>
      <w:r w:rsidR="004B5BF1" w:rsidRPr="003669E7">
        <w:rPr>
          <w:rFonts w:cstheme="minorHAnsi"/>
          <w:lang w:val="en-GB"/>
        </w:rPr>
        <w:t>,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acid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applicators</w:t>
      </w:r>
      <w:r w:rsidR="004B5BF1" w:rsidRPr="003669E7">
        <w:rPr>
          <w:rFonts w:cstheme="minorHAnsi"/>
          <w:lang w:val="en-GB"/>
        </w:rPr>
        <w:t>,</w:t>
      </w:r>
      <w:r w:rsidR="009C72CB">
        <w:rPr>
          <w:rFonts w:cstheme="minorHAnsi"/>
          <w:lang w:val="en-GB"/>
        </w:rPr>
        <w:t xml:space="preserve"> </w:t>
      </w:r>
      <w:r w:rsidR="004B5BF1" w:rsidRPr="003669E7">
        <w:rPr>
          <w:rFonts w:cstheme="minorHAnsi"/>
          <w:lang w:val="en-GB"/>
        </w:rPr>
        <w:t>and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small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forestry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cranes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and</w:t>
      </w:r>
      <w:r w:rsidR="009C72CB">
        <w:rPr>
          <w:rFonts w:cstheme="minorHAnsi"/>
          <w:lang w:val="en-GB"/>
        </w:rPr>
        <w:t xml:space="preserve"> </w:t>
      </w:r>
      <w:r w:rsidRPr="003669E7">
        <w:rPr>
          <w:rFonts w:cstheme="minorHAnsi"/>
          <w:lang w:val="en-GB"/>
        </w:rPr>
        <w:t>trailers.</w:t>
      </w:r>
    </w:p>
    <w:p w14:paraId="6E218B67" w14:textId="77777777" w:rsidR="00FC4F2B" w:rsidRPr="003669E7" w:rsidRDefault="00FC4F2B" w:rsidP="00FC4F2B">
      <w:pPr>
        <w:pStyle w:val="BodyTextMain"/>
        <w:rPr>
          <w:szCs w:val="24"/>
          <w:lang w:val="en-GB"/>
        </w:rPr>
      </w:pPr>
    </w:p>
    <w:p w14:paraId="17EDF298" w14:textId="43E6D6E6" w:rsidR="00FC4F2B" w:rsidRPr="003669E7" w:rsidRDefault="004B5BF1" w:rsidP="00FC4F2B">
      <w:pPr>
        <w:pStyle w:val="BodyTextMain"/>
        <w:rPr>
          <w:lang w:val="en-GB"/>
        </w:rPr>
      </w:pPr>
      <w:r w:rsidRPr="003669E7">
        <w:rPr>
          <w:lang w:val="en-GB"/>
        </w:rPr>
        <w:t>Due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size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domestic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market,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long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exported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much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product.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foreign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markets,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like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other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firms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used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network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distributors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sell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equipment.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Such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arrangement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considered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low-cost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alternative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developing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maintaining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international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force.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this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arrangement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work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well,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manufacturers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needed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see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their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dealers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business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partners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ensure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their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products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actively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promoted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targets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achieved.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Finding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new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partners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ongoing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process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</w:t>
      </w:r>
      <w:r w:rsidR="00FC4F2B" w:rsidRPr="003669E7">
        <w:rPr>
          <w:lang w:val="en-GB"/>
        </w:rPr>
        <w:t>uitable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partner</w:t>
      </w:r>
      <w:r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mid-sized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firm</w:t>
      </w:r>
      <w:r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sold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farming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forestry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equipment.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partner</w:t>
      </w:r>
      <w:r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have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interest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carrying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resources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actively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market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only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their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customers.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supported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dealers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regular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visits,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participation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trade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shows,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invitations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visit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plant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Finland,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marketing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materials,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which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dealer</w:t>
      </w:r>
      <w:r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could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customize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their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use.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basis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this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partnering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relationship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contractual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agreement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detailed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expectations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both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parties,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terms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conditions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associated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arrangement,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territory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covered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agreement.</w:t>
      </w:r>
    </w:p>
    <w:p w14:paraId="1E807495" w14:textId="77777777" w:rsidR="00FC4F2B" w:rsidRPr="003669E7" w:rsidRDefault="00FC4F2B" w:rsidP="00FC4F2B">
      <w:pPr>
        <w:pStyle w:val="BodyTextMain"/>
        <w:rPr>
          <w:lang w:val="en-GB"/>
        </w:rPr>
      </w:pPr>
    </w:p>
    <w:p w14:paraId="410536EB" w14:textId="13BCB766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lastRenderedPageBreak/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could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found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throughout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Europe,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Russia,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South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America,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(see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ED76BE" w:rsidRPr="003669E7">
        <w:rPr>
          <w:lang w:val="en-GB"/>
        </w:rPr>
        <w:t>6</w:t>
      </w:r>
      <w:r w:rsidRPr="003669E7">
        <w:rPr>
          <w:lang w:val="en-GB"/>
        </w:rPr>
        <w:t>).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distribution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network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C63EA7">
        <w:rPr>
          <w:lang w:val="en-GB"/>
        </w:rPr>
        <w:t>well-established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Europe</w:t>
      </w:r>
      <w:r w:rsidR="00C0263F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33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24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countries.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South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Africa,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distributor,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Staalmeester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Imports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CC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(Staalmeester)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South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Africa’s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oldest</w:t>
      </w:r>
      <w:r w:rsidR="009C72CB">
        <w:rPr>
          <w:lang w:val="en-GB"/>
        </w:rPr>
        <w:t xml:space="preserve"> </w:t>
      </w:r>
      <w:r w:rsidR="00BE33CE">
        <w:rPr>
          <w:lang w:val="en-GB"/>
        </w:rPr>
        <w:t>agricultural-machinery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companies.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Initially,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Junkkari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machines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had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been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sold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to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Staalmeester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though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another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Finnish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company.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In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2009,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Staalmeester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began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buying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machines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directly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from</w:t>
      </w:r>
      <w:r w:rsidR="00554E0E">
        <w:rPr>
          <w:lang w:val="en-GB"/>
        </w:rPr>
        <w:t xml:space="preserve"> </w:t>
      </w:r>
      <w:r w:rsidR="00554E0E" w:rsidRPr="003669E7">
        <w:rPr>
          <w:lang w:val="en-GB"/>
        </w:rPr>
        <w:t>Junkkari.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Staalmeester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imported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much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which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exported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18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other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African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companies.</w:t>
      </w:r>
      <w:r w:rsidR="009C72CB">
        <w:rPr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Canada,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Junkkari</w:t>
      </w:r>
      <w:r w:rsidR="009C72CB">
        <w:rPr>
          <w:szCs w:val="24"/>
          <w:lang w:val="en-GB"/>
        </w:rPr>
        <w:t xml:space="preserve"> </w:t>
      </w:r>
      <w:r w:rsidRPr="003669E7">
        <w:rPr>
          <w:lang w:val="en-GB"/>
        </w:rPr>
        <w:t>also</w:t>
      </w:r>
      <w:r w:rsidR="009C72CB">
        <w:rPr>
          <w:lang w:val="en-GB"/>
        </w:rPr>
        <w:t xml:space="preserve"> </w:t>
      </w:r>
      <w:r w:rsidRPr="003669E7">
        <w:rPr>
          <w:szCs w:val="24"/>
          <w:lang w:val="en-GB"/>
        </w:rPr>
        <w:t>had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just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one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distributor,</w:t>
      </w:r>
      <w:r w:rsidR="009C72CB">
        <w:rPr>
          <w:szCs w:val="24"/>
          <w:lang w:val="en-GB"/>
        </w:rPr>
        <w:t xml:space="preserve"> </w:t>
      </w:r>
      <w:bookmarkStart w:id="3" w:name="_Hlk503173000"/>
      <w:r w:rsidRPr="003669E7">
        <w:rPr>
          <w:szCs w:val="24"/>
          <w:lang w:val="en-GB"/>
        </w:rPr>
        <w:t>Les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Industries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Renaud</w:t>
      </w:r>
      <w:r w:rsidR="009C72CB">
        <w:rPr>
          <w:szCs w:val="24"/>
          <w:lang w:val="en-GB"/>
        </w:rPr>
        <w:t xml:space="preserve"> </w:t>
      </w:r>
      <w:bookmarkEnd w:id="3"/>
      <w:r w:rsidRPr="003669E7">
        <w:rPr>
          <w:szCs w:val="24"/>
          <w:lang w:val="en-GB"/>
        </w:rPr>
        <w:t>Gravel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Inc.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(Renaud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Gravel)</w:t>
      </w:r>
      <w:r w:rsidR="00C63EA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located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St-Cl</w:t>
      </w:r>
      <w:r w:rsidR="00C0263F" w:rsidRPr="003669E7">
        <w:rPr>
          <w:szCs w:val="24"/>
          <w:lang w:val="en-GB"/>
        </w:rPr>
        <w:t>é</w:t>
      </w:r>
      <w:r w:rsidRPr="003669E7">
        <w:rPr>
          <w:szCs w:val="24"/>
          <w:lang w:val="en-GB"/>
        </w:rPr>
        <w:t>ophas-de-Brandon,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small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town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central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Quebec.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Renaud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Gravel</w:t>
      </w:r>
      <w:r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small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family</w:t>
      </w:r>
      <w:r w:rsidR="00FD718A">
        <w:rPr>
          <w:szCs w:val="24"/>
          <w:lang w:val="en-GB"/>
        </w:rPr>
        <w:t>-</w:t>
      </w:r>
      <w:r w:rsidRPr="003669E7">
        <w:rPr>
          <w:szCs w:val="24"/>
          <w:lang w:val="en-GB"/>
        </w:rPr>
        <w:t>owned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firm,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manufactured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forestry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equipment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woodlot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operators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provided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welding,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machining,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repair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services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farm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machinery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forestry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equipment.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T</w:t>
      </w:r>
      <w:r w:rsidRPr="003669E7">
        <w:rPr>
          <w:szCs w:val="24"/>
          <w:lang w:val="en-GB"/>
        </w:rPr>
        <w:t>he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firm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also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acted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distributor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for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other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machinery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suppliers,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namely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Berti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Macchine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Agricole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SpA</w:t>
      </w:r>
      <w:r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Tajfun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Planina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DOO</w:t>
      </w:r>
      <w:r w:rsidRPr="003669E7">
        <w:rPr>
          <w:szCs w:val="24"/>
          <w:lang w:val="en-GB"/>
        </w:rPr>
        <w:t>,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Norwood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Sawmills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Inc.</w:t>
      </w:r>
      <w:r w:rsidRPr="003669E7">
        <w:rPr>
          <w:rStyle w:val="FootnoteReference"/>
          <w:szCs w:val="24"/>
          <w:lang w:val="en-GB"/>
        </w:rPr>
        <w:footnoteReference w:id="15"/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Renaud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Gravel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had</w:t>
      </w:r>
      <w:r w:rsidR="009C72CB">
        <w:rPr>
          <w:szCs w:val="24"/>
          <w:lang w:val="en-GB"/>
        </w:rPr>
        <w:t xml:space="preserve"> </w:t>
      </w:r>
      <w:r w:rsidR="00C0263F" w:rsidRPr="003669E7">
        <w:rPr>
          <w:szCs w:val="24"/>
          <w:lang w:val="en-GB"/>
        </w:rPr>
        <w:t>purchased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HJ170G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and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HJ250GT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machines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from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Junkkari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in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2014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but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had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made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no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further</w:t>
      </w:r>
      <w:r w:rsidR="009C72CB">
        <w:rPr>
          <w:szCs w:val="24"/>
          <w:lang w:val="en-GB"/>
        </w:rPr>
        <w:t xml:space="preserve"> </w:t>
      </w:r>
      <w:r w:rsidRPr="003669E7">
        <w:rPr>
          <w:szCs w:val="24"/>
          <w:lang w:val="en-GB"/>
        </w:rPr>
        <w:t>purchases.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contact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Renaud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Gravel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been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developed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agent</w:t>
      </w:r>
      <w:r w:rsidRPr="003669E7">
        <w:rPr>
          <w:rStyle w:val="FootnoteReference"/>
          <w:lang w:val="en-GB"/>
        </w:rPr>
        <w:footnoteReference w:id="16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engaged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financial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year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2012</w:t>
      </w:r>
      <w:r w:rsidR="00C0263F" w:rsidRPr="003669E7">
        <w:rPr>
          <w:lang w:val="en-GB"/>
        </w:rPr>
        <w:t>–</w:t>
      </w:r>
      <w:r w:rsidRPr="003669E7">
        <w:rPr>
          <w:lang w:val="en-GB"/>
        </w:rPr>
        <w:t>13</w:t>
      </w:r>
      <w:r w:rsidR="00C0263F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c</w:t>
      </w:r>
      <w:r w:rsidRPr="003669E7">
        <w:rPr>
          <w:lang w:val="en-GB"/>
        </w:rPr>
        <w:t>ontact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between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Renaud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Gravel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limited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since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2015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because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low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volume</w:t>
      </w:r>
      <w:r w:rsidR="00C0263F" w:rsidRPr="003669E7">
        <w:rPr>
          <w:lang w:val="en-GB"/>
        </w:rPr>
        <w:t>s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 </w:t>
      </w:r>
    </w:p>
    <w:p w14:paraId="0018B775" w14:textId="77777777" w:rsidR="00FC4F2B" w:rsidRPr="003669E7" w:rsidRDefault="00FC4F2B" w:rsidP="00FC4F2B">
      <w:pPr>
        <w:pStyle w:val="BodyTextMain"/>
        <w:rPr>
          <w:lang w:val="en-GB"/>
        </w:rPr>
      </w:pPr>
    </w:p>
    <w:p w14:paraId="4F42AE10" w14:textId="74D89189" w:rsidR="00FC4F2B" w:rsidRPr="003669E7" w:rsidRDefault="00FC4F2B" w:rsidP="00FC4F2B">
      <w:pPr>
        <w:pStyle w:val="BodyTextMain"/>
        <w:rPr>
          <w:lang w:val="en-GB"/>
        </w:rPr>
      </w:pPr>
      <w:r w:rsidRPr="003669E7">
        <w:rPr>
          <w:lang w:val="en-GB"/>
        </w:rPr>
        <w:t>Among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produced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wood-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machines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="00C0263F" w:rsidRPr="003669E7">
        <w:rPr>
          <w:lang w:val="en-GB"/>
        </w:rPr>
        <w:t>were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comparable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those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five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established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presence</w:t>
      </w:r>
      <w:r w:rsidR="008B4C48" w:rsidRPr="003669E7">
        <w:rPr>
          <w:lang w:val="en-GB"/>
        </w:rPr>
        <w:t>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EMB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Mfg.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privately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held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30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employees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marketed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under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brand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name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Wallenstein</w:t>
      </w:r>
      <w:r w:rsidR="008B4C48"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all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10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Canadian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provinces</w:t>
      </w:r>
      <w:r w:rsidR="008B4C48"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network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</w:t>
      </w:r>
      <w:r w:rsidR="008B4C48" w:rsidRPr="003669E7">
        <w:rPr>
          <w:lang w:val="en-GB"/>
        </w:rPr>
        <w:t>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tractor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farm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equipment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commercial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lawn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garden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equipment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construction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equipment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logging</w:t>
      </w:r>
      <w:r w:rsidR="009C72CB">
        <w:rPr>
          <w:lang w:val="en-GB"/>
        </w:rPr>
        <w:t xml:space="preserve"> </w:t>
      </w:r>
      <w:r w:rsidR="008B4C48" w:rsidRPr="003669E7">
        <w:rPr>
          <w:lang w:val="en-GB"/>
        </w:rPr>
        <w:t>equipment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sawmill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equipment.</w:t>
      </w:r>
      <w:r w:rsidRPr="003669E7">
        <w:rPr>
          <w:rStyle w:val="FootnoteReference"/>
          <w:lang w:val="en-GB"/>
        </w:rPr>
        <w:footnoteReference w:id="17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Corporation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American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manufacturer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agricultural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equipment;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Inc.</w:t>
      </w:r>
      <w:r w:rsidR="009340D1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full-service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specialized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selling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servicing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</w:t>
      </w:r>
      <w:r w:rsidR="009340D1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12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service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centres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across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Canada.</w:t>
      </w:r>
      <w:r w:rsidRPr="003669E7">
        <w:rPr>
          <w:rStyle w:val="FootnoteReference"/>
          <w:lang w:val="en-GB"/>
        </w:rPr>
        <w:footnoteReference w:id="18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Bandit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Industries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Inc.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American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construction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equipment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Canadian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network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that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spanned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seven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provinces.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Bandit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Industries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Inc.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arrangements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construction</w:t>
      </w:r>
      <w:r w:rsidR="002B3B4F">
        <w:rPr>
          <w:lang w:val="en-GB"/>
        </w:rPr>
        <w:t>-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2B3B4F">
        <w:rPr>
          <w:lang w:val="en-GB"/>
        </w:rPr>
        <w:t>agricultural-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industrial</w:t>
      </w:r>
      <w:r w:rsidR="002B3B4F">
        <w:rPr>
          <w:lang w:val="en-GB"/>
        </w:rPr>
        <w:t>-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2B3B4F">
        <w:rPr>
          <w:lang w:val="en-GB"/>
        </w:rPr>
        <w:t>landscape-equipment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suppliers.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these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arrangements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provided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15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different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markets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Ontario,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Quebec,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Newfoundland.</w:t>
      </w:r>
      <w:r w:rsidRPr="003669E7">
        <w:rPr>
          <w:rStyle w:val="FootnoteReference"/>
          <w:lang w:val="en-GB"/>
        </w:rPr>
        <w:footnoteReference w:id="19"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remaining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two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Pezzolato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SpA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Italy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Linddana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Denmark</w:t>
      </w:r>
      <w:r w:rsidR="009340D1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arrangements</w:t>
      </w:r>
      <w:r w:rsidR="009C72CB">
        <w:rPr>
          <w:lang w:val="en-GB"/>
        </w:rPr>
        <w:t xml:space="preserve"> </w:t>
      </w:r>
      <w:r w:rsidR="009340D1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each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Ontario.</w:t>
      </w:r>
      <w:r w:rsidR="009C72CB">
        <w:rPr>
          <w:lang w:val="en-GB"/>
        </w:rPr>
        <w:t xml:space="preserve">  </w:t>
      </w:r>
    </w:p>
    <w:p w14:paraId="4C1C7C3F" w14:textId="77777777" w:rsidR="00FC4F2B" w:rsidRPr="003669E7" w:rsidRDefault="00FC4F2B" w:rsidP="00FC4F2B">
      <w:pPr>
        <w:jc w:val="both"/>
        <w:rPr>
          <w:lang w:val="en-GB"/>
        </w:rPr>
      </w:pPr>
    </w:p>
    <w:p w14:paraId="41AD9698" w14:textId="77777777" w:rsidR="00FC4F2B" w:rsidRPr="003669E7" w:rsidRDefault="00FC4F2B" w:rsidP="00FC4F2B">
      <w:pPr>
        <w:jc w:val="both"/>
        <w:rPr>
          <w:lang w:val="en-GB"/>
        </w:rPr>
      </w:pPr>
    </w:p>
    <w:p w14:paraId="7BD75B98" w14:textId="3D286CBE" w:rsidR="00FC4F2B" w:rsidRPr="003669E7" w:rsidRDefault="009C72CB" w:rsidP="00FC4F2B">
      <w:pPr>
        <w:pStyle w:val="Casehead1"/>
        <w:rPr>
          <w:lang w:val="en-GB"/>
        </w:rPr>
      </w:pPr>
      <w:r>
        <w:rPr>
          <w:lang w:val="en-GB"/>
        </w:rPr>
        <w:t>NEXT steps</w:t>
      </w:r>
    </w:p>
    <w:p w14:paraId="0FE1C6D7" w14:textId="77777777" w:rsidR="00FC4F2B" w:rsidRPr="003669E7" w:rsidRDefault="00FC4F2B" w:rsidP="009E375E">
      <w:pPr>
        <w:pStyle w:val="BodyTextMain"/>
        <w:rPr>
          <w:lang w:val="en-GB"/>
        </w:rPr>
      </w:pPr>
    </w:p>
    <w:p w14:paraId="7A1F4511" w14:textId="6816610B" w:rsidR="009340D1" w:rsidRPr="009C72CB" w:rsidRDefault="009340D1" w:rsidP="00295829">
      <w:pPr>
        <w:pStyle w:val="BodyTextMain"/>
        <w:rPr>
          <w:b/>
          <w:sz w:val="20"/>
          <w:lang w:val="en-GB"/>
        </w:rPr>
        <w:sectPr w:rsidR="009340D1" w:rsidRPr="009C72CB" w:rsidSect="00AB012E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080" w:right="1440" w:bottom="1440" w:left="1440" w:header="1080" w:footer="720" w:gutter="0"/>
          <w:cols w:space="720"/>
          <w:titlePg/>
          <w:rtlGutter/>
          <w:docGrid w:linePitch="360"/>
        </w:sectPr>
      </w:pPr>
      <w:r w:rsidRPr="003669E7">
        <w:rPr>
          <w:lang w:val="en-GB"/>
        </w:rPr>
        <w:t>Ruokoja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described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</w:t>
      </w:r>
      <w:r w:rsidR="00FC4F2B" w:rsidRPr="003669E7">
        <w:rPr>
          <w:lang w:val="en-GB"/>
        </w:rPr>
        <w:t>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problem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as</w:t>
      </w:r>
      <w:r w:rsidR="009C72CB">
        <w:rPr>
          <w:lang w:val="en-GB"/>
        </w:rPr>
        <w:t xml:space="preserve"> </w:t>
      </w:r>
      <w:r w:rsidR="009A267D">
        <w:rPr>
          <w:lang w:val="en-GB"/>
        </w:rPr>
        <w:t>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saw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2017</w:t>
      </w:r>
      <w:r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“If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talk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about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Canada,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have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some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projects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but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basically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have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only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one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small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importer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there.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general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problem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how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grow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our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business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there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with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very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limited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budget.”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Maybe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time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Ruokoja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visit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Canada.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Other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Finnish</w:t>
      </w:r>
      <w:r w:rsidR="009C72CB">
        <w:rPr>
          <w:lang w:val="en-GB"/>
        </w:rPr>
        <w:t xml:space="preserve"> </w:t>
      </w:r>
      <w:r w:rsidR="008C0775">
        <w:rPr>
          <w:lang w:val="en-GB"/>
        </w:rPr>
        <w:t>forestry-equipment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manufacturers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seemed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doing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well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Eastern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Canada</w:t>
      </w:r>
      <w:r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maybe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</w:t>
      </w:r>
      <w:r w:rsidR="009C72CB">
        <w:rPr>
          <w:lang w:val="en-GB"/>
        </w:rPr>
        <w:t xml:space="preserve"> </w:t>
      </w:r>
      <w:r w:rsidR="00295829" w:rsidRPr="003669E7">
        <w:rPr>
          <w:lang w:val="en-GB"/>
        </w:rPr>
        <w:t>was</w:t>
      </w:r>
      <w:r w:rsidR="009C72CB">
        <w:rPr>
          <w:lang w:val="en-GB"/>
        </w:rPr>
        <w:t xml:space="preserve"> </w:t>
      </w:r>
      <w:r w:rsidR="00295829" w:rsidRPr="003669E7">
        <w:rPr>
          <w:lang w:val="en-GB"/>
        </w:rPr>
        <w:t>worth</w:t>
      </w:r>
      <w:r w:rsidR="009C72CB">
        <w:rPr>
          <w:lang w:val="en-GB"/>
        </w:rPr>
        <w:t xml:space="preserve"> </w:t>
      </w:r>
      <w:r w:rsidR="00295829"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="00455EC9">
        <w:rPr>
          <w:lang w:val="en-GB"/>
        </w:rPr>
        <w:t>try</w:t>
      </w:r>
      <w:r w:rsidR="00AC6BC1">
        <w:rPr>
          <w:lang w:val="en-GB"/>
        </w:rPr>
        <w:t>.</w:t>
      </w:r>
    </w:p>
    <w:p w14:paraId="5188EF4B" w14:textId="77777777" w:rsidR="0072036E" w:rsidRPr="00AC6BC1" w:rsidRDefault="0072036E" w:rsidP="0072036E">
      <w:pPr>
        <w:rPr>
          <w:sz w:val="2"/>
          <w:lang w:val="en-GB"/>
        </w:rPr>
      </w:pPr>
    </w:p>
    <w:p w14:paraId="20640B6D" w14:textId="77DF5DC4" w:rsidR="00FC4F2B" w:rsidRPr="003669E7" w:rsidRDefault="00FC4F2B" w:rsidP="00FC4F2B">
      <w:pPr>
        <w:pStyle w:val="ExhibitHeading"/>
        <w:rPr>
          <w:lang w:val="en-GB"/>
        </w:rPr>
      </w:pP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D726B5">
        <w:rPr>
          <w:lang w:val="en-GB"/>
        </w:rPr>
        <w:t>1: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MSK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Group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Total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Revenue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</w:t>
      </w:r>
      <w:r w:rsidR="00770726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2010</w:t>
      </w:r>
      <w:r w:rsidR="00770726" w:rsidRPr="003669E7">
        <w:rPr>
          <w:lang w:val="en-GB"/>
        </w:rPr>
        <w:t>–</w:t>
      </w:r>
      <w:r w:rsidRPr="003669E7">
        <w:rPr>
          <w:lang w:val="en-GB"/>
        </w:rPr>
        <w:t>2016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(In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€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Millions)</w:t>
      </w:r>
    </w:p>
    <w:p w14:paraId="39172452" w14:textId="2D7E65B3" w:rsidR="00FC4F2B" w:rsidRPr="003669E7" w:rsidRDefault="009C72CB" w:rsidP="00FC4F2B">
      <w:pPr>
        <w:rPr>
          <w:lang w:val="en-GB"/>
        </w:rPr>
      </w:pPr>
      <w:r>
        <w:rPr>
          <w:lang w:val="en-GB"/>
        </w:rPr>
        <w:t xml:space="preserve"> </w:t>
      </w:r>
    </w:p>
    <w:p w14:paraId="47D941D1" w14:textId="77777777" w:rsidR="00FC4F2B" w:rsidRPr="003669E7" w:rsidRDefault="00FC4F2B" w:rsidP="00FC4F2B">
      <w:pPr>
        <w:jc w:val="center"/>
        <w:rPr>
          <w:lang w:val="en-GB"/>
        </w:rPr>
      </w:pPr>
      <w:r w:rsidRPr="003669E7">
        <w:rPr>
          <w:rFonts w:ascii="Arial" w:hAnsi="Arial" w:cs="Arial"/>
          <w:noProof/>
        </w:rPr>
        <w:drawing>
          <wp:inline distT="0" distB="0" distL="0" distR="0" wp14:anchorId="73A3EA46" wp14:editId="79902CE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5133D8" w14:textId="7031954C" w:rsidR="00FC4F2B" w:rsidRPr="003669E7" w:rsidRDefault="00FC4F2B" w:rsidP="00FC4F2B">
      <w:pPr>
        <w:pStyle w:val="Footnote"/>
        <w:rPr>
          <w:rStyle w:val="articlefulltext"/>
          <w:lang w:val="en-GB"/>
        </w:rPr>
      </w:pPr>
      <w:r w:rsidRPr="003669E7">
        <w:rPr>
          <w:lang w:val="en-GB"/>
        </w:rPr>
        <w:t>Note:</w:t>
      </w:r>
      <w:r w:rsidR="009C72CB">
        <w:rPr>
          <w:lang w:val="en-GB"/>
        </w:rPr>
        <w:t xml:space="preserve"> </w:t>
      </w:r>
      <w:r w:rsidR="00316890" w:rsidRPr="003669E7">
        <w:rPr>
          <w:lang w:val="en-GB"/>
        </w:rPr>
        <w:t>€</w:t>
      </w:r>
      <w:r w:rsidRPr="003669E7">
        <w:rPr>
          <w:rStyle w:val="articlefulltext"/>
          <w:lang w:val="en-GB"/>
        </w:rPr>
        <w:t>1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=</w:t>
      </w:r>
      <w:r w:rsidR="009C72CB">
        <w:rPr>
          <w:rStyle w:val="articlefulltext"/>
          <w:lang w:val="en-GB"/>
        </w:rPr>
        <w:t xml:space="preserve"> </w:t>
      </w:r>
      <w:r w:rsidR="00316890" w:rsidRPr="003669E7">
        <w:rPr>
          <w:rStyle w:val="articlefulltext"/>
          <w:lang w:val="en-GB"/>
        </w:rPr>
        <w:t>US$</w:t>
      </w:r>
      <w:r w:rsidRPr="003669E7">
        <w:rPr>
          <w:rStyle w:val="articlefulltext"/>
          <w:lang w:val="en-GB"/>
        </w:rPr>
        <w:t>1.0</w:t>
      </w:r>
      <w:r w:rsidR="008C0775">
        <w:rPr>
          <w:rStyle w:val="articlefulltext"/>
          <w:lang w:val="en-GB"/>
        </w:rPr>
        <w:t>8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on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March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31,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2017.</w:t>
      </w:r>
    </w:p>
    <w:p w14:paraId="171EB566" w14:textId="1D1BD4BA" w:rsidR="00FC4F2B" w:rsidRPr="003669E7" w:rsidRDefault="00FC4F2B" w:rsidP="00FC4F2B">
      <w:pPr>
        <w:pStyle w:val="Footnote"/>
        <w:rPr>
          <w:lang w:val="en-GB"/>
        </w:rPr>
      </w:pPr>
      <w:r w:rsidRPr="003669E7">
        <w:rPr>
          <w:lang w:val="en-GB"/>
        </w:rPr>
        <w:t>Source: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Company</w:t>
      </w:r>
      <w:r w:rsidR="009C72CB">
        <w:rPr>
          <w:lang w:val="en-GB"/>
        </w:rPr>
        <w:t xml:space="preserve"> </w:t>
      </w:r>
      <w:r w:rsidR="008C0775">
        <w:rPr>
          <w:lang w:val="en-GB"/>
        </w:rPr>
        <w:t>i</w:t>
      </w:r>
      <w:r w:rsidRPr="003669E7">
        <w:rPr>
          <w:lang w:val="en-GB"/>
        </w:rPr>
        <w:t>nformation</w:t>
      </w:r>
      <w:r w:rsidR="00316890" w:rsidRPr="003669E7">
        <w:rPr>
          <w:lang w:val="en-GB"/>
        </w:rPr>
        <w:t>.</w:t>
      </w:r>
    </w:p>
    <w:p w14:paraId="1021CA32" w14:textId="24F20F9F" w:rsidR="00FC4F2B" w:rsidRDefault="00FC4F2B" w:rsidP="00FC4F2B">
      <w:pPr>
        <w:rPr>
          <w:lang w:val="en-GB"/>
        </w:rPr>
      </w:pPr>
    </w:p>
    <w:p w14:paraId="754DFE65" w14:textId="77777777" w:rsidR="0036285A" w:rsidRPr="003669E7" w:rsidRDefault="0036285A" w:rsidP="00FC4F2B">
      <w:pPr>
        <w:rPr>
          <w:lang w:val="en-GB"/>
        </w:rPr>
      </w:pPr>
    </w:p>
    <w:p w14:paraId="6080965A" w14:textId="65310D61" w:rsidR="0036285A" w:rsidRPr="003669E7" w:rsidRDefault="0036285A" w:rsidP="0036285A">
      <w:pPr>
        <w:pStyle w:val="ExhibitHeading"/>
        <w:rPr>
          <w:lang w:val="en-GB"/>
        </w:rPr>
      </w:pP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D726B5">
        <w:rPr>
          <w:lang w:val="en-GB"/>
        </w:rPr>
        <w:t>2: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WAGE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RATE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COMPARISON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FINLAND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COUNTRIES</w:t>
      </w:r>
    </w:p>
    <w:p w14:paraId="4014EB76" w14:textId="77777777" w:rsidR="0036285A" w:rsidRPr="003669E7" w:rsidRDefault="0036285A" w:rsidP="0036285A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160"/>
        <w:gridCol w:w="3777"/>
      </w:tblGrid>
      <w:tr w:rsidR="0036285A" w:rsidRPr="003669E7" w14:paraId="6CBD4054" w14:textId="77777777" w:rsidTr="006D7710">
        <w:trPr>
          <w:jc w:val="center"/>
        </w:trPr>
        <w:tc>
          <w:tcPr>
            <w:tcW w:w="1075" w:type="dxa"/>
            <w:vAlign w:val="center"/>
          </w:tcPr>
          <w:p w14:paraId="7D99F5DD" w14:textId="77777777" w:rsidR="0036285A" w:rsidRPr="009E375E" w:rsidRDefault="0036285A" w:rsidP="006D77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Country</w:t>
            </w:r>
          </w:p>
        </w:tc>
        <w:tc>
          <w:tcPr>
            <w:tcW w:w="2160" w:type="dxa"/>
            <w:vAlign w:val="center"/>
          </w:tcPr>
          <w:p w14:paraId="167A23FC" w14:textId="1A308931" w:rsidR="0036285A" w:rsidRPr="009E375E" w:rsidRDefault="0036285A" w:rsidP="006D77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Hourly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Labour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Costs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lang w:val="en-GB"/>
              </w:rPr>
              <w:t>(€)</w:t>
            </w:r>
          </w:p>
        </w:tc>
        <w:tc>
          <w:tcPr>
            <w:tcW w:w="3777" w:type="dxa"/>
            <w:vAlign w:val="center"/>
          </w:tcPr>
          <w:p w14:paraId="66C34865" w14:textId="5B9A6274" w:rsidR="0036285A" w:rsidRPr="009E375E" w:rsidRDefault="0036285A" w:rsidP="006D77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Non-Wage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Costs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(</w:t>
            </w:r>
            <w:r w:rsidRPr="003669E7">
              <w:rPr>
                <w:rFonts w:ascii="Arial" w:hAnsi="Arial" w:cs="Arial"/>
                <w:b/>
                <w:lang w:val="en-GB"/>
              </w:rPr>
              <w:t>I</w:t>
            </w:r>
            <w:r w:rsidRPr="009E375E">
              <w:rPr>
                <w:rFonts w:ascii="Arial" w:hAnsi="Arial" w:cs="Arial"/>
                <w:b/>
                <w:lang w:val="en-GB"/>
              </w:rPr>
              <w:t>ncluding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b/>
                <w:lang w:val="en-GB"/>
              </w:rPr>
              <w:t>Employer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b/>
                <w:lang w:val="en-GB"/>
              </w:rPr>
              <w:t>Contributions</w:t>
            </w:r>
            <w:r w:rsidRPr="009E375E">
              <w:rPr>
                <w:rFonts w:ascii="Arial" w:hAnsi="Arial" w:cs="Arial"/>
                <w:b/>
                <w:lang w:val="en-GB"/>
              </w:rPr>
              <w:t>)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as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%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of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Total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Salaries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and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Wages</w:t>
            </w:r>
          </w:p>
        </w:tc>
      </w:tr>
      <w:tr w:rsidR="0036285A" w:rsidRPr="003669E7" w14:paraId="1ED06185" w14:textId="77777777" w:rsidTr="006D7710">
        <w:trPr>
          <w:jc w:val="center"/>
        </w:trPr>
        <w:tc>
          <w:tcPr>
            <w:tcW w:w="1075" w:type="dxa"/>
          </w:tcPr>
          <w:p w14:paraId="3359B719" w14:textId="77777777" w:rsidR="0036285A" w:rsidRPr="003669E7" w:rsidRDefault="0036285A" w:rsidP="006D7710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Finland</w:t>
            </w:r>
          </w:p>
        </w:tc>
        <w:tc>
          <w:tcPr>
            <w:tcW w:w="2160" w:type="dxa"/>
          </w:tcPr>
          <w:p w14:paraId="13D2192B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32.7</w:t>
            </w:r>
          </w:p>
        </w:tc>
        <w:tc>
          <w:tcPr>
            <w:tcW w:w="3777" w:type="dxa"/>
          </w:tcPr>
          <w:p w14:paraId="7E1C4D5A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21.6</w:t>
            </w:r>
          </w:p>
        </w:tc>
      </w:tr>
      <w:tr w:rsidR="0036285A" w:rsidRPr="003669E7" w14:paraId="601B954E" w14:textId="77777777" w:rsidTr="006D7710">
        <w:trPr>
          <w:jc w:val="center"/>
        </w:trPr>
        <w:tc>
          <w:tcPr>
            <w:tcW w:w="1075" w:type="dxa"/>
          </w:tcPr>
          <w:p w14:paraId="3B39ED7B" w14:textId="77777777" w:rsidR="0036285A" w:rsidRPr="003669E7" w:rsidRDefault="0036285A" w:rsidP="006D7710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Ireland</w:t>
            </w:r>
          </w:p>
        </w:tc>
        <w:tc>
          <w:tcPr>
            <w:tcW w:w="2160" w:type="dxa"/>
          </w:tcPr>
          <w:p w14:paraId="38584A12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31.0</w:t>
            </w:r>
          </w:p>
        </w:tc>
        <w:tc>
          <w:tcPr>
            <w:tcW w:w="3777" w:type="dxa"/>
          </w:tcPr>
          <w:p w14:paraId="2E1E6BD5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13.7</w:t>
            </w:r>
          </w:p>
        </w:tc>
      </w:tr>
      <w:tr w:rsidR="0036285A" w:rsidRPr="003669E7" w14:paraId="71F07DFC" w14:textId="77777777" w:rsidTr="006D7710">
        <w:trPr>
          <w:jc w:val="center"/>
        </w:trPr>
        <w:tc>
          <w:tcPr>
            <w:tcW w:w="1075" w:type="dxa"/>
          </w:tcPr>
          <w:p w14:paraId="1D3BC3C1" w14:textId="77777777" w:rsidR="0036285A" w:rsidRPr="003669E7" w:rsidRDefault="0036285A" w:rsidP="006D7710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Denmark</w:t>
            </w:r>
          </w:p>
        </w:tc>
        <w:tc>
          <w:tcPr>
            <w:tcW w:w="2160" w:type="dxa"/>
          </w:tcPr>
          <w:p w14:paraId="18D1849A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42.5</w:t>
            </w:r>
          </w:p>
        </w:tc>
        <w:tc>
          <w:tcPr>
            <w:tcW w:w="3777" w:type="dxa"/>
          </w:tcPr>
          <w:p w14:paraId="38D8D858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13.8</w:t>
            </w:r>
          </w:p>
        </w:tc>
      </w:tr>
      <w:tr w:rsidR="0036285A" w:rsidRPr="003669E7" w14:paraId="0F8413C5" w14:textId="77777777" w:rsidTr="006D7710">
        <w:trPr>
          <w:jc w:val="center"/>
        </w:trPr>
        <w:tc>
          <w:tcPr>
            <w:tcW w:w="1075" w:type="dxa"/>
          </w:tcPr>
          <w:p w14:paraId="321E1A78" w14:textId="77777777" w:rsidR="0036285A" w:rsidRPr="003669E7" w:rsidRDefault="0036285A" w:rsidP="006D7710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Belgium</w:t>
            </w:r>
          </w:p>
        </w:tc>
        <w:tc>
          <w:tcPr>
            <w:tcW w:w="2160" w:type="dxa"/>
          </w:tcPr>
          <w:p w14:paraId="47EA330D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39.6</w:t>
            </w:r>
          </w:p>
        </w:tc>
        <w:tc>
          <w:tcPr>
            <w:tcW w:w="3777" w:type="dxa"/>
          </w:tcPr>
          <w:p w14:paraId="7EB5622B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27.1</w:t>
            </w:r>
          </w:p>
        </w:tc>
      </w:tr>
      <w:tr w:rsidR="0036285A" w:rsidRPr="003669E7" w14:paraId="59A95846" w14:textId="77777777" w:rsidTr="006D7710">
        <w:trPr>
          <w:jc w:val="center"/>
        </w:trPr>
        <w:tc>
          <w:tcPr>
            <w:tcW w:w="1075" w:type="dxa"/>
          </w:tcPr>
          <w:p w14:paraId="58F721B0" w14:textId="77777777" w:rsidR="0036285A" w:rsidRPr="003669E7" w:rsidRDefault="0036285A" w:rsidP="006D7710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Sweden</w:t>
            </w:r>
          </w:p>
        </w:tc>
        <w:tc>
          <w:tcPr>
            <w:tcW w:w="2160" w:type="dxa"/>
          </w:tcPr>
          <w:p w14:paraId="1BD454D3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8.3</w:t>
            </w:r>
          </w:p>
        </w:tc>
        <w:tc>
          <w:tcPr>
            <w:tcW w:w="3777" w:type="dxa"/>
          </w:tcPr>
          <w:p w14:paraId="3BC6EE1B" w14:textId="77777777" w:rsidR="0036285A" w:rsidRPr="003669E7" w:rsidRDefault="0036285A" w:rsidP="006D7710">
            <w:pPr>
              <w:ind w:right="25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32.7</w:t>
            </w:r>
          </w:p>
        </w:tc>
      </w:tr>
    </w:tbl>
    <w:p w14:paraId="50AC66CC" w14:textId="77777777" w:rsidR="0036285A" w:rsidRPr="00963CB3" w:rsidRDefault="0036285A" w:rsidP="0036285A">
      <w:pPr>
        <w:pStyle w:val="Footnote"/>
        <w:rPr>
          <w:lang w:val="en-GB"/>
        </w:rPr>
      </w:pPr>
    </w:p>
    <w:p w14:paraId="432EC52B" w14:textId="325DAB8F" w:rsidR="00FC4F2B" w:rsidRPr="003669E7" w:rsidRDefault="0036285A" w:rsidP="0036285A">
      <w:pPr>
        <w:spacing w:after="200" w:line="276" w:lineRule="auto"/>
        <w:rPr>
          <w:lang w:val="en-GB"/>
        </w:rPr>
      </w:pPr>
      <w:r w:rsidRPr="009C72CB">
        <w:rPr>
          <w:rFonts w:ascii="Arial" w:hAnsi="Arial" w:cs="Arial"/>
          <w:sz w:val="17"/>
          <w:szCs w:val="17"/>
          <w:lang w:val="en-GB"/>
        </w:rPr>
        <w:t>Source: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“Estimated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Hourly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Labour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Costs,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2017,”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Eurostat: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Statistics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Explained,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accessed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April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2018,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9C72CB">
        <w:rPr>
          <w:rFonts w:ascii="Arial" w:hAnsi="Arial" w:cs="Arial"/>
          <w:sz w:val="17"/>
          <w:szCs w:val="17"/>
          <w:lang w:val="en-GB"/>
        </w:rPr>
        <w:t>http://ec.europa.eu/eurostat/statistics-explained/index.php/Hourly_labour_costs</w:t>
      </w:r>
      <w:r w:rsidRPr="003669E7">
        <w:rPr>
          <w:lang w:val="en-GB"/>
        </w:rPr>
        <w:t>.</w:t>
      </w:r>
      <w:r w:rsidR="006E23D0" w:rsidRPr="003669E7">
        <w:rPr>
          <w:lang w:val="en-GB"/>
        </w:rPr>
        <w:br w:type="page"/>
      </w:r>
    </w:p>
    <w:p w14:paraId="603318E3" w14:textId="7D02AEE4" w:rsidR="00FC4F2B" w:rsidRPr="003669E7" w:rsidRDefault="00FC4F2B" w:rsidP="00FC4F2B">
      <w:pPr>
        <w:pStyle w:val="ExhibitHeading"/>
        <w:rPr>
          <w:lang w:val="en-GB"/>
        </w:rPr>
      </w:pPr>
      <w:r w:rsidRPr="003669E7">
        <w:rPr>
          <w:lang w:val="en-GB"/>
        </w:rPr>
        <w:lastRenderedPageBreak/>
        <w:t>Exhibit</w:t>
      </w:r>
      <w:r w:rsidR="009C72CB">
        <w:rPr>
          <w:lang w:val="en-GB"/>
        </w:rPr>
        <w:t xml:space="preserve"> </w:t>
      </w:r>
      <w:r w:rsidR="00C42208" w:rsidRPr="003669E7">
        <w:rPr>
          <w:lang w:val="en-GB"/>
        </w:rPr>
        <w:t>3</w:t>
      </w:r>
      <w:r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</w:p>
    <w:p w14:paraId="1BD45E63" w14:textId="77777777" w:rsidR="00FC4F2B" w:rsidRPr="003669E7" w:rsidRDefault="00FC4F2B" w:rsidP="00FC4F2B">
      <w:pPr>
        <w:pStyle w:val="ExhibitHeading"/>
        <w:rPr>
          <w:lang w:val="en-GB"/>
        </w:rPr>
      </w:pPr>
    </w:p>
    <w:p w14:paraId="77E10508" w14:textId="6F00C334" w:rsidR="00FC4F2B" w:rsidRPr="003669E7" w:rsidRDefault="00FC4F2B" w:rsidP="00554E0E">
      <w:pPr>
        <w:pStyle w:val="ExhibitNumber"/>
        <w:rPr>
          <w:lang w:val="en-GB"/>
        </w:rPr>
      </w:pPr>
      <w:r w:rsidRPr="003669E7">
        <w:rPr>
          <w:lang w:val="en-GB"/>
        </w:rPr>
        <w:t>Model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HJ170</w:t>
      </w:r>
    </w:p>
    <w:p w14:paraId="0E8AEFE2" w14:textId="77777777" w:rsidR="00FC4F2B" w:rsidRPr="003669E7" w:rsidRDefault="00FC4F2B" w:rsidP="00FC4F2B">
      <w:pPr>
        <w:jc w:val="both"/>
        <w:rPr>
          <w:lang w:val="en-GB"/>
        </w:rPr>
      </w:pPr>
    </w:p>
    <w:p w14:paraId="03215AD7" w14:textId="77777777" w:rsidR="00FC4F2B" w:rsidRPr="003669E7" w:rsidRDefault="00FC4F2B" w:rsidP="00FC4F2B">
      <w:pPr>
        <w:jc w:val="center"/>
        <w:rPr>
          <w:lang w:val="en-GB"/>
        </w:rPr>
      </w:pPr>
      <w:r w:rsidRPr="003669E7">
        <w:rPr>
          <w:noProof/>
        </w:rPr>
        <w:drawing>
          <wp:inline distT="0" distB="0" distL="0" distR="0" wp14:anchorId="05360E97" wp14:editId="41B8FEC2">
            <wp:extent cx="3266983" cy="196019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63" cy="19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B14" w14:textId="77777777" w:rsidR="00295829" w:rsidRPr="003669E7" w:rsidRDefault="00295829" w:rsidP="00FC4F2B">
      <w:pPr>
        <w:jc w:val="both"/>
        <w:rPr>
          <w:lang w:val="en-GB"/>
        </w:rPr>
      </w:pPr>
    </w:p>
    <w:p w14:paraId="60F8034B" w14:textId="13F55A6B" w:rsidR="00FC4F2B" w:rsidRPr="003669E7" w:rsidRDefault="00FC4F2B" w:rsidP="00554E0E">
      <w:pPr>
        <w:pStyle w:val="ExhibitNumber"/>
        <w:rPr>
          <w:lang w:val="en-GB"/>
        </w:rPr>
      </w:pP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Line</w:t>
      </w:r>
    </w:p>
    <w:p w14:paraId="25A32F23" w14:textId="77777777" w:rsidR="00FC4F2B" w:rsidRPr="003669E7" w:rsidRDefault="00FC4F2B" w:rsidP="00FC4F2B">
      <w:pPr>
        <w:rPr>
          <w:lang w:val="en-GB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560"/>
        <w:gridCol w:w="1984"/>
        <w:gridCol w:w="4535"/>
      </w:tblGrid>
      <w:tr w:rsidR="00FC4F2B" w:rsidRPr="003669E7" w14:paraId="6BF9573B" w14:textId="77777777" w:rsidTr="00295829">
        <w:trPr>
          <w:jc w:val="center"/>
        </w:trPr>
        <w:tc>
          <w:tcPr>
            <w:tcW w:w="680" w:type="pct"/>
            <w:shd w:val="clear" w:color="auto" w:fill="F2F2F2" w:themeFill="background1" w:themeFillShade="F2"/>
          </w:tcPr>
          <w:p w14:paraId="005411DC" w14:textId="77777777" w:rsidR="00FC4F2B" w:rsidRPr="009E375E" w:rsidRDefault="00FC4F2B" w:rsidP="009E375E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834" w:type="pct"/>
            <w:shd w:val="clear" w:color="auto" w:fill="F2F2F2" w:themeFill="background1" w:themeFillShade="F2"/>
          </w:tcPr>
          <w:p w14:paraId="343DC49E" w14:textId="2E8232C1" w:rsidR="00FC4F2B" w:rsidRPr="009E375E" w:rsidRDefault="00FC4F2B" w:rsidP="009E375E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Wood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Size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14:paraId="40ACB4DF" w14:textId="1BB12CFB" w:rsidR="00FC4F2B" w:rsidRPr="009E375E" w:rsidRDefault="00FC4F2B" w:rsidP="009E375E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Chipping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Capacity</w:t>
            </w:r>
          </w:p>
        </w:tc>
        <w:tc>
          <w:tcPr>
            <w:tcW w:w="2425" w:type="pct"/>
            <w:shd w:val="clear" w:color="auto" w:fill="F2F2F2" w:themeFill="background1" w:themeFillShade="F2"/>
          </w:tcPr>
          <w:p w14:paraId="3CA39E36" w14:textId="77777777" w:rsidR="00FC4F2B" w:rsidRPr="009E375E" w:rsidRDefault="00FC4F2B" w:rsidP="009E375E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Notes</w:t>
            </w:r>
          </w:p>
        </w:tc>
      </w:tr>
      <w:tr w:rsidR="00FC4F2B" w:rsidRPr="003669E7" w14:paraId="40111F8C" w14:textId="77777777" w:rsidTr="009C72CB">
        <w:trPr>
          <w:jc w:val="center"/>
        </w:trPr>
        <w:tc>
          <w:tcPr>
            <w:tcW w:w="680" w:type="pct"/>
            <w:vAlign w:val="center"/>
          </w:tcPr>
          <w:p w14:paraId="57945590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HJ4</w:t>
            </w:r>
          </w:p>
        </w:tc>
        <w:tc>
          <w:tcPr>
            <w:tcW w:w="834" w:type="pct"/>
            <w:vAlign w:val="center"/>
          </w:tcPr>
          <w:p w14:paraId="70A35B23" w14:textId="5D9CDBB2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up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9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061" w:type="pct"/>
            <w:vAlign w:val="center"/>
          </w:tcPr>
          <w:p w14:paraId="45EC4826" w14:textId="66641914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</w:t>
            </w:r>
            <w:r w:rsidR="00316890" w:rsidRPr="003669E7">
              <w:rPr>
                <w:rFonts w:ascii="Arial" w:hAnsi="Arial" w:cs="Arial"/>
                <w:lang w:val="en-GB"/>
              </w:rPr>
              <w:t>–</w:t>
            </w:r>
            <w:r w:rsidRPr="003669E7">
              <w:rPr>
                <w:rFonts w:ascii="Arial" w:hAnsi="Arial" w:cs="Arial"/>
                <w:lang w:val="en-GB"/>
              </w:rPr>
              <w:t>6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</w:t>
            </w:r>
            <w:r w:rsidRPr="003669E7">
              <w:rPr>
                <w:rFonts w:ascii="Arial" w:hAnsi="Arial" w:cs="Arial"/>
                <w:vertAlign w:val="superscript"/>
                <w:lang w:val="en-GB"/>
              </w:rPr>
              <w:t>3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per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hour</w:t>
            </w:r>
          </w:p>
        </w:tc>
        <w:tc>
          <w:tcPr>
            <w:tcW w:w="2425" w:type="pct"/>
          </w:tcPr>
          <w:p w14:paraId="13DD820C" w14:textId="3FB8A994" w:rsidR="00316890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mechanical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chipper</w:t>
            </w:r>
          </w:p>
          <w:p w14:paraId="1498AC27" w14:textId="707D6D92" w:rsidR="00FC4F2B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smaller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version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has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no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feeding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device</w:t>
            </w:r>
          </w:p>
        </w:tc>
      </w:tr>
      <w:tr w:rsidR="00FC4F2B" w:rsidRPr="003669E7" w14:paraId="7D5093E9" w14:textId="77777777" w:rsidTr="009C72CB">
        <w:trPr>
          <w:jc w:val="center"/>
        </w:trPr>
        <w:tc>
          <w:tcPr>
            <w:tcW w:w="680" w:type="pct"/>
            <w:vAlign w:val="center"/>
          </w:tcPr>
          <w:p w14:paraId="6BF40D5B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HJ170</w:t>
            </w:r>
          </w:p>
        </w:tc>
        <w:tc>
          <w:tcPr>
            <w:tcW w:w="834" w:type="pct"/>
            <w:vAlign w:val="center"/>
          </w:tcPr>
          <w:p w14:paraId="0CB1518D" w14:textId="1946089D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up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17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061" w:type="pct"/>
            <w:vAlign w:val="center"/>
          </w:tcPr>
          <w:p w14:paraId="09923A82" w14:textId="23AF13E4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4</w:t>
            </w:r>
            <w:r w:rsidR="00316890" w:rsidRPr="003669E7">
              <w:rPr>
                <w:rFonts w:ascii="Arial" w:hAnsi="Arial" w:cs="Arial"/>
                <w:lang w:val="en-GB"/>
              </w:rPr>
              <w:t>–</w:t>
            </w:r>
            <w:r w:rsidRPr="003669E7">
              <w:rPr>
                <w:rFonts w:ascii="Arial" w:hAnsi="Arial" w:cs="Arial"/>
                <w:lang w:val="en-GB"/>
              </w:rPr>
              <w:t>8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</w:t>
            </w:r>
            <w:r w:rsidRPr="003669E7">
              <w:rPr>
                <w:rFonts w:ascii="Arial" w:hAnsi="Arial" w:cs="Arial"/>
                <w:vertAlign w:val="superscript"/>
                <w:lang w:val="en-GB"/>
              </w:rPr>
              <w:t>3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per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hour</w:t>
            </w:r>
          </w:p>
        </w:tc>
        <w:tc>
          <w:tcPr>
            <w:tcW w:w="2425" w:type="pct"/>
          </w:tcPr>
          <w:p w14:paraId="0753E1ED" w14:textId="30EA8EA6" w:rsidR="00316890" w:rsidRPr="003669E7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two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versions</w:t>
            </w:r>
            <w:r w:rsidR="005D3123">
              <w:rPr>
                <w:rFonts w:ascii="Arial" w:hAnsi="Arial" w:cs="Arial"/>
                <w:lang w:val="en-GB"/>
              </w:rPr>
              <w:t>,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tractor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mounted</w:t>
            </w:r>
          </w:p>
          <w:p w14:paraId="49DB4E1D" w14:textId="794F3671" w:rsidR="00FC4F2B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one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a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trailed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chipper</w:t>
            </w:r>
          </w:p>
        </w:tc>
      </w:tr>
      <w:tr w:rsidR="00FC4F2B" w:rsidRPr="003669E7" w14:paraId="23D4F579" w14:textId="77777777" w:rsidTr="009C72CB">
        <w:trPr>
          <w:jc w:val="center"/>
        </w:trPr>
        <w:tc>
          <w:tcPr>
            <w:tcW w:w="680" w:type="pct"/>
            <w:vAlign w:val="center"/>
          </w:tcPr>
          <w:p w14:paraId="174748A2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HJ250</w:t>
            </w:r>
          </w:p>
        </w:tc>
        <w:tc>
          <w:tcPr>
            <w:tcW w:w="834" w:type="pct"/>
            <w:vAlign w:val="center"/>
          </w:tcPr>
          <w:p w14:paraId="24BA336A" w14:textId="3ECCD2BA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up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25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061" w:type="pct"/>
            <w:vAlign w:val="center"/>
          </w:tcPr>
          <w:p w14:paraId="165324B4" w14:textId="5D431C2A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7</w:t>
            </w:r>
            <w:r w:rsidR="00316890" w:rsidRPr="003669E7">
              <w:rPr>
                <w:rFonts w:ascii="Arial" w:hAnsi="Arial" w:cs="Arial"/>
                <w:lang w:val="en-GB"/>
              </w:rPr>
              <w:t>–</w:t>
            </w:r>
            <w:r w:rsidRPr="003669E7">
              <w:rPr>
                <w:rFonts w:ascii="Arial" w:hAnsi="Arial" w:cs="Arial"/>
                <w:lang w:val="en-GB"/>
              </w:rPr>
              <w:t>30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</w:t>
            </w:r>
            <w:r w:rsidRPr="003669E7">
              <w:rPr>
                <w:rFonts w:ascii="Arial" w:hAnsi="Arial" w:cs="Arial"/>
                <w:vertAlign w:val="superscript"/>
                <w:lang w:val="en-GB"/>
              </w:rPr>
              <w:t>3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per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hour</w:t>
            </w:r>
          </w:p>
        </w:tc>
        <w:tc>
          <w:tcPr>
            <w:tcW w:w="2425" w:type="pct"/>
          </w:tcPr>
          <w:p w14:paraId="3C0F83C7" w14:textId="1149AF07" w:rsidR="00316890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non-direct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feeding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chipper</w:t>
            </w:r>
          </w:p>
          <w:p w14:paraId="0EB3D3E7" w14:textId="2674EB5A" w:rsidR="00FC4F2B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blades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draw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in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the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wood</w:t>
            </w:r>
            <w:r w:rsidRPr="003669E7">
              <w:rPr>
                <w:rFonts w:ascii="Arial" w:hAnsi="Arial" w:cs="Arial"/>
                <w:lang w:val="en-GB"/>
              </w:rPr>
              <w:t>,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requiring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less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power</w:t>
            </w:r>
          </w:p>
        </w:tc>
      </w:tr>
      <w:tr w:rsidR="00FC4F2B" w:rsidRPr="003669E7" w14:paraId="6201E528" w14:textId="77777777" w:rsidTr="009C72CB">
        <w:trPr>
          <w:jc w:val="center"/>
        </w:trPr>
        <w:tc>
          <w:tcPr>
            <w:tcW w:w="680" w:type="pct"/>
            <w:vAlign w:val="center"/>
          </w:tcPr>
          <w:p w14:paraId="3BD9F168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HJ261</w:t>
            </w:r>
          </w:p>
        </w:tc>
        <w:tc>
          <w:tcPr>
            <w:tcW w:w="834" w:type="pct"/>
            <w:vAlign w:val="center"/>
          </w:tcPr>
          <w:p w14:paraId="330F0371" w14:textId="34BBB44C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up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26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061" w:type="pct"/>
            <w:vAlign w:val="center"/>
          </w:tcPr>
          <w:p w14:paraId="6203C5AA" w14:textId="38404138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7</w:t>
            </w:r>
            <w:r w:rsidR="00316890" w:rsidRPr="003669E7">
              <w:rPr>
                <w:rFonts w:ascii="Arial" w:hAnsi="Arial" w:cs="Arial"/>
                <w:lang w:val="en-GB"/>
              </w:rPr>
              <w:t>–</w:t>
            </w:r>
            <w:r w:rsidRPr="003669E7">
              <w:rPr>
                <w:rFonts w:ascii="Arial" w:hAnsi="Arial" w:cs="Arial"/>
                <w:lang w:val="en-GB"/>
              </w:rPr>
              <w:t>30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</w:t>
            </w:r>
            <w:r w:rsidRPr="003669E7">
              <w:rPr>
                <w:rFonts w:ascii="Arial" w:hAnsi="Arial" w:cs="Arial"/>
                <w:vertAlign w:val="superscript"/>
                <w:lang w:val="en-GB"/>
              </w:rPr>
              <w:t>3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per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hour</w:t>
            </w:r>
          </w:p>
        </w:tc>
        <w:tc>
          <w:tcPr>
            <w:tcW w:w="2425" w:type="pct"/>
          </w:tcPr>
          <w:p w14:paraId="45C2ECC4" w14:textId="7557AE80" w:rsidR="00FC4F2B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multi-speed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direct</w:t>
            </w:r>
            <w:r w:rsidRPr="003669E7">
              <w:rPr>
                <w:rFonts w:ascii="Arial" w:hAnsi="Arial" w:cs="Arial"/>
                <w:lang w:val="en-GB"/>
              </w:rPr>
              <w:t>-</w:t>
            </w:r>
            <w:r w:rsidRPr="009E375E">
              <w:rPr>
                <w:rFonts w:ascii="Arial" w:hAnsi="Arial" w:cs="Arial"/>
                <w:lang w:val="en-GB"/>
              </w:rPr>
              <w:t>feed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chipper</w:t>
            </w:r>
          </w:p>
        </w:tc>
      </w:tr>
      <w:tr w:rsidR="00FC4F2B" w:rsidRPr="003669E7" w14:paraId="5B33C5C8" w14:textId="77777777" w:rsidTr="009C72CB">
        <w:trPr>
          <w:jc w:val="center"/>
        </w:trPr>
        <w:tc>
          <w:tcPr>
            <w:tcW w:w="680" w:type="pct"/>
            <w:vAlign w:val="center"/>
          </w:tcPr>
          <w:p w14:paraId="7DC11415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HJ500C</w:t>
            </w:r>
          </w:p>
        </w:tc>
        <w:tc>
          <w:tcPr>
            <w:tcW w:w="834" w:type="pct"/>
            <w:vAlign w:val="center"/>
          </w:tcPr>
          <w:p w14:paraId="732C60B0" w14:textId="60C1C874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up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45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061" w:type="pct"/>
            <w:vAlign w:val="center"/>
          </w:tcPr>
          <w:p w14:paraId="088631E8" w14:textId="350A3E47" w:rsidR="00FC4F2B" w:rsidRPr="003669E7" w:rsidRDefault="00FC4F2B" w:rsidP="009C72C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</w:t>
            </w:r>
            <w:r w:rsidR="00316890" w:rsidRPr="003669E7">
              <w:rPr>
                <w:rFonts w:ascii="Arial" w:hAnsi="Arial" w:cs="Arial"/>
                <w:lang w:val="en-GB"/>
              </w:rPr>
              <w:t>–</w:t>
            </w:r>
            <w:r w:rsidRPr="003669E7">
              <w:rPr>
                <w:rFonts w:ascii="Arial" w:hAnsi="Arial" w:cs="Arial"/>
                <w:lang w:val="en-GB"/>
              </w:rPr>
              <w:t>100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</w:t>
            </w:r>
            <w:r w:rsidRPr="003669E7">
              <w:rPr>
                <w:rFonts w:ascii="Arial" w:hAnsi="Arial" w:cs="Arial"/>
                <w:vertAlign w:val="superscript"/>
                <w:lang w:val="en-GB"/>
              </w:rPr>
              <w:t>3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per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hour</w:t>
            </w:r>
          </w:p>
        </w:tc>
        <w:tc>
          <w:tcPr>
            <w:tcW w:w="2425" w:type="pct"/>
          </w:tcPr>
          <w:p w14:paraId="77DF56D2" w14:textId="64294540" w:rsidR="00316890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trailed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chipper</w:t>
            </w:r>
          </w:p>
          <w:p w14:paraId="49942B68" w14:textId="6BBE61B2" w:rsidR="00316890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low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energy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consumption</w:t>
            </w:r>
          </w:p>
          <w:p w14:paraId="1F354F66" w14:textId="6119FCB0" w:rsidR="00FC4F2B" w:rsidRPr="009E375E" w:rsidRDefault="00316890" w:rsidP="009E375E">
            <w:pPr>
              <w:pStyle w:val="ListParagraph"/>
              <w:numPr>
                <w:ilvl w:val="0"/>
                <w:numId w:val="8"/>
              </w:numPr>
              <w:ind w:left="202" w:hanging="180"/>
              <w:rPr>
                <w:rFonts w:ascii="Arial" w:hAnsi="Arial" w:cs="Arial"/>
                <w:lang w:val="en-GB"/>
              </w:rPr>
            </w:pPr>
            <w:r w:rsidRPr="009E375E">
              <w:rPr>
                <w:rFonts w:ascii="Arial" w:hAnsi="Arial" w:cs="Arial"/>
                <w:lang w:val="en-GB"/>
              </w:rPr>
              <w:t>high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lang w:val="en-GB"/>
              </w:rPr>
              <w:t>productivity</w:t>
            </w:r>
          </w:p>
        </w:tc>
      </w:tr>
    </w:tbl>
    <w:p w14:paraId="6C377FAA" w14:textId="77777777" w:rsidR="00FC4F2B" w:rsidRPr="003669E7" w:rsidRDefault="00FC4F2B" w:rsidP="009E375E">
      <w:pPr>
        <w:pStyle w:val="Footnote"/>
        <w:rPr>
          <w:lang w:val="en-GB"/>
        </w:rPr>
      </w:pPr>
    </w:p>
    <w:p w14:paraId="7803D52A" w14:textId="1CA30C70" w:rsidR="008C0775" w:rsidRDefault="008C0775" w:rsidP="00A238D2">
      <w:pPr>
        <w:pStyle w:val="Footnote"/>
        <w:rPr>
          <w:lang w:val="en-GB"/>
        </w:rPr>
      </w:pPr>
      <w:r>
        <w:rPr>
          <w:lang w:val="en-GB"/>
        </w:rPr>
        <w:t>Notes:</w:t>
      </w:r>
      <w:r w:rsidR="009C72CB">
        <w:rPr>
          <w:lang w:val="en-GB"/>
        </w:rPr>
        <w:t xml:space="preserve"> </w:t>
      </w:r>
      <w:r>
        <w:rPr>
          <w:lang w:val="en-GB"/>
        </w:rPr>
        <w:t>cm</w:t>
      </w:r>
      <w:r w:rsidR="009C72CB">
        <w:rPr>
          <w:lang w:val="en-GB"/>
        </w:rPr>
        <w:t xml:space="preserve"> </w:t>
      </w:r>
      <w:r>
        <w:rPr>
          <w:lang w:val="en-GB"/>
        </w:rPr>
        <w:t>=</w:t>
      </w:r>
      <w:r w:rsidR="009C72CB">
        <w:rPr>
          <w:lang w:val="en-GB"/>
        </w:rPr>
        <w:t xml:space="preserve"> </w:t>
      </w:r>
      <w:r>
        <w:rPr>
          <w:lang w:val="en-GB"/>
        </w:rPr>
        <w:t>centimetres;</w:t>
      </w:r>
      <w:r w:rsidR="009C72CB">
        <w:rPr>
          <w:lang w:val="en-GB"/>
        </w:rPr>
        <w:t xml:space="preserve"> </w:t>
      </w:r>
      <w:r>
        <w:rPr>
          <w:lang w:val="en-GB"/>
        </w:rPr>
        <w:t>m3</w:t>
      </w:r>
      <w:r w:rsidR="009C72CB">
        <w:rPr>
          <w:lang w:val="en-GB"/>
        </w:rPr>
        <w:t xml:space="preserve"> </w:t>
      </w:r>
      <w:r>
        <w:rPr>
          <w:lang w:val="en-GB"/>
        </w:rPr>
        <w:t>=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cubic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metres</w:t>
      </w:r>
      <w:r w:rsidR="00554E0E">
        <w:rPr>
          <w:lang w:val="en-GB"/>
        </w:rPr>
        <w:t>.</w:t>
      </w:r>
      <w:bookmarkStart w:id="4" w:name="_GoBack"/>
      <w:bookmarkEnd w:id="4"/>
    </w:p>
    <w:p w14:paraId="2829A02F" w14:textId="0853F9EA" w:rsidR="00FC4F2B" w:rsidRPr="003669E7" w:rsidRDefault="00FC4F2B" w:rsidP="00A238D2">
      <w:pPr>
        <w:pStyle w:val="Footnote"/>
        <w:rPr>
          <w:lang w:val="en-GB"/>
        </w:rPr>
      </w:pPr>
      <w:r w:rsidRPr="003669E7">
        <w:rPr>
          <w:lang w:val="en-GB"/>
        </w:rPr>
        <w:t>Source: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documents.</w:t>
      </w:r>
    </w:p>
    <w:p w14:paraId="5FF2F5A0" w14:textId="77777777" w:rsidR="00FC4F2B" w:rsidRPr="003669E7" w:rsidRDefault="00FC4F2B" w:rsidP="00FC4F2B">
      <w:pPr>
        <w:rPr>
          <w:lang w:val="en-GB"/>
        </w:rPr>
      </w:pPr>
    </w:p>
    <w:p w14:paraId="5FF72B40" w14:textId="77777777" w:rsidR="00A238D2" w:rsidRPr="003669E7" w:rsidRDefault="00A238D2" w:rsidP="00FC4F2B">
      <w:pPr>
        <w:rPr>
          <w:lang w:val="en-GB"/>
        </w:rPr>
      </w:pPr>
    </w:p>
    <w:p w14:paraId="06C5F111" w14:textId="2DDD5890" w:rsidR="00FC4F2B" w:rsidRPr="003669E7" w:rsidRDefault="00FC4F2B" w:rsidP="00A238D2">
      <w:pPr>
        <w:pStyle w:val="ExhibitHeading"/>
        <w:rPr>
          <w:lang w:val="en-GB"/>
        </w:rPr>
      </w:pP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C42208" w:rsidRPr="003669E7">
        <w:rPr>
          <w:lang w:val="en-GB"/>
        </w:rPr>
        <w:t>4</w:t>
      </w:r>
      <w:r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Model</w:t>
      </w:r>
    </w:p>
    <w:p w14:paraId="72BDC8E7" w14:textId="77777777" w:rsidR="00FC4F2B" w:rsidRPr="003669E7" w:rsidRDefault="00FC4F2B" w:rsidP="00FC4F2B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999"/>
        <w:gridCol w:w="992"/>
        <w:gridCol w:w="806"/>
        <w:gridCol w:w="806"/>
        <w:gridCol w:w="950"/>
        <w:gridCol w:w="694"/>
      </w:tblGrid>
      <w:tr w:rsidR="00FC4F2B" w:rsidRPr="003669E7" w14:paraId="04936D9F" w14:textId="77777777" w:rsidTr="009C72CB">
        <w:trPr>
          <w:trHeight w:val="300"/>
          <w:jc w:val="center"/>
        </w:trPr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5D13ACE" w14:textId="7E2FF4FE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Sales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by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="00316890" w:rsidRPr="003669E7">
              <w:rPr>
                <w:rFonts w:ascii="Arial" w:hAnsi="Arial" w:cs="Arial"/>
                <w:b/>
                <w:lang w:val="en-GB"/>
              </w:rPr>
              <w:t>Y</w:t>
            </w:r>
            <w:r w:rsidR="00316890" w:rsidRPr="009E375E">
              <w:rPr>
                <w:rFonts w:ascii="Arial" w:hAnsi="Arial" w:cs="Arial"/>
                <w:b/>
                <w:lang w:val="en-GB"/>
              </w:rPr>
              <w:t>ear</w:t>
            </w:r>
            <w:r w:rsidR="00316890" w:rsidRPr="003669E7">
              <w:rPr>
                <w:rFonts w:ascii="Arial" w:hAnsi="Arial" w:cs="Arial"/>
                <w:b/>
                <w:lang w:val="en-GB"/>
              </w:rPr>
              <w:br/>
            </w:r>
            <w:r w:rsidRPr="009E375E">
              <w:rPr>
                <w:rFonts w:ascii="Arial" w:hAnsi="Arial" w:cs="Arial"/>
                <w:b/>
                <w:lang w:val="en-GB"/>
              </w:rPr>
              <w:t>by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="00316890" w:rsidRPr="003669E7">
              <w:rPr>
                <w:rFonts w:ascii="Arial" w:hAnsi="Arial" w:cs="Arial"/>
                <w:b/>
                <w:lang w:val="en-GB"/>
              </w:rPr>
              <w:t>M</w:t>
            </w:r>
            <w:r w:rsidR="00316890" w:rsidRPr="009E375E">
              <w:rPr>
                <w:rFonts w:ascii="Arial" w:hAnsi="Arial" w:cs="Arial"/>
                <w:b/>
                <w:lang w:val="en-GB"/>
              </w:rPr>
              <w:t>odel</w:t>
            </w:r>
          </w:p>
        </w:tc>
        <w:tc>
          <w:tcPr>
            <w:tcW w:w="999" w:type="dxa"/>
            <w:shd w:val="clear" w:color="auto" w:fill="F2F2F2" w:themeFill="background1" w:themeFillShade="F2"/>
            <w:noWrap/>
            <w:vAlign w:val="center"/>
            <w:hideMark/>
          </w:tcPr>
          <w:p w14:paraId="76C9D875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HJ4</w:t>
            </w:r>
          </w:p>
        </w:tc>
        <w:tc>
          <w:tcPr>
            <w:tcW w:w="992" w:type="dxa"/>
            <w:shd w:val="clear" w:color="auto" w:fill="F2F2F2" w:themeFill="background1" w:themeFillShade="F2"/>
            <w:noWrap/>
            <w:vAlign w:val="center"/>
            <w:hideMark/>
          </w:tcPr>
          <w:p w14:paraId="388208CD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HJ170</w:t>
            </w:r>
          </w:p>
        </w:tc>
        <w:tc>
          <w:tcPr>
            <w:tcW w:w="524" w:type="dxa"/>
            <w:shd w:val="clear" w:color="auto" w:fill="F2F2F2" w:themeFill="background1" w:themeFillShade="F2"/>
            <w:noWrap/>
            <w:vAlign w:val="center"/>
            <w:hideMark/>
          </w:tcPr>
          <w:p w14:paraId="6F986388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HJ250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42F480D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HJ261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4EBE713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HJ500C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90CA143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Total</w:t>
            </w:r>
          </w:p>
        </w:tc>
      </w:tr>
      <w:tr w:rsidR="00FC4F2B" w:rsidRPr="003669E7" w14:paraId="56B34F49" w14:textId="77777777" w:rsidTr="009C72CB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26E11DEB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2016</w:t>
            </w:r>
          </w:p>
        </w:tc>
        <w:tc>
          <w:tcPr>
            <w:tcW w:w="999" w:type="dxa"/>
            <w:noWrap/>
            <w:vAlign w:val="center"/>
            <w:hideMark/>
          </w:tcPr>
          <w:p w14:paraId="254579D8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21</w:t>
            </w:r>
          </w:p>
        </w:tc>
        <w:tc>
          <w:tcPr>
            <w:tcW w:w="992" w:type="dxa"/>
            <w:noWrap/>
            <w:vAlign w:val="center"/>
            <w:hideMark/>
          </w:tcPr>
          <w:p w14:paraId="75601328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58</w:t>
            </w:r>
          </w:p>
        </w:tc>
        <w:tc>
          <w:tcPr>
            <w:tcW w:w="524" w:type="dxa"/>
            <w:noWrap/>
            <w:vAlign w:val="center"/>
            <w:hideMark/>
          </w:tcPr>
          <w:p w14:paraId="01CBCE83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114</w:t>
            </w:r>
          </w:p>
        </w:tc>
        <w:tc>
          <w:tcPr>
            <w:tcW w:w="0" w:type="auto"/>
            <w:noWrap/>
            <w:vAlign w:val="center"/>
            <w:hideMark/>
          </w:tcPr>
          <w:p w14:paraId="02BE1724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18A5F40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474FA4E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218</w:t>
            </w:r>
          </w:p>
        </w:tc>
      </w:tr>
      <w:tr w:rsidR="00FC4F2B" w:rsidRPr="003669E7" w14:paraId="4765236E" w14:textId="77777777" w:rsidTr="009C72CB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37F59244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2015</w:t>
            </w:r>
          </w:p>
        </w:tc>
        <w:tc>
          <w:tcPr>
            <w:tcW w:w="999" w:type="dxa"/>
            <w:noWrap/>
            <w:vAlign w:val="center"/>
            <w:hideMark/>
          </w:tcPr>
          <w:p w14:paraId="62F90003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39</w:t>
            </w:r>
          </w:p>
        </w:tc>
        <w:tc>
          <w:tcPr>
            <w:tcW w:w="992" w:type="dxa"/>
            <w:noWrap/>
            <w:vAlign w:val="center"/>
            <w:hideMark/>
          </w:tcPr>
          <w:p w14:paraId="05824D9B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90</w:t>
            </w:r>
          </w:p>
        </w:tc>
        <w:tc>
          <w:tcPr>
            <w:tcW w:w="524" w:type="dxa"/>
            <w:noWrap/>
            <w:vAlign w:val="center"/>
            <w:hideMark/>
          </w:tcPr>
          <w:p w14:paraId="72E7F6F7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14:paraId="47FA62C2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6BAB7E39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D163111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284</w:t>
            </w:r>
          </w:p>
        </w:tc>
      </w:tr>
      <w:tr w:rsidR="00FC4F2B" w:rsidRPr="003669E7" w14:paraId="265DC024" w14:textId="77777777" w:rsidTr="009C72CB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0E0D0D07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2014</w:t>
            </w:r>
          </w:p>
        </w:tc>
        <w:tc>
          <w:tcPr>
            <w:tcW w:w="999" w:type="dxa"/>
            <w:noWrap/>
            <w:vAlign w:val="center"/>
            <w:hideMark/>
          </w:tcPr>
          <w:p w14:paraId="25B985C2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33</w:t>
            </w:r>
          </w:p>
        </w:tc>
        <w:tc>
          <w:tcPr>
            <w:tcW w:w="992" w:type="dxa"/>
            <w:noWrap/>
            <w:vAlign w:val="center"/>
            <w:hideMark/>
          </w:tcPr>
          <w:p w14:paraId="594D3080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68</w:t>
            </w:r>
          </w:p>
        </w:tc>
        <w:tc>
          <w:tcPr>
            <w:tcW w:w="524" w:type="dxa"/>
            <w:noWrap/>
            <w:vAlign w:val="center"/>
            <w:hideMark/>
          </w:tcPr>
          <w:p w14:paraId="014A9437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91</w:t>
            </w:r>
          </w:p>
        </w:tc>
        <w:tc>
          <w:tcPr>
            <w:tcW w:w="0" w:type="auto"/>
            <w:noWrap/>
            <w:vAlign w:val="center"/>
            <w:hideMark/>
          </w:tcPr>
          <w:p w14:paraId="2524C32C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0E602383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193F243C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208</w:t>
            </w:r>
          </w:p>
        </w:tc>
      </w:tr>
      <w:tr w:rsidR="00FC4F2B" w:rsidRPr="003669E7" w14:paraId="248ACCA8" w14:textId="77777777" w:rsidTr="009C72CB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75A0F8F5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2013</w:t>
            </w:r>
          </w:p>
        </w:tc>
        <w:tc>
          <w:tcPr>
            <w:tcW w:w="999" w:type="dxa"/>
            <w:noWrap/>
            <w:vAlign w:val="center"/>
            <w:hideMark/>
          </w:tcPr>
          <w:p w14:paraId="3B7BC953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28</w:t>
            </w:r>
          </w:p>
        </w:tc>
        <w:tc>
          <w:tcPr>
            <w:tcW w:w="992" w:type="dxa"/>
            <w:noWrap/>
            <w:vAlign w:val="center"/>
            <w:hideMark/>
          </w:tcPr>
          <w:p w14:paraId="16E75031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69</w:t>
            </w:r>
          </w:p>
        </w:tc>
        <w:tc>
          <w:tcPr>
            <w:tcW w:w="524" w:type="dxa"/>
            <w:noWrap/>
            <w:vAlign w:val="center"/>
            <w:hideMark/>
          </w:tcPr>
          <w:p w14:paraId="42FC35E0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90</w:t>
            </w:r>
          </w:p>
        </w:tc>
        <w:tc>
          <w:tcPr>
            <w:tcW w:w="0" w:type="auto"/>
            <w:noWrap/>
            <w:vAlign w:val="center"/>
            <w:hideMark/>
          </w:tcPr>
          <w:p w14:paraId="60ABB68D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368739CE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7CC173F7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208</w:t>
            </w:r>
          </w:p>
        </w:tc>
      </w:tr>
      <w:tr w:rsidR="00FC4F2B" w:rsidRPr="003669E7" w14:paraId="608A691C" w14:textId="77777777" w:rsidTr="009C72CB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7BDA21AB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2012</w:t>
            </w:r>
          </w:p>
        </w:tc>
        <w:tc>
          <w:tcPr>
            <w:tcW w:w="999" w:type="dxa"/>
            <w:noWrap/>
            <w:vAlign w:val="center"/>
            <w:hideMark/>
          </w:tcPr>
          <w:p w14:paraId="7A4A98C0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17</w:t>
            </w:r>
          </w:p>
        </w:tc>
        <w:tc>
          <w:tcPr>
            <w:tcW w:w="992" w:type="dxa"/>
            <w:noWrap/>
            <w:vAlign w:val="center"/>
            <w:hideMark/>
          </w:tcPr>
          <w:p w14:paraId="1AD2F2DE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52</w:t>
            </w:r>
          </w:p>
        </w:tc>
        <w:tc>
          <w:tcPr>
            <w:tcW w:w="524" w:type="dxa"/>
            <w:noWrap/>
            <w:vAlign w:val="center"/>
            <w:hideMark/>
          </w:tcPr>
          <w:p w14:paraId="29BBDE88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92</w:t>
            </w:r>
          </w:p>
        </w:tc>
        <w:tc>
          <w:tcPr>
            <w:tcW w:w="0" w:type="auto"/>
            <w:noWrap/>
            <w:vAlign w:val="center"/>
            <w:hideMark/>
          </w:tcPr>
          <w:p w14:paraId="2754BD82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78F6DD3E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31929C7E" w14:textId="77777777" w:rsidR="00FC4F2B" w:rsidRPr="003669E7" w:rsidRDefault="00FC4F2B">
            <w:pPr>
              <w:ind w:right="42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229</w:t>
            </w:r>
          </w:p>
        </w:tc>
      </w:tr>
    </w:tbl>
    <w:p w14:paraId="38EF411F" w14:textId="77777777" w:rsidR="00FC4F2B" w:rsidRPr="003669E7" w:rsidRDefault="00FC4F2B" w:rsidP="009E375E">
      <w:pPr>
        <w:pStyle w:val="Footnote"/>
        <w:rPr>
          <w:lang w:val="en-GB"/>
        </w:rPr>
      </w:pPr>
    </w:p>
    <w:p w14:paraId="4DA215F5" w14:textId="5B5F51F7" w:rsidR="00FC4F2B" w:rsidRPr="003669E7" w:rsidRDefault="00FC4F2B" w:rsidP="00A238D2">
      <w:pPr>
        <w:pStyle w:val="Footnote"/>
        <w:rPr>
          <w:lang w:val="en-GB"/>
        </w:rPr>
      </w:pPr>
      <w:r w:rsidRPr="003669E7">
        <w:rPr>
          <w:lang w:val="en-GB"/>
        </w:rPr>
        <w:t>Source: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documents.</w:t>
      </w:r>
    </w:p>
    <w:p w14:paraId="5E312DB8" w14:textId="77777777" w:rsidR="00FC4F2B" w:rsidRPr="003669E7" w:rsidRDefault="00FC4F2B" w:rsidP="00FC4F2B">
      <w:pPr>
        <w:rPr>
          <w:lang w:val="en-GB"/>
        </w:rPr>
      </w:pPr>
    </w:p>
    <w:p w14:paraId="5348677B" w14:textId="5443BAFE" w:rsidR="00FC4F2B" w:rsidRPr="003669E7" w:rsidRDefault="00FC4F2B" w:rsidP="009E375E">
      <w:pPr>
        <w:pStyle w:val="ExhibitHeading"/>
        <w:keepNext/>
        <w:keepLines/>
        <w:rPr>
          <w:lang w:val="en-GB"/>
        </w:rPr>
      </w:pPr>
      <w:r w:rsidRPr="003669E7">
        <w:rPr>
          <w:lang w:val="en-GB"/>
        </w:rPr>
        <w:lastRenderedPageBreak/>
        <w:t>Exhibit</w:t>
      </w:r>
      <w:r w:rsidR="009C72CB">
        <w:rPr>
          <w:lang w:val="en-GB"/>
        </w:rPr>
        <w:t xml:space="preserve"> </w:t>
      </w:r>
      <w:r w:rsidR="00C42208" w:rsidRPr="003669E7">
        <w:rPr>
          <w:lang w:val="en-GB"/>
        </w:rPr>
        <w:t>5</w:t>
      </w:r>
      <w:r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Equivalent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Models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Brand</w:t>
      </w:r>
    </w:p>
    <w:p w14:paraId="1BB6B9AB" w14:textId="77777777" w:rsidR="00FC4F2B" w:rsidRPr="003669E7" w:rsidRDefault="00FC4F2B" w:rsidP="009E375E">
      <w:pPr>
        <w:keepNext/>
        <w:keepLines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907"/>
        <w:gridCol w:w="583"/>
        <w:gridCol w:w="806"/>
        <w:gridCol w:w="806"/>
        <w:gridCol w:w="806"/>
        <w:gridCol w:w="950"/>
      </w:tblGrid>
      <w:tr w:rsidR="00FC4F2B" w:rsidRPr="003669E7" w14:paraId="780EA752" w14:textId="77777777" w:rsidTr="009C72CB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FDA2BF" w14:textId="7C498501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Equivalent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Models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C595A1E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Country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E31DD8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FCC55B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HJ170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2BFE76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HJ250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4BCDDCDE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HJ261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14:paraId="339F0EFC" w14:textId="77777777" w:rsidR="00FC4F2B" w:rsidRPr="009E375E" w:rsidRDefault="00FC4F2B">
            <w:pPr>
              <w:keepNext/>
              <w:keepLines/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HJ500C</w:t>
            </w:r>
          </w:p>
        </w:tc>
      </w:tr>
      <w:tr w:rsidR="00FC4F2B" w:rsidRPr="003669E7" w14:paraId="59B85864" w14:textId="77777777" w:rsidTr="009C72CB">
        <w:tc>
          <w:tcPr>
            <w:tcW w:w="0" w:type="auto"/>
            <w:vAlign w:val="center"/>
          </w:tcPr>
          <w:p w14:paraId="6535E375" w14:textId="78BFFB48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Vermeer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Corporation</w:t>
            </w:r>
          </w:p>
        </w:tc>
        <w:tc>
          <w:tcPr>
            <w:tcW w:w="0" w:type="auto"/>
            <w:vAlign w:val="center"/>
          </w:tcPr>
          <w:p w14:paraId="5F63E448" w14:textId="3C38E151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United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States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(family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owned)</w:t>
            </w:r>
          </w:p>
        </w:tc>
        <w:tc>
          <w:tcPr>
            <w:tcW w:w="0" w:type="auto"/>
          </w:tcPr>
          <w:p w14:paraId="163983C3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37808F01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59FAF7EC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0C05FB6B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5C8AF3D0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2194A90F" w14:textId="77777777" w:rsidTr="009C72CB">
        <w:tc>
          <w:tcPr>
            <w:tcW w:w="0" w:type="auto"/>
            <w:vAlign w:val="center"/>
          </w:tcPr>
          <w:p w14:paraId="1023C867" w14:textId="7D0EDF09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Bandit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Industries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Inc.</w:t>
            </w:r>
          </w:p>
        </w:tc>
        <w:tc>
          <w:tcPr>
            <w:tcW w:w="0" w:type="auto"/>
            <w:vAlign w:val="center"/>
          </w:tcPr>
          <w:p w14:paraId="47CBC340" w14:textId="44581ECD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United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States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6F0E520D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136EBAD4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1A022578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5F6426E3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2034B87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5F162BC7" w14:textId="77777777" w:rsidTr="009C72CB">
        <w:tc>
          <w:tcPr>
            <w:tcW w:w="0" w:type="auto"/>
            <w:vAlign w:val="center"/>
          </w:tcPr>
          <w:p w14:paraId="5F266E67" w14:textId="0AE8A6FF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Eschlböck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Biber</w:t>
            </w:r>
          </w:p>
        </w:tc>
        <w:tc>
          <w:tcPr>
            <w:tcW w:w="0" w:type="auto"/>
            <w:vAlign w:val="center"/>
          </w:tcPr>
          <w:p w14:paraId="606649F8" w14:textId="10B39142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Austria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(family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owned)</w:t>
            </w:r>
          </w:p>
        </w:tc>
        <w:tc>
          <w:tcPr>
            <w:tcW w:w="0" w:type="auto"/>
          </w:tcPr>
          <w:p w14:paraId="4F30A627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18631810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2C9ED4E3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6459CF58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64745CB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</w:tr>
      <w:tr w:rsidR="00FC4F2B" w:rsidRPr="003669E7" w14:paraId="514F8D75" w14:textId="77777777" w:rsidTr="009C72CB">
        <w:tc>
          <w:tcPr>
            <w:tcW w:w="0" w:type="auto"/>
            <w:vAlign w:val="center"/>
          </w:tcPr>
          <w:p w14:paraId="709A53D2" w14:textId="2B456220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GreenMech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Ltd.</w:t>
            </w:r>
          </w:p>
        </w:tc>
        <w:tc>
          <w:tcPr>
            <w:tcW w:w="0" w:type="auto"/>
            <w:vAlign w:val="center"/>
          </w:tcPr>
          <w:p w14:paraId="6B8E9A05" w14:textId="2C7F4F8A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United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Kingdom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58B7A009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17835A9B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25379DE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95" w:type="dxa"/>
          </w:tcPr>
          <w:p w14:paraId="61B1D6EC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39" w:type="dxa"/>
          </w:tcPr>
          <w:p w14:paraId="7E8F0F6C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015F4836" w14:textId="77777777" w:rsidTr="009C72CB">
        <w:tc>
          <w:tcPr>
            <w:tcW w:w="0" w:type="auto"/>
            <w:vAlign w:val="center"/>
          </w:tcPr>
          <w:p w14:paraId="73F298A5" w14:textId="77777777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Jensen</w:t>
            </w:r>
          </w:p>
        </w:tc>
        <w:tc>
          <w:tcPr>
            <w:tcW w:w="0" w:type="auto"/>
            <w:vAlign w:val="center"/>
          </w:tcPr>
          <w:p w14:paraId="3CD6D54C" w14:textId="6D470E13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Germany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18C1990E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56197CC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2AD4140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25119D40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39" w:type="dxa"/>
          </w:tcPr>
          <w:p w14:paraId="2FCA5D05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17B58E02" w14:textId="77777777" w:rsidTr="009C72CB">
        <w:tc>
          <w:tcPr>
            <w:tcW w:w="0" w:type="auto"/>
            <w:vAlign w:val="center"/>
          </w:tcPr>
          <w:p w14:paraId="3F61E65B" w14:textId="0992B3A4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NHS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Maskinfabrik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A/S</w:t>
            </w:r>
          </w:p>
        </w:tc>
        <w:tc>
          <w:tcPr>
            <w:tcW w:w="0" w:type="auto"/>
            <w:vAlign w:val="center"/>
          </w:tcPr>
          <w:p w14:paraId="29CF0761" w14:textId="02683AD1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Denmark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(family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owned)</w:t>
            </w:r>
          </w:p>
        </w:tc>
        <w:tc>
          <w:tcPr>
            <w:tcW w:w="0" w:type="auto"/>
          </w:tcPr>
          <w:p w14:paraId="065ADCC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66D444CF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7860B1D5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30932327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17B862DE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</w:tr>
      <w:tr w:rsidR="00FC4F2B" w:rsidRPr="003669E7" w14:paraId="0252230B" w14:textId="77777777" w:rsidTr="009C72CB">
        <w:tc>
          <w:tcPr>
            <w:tcW w:w="0" w:type="auto"/>
            <w:vAlign w:val="center"/>
          </w:tcPr>
          <w:p w14:paraId="2B158E69" w14:textId="75317464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Nicolas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Industrie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SAS</w:t>
            </w:r>
          </w:p>
        </w:tc>
        <w:tc>
          <w:tcPr>
            <w:tcW w:w="0" w:type="auto"/>
            <w:vAlign w:val="center"/>
          </w:tcPr>
          <w:p w14:paraId="75052802" w14:textId="0BD3BD92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France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61DCDB1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70CD359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0B8E3CA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6AB96EC4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39" w:type="dxa"/>
          </w:tcPr>
          <w:p w14:paraId="66DB337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62163172" w14:textId="77777777" w:rsidTr="009C72CB">
        <w:tc>
          <w:tcPr>
            <w:tcW w:w="0" w:type="auto"/>
            <w:vAlign w:val="center"/>
          </w:tcPr>
          <w:p w14:paraId="24170310" w14:textId="6FA90711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PC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Stål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ApS</w:t>
            </w:r>
          </w:p>
        </w:tc>
        <w:tc>
          <w:tcPr>
            <w:tcW w:w="0" w:type="auto"/>
            <w:vAlign w:val="center"/>
          </w:tcPr>
          <w:p w14:paraId="21DD3AC8" w14:textId="26105A34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Denmark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3F24DD74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045079F8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1E63D5DE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77107704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4DB2DEB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3355D836" w14:textId="77777777" w:rsidTr="009C72CB">
        <w:tc>
          <w:tcPr>
            <w:tcW w:w="0" w:type="auto"/>
            <w:vAlign w:val="center"/>
          </w:tcPr>
          <w:p w14:paraId="0873DA01" w14:textId="1963A27C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Pezzolato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SpA</w:t>
            </w:r>
          </w:p>
        </w:tc>
        <w:tc>
          <w:tcPr>
            <w:tcW w:w="0" w:type="auto"/>
            <w:vAlign w:val="center"/>
          </w:tcPr>
          <w:p w14:paraId="5F7F07F1" w14:textId="2AA7E398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Italy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27608F81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3E6E115E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1F9D244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6A84BB09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010837EB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</w:tr>
      <w:tr w:rsidR="00FC4F2B" w:rsidRPr="003669E7" w14:paraId="49A8E2E9" w14:textId="77777777" w:rsidTr="009C72CB">
        <w:tc>
          <w:tcPr>
            <w:tcW w:w="0" w:type="auto"/>
            <w:vAlign w:val="center"/>
          </w:tcPr>
          <w:p w14:paraId="7F545F0A" w14:textId="77777777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Rabaud</w:t>
            </w:r>
          </w:p>
        </w:tc>
        <w:tc>
          <w:tcPr>
            <w:tcW w:w="0" w:type="auto"/>
            <w:vAlign w:val="center"/>
          </w:tcPr>
          <w:p w14:paraId="62CEFCA7" w14:textId="66CBDD38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France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(family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owned)</w:t>
            </w:r>
          </w:p>
        </w:tc>
        <w:tc>
          <w:tcPr>
            <w:tcW w:w="0" w:type="auto"/>
          </w:tcPr>
          <w:p w14:paraId="39BF7832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0172F4B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32233FE4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0D56C9C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55877BE5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27D96EF2" w14:textId="77777777" w:rsidTr="009C72CB">
        <w:tc>
          <w:tcPr>
            <w:tcW w:w="0" w:type="auto"/>
            <w:vAlign w:val="center"/>
          </w:tcPr>
          <w:p w14:paraId="6F15D737" w14:textId="35A8D731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Linddanna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TP</w:t>
            </w:r>
          </w:p>
        </w:tc>
        <w:tc>
          <w:tcPr>
            <w:tcW w:w="0" w:type="auto"/>
            <w:vAlign w:val="center"/>
          </w:tcPr>
          <w:p w14:paraId="33EE3944" w14:textId="44E8FB3C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Denmark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(public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limited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company)</w:t>
            </w:r>
          </w:p>
        </w:tc>
        <w:tc>
          <w:tcPr>
            <w:tcW w:w="0" w:type="auto"/>
          </w:tcPr>
          <w:p w14:paraId="5517A8E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07B7F03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3687A508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0CD2F415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13EA8ABF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</w:tr>
      <w:tr w:rsidR="00FC4F2B" w:rsidRPr="003669E7" w14:paraId="5791D162" w14:textId="77777777" w:rsidTr="009C72CB">
        <w:tc>
          <w:tcPr>
            <w:tcW w:w="0" w:type="auto"/>
            <w:vAlign w:val="center"/>
          </w:tcPr>
          <w:p w14:paraId="5B81FE2C" w14:textId="11D885C7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Vandaele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Konstruktie</w:t>
            </w:r>
          </w:p>
        </w:tc>
        <w:tc>
          <w:tcPr>
            <w:tcW w:w="0" w:type="auto"/>
            <w:vAlign w:val="center"/>
          </w:tcPr>
          <w:p w14:paraId="2500CA08" w14:textId="6A632DC2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Belgium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2A536BE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5D5F2BF9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2726CBFF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166CB5A1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939" w:type="dxa"/>
          </w:tcPr>
          <w:p w14:paraId="6380999C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C4F2B" w:rsidRPr="003669E7" w14:paraId="6A723EC1" w14:textId="77777777" w:rsidTr="009C72CB">
        <w:tc>
          <w:tcPr>
            <w:tcW w:w="0" w:type="auto"/>
            <w:vAlign w:val="center"/>
          </w:tcPr>
          <w:p w14:paraId="101A8308" w14:textId="782D2D43" w:rsidR="00FC4F2B" w:rsidRPr="003669E7" w:rsidRDefault="00FC4F2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EMB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="003F6152" w:rsidRPr="003669E7">
              <w:rPr>
                <w:rFonts w:ascii="Arial" w:hAnsi="Arial" w:cs="Arial"/>
                <w:lang w:val="en-GB"/>
              </w:rPr>
              <w:t>Mfg.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Inc.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(Wallenstein)</w:t>
            </w:r>
          </w:p>
        </w:tc>
        <w:tc>
          <w:tcPr>
            <w:tcW w:w="0" w:type="auto"/>
            <w:vAlign w:val="center"/>
          </w:tcPr>
          <w:p w14:paraId="642188FE" w14:textId="28BDCB06" w:rsidR="00FC4F2B" w:rsidRPr="003669E7" w:rsidRDefault="00FC4F2B" w:rsidP="009C72CB">
            <w:pPr>
              <w:keepNext/>
              <w:keepLines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Canada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(privately</w:t>
            </w:r>
            <w:r w:rsidR="009C72CB">
              <w:rPr>
                <w:rFonts w:ascii="Arial" w:hAnsi="Arial" w:cs="Arial"/>
                <w:lang w:val="en-GB"/>
              </w:rPr>
              <w:t xml:space="preserve"> </w:t>
            </w:r>
            <w:r w:rsidRPr="003669E7">
              <w:rPr>
                <w:rFonts w:ascii="Arial" w:hAnsi="Arial" w:cs="Arial"/>
                <w:lang w:val="en-GB"/>
              </w:rPr>
              <w:t>held)</w:t>
            </w:r>
          </w:p>
        </w:tc>
        <w:tc>
          <w:tcPr>
            <w:tcW w:w="0" w:type="auto"/>
          </w:tcPr>
          <w:p w14:paraId="7591763A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</w:tcPr>
          <w:p w14:paraId="687175DF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0" w:type="auto"/>
          </w:tcPr>
          <w:p w14:paraId="63C3CDF1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795" w:type="dxa"/>
          </w:tcPr>
          <w:p w14:paraId="69C07FE6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39" w:type="dxa"/>
          </w:tcPr>
          <w:p w14:paraId="18F7833B" w14:textId="77777777" w:rsidR="00FC4F2B" w:rsidRPr="003669E7" w:rsidRDefault="00FC4F2B" w:rsidP="009E375E">
            <w:pPr>
              <w:keepNext/>
              <w:keepLines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3BDE6787" w14:textId="77777777" w:rsidR="00FC4F2B" w:rsidRPr="003669E7" w:rsidRDefault="00FC4F2B" w:rsidP="009E375E">
      <w:pPr>
        <w:pStyle w:val="Footnote"/>
        <w:keepNext/>
        <w:keepLines/>
        <w:rPr>
          <w:lang w:val="en-GB"/>
        </w:rPr>
      </w:pPr>
    </w:p>
    <w:p w14:paraId="5E3671B8" w14:textId="7537BD67" w:rsidR="00FC4F2B" w:rsidRPr="003669E7" w:rsidRDefault="00FC4F2B" w:rsidP="009E375E">
      <w:pPr>
        <w:pStyle w:val="Footnote"/>
        <w:keepNext/>
        <w:keepLines/>
        <w:rPr>
          <w:lang w:val="en-GB"/>
        </w:rPr>
      </w:pPr>
      <w:r w:rsidRPr="003669E7">
        <w:rPr>
          <w:lang w:val="en-GB"/>
        </w:rPr>
        <w:t>Source: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documents.</w:t>
      </w:r>
    </w:p>
    <w:p w14:paraId="69B58B37" w14:textId="77777777" w:rsidR="00FC4F2B" w:rsidRPr="003669E7" w:rsidRDefault="00FC4F2B" w:rsidP="00FC4F2B">
      <w:pPr>
        <w:jc w:val="both"/>
        <w:rPr>
          <w:lang w:val="en-GB"/>
        </w:rPr>
      </w:pPr>
    </w:p>
    <w:p w14:paraId="74AAA1FB" w14:textId="77777777" w:rsidR="00FC4F2B" w:rsidRPr="003669E7" w:rsidRDefault="00FC4F2B" w:rsidP="00FC4F2B">
      <w:pPr>
        <w:rPr>
          <w:lang w:val="en-GB"/>
        </w:rPr>
      </w:pPr>
    </w:p>
    <w:p w14:paraId="511514B1" w14:textId="2A217331" w:rsidR="00FC4F2B" w:rsidRPr="003669E7" w:rsidRDefault="00FC4F2B" w:rsidP="00295829">
      <w:pPr>
        <w:pStyle w:val="ExhibitHeading"/>
        <w:rPr>
          <w:lang w:val="en-GB"/>
        </w:rPr>
      </w:pPr>
      <w:r w:rsidRPr="003669E7">
        <w:rPr>
          <w:lang w:val="en-GB"/>
        </w:rPr>
        <w:t>Exhibit</w:t>
      </w:r>
      <w:r w:rsidR="009C72CB">
        <w:rPr>
          <w:lang w:val="en-GB"/>
        </w:rPr>
        <w:t xml:space="preserve"> </w:t>
      </w:r>
      <w:r w:rsidR="00E32492" w:rsidRPr="003669E7">
        <w:rPr>
          <w:lang w:val="en-GB"/>
        </w:rPr>
        <w:t>6</w:t>
      </w:r>
      <w:r w:rsidRPr="003669E7">
        <w:rPr>
          <w:lang w:val="en-GB"/>
        </w:rPr>
        <w:t>:</w:t>
      </w:r>
      <w:r w:rsidR="009C72CB">
        <w:rPr>
          <w:lang w:val="en-GB"/>
        </w:rPr>
        <w:t xml:space="preserve"> </w:t>
      </w:r>
      <w:r w:rsidR="009A267D" w:rsidRPr="003669E7">
        <w:rPr>
          <w:lang w:val="en-GB"/>
        </w:rPr>
        <w:t>Wood</w:t>
      </w:r>
      <w:r w:rsidR="009A267D">
        <w:rPr>
          <w:lang w:val="en-GB"/>
        </w:rPr>
        <w:t>-</w:t>
      </w:r>
      <w:r w:rsidRPr="003669E7">
        <w:rPr>
          <w:lang w:val="en-GB"/>
        </w:rPr>
        <w:t>Chipper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Sales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Region</w:t>
      </w:r>
    </w:p>
    <w:p w14:paraId="30C7A38B" w14:textId="77777777" w:rsidR="00FC4F2B" w:rsidRPr="003669E7" w:rsidRDefault="00FC4F2B" w:rsidP="00FC4F2B">
      <w:pPr>
        <w:rPr>
          <w:lang w:val="en-GB"/>
        </w:rPr>
      </w:pPr>
    </w:p>
    <w:tbl>
      <w:tblPr>
        <w:tblStyle w:val="TableGrid"/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791"/>
        <w:gridCol w:w="1625"/>
        <w:gridCol w:w="1984"/>
        <w:gridCol w:w="996"/>
        <w:gridCol w:w="838"/>
        <w:gridCol w:w="991"/>
        <w:gridCol w:w="865"/>
      </w:tblGrid>
      <w:tr w:rsidR="00FC4F2B" w:rsidRPr="003669E7" w14:paraId="001A8A99" w14:textId="77777777" w:rsidTr="009C72CB">
        <w:trPr>
          <w:trHeight w:val="300"/>
          <w:jc w:val="center"/>
        </w:trPr>
        <w:tc>
          <w:tcPr>
            <w:tcW w:w="1791" w:type="dxa"/>
            <w:shd w:val="clear" w:color="auto" w:fill="F2F2F2" w:themeFill="background1" w:themeFillShade="F2"/>
            <w:noWrap/>
            <w:vAlign w:val="center"/>
            <w:hideMark/>
          </w:tcPr>
          <w:p w14:paraId="75D9CBC8" w14:textId="3316882F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Sales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by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="003F6152" w:rsidRPr="009E375E">
              <w:rPr>
                <w:rFonts w:ascii="Arial" w:hAnsi="Arial" w:cs="Arial"/>
                <w:b/>
                <w:lang w:val="en-GB"/>
              </w:rPr>
              <w:t>Year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by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="003F6152" w:rsidRPr="009E375E">
              <w:rPr>
                <w:rFonts w:ascii="Arial" w:hAnsi="Arial" w:cs="Arial"/>
                <w:b/>
                <w:lang w:val="en-GB"/>
              </w:rPr>
              <w:t>Region</w:t>
            </w:r>
          </w:p>
        </w:tc>
        <w:tc>
          <w:tcPr>
            <w:tcW w:w="1625" w:type="dxa"/>
            <w:shd w:val="clear" w:color="auto" w:fill="F2F2F2" w:themeFill="background1" w:themeFillShade="F2"/>
            <w:noWrap/>
            <w:vAlign w:val="center"/>
            <w:hideMark/>
          </w:tcPr>
          <w:p w14:paraId="3F6BB204" w14:textId="6782F5B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EU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Countries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(19)</w:t>
            </w:r>
            <w:r w:rsidRPr="009E375E">
              <w:rPr>
                <w:rFonts w:ascii="Arial" w:hAnsi="Arial" w:cs="Arial"/>
                <w:b/>
                <w:vertAlign w:val="superscript"/>
                <w:lang w:val="en-GB"/>
              </w:rPr>
              <w:t>1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center"/>
            <w:hideMark/>
          </w:tcPr>
          <w:p w14:paraId="21990EC2" w14:textId="058B24C0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Non-EU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Countries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(7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countries)</w:t>
            </w:r>
            <w:r w:rsidRPr="009E375E">
              <w:rPr>
                <w:rFonts w:ascii="Arial" w:hAnsi="Arial" w:cs="Arial"/>
                <w:b/>
                <w:vertAlign w:val="superscript"/>
                <w:lang w:val="en-GB"/>
              </w:rPr>
              <w:t>2</w:t>
            </w:r>
          </w:p>
        </w:tc>
        <w:tc>
          <w:tcPr>
            <w:tcW w:w="996" w:type="dxa"/>
            <w:shd w:val="clear" w:color="auto" w:fill="F2F2F2" w:themeFill="background1" w:themeFillShade="F2"/>
            <w:noWrap/>
            <w:vAlign w:val="center"/>
            <w:hideMark/>
          </w:tcPr>
          <w:p w14:paraId="07D7F103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Russia</w:t>
            </w:r>
          </w:p>
        </w:tc>
        <w:tc>
          <w:tcPr>
            <w:tcW w:w="838" w:type="dxa"/>
            <w:shd w:val="clear" w:color="auto" w:fill="F2F2F2" w:themeFill="background1" w:themeFillShade="F2"/>
            <w:noWrap/>
            <w:vAlign w:val="center"/>
            <w:hideMark/>
          </w:tcPr>
          <w:p w14:paraId="0245ACFA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Japan</w:t>
            </w:r>
          </w:p>
        </w:tc>
        <w:tc>
          <w:tcPr>
            <w:tcW w:w="991" w:type="dxa"/>
            <w:shd w:val="clear" w:color="auto" w:fill="F2F2F2" w:themeFill="background1" w:themeFillShade="F2"/>
            <w:noWrap/>
            <w:vAlign w:val="center"/>
            <w:hideMark/>
          </w:tcPr>
          <w:p w14:paraId="46099EBA" w14:textId="77777777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Canada</w:t>
            </w:r>
          </w:p>
        </w:tc>
        <w:tc>
          <w:tcPr>
            <w:tcW w:w="865" w:type="dxa"/>
            <w:shd w:val="clear" w:color="auto" w:fill="F2F2F2" w:themeFill="background1" w:themeFillShade="F2"/>
            <w:noWrap/>
            <w:vAlign w:val="center"/>
            <w:hideMark/>
          </w:tcPr>
          <w:p w14:paraId="7A1B3058" w14:textId="12FAE435" w:rsidR="00FC4F2B" w:rsidRPr="009E375E" w:rsidRDefault="00FC4F2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E375E">
              <w:rPr>
                <w:rFonts w:ascii="Arial" w:hAnsi="Arial" w:cs="Arial"/>
                <w:b/>
                <w:lang w:val="en-GB"/>
              </w:rPr>
              <w:t>South</w:t>
            </w:r>
            <w:r w:rsidR="009C72CB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9E375E">
              <w:rPr>
                <w:rFonts w:ascii="Arial" w:hAnsi="Arial" w:cs="Arial"/>
                <w:b/>
                <w:lang w:val="en-GB"/>
              </w:rPr>
              <w:t>Africa</w:t>
            </w:r>
          </w:p>
        </w:tc>
      </w:tr>
      <w:tr w:rsidR="00FC4F2B" w:rsidRPr="003669E7" w14:paraId="1B54EA9A" w14:textId="77777777" w:rsidTr="009C72CB">
        <w:trPr>
          <w:trHeight w:val="300"/>
          <w:jc w:val="center"/>
        </w:trPr>
        <w:tc>
          <w:tcPr>
            <w:tcW w:w="1791" w:type="dxa"/>
            <w:noWrap/>
            <w:vAlign w:val="center"/>
            <w:hideMark/>
          </w:tcPr>
          <w:p w14:paraId="1543AEFB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2016</w:t>
            </w:r>
          </w:p>
        </w:tc>
        <w:tc>
          <w:tcPr>
            <w:tcW w:w="1625" w:type="dxa"/>
            <w:noWrap/>
            <w:vAlign w:val="center"/>
            <w:hideMark/>
          </w:tcPr>
          <w:p w14:paraId="609C8AC8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102</w:t>
            </w:r>
          </w:p>
        </w:tc>
        <w:tc>
          <w:tcPr>
            <w:tcW w:w="1984" w:type="dxa"/>
            <w:noWrap/>
            <w:vAlign w:val="center"/>
            <w:hideMark/>
          </w:tcPr>
          <w:p w14:paraId="7084FA51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98</w:t>
            </w:r>
          </w:p>
        </w:tc>
        <w:tc>
          <w:tcPr>
            <w:tcW w:w="996" w:type="dxa"/>
            <w:noWrap/>
            <w:vAlign w:val="center"/>
            <w:hideMark/>
          </w:tcPr>
          <w:p w14:paraId="3883FBC6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838" w:type="dxa"/>
            <w:noWrap/>
            <w:vAlign w:val="center"/>
            <w:hideMark/>
          </w:tcPr>
          <w:p w14:paraId="3A5EA8A2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991" w:type="dxa"/>
            <w:noWrap/>
            <w:vAlign w:val="center"/>
            <w:hideMark/>
          </w:tcPr>
          <w:p w14:paraId="5C781030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865" w:type="dxa"/>
            <w:noWrap/>
            <w:vAlign w:val="center"/>
            <w:hideMark/>
          </w:tcPr>
          <w:p w14:paraId="0511EA44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14</w:t>
            </w:r>
          </w:p>
        </w:tc>
      </w:tr>
      <w:tr w:rsidR="00FC4F2B" w:rsidRPr="003669E7" w14:paraId="760D4D7F" w14:textId="77777777" w:rsidTr="009C72CB">
        <w:trPr>
          <w:trHeight w:val="300"/>
          <w:jc w:val="center"/>
        </w:trPr>
        <w:tc>
          <w:tcPr>
            <w:tcW w:w="1791" w:type="dxa"/>
            <w:noWrap/>
            <w:vAlign w:val="center"/>
            <w:hideMark/>
          </w:tcPr>
          <w:p w14:paraId="23B8DCC1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2015</w:t>
            </w:r>
          </w:p>
        </w:tc>
        <w:tc>
          <w:tcPr>
            <w:tcW w:w="1625" w:type="dxa"/>
            <w:noWrap/>
            <w:vAlign w:val="center"/>
            <w:hideMark/>
          </w:tcPr>
          <w:p w14:paraId="05F9A48B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174</w:t>
            </w:r>
          </w:p>
        </w:tc>
        <w:tc>
          <w:tcPr>
            <w:tcW w:w="1984" w:type="dxa"/>
            <w:noWrap/>
            <w:vAlign w:val="center"/>
            <w:hideMark/>
          </w:tcPr>
          <w:p w14:paraId="552A2676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78</w:t>
            </w:r>
          </w:p>
        </w:tc>
        <w:tc>
          <w:tcPr>
            <w:tcW w:w="996" w:type="dxa"/>
            <w:noWrap/>
            <w:vAlign w:val="center"/>
            <w:hideMark/>
          </w:tcPr>
          <w:p w14:paraId="4D125F06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838" w:type="dxa"/>
            <w:noWrap/>
            <w:vAlign w:val="center"/>
            <w:hideMark/>
          </w:tcPr>
          <w:p w14:paraId="54D44112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991" w:type="dxa"/>
            <w:noWrap/>
            <w:vAlign w:val="center"/>
            <w:hideMark/>
          </w:tcPr>
          <w:p w14:paraId="6DD12BD9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865" w:type="dxa"/>
            <w:noWrap/>
            <w:vAlign w:val="center"/>
            <w:hideMark/>
          </w:tcPr>
          <w:p w14:paraId="0C8C1BA5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31</w:t>
            </w:r>
          </w:p>
        </w:tc>
      </w:tr>
      <w:tr w:rsidR="00FC4F2B" w:rsidRPr="003669E7" w14:paraId="3ED778D7" w14:textId="77777777" w:rsidTr="009C72CB">
        <w:trPr>
          <w:trHeight w:val="300"/>
          <w:jc w:val="center"/>
        </w:trPr>
        <w:tc>
          <w:tcPr>
            <w:tcW w:w="1791" w:type="dxa"/>
            <w:noWrap/>
            <w:vAlign w:val="center"/>
            <w:hideMark/>
          </w:tcPr>
          <w:p w14:paraId="7763090E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2014</w:t>
            </w:r>
          </w:p>
        </w:tc>
        <w:tc>
          <w:tcPr>
            <w:tcW w:w="1625" w:type="dxa"/>
            <w:noWrap/>
            <w:vAlign w:val="center"/>
            <w:hideMark/>
          </w:tcPr>
          <w:p w14:paraId="2D5F4B1C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122</w:t>
            </w:r>
          </w:p>
        </w:tc>
        <w:tc>
          <w:tcPr>
            <w:tcW w:w="1984" w:type="dxa"/>
            <w:noWrap/>
            <w:vAlign w:val="center"/>
            <w:hideMark/>
          </w:tcPr>
          <w:p w14:paraId="3BD12FBD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62</w:t>
            </w:r>
          </w:p>
        </w:tc>
        <w:tc>
          <w:tcPr>
            <w:tcW w:w="996" w:type="dxa"/>
            <w:noWrap/>
            <w:vAlign w:val="center"/>
            <w:hideMark/>
          </w:tcPr>
          <w:p w14:paraId="632132D6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838" w:type="dxa"/>
            <w:noWrap/>
            <w:vAlign w:val="center"/>
            <w:hideMark/>
          </w:tcPr>
          <w:p w14:paraId="0BA81908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991" w:type="dxa"/>
            <w:noWrap/>
            <w:vAlign w:val="center"/>
            <w:hideMark/>
          </w:tcPr>
          <w:p w14:paraId="4AD500DA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865" w:type="dxa"/>
            <w:noWrap/>
            <w:vAlign w:val="center"/>
            <w:hideMark/>
          </w:tcPr>
          <w:p w14:paraId="688E86D5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17</w:t>
            </w:r>
          </w:p>
        </w:tc>
      </w:tr>
      <w:tr w:rsidR="00FC4F2B" w:rsidRPr="003669E7" w14:paraId="3D09795A" w14:textId="77777777" w:rsidTr="009C72CB">
        <w:trPr>
          <w:trHeight w:val="300"/>
          <w:jc w:val="center"/>
        </w:trPr>
        <w:tc>
          <w:tcPr>
            <w:tcW w:w="1791" w:type="dxa"/>
            <w:noWrap/>
            <w:vAlign w:val="center"/>
            <w:hideMark/>
          </w:tcPr>
          <w:p w14:paraId="6B439350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2013</w:t>
            </w:r>
          </w:p>
        </w:tc>
        <w:tc>
          <w:tcPr>
            <w:tcW w:w="1625" w:type="dxa"/>
            <w:noWrap/>
            <w:vAlign w:val="center"/>
            <w:hideMark/>
          </w:tcPr>
          <w:p w14:paraId="1A7761A5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145</w:t>
            </w:r>
          </w:p>
        </w:tc>
        <w:tc>
          <w:tcPr>
            <w:tcW w:w="1984" w:type="dxa"/>
            <w:noWrap/>
            <w:vAlign w:val="center"/>
            <w:hideMark/>
          </w:tcPr>
          <w:p w14:paraId="70E9BAE6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57</w:t>
            </w:r>
          </w:p>
        </w:tc>
        <w:tc>
          <w:tcPr>
            <w:tcW w:w="996" w:type="dxa"/>
            <w:noWrap/>
            <w:vAlign w:val="center"/>
            <w:hideMark/>
          </w:tcPr>
          <w:p w14:paraId="51B40017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838" w:type="dxa"/>
            <w:noWrap/>
            <w:vAlign w:val="center"/>
            <w:hideMark/>
          </w:tcPr>
          <w:p w14:paraId="017459FC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991" w:type="dxa"/>
            <w:noWrap/>
            <w:vAlign w:val="center"/>
            <w:hideMark/>
          </w:tcPr>
          <w:p w14:paraId="67ACD40A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865" w:type="dxa"/>
            <w:noWrap/>
            <w:vAlign w:val="center"/>
            <w:hideMark/>
          </w:tcPr>
          <w:p w14:paraId="6C4F6603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5</w:t>
            </w:r>
          </w:p>
        </w:tc>
      </w:tr>
      <w:tr w:rsidR="00FC4F2B" w:rsidRPr="003669E7" w14:paraId="12C7E2F3" w14:textId="77777777" w:rsidTr="009C72CB">
        <w:trPr>
          <w:trHeight w:val="300"/>
          <w:jc w:val="center"/>
        </w:trPr>
        <w:tc>
          <w:tcPr>
            <w:tcW w:w="1791" w:type="dxa"/>
            <w:noWrap/>
            <w:vAlign w:val="center"/>
            <w:hideMark/>
          </w:tcPr>
          <w:p w14:paraId="2F8139B4" w14:textId="77777777" w:rsidR="00FC4F2B" w:rsidRPr="003669E7" w:rsidRDefault="00FC4F2B">
            <w:pPr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2012</w:t>
            </w:r>
          </w:p>
        </w:tc>
        <w:tc>
          <w:tcPr>
            <w:tcW w:w="1625" w:type="dxa"/>
            <w:noWrap/>
            <w:vAlign w:val="center"/>
            <w:hideMark/>
          </w:tcPr>
          <w:p w14:paraId="0B8F7739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171</w:t>
            </w:r>
          </w:p>
        </w:tc>
        <w:tc>
          <w:tcPr>
            <w:tcW w:w="1984" w:type="dxa"/>
            <w:noWrap/>
            <w:vAlign w:val="center"/>
            <w:hideMark/>
          </w:tcPr>
          <w:p w14:paraId="19DD8E77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39</w:t>
            </w:r>
          </w:p>
        </w:tc>
        <w:tc>
          <w:tcPr>
            <w:tcW w:w="996" w:type="dxa"/>
            <w:noWrap/>
            <w:vAlign w:val="center"/>
            <w:hideMark/>
          </w:tcPr>
          <w:p w14:paraId="63AF2D04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838" w:type="dxa"/>
            <w:noWrap/>
            <w:vAlign w:val="center"/>
            <w:hideMark/>
          </w:tcPr>
          <w:p w14:paraId="525EDEB9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991" w:type="dxa"/>
            <w:noWrap/>
            <w:vAlign w:val="center"/>
            <w:hideMark/>
          </w:tcPr>
          <w:p w14:paraId="1C934B1B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865" w:type="dxa"/>
            <w:noWrap/>
            <w:vAlign w:val="center"/>
            <w:hideMark/>
          </w:tcPr>
          <w:p w14:paraId="59B513DD" w14:textId="77777777" w:rsidR="00FC4F2B" w:rsidRPr="003669E7" w:rsidRDefault="00FC4F2B" w:rsidP="00455EC9">
            <w:pPr>
              <w:ind w:right="163"/>
              <w:jc w:val="right"/>
              <w:rPr>
                <w:rFonts w:ascii="Arial" w:hAnsi="Arial" w:cs="Arial"/>
                <w:lang w:val="en-GB"/>
              </w:rPr>
            </w:pPr>
            <w:r w:rsidRPr="003669E7">
              <w:rPr>
                <w:rFonts w:ascii="Arial" w:hAnsi="Arial" w:cs="Arial"/>
                <w:lang w:val="en-GB"/>
              </w:rPr>
              <w:t>18</w:t>
            </w:r>
          </w:p>
        </w:tc>
      </w:tr>
    </w:tbl>
    <w:p w14:paraId="195A39B4" w14:textId="77777777" w:rsidR="00FC4F2B" w:rsidRPr="003669E7" w:rsidRDefault="00FC4F2B" w:rsidP="00FC4F2B">
      <w:pPr>
        <w:rPr>
          <w:lang w:val="en-GB"/>
        </w:rPr>
      </w:pPr>
    </w:p>
    <w:p w14:paraId="26523FA5" w14:textId="64F33CBB" w:rsidR="00FC4F2B" w:rsidRPr="003669E7" w:rsidRDefault="003F6152" w:rsidP="00295829">
      <w:pPr>
        <w:pStyle w:val="Footnote"/>
        <w:rPr>
          <w:lang w:val="en-GB"/>
        </w:rPr>
      </w:pPr>
      <w:r w:rsidRPr="003669E7">
        <w:rPr>
          <w:lang w:val="en-GB"/>
        </w:rPr>
        <w:t>Notes: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EU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=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European</w:t>
      </w:r>
      <w:r w:rsidR="009C72CB">
        <w:rPr>
          <w:lang w:val="en-GB"/>
        </w:rPr>
        <w:t xml:space="preserve"> </w:t>
      </w:r>
      <w:r w:rsidR="005D3123">
        <w:rPr>
          <w:lang w:val="en-GB"/>
        </w:rPr>
        <w:t>Union;</w:t>
      </w:r>
      <w:r w:rsidR="009C72CB">
        <w:rPr>
          <w:lang w:val="en-GB"/>
        </w:rPr>
        <w:t xml:space="preserve"> </w:t>
      </w:r>
      <w:r w:rsidR="00FC4F2B" w:rsidRPr="003669E7">
        <w:rPr>
          <w:vertAlign w:val="superscript"/>
          <w:lang w:val="en-GB"/>
        </w:rPr>
        <w:t>1</w:t>
      </w:r>
      <w:r w:rsidR="009C72CB">
        <w:rPr>
          <w:vertAlign w:val="superscript"/>
          <w:lang w:val="en-GB"/>
        </w:rPr>
        <w:t xml:space="preserve"> </w:t>
      </w:r>
      <w:r w:rsidR="00FC4F2B" w:rsidRPr="003669E7">
        <w:rPr>
          <w:lang w:val="en-GB"/>
        </w:rPr>
        <w:t>EU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Countries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=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Austria,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Bulgaria,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Czech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Republic,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Denmark,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Estonia,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France,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Germany,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Great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Britain,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Latvia,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Lithuania,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Netherlands,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Poland,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Portugal,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Greece,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Hungary,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Italy,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Slovakia,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Slovenia,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Spain</w:t>
      </w:r>
      <w:r w:rsidRPr="003669E7">
        <w:rPr>
          <w:lang w:val="en-GB"/>
        </w:rPr>
        <w:t>;</w:t>
      </w:r>
      <w:r w:rsidR="009C72CB">
        <w:rPr>
          <w:lang w:val="en-GB"/>
        </w:rPr>
        <w:t xml:space="preserve"> </w:t>
      </w:r>
      <w:r w:rsidR="00FC4F2B" w:rsidRPr="003669E7">
        <w:rPr>
          <w:vertAlign w:val="superscript"/>
          <w:lang w:val="en-GB"/>
        </w:rPr>
        <w:t>2</w:t>
      </w:r>
      <w:r w:rsidR="009C72CB">
        <w:rPr>
          <w:vertAlign w:val="superscript"/>
          <w:lang w:val="en-GB"/>
        </w:rPr>
        <w:t xml:space="preserve"> </w:t>
      </w:r>
      <w:r w:rsidR="00FC4F2B" w:rsidRPr="003669E7">
        <w:rPr>
          <w:lang w:val="en-GB"/>
        </w:rPr>
        <w:t>Non-EU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Countries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=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Iceland,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Switzerland,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Turkey</w:t>
      </w:r>
      <w:r w:rsidR="00FC4F2B"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Ukraine,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Belarus,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Norway,</w:t>
      </w:r>
      <w:r w:rsidR="009C72CB">
        <w:rPr>
          <w:lang w:val="en-GB"/>
        </w:rPr>
        <w:t xml:space="preserve"> </w:t>
      </w:r>
      <w:r w:rsidR="00FC4F2B" w:rsidRPr="003669E7">
        <w:rPr>
          <w:lang w:val="en-GB"/>
        </w:rPr>
        <w:t>Sweden</w:t>
      </w:r>
      <w:r w:rsidRPr="003669E7">
        <w:rPr>
          <w:lang w:val="en-GB"/>
        </w:rPr>
        <w:t>.</w:t>
      </w:r>
    </w:p>
    <w:p w14:paraId="3C6059DC" w14:textId="7E91DC6E" w:rsidR="00FC4F2B" w:rsidRPr="003669E7" w:rsidRDefault="00FC4F2B">
      <w:pPr>
        <w:pStyle w:val="Footnote"/>
        <w:rPr>
          <w:lang w:val="en-GB"/>
        </w:rPr>
      </w:pPr>
      <w:r w:rsidRPr="003669E7">
        <w:rPr>
          <w:lang w:val="en-GB"/>
        </w:rPr>
        <w:t>Source: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Company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documents.</w:t>
      </w:r>
    </w:p>
    <w:p w14:paraId="601AAC67" w14:textId="77777777" w:rsidR="00FC4F2B" w:rsidRPr="003669E7" w:rsidRDefault="00FC4F2B" w:rsidP="009E375E">
      <w:pPr>
        <w:pStyle w:val="StyleCopyrightStatementAfter0ptBottomSinglesolidline1"/>
        <w:pBdr>
          <w:top w:val="none" w:sz="0" w:space="0" w:color="auto"/>
        </w:pBdr>
        <w:rPr>
          <w:rFonts w:ascii="Times New Roman" w:hAnsi="Times New Roman"/>
          <w:sz w:val="20"/>
          <w:lang w:val="en-GB"/>
        </w:rPr>
      </w:pPr>
    </w:p>
    <w:sectPr w:rsidR="00FC4F2B" w:rsidRPr="003669E7" w:rsidSect="00751E0B">
      <w:headerReference w:type="default" r:id="rId14"/>
      <w:headerReference w:type="first" r:id="rId15"/>
      <w:pgSz w:w="12240" w:h="15840" w:code="1"/>
      <w:pgMar w:top="1080" w:right="1440" w:bottom="1440" w:left="1440" w:header="108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925A6" w16cid:durableId="1F3FDC56"/>
  <w16cid:commentId w16cid:paraId="21D34148" w16cid:durableId="1F3CF6D6"/>
  <w16cid:commentId w16cid:paraId="3A528939" w16cid:durableId="1F3D149F"/>
  <w16cid:commentId w16cid:paraId="3E0A9AFD" w16cid:durableId="1F3FD81F"/>
  <w16cid:commentId w16cid:paraId="38F90668" w16cid:durableId="1F3F63D6"/>
  <w16cid:commentId w16cid:paraId="4273D7D6" w16cid:durableId="1F3FD98F"/>
  <w16cid:commentId w16cid:paraId="580A3C23" w16cid:durableId="1F3FD9A4"/>
  <w16cid:commentId w16cid:paraId="07065765" w16cid:durableId="1F3F64EC"/>
  <w16cid:commentId w16cid:paraId="2F50D32C" w16cid:durableId="1F3F6E61"/>
  <w16cid:commentId w16cid:paraId="1DE766F2" w16cid:durableId="1F3F77D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8E7D3" w14:textId="77777777" w:rsidR="00B20F99" w:rsidRDefault="00B20F99" w:rsidP="00D75295">
      <w:r>
        <w:separator/>
      </w:r>
    </w:p>
  </w:endnote>
  <w:endnote w:type="continuationSeparator" w:id="0">
    <w:p w14:paraId="20F57497" w14:textId="77777777" w:rsidR="00B20F99" w:rsidRDefault="00B20F99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185B7" w14:textId="2D40BA66" w:rsidR="00770726" w:rsidRDefault="00770726" w:rsidP="00295829">
    <w:pPr>
      <w:pStyle w:val="Footer"/>
      <w:jc w:val="center"/>
    </w:pPr>
  </w:p>
  <w:p w14:paraId="3CF3881C" w14:textId="77777777" w:rsidR="00770726" w:rsidRDefault="00770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7BA43" w14:textId="77777777" w:rsidR="00B20F99" w:rsidRDefault="00B20F99" w:rsidP="00D75295">
      <w:r>
        <w:separator/>
      </w:r>
    </w:p>
  </w:footnote>
  <w:footnote w:type="continuationSeparator" w:id="0">
    <w:p w14:paraId="53B40A7F" w14:textId="77777777" w:rsidR="00B20F99" w:rsidRDefault="00B20F99" w:rsidP="00D75295">
      <w:r>
        <w:continuationSeparator/>
      </w:r>
    </w:p>
  </w:footnote>
  <w:footnote w:id="1">
    <w:p w14:paraId="71E61051" w14:textId="1CD441DF" w:rsidR="007C7F23" w:rsidRPr="007C7F23" w:rsidRDefault="007C7F23" w:rsidP="007C7F2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 w:themeColor="text1"/>
          <w:sz w:val="17"/>
          <w:szCs w:val="17"/>
        </w:rPr>
      </w:pPr>
      <w:r w:rsidRPr="00554E0E">
        <w:rPr>
          <w:rStyle w:val="FootnoteReference"/>
          <w:rFonts w:ascii="Arial" w:hAnsi="Arial" w:cs="Arial"/>
        </w:rPr>
        <w:footnoteRef/>
      </w:r>
      <w:r w:rsidR="009C72CB"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“About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ISO”,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International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Organization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for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Standardization,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accessed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September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>10,</w:t>
      </w:r>
      <w:r w:rsidR="009C72CB" w:rsidRPr="00816D85">
        <w:rPr>
          <w:rFonts w:ascii="Arial" w:eastAsiaTheme="minorHAnsi" w:hAnsi="Arial" w:cs="Arial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color w:val="000000" w:themeColor="text1"/>
          <w:spacing w:val="-2"/>
          <w:kern w:val="17"/>
          <w:sz w:val="17"/>
          <w:szCs w:val="17"/>
        </w:rPr>
        <w:t>2018,</w:t>
      </w:r>
      <w:r w:rsidR="009C72CB" w:rsidRPr="00816D85">
        <w:rPr>
          <w:rFonts w:ascii="Arial" w:eastAsiaTheme="minorHAnsi" w:hAnsi="Arial" w:cs="Arial"/>
          <w:color w:val="000000" w:themeColor="text1"/>
          <w:spacing w:val="-2"/>
          <w:kern w:val="17"/>
          <w:sz w:val="17"/>
          <w:szCs w:val="17"/>
        </w:rPr>
        <w:t xml:space="preserve"> </w:t>
      </w:r>
      <w:r w:rsidRPr="00816D85">
        <w:rPr>
          <w:rFonts w:ascii="Arial" w:eastAsiaTheme="minorHAnsi" w:hAnsi="Arial" w:cs="Arial"/>
          <w:color w:val="000000" w:themeColor="text1"/>
          <w:spacing w:val="-2"/>
          <w:kern w:val="17"/>
          <w:sz w:val="17"/>
          <w:szCs w:val="17"/>
        </w:rPr>
        <w:t>https://www.iso.org/about-us.html</w:t>
      </w:r>
      <w:r w:rsidRPr="007C7F23">
        <w:rPr>
          <w:rFonts w:ascii="Arial" w:eastAsiaTheme="minorHAnsi" w:hAnsi="Arial" w:cs="Arial"/>
          <w:color w:val="000000" w:themeColor="text1"/>
          <w:sz w:val="17"/>
          <w:szCs w:val="17"/>
        </w:rPr>
        <w:t>.</w:t>
      </w:r>
    </w:p>
  </w:footnote>
  <w:footnote w:id="2">
    <w:p w14:paraId="3A4D255A" w14:textId="68D60CD7" w:rsidR="003B23C7" w:rsidRPr="003669E7" w:rsidRDefault="003B23C7" w:rsidP="003B23C7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9E375E">
        <w:rPr>
          <w:lang w:val="en-GB"/>
        </w:rPr>
        <w:t>€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=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EUR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=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euro;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€1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=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US$1.0</w:t>
      </w:r>
      <w:r>
        <w:rPr>
          <w:rStyle w:val="articlefulltext"/>
          <w:lang w:val="en-GB"/>
        </w:rPr>
        <w:t>8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on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March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31,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2017;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all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currency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amounts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are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in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€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unless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otherwise</w:t>
      </w:r>
      <w:r w:rsidR="009C72CB">
        <w:rPr>
          <w:rStyle w:val="articlefulltext"/>
          <w:lang w:val="en-GB"/>
        </w:rPr>
        <w:t xml:space="preserve"> </w:t>
      </w:r>
      <w:r w:rsidRPr="003669E7">
        <w:rPr>
          <w:rStyle w:val="articlefulltext"/>
          <w:lang w:val="en-GB"/>
        </w:rPr>
        <w:t>specified.</w:t>
      </w:r>
    </w:p>
  </w:footnote>
  <w:footnote w:id="3">
    <w:p w14:paraId="47AAD7DB" w14:textId="0DA62A6D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 w:eastAsia="en-CA"/>
        </w:rPr>
        <w:t>Petri</w:t>
      </w:r>
      <w:r w:rsidR="009C72CB">
        <w:rPr>
          <w:lang w:val="en-GB" w:eastAsia="en-CA"/>
        </w:rPr>
        <w:t xml:space="preserve"> </w:t>
      </w:r>
      <w:r w:rsidRPr="009E375E">
        <w:rPr>
          <w:lang w:val="en-GB" w:eastAsia="en-CA"/>
        </w:rPr>
        <w:t>Mäki-Fränti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and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Lauri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Vilmi,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“Why</w:t>
      </w:r>
      <w:r w:rsidR="009C72CB">
        <w:rPr>
          <w:lang w:val="en-GB" w:eastAsia="en-CA"/>
        </w:rPr>
        <w:t xml:space="preserve"> </w:t>
      </w:r>
      <w:r w:rsidR="00BF2E65">
        <w:rPr>
          <w:lang w:val="en-GB" w:eastAsia="en-CA"/>
        </w:rPr>
        <w:t>I</w:t>
      </w:r>
      <w:r w:rsidRPr="003669E7">
        <w:rPr>
          <w:lang w:val="en-GB" w:eastAsia="en-CA"/>
        </w:rPr>
        <w:t>s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Finland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Trailing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Its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Peers?,”</w:t>
      </w:r>
      <w:r w:rsidR="009C72CB">
        <w:rPr>
          <w:lang w:val="en-GB" w:eastAsia="en-CA"/>
        </w:rPr>
        <w:t xml:space="preserve"> </w:t>
      </w:r>
      <w:r w:rsidRPr="009C72CB">
        <w:rPr>
          <w:i/>
          <w:lang w:val="en-GB" w:eastAsia="en-CA"/>
        </w:rPr>
        <w:t>Bank</w:t>
      </w:r>
      <w:r w:rsidR="009C72CB">
        <w:rPr>
          <w:i/>
          <w:lang w:val="en-GB" w:eastAsia="en-CA"/>
        </w:rPr>
        <w:t xml:space="preserve"> </w:t>
      </w:r>
      <w:r w:rsidRPr="009C72CB">
        <w:rPr>
          <w:i/>
          <w:lang w:val="en-GB" w:eastAsia="en-CA"/>
        </w:rPr>
        <w:t>of</w:t>
      </w:r>
      <w:r w:rsidR="009C72CB">
        <w:rPr>
          <w:i/>
          <w:lang w:val="en-GB" w:eastAsia="en-CA"/>
        </w:rPr>
        <w:t xml:space="preserve"> </w:t>
      </w:r>
      <w:r w:rsidRPr="009C72CB">
        <w:rPr>
          <w:i/>
          <w:lang w:val="en-GB" w:eastAsia="en-CA"/>
        </w:rPr>
        <w:t>Finland</w:t>
      </w:r>
      <w:r w:rsidR="009C72CB">
        <w:rPr>
          <w:i/>
          <w:lang w:val="en-GB" w:eastAsia="en-CA"/>
        </w:rPr>
        <w:t xml:space="preserve"> </w:t>
      </w:r>
      <w:r w:rsidRPr="009C72CB">
        <w:rPr>
          <w:i/>
          <w:lang w:val="en-GB" w:eastAsia="en-CA"/>
        </w:rPr>
        <w:t>Bulletin</w:t>
      </w:r>
      <w:r w:rsidRPr="003669E7">
        <w:rPr>
          <w:lang w:val="en-GB" w:eastAsia="en-CA"/>
        </w:rPr>
        <w:t>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April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13,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2016,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accessed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July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9,</w:t>
      </w:r>
      <w:r w:rsidR="009C72CB">
        <w:rPr>
          <w:lang w:val="en-GB" w:eastAsia="en-CA"/>
        </w:rPr>
        <w:t xml:space="preserve"> </w:t>
      </w:r>
      <w:r w:rsidRPr="003669E7">
        <w:rPr>
          <w:lang w:val="en-GB" w:eastAsia="en-CA"/>
        </w:rPr>
        <w:t>2017,</w:t>
      </w:r>
      <w:r w:rsidR="009C72CB">
        <w:rPr>
          <w:lang w:val="en-GB" w:eastAsia="en-CA"/>
        </w:rPr>
        <w:t xml:space="preserve"> </w:t>
      </w:r>
      <w:r w:rsidRPr="003669E7">
        <w:rPr>
          <w:lang w:val="en-GB"/>
        </w:rPr>
        <w:t>https://www.eurojatalous.fi/en/2016/1/why-is-finland-trailing-its-peers-/.</w:t>
      </w:r>
    </w:p>
  </w:footnote>
  <w:footnote w:id="4">
    <w:p w14:paraId="0027D876" w14:textId="532836E5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="00DF0EF8">
        <w:rPr>
          <w:lang w:val="en-GB"/>
        </w:rPr>
        <w:t>Organisation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for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Economic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Co-operation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and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Development,</w:t>
      </w:r>
      <w:r w:rsidR="009C72CB">
        <w:rPr>
          <w:lang w:val="en-GB"/>
        </w:rPr>
        <w:t xml:space="preserve"> </w:t>
      </w:r>
      <w:r w:rsidR="00DF0EF8" w:rsidRPr="009C72CB">
        <w:rPr>
          <w:i/>
          <w:lang w:val="en-GB"/>
        </w:rPr>
        <w:t>OECD</w:t>
      </w:r>
      <w:r w:rsidR="009C72CB">
        <w:rPr>
          <w:i/>
          <w:lang w:val="en-GB"/>
        </w:rPr>
        <w:t xml:space="preserve"> </w:t>
      </w:r>
      <w:r w:rsidR="00DF0EF8" w:rsidRPr="009C72CB">
        <w:rPr>
          <w:i/>
          <w:lang w:val="en-GB"/>
        </w:rPr>
        <w:t>Economic</w:t>
      </w:r>
      <w:r w:rsidR="009C72CB">
        <w:rPr>
          <w:i/>
          <w:lang w:val="en-GB"/>
        </w:rPr>
        <w:t xml:space="preserve"> </w:t>
      </w:r>
      <w:r w:rsidR="00DF0EF8" w:rsidRPr="009C72CB">
        <w:rPr>
          <w:i/>
          <w:lang w:val="en-GB"/>
        </w:rPr>
        <w:t>Surveys</w:t>
      </w:r>
      <w:r w:rsidR="009C72CB">
        <w:rPr>
          <w:i/>
          <w:lang w:val="en-GB"/>
        </w:rPr>
        <w:t xml:space="preserve"> </w:t>
      </w:r>
      <w:r w:rsidR="00DF0EF8" w:rsidRPr="009C72CB">
        <w:rPr>
          <w:i/>
          <w:lang w:val="en-GB"/>
        </w:rPr>
        <w:t>Finland</w:t>
      </w:r>
      <w:r w:rsidR="00BF2E65">
        <w:rPr>
          <w:lang w:val="en-GB"/>
        </w:rPr>
        <w:t>,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2016,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August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31,</w:t>
      </w:r>
      <w:r w:rsidR="009C72CB">
        <w:rPr>
          <w:lang w:val="en-GB"/>
        </w:rPr>
        <w:t xml:space="preserve"> </w:t>
      </w:r>
      <w:r w:rsidR="00DF0EF8">
        <w:rPr>
          <w:lang w:val="en-GB"/>
        </w:rPr>
        <w:t>2018,</w:t>
      </w:r>
      <w:r w:rsidR="009C72CB">
        <w:rPr>
          <w:lang w:val="en-GB"/>
        </w:rPr>
        <w:t xml:space="preserve"> </w:t>
      </w:r>
      <w:r w:rsidR="00DF0EF8" w:rsidRPr="00DF0EF8">
        <w:rPr>
          <w:lang w:val="en-GB"/>
        </w:rPr>
        <w:t>https://www.oecd.org/eco/surveys/Overview-OECD-Finland-2016.pdf</w:t>
      </w:r>
      <w:r w:rsidR="00DF0EF8">
        <w:rPr>
          <w:lang w:val="en-GB"/>
        </w:rPr>
        <w:t>.</w:t>
      </w:r>
    </w:p>
  </w:footnote>
  <w:footnote w:id="5">
    <w:p w14:paraId="13A7C990" w14:textId="3C5415D7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Timo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Lehtioja,</w:t>
      </w:r>
      <w:r w:rsidR="009C72CB">
        <w:rPr>
          <w:lang w:val="en-GB"/>
        </w:rPr>
        <w:t xml:space="preserve"> </w:t>
      </w:r>
      <w:r w:rsidR="00BF2E65">
        <w:rPr>
          <w:lang w:val="en-GB"/>
        </w:rPr>
        <w:t>MSK</w:t>
      </w:r>
      <w:r w:rsidR="009C72CB">
        <w:rPr>
          <w:lang w:val="en-GB"/>
        </w:rPr>
        <w:t xml:space="preserve"> </w:t>
      </w:r>
      <w:r w:rsidR="00BF2E65">
        <w:rPr>
          <w:lang w:val="en-GB"/>
        </w:rPr>
        <w:t>Group</w:t>
      </w:r>
      <w:r w:rsidR="009C72CB">
        <w:rPr>
          <w:lang w:val="en-GB"/>
        </w:rPr>
        <w:t xml:space="preserve"> </w:t>
      </w:r>
      <w:r w:rsidR="00BF2E65">
        <w:rPr>
          <w:lang w:val="en-GB"/>
        </w:rPr>
        <w:t>Oy,</w:t>
      </w:r>
      <w:r w:rsidR="009C72CB">
        <w:rPr>
          <w:lang w:val="en-GB"/>
        </w:rPr>
        <w:t xml:space="preserve"> </w:t>
      </w:r>
      <w:r w:rsidRPr="009C72CB">
        <w:rPr>
          <w:i/>
          <w:lang w:val="en-GB"/>
        </w:rPr>
        <w:t>Requirement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for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the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Principles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of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Suppliers’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Responsible</w:t>
      </w:r>
      <w:r w:rsidR="009C72CB">
        <w:rPr>
          <w:i/>
          <w:lang w:val="en-GB"/>
        </w:rPr>
        <w:t xml:space="preserve"> </w:t>
      </w:r>
      <w:r w:rsidRPr="009C72CB">
        <w:rPr>
          <w:i/>
          <w:lang w:val="en-GB"/>
        </w:rPr>
        <w:t>Operations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February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6,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AC6BC1">
        <w:t>accessed</w:t>
      </w:r>
      <w:r w:rsidR="00AC6BC1">
        <w:t> </w:t>
      </w:r>
      <w:r w:rsidRPr="00AC6BC1">
        <w:t>July</w:t>
      </w:r>
      <w:r w:rsidR="00AC6BC1">
        <w:rPr>
          <w:lang w:val="en-GB"/>
        </w:rPr>
        <w:t> </w:t>
      </w:r>
      <w:r w:rsidRPr="003669E7">
        <w:rPr>
          <w:lang w:val="en-GB"/>
        </w:rPr>
        <w:t>10,</w:t>
      </w:r>
      <w:r w:rsidR="00AC6BC1">
        <w:rPr>
          <w:lang w:val="en-GB"/>
        </w:rPr>
        <w:t> </w:t>
      </w:r>
      <w:r w:rsidRPr="003669E7">
        <w:rPr>
          <w:lang w:val="en-GB"/>
        </w:rPr>
        <w:t>2017,https://www.mskgroup.fi/documents/446859/488812/vaatimus+toimittajien+vastuullisesta+toiminnasta_EN.pdf/80682423-38d1-49a0-a9b1-cf57cf65b894.</w:t>
      </w:r>
    </w:p>
  </w:footnote>
  <w:footnote w:id="6">
    <w:p w14:paraId="57DFF31F" w14:textId="29D710E3" w:rsidR="00770726" w:rsidRPr="003669E7" w:rsidRDefault="00770726" w:rsidP="00E32492">
      <w:pPr>
        <w:pStyle w:val="Footnote"/>
        <w:rPr>
          <w:lang w:val="en-GB"/>
        </w:rPr>
      </w:pPr>
      <w:r w:rsidRPr="009C72CB">
        <w:rPr>
          <w:rStyle w:val="FootnoteReference"/>
          <w:spacing w:val="-2"/>
          <w:kern w:val="2"/>
          <w:sz w:val="16"/>
          <w:szCs w:val="16"/>
          <w:lang w:val="en-GB"/>
        </w:rPr>
        <w:footnoteRef/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Rhodes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Yepsen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and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Nora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Goldstein,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“Historical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Perspective: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Grinders,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Chippers,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Shredders,”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i/>
          <w:spacing w:val="-2"/>
          <w:kern w:val="2"/>
          <w:lang w:val="en-GB"/>
        </w:rPr>
        <w:t>BioCycle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50,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no.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1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(2009):</w:t>
      </w:r>
      <w:r w:rsidR="009C72CB" w:rsidRPr="009C72CB">
        <w:rPr>
          <w:spacing w:val="-2"/>
          <w:kern w:val="2"/>
          <w:lang w:val="en-GB"/>
        </w:rPr>
        <w:t xml:space="preserve"> </w:t>
      </w:r>
      <w:r w:rsidRPr="009C72CB">
        <w:rPr>
          <w:spacing w:val="-2"/>
          <w:kern w:val="2"/>
          <w:lang w:val="en-GB"/>
        </w:rPr>
        <w:t>16–22</w:t>
      </w:r>
      <w:r w:rsidRPr="003669E7">
        <w:rPr>
          <w:lang w:val="en-GB"/>
        </w:rPr>
        <w:t>.</w:t>
      </w:r>
    </w:p>
  </w:footnote>
  <w:footnote w:id="7">
    <w:p w14:paraId="457ED7DC" w14:textId="55044A09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sz w:val="16"/>
          <w:szCs w:val="16"/>
          <w:lang w:val="en-GB"/>
        </w:rPr>
        <w:footnoteRef/>
      </w:r>
      <w:r w:rsidR="009C72CB">
        <w:rPr>
          <w:sz w:val="16"/>
          <w:szCs w:val="16"/>
          <w:vertAlign w:val="superscript"/>
          <w:lang w:val="en-GB"/>
        </w:rPr>
        <w:t xml:space="preserve"> </w:t>
      </w:r>
      <w:r w:rsidRPr="003669E7">
        <w:rPr>
          <w:lang w:val="en-GB"/>
        </w:rPr>
        <w:t>IBIS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World,</w:t>
      </w:r>
      <w:r w:rsidR="009C72CB">
        <w:rPr>
          <w:lang w:val="en-GB"/>
        </w:rPr>
        <w:t xml:space="preserve"> </w:t>
      </w:r>
      <w:r w:rsidRPr="009E375E">
        <w:rPr>
          <w:i/>
          <w:lang w:val="en-GB"/>
        </w:rPr>
        <w:t>Chipping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&amp;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Grinding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Equipment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Manufacturing</w:t>
      </w:r>
      <w:r w:rsidR="009C72CB">
        <w:rPr>
          <w:i/>
          <w:lang w:val="en-GB"/>
        </w:rPr>
        <w:t xml:space="preserve"> </w:t>
      </w:r>
      <w:r w:rsidR="002926F9">
        <w:rPr>
          <w:i/>
          <w:lang w:val="en-GB"/>
        </w:rPr>
        <w:t>–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US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Market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Research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Report</w:t>
      </w:r>
      <w:r w:rsidRPr="003669E7">
        <w:rPr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2016,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30,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https://www.ibisworld.com/industry-trends/specialized-market-research-reports/industrial-machinery-gas-chemicals/general-purpose-manufacturing/chipping-grinding-equipment-manufacturing.html.</w:t>
      </w:r>
    </w:p>
  </w:footnote>
  <w:footnote w:id="8">
    <w:p w14:paraId="2E2BE678" w14:textId="4A8F2EDD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sz w:val="16"/>
          <w:szCs w:val="16"/>
          <w:lang w:val="en-GB"/>
        </w:rPr>
        <w:footnoteRef/>
      </w:r>
      <w:r w:rsidR="009C72CB">
        <w:rPr>
          <w:sz w:val="16"/>
          <w:szCs w:val="16"/>
          <w:vertAlign w:val="superscript"/>
          <w:lang w:val="en-GB"/>
        </w:rPr>
        <w:t xml:space="preserve"> </w:t>
      </w:r>
      <w:r w:rsidRPr="003669E7">
        <w:rPr>
          <w:lang w:val="en-GB"/>
        </w:rPr>
        <w:t>“How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Wood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Chippers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Work,”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Thomas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Updates,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https://www.thomasnet.com/articles/machinery-tools-supplies/How-Wood-Chippers-Work/.</w:t>
      </w:r>
    </w:p>
  </w:footnote>
  <w:footnote w:id="9">
    <w:p w14:paraId="65355160" w14:textId="4AE5C750" w:rsidR="00770726" w:rsidRPr="009E375E" w:rsidRDefault="00770726" w:rsidP="00E32492">
      <w:pPr>
        <w:pStyle w:val="Footnote"/>
        <w:rPr>
          <w:rFonts w:ascii="Times New Roman" w:hAnsi="Times New Roman"/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Persistence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Market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Research,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Wood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Chipper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Market: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Global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Industry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Trend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Analysis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2012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to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2017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and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Forecast</w:t>
      </w:r>
      <w:r w:rsidR="009C72CB" w:rsidRPr="009C72CB">
        <w:rPr>
          <w:i/>
          <w:spacing w:val="-2"/>
          <w:kern w:val="17"/>
          <w:lang w:val="en-GB"/>
        </w:rPr>
        <w:t xml:space="preserve"> </w:t>
      </w:r>
      <w:r w:rsidRPr="009C72CB">
        <w:rPr>
          <w:i/>
          <w:spacing w:val="-2"/>
          <w:kern w:val="17"/>
          <w:lang w:val="en-GB"/>
        </w:rPr>
        <w:t>2017</w:t>
      </w:r>
      <w:r w:rsidR="002926F9" w:rsidRPr="009C72CB">
        <w:rPr>
          <w:i/>
          <w:spacing w:val="-2"/>
          <w:kern w:val="17"/>
          <w:lang w:val="en-GB"/>
        </w:rPr>
        <w:t>–</w:t>
      </w:r>
      <w:r w:rsidRPr="009C72CB">
        <w:rPr>
          <w:i/>
          <w:spacing w:val="-2"/>
          <w:kern w:val="17"/>
          <w:lang w:val="en-GB"/>
        </w:rPr>
        <w:t>2025</w:t>
      </w:r>
      <w:r w:rsidRPr="009C72CB">
        <w:rPr>
          <w:spacing w:val="-2"/>
          <w:kern w:val="17"/>
          <w:lang w:val="en-GB"/>
        </w:rPr>
        <w:t>,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2018,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accessed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January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7,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2018,</w:t>
      </w:r>
      <w:r w:rsidR="009C72CB" w:rsidRPr="009C72CB">
        <w:rPr>
          <w:spacing w:val="-2"/>
          <w:kern w:val="17"/>
          <w:lang w:val="en-GB"/>
        </w:rPr>
        <w:t xml:space="preserve"> </w:t>
      </w:r>
      <w:r w:rsidRPr="009C72CB">
        <w:rPr>
          <w:spacing w:val="-2"/>
          <w:kern w:val="17"/>
          <w:lang w:val="en-GB"/>
        </w:rPr>
        <w:t>https://www.persistencemarketresearch.com/market-research/wood-chipper-market.asp</w:t>
      </w:r>
      <w:r w:rsidRPr="003669E7">
        <w:rPr>
          <w:lang w:val="en-GB"/>
        </w:rPr>
        <w:t>.</w:t>
      </w:r>
    </w:p>
  </w:footnote>
  <w:footnote w:id="10">
    <w:p w14:paraId="497FAA2A" w14:textId="1387BF3B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sz w:val="16"/>
          <w:szCs w:val="16"/>
          <w:lang w:val="en-GB"/>
        </w:rPr>
        <w:footnoteRef/>
      </w:r>
      <w:r w:rsidR="009C72CB">
        <w:rPr>
          <w:sz w:val="16"/>
          <w:szCs w:val="16"/>
          <w:vertAlign w:val="superscript"/>
          <w:lang w:val="en-GB"/>
        </w:rPr>
        <w:t xml:space="preserve"> </w:t>
      </w:r>
      <w:r w:rsidRPr="003669E7">
        <w:rPr>
          <w:lang w:val="en-GB"/>
        </w:rPr>
        <w:t>“Renewable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Energy: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Moving</w:t>
      </w:r>
      <w:r w:rsidR="009C72CB">
        <w:rPr>
          <w:lang w:val="en-GB"/>
        </w:rPr>
        <w:t xml:space="preserve"> </w:t>
      </w:r>
      <w:r w:rsidR="001D6875">
        <w:rPr>
          <w:lang w:val="en-GB"/>
        </w:rPr>
        <w:t>towards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Low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Carbon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Economy,”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European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Commission,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https://ec.europa.eu/energy/en/topics/renewable-energy.</w:t>
      </w:r>
    </w:p>
  </w:footnote>
  <w:footnote w:id="11">
    <w:p w14:paraId="0D77B214" w14:textId="1D3DF5E9" w:rsidR="00770726" w:rsidRPr="003669E7" w:rsidRDefault="00770726" w:rsidP="00E32492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Theodore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Levitt,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“Exploit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Life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Cycle,”</w:t>
      </w:r>
      <w:r w:rsidR="009C72CB">
        <w:rPr>
          <w:lang w:val="en-GB"/>
        </w:rPr>
        <w:t xml:space="preserve"> </w:t>
      </w:r>
      <w:r w:rsidRPr="009E375E">
        <w:rPr>
          <w:i/>
          <w:lang w:val="en-GB"/>
        </w:rPr>
        <w:t>Harvard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Business</w:t>
      </w:r>
      <w:r w:rsidR="009C72CB">
        <w:rPr>
          <w:i/>
          <w:lang w:val="en-GB"/>
        </w:rPr>
        <w:t xml:space="preserve"> </w:t>
      </w:r>
      <w:r w:rsidRPr="009E375E">
        <w:rPr>
          <w:i/>
          <w:lang w:val="en-GB"/>
        </w:rPr>
        <w:t>Review</w:t>
      </w:r>
      <w:r w:rsidRPr="003669E7">
        <w:rPr>
          <w:i/>
          <w:lang w:val="en-GB"/>
        </w:rPr>
        <w:t>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November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1965.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Available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from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Ivey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Publishing,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product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no.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65608.</w:t>
      </w:r>
    </w:p>
  </w:footnote>
  <w:footnote w:id="12">
    <w:p w14:paraId="138C63E8" w14:textId="1F07162B" w:rsidR="00770726" w:rsidRPr="003669E7" w:rsidRDefault="00770726" w:rsidP="00FC4F2B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Junkkari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120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active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suppliers,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some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of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which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had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been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supplying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components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the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firm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for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over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10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years.</w:t>
      </w:r>
      <w:r w:rsidR="009C72CB">
        <w:rPr>
          <w:lang w:val="en-GB"/>
        </w:rPr>
        <w:t xml:space="preserve">   </w:t>
      </w:r>
    </w:p>
  </w:footnote>
  <w:footnote w:id="13">
    <w:p w14:paraId="0BE16565" w14:textId="42D7447B" w:rsidR="00770726" w:rsidRPr="003669E7" w:rsidRDefault="00770726" w:rsidP="00FC4F2B">
      <w:pPr>
        <w:pStyle w:val="Footnote"/>
        <w:rPr>
          <w:sz w:val="18"/>
          <w:szCs w:val="18"/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vertAlign w:val="superscript"/>
          <w:lang w:val="en-GB"/>
        </w:rPr>
        <w:t xml:space="preserve"> </w:t>
      </w:r>
      <w:r w:rsidRPr="003669E7">
        <w:rPr>
          <w:lang w:val="en-GB"/>
        </w:rPr>
        <w:t>Customization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tended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be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limited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to</w:t>
      </w:r>
      <w:r w:rsidR="009C72CB">
        <w:rPr>
          <w:lang w:val="en-GB"/>
        </w:rPr>
        <w:t xml:space="preserve"> </w:t>
      </w:r>
      <w:r w:rsidRPr="00DF0EF8">
        <w:rPr>
          <w:lang w:val="en-GB"/>
        </w:rPr>
        <w:t>choices</w:t>
      </w:r>
      <w:r w:rsidR="009C72CB">
        <w:rPr>
          <w:lang w:val="en-GB"/>
        </w:rPr>
        <w:t xml:space="preserve"> </w:t>
      </w:r>
      <w:r w:rsidRPr="00DF0EF8">
        <w:rPr>
          <w:lang w:val="en-GB"/>
        </w:rPr>
        <w:t>between</w:t>
      </w:r>
      <w:r w:rsidR="009C72CB">
        <w:rPr>
          <w:lang w:val="en-GB"/>
        </w:rPr>
        <w:t xml:space="preserve"> </w:t>
      </w:r>
      <w:r w:rsidRPr="00DF0EF8">
        <w:rPr>
          <w:lang w:val="en-GB"/>
        </w:rPr>
        <w:t>manual</w:t>
      </w:r>
      <w:r w:rsidR="009C72CB">
        <w:rPr>
          <w:lang w:val="en-GB"/>
        </w:rPr>
        <w:t xml:space="preserve"> </w:t>
      </w:r>
      <w:r w:rsidRPr="00DF0EF8">
        <w:rPr>
          <w:lang w:val="en-GB"/>
        </w:rPr>
        <w:t>or</w:t>
      </w:r>
      <w:r w:rsidR="009C72CB">
        <w:rPr>
          <w:lang w:val="en-GB"/>
        </w:rPr>
        <w:t xml:space="preserve"> </w:t>
      </w:r>
      <w:r w:rsidRPr="00DF0EF8">
        <w:rPr>
          <w:lang w:val="en-GB"/>
        </w:rPr>
        <w:t>hydraulic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feeding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devices.</w:t>
      </w:r>
      <w:r w:rsidR="009C72CB">
        <w:rPr>
          <w:sz w:val="18"/>
          <w:szCs w:val="18"/>
          <w:lang w:val="en-GB"/>
        </w:rPr>
        <w:t xml:space="preserve">  </w:t>
      </w:r>
    </w:p>
  </w:footnote>
  <w:footnote w:id="14">
    <w:p w14:paraId="0D8E6654" w14:textId="54B2483C" w:rsidR="00770726" w:rsidRPr="003669E7" w:rsidRDefault="00770726" w:rsidP="00AE4792">
      <w:pPr>
        <w:pStyle w:val="FootnoteText"/>
        <w:rPr>
          <w:lang w:val="en-GB"/>
        </w:rPr>
      </w:pPr>
      <w:r w:rsidRPr="003669E7">
        <w:rPr>
          <w:rStyle w:val="FootnoteReference"/>
          <w:rFonts w:ascii="Arial" w:hAnsi="Arial" w:cs="Arial"/>
          <w:sz w:val="17"/>
          <w:szCs w:val="17"/>
          <w:lang w:val="en-GB"/>
        </w:rPr>
        <w:footnoteRef/>
      </w:r>
      <w:r w:rsidR="009C72CB">
        <w:rPr>
          <w:rFonts w:ascii="Arial" w:hAnsi="Arial" w:cs="Arial"/>
          <w:sz w:val="17"/>
          <w:szCs w:val="17"/>
          <w:vertAlign w:val="superscript"/>
          <w:lang w:val="en-GB"/>
        </w:rPr>
        <w:t xml:space="preserve"> </w:t>
      </w:r>
      <w:r w:rsidRPr="009E375E">
        <w:rPr>
          <w:rFonts w:ascii="Arial" w:hAnsi="Arial" w:cs="Arial"/>
          <w:sz w:val="17"/>
          <w:szCs w:val="17"/>
          <w:lang w:val="en-GB"/>
        </w:rPr>
        <w:t>“</w:t>
      </w:r>
      <w:r w:rsidRPr="003669E7">
        <w:rPr>
          <w:rFonts w:ascii="Arial" w:hAnsi="Arial" w:cs="Arial"/>
          <w:sz w:val="17"/>
          <w:szCs w:val="17"/>
          <w:lang w:val="en-GB"/>
        </w:rPr>
        <w:t>Junkkari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3669E7">
        <w:rPr>
          <w:rFonts w:ascii="Arial" w:hAnsi="Arial" w:cs="Arial"/>
          <w:sz w:val="17"/>
          <w:szCs w:val="17"/>
          <w:lang w:val="en-GB"/>
        </w:rPr>
        <w:t>Oy:</w:t>
      </w:r>
      <w:r w:rsidR="009C72CB">
        <w:rPr>
          <w:rFonts w:ascii="Arial" w:hAnsi="Arial" w:cs="Arial"/>
          <w:sz w:val="17"/>
          <w:szCs w:val="17"/>
          <w:lang w:val="en-GB"/>
        </w:rPr>
        <w:t xml:space="preserve"> </w:t>
      </w:r>
      <w:r w:rsidRPr="003669E7">
        <w:rPr>
          <w:rStyle w:val="FootnoteChar"/>
          <w:lang w:val="en-GB"/>
        </w:rPr>
        <w:t>Down-to-Earth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Equipment,”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in</w:t>
      </w:r>
      <w:r w:rsidR="009C72CB">
        <w:rPr>
          <w:rStyle w:val="FootnoteChar"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European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Business: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People,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Stories,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Profit—Made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in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Scandinavia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Special</w:t>
      </w:r>
      <w:r w:rsidR="009C72CB">
        <w:rPr>
          <w:rStyle w:val="FootnoteChar"/>
          <w:i/>
          <w:lang w:val="en-GB"/>
        </w:rPr>
        <w:t xml:space="preserve"> </w:t>
      </w:r>
      <w:r w:rsidRPr="009E375E">
        <w:rPr>
          <w:rStyle w:val="FootnoteChar"/>
          <w:i/>
          <w:lang w:val="en-GB"/>
        </w:rPr>
        <w:t>Edition</w:t>
      </w:r>
      <w:r w:rsidRPr="003669E7">
        <w:rPr>
          <w:rStyle w:val="FootnoteChar"/>
          <w:lang w:val="en-GB"/>
        </w:rPr>
        <w:t>,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3,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2015,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accessed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July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14,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2018</w:t>
      </w:r>
      <w:r w:rsidR="009C72CB">
        <w:rPr>
          <w:rStyle w:val="FootnoteChar"/>
          <w:lang w:val="en-GB"/>
        </w:rPr>
        <w:t xml:space="preserve"> </w:t>
      </w:r>
      <w:r w:rsidRPr="003669E7">
        <w:rPr>
          <w:rStyle w:val="FootnoteChar"/>
          <w:lang w:val="en-GB"/>
        </w:rPr>
        <w:t>https://www.european-business.com/fileadmin/european-business/epaper/EB_epaper_scandinavia_2015.pdf.</w:t>
      </w:r>
    </w:p>
  </w:footnote>
  <w:footnote w:id="15">
    <w:p w14:paraId="2CF608DD" w14:textId="0A56E186" w:rsidR="00770726" w:rsidRPr="003669E7" w:rsidRDefault="00770726" w:rsidP="00FC4F2B">
      <w:pPr>
        <w:pStyle w:val="Footnote"/>
        <w:rPr>
          <w:lang w:val="en-GB"/>
        </w:rPr>
      </w:pPr>
      <w:r w:rsidRPr="00AC6BC1">
        <w:rPr>
          <w:rStyle w:val="FootnoteReference"/>
          <w:spacing w:val="-3"/>
          <w:kern w:val="17"/>
          <w:lang w:val="en-GB"/>
        </w:rPr>
        <w:footnoteRef/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“</w:t>
      </w:r>
      <w:r w:rsidR="007F4A90" w:rsidRPr="00AC6BC1">
        <w:rPr>
          <w:spacing w:val="-3"/>
          <w:kern w:val="17"/>
          <w:lang w:val="en-GB"/>
        </w:rPr>
        <w:t>Forestry</w:t>
      </w:r>
      <w:r w:rsidR="009C72CB" w:rsidRPr="00AC6BC1">
        <w:rPr>
          <w:spacing w:val="-3"/>
          <w:kern w:val="17"/>
          <w:lang w:val="en-GB"/>
        </w:rPr>
        <w:t xml:space="preserve"> </w:t>
      </w:r>
      <w:r w:rsidR="007F4A90" w:rsidRPr="00AC6BC1">
        <w:rPr>
          <w:spacing w:val="-3"/>
          <w:kern w:val="17"/>
          <w:lang w:val="en-GB"/>
        </w:rPr>
        <w:t>Equipment</w:t>
      </w:r>
      <w:r w:rsidRPr="00AC6BC1">
        <w:rPr>
          <w:spacing w:val="-3"/>
          <w:kern w:val="17"/>
          <w:lang w:val="en-GB"/>
        </w:rPr>
        <w:t>,”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Les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Industries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Renaud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Gravel,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accessed</w:t>
      </w:r>
      <w:r w:rsidR="009C72CB" w:rsidRPr="00AC6BC1">
        <w:rPr>
          <w:spacing w:val="-3"/>
          <w:kern w:val="17"/>
          <w:lang w:val="en-GB"/>
        </w:rPr>
        <w:t xml:space="preserve"> </w:t>
      </w:r>
      <w:r w:rsidR="007F4A90" w:rsidRPr="00AC6BC1">
        <w:rPr>
          <w:spacing w:val="-3"/>
          <w:kern w:val="17"/>
          <w:lang w:val="en-GB"/>
        </w:rPr>
        <w:t>August</w:t>
      </w:r>
      <w:r w:rsidR="009C72CB" w:rsidRPr="00AC6BC1">
        <w:rPr>
          <w:spacing w:val="-3"/>
          <w:kern w:val="17"/>
          <w:lang w:val="en-GB"/>
        </w:rPr>
        <w:t xml:space="preserve"> </w:t>
      </w:r>
      <w:r w:rsidR="007F4A90" w:rsidRPr="00AC6BC1">
        <w:rPr>
          <w:spacing w:val="-3"/>
          <w:kern w:val="17"/>
          <w:lang w:val="en-GB"/>
        </w:rPr>
        <w:t>21</w:t>
      </w:r>
      <w:r w:rsidRPr="00AC6BC1">
        <w:rPr>
          <w:spacing w:val="-3"/>
          <w:kern w:val="17"/>
          <w:lang w:val="en-GB"/>
        </w:rPr>
        <w:t>,</w:t>
      </w:r>
      <w:r w:rsidR="009C72CB" w:rsidRPr="00AC6BC1">
        <w:rPr>
          <w:spacing w:val="-3"/>
          <w:kern w:val="17"/>
          <w:lang w:val="en-GB"/>
        </w:rPr>
        <w:t xml:space="preserve"> </w:t>
      </w:r>
      <w:r w:rsidRPr="00AC6BC1">
        <w:rPr>
          <w:spacing w:val="-3"/>
          <w:kern w:val="17"/>
          <w:lang w:val="en-GB"/>
        </w:rPr>
        <w:t>2018,</w:t>
      </w:r>
      <w:r w:rsidR="009C72CB" w:rsidRPr="00AC6BC1">
        <w:rPr>
          <w:spacing w:val="-3"/>
          <w:kern w:val="17"/>
          <w:lang w:val="en-GB"/>
        </w:rPr>
        <w:t xml:space="preserve"> </w:t>
      </w:r>
      <w:r w:rsidR="007F4A90" w:rsidRPr="00AC6BC1">
        <w:rPr>
          <w:spacing w:val="-3"/>
          <w:kern w:val="17"/>
          <w:lang w:val="en-GB"/>
        </w:rPr>
        <w:t>https://www.indgravel.com/en/forestry-equipment</w:t>
      </w:r>
      <w:r w:rsidRPr="003669E7">
        <w:rPr>
          <w:lang w:val="en-GB"/>
        </w:rPr>
        <w:t>.</w:t>
      </w:r>
    </w:p>
  </w:footnote>
  <w:footnote w:id="16">
    <w:p w14:paraId="75BECC0A" w14:textId="7AE44325" w:rsidR="00770726" w:rsidRPr="003669E7" w:rsidRDefault="00770726" w:rsidP="00FC4F2B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The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use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of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agents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to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find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suitable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dealers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was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not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unusual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in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foreign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markets.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Agents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had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local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business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knowledge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and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networks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of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contacts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that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made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it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possible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for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foreign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firms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to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enter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distant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markets;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they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were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typically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paid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a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fee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for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this</w:t>
      </w:r>
      <w:r w:rsidR="009C72CB" w:rsidRPr="00AC6BC1">
        <w:rPr>
          <w:spacing w:val="-2"/>
          <w:kern w:val="17"/>
          <w:lang w:val="en-GB"/>
        </w:rPr>
        <w:t xml:space="preserve"> </w:t>
      </w:r>
      <w:r w:rsidRPr="00AC6BC1">
        <w:rPr>
          <w:spacing w:val="-2"/>
          <w:kern w:val="17"/>
          <w:lang w:val="en-GB"/>
        </w:rPr>
        <w:t>service</w:t>
      </w:r>
      <w:r w:rsidRPr="003669E7">
        <w:rPr>
          <w:lang w:val="en-GB"/>
        </w:rPr>
        <w:t>.</w:t>
      </w:r>
      <w:r w:rsidR="009C72CB">
        <w:rPr>
          <w:lang w:val="en-GB"/>
        </w:rPr>
        <w:t xml:space="preserve"> </w:t>
      </w:r>
    </w:p>
  </w:footnote>
  <w:footnote w:id="17">
    <w:p w14:paraId="33A69FF5" w14:textId="6EDC6C2A" w:rsidR="00770726" w:rsidRPr="003669E7" w:rsidRDefault="00770726" w:rsidP="00FC4F2B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“Official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Locator,”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Wallenstein,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9,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www.wallensteinequipment.com/ca/en/dealer-locator.aspx.</w:t>
      </w:r>
    </w:p>
  </w:footnote>
  <w:footnote w:id="18">
    <w:p w14:paraId="1A534B74" w14:textId="0686402C" w:rsidR="00770726" w:rsidRPr="003669E7" w:rsidRDefault="00770726" w:rsidP="00FC4F2B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“About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Canada,”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Vermeer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Canada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Inc.,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9,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www.vermeercanada.com/home/about-vermeer-canada.</w:t>
      </w:r>
    </w:p>
  </w:footnote>
  <w:footnote w:id="19">
    <w:p w14:paraId="088265A1" w14:textId="4F2F2354" w:rsidR="00770726" w:rsidRPr="009E375E" w:rsidRDefault="00770726" w:rsidP="00FC4F2B">
      <w:pPr>
        <w:pStyle w:val="Footnote"/>
        <w:rPr>
          <w:lang w:val="en-GB"/>
        </w:rPr>
      </w:pPr>
      <w:r w:rsidRPr="003669E7">
        <w:rPr>
          <w:rStyle w:val="FootnoteReference"/>
          <w:lang w:val="en-GB"/>
        </w:rPr>
        <w:footnoteRef/>
      </w:r>
      <w:r w:rsidR="009C72CB">
        <w:rPr>
          <w:vertAlign w:val="superscript"/>
          <w:lang w:val="en-GB"/>
        </w:rPr>
        <w:t xml:space="preserve"> </w:t>
      </w:r>
      <w:r w:rsidRPr="003669E7">
        <w:rPr>
          <w:lang w:val="en-GB"/>
        </w:rPr>
        <w:t>“Find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Dealer,”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Bandit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Industries,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accessed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January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9,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2018,</w:t>
      </w:r>
      <w:r w:rsidR="009C72CB">
        <w:rPr>
          <w:lang w:val="en-GB"/>
        </w:rPr>
        <w:t xml:space="preserve"> </w:t>
      </w:r>
      <w:r w:rsidRPr="003669E7">
        <w:rPr>
          <w:lang w:val="en-GB"/>
        </w:rPr>
        <w:t>http://banditchippers.com/dealers/.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C8F4D" w14:textId="2BD3B5EB" w:rsidR="00770726" w:rsidRPr="00C92CC4" w:rsidRDefault="00770726" w:rsidP="0007009E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>Page</w:t>
    </w:r>
    <w:r w:rsidR="009C72CB">
      <w:rPr>
        <w:rFonts w:ascii="Arial" w:hAnsi="Arial"/>
        <w:b/>
      </w:rPr>
      <w:t xml:space="preserve">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554E0E">
      <w:rPr>
        <w:rFonts w:ascii="Arial" w:hAnsi="Arial"/>
        <w:b/>
        <w:noProof/>
      </w:rPr>
      <w:t>5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2C3172">
      <w:rPr>
        <w:rFonts w:ascii="Arial" w:hAnsi="Arial"/>
        <w:b/>
      </w:rPr>
      <w:t>9B18M131</w:t>
    </w:r>
  </w:p>
  <w:p w14:paraId="3BE662DB" w14:textId="77777777" w:rsidR="00770726" w:rsidRDefault="00770726">
    <w:pPr>
      <w:pStyle w:val="Header"/>
    </w:pPr>
  </w:p>
  <w:p w14:paraId="687A1ED0" w14:textId="77777777" w:rsidR="009C72CB" w:rsidRDefault="009C7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67142" w14:textId="153E933B" w:rsidR="00770726" w:rsidRPr="00C92CC4" w:rsidRDefault="00770726" w:rsidP="001C7777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>Page</w:t>
    </w:r>
    <w:r w:rsidR="009C72CB">
      <w:rPr>
        <w:rFonts w:ascii="Arial" w:hAnsi="Arial"/>
        <w:b/>
      </w:rPr>
      <w:t xml:space="preserve">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554E0E">
      <w:rPr>
        <w:rFonts w:ascii="Arial" w:hAnsi="Arial"/>
        <w:b/>
        <w:noProof/>
      </w:rPr>
      <w:t>8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554E0E">
      <w:rPr>
        <w:rFonts w:ascii="Arial" w:hAnsi="Arial"/>
        <w:b/>
      </w:rPr>
      <w:t>9B18M131</w:t>
    </w:r>
  </w:p>
  <w:p w14:paraId="2B53C0A0" w14:textId="77777777" w:rsidR="00770726" w:rsidRDefault="00770726" w:rsidP="00D13667">
    <w:pPr>
      <w:pStyle w:val="Header"/>
      <w:tabs>
        <w:tab w:val="clear" w:pos="4680"/>
      </w:tabs>
      <w:rPr>
        <w:sz w:val="18"/>
        <w:szCs w:val="18"/>
      </w:rPr>
    </w:pPr>
  </w:p>
  <w:p w14:paraId="47119730" w14:textId="77777777" w:rsidR="00770726" w:rsidRPr="00C92CC4" w:rsidRDefault="00770726" w:rsidP="00D13667">
    <w:pPr>
      <w:pStyle w:val="Header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C2C4F" w14:textId="412B239D" w:rsidR="009C72CB" w:rsidRPr="00C92CC4" w:rsidRDefault="009C72CB" w:rsidP="009C72CB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554E0E">
      <w:rPr>
        <w:rFonts w:ascii="Arial" w:hAnsi="Arial"/>
        <w:b/>
        <w:noProof/>
      </w:rPr>
      <w:t>6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554E0E">
      <w:rPr>
        <w:rFonts w:ascii="Arial" w:hAnsi="Arial"/>
        <w:b/>
      </w:rPr>
      <w:t>9B18M131</w:t>
    </w:r>
  </w:p>
  <w:p w14:paraId="252CB2FC" w14:textId="77777777" w:rsidR="009C72CB" w:rsidRDefault="009C72CB" w:rsidP="009C72CB">
    <w:pPr>
      <w:pStyle w:val="Header"/>
    </w:pPr>
  </w:p>
  <w:p w14:paraId="4D160AE1" w14:textId="77777777" w:rsidR="009C72CB" w:rsidRPr="009C72CB" w:rsidRDefault="009C72CB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7EBC"/>
    <w:multiLevelType w:val="hybridMultilevel"/>
    <w:tmpl w:val="68BA40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3479"/>
    <w:multiLevelType w:val="hybridMultilevel"/>
    <w:tmpl w:val="7C8E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B1C85"/>
    <w:multiLevelType w:val="hybridMultilevel"/>
    <w:tmpl w:val="A0E4F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2676C"/>
    <w:multiLevelType w:val="hybridMultilevel"/>
    <w:tmpl w:val="C3E48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01093A"/>
    <w:multiLevelType w:val="hybridMultilevel"/>
    <w:tmpl w:val="42762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B5D2C"/>
    <w:multiLevelType w:val="hybridMultilevel"/>
    <w:tmpl w:val="55AE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EA314B"/>
    <w:multiLevelType w:val="hybridMultilevel"/>
    <w:tmpl w:val="9448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754927"/>
    <w:multiLevelType w:val="hybridMultilevel"/>
    <w:tmpl w:val="5B5E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13360"/>
    <w:rsid w:val="00016759"/>
    <w:rsid w:val="000216CE"/>
    <w:rsid w:val="00024ED4"/>
    <w:rsid w:val="00025183"/>
    <w:rsid w:val="00025DC7"/>
    <w:rsid w:val="00035F09"/>
    <w:rsid w:val="00044ECC"/>
    <w:rsid w:val="000531D3"/>
    <w:rsid w:val="0005646B"/>
    <w:rsid w:val="0007009E"/>
    <w:rsid w:val="0008102D"/>
    <w:rsid w:val="00086B26"/>
    <w:rsid w:val="00094C0E"/>
    <w:rsid w:val="00096777"/>
    <w:rsid w:val="000A0FF7"/>
    <w:rsid w:val="000A146D"/>
    <w:rsid w:val="000D2A2F"/>
    <w:rsid w:val="000D7091"/>
    <w:rsid w:val="000F0C22"/>
    <w:rsid w:val="000F6B09"/>
    <w:rsid w:val="000F6FDC"/>
    <w:rsid w:val="00104567"/>
    <w:rsid w:val="00104916"/>
    <w:rsid w:val="00104AA7"/>
    <w:rsid w:val="00112EB7"/>
    <w:rsid w:val="0012732D"/>
    <w:rsid w:val="00143F25"/>
    <w:rsid w:val="00152682"/>
    <w:rsid w:val="00154FC9"/>
    <w:rsid w:val="00170F83"/>
    <w:rsid w:val="0019241A"/>
    <w:rsid w:val="00192A18"/>
    <w:rsid w:val="001A22D1"/>
    <w:rsid w:val="001A752D"/>
    <w:rsid w:val="001A757E"/>
    <w:rsid w:val="001B5032"/>
    <w:rsid w:val="001C7777"/>
    <w:rsid w:val="001D344B"/>
    <w:rsid w:val="001D6875"/>
    <w:rsid w:val="001E364F"/>
    <w:rsid w:val="001F1DAD"/>
    <w:rsid w:val="001F4222"/>
    <w:rsid w:val="00203AA1"/>
    <w:rsid w:val="00213E98"/>
    <w:rsid w:val="00230150"/>
    <w:rsid w:val="0023081A"/>
    <w:rsid w:val="00233111"/>
    <w:rsid w:val="00265FA8"/>
    <w:rsid w:val="002926F9"/>
    <w:rsid w:val="00295829"/>
    <w:rsid w:val="002B3B4F"/>
    <w:rsid w:val="002C3172"/>
    <w:rsid w:val="002C4E29"/>
    <w:rsid w:val="002E1401"/>
    <w:rsid w:val="002F460C"/>
    <w:rsid w:val="002F48D6"/>
    <w:rsid w:val="00304982"/>
    <w:rsid w:val="00316890"/>
    <w:rsid w:val="00317391"/>
    <w:rsid w:val="00326216"/>
    <w:rsid w:val="00336580"/>
    <w:rsid w:val="00354899"/>
    <w:rsid w:val="00355FD6"/>
    <w:rsid w:val="003609FD"/>
    <w:rsid w:val="0036285A"/>
    <w:rsid w:val="00364A5C"/>
    <w:rsid w:val="003669E7"/>
    <w:rsid w:val="00373FB1"/>
    <w:rsid w:val="00396C76"/>
    <w:rsid w:val="003970FC"/>
    <w:rsid w:val="003B23C7"/>
    <w:rsid w:val="003B30D8"/>
    <w:rsid w:val="003B7EF2"/>
    <w:rsid w:val="003C3FA4"/>
    <w:rsid w:val="003D0BA1"/>
    <w:rsid w:val="003D50EF"/>
    <w:rsid w:val="003F2B0C"/>
    <w:rsid w:val="003F6152"/>
    <w:rsid w:val="004105B2"/>
    <w:rsid w:val="0041145A"/>
    <w:rsid w:val="00412900"/>
    <w:rsid w:val="004221E4"/>
    <w:rsid w:val="00423168"/>
    <w:rsid w:val="004273F8"/>
    <w:rsid w:val="004355A3"/>
    <w:rsid w:val="00445891"/>
    <w:rsid w:val="00446546"/>
    <w:rsid w:val="00452769"/>
    <w:rsid w:val="00454FA7"/>
    <w:rsid w:val="00455EC9"/>
    <w:rsid w:val="00465348"/>
    <w:rsid w:val="00477433"/>
    <w:rsid w:val="004979A5"/>
    <w:rsid w:val="004A25E0"/>
    <w:rsid w:val="004B1CCB"/>
    <w:rsid w:val="004B5BF1"/>
    <w:rsid w:val="004B632F"/>
    <w:rsid w:val="004C32EB"/>
    <w:rsid w:val="004C5DD3"/>
    <w:rsid w:val="004D3FB1"/>
    <w:rsid w:val="004D6F21"/>
    <w:rsid w:val="004D73A5"/>
    <w:rsid w:val="005160F1"/>
    <w:rsid w:val="00524F2F"/>
    <w:rsid w:val="00527E5C"/>
    <w:rsid w:val="00532CF5"/>
    <w:rsid w:val="005528CB"/>
    <w:rsid w:val="00554E0E"/>
    <w:rsid w:val="00562F77"/>
    <w:rsid w:val="00565E60"/>
    <w:rsid w:val="00566771"/>
    <w:rsid w:val="0057261C"/>
    <w:rsid w:val="00581E2E"/>
    <w:rsid w:val="00584F15"/>
    <w:rsid w:val="0059514B"/>
    <w:rsid w:val="005A1B0F"/>
    <w:rsid w:val="005B5EFE"/>
    <w:rsid w:val="005D3123"/>
    <w:rsid w:val="005F439B"/>
    <w:rsid w:val="005F59FF"/>
    <w:rsid w:val="00610F7A"/>
    <w:rsid w:val="006163F7"/>
    <w:rsid w:val="00627C63"/>
    <w:rsid w:val="0063350B"/>
    <w:rsid w:val="00635C9A"/>
    <w:rsid w:val="00652606"/>
    <w:rsid w:val="006946EE"/>
    <w:rsid w:val="006A58A9"/>
    <w:rsid w:val="006A606D"/>
    <w:rsid w:val="006B770B"/>
    <w:rsid w:val="006C0371"/>
    <w:rsid w:val="006C08B6"/>
    <w:rsid w:val="006C0B1A"/>
    <w:rsid w:val="006C6065"/>
    <w:rsid w:val="006C7F9F"/>
    <w:rsid w:val="006E23D0"/>
    <w:rsid w:val="006E2F6D"/>
    <w:rsid w:val="006E58F6"/>
    <w:rsid w:val="006E77E1"/>
    <w:rsid w:val="006F131D"/>
    <w:rsid w:val="00700D85"/>
    <w:rsid w:val="00711642"/>
    <w:rsid w:val="0072036E"/>
    <w:rsid w:val="00731BDD"/>
    <w:rsid w:val="007507C6"/>
    <w:rsid w:val="00751E0B"/>
    <w:rsid w:val="00752BCD"/>
    <w:rsid w:val="00766DA1"/>
    <w:rsid w:val="00770726"/>
    <w:rsid w:val="00780D94"/>
    <w:rsid w:val="007866A6"/>
    <w:rsid w:val="007A130D"/>
    <w:rsid w:val="007B7471"/>
    <w:rsid w:val="007C7F23"/>
    <w:rsid w:val="007D1A2D"/>
    <w:rsid w:val="007D4102"/>
    <w:rsid w:val="007E53F1"/>
    <w:rsid w:val="007E54A7"/>
    <w:rsid w:val="007E5E2D"/>
    <w:rsid w:val="007F0AB8"/>
    <w:rsid w:val="007F43B7"/>
    <w:rsid w:val="007F4A90"/>
    <w:rsid w:val="007F7600"/>
    <w:rsid w:val="008066FF"/>
    <w:rsid w:val="0081638B"/>
    <w:rsid w:val="00816D85"/>
    <w:rsid w:val="00821FFC"/>
    <w:rsid w:val="008271CA"/>
    <w:rsid w:val="008467D5"/>
    <w:rsid w:val="0085112A"/>
    <w:rsid w:val="008A4DC4"/>
    <w:rsid w:val="008A66C2"/>
    <w:rsid w:val="008B438C"/>
    <w:rsid w:val="008B4C48"/>
    <w:rsid w:val="008C0775"/>
    <w:rsid w:val="008C29A0"/>
    <w:rsid w:val="008D06CA"/>
    <w:rsid w:val="008D3A46"/>
    <w:rsid w:val="008F15BC"/>
    <w:rsid w:val="008F2385"/>
    <w:rsid w:val="009067A4"/>
    <w:rsid w:val="0090723F"/>
    <w:rsid w:val="00930885"/>
    <w:rsid w:val="00933D68"/>
    <w:rsid w:val="009340D1"/>
    <w:rsid w:val="009340DB"/>
    <w:rsid w:val="009436A9"/>
    <w:rsid w:val="0094618C"/>
    <w:rsid w:val="0095684B"/>
    <w:rsid w:val="00957418"/>
    <w:rsid w:val="00963CB3"/>
    <w:rsid w:val="00972498"/>
    <w:rsid w:val="0097481F"/>
    <w:rsid w:val="00974CC6"/>
    <w:rsid w:val="00976AD4"/>
    <w:rsid w:val="00995547"/>
    <w:rsid w:val="009A267D"/>
    <w:rsid w:val="009A3122"/>
    <w:rsid w:val="009A312F"/>
    <w:rsid w:val="009A5348"/>
    <w:rsid w:val="009B0AB7"/>
    <w:rsid w:val="009C72CB"/>
    <w:rsid w:val="009C76D5"/>
    <w:rsid w:val="009D133A"/>
    <w:rsid w:val="009E2694"/>
    <w:rsid w:val="009E375E"/>
    <w:rsid w:val="009F7AA4"/>
    <w:rsid w:val="00A10AD7"/>
    <w:rsid w:val="00A238D2"/>
    <w:rsid w:val="00A46BE6"/>
    <w:rsid w:val="00A559DB"/>
    <w:rsid w:val="00A569EA"/>
    <w:rsid w:val="00A6025E"/>
    <w:rsid w:val="00A676A0"/>
    <w:rsid w:val="00AA65E6"/>
    <w:rsid w:val="00AB012E"/>
    <w:rsid w:val="00AB0E14"/>
    <w:rsid w:val="00AC3E30"/>
    <w:rsid w:val="00AC6BC1"/>
    <w:rsid w:val="00AE4792"/>
    <w:rsid w:val="00AF08EB"/>
    <w:rsid w:val="00AF35FC"/>
    <w:rsid w:val="00AF5556"/>
    <w:rsid w:val="00B03639"/>
    <w:rsid w:val="00B0652A"/>
    <w:rsid w:val="00B20F99"/>
    <w:rsid w:val="00B40937"/>
    <w:rsid w:val="00B423EF"/>
    <w:rsid w:val="00B437A6"/>
    <w:rsid w:val="00B453DE"/>
    <w:rsid w:val="00B62497"/>
    <w:rsid w:val="00B70C45"/>
    <w:rsid w:val="00B72597"/>
    <w:rsid w:val="00B86942"/>
    <w:rsid w:val="00B87DC0"/>
    <w:rsid w:val="00B901F9"/>
    <w:rsid w:val="00BC4D98"/>
    <w:rsid w:val="00BD6EFB"/>
    <w:rsid w:val="00BE33CE"/>
    <w:rsid w:val="00BE3DF5"/>
    <w:rsid w:val="00BF2E65"/>
    <w:rsid w:val="00BF5EAB"/>
    <w:rsid w:val="00C02410"/>
    <w:rsid w:val="00C0263F"/>
    <w:rsid w:val="00C05A92"/>
    <w:rsid w:val="00C0648C"/>
    <w:rsid w:val="00C1584D"/>
    <w:rsid w:val="00C15BE2"/>
    <w:rsid w:val="00C3447F"/>
    <w:rsid w:val="00C3738D"/>
    <w:rsid w:val="00C42208"/>
    <w:rsid w:val="00C44714"/>
    <w:rsid w:val="00C63EA7"/>
    <w:rsid w:val="00C67102"/>
    <w:rsid w:val="00C81491"/>
    <w:rsid w:val="00C81676"/>
    <w:rsid w:val="00C85C5D"/>
    <w:rsid w:val="00C92CC4"/>
    <w:rsid w:val="00CA0AFB"/>
    <w:rsid w:val="00CA2CE1"/>
    <w:rsid w:val="00CA3976"/>
    <w:rsid w:val="00CA50E3"/>
    <w:rsid w:val="00CA757B"/>
    <w:rsid w:val="00CC1787"/>
    <w:rsid w:val="00CC182C"/>
    <w:rsid w:val="00CD0824"/>
    <w:rsid w:val="00CD2908"/>
    <w:rsid w:val="00D03A82"/>
    <w:rsid w:val="00D12F89"/>
    <w:rsid w:val="00D13667"/>
    <w:rsid w:val="00D15344"/>
    <w:rsid w:val="00D175C0"/>
    <w:rsid w:val="00D23F57"/>
    <w:rsid w:val="00D31BEC"/>
    <w:rsid w:val="00D36F2B"/>
    <w:rsid w:val="00D63150"/>
    <w:rsid w:val="00D636BA"/>
    <w:rsid w:val="00D64A32"/>
    <w:rsid w:val="00D64EFC"/>
    <w:rsid w:val="00D726B5"/>
    <w:rsid w:val="00D75295"/>
    <w:rsid w:val="00D76CE9"/>
    <w:rsid w:val="00D97F12"/>
    <w:rsid w:val="00DA6095"/>
    <w:rsid w:val="00DB42E7"/>
    <w:rsid w:val="00DB4D33"/>
    <w:rsid w:val="00DC09D8"/>
    <w:rsid w:val="00DE01A6"/>
    <w:rsid w:val="00DE5A24"/>
    <w:rsid w:val="00DE7A98"/>
    <w:rsid w:val="00DF0EF8"/>
    <w:rsid w:val="00DF32C2"/>
    <w:rsid w:val="00E02199"/>
    <w:rsid w:val="00E32492"/>
    <w:rsid w:val="00E33EBC"/>
    <w:rsid w:val="00E43211"/>
    <w:rsid w:val="00E471A7"/>
    <w:rsid w:val="00E542EF"/>
    <w:rsid w:val="00E56634"/>
    <w:rsid w:val="00E635CF"/>
    <w:rsid w:val="00E65A03"/>
    <w:rsid w:val="00EA0104"/>
    <w:rsid w:val="00EA6CD5"/>
    <w:rsid w:val="00EB1E3B"/>
    <w:rsid w:val="00EC26AD"/>
    <w:rsid w:val="00EC6E0A"/>
    <w:rsid w:val="00EC7058"/>
    <w:rsid w:val="00ED4E18"/>
    <w:rsid w:val="00ED76BE"/>
    <w:rsid w:val="00ED7922"/>
    <w:rsid w:val="00EE02C4"/>
    <w:rsid w:val="00EE1F37"/>
    <w:rsid w:val="00EE4B88"/>
    <w:rsid w:val="00F0159C"/>
    <w:rsid w:val="00F0415D"/>
    <w:rsid w:val="00F105B7"/>
    <w:rsid w:val="00F11BC1"/>
    <w:rsid w:val="00F13220"/>
    <w:rsid w:val="00F16058"/>
    <w:rsid w:val="00F17A21"/>
    <w:rsid w:val="00F37B27"/>
    <w:rsid w:val="00F46556"/>
    <w:rsid w:val="00F50E91"/>
    <w:rsid w:val="00F57D29"/>
    <w:rsid w:val="00F60786"/>
    <w:rsid w:val="00F916A1"/>
    <w:rsid w:val="00F91BC7"/>
    <w:rsid w:val="00F96201"/>
    <w:rsid w:val="00FA0642"/>
    <w:rsid w:val="00FA1BBC"/>
    <w:rsid w:val="00FB024D"/>
    <w:rsid w:val="00FC42B5"/>
    <w:rsid w:val="00FC4F2B"/>
    <w:rsid w:val="00FD0B18"/>
    <w:rsid w:val="00FD2FAD"/>
    <w:rsid w:val="00FD35AA"/>
    <w:rsid w:val="00FD718A"/>
    <w:rsid w:val="00FE714F"/>
    <w:rsid w:val="00FF28AB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9AA937"/>
  <w15:docId w15:val="{1EE1BD04-684C-4A25-ABE8-DB2AFF1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273F8"/>
    <w:pPr>
      <w:keepNext/>
      <w:keepLines/>
      <w:spacing w:before="480" w:line="276" w:lineRule="auto"/>
      <w:outlineLvl w:val="0"/>
    </w:pPr>
    <w:rPr>
      <w:rFonts w:ascii="Arial" w:hAnsi="Arial"/>
      <w:b/>
      <w:bCs/>
      <w:color w:val="365F91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273F8"/>
    <w:pPr>
      <w:keepNext/>
      <w:keepLines/>
      <w:spacing w:before="200" w:line="276" w:lineRule="auto"/>
      <w:outlineLvl w:val="1"/>
    </w:pPr>
    <w:rPr>
      <w:rFonts w:ascii="Arial" w:hAnsi="Arial"/>
      <w:b/>
      <w:bCs/>
      <w:color w:val="4F81BD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273F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1C7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C77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273F8"/>
    <w:pPr>
      <w:keepNext/>
      <w:outlineLvl w:val="6"/>
    </w:pPr>
    <w:rPr>
      <w:b/>
      <w:bCs/>
      <w:sz w:val="24"/>
      <w:szCs w:val="24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711642"/>
    <w:pPr>
      <w:tabs>
        <w:tab w:val="left" w:pos="0"/>
      </w:tabs>
      <w:jc w:val="center"/>
      <w:outlineLvl w:val="7"/>
    </w:pPr>
    <w:rPr>
      <w:b/>
      <w:sz w:val="18"/>
      <w:lang w:val="en-AU"/>
    </w:rPr>
  </w:style>
  <w:style w:type="paragraph" w:styleId="Heading9">
    <w:name w:val="heading 9"/>
    <w:basedOn w:val="Normal"/>
    <w:next w:val="Normal"/>
    <w:link w:val="Heading9Char"/>
    <w:qFormat/>
    <w:rsid w:val="00711642"/>
    <w:pPr>
      <w:spacing w:before="40" w:after="40"/>
      <w:outlineLvl w:val="8"/>
    </w:pPr>
    <w:rPr>
      <w:b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3F8"/>
    <w:rPr>
      <w:rFonts w:ascii="Arial" w:eastAsia="Times New Roman" w:hAnsi="Arial" w:cs="Times New Roman"/>
      <w:b/>
      <w:bCs/>
      <w:color w:val="365F91"/>
      <w:sz w:val="20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273F8"/>
    <w:rPr>
      <w:rFonts w:ascii="Arial" w:eastAsia="Times New Roman" w:hAnsi="Arial" w:cs="Times New Roman"/>
      <w:b/>
      <w:bCs/>
      <w:color w:val="4F81BD"/>
      <w:sz w:val="20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273F8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273F8"/>
    <w:rPr>
      <w:rFonts w:ascii="Times New Roman" w:eastAsia="Times New Roman" w:hAnsi="Times New Roman" w:cs="Times New Roman"/>
      <w:b/>
      <w:bCs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paragraph" w:styleId="BalloonText">
    <w:name w:val="Balloon Text"/>
    <w:basedOn w:val="Normal"/>
    <w:link w:val="BalloonTextChar"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454FA7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454FA7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C02410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C02410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link w:val="footnotetextCharChar"/>
    <w:rsid w:val="00BC4D9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Cs/>
      <w:sz w:val="17"/>
      <w:szCs w:val="17"/>
    </w:rPr>
  </w:style>
  <w:style w:type="paragraph" w:styleId="NormalWeb">
    <w:name w:val="Normal (Web)"/>
    <w:basedOn w:val="Normal"/>
    <w:uiPriority w:val="99"/>
    <w:unhideWhenUsed/>
    <w:rsid w:val="004273F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rsid w:val="004273F8"/>
  </w:style>
  <w:style w:type="character" w:customStyle="1" w:styleId="apple-converted-space">
    <w:name w:val="apple-converted-space"/>
    <w:basedOn w:val="DefaultParagraphFont"/>
    <w:rsid w:val="004273F8"/>
  </w:style>
  <w:style w:type="character" w:styleId="Strong">
    <w:name w:val="Strong"/>
    <w:qFormat/>
    <w:rsid w:val="004273F8"/>
    <w:rPr>
      <w:b/>
      <w:bCs/>
    </w:rPr>
  </w:style>
  <w:style w:type="character" w:styleId="IntenseReference">
    <w:name w:val="Intense Reference"/>
    <w:qFormat/>
    <w:rsid w:val="004273F8"/>
    <w:rPr>
      <w:b/>
      <w:bCs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nhideWhenUsed/>
    <w:rsid w:val="004273F8"/>
    <w:rPr>
      <w:rFonts w:ascii="Calibri" w:eastAsia="Calibri" w:hAnsi="Calibri"/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4273F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EndnoteReference">
    <w:name w:val="endnote reference"/>
    <w:unhideWhenUsed/>
    <w:qFormat/>
    <w:rsid w:val="004273F8"/>
    <w:rPr>
      <w:vertAlign w:val="superscript"/>
    </w:rPr>
  </w:style>
  <w:style w:type="paragraph" w:styleId="NoSpacing">
    <w:name w:val="No Spacing"/>
    <w:link w:val="NoSpacingChar"/>
    <w:qFormat/>
    <w:rsid w:val="004273F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rsid w:val="004273F8"/>
    <w:rPr>
      <w:rFonts w:ascii="Calibri" w:eastAsia="Calibri" w:hAnsi="Calibri" w:cs="Times New Roman"/>
      <w:lang w:val="en-IN"/>
    </w:rPr>
  </w:style>
  <w:style w:type="character" w:styleId="FollowedHyperlink">
    <w:name w:val="FollowedHyperlink"/>
    <w:unhideWhenUsed/>
    <w:rsid w:val="004273F8"/>
    <w:rPr>
      <w:color w:val="800080"/>
      <w:u w:val="single"/>
    </w:rPr>
  </w:style>
  <w:style w:type="paragraph" w:customStyle="1" w:styleId="Casehead40">
    <w:name w:val="Casehead4"/>
    <w:basedOn w:val="Normal"/>
    <w:next w:val="Normal"/>
    <w:rsid w:val="004273F8"/>
    <w:pPr>
      <w:tabs>
        <w:tab w:val="left" w:pos="-1440"/>
        <w:tab w:val="left" w:pos="-720"/>
        <w:tab w:val="left" w:pos="1"/>
      </w:tabs>
      <w:jc w:val="both"/>
    </w:pPr>
    <w:rPr>
      <w:i/>
      <w:noProof/>
      <w:sz w:val="24"/>
    </w:rPr>
  </w:style>
  <w:style w:type="table" w:styleId="TableGrid">
    <w:name w:val="Table Grid"/>
    <w:basedOn w:val="TableNormal"/>
    <w:uiPriority w:val="39"/>
    <w:rsid w:val="0033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DE0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01A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BodyText"/>
    <w:rsid w:val="00DE01A6"/>
    <w:pPr>
      <w:spacing w:after="0"/>
      <w:jc w:val="both"/>
    </w:pPr>
    <w:rPr>
      <w:sz w:val="24"/>
      <w:szCs w:val="24"/>
    </w:rPr>
  </w:style>
  <w:style w:type="paragraph" w:customStyle="1" w:styleId="nsource1">
    <w:name w:val="nsource1"/>
    <w:basedOn w:val="Normal"/>
    <w:rsid w:val="00711642"/>
    <w:pPr>
      <w:tabs>
        <w:tab w:val="left" w:pos="900"/>
        <w:tab w:val="left" w:pos="1080"/>
        <w:tab w:val="left" w:pos="1260"/>
      </w:tabs>
      <w:ind w:left="1260" w:hanging="1260"/>
    </w:pPr>
    <w:rPr>
      <w:lang w:val="en-AU"/>
    </w:rPr>
  </w:style>
  <w:style w:type="paragraph" w:styleId="BodyTextIndent3">
    <w:name w:val="Body Text Indent 3"/>
    <w:basedOn w:val="Normal"/>
    <w:link w:val="BodyTextIndent3Char"/>
    <w:rsid w:val="0071164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1642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rsid w:val="00711642"/>
  </w:style>
  <w:style w:type="paragraph" w:styleId="Title">
    <w:name w:val="Title"/>
    <w:basedOn w:val="Normal"/>
    <w:link w:val="TitleChar"/>
    <w:qFormat/>
    <w:rsid w:val="00711642"/>
    <w:pPr>
      <w:spacing w:after="240"/>
      <w:jc w:val="center"/>
    </w:pPr>
    <w:rPr>
      <w:b/>
      <w:sz w:val="24"/>
      <w:lang w:val="en-AU"/>
    </w:rPr>
  </w:style>
  <w:style w:type="character" w:customStyle="1" w:styleId="TitleChar">
    <w:name w:val="Title Char"/>
    <w:basedOn w:val="DefaultParagraphFont"/>
    <w:link w:val="Title"/>
    <w:rsid w:val="00711642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styleId="Emphasis">
    <w:name w:val="Emphasis"/>
    <w:qFormat/>
    <w:rsid w:val="00711642"/>
    <w:rPr>
      <w:i/>
      <w:iCs/>
    </w:rPr>
  </w:style>
  <w:style w:type="character" w:customStyle="1" w:styleId="citation">
    <w:name w:val="citation"/>
    <w:basedOn w:val="DefaultParagraphFont"/>
    <w:rsid w:val="0023081A"/>
  </w:style>
  <w:style w:type="character" w:customStyle="1" w:styleId="reference-accessdate">
    <w:name w:val="reference-accessdate"/>
    <w:basedOn w:val="DefaultParagraphFont"/>
    <w:rsid w:val="0023081A"/>
  </w:style>
  <w:style w:type="character" w:customStyle="1" w:styleId="xn-person">
    <w:name w:val="xn-person"/>
    <w:basedOn w:val="DefaultParagraphFont"/>
    <w:rsid w:val="0023081A"/>
  </w:style>
  <w:style w:type="character" w:customStyle="1" w:styleId="bold01">
    <w:name w:val="bold_01"/>
    <w:basedOn w:val="DefaultParagraphFont"/>
    <w:rsid w:val="0023081A"/>
  </w:style>
  <w:style w:type="character" w:customStyle="1" w:styleId="cst-tbl-subtitle">
    <w:name w:val="cst-tbl-subtitle"/>
    <w:basedOn w:val="DefaultParagraphFont"/>
    <w:rsid w:val="0023081A"/>
  </w:style>
  <w:style w:type="paragraph" w:styleId="Revision">
    <w:name w:val="Revision"/>
    <w:hidden/>
    <w:rsid w:val="0023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C77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77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asehead10">
    <w:name w:val="casehead1"/>
    <w:basedOn w:val="Normal"/>
    <w:next w:val="BodyText"/>
    <w:rsid w:val="001C7777"/>
    <w:rPr>
      <w:rFonts w:ascii="Arial" w:hAnsi="Arial"/>
      <w:b/>
      <w:caps/>
      <w:lang w:eastAsia="en-CA"/>
    </w:rPr>
  </w:style>
  <w:style w:type="paragraph" w:customStyle="1" w:styleId="casehead20">
    <w:name w:val="casehead2"/>
    <w:basedOn w:val="Normal"/>
    <w:next w:val="BodyText"/>
    <w:rsid w:val="001C7777"/>
    <w:rPr>
      <w:rFonts w:ascii="Arial" w:hAnsi="Arial"/>
      <w:b/>
      <w:lang w:eastAsia="en-CA"/>
    </w:rPr>
  </w:style>
  <w:style w:type="table" w:styleId="MediumList1">
    <w:name w:val="Medium List 1"/>
    <w:basedOn w:val="TableNormal"/>
    <w:uiPriority w:val="65"/>
    <w:rsid w:val="00DC09D8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MainTitleCharChar">
    <w:name w:val="Main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BodyTextMainCharCharChar">
    <w:name w:val="Body Text Main Char Char Char"/>
    <w:rsid w:val="00ED7922"/>
    <w:rPr>
      <w:rFonts w:ascii="Times New Roman" w:eastAsia="Times New Roman" w:hAnsi="Times New Roman" w:cs="Times New Roman"/>
    </w:rPr>
  </w:style>
  <w:style w:type="character" w:customStyle="1" w:styleId="CaseTitleCharChar">
    <w:name w:val="Cas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TeachingNoteTitleCharChar">
    <w:name w:val="Teaching Not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CommentReference1">
    <w:name w:val="Comment Reference1"/>
    <w:rsid w:val="00ED7922"/>
    <w:rPr>
      <w:sz w:val="16"/>
      <w:szCs w:val="16"/>
    </w:rPr>
  </w:style>
  <w:style w:type="character" w:customStyle="1" w:styleId="Casehead2CharChar">
    <w:name w:val="Casehead 2 Char Char"/>
    <w:rsid w:val="00ED7922"/>
    <w:rPr>
      <w:rFonts w:ascii="Arial" w:eastAsia="Times New Roman" w:hAnsi="Arial" w:cs="Arial"/>
      <w:b/>
      <w:caps w:val="0"/>
      <w:sz w:val="20"/>
      <w:szCs w:val="20"/>
    </w:rPr>
  </w:style>
  <w:style w:type="character" w:customStyle="1" w:styleId="Casehead4CharChar">
    <w:name w:val="Casehead 4 Char Char"/>
    <w:rsid w:val="00ED7922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character" w:customStyle="1" w:styleId="Casehead1CharChar">
    <w:name w:val="Casehead 1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hps">
    <w:name w:val="hps"/>
    <w:basedOn w:val="DefaultParagraphFont"/>
    <w:rsid w:val="00ED7922"/>
  </w:style>
  <w:style w:type="character" w:customStyle="1" w:styleId="ExhibitNumberCharChar">
    <w:name w:val="Exhibit Number Char Char"/>
    <w:rsid w:val="00ED7922"/>
    <w:rPr>
      <w:rFonts w:ascii="Arial" w:eastAsia="Times New Roman" w:hAnsi="Arial" w:cs="Arial"/>
      <w:b/>
      <w:sz w:val="20"/>
      <w:szCs w:val="20"/>
    </w:rPr>
  </w:style>
  <w:style w:type="character" w:customStyle="1" w:styleId="Quotation3LinesCharChar">
    <w:name w:val="Quotation (3+ Lines) Char Char"/>
    <w:rsid w:val="00ED7922"/>
    <w:rPr>
      <w:rFonts w:ascii="Times New Roman" w:eastAsia="Times New Roman" w:hAnsi="Times New Roman" w:cs="Times New Roman"/>
    </w:rPr>
  </w:style>
  <w:style w:type="character" w:customStyle="1" w:styleId="FootnoteCharChar">
    <w:name w:val="Footnote Char Char"/>
    <w:rsid w:val="00ED7922"/>
    <w:rPr>
      <w:rFonts w:ascii="Arial" w:eastAsia="Times New Roman" w:hAnsi="Arial" w:cs="Arial"/>
      <w:kern w:val="2"/>
      <w:sz w:val="17"/>
      <w:szCs w:val="17"/>
    </w:rPr>
  </w:style>
  <w:style w:type="character" w:customStyle="1" w:styleId="ExhibitHeadingCharChar">
    <w:name w:val="Exhibit Heading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CommentSubjectCharChar">
    <w:name w:val="Comment Subject Char Char"/>
    <w:rsid w:val="00ED79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sehead3CharChar">
    <w:name w:val="Casehead 3 Char Char"/>
    <w:rsid w:val="00ED7922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character" w:customStyle="1" w:styleId="BodyTextIndentCharChar">
    <w:name w:val="Body Text Indent Char Char"/>
    <w:link w:val="BodyTextIndent1"/>
    <w:rsid w:val="00ED792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MainCharChar">
    <w:name w:val="Body Text Main Char Char"/>
    <w:rsid w:val="00ED7922"/>
    <w:rPr>
      <w:rFonts w:ascii="Times New Roman" w:eastAsia="Times New Roman" w:hAnsi="Times New Roman" w:cs="Times New Roman"/>
    </w:rPr>
  </w:style>
  <w:style w:type="character" w:customStyle="1" w:styleId="CommentSubjectChar1">
    <w:name w:val="Comment Subject Char1"/>
    <w:link w:val="CommentSubject1"/>
    <w:rsid w:val="00ED7922"/>
    <w:rPr>
      <w:rFonts w:ascii="Times New Roman" w:eastAsia="Times New Roman" w:hAnsi="Times New Roman" w:cs="Times New Roman"/>
      <w:b/>
      <w:bCs/>
      <w:kern w:val="2"/>
      <w:szCs w:val="20"/>
    </w:rPr>
  </w:style>
  <w:style w:type="character" w:customStyle="1" w:styleId="CommentReference2">
    <w:name w:val="Comment Reference2"/>
    <w:rsid w:val="00ED7922"/>
    <w:rPr>
      <w:sz w:val="16"/>
      <w:szCs w:val="16"/>
    </w:rPr>
  </w:style>
  <w:style w:type="character" w:customStyle="1" w:styleId="atn">
    <w:name w:val="atn"/>
    <w:basedOn w:val="DefaultParagraphFont"/>
    <w:rsid w:val="00ED7922"/>
  </w:style>
  <w:style w:type="character" w:customStyle="1" w:styleId="footnotetextCharChar">
    <w:name w:val="footnote text Char Char"/>
    <w:link w:val="FootnoteText1"/>
    <w:rsid w:val="00ED7922"/>
    <w:rPr>
      <w:rFonts w:ascii="Arial" w:eastAsia="Times New Roman" w:hAnsi="Arial" w:cs="Arial"/>
      <w:iCs/>
      <w:sz w:val="17"/>
      <w:szCs w:val="17"/>
    </w:rPr>
  </w:style>
  <w:style w:type="character" w:customStyle="1" w:styleId="BodyTextIndent3CharChar">
    <w:name w:val="Body Text Indent 3 Char Char"/>
    <w:link w:val="BodyTextIndent31"/>
    <w:rsid w:val="00ED7922"/>
    <w:rPr>
      <w:rFonts w:ascii="Times New Roman" w:eastAsia="Times New Roman" w:hAnsi="Times New Roman" w:cs="Times New Roman"/>
      <w:sz w:val="16"/>
      <w:szCs w:val="16"/>
    </w:rPr>
  </w:style>
  <w:style w:type="character" w:customStyle="1" w:styleId="ProductNumberCharChar">
    <w:name w:val="Product Number Char Char"/>
    <w:rsid w:val="00ED79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PageNumber1">
    <w:name w:val="Page Number1"/>
    <w:basedOn w:val="DefaultParagraphFont"/>
    <w:rsid w:val="00ED7922"/>
  </w:style>
  <w:style w:type="character" w:customStyle="1" w:styleId="ExhibitTextCharChar">
    <w:name w:val="Exhibit Text Char Char"/>
    <w:rsid w:val="00ED7922"/>
    <w:rPr>
      <w:rFonts w:ascii="Arial" w:eastAsia="Times New Roman" w:hAnsi="Arial" w:cs="Arial"/>
      <w:sz w:val="20"/>
      <w:szCs w:val="20"/>
    </w:rPr>
  </w:style>
  <w:style w:type="paragraph" w:customStyle="1" w:styleId="NewNew">
    <w:name w:val="页眉 New New"/>
    <w:basedOn w:val="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BodyTextIndent1">
    <w:name w:val="Body Text Indent1"/>
    <w:basedOn w:val="Normal"/>
    <w:link w:val="BodyTextIndentCharChar"/>
    <w:rsid w:val="00ED7922"/>
    <w:pPr>
      <w:spacing w:after="120"/>
      <w:ind w:left="360"/>
    </w:pPr>
  </w:style>
  <w:style w:type="paragraph" w:customStyle="1" w:styleId="NormalNew">
    <w:name w:val="Normal New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BodyTextIndent31">
    <w:name w:val="Body Text Indent 31"/>
    <w:basedOn w:val="Normal"/>
    <w:link w:val="BodyTextIndent3CharChar"/>
    <w:rsid w:val="00ED7922"/>
    <w:pPr>
      <w:spacing w:after="120"/>
      <w:ind w:left="360"/>
    </w:pPr>
    <w:rPr>
      <w:sz w:val="16"/>
      <w:szCs w:val="16"/>
    </w:rPr>
  </w:style>
  <w:style w:type="paragraph" w:customStyle="1" w:styleId="NewNew0">
    <w:name w:val="页脚 New New"/>
    <w:basedOn w:val="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">
    <w:name w:val="页脚 New"/>
    <w:basedOn w:val="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NewNewNew0">
    <w:name w:val="页眉 New New New New"/>
    <w:basedOn w:val="New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New1">
    <w:name w:val="页脚 New New New New"/>
    <w:basedOn w:val="New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2">
    <w:name w:val="Normal2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CommentSubject1">
    <w:name w:val="Comment Subject1"/>
    <w:basedOn w:val="CommentText"/>
    <w:next w:val="CommentText"/>
    <w:link w:val="CommentSubjectChar1"/>
    <w:rsid w:val="00ED7922"/>
    <w:rPr>
      <w:b/>
      <w:bCs/>
      <w:kern w:val="2"/>
      <w:sz w:val="22"/>
    </w:rPr>
  </w:style>
  <w:style w:type="paragraph" w:customStyle="1" w:styleId="NormalWeb1">
    <w:name w:val="Normal (Web)1"/>
    <w:basedOn w:val="Normal"/>
    <w:rsid w:val="00ED7922"/>
    <w:pPr>
      <w:spacing w:before="100" w:beforeAutospacing="1" w:after="100" w:afterAutospacing="1"/>
    </w:pPr>
    <w:rPr>
      <w:kern w:val="2"/>
      <w:sz w:val="24"/>
      <w:szCs w:val="24"/>
    </w:rPr>
  </w:style>
  <w:style w:type="paragraph" w:customStyle="1" w:styleId="Normal1">
    <w:name w:val="Normal1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0">
    <w:name w:val="页眉 New"/>
    <w:basedOn w:val="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">
    <w:name w:val="页眉 New New New"/>
    <w:basedOn w:val="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0">
    <w:name w:val="页脚 New New New"/>
    <w:basedOn w:val="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3">
    <w:name w:val="Normal3"/>
    <w:link w:val="Normal3Char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1">
    <w:name w:val="正文 New"/>
    <w:rsid w:val="00ED7922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customStyle="1" w:styleId="NewNewNewNewNew">
    <w:name w:val="正文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">
    <w:name w:val="正文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styleId="TOCHeading">
    <w:name w:val="TOC Heading"/>
    <w:basedOn w:val="Heading1"/>
    <w:next w:val="Normal"/>
    <w:qFormat/>
    <w:rsid w:val="00ED7922"/>
    <w:pPr>
      <w:spacing w:before="240" w:line="259" w:lineRule="auto"/>
      <w:outlineLvl w:val="9"/>
    </w:pPr>
    <w:rPr>
      <w:rFonts w:ascii="Cambria" w:hAnsi="Cambria"/>
      <w:b w:val="0"/>
      <w:bCs w:val="0"/>
      <w:color w:val="365F90"/>
      <w:kern w:val="2"/>
      <w:sz w:val="32"/>
      <w:szCs w:val="32"/>
      <w:lang w:val="en-US" w:eastAsia="en-US"/>
    </w:rPr>
  </w:style>
  <w:style w:type="paragraph" w:customStyle="1" w:styleId="NewNew1">
    <w:name w:val="正文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paragraph" w:customStyle="1" w:styleId="NewNewNewNewNewNew">
    <w:name w:val="正文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NewNewNew">
    <w:name w:val="正文 New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Default">
    <w:name w:val="Default"/>
    <w:rsid w:val="00ED7922"/>
    <w:pPr>
      <w:widowControl w:val="0"/>
      <w:autoSpaceDE w:val="0"/>
      <w:autoSpaceDN w:val="0"/>
      <w:spacing w:after="0" w:line="240" w:lineRule="auto"/>
    </w:pPr>
    <w:rPr>
      <w:rFonts w:ascii="KaiTi_GB2312" w:eastAsia="KaiTi_GB2312" w:hAnsi="KaiTi_GB2312" w:cs="Times New Roman" w:hint="eastAsia"/>
      <w:color w:val="000000"/>
      <w:sz w:val="24"/>
      <w:szCs w:val="20"/>
    </w:rPr>
  </w:style>
  <w:style w:type="paragraph" w:customStyle="1" w:styleId="NewNewNew1">
    <w:name w:val="正文 New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customStyle="1" w:styleId="CommentSubjectChar2">
    <w:name w:val="Comment Subject Char2"/>
    <w:uiPriority w:val="99"/>
    <w:semiHidden/>
    <w:rsid w:val="00ED7922"/>
    <w:rPr>
      <w:rFonts w:ascii="Times New Roman" w:eastAsia="Times New Roman" w:hAnsi="Times New Roman" w:cs="Times New Roman"/>
      <w:b/>
      <w:bCs/>
      <w:kern w:val="2"/>
      <w:sz w:val="20"/>
      <w:szCs w:val="20"/>
      <w:lang w:val="en-US" w:eastAsia="en-US"/>
    </w:rPr>
  </w:style>
  <w:style w:type="paragraph" w:customStyle="1" w:styleId="Paragraph">
    <w:name w:val="Paragraph"/>
    <w:basedOn w:val="Normal3"/>
    <w:link w:val="ParagraphChar"/>
    <w:qFormat/>
    <w:rsid w:val="00ED7922"/>
    <w:pPr>
      <w:widowControl w:val="0"/>
      <w:autoSpaceDE w:val="0"/>
      <w:autoSpaceDN w:val="0"/>
    </w:pPr>
    <w:rPr>
      <w:lang w:val="en-CA"/>
    </w:rPr>
  </w:style>
  <w:style w:type="character" w:customStyle="1" w:styleId="Normal3Char">
    <w:name w:val="Normal3 Char"/>
    <w:basedOn w:val="DefaultParagraphFont"/>
    <w:link w:val="Normal3"/>
    <w:rsid w:val="00ED7922"/>
    <w:rPr>
      <w:rFonts w:ascii="Times New Roman" w:eastAsia="SimSun" w:hAnsi="Times New Roman" w:cs="Times New Roman"/>
      <w:kern w:val="2"/>
      <w:sz w:val="21"/>
      <w:szCs w:val="20"/>
    </w:rPr>
  </w:style>
  <w:style w:type="character" w:customStyle="1" w:styleId="ParagraphChar">
    <w:name w:val="Paragraph Char"/>
    <w:basedOn w:val="Normal3Char"/>
    <w:link w:val="Paragraph"/>
    <w:rsid w:val="00ED7922"/>
    <w:rPr>
      <w:rFonts w:ascii="Times New Roman" w:eastAsia="SimSun" w:hAnsi="Times New Roman" w:cs="Times New Roman"/>
      <w:kern w:val="2"/>
      <w:sz w:val="21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ED7922"/>
    <w:pPr>
      <w:widowControl w:val="0"/>
      <w:autoSpaceDE w:val="0"/>
      <w:autoSpaceDN w:val="0"/>
      <w:jc w:val="right"/>
    </w:pPr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FC4F2B"/>
    <w:rPr>
      <w:rFonts w:ascii="Consolas" w:hAnsi="Consolas" w:cs="Consolas"/>
      <w:color w:val="1F497D" w:themeColor="text2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C4F2B"/>
    <w:rPr>
      <w:rFonts w:ascii="Consolas" w:eastAsia="Times New Roman" w:hAnsi="Consolas" w:cs="Consolas"/>
      <w:color w:val="1F497D" w:themeColor="text2"/>
      <w:sz w:val="21"/>
      <w:szCs w:val="21"/>
      <w:lang w:eastAsia="zh-CN"/>
    </w:rPr>
  </w:style>
  <w:style w:type="character" w:customStyle="1" w:styleId="articlefulltext">
    <w:name w:val="articlefulltext"/>
    <w:basedOn w:val="DefaultParagraphFont"/>
    <w:rsid w:val="00FC4F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1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F:\Junkkari\First%20Review%20Files\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2"/>
          <c:order val="0"/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Sheet1!$A$1:$A$7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numCache>
            </c:numRef>
          </c:cat>
          <c:val>
            <c:numRef>
              <c:f>Sheet1!$B$1:$B$7</c:f>
              <c:numCache>
                <c:formatCode>General</c:formatCode>
                <c:ptCount val="7"/>
                <c:pt idx="0">
                  <c:v>91</c:v>
                </c:pt>
                <c:pt idx="1">
                  <c:v>111</c:v>
                </c:pt>
                <c:pt idx="2">
                  <c:v>103</c:v>
                </c:pt>
                <c:pt idx="3">
                  <c:v>98</c:v>
                </c:pt>
                <c:pt idx="4">
                  <c:v>92</c:v>
                </c:pt>
                <c:pt idx="5">
                  <c:v>90</c:v>
                </c:pt>
                <c:pt idx="6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536-40A2-8488-5F5DA256C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5211656"/>
        <c:axId val="345212048"/>
      </c:barChart>
      <c:catAx>
        <c:axId val="34521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45212048"/>
        <c:crosses val="autoZero"/>
        <c:auto val="1"/>
        <c:lblAlgn val="ctr"/>
        <c:lblOffset val="100"/>
        <c:noMultiLvlLbl val="0"/>
      </c:catAx>
      <c:valAx>
        <c:axId val="34521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45211656"/>
        <c:crosses val="autoZero"/>
        <c:crossBetween val="between"/>
      </c:valAx>
      <c:spPr>
        <a:solidFill>
          <a:schemeClr val="bg1"/>
        </a:solidFill>
        <a:ln>
          <a:solidFill>
            <a:sysClr val="window" lastClr="FFFFFF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" lastClr="FFFFFF"/>
      </a:solidFill>
      <a:prstDash val="solid"/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7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AF25010-F96A-4C0E-9E45-0AC2DDA01CDF}">
  <we:reference id="wa104043061" version="1.1.1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CCC03E-A6C8-4798-A2B5-C416993A7C77}">
  <we:reference id="wa104041485" version="1.1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ACDBC-94EE-4D66-82ED-BBB83468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19548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smuir</dc:creator>
  <cp:keywords/>
  <cp:lastModifiedBy>Gow, Jasmin</cp:lastModifiedBy>
  <cp:revision>6</cp:revision>
  <cp:lastPrinted>2018-09-10T15:50:00Z</cp:lastPrinted>
  <dcterms:created xsi:type="dcterms:W3CDTF">2018-09-10T15:47:00Z</dcterms:created>
  <dcterms:modified xsi:type="dcterms:W3CDTF">2018-09-14T15:28:00Z</dcterms:modified>
</cp:coreProperties>
</file>