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746EE9"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CB1DC7" w:rsidP="00F105B7">
      <w:pPr>
        <w:pStyle w:val="ProductNumber"/>
      </w:pPr>
      <w:r>
        <w:t>9B18M134</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CB1DC7" w:rsidP="00013360">
      <w:pPr>
        <w:pStyle w:val="CaseTitle"/>
        <w:spacing w:after="0" w:line="240" w:lineRule="auto"/>
        <w:rPr>
          <w:sz w:val="20"/>
          <w:szCs w:val="20"/>
        </w:rPr>
      </w:pPr>
      <w:r w:rsidRPr="00C502E2">
        <w:rPr>
          <w:rFonts w:ascii="Arial Bold" w:hAnsi="Arial Bold"/>
          <w:lang w:val="en-GB"/>
        </w:rPr>
        <w:t>Cap and Trade in Ontario: Lafarge</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CB1DC7" w:rsidP="00627C63">
      <w:pPr>
        <w:pStyle w:val="StyleCopyrightStatementAfter0ptBottomSinglesolidline1"/>
      </w:pPr>
      <w:r w:rsidRPr="00C502E2">
        <w:rPr>
          <w:lang w:val="en-GB"/>
        </w:rPr>
        <w:t>Adam Fremeth and Patrick Shulist</w:t>
      </w:r>
      <w:r w:rsidR="00F94C30" w:rsidRPr="00F94C30">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8"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9"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CB1DC7">
        <w:t>18</w:t>
      </w:r>
      <w:r>
        <w:t>, Ivey Business School Foundation</w:t>
      </w:r>
      <w:r>
        <w:tab/>
        <w:t>Version: 20</w:t>
      </w:r>
      <w:r w:rsidR="00667448">
        <w:t>21</w:t>
      </w:r>
      <w:r>
        <w:t>-</w:t>
      </w:r>
      <w:r w:rsidR="00CB1DC7">
        <w:t>0</w:t>
      </w:r>
      <w:r w:rsidR="00667448">
        <w:t>3</w:t>
      </w:r>
      <w:r>
        <w:t>-</w:t>
      </w:r>
      <w:r w:rsidR="00342441">
        <w:t>17</w:t>
      </w:r>
    </w:p>
    <w:p w:rsidR="00751E0B" w:rsidRPr="00746EE9" w:rsidRDefault="00751E0B" w:rsidP="00751E0B">
      <w:pPr>
        <w:pStyle w:val="StyleCopyrightStatementAfter0ptBottomSinglesolidline1"/>
        <w:rPr>
          <w:rFonts w:ascii="Times New Roman" w:hAnsi="Times New Roman"/>
          <w:sz w:val="18"/>
          <w:szCs w:val="18"/>
        </w:rPr>
      </w:pPr>
    </w:p>
    <w:p w:rsidR="004B632F" w:rsidRPr="00746EE9" w:rsidRDefault="004B632F" w:rsidP="004B632F">
      <w:pPr>
        <w:pStyle w:val="StyleCopyrightStatementAfter0ptBottomSinglesolidline1"/>
        <w:rPr>
          <w:rFonts w:ascii="Times New Roman" w:hAnsi="Times New Roman"/>
          <w:sz w:val="18"/>
          <w:szCs w:val="18"/>
        </w:rPr>
      </w:pPr>
    </w:p>
    <w:p w:rsidR="00CB1DC7" w:rsidRPr="00C502E2" w:rsidRDefault="00CB1DC7" w:rsidP="00CB1DC7">
      <w:pPr>
        <w:pStyle w:val="BodyTextMain"/>
        <w:rPr>
          <w:lang w:val="en-GB"/>
        </w:rPr>
      </w:pPr>
      <w:r w:rsidRPr="00C502E2">
        <w:rPr>
          <w:lang w:val="en-GB"/>
        </w:rPr>
        <w:t>As the operations manager for Lafarge’s production facility in Ontario, your normally complex job has just become even more challenging. With the introduction of Ontario’s cap</w:t>
      </w:r>
      <w:r>
        <w:rPr>
          <w:lang w:val="en-GB"/>
        </w:rPr>
        <w:t>-</w:t>
      </w:r>
      <w:r w:rsidRPr="00C502E2">
        <w:rPr>
          <w:lang w:val="en-GB"/>
        </w:rPr>
        <w:t>and</w:t>
      </w:r>
      <w:r>
        <w:rPr>
          <w:lang w:val="en-GB"/>
        </w:rPr>
        <w:t>-</w:t>
      </w:r>
      <w:r w:rsidRPr="00C502E2">
        <w:rPr>
          <w:lang w:val="en-GB"/>
        </w:rPr>
        <w:t>trade system, you now must directly consider the cost of carbon in your decision</w:t>
      </w:r>
      <w:r>
        <w:rPr>
          <w:lang w:val="en-GB"/>
        </w:rPr>
        <w:t xml:space="preserve"> </w:t>
      </w:r>
      <w:r w:rsidRPr="00C502E2">
        <w:rPr>
          <w:lang w:val="en-GB"/>
        </w:rPr>
        <w:t>making, which was the government’s intention from the start. This affects your decision</w:t>
      </w:r>
      <w:r>
        <w:rPr>
          <w:lang w:val="en-GB"/>
        </w:rPr>
        <w:t xml:space="preserve"> </w:t>
      </w:r>
      <w:r w:rsidRPr="00C502E2">
        <w:rPr>
          <w:lang w:val="en-GB"/>
        </w:rPr>
        <w:t>making in three ways: (1) making production decisions, (2) trading permits, and (3) deciding on long-term investments in clean technology.</w:t>
      </w:r>
    </w:p>
    <w:p w:rsidR="00CB1DC7" w:rsidRPr="00C502E2" w:rsidRDefault="00CB1DC7" w:rsidP="00CB1DC7">
      <w:pPr>
        <w:pStyle w:val="BodyTextMain"/>
        <w:rPr>
          <w:lang w:val="en-GB"/>
        </w:rPr>
      </w:pPr>
    </w:p>
    <w:p w:rsidR="00CB1DC7" w:rsidRPr="00C502E2" w:rsidRDefault="00CB1DC7" w:rsidP="00CB1DC7">
      <w:pPr>
        <w:pStyle w:val="BodyTextMain"/>
        <w:rPr>
          <w:lang w:val="en-GB"/>
        </w:rPr>
      </w:pPr>
    </w:p>
    <w:p w:rsidR="00CB1DC7" w:rsidRPr="00C502E2" w:rsidRDefault="00CB1DC7" w:rsidP="00CB1DC7">
      <w:pPr>
        <w:pStyle w:val="Casehead1"/>
        <w:rPr>
          <w:lang w:val="en-GB"/>
        </w:rPr>
      </w:pPr>
      <w:r w:rsidRPr="00C502E2">
        <w:rPr>
          <w:lang w:val="en-GB"/>
        </w:rPr>
        <w:t>CARBON POSITION</w:t>
      </w:r>
    </w:p>
    <w:p w:rsidR="00CB1DC7" w:rsidRPr="00C502E2" w:rsidRDefault="00CB1DC7" w:rsidP="00CB1DC7">
      <w:pPr>
        <w:pStyle w:val="BodyTextMain"/>
        <w:rPr>
          <w:lang w:val="en-GB"/>
        </w:rPr>
      </w:pPr>
    </w:p>
    <w:p w:rsidR="00CB1DC7" w:rsidRPr="00C502E2" w:rsidRDefault="00CB1DC7" w:rsidP="00CB1DC7">
      <w:pPr>
        <w:pStyle w:val="BodyTextMain"/>
        <w:rPr>
          <w:lang w:val="en-GB"/>
        </w:rPr>
      </w:pPr>
      <w:r w:rsidRPr="00C502E2">
        <w:rPr>
          <w:lang w:val="en-GB"/>
        </w:rPr>
        <w:t>Given your experience, and the expertise you can draw on from Lafarge’s global operations, you have become an expert in setting production targets for Lafarge’s sole plant in Ontario—the Bath Cement plant—which sits along the shores of Lake Ontario. You have a finely tuned sense of how to predict production needs, considering predicted demand and the cost of production. However, the introduction of a carbon cap</w:t>
      </w:r>
      <w:r>
        <w:rPr>
          <w:lang w:val="en-GB"/>
        </w:rPr>
        <w:t>-</w:t>
      </w:r>
      <w:r w:rsidRPr="00C502E2">
        <w:rPr>
          <w:lang w:val="en-GB"/>
        </w:rPr>
        <w:t>and</w:t>
      </w:r>
      <w:r>
        <w:rPr>
          <w:lang w:val="en-GB"/>
        </w:rPr>
        <w:t>-</w:t>
      </w:r>
      <w:r w:rsidRPr="00C502E2">
        <w:rPr>
          <w:lang w:val="en-GB"/>
        </w:rPr>
        <w:t>trade system complicates this decision</w:t>
      </w:r>
      <w:r>
        <w:rPr>
          <w:lang w:val="en-GB"/>
        </w:rPr>
        <w:t>-</w:t>
      </w:r>
      <w:r w:rsidRPr="00C502E2">
        <w:rPr>
          <w:lang w:val="en-GB"/>
        </w:rPr>
        <w:t>making process. Over the past few years, the plant’s production emitted around 650,000 tonnes of carbon dioxide equivalents (CO</w:t>
      </w:r>
      <w:r w:rsidRPr="00C502E2">
        <w:rPr>
          <w:vertAlign w:val="subscript"/>
          <w:lang w:val="en-GB"/>
        </w:rPr>
        <w:t>2</w:t>
      </w:r>
      <w:r w:rsidRPr="00C502E2">
        <w:rPr>
          <w:lang w:val="en-GB"/>
        </w:rPr>
        <w:t>e) per year. This far exceeds the 25,000-tonne threshold for mandatory inclusion into Ontario’s cap</w:t>
      </w:r>
      <w:r>
        <w:rPr>
          <w:lang w:val="en-GB"/>
        </w:rPr>
        <w:t>-</w:t>
      </w:r>
      <w:r w:rsidRPr="00C502E2">
        <w:rPr>
          <w:lang w:val="en-GB"/>
        </w:rPr>
        <w:t>and</w:t>
      </w:r>
      <w:r>
        <w:rPr>
          <w:lang w:val="en-GB"/>
        </w:rPr>
        <w:t>-</w:t>
      </w:r>
      <w:r w:rsidRPr="00C502E2">
        <w:rPr>
          <w:lang w:val="en-GB"/>
        </w:rPr>
        <w:t>trade system. As a result, you will have to obtain emissions permits for all the Bath Cement plant’s emissions. Fortunately, the government of Ontario has stated it will give Lafarge 600,000 emissions permits during the first year of the cap</w:t>
      </w:r>
      <w:r>
        <w:rPr>
          <w:lang w:val="en-GB"/>
        </w:rPr>
        <w:t>-</w:t>
      </w:r>
      <w:r w:rsidRPr="00C502E2">
        <w:rPr>
          <w:lang w:val="en-GB"/>
        </w:rPr>
        <w:t>and</w:t>
      </w:r>
      <w:r>
        <w:rPr>
          <w:lang w:val="en-GB"/>
        </w:rPr>
        <w:t>-</w:t>
      </w:r>
      <w:r w:rsidRPr="00C502E2">
        <w:rPr>
          <w:lang w:val="en-GB"/>
        </w:rPr>
        <w:t xml:space="preserve">trade scheme. The government’s generosity is to ensure an easy and smooth transition into the program. However, the number of free permits will decrease every year, with Lafarge receiving 580,000 permits in year 2 and 560,000 in year 3. The number of free permits across the entire market for all four firms will see a similar decrease from 1,922,000 permits in year 1 to 1,846,000 in year 2 and 1,772,000 in year 3. </w:t>
      </w:r>
    </w:p>
    <w:p w:rsidR="00CB1DC7" w:rsidRPr="00C502E2" w:rsidRDefault="00CB1DC7" w:rsidP="00CB1DC7">
      <w:pPr>
        <w:pStyle w:val="BodyTextMain"/>
        <w:rPr>
          <w:lang w:val="en-GB"/>
        </w:rPr>
      </w:pPr>
    </w:p>
    <w:p w:rsidR="00CB1DC7" w:rsidRPr="00C502E2" w:rsidRDefault="00CB1DC7" w:rsidP="00CB1DC7">
      <w:pPr>
        <w:pStyle w:val="BodyTextMain"/>
        <w:rPr>
          <w:lang w:val="en-GB"/>
        </w:rPr>
      </w:pPr>
      <w:r w:rsidRPr="00C502E2">
        <w:rPr>
          <w:lang w:val="en-GB"/>
        </w:rPr>
        <w:t xml:space="preserve">Given the current condition of the plant, for every tonne of cement that the Bath </w:t>
      </w:r>
      <w:r w:rsidR="00342441">
        <w:rPr>
          <w:lang w:val="en-GB"/>
        </w:rPr>
        <w:t xml:space="preserve">Cement </w:t>
      </w:r>
      <w:r w:rsidRPr="00C502E2">
        <w:rPr>
          <w:lang w:val="en-GB"/>
        </w:rPr>
        <w:t>plant produces, 0.93 tonnes of CO</w:t>
      </w:r>
      <w:r w:rsidRPr="00C502E2">
        <w:rPr>
          <w:vertAlign w:val="subscript"/>
          <w:lang w:val="en-GB"/>
        </w:rPr>
        <w:t>2</w:t>
      </w:r>
      <w:r w:rsidRPr="00C502E2">
        <w:rPr>
          <w:lang w:val="en-GB"/>
        </w:rPr>
        <w:t xml:space="preserve">e will be released into the air. This ratio of </w:t>
      </w:r>
      <m:oMath>
        <m:f>
          <m:fPr>
            <m:ctrlPr>
              <w:rPr>
                <w:rFonts w:ascii="Cambria Math" w:hAnsi="Cambria Math"/>
                <w:i/>
                <w:lang w:val="en-GB"/>
              </w:rPr>
            </m:ctrlPr>
          </m:fPr>
          <m:num>
            <m:r>
              <w:rPr>
                <w:rFonts w:ascii="Cambria Math" w:hAnsi="Cambria Math"/>
                <w:lang w:val="en-GB"/>
              </w:rPr>
              <m:t>carbon emissions</m:t>
            </m:r>
          </m:num>
          <m:den>
            <m:r>
              <w:rPr>
                <w:rFonts w:ascii="Cambria Math" w:hAnsi="Cambria Math"/>
                <w:lang w:val="en-GB"/>
              </w:rPr>
              <m:t>production output</m:t>
            </m:r>
          </m:den>
        </m:f>
      </m:oMath>
      <w:r w:rsidRPr="00C502E2">
        <w:rPr>
          <w:rFonts w:eastAsiaTheme="minorEastAsia"/>
          <w:lang w:val="en-GB"/>
        </w:rPr>
        <w:t xml:space="preserve"> is known as carbon intensity (CI). Cement, as you well know, is very carbon intensive to produce because it involves heating the raw materials (generally, calcium carbonate, silica, alumina, and iron ore) to 1,500 </w:t>
      </w:r>
      <w:r>
        <w:rPr>
          <w:rFonts w:eastAsiaTheme="minorEastAsia"/>
          <w:lang w:val="en-GB"/>
        </w:rPr>
        <w:t>degrees</w:t>
      </w:r>
      <w:r>
        <w:rPr>
          <w:lang w:val="en-GB"/>
        </w:rPr>
        <w:t xml:space="preserve"> </w:t>
      </w:r>
      <w:r w:rsidRPr="00C502E2">
        <w:rPr>
          <w:lang w:val="en-GB"/>
        </w:rPr>
        <w:t>Celsius, roughly the same temperature as molten lava.</w:t>
      </w:r>
      <w:r w:rsidRPr="00C502E2">
        <w:rPr>
          <w:rStyle w:val="FootnoteReference"/>
          <w:lang w:val="en-GB"/>
        </w:rPr>
        <w:footnoteReference w:id="1"/>
      </w:r>
      <w:r w:rsidRPr="00C502E2">
        <w:rPr>
          <w:lang w:val="en-GB"/>
        </w:rPr>
        <w:t xml:space="preserve"> To reach these extreme temperatures, the Bath Cement plant must burn fossil fuels, which are the primary culprit for the plant’s carbon emissions. </w:t>
      </w:r>
    </w:p>
    <w:p w:rsidR="00CB1DC7" w:rsidRPr="00C502E2" w:rsidRDefault="00CB1DC7" w:rsidP="00CB1DC7">
      <w:pPr>
        <w:pStyle w:val="BodyTextMain"/>
        <w:rPr>
          <w:lang w:val="en-GB"/>
        </w:rPr>
      </w:pPr>
      <w:r w:rsidRPr="00C502E2">
        <w:rPr>
          <w:lang w:val="en-GB"/>
        </w:rPr>
        <w:lastRenderedPageBreak/>
        <w:t>Last year, the Bath Cement plant’s output quantity was optimized to maximize profit at approximately 700,000 tonnes of cement. The total output was sold at a constant price of CA$450</w:t>
      </w:r>
      <w:r w:rsidRPr="00C502E2">
        <w:rPr>
          <w:rStyle w:val="FootnoteReference"/>
          <w:lang w:val="en-GB"/>
        </w:rPr>
        <w:footnoteReference w:id="2"/>
      </w:r>
      <w:r w:rsidRPr="00C502E2">
        <w:rPr>
          <w:lang w:val="en-GB"/>
        </w:rPr>
        <w:t xml:space="preserve"> per tonne. Marginal costs, on the other hand, were not constant.</w:t>
      </w:r>
      <w:r>
        <w:rPr>
          <w:lang w:val="en-GB"/>
        </w:rPr>
        <w:t xml:space="preserve"> </w:t>
      </w:r>
      <w:r w:rsidRPr="00C502E2">
        <w:rPr>
          <w:lang w:val="en-GB"/>
        </w:rPr>
        <w:t xml:space="preserve">Instead, you know that you can model the average variable production cost (AVC) of cement as follows: </w:t>
      </w:r>
      <m:oMath>
        <m:r>
          <w:rPr>
            <w:rFonts w:ascii="Cambria Math" w:hAnsi="Cambria Math"/>
            <w:lang w:val="en-GB"/>
          </w:rPr>
          <m:t>AVC=0.0003214×Q</m:t>
        </m:r>
      </m:oMath>
      <w:r w:rsidRPr="00C502E2">
        <w:rPr>
          <w:rFonts w:eastAsiaTheme="minorEastAsia"/>
          <w:lang w:val="en-GB"/>
        </w:rPr>
        <w:t xml:space="preserve">, where </w:t>
      </w:r>
      <w:r w:rsidRPr="00C502E2">
        <w:rPr>
          <w:rFonts w:eastAsiaTheme="minorEastAsia"/>
          <w:i/>
          <w:lang w:val="en-GB"/>
        </w:rPr>
        <w:t>Q</w:t>
      </w:r>
      <w:r w:rsidRPr="00C502E2">
        <w:rPr>
          <w:rFonts w:eastAsiaTheme="minorEastAsia"/>
          <w:lang w:val="en-GB"/>
        </w:rPr>
        <w:t xml:space="preserve"> is the production quantity. </w:t>
      </w:r>
      <w:r w:rsidRPr="00C502E2">
        <w:rPr>
          <w:lang w:val="en-GB"/>
        </w:rPr>
        <w:t>In addition</w:t>
      </w:r>
      <w:r w:rsidRPr="00C502E2">
        <w:rPr>
          <w:rFonts w:eastAsiaTheme="minorEastAsia"/>
          <w:lang w:val="en-GB"/>
        </w:rPr>
        <w:t xml:space="preserve">, the Bath Cement plant has annual fixed costs of $142 million. </w:t>
      </w:r>
      <w:r w:rsidRPr="00C502E2">
        <w:rPr>
          <w:lang w:val="en-GB"/>
        </w:rPr>
        <w:t>These numbers are not expected to change.</w:t>
      </w:r>
    </w:p>
    <w:p w:rsidR="00CB1DC7" w:rsidRPr="00C502E2" w:rsidRDefault="00CB1DC7" w:rsidP="00CB1DC7">
      <w:pPr>
        <w:pStyle w:val="BodyTextMain"/>
        <w:rPr>
          <w:lang w:val="en-GB"/>
        </w:rPr>
      </w:pPr>
    </w:p>
    <w:p w:rsidR="00CB1DC7" w:rsidRPr="00746EE9" w:rsidRDefault="00CB1DC7" w:rsidP="00CB1DC7">
      <w:pPr>
        <w:pStyle w:val="BodyTextMain"/>
        <w:rPr>
          <w:spacing w:val="-2"/>
          <w:lang w:val="en-GB"/>
        </w:rPr>
      </w:pPr>
      <w:bookmarkStart w:id="0" w:name="_Hlk517865716"/>
      <w:r w:rsidRPr="00746EE9">
        <w:rPr>
          <w:spacing w:val="-2"/>
          <w:lang w:val="en-GB"/>
        </w:rPr>
        <w:t>In previous</w:t>
      </w:r>
      <w:bookmarkEnd w:id="0"/>
      <w:r w:rsidRPr="00746EE9">
        <w:rPr>
          <w:spacing w:val="-2"/>
          <w:lang w:val="en-GB"/>
        </w:rPr>
        <w:t xml:space="preserve"> years, your job focused on keeping the cost of production down and ensuring smooth logistics to end consumers</w:t>
      </w:r>
      <w:bookmarkStart w:id="1" w:name="_Hlk517865746"/>
      <w:r w:rsidRPr="00746EE9">
        <w:rPr>
          <w:spacing w:val="-2"/>
          <w:lang w:val="en-GB"/>
        </w:rPr>
        <w:t>. However</w:t>
      </w:r>
      <w:bookmarkEnd w:id="1"/>
      <w:r w:rsidRPr="00746EE9">
        <w:rPr>
          <w:spacing w:val="-2"/>
          <w:lang w:val="en-GB"/>
        </w:rPr>
        <w:t xml:space="preserve">, you realize that carbon pricing will have a large impact on overall profitability. As a result, your new goal is to maximize profit within the bounds of the new policy. To help make the market stable and more predictable, the </w:t>
      </w:r>
      <w:r w:rsidR="00342441">
        <w:rPr>
          <w:spacing w:val="-2"/>
          <w:lang w:val="en-GB"/>
        </w:rPr>
        <w:t>G</w:t>
      </w:r>
      <w:r w:rsidRPr="00746EE9">
        <w:rPr>
          <w:spacing w:val="-2"/>
          <w:lang w:val="en-GB"/>
        </w:rPr>
        <w:t>overnment of Ontario is instituting a price floor of $18 per tonne of CO</w:t>
      </w:r>
      <w:r w:rsidRPr="00746EE9">
        <w:rPr>
          <w:spacing w:val="-2"/>
          <w:vertAlign w:val="subscript"/>
          <w:lang w:val="en-GB"/>
        </w:rPr>
        <w:t>2</w:t>
      </w:r>
      <w:r w:rsidRPr="00746EE9">
        <w:rPr>
          <w:spacing w:val="-2"/>
          <w:lang w:val="en-GB"/>
        </w:rPr>
        <w:t xml:space="preserve">e emissions and a price ceiling of $54 per tonne. The price floor is </w:t>
      </w:r>
      <w:bookmarkStart w:id="2" w:name="_Hlk517865825"/>
      <w:r w:rsidRPr="00746EE9">
        <w:rPr>
          <w:spacing w:val="-2"/>
          <w:lang w:val="en-GB"/>
        </w:rPr>
        <w:t>the amount that</w:t>
      </w:r>
      <w:bookmarkEnd w:id="2"/>
      <w:r w:rsidRPr="00746EE9">
        <w:rPr>
          <w:spacing w:val="-2"/>
          <w:lang w:val="en-GB"/>
        </w:rPr>
        <w:t xml:space="preserve"> the government will pay for excess permits held by the firm at year-end. The price ceiling will also act as a penalty per tonne of CO</w:t>
      </w:r>
      <w:r w:rsidRPr="00746EE9">
        <w:rPr>
          <w:spacing w:val="-2"/>
          <w:vertAlign w:val="subscript"/>
          <w:lang w:val="en-GB"/>
        </w:rPr>
        <w:t>2</w:t>
      </w:r>
      <w:r w:rsidRPr="00746EE9">
        <w:rPr>
          <w:spacing w:val="-2"/>
          <w:lang w:val="en-GB"/>
        </w:rPr>
        <w:t>e for firms that do not hold the requisite number of permits at year-end. Considering Lafarge’s average annual emissions of 650,000 tonnes, and the fact that you have only been provided 600,000 permits for next year, you will have a shortfall of 50,000 permits that you need to procure. This shortfall can change if your production levels change. Should the market for permits fall to the price floor in trades with other firms, this would cost Lafarge $900,000, and at the price ceiling it would cost $2.7 million, should you fail to acquire the needed permits. These amounts of money are significant, given the thin margins on cement and the large capital costs involved in setting up the operation.</w:t>
      </w:r>
    </w:p>
    <w:p w:rsidR="00CB1DC7" w:rsidRPr="00C502E2" w:rsidRDefault="00CB1DC7" w:rsidP="00CB1DC7">
      <w:pPr>
        <w:pStyle w:val="BodyTextMain"/>
        <w:rPr>
          <w:lang w:val="en-GB"/>
        </w:rPr>
      </w:pPr>
    </w:p>
    <w:p w:rsidR="00CB1DC7" w:rsidRPr="00C502E2" w:rsidRDefault="00CB1DC7" w:rsidP="00CB1DC7">
      <w:pPr>
        <w:pStyle w:val="BodyTextMain"/>
        <w:rPr>
          <w:lang w:val="en-GB"/>
        </w:rPr>
      </w:pPr>
    </w:p>
    <w:p w:rsidR="00CB1DC7" w:rsidRPr="00C502E2" w:rsidRDefault="00CB1DC7" w:rsidP="00CB1DC7">
      <w:pPr>
        <w:pStyle w:val="Casehead1"/>
        <w:rPr>
          <w:lang w:val="en-GB"/>
        </w:rPr>
      </w:pPr>
      <w:r w:rsidRPr="00C502E2">
        <w:rPr>
          <w:lang w:val="en-GB"/>
        </w:rPr>
        <w:t>EMISSIONS</w:t>
      </w:r>
      <w:r>
        <w:rPr>
          <w:lang w:val="en-GB"/>
        </w:rPr>
        <w:t>-</w:t>
      </w:r>
      <w:r w:rsidRPr="00C502E2">
        <w:rPr>
          <w:lang w:val="en-GB"/>
        </w:rPr>
        <w:t xml:space="preserve">REDUCTION STRATEGY </w:t>
      </w:r>
    </w:p>
    <w:p w:rsidR="00CB1DC7" w:rsidRPr="00C502E2" w:rsidRDefault="00CB1DC7" w:rsidP="00CB1DC7">
      <w:pPr>
        <w:pStyle w:val="BodyTextMain"/>
        <w:rPr>
          <w:lang w:val="en-GB"/>
        </w:rPr>
      </w:pPr>
    </w:p>
    <w:p w:rsidR="00CB1DC7" w:rsidRPr="00C502E2" w:rsidRDefault="00CB1DC7" w:rsidP="00CB1DC7">
      <w:pPr>
        <w:pStyle w:val="BodyTextMain"/>
        <w:rPr>
          <w:lang w:val="en-GB"/>
        </w:rPr>
      </w:pPr>
      <w:r w:rsidRPr="00C502E2">
        <w:rPr>
          <w:lang w:val="en-GB"/>
        </w:rPr>
        <w:t xml:space="preserve">To avoid additional costs associated with procuring permits, Lafarge can reduce production, although it would mean foregoing sales. </w:t>
      </w:r>
      <w:bookmarkStart w:id="3" w:name="_Hlk517866141"/>
      <w:r w:rsidRPr="00C502E2">
        <w:rPr>
          <w:lang w:val="en-GB"/>
        </w:rPr>
        <w:t>Because</w:t>
      </w:r>
      <w:bookmarkEnd w:id="3"/>
      <w:r w:rsidRPr="00C502E2">
        <w:rPr>
          <w:lang w:val="en-GB"/>
        </w:rPr>
        <w:t xml:space="preserve"> Lafarge’s permit allocation will reduce every year, production levels would have to continually decrease. Therefore, production changes may be only part of the answer.</w:t>
      </w:r>
    </w:p>
    <w:p w:rsidR="00CB1DC7" w:rsidRPr="00C502E2" w:rsidRDefault="00CB1DC7" w:rsidP="00CB1DC7">
      <w:pPr>
        <w:pStyle w:val="BodyTextMain"/>
        <w:rPr>
          <w:lang w:val="en-GB"/>
        </w:rPr>
      </w:pPr>
    </w:p>
    <w:p w:rsidR="00CB1DC7" w:rsidRPr="00C502E2" w:rsidRDefault="00CB1DC7" w:rsidP="00CB1DC7">
      <w:pPr>
        <w:pStyle w:val="BodyTextMain"/>
        <w:rPr>
          <w:lang w:val="en-GB"/>
        </w:rPr>
      </w:pPr>
      <w:r w:rsidRPr="00C502E2">
        <w:rPr>
          <w:lang w:val="en-GB"/>
        </w:rPr>
        <w:t xml:space="preserve">Instead, the bulk of Lafarge’s strategy for meeting its permit needs should </w:t>
      </w:r>
      <w:bookmarkStart w:id="4" w:name="_Hlk517866168"/>
      <w:r w:rsidRPr="00C502E2">
        <w:rPr>
          <w:lang w:val="en-GB"/>
        </w:rPr>
        <w:t>focus on two key activities:</w:t>
      </w:r>
      <w:bookmarkEnd w:id="4"/>
      <w:r w:rsidRPr="00C502E2">
        <w:rPr>
          <w:lang w:val="en-GB"/>
        </w:rPr>
        <w:t xml:space="preserve"> (1) investing in clean technology and (2) trading permits with other firms in the cap</w:t>
      </w:r>
      <w:r>
        <w:rPr>
          <w:lang w:val="en-GB"/>
        </w:rPr>
        <w:t>-</w:t>
      </w:r>
      <w:r w:rsidRPr="00C502E2">
        <w:rPr>
          <w:lang w:val="en-GB"/>
        </w:rPr>
        <w:t>and</w:t>
      </w:r>
      <w:r>
        <w:rPr>
          <w:lang w:val="en-GB"/>
        </w:rPr>
        <w:t>-</w:t>
      </w:r>
      <w:r w:rsidRPr="00C502E2">
        <w:rPr>
          <w:lang w:val="en-GB"/>
        </w:rPr>
        <w:t xml:space="preserve">trade scheme. In fact, if Lafarge makes sufficient investments in clean technology, it could become a net seller of permits and thus open a new line of revenue. Unfortunately, this is unlikely. Cement is simply too carbon intensive for the needed reduction to be obtainable. Lafarge’s strategy should therefore </w:t>
      </w:r>
      <w:bookmarkStart w:id="5" w:name="_Hlk517866215"/>
      <w:r w:rsidRPr="00C502E2">
        <w:rPr>
          <w:lang w:val="en-GB"/>
        </w:rPr>
        <w:t>focus</w:t>
      </w:r>
      <w:bookmarkEnd w:id="5"/>
      <w:r w:rsidRPr="00C502E2">
        <w:rPr>
          <w:lang w:val="en-GB"/>
        </w:rPr>
        <w:t xml:space="preserve"> on reducing emissions intensity where it can do so profitably, while simultaneously securing permits on the market from other firms. Pursuing this twin strategy will ensure that minimized costs are associated with the cap</w:t>
      </w:r>
      <w:r>
        <w:rPr>
          <w:lang w:val="en-GB"/>
        </w:rPr>
        <w:t>-</w:t>
      </w:r>
      <w:r w:rsidRPr="00C502E2">
        <w:rPr>
          <w:lang w:val="en-GB"/>
        </w:rPr>
        <w:t>and</w:t>
      </w:r>
      <w:r>
        <w:rPr>
          <w:lang w:val="en-GB"/>
        </w:rPr>
        <w:t>-</w:t>
      </w:r>
      <w:r w:rsidRPr="00C502E2">
        <w:rPr>
          <w:lang w:val="en-GB"/>
        </w:rPr>
        <w:t>trade scheme.</w:t>
      </w:r>
    </w:p>
    <w:p w:rsidR="00CB1DC7" w:rsidRPr="00C502E2" w:rsidRDefault="00CB1DC7" w:rsidP="00CB1DC7">
      <w:pPr>
        <w:pStyle w:val="BodyTextMain"/>
        <w:rPr>
          <w:lang w:val="en-GB"/>
        </w:rPr>
      </w:pPr>
    </w:p>
    <w:p w:rsidR="00CB1DC7" w:rsidRPr="00C502E2" w:rsidRDefault="00CB1DC7" w:rsidP="00CB1DC7">
      <w:pPr>
        <w:pStyle w:val="BodyTextMain"/>
        <w:rPr>
          <w:lang w:val="en-GB"/>
        </w:rPr>
      </w:pPr>
      <w:r w:rsidRPr="00C502E2">
        <w:rPr>
          <w:lang w:val="en-GB"/>
        </w:rPr>
        <w:t>The carbon permits act like a traditional financial instrument. Whichever company is given a permit is the legal owner of the right to emit 1 tonne of CO</w:t>
      </w:r>
      <w:r w:rsidRPr="00C502E2">
        <w:rPr>
          <w:vertAlign w:val="subscript"/>
          <w:lang w:val="en-GB"/>
        </w:rPr>
        <w:t>2</w:t>
      </w:r>
      <w:r w:rsidRPr="00C502E2">
        <w:rPr>
          <w:lang w:val="en-GB"/>
        </w:rPr>
        <w:t>e. These permits are fully transferable, so Lafarge can “buy” from other firms the right to further emissions. This is where the concept of marginal</w:t>
      </w:r>
      <w:r>
        <w:rPr>
          <w:lang w:val="en-GB"/>
        </w:rPr>
        <w:t>-</w:t>
      </w:r>
      <w:r w:rsidRPr="00C502E2">
        <w:rPr>
          <w:lang w:val="en-GB"/>
        </w:rPr>
        <w:t xml:space="preserve">abatement cost comes into play. Because of the nature of their operations, </w:t>
      </w:r>
      <w:bookmarkStart w:id="6" w:name="_Hlk517866326"/>
      <w:r w:rsidRPr="00C502E2">
        <w:rPr>
          <w:lang w:val="en-GB"/>
        </w:rPr>
        <w:t>some firms can</w:t>
      </w:r>
      <w:bookmarkEnd w:id="6"/>
      <w:r w:rsidRPr="00C502E2">
        <w:rPr>
          <w:lang w:val="en-GB"/>
        </w:rPr>
        <w:t xml:space="preserve"> reduce carbon emissions less expensively than others, through process modifications or investments in more efficient or cleaner technologies. For such firms, it is profitable to reduce emissions </w:t>
      </w:r>
      <w:r w:rsidRPr="00C502E2">
        <w:rPr>
          <w:i/>
          <w:lang w:val="en-GB"/>
        </w:rPr>
        <w:t>beyond</w:t>
      </w:r>
      <w:r w:rsidRPr="00C502E2">
        <w:rPr>
          <w:lang w:val="en-GB"/>
        </w:rPr>
        <w:t xml:space="preserve"> the level required by the permits they are allocated.</w:t>
      </w:r>
      <w:bookmarkStart w:id="7" w:name="_Hlk517866394"/>
      <w:r w:rsidRPr="00C502E2">
        <w:rPr>
          <w:lang w:val="en-GB"/>
        </w:rPr>
        <w:t xml:space="preserve"> These firms</w:t>
      </w:r>
      <w:bookmarkEnd w:id="7"/>
      <w:r w:rsidRPr="00C502E2">
        <w:rPr>
          <w:lang w:val="en-GB"/>
        </w:rPr>
        <w:t xml:space="preserve"> can then sell their excess permits to other firms—like Lafarge, for example—for more money than the investment they made in the emissions</w:t>
      </w:r>
      <w:r>
        <w:rPr>
          <w:lang w:val="en-GB"/>
        </w:rPr>
        <w:t>-</w:t>
      </w:r>
      <w:r w:rsidRPr="00C502E2">
        <w:rPr>
          <w:lang w:val="en-GB"/>
        </w:rPr>
        <w:t>reduction technologies or process modifications.</w:t>
      </w:r>
    </w:p>
    <w:p w:rsidR="00CB1DC7" w:rsidRPr="00C502E2" w:rsidRDefault="00CB1DC7" w:rsidP="00CB1DC7">
      <w:pPr>
        <w:pStyle w:val="BodyTextMain"/>
        <w:rPr>
          <w:lang w:val="en-GB"/>
        </w:rPr>
      </w:pPr>
    </w:p>
    <w:p w:rsidR="00CB1DC7" w:rsidRPr="00C502E2" w:rsidRDefault="00CB1DC7" w:rsidP="00CB1DC7">
      <w:pPr>
        <w:pStyle w:val="BodyTextMain"/>
        <w:rPr>
          <w:lang w:val="en-GB"/>
        </w:rPr>
      </w:pPr>
      <w:r w:rsidRPr="00C502E2">
        <w:rPr>
          <w:lang w:val="en-GB"/>
        </w:rPr>
        <w:lastRenderedPageBreak/>
        <w:t xml:space="preserve">For its part, Lafarge has identified three main strategic investments that can be used to reduce the overall carbon intensity of its operations by reducing the carbon emissions per tonne of cement produced. First, Lafarge can substitute raw materials in the production process. In particular, the company can reduce the proportion of traditional inputs by substituting them for limestone, fly ash, or </w:t>
      </w:r>
      <w:bookmarkStart w:id="8" w:name="_Hlk522280850"/>
      <w:r w:rsidRPr="00C502E2">
        <w:rPr>
          <w:lang w:val="en-GB"/>
        </w:rPr>
        <w:t>granulated blast</w:t>
      </w:r>
      <w:r>
        <w:rPr>
          <w:lang w:val="en-GB"/>
        </w:rPr>
        <w:t>-</w:t>
      </w:r>
      <w:r w:rsidRPr="00C502E2">
        <w:rPr>
          <w:lang w:val="en-GB"/>
        </w:rPr>
        <w:t>furnace slag</w:t>
      </w:r>
      <w:bookmarkEnd w:id="8"/>
      <w:r w:rsidRPr="00C502E2">
        <w:rPr>
          <w:lang w:val="en-GB"/>
        </w:rPr>
        <w:t>. The material substitutes reduce the amount of heating that the cement requires in the kiln, reducing fossil fuel use. Lafarge estimates that substituting these raw materials will reduce carbon intensity per tonne of cement by 0.008 tonnes. For example, the level of carbon intensity will be 0.922 tonnes of CO</w:t>
      </w:r>
      <w:r w:rsidRPr="00C502E2">
        <w:rPr>
          <w:vertAlign w:val="subscript"/>
          <w:lang w:val="en-GB"/>
        </w:rPr>
        <w:t>2</w:t>
      </w:r>
      <w:r w:rsidRPr="00C502E2">
        <w:rPr>
          <w:lang w:val="en-GB"/>
        </w:rPr>
        <w:t xml:space="preserve">e per tonne of cement after this modification, if done in isolation. </w:t>
      </w:r>
      <w:bookmarkStart w:id="9" w:name="_Hlk491192668"/>
      <w:r w:rsidRPr="00C502E2">
        <w:rPr>
          <w:lang w:val="en-GB"/>
        </w:rPr>
        <w:t xml:space="preserve">Importantly though, since energy costs are a substantial cost of cement production, substitution will actually </w:t>
      </w:r>
      <w:r w:rsidRPr="00C502E2">
        <w:rPr>
          <w:i/>
          <w:lang w:val="en-GB"/>
        </w:rPr>
        <w:t>save</w:t>
      </w:r>
      <w:r w:rsidRPr="00C502E2">
        <w:rPr>
          <w:lang w:val="en-GB"/>
        </w:rPr>
        <w:t xml:space="preserve"> Lafarge money each and every year, making this clearly a positive</w:t>
      </w:r>
      <w:r>
        <w:rPr>
          <w:lang w:val="en-GB"/>
        </w:rPr>
        <w:t>–</w:t>
      </w:r>
      <w:r w:rsidRPr="00C502E2">
        <w:rPr>
          <w:lang w:val="en-GB"/>
        </w:rPr>
        <w:t xml:space="preserve">net present value project. Your accountant calculates that the net </w:t>
      </w:r>
      <w:r w:rsidRPr="00C502E2">
        <w:rPr>
          <w:i/>
          <w:lang w:val="en-GB"/>
        </w:rPr>
        <w:t>annualized</w:t>
      </w:r>
      <w:r w:rsidRPr="00C502E2">
        <w:rPr>
          <w:lang w:val="en-GB"/>
        </w:rPr>
        <w:t xml:space="preserve"> savings into perpetuity will be $425,000 per year</w:t>
      </w:r>
      <w:bookmarkStart w:id="10" w:name="_Hlk492967090"/>
      <w:bookmarkEnd w:id="9"/>
      <w:r w:rsidRPr="00C502E2">
        <w:rPr>
          <w:lang w:val="en-GB"/>
        </w:rPr>
        <w:t xml:space="preserve">, which means that you will realize a $425,000 gain </w:t>
      </w:r>
      <w:r w:rsidRPr="00C502E2">
        <w:rPr>
          <w:i/>
          <w:lang w:val="en-GB"/>
        </w:rPr>
        <w:t>each year</w:t>
      </w:r>
      <w:r w:rsidRPr="00C502E2">
        <w:rPr>
          <w:lang w:val="en-GB"/>
        </w:rPr>
        <w:t xml:space="preserve"> on your income statement for the foreseeable future</w:t>
      </w:r>
      <w:bookmarkEnd w:id="10"/>
      <w:r w:rsidRPr="00C502E2">
        <w:rPr>
          <w:lang w:val="en-GB"/>
        </w:rPr>
        <w:t>.</w:t>
      </w:r>
    </w:p>
    <w:p w:rsidR="00CB1DC7" w:rsidRPr="00C502E2" w:rsidRDefault="00CB1DC7" w:rsidP="00CB1DC7">
      <w:pPr>
        <w:pStyle w:val="BodyTextMain"/>
        <w:rPr>
          <w:lang w:val="en-GB"/>
        </w:rPr>
      </w:pPr>
    </w:p>
    <w:p w:rsidR="00CB1DC7" w:rsidRPr="00C502E2" w:rsidRDefault="00CB1DC7" w:rsidP="00CB1DC7">
      <w:pPr>
        <w:pStyle w:val="BodyTextMain"/>
        <w:rPr>
          <w:lang w:val="en-GB"/>
        </w:rPr>
      </w:pPr>
      <w:r w:rsidRPr="00C502E2">
        <w:rPr>
          <w:lang w:val="en-GB"/>
        </w:rPr>
        <w:t>Second, you have recently been speaking with some of the site engineers who note that the kiln is old and inefficient. It has numerous cracks, and the furnace is less efficient than it could be, resulting in heat losses. Your engineers estimate that at an</w:t>
      </w:r>
      <w:r w:rsidRPr="00C502E2">
        <w:rPr>
          <w:i/>
          <w:lang w:val="en-GB"/>
        </w:rPr>
        <w:t xml:space="preserve"> annualized </w:t>
      </w:r>
      <w:r w:rsidRPr="00C502E2">
        <w:rPr>
          <w:lang w:val="en-GB"/>
        </w:rPr>
        <w:t>cost of $2.2 million for each of the next 15 years, carbon intensity could be reduced by 0.04 tonnes of CO</w:t>
      </w:r>
      <w:r w:rsidRPr="00C502E2">
        <w:rPr>
          <w:vertAlign w:val="subscript"/>
          <w:lang w:val="en-GB"/>
        </w:rPr>
        <w:t>2</w:t>
      </w:r>
      <w:r w:rsidRPr="00C502E2">
        <w:rPr>
          <w:lang w:val="en-GB"/>
        </w:rPr>
        <w:t>e per tonne of cement production. This investment in green technology—like all of Lafarge’s options—operates independently of other investments and can be done in conjunction with other efforts to reduce carbon intensity.</w:t>
      </w:r>
    </w:p>
    <w:p w:rsidR="00CB1DC7" w:rsidRPr="00C502E2" w:rsidRDefault="00CB1DC7" w:rsidP="00CB1DC7">
      <w:pPr>
        <w:pStyle w:val="BodyTextMain"/>
        <w:rPr>
          <w:lang w:val="en-GB"/>
        </w:rPr>
      </w:pPr>
    </w:p>
    <w:p w:rsidR="00CB1DC7" w:rsidRPr="00C502E2" w:rsidRDefault="00CB1DC7" w:rsidP="00CB1DC7">
      <w:pPr>
        <w:pStyle w:val="BodyTextMain"/>
        <w:rPr>
          <w:lang w:val="en-GB"/>
        </w:rPr>
      </w:pPr>
      <w:r w:rsidRPr="00C502E2">
        <w:rPr>
          <w:lang w:val="en-GB"/>
        </w:rPr>
        <w:t xml:space="preserve">Third, your engineer also points out that you could invest in new high-technology insulation. By reducing the heat loss from the kiln, you would reduce the amount of fossil fuel use needed to heat the kiln. The mechanics of this option are similar to improving the insulation of a house. It is estimated that for an </w:t>
      </w:r>
      <w:r w:rsidRPr="00C502E2">
        <w:rPr>
          <w:i/>
          <w:lang w:val="en-GB"/>
        </w:rPr>
        <w:t>annualized</w:t>
      </w:r>
      <w:r w:rsidRPr="00C502E2">
        <w:rPr>
          <w:b/>
          <w:i/>
          <w:lang w:val="en-GB"/>
        </w:rPr>
        <w:t xml:space="preserve"> </w:t>
      </w:r>
      <w:r w:rsidRPr="00C502E2">
        <w:rPr>
          <w:lang w:val="en-GB"/>
        </w:rPr>
        <w:t>cost of $4 million for each of the next 15 years, you can purchase and install the new insulation and reduce carbon intensity by 0.01 tonnes per tonne of cement production.</w:t>
      </w:r>
    </w:p>
    <w:p w:rsidR="00CB1DC7" w:rsidRPr="00C502E2" w:rsidRDefault="00CB1DC7" w:rsidP="00CB1DC7">
      <w:pPr>
        <w:pStyle w:val="BodyTextMain"/>
        <w:rPr>
          <w:lang w:val="en-GB"/>
        </w:rPr>
      </w:pPr>
    </w:p>
    <w:p w:rsidR="00CB1DC7" w:rsidRPr="00C502E2" w:rsidRDefault="00CB1DC7" w:rsidP="00CB1DC7">
      <w:pPr>
        <w:pStyle w:val="BodyTextMain"/>
        <w:rPr>
          <w:lang w:val="en-GB"/>
        </w:rPr>
      </w:pPr>
      <w:r w:rsidRPr="00C502E2">
        <w:rPr>
          <w:lang w:val="en-GB"/>
        </w:rPr>
        <w:t xml:space="preserve">When considering all these investment decisions, </w:t>
      </w:r>
      <w:r w:rsidRPr="00C502E2">
        <w:rPr>
          <w:i/>
          <w:lang w:val="en-GB"/>
        </w:rPr>
        <w:t>it is important to consider the number of permits you will have, the total emissions you will make based on your production levels, and the total emissions reduction enabled by each clean</w:t>
      </w:r>
      <w:r>
        <w:rPr>
          <w:i/>
          <w:lang w:val="en-GB"/>
        </w:rPr>
        <w:t>-</w:t>
      </w:r>
      <w:r w:rsidRPr="00C502E2">
        <w:rPr>
          <w:i/>
          <w:lang w:val="en-GB"/>
        </w:rPr>
        <w:t>technology investment</w:t>
      </w:r>
      <w:r w:rsidRPr="00C502E2">
        <w:rPr>
          <w:lang w:val="en-GB"/>
        </w:rPr>
        <w:t>. Also, any unused permits you own at the end of the year can be sold back to the government at the price floor of $18 per permit. On the other hand, for every permit shortfall at the end of the year, you will have to pay the price ceiling, which is a penalty of $54 per permit.</w:t>
      </w:r>
    </w:p>
    <w:p w:rsidR="00CB1DC7" w:rsidRPr="00C502E2" w:rsidRDefault="00CB1DC7" w:rsidP="00CB1DC7">
      <w:pPr>
        <w:pStyle w:val="BodyTextMain"/>
        <w:rPr>
          <w:lang w:val="en-GB"/>
        </w:rPr>
      </w:pPr>
    </w:p>
    <w:p w:rsidR="00CB1DC7" w:rsidRPr="00C502E2" w:rsidRDefault="00CB1DC7" w:rsidP="00CB1DC7">
      <w:pPr>
        <w:pStyle w:val="BodyTextMain"/>
        <w:rPr>
          <w:lang w:val="en-GB"/>
        </w:rPr>
      </w:pPr>
    </w:p>
    <w:p w:rsidR="00667448" w:rsidRPr="00667448" w:rsidRDefault="00667448" w:rsidP="00667448">
      <w:pPr>
        <w:jc w:val="both"/>
        <w:outlineLvl w:val="0"/>
        <w:rPr>
          <w:rFonts w:ascii="Arial" w:eastAsia="Calibri" w:hAnsi="Arial" w:cs="Arial"/>
          <w:b/>
          <w:lang w:val="en-GB"/>
        </w:rPr>
      </w:pPr>
      <w:bookmarkStart w:id="11" w:name="_Hlk66867244"/>
      <w:r w:rsidRPr="00667448">
        <w:rPr>
          <w:rFonts w:ascii="Arial" w:eastAsia="Calibri" w:hAnsi="Arial" w:cs="Arial"/>
          <w:b/>
          <w:lang w:val="en-GB"/>
        </w:rPr>
        <w:t>ADDITIONAL MARKET INFORMATION</w:t>
      </w:r>
    </w:p>
    <w:p w:rsidR="00667448" w:rsidRPr="00667448" w:rsidRDefault="00667448" w:rsidP="00667448">
      <w:pPr>
        <w:jc w:val="both"/>
        <w:rPr>
          <w:rFonts w:eastAsia="Calibri"/>
          <w:sz w:val="22"/>
          <w:szCs w:val="22"/>
          <w:lang w:val="en-GB"/>
        </w:rPr>
      </w:pPr>
    </w:p>
    <w:p w:rsidR="00667448" w:rsidRPr="00667448" w:rsidRDefault="00667448" w:rsidP="00667448">
      <w:pPr>
        <w:jc w:val="both"/>
        <w:rPr>
          <w:rFonts w:eastAsia="Calibri"/>
          <w:sz w:val="22"/>
          <w:szCs w:val="22"/>
          <w:lang w:val="en-GB"/>
        </w:rPr>
      </w:pPr>
      <w:r w:rsidRPr="00667448">
        <w:rPr>
          <w:rFonts w:eastAsia="Calibri"/>
          <w:sz w:val="22"/>
          <w:szCs w:val="22"/>
          <w:lang w:val="en-GB"/>
        </w:rPr>
        <w:t>The trading platform allows for an interactive marketplace where companies will have the opportunity to present offers to buy or sell permits at a stated price per permit, and other participating companies are able to accept those terms or offer counter bids. The government of Ontario has put in place rules to ensure the smooth func</w:t>
      </w:r>
      <w:bookmarkStart w:id="12" w:name="_GoBack"/>
      <w:bookmarkEnd w:id="12"/>
      <w:r w:rsidRPr="00667448">
        <w:rPr>
          <w:rFonts w:eastAsia="Calibri"/>
          <w:sz w:val="22"/>
          <w:szCs w:val="22"/>
          <w:lang w:val="en-GB"/>
        </w:rPr>
        <w:t>tioning of the carbon market. Each transaction in the trading platform is capped at 10,000 permits per transaction to ensure the smooth functioning of the market. Finally, information on market transactions will be transparent to all companies, including the number of permits traded and the price per permit.</w:t>
      </w:r>
    </w:p>
    <w:p w:rsidR="00667448" w:rsidRPr="00667448" w:rsidRDefault="00667448" w:rsidP="00667448">
      <w:pPr>
        <w:jc w:val="both"/>
        <w:rPr>
          <w:rFonts w:eastAsia="Calibri"/>
          <w:sz w:val="22"/>
          <w:szCs w:val="22"/>
          <w:lang w:val="en-GB"/>
        </w:rPr>
      </w:pPr>
    </w:p>
    <w:p w:rsidR="00CB1DC7" w:rsidRPr="00667448" w:rsidRDefault="00667448" w:rsidP="00667448">
      <w:pPr>
        <w:pStyle w:val="BodyTextMain"/>
        <w:rPr>
          <w:spacing w:val="-4"/>
          <w:kern w:val="22"/>
          <w:lang w:val="en-GB"/>
        </w:rPr>
      </w:pPr>
      <w:r w:rsidRPr="00667448">
        <w:rPr>
          <w:rFonts w:eastAsia="Calibri"/>
          <w:spacing w:val="-4"/>
          <w:kern w:val="22"/>
          <w:lang w:val="en-GB"/>
        </w:rPr>
        <w:t>For assistance with your planning and decision-making, some relevant details are provided, including basic operating information, clean technology investment options, and carbon market details (see Exhibit 1).</w:t>
      </w:r>
      <w:bookmarkEnd w:id="11"/>
    </w:p>
    <w:p w:rsidR="00CB1DC7" w:rsidRPr="00CB1DC7" w:rsidRDefault="00CB1DC7" w:rsidP="00CB1DC7">
      <w:pPr>
        <w:pStyle w:val="BodyTextMain"/>
      </w:pPr>
      <w:bookmarkStart w:id="13" w:name="_Hlk491186655"/>
      <w:r w:rsidRPr="00CB1DC7">
        <w:br w:type="page"/>
      </w:r>
    </w:p>
    <w:p w:rsidR="00CB1DC7" w:rsidRPr="00C502E2" w:rsidRDefault="00CB1DC7" w:rsidP="00CB1DC7">
      <w:pPr>
        <w:pStyle w:val="Casehead1"/>
        <w:jc w:val="center"/>
        <w:rPr>
          <w:lang w:val="en-GB"/>
        </w:rPr>
      </w:pPr>
      <w:r w:rsidRPr="00C502E2">
        <w:rPr>
          <w:lang w:val="en-GB"/>
        </w:rPr>
        <w:lastRenderedPageBreak/>
        <w:t>Exhibit 1: BASIC Operating INFORMATION</w:t>
      </w:r>
    </w:p>
    <w:p w:rsidR="00CB1DC7" w:rsidRPr="00C502E2" w:rsidRDefault="00CB1DC7" w:rsidP="00CB1DC7">
      <w:pPr>
        <w:pStyle w:val="BodyTextMain"/>
        <w:rPr>
          <w:lang w:val="en-GB"/>
        </w:rPr>
      </w:pPr>
    </w:p>
    <w:tbl>
      <w:tblPr>
        <w:tblStyle w:val="TableGrid"/>
        <w:tblW w:w="9354" w:type="dxa"/>
        <w:jc w:val="center"/>
        <w:tblLook w:val="04A0" w:firstRow="1" w:lastRow="0" w:firstColumn="1" w:lastColumn="0" w:noHBand="0" w:noVBand="1"/>
      </w:tblPr>
      <w:tblGrid>
        <w:gridCol w:w="3566"/>
        <w:gridCol w:w="5788"/>
      </w:tblGrid>
      <w:tr w:rsidR="00CB1DC7" w:rsidRPr="00CB1DC7" w:rsidTr="00CB1DC7">
        <w:trPr>
          <w:trHeight w:val="378"/>
          <w:jc w:val="center"/>
        </w:trPr>
        <w:tc>
          <w:tcPr>
            <w:tcW w:w="3566" w:type="dxa"/>
            <w:vAlign w:val="center"/>
          </w:tcPr>
          <w:p w:rsidR="00CB1DC7" w:rsidRPr="00CB1DC7" w:rsidRDefault="00CB1DC7" w:rsidP="00BB3C73">
            <w:pPr>
              <w:jc w:val="center"/>
              <w:rPr>
                <w:rFonts w:ascii="Arial" w:hAnsi="Arial" w:cs="Arial"/>
                <w:b/>
                <w:color w:val="000000"/>
                <w:sz w:val="19"/>
                <w:szCs w:val="19"/>
                <w:lang w:val="en-GB" w:eastAsia="en-CA"/>
              </w:rPr>
            </w:pPr>
            <w:r w:rsidRPr="00CB1DC7">
              <w:rPr>
                <w:rFonts w:ascii="Arial" w:hAnsi="Arial" w:cs="Arial"/>
                <w:b/>
                <w:color w:val="000000"/>
                <w:sz w:val="19"/>
                <w:szCs w:val="19"/>
                <w:lang w:val="en-GB" w:eastAsia="en-CA"/>
              </w:rPr>
              <w:t>Operating Item</w:t>
            </w:r>
          </w:p>
        </w:tc>
        <w:tc>
          <w:tcPr>
            <w:tcW w:w="5788" w:type="dxa"/>
            <w:vAlign w:val="center"/>
          </w:tcPr>
          <w:p w:rsidR="00CB1DC7" w:rsidRPr="00CB1DC7" w:rsidRDefault="00CB1DC7" w:rsidP="00BB3C73">
            <w:pPr>
              <w:jc w:val="center"/>
              <w:rPr>
                <w:rFonts w:ascii="Arial" w:hAnsi="Arial" w:cs="Arial"/>
                <w:color w:val="000000"/>
                <w:sz w:val="19"/>
                <w:szCs w:val="19"/>
                <w:lang w:val="en-GB" w:eastAsia="en-CA"/>
              </w:rPr>
            </w:pPr>
            <w:r w:rsidRPr="00CB1DC7">
              <w:rPr>
                <w:rFonts w:ascii="Arial" w:hAnsi="Arial" w:cs="Arial"/>
                <w:b/>
                <w:color w:val="000000"/>
                <w:sz w:val="19"/>
                <w:szCs w:val="19"/>
                <w:lang w:val="en-GB" w:eastAsia="en-CA"/>
              </w:rPr>
              <w:t>Calculation</w:t>
            </w:r>
          </w:p>
        </w:tc>
      </w:tr>
      <w:tr w:rsidR="00CB1DC7" w:rsidRPr="00CB1DC7" w:rsidTr="00CB1DC7">
        <w:trPr>
          <w:trHeight w:val="375"/>
          <w:jc w:val="center"/>
        </w:trPr>
        <w:tc>
          <w:tcPr>
            <w:tcW w:w="3566" w:type="dxa"/>
            <w:vAlign w:val="center"/>
          </w:tcPr>
          <w:p w:rsidR="00CB1DC7" w:rsidRPr="00342441" w:rsidRDefault="00CB1DC7" w:rsidP="00BB3C73">
            <w:pPr>
              <w:rPr>
                <w:rFonts w:ascii="Arial" w:hAnsi="Arial" w:cs="Arial"/>
                <w:color w:val="000000"/>
                <w:sz w:val="19"/>
                <w:szCs w:val="19"/>
                <w:lang w:val="en-GB" w:eastAsia="en-CA"/>
              </w:rPr>
            </w:pPr>
            <w:r w:rsidRPr="00342441">
              <w:rPr>
                <w:rFonts w:ascii="Arial" w:hAnsi="Arial" w:cs="Arial"/>
                <w:color w:val="000000"/>
                <w:sz w:val="19"/>
                <w:szCs w:val="19"/>
                <w:lang w:val="en-GB" w:eastAsia="en-CA"/>
              </w:rPr>
              <w:t>Quantity produced (Q)</w:t>
            </w:r>
          </w:p>
        </w:tc>
        <w:tc>
          <w:tcPr>
            <w:tcW w:w="5788" w:type="dxa"/>
            <w:vAlign w:val="center"/>
          </w:tcPr>
          <w:p w:rsidR="00CB1DC7" w:rsidRPr="00CB1DC7" w:rsidRDefault="00CB1DC7" w:rsidP="00BB3C73">
            <w:pPr>
              <w:rPr>
                <w:rFonts w:ascii="Arial" w:hAnsi="Arial" w:cs="Arial"/>
                <w:color w:val="000000"/>
                <w:sz w:val="19"/>
                <w:szCs w:val="19"/>
                <w:lang w:val="en-GB" w:eastAsia="en-CA"/>
              </w:rPr>
            </w:pPr>
            <w:r w:rsidRPr="00CB1DC7">
              <w:rPr>
                <w:rFonts w:ascii="Arial" w:hAnsi="Arial" w:cs="Arial"/>
                <w:i/>
                <w:color w:val="000000"/>
                <w:sz w:val="19"/>
                <w:szCs w:val="19"/>
                <w:lang w:val="en-GB" w:eastAsia="en-CA"/>
              </w:rPr>
              <w:t>Q</w:t>
            </w:r>
            <w:r w:rsidRPr="00CB1DC7">
              <w:rPr>
                <w:rFonts w:ascii="Arial" w:hAnsi="Arial" w:cs="Arial"/>
                <w:color w:val="000000"/>
                <w:sz w:val="19"/>
                <w:szCs w:val="19"/>
                <w:lang w:val="en-GB" w:eastAsia="en-CA"/>
              </w:rPr>
              <w:t>, expressed in tonnes of cement</w:t>
            </w:r>
          </w:p>
        </w:tc>
      </w:tr>
      <w:tr w:rsidR="00CB1DC7" w:rsidRPr="00CB1DC7" w:rsidTr="00CB1DC7">
        <w:trPr>
          <w:trHeight w:val="375"/>
          <w:jc w:val="center"/>
        </w:trPr>
        <w:tc>
          <w:tcPr>
            <w:tcW w:w="3566" w:type="dxa"/>
            <w:vAlign w:val="center"/>
          </w:tcPr>
          <w:p w:rsidR="00CB1DC7" w:rsidRPr="00342441" w:rsidRDefault="00CB1DC7" w:rsidP="00BB3C73">
            <w:pPr>
              <w:rPr>
                <w:rFonts w:ascii="Arial" w:hAnsi="Arial" w:cs="Arial"/>
                <w:color w:val="000000"/>
                <w:sz w:val="19"/>
                <w:szCs w:val="19"/>
                <w:lang w:val="en-GB" w:eastAsia="en-CA"/>
              </w:rPr>
            </w:pPr>
            <w:r w:rsidRPr="00342441">
              <w:rPr>
                <w:rFonts w:ascii="Arial" w:hAnsi="Arial" w:cs="Arial"/>
                <w:color w:val="000000"/>
                <w:sz w:val="19"/>
                <w:szCs w:val="19"/>
                <w:lang w:val="en-GB" w:eastAsia="en-CA"/>
              </w:rPr>
              <w:t>Average variable production cost (AVC)</w:t>
            </w:r>
          </w:p>
        </w:tc>
        <w:tc>
          <w:tcPr>
            <w:tcW w:w="5788" w:type="dxa"/>
            <w:vAlign w:val="center"/>
          </w:tcPr>
          <w:p w:rsidR="00CB1DC7" w:rsidRPr="00CB1DC7" w:rsidRDefault="00342441"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AVC =0.0003214×Q</m:t>
                </m:r>
              </m:oMath>
            </m:oMathPara>
          </w:p>
        </w:tc>
      </w:tr>
      <w:tr w:rsidR="00CB1DC7" w:rsidRPr="00CB1DC7" w:rsidTr="00CB1DC7">
        <w:trPr>
          <w:trHeight w:val="375"/>
          <w:jc w:val="center"/>
        </w:trPr>
        <w:tc>
          <w:tcPr>
            <w:tcW w:w="3566" w:type="dxa"/>
            <w:vAlign w:val="center"/>
          </w:tcPr>
          <w:p w:rsidR="00CB1DC7" w:rsidRPr="00342441" w:rsidRDefault="00CB1DC7" w:rsidP="00BB3C73">
            <w:pPr>
              <w:rPr>
                <w:rFonts w:ascii="Arial" w:hAnsi="Arial" w:cs="Arial"/>
                <w:color w:val="000000"/>
                <w:sz w:val="19"/>
                <w:szCs w:val="19"/>
                <w:lang w:val="en-GB" w:eastAsia="en-CA"/>
              </w:rPr>
            </w:pPr>
            <w:r w:rsidRPr="00342441">
              <w:rPr>
                <w:rFonts w:ascii="Arial" w:hAnsi="Arial" w:cs="Arial"/>
                <w:color w:val="000000"/>
                <w:sz w:val="19"/>
                <w:szCs w:val="19"/>
                <w:lang w:val="en-GB" w:eastAsia="en-CA"/>
              </w:rPr>
              <w:t>Total variable production cost (TVC)</w:t>
            </w:r>
          </w:p>
        </w:tc>
        <w:tc>
          <w:tcPr>
            <w:tcW w:w="5788" w:type="dxa"/>
            <w:vAlign w:val="center"/>
          </w:tcPr>
          <w:p w:rsidR="00CB1DC7" w:rsidRPr="00CB1DC7" w:rsidRDefault="00342441"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TC= AVC×Q=0.0003214×</m:t>
                </m:r>
                <m:sSup>
                  <m:sSupPr>
                    <m:ctrlPr>
                      <w:rPr>
                        <w:rFonts w:ascii="Cambria Math" w:hAnsi="Cambria Math" w:cs="Arial"/>
                        <w:i/>
                        <w:color w:val="000000"/>
                        <w:sz w:val="19"/>
                        <w:szCs w:val="19"/>
                        <w:lang w:val="en-GB" w:eastAsia="en-CA"/>
                      </w:rPr>
                    </m:ctrlPr>
                  </m:sSupPr>
                  <m:e>
                    <m:r>
                      <w:rPr>
                        <w:rFonts w:ascii="Cambria Math" w:hAnsi="Cambria Math" w:cs="Arial"/>
                        <w:color w:val="000000"/>
                        <w:sz w:val="19"/>
                        <w:szCs w:val="19"/>
                        <w:lang w:val="en-GB" w:eastAsia="en-CA"/>
                      </w:rPr>
                      <m:t>Q</m:t>
                    </m:r>
                  </m:e>
                  <m:sup>
                    <m:r>
                      <w:rPr>
                        <w:rFonts w:ascii="Cambria Math" w:hAnsi="Cambria Math" w:cs="Arial"/>
                        <w:color w:val="000000"/>
                        <w:sz w:val="19"/>
                        <w:szCs w:val="19"/>
                        <w:lang w:val="en-GB" w:eastAsia="en-CA"/>
                      </w:rPr>
                      <m:t>2</m:t>
                    </m:r>
                  </m:sup>
                </m:sSup>
              </m:oMath>
            </m:oMathPara>
          </w:p>
        </w:tc>
      </w:tr>
      <w:tr w:rsidR="00CB1DC7" w:rsidRPr="00CB1DC7" w:rsidTr="00CB1DC7">
        <w:trPr>
          <w:trHeight w:val="375"/>
          <w:jc w:val="center"/>
        </w:trPr>
        <w:tc>
          <w:tcPr>
            <w:tcW w:w="3566" w:type="dxa"/>
            <w:vAlign w:val="center"/>
          </w:tcPr>
          <w:p w:rsidR="00CB1DC7" w:rsidRPr="00342441" w:rsidRDefault="00CB1DC7" w:rsidP="00BB3C73">
            <w:pPr>
              <w:rPr>
                <w:rFonts w:ascii="Arial" w:hAnsi="Arial" w:cs="Arial"/>
                <w:color w:val="000000"/>
                <w:sz w:val="19"/>
                <w:szCs w:val="19"/>
                <w:lang w:val="en-GB" w:eastAsia="en-CA"/>
              </w:rPr>
            </w:pPr>
            <w:r w:rsidRPr="00342441">
              <w:rPr>
                <w:rFonts w:ascii="Arial" w:hAnsi="Arial" w:cs="Arial"/>
                <w:color w:val="000000"/>
                <w:sz w:val="19"/>
                <w:szCs w:val="19"/>
                <w:lang w:val="en-GB" w:eastAsia="en-CA"/>
              </w:rPr>
              <w:t>Fixed costs (FC)</w:t>
            </w:r>
          </w:p>
        </w:tc>
        <w:tc>
          <w:tcPr>
            <w:tcW w:w="5788" w:type="dxa"/>
            <w:vAlign w:val="center"/>
          </w:tcPr>
          <w:p w:rsidR="00CB1DC7" w:rsidRPr="00CB1DC7" w:rsidRDefault="00342441" w:rsidP="00BB3C73">
            <w:pPr>
              <w:rPr>
                <w:rFonts w:ascii="Arial" w:hAnsi="Arial" w:cs="Arial"/>
                <w:color w:val="000000"/>
                <w:sz w:val="19"/>
                <w:szCs w:val="19"/>
                <w:lang w:val="en-GB" w:eastAsia="en-CA"/>
              </w:rPr>
            </w:pPr>
            <m:oMathPara>
              <m:oMathParaPr>
                <m:jc m:val="left"/>
              </m:oMathParaPr>
              <m:oMath>
                <m:r>
                  <m:rPr>
                    <m:sty m:val="p"/>
                  </m:rPr>
                  <w:rPr>
                    <w:rFonts w:ascii="Cambria Math" w:hAnsi="Cambria Math" w:cs="Arial"/>
                    <w:color w:val="000000"/>
                    <w:sz w:val="19"/>
                    <w:szCs w:val="19"/>
                    <w:lang w:val="en-GB" w:eastAsia="en-CA"/>
                  </w:rPr>
                  <m:t>$142,000,000</m:t>
                </m:r>
              </m:oMath>
            </m:oMathPara>
          </w:p>
        </w:tc>
      </w:tr>
      <w:tr w:rsidR="00CB1DC7" w:rsidRPr="00CB1DC7" w:rsidTr="00CB1DC7">
        <w:trPr>
          <w:trHeight w:val="409"/>
          <w:jc w:val="center"/>
        </w:trPr>
        <w:tc>
          <w:tcPr>
            <w:tcW w:w="3566" w:type="dxa"/>
            <w:vAlign w:val="center"/>
          </w:tcPr>
          <w:p w:rsidR="00CB1DC7" w:rsidRPr="00342441" w:rsidRDefault="00CB1DC7" w:rsidP="00BB3C73">
            <w:pPr>
              <w:rPr>
                <w:rFonts w:ascii="Arial" w:hAnsi="Arial" w:cs="Arial"/>
                <w:color w:val="000000"/>
                <w:sz w:val="19"/>
                <w:szCs w:val="19"/>
                <w:lang w:val="en-GB" w:eastAsia="en-CA"/>
              </w:rPr>
            </w:pPr>
            <w:r w:rsidRPr="00342441">
              <w:rPr>
                <w:rFonts w:ascii="Arial" w:hAnsi="Arial" w:cs="Arial"/>
                <w:color w:val="000000"/>
                <w:sz w:val="19"/>
                <w:szCs w:val="19"/>
                <w:lang w:val="en-GB" w:eastAsia="en-CA"/>
              </w:rPr>
              <w:t>Sales price per tonne (P)</w:t>
            </w:r>
          </w:p>
        </w:tc>
        <w:tc>
          <w:tcPr>
            <w:tcW w:w="5788" w:type="dxa"/>
            <w:vAlign w:val="center"/>
          </w:tcPr>
          <w:p w:rsidR="00CB1DC7" w:rsidRPr="00CB1DC7" w:rsidRDefault="00342441"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P =$450</m:t>
                </m:r>
              </m:oMath>
            </m:oMathPara>
          </w:p>
        </w:tc>
      </w:tr>
      <w:tr w:rsidR="00CB1DC7" w:rsidRPr="00CB1DC7" w:rsidTr="00CB1DC7">
        <w:trPr>
          <w:trHeight w:val="409"/>
          <w:jc w:val="center"/>
        </w:trPr>
        <w:tc>
          <w:tcPr>
            <w:tcW w:w="3566" w:type="dxa"/>
            <w:vAlign w:val="center"/>
          </w:tcPr>
          <w:p w:rsidR="00CB1DC7" w:rsidRPr="00342441" w:rsidRDefault="00CB1DC7" w:rsidP="00BB3C73">
            <w:pPr>
              <w:rPr>
                <w:rFonts w:ascii="Arial" w:hAnsi="Arial" w:cs="Arial"/>
                <w:color w:val="000000"/>
                <w:sz w:val="19"/>
                <w:szCs w:val="19"/>
                <w:lang w:val="en-GB" w:eastAsia="en-CA"/>
              </w:rPr>
            </w:pPr>
            <w:r w:rsidRPr="00342441">
              <w:rPr>
                <w:rFonts w:ascii="Arial" w:hAnsi="Arial" w:cs="Arial"/>
                <w:color w:val="000000"/>
                <w:sz w:val="19"/>
                <w:szCs w:val="19"/>
                <w:lang w:val="en-GB" w:eastAsia="en-CA"/>
              </w:rPr>
              <w:t>Total revenue (R)</w:t>
            </w:r>
          </w:p>
        </w:tc>
        <w:tc>
          <w:tcPr>
            <w:tcW w:w="5788" w:type="dxa"/>
            <w:vAlign w:val="center"/>
          </w:tcPr>
          <w:p w:rsidR="00CB1DC7" w:rsidRPr="00CB1DC7" w:rsidRDefault="00342441"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R</m:t>
                </m:r>
                <m:r>
                  <m:rPr>
                    <m:sty m:val="p"/>
                  </m:rPr>
                  <w:rPr>
                    <w:rFonts w:ascii="Cambria Math" w:hAnsi="Cambria Math" w:cs="Arial"/>
                    <w:color w:val="000000"/>
                    <w:sz w:val="19"/>
                    <w:szCs w:val="19"/>
                    <w:lang w:val="en-GB" w:eastAsia="en-CA"/>
                  </w:rPr>
                  <m:t xml:space="preserve"> = </m:t>
                </m:r>
                <m:r>
                  <w:rPr>
                    <w:rFonts w:ascii="Cambria Math" w:hAnsi="Cambria Math" w:cs="Arial"/>
                    <w:color w:val="000000"/>
                    <w:sz w:val="19"/>
                    <w:szCs w:val="19"/>
                    <w:lang w:val="en-GB" w:eastAsia="en-CA"/>
                  </w:rPr>
                  <m:t>PQ</m:t>
                </m:r>
                <m:r>
                  <m:rPr>
                    <m:sty m:val="p"/>
                  </m:rPr>
                  <w:rPr>
                    <w:rFonts w:ascii="Cambria Math" w:hAnsi="Cambria Math" w:cs="Arial"/>
                    <w:color w:val="000000"/>
                    <w:sz w:val="19"/>
                    <w:szCs w:val="19"/>
                    <w:lang w:val="en-GB" w:eastAsia="en-CA"/>
                  </w:rPr>
                  <m:t xml:space="preserve"> = $450×</m:t>
                </m:r>
                <m:r>
                  <w:rPr>
                    <w:rFonts w:ascii="Cambria Math" w:hAnsi="Cambria Math" w:cs="Arial"/>
                    <w:color w:val="000000"/>
                    <w:sz w:val="19"/>
                    <w:szCs w:val="19"/>
                    <w:lang w:val="en-GB" w:eastAsia="en-CA"/>
                  </w:rPr>
                  <m:t>Q</m:t>
                </m:r>
                <m:r>
                  <m:rPr>
                    <m:sty m:val="p"/>
                  </m:rPr>
                  <w:rPr>
                    <w:rFonts w:ascii="Cambria Math" w:hAnsi="Cambria Math" w:cs="Arial"/>
                    <w:color w:val="000000"/>
                    <w:sz w:val="19"/>
                    <w:szCs w:val="19"/>
                    <w:lang w:val="en-GB" w:eastAsia="en-CA"/>
                  </w:rPr>
                  <m:t xml:space="preserve"> </m:t>
                </m:r>
              </m:oMath>
            </m:oMathPara>
          </w:p>
        </w:tc>
      </w:tr>
      <w:tr w:rsidR="00CB1DC7" w:rsidRPr="00CB1DC7" w:rsidTr="00CB1DC7">
        <w:trPr>
          <w:trHeight w:val="409"/>
          <w:jc w:val="center"/>
        </w:trPr>
        <w:tc>
          <w:tcPr>
            <w:tcW w:w="3566" w:type="dxa"/>
            <w:vAlign w:val="center"/>
          </w:tcPr>
          <w:p w:rsidR="00CB1DC7" w:rsidRPr="00342441" w:rsidRDefault="00CB1DC7" w:rsidP="00BB3C73">
            <w:pPr>
              <w:rPr>
                <w:rFonts w:ascii="Arial" w:hAnsi="Arial" w:cs="Arial"/>
                <w:color w:val="000000"/>
                <w:sz w:val="19"/>
                <w:szCs w:val="19"/>
                <w:lang w:val="en-GB" w:eastAsia="en-CA"/>
              </w:rPr>
            </w:pPr>
            <w:r w:rsidRPr="00342441">
              <w:rPr>
                <w:rFonts w:ascii="Arial" w:hAnsi="Arial" w:cs="Arial"/>
                <w:color w:val="000000"/>
                <w:sz w:val="19"/>
                <w:szCs w:val="19"/>
                <w:lang w:val="en-GB" w:eastAsia="en-CA"/>
              </w:rPr>
              <w:t>Profit (π)</w:t>
            </w:r>
          </w:p>
        </w:tc>
        <w:tc>
          <w:tcPr>
            <w:tcW w:w="5788" w:type="dxa"/>
            <w:vAlign w:val="center"/>
          </w:tcPr>
          <w:p w:rsidR="00CB1DC7" w:rsidRPr="00CB1DC7" w:rsidRDefault="00342441"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π</m:t>
                </m:r>
                <m:r>
                  <m:rPr>
                    <m:sty m:val="p"/>
                  </m:rPr>
                  <w:rPr>
                    <w:rFonts w:ascii="Cambria Math" w:hAnsi="Cambria Math" w:cs="Arial"/>
                    <w:color w:val="000000"/>
                    <w:sz w:val="19"/>
                    <w:szCs w:val="19"/>
                    <w:lang w:val="en-GB" w:eastAsia="en-CA"/>
                  </w:rPr>
                  <m:t>=</m:t>
                </m:r>
                <m:r>
                  <w:rPr>
                    <w:rFonts w:ascii="Cambria Math" w:hAnsi="Cambria Math" w:cs="Arial"/>
                    <w:color w:val="000000"/>
                    <w:sz w:val="19"/>
                    <w:szCs w:val="19"/>
                    <w:lang w:val="en-GB" w:eastAsia="en-CA"/>
                  </w:rPr>
                  <m:t>R</m:t>
                </m:r>
                <m:r>
                  <m:rPr>
                    <m:sty m:val="p"/>
                  </m:rPr>
                  <w:rPr>
                    <w:rFonts w:ascii="Cambria Math" w:hAnsi="Cambria Math" w:cs="Arial"/>
                    <w:color w:val="000000"/>
                    <w:sz w:val="19"/>
                    <w:szCs w:val="19"/>
                    <w:lang w:val="en-GB" w:eastAsia="en-CA"/>
                  </w:rPr>
                  <m:t>-</m:t>
                </m:r>
                <m:r>
                  <w:rPr>
                    <w:rFonts w:ascii="Cambria Math" w:hAnsi="Cambria Math" w:cs="Arial"/>
                    <w:color w:val="000000"/>
                    <w:sz w:val="19"/>
                    <w:szCs w:val="19"/>
                    <w:lang w:val="en-GB" w:eastAsia="en-CA"/>
                  </w:rPr>
                  <m:t>FC</m:t>
                </m:r>
                <m:r>
                  <m:rPr>
                    <m:sty m:val="p"/>
                  </m:rPr>
                  <w:rPr>
                    <w:rFonts w:ascii="Cambria Math" w:hAnsi="Cambria Math" w:cs="Arial"/>
                    <w:color w:val="000000"/>
                    <w:sz w:val="19"/>
                    <w:szCs w:val="19"/>
                    <w:lang w:val="en-GB" w:eastAsia="en-CA"/>
                  </w:rPr>
                  <m:t>-</m:t>
                </m:r>
                <m:r>
                  <w:rPr>
                    <w:rFonts w:ascii="Cambria Math" w:hAnsi="Cambria Math" w:cs="Arial"/>
                    <w:color w:val="000000"/>
                    <w:sz w:val="19"/>
                    <w:szCs w:val="19"/>
                    <w:lang w:val="en-GB" w:eastAsia="en-CA"/>
                  </w:rPr>
                  <m:t>TVC</m:t>
                </m:r>
                <m:r>
                  <m:rPr>
                    <m:sty m:val="p"/>
                  </m:rPr>
                  <w:rPr>
                    <w:rFonts w:ascii="Cambria Math" w:hAnsi="Cambria Math" w:cs="Arial"/>
                    <w:color w:val="000000"/>
                    <w:sz w:val="19"/>
                    <w:szCs w:val="19"/>
                    <w:lang w:val="en-GB" w:eastAsia="en-CA"/>
                  </w:rPr>
                  <m:t>=$450×</m:t>
                </m:r>
                <m:r>
                  <w:rPr>
                    <w:rFonts w:ascii="Cambria Math" w:hAnsi="Cambria Math" w:cs="Arial"/>
                    <w:color w:val="000000"/>
                    <w:sz w:val="19"/>
                    <w:szCs w:val="19"/>
                    <w:lang w:val="en-GB" w:eastAsia="en-CA"/>
                  </w:rPr>
                  <m:t>Q</m:t>
                </m:r>
                <m:r>
                  <m:rPr>
                    <m:sty m:val="p"/>
                  </m:rPr>
                  <w:rPr>
                    <w:rFonts w:ascii="Cambria Math" w:hAnsi="Cambria Math" w:cs="Arial"/>
                    <w:color w:val="000000"/>
                    <w:sz w:val="19"/>
                    <w:szCs w:val="19"/>
                    <w:lang w:val="en-GB" w:eastAsia="en-CA"/>
                  </w:rPr>
                  <m:t xml:space="preserve"> – 0.0003214×</m:t>
                </m:r>
                <m:sSup>
                  <m:sSupPr>
                    <m:ctrlPr>
                      <w:rPr>
                        <w:rFonts w:ascii="Cambria Math" w:hAnsi="Cambria Math" w:cs="Arial"/>
                        <w:color w:val="000000"/>
                        <w:sz w:val="19"/>
                        <w:szCs w:val="19"/>
                        <w:lang w:val="en-GB" w:eastAsia="en-CA"/>
                      </w:rPr>
                    </m:ctrlPr>
                  </m:sSupPr>
                  <m:e>
                    <m:r>
                      <w:rPr>
                        <w:rFonts w:ascii="Cambria Math" w:hAnsi="Cambria Math" w:cs="Arial"/>
                        <w:color w:val="000000"/>
                        <w:sz w:val="19"/>
                        <w:szCs w:val="19"/>
                        <w:lang w:val="en-GB" w:eastAsia="en-CA"/>
                      </w:rPr>
                      <m:t>Q</m:t>
                    </m:r>
                  </m:e>
                  <m:sup>
                    <m:r>
                      <w:rPr>
                        <w:rFonts w:ascii="Cambria Math" w:hAnsi="Cambria Math" w:cs="Arial"/>
                        <w:color w:val="000000"/>
                        <w:sz w:val="19"/>
                        <w:szCs w:val="19"/>
                        <w:lang w:val="en-GB" w:eastAsia="en-CA"/>
                      </w:rPr>
                      <m:t>2</m:t>
                    </m:r>
                  </m:sup>
                </m:sSup>
                <m:r>
                  <w:rPr>
                    <w:rFonts w:ascii="Cambria Math" w:hAnsi="Cambria Math" w:cs="Arial"/>
                    <w:color w:val="000000"/>
                    <w:sz w:val="19"/>
                    <w:szCs w:val="19"/>
                    <w:lang w:val="en-GB" w:eastAsia="en-CA"/>
                  </w:rPr>
                  <m:t>-$142,000,000</m:t>
                </m:r>
              </m:oMath>
            </m:oMathPara>
          </w:p>
        </w:tc>
      </w:tr>
      <w:tr w:rsidR="00CB1DC7" w:rsidRPr="00CB1DC7" w:rsidTr="00CB1DC7">
        <w:trPr>
          <w:trHeight w:val="556"/>
          <w:jc w:val="center"/>
        </w:trPr>
        <w:tc>
          <w:tcPr>
            <w:tcW w:w="3566" w:type="dxa"/>
            <w:vAlign w:val="center"/>
          </w:tcPr>
          <w:p w:rsidR="00CB1DC7" w:rsidRPr="00342441" w:rsidRDefault="00CB1DC7" w:rsidP="00BB3C73">
            <w:pPr>
              <w:rPr>
                <w:rFonts w:ascii="Arial" w:hAnsi="Arial" w:cs="Arial"/>
                <w:color w:val="000000"/>
                <w:sz w:val="19"/>
                <w:szCs w:val="19"/>
                <w:lang w:val="en-GB" w:eastAsia="en-CA"/>
              </w:rPr>
            </w:pPr>
            <w:r w:rsidRPr="00342441">
              <w:rPr>
                <w:rFonts w:ascii="Arial" w:hAnsi="Arial" w:cs="Arial"/>
                <w:color w:val="000000"/>
                <w:sz w:val="19"/>
                <w:szCs w:val="19"/>
                <w:lang w:val="en-GB" w:eastAsia="en-CA"/>
              </w:rPr>
              <w:t>Baseline carbon intensity (CI)</w:t>
            </w:r>
          </w:p>
        </w:tc>
        <w:tc>
          <w:tcPr>
            <w:tcW w:w="5788" w:type="dxa"/>
            <w:vAlign w:val="center"/>
          </w:tcPr>
          <w:p w:rsidR="00CB1DC7" w:rsidRPr="00CB1DC7" w:rsidRDefault="00342441"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 xml:space="preserve">CI= </m:t>
                </m:r>
                <m:f>
                  <m:fPr>
                    <m:ctrlPr>
                      <w:rPr>
                        <w:rFonts w:ascii="Cambria Math" w:hAnsi="Cambria Math" w:cs="Arial"/>
                        <w:i/>
                        <w:color w:val="000000"/>
                        <w:sz w:val="19"/>
                        <w:szCs w:val="19"/>
                        <w:lang w:val="en-GB" w:eastAsia="en-CA"/>
                      </w:rPr>
                    </m:ctrlPr>
                  </m:fPr>
                  <m:num>
                    <m:r>
                      <m:rPr>
                        <m:sty m:val="p"/>
                      </m:rPr>
                      <w:rPr>
                        <w:rFonts w:ascii="Cambria Math" w:hAnsi="Cambria Math" w:cs="Arial"/>
                        <w:sz w:val="19"/>
                        <w:szCs w:val="19"/>
                        <w:lang w:val="en-GB"/>
                      </w:rPr>
                      <m:t xml:space="preserve">0.93 tonnes </m:t>
                    </m:r>
                    <m:sSub>
                      <m:sSubPr>
                        <m:ctrlPr>
                          <w:rPr>
                            <w:rFonts w:ascii="Cambria Math" w:hAnsi="Cambria Math" w:cs="Arial"/>
                            <w:sz w:val="19"/>
                            <w:szCs w:val="19"/>
                            <w:lang w:val="en-GB"/>
                          </w:rPr>
                        </m:ctrlPr>
                      </m:sSubPr>
                      <m:e>
                        <m:r>
                          <m:rPr>
                            <m:sty m:val="p"/>
                          </m:rPr>
                          <w:rPr>
                            <w:rFonts w:ascii="Cambria Math" w:hAnsi="Cambria Math" w:cs="Arial"/>
                            <w:sz w:val="19"/>
                            <w:szCs w:val="19"/>
                            <w:lang w:val="en-GB"/>
                          </w:rPr>
                          <m:t>CO</m:t>
                        </m:r>
                      </m:e>
                      <m:sub>
                        <m:r>
                          <m:rPr>
                            <m:sty m:val="p"/>
                          </m:rPr>
                          <w:rPr>
                            <w:rFonts w:ascii="Cambria Math" w:hAnsi="Cambria Math" w:cs="Arial"/>
                            <w:sz w:val="19"/>
                            <w:szCs w:val="19"/>
                            <w:vertAlign w:val="subscript"/>
                            <w:lang w:val="en-GB"/>
                          </w:rPr>
                          <m:t>2</m:t>
                        </m:r>
                      </m:sub>
                    </m:sSub>
                    <m:r>
                      <m:rPr>
                        <m:sty m:val="p"/>
                      </m:rPr>
                      <w:rPr>
                        <w:rFonts w:ascii="Cambria Math" w:hAnsi="Cambria Math" w:cs="Arial"/>
                        <w:sz w:val="19"/>
                        <w:szCs w:val="19"/>
                        <w:lang w:val="en-GB"/>
                      </w:rPr>
                      <m:t xml:space="preserve">e </m:t>
                    </m:r>
                  </m:num>
                  <m:den>
                    <m:r>
                      <w:rPr>
                        <w:rFonts w:ascii="Cambria Math" w:hAnsi="Cambria Math" w:cs="Arial"/>
                        <w:color w:val="000000"/>
                        <w:sz w:val="19"/>
                        <w:szCs w:val="19"/>
                        <w:lang w:val="en-GB" w:eastAsia="en-CA"/>
                      </w:rPr>
                      <m:t>Tonne of Cement</m:t>
                    </m:r>
                  </m:den>
                </m:f>
              </m:oMath>
            </m:oMathPara>
          </w:p>
        </w:tc>
      </w:tr>
      <w:tr w:rsidR="00CB1DC7" w:rsidRPr="00CB1DC7" w:rsidTr="00CB1DC7">
        <w:trPr>
          <w:trHeight w:val="410"/>
          <w:jc w:val="center"/>
        </w:trPr>
        <w:tc>
          <w:tcPr>
            <w:tcW w:w="3566" w:type="dxa"/>
            <w:vAlign w:val="center"/>
          </w:tcPr>
          <w:p w:rsidR="00CB1DC7" w:rsidRPr="00342441" w:rsidRDefault="00CB1DC7" w:rsidP="00BB3C73">
            <w:pPr>
              <w:rPr>
                <w:rFonts w:ascii="Arial" w:hAnsi="Arial" w:cs="Arial"/>
                <w:color w:val="000000"/>
                <w:sz w:val="19"/>
                <w:szCs w:val="19"/>
                <w:lang w:val="en-GB" w:eastAsia="en-CA"/>
              </w:rPr>
            </w:pPr>
            <w:r w:rsidRPr="00342441">
              <w:rPr>
                <w:rFonts w:ascii="Arial" w:hAnsi="Arial" w:cs="Arial"/>
                <w:color w:val="000000"/>
                <w:sz w:val="19"/>
                <w:szCs w:val="19"/>
                <w:lang w:val="en-GB" w:eastAsia="en-CA"/>
              </w:rPr>
              <w:t>Baseline total carbon emissions (TCE)</w:t>
            </w:r>
          </w:p>
        </w:tc>
        <w:tc>
          <w:tcPr>
            <w:tcW w:w="5788" w:type="dxa"/>
            <w:vAlign w:val="center"/>
          </w:tcPr>
          <w:p w:rsidR="00CB1DC7" w:rsidRPr="00CB1DC7" w:rsidRDefault="00342441"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TCE=0.93×Q</m:t>
                </m:r>
              </m:oMath>
            </m:oMathPara>
          </w:p>
        </w:tc>
      </w:tr>
    </w:tbl>
    <w:p w:rsidR="00CB1DC7" w:rsidRPr="00C502E2" w:rsidRDefault="00CB1DC7" w:rsidP="00CB1DC7">
      <w:pPr>
        <w:pStyle w:val="BodyTextMain"/>
        <w:rPr>
          <w:lang w:val="en-GB"/>
        </w:rPr>
      </w:pPr>
    </w:p>
    <w:p w:rsidR="00CB1DC7" w:rsidRPr="00C502E2" w:rsidRDefault="00CB1DC7" w:rsidP="00CB1DC7">
      <w:pPr>
        <w:pStyle w:val="BodyTextMain"/>
        <w:rPr>
          <w:lang w:val="en-GB"/>
        </w:rPr>
      </w:pPr>
    </w:p>
    <w:p w:rsidR="00CB1DC7" w:rsidRPr="00C502E2" w:rsidRDefault="00CB1DC7" w:rsidP="00342441">
      <w:pPr>
        <w:pStyle w:val="Casehead2"/>
        <w:rPr>
          <w:lang w:val="en-GB"/>
        </w:rPr>
      </w:pPr>
      <w:r w:rsidRPr="00C502E2">
        <w:rPr>
          <w:lang w:val="en-GB"/>
        </w:rPr>
        <w:t>C</w:t>
      </w:r>
      <w:r w:rsidR="00342441">
        <w:rPr>
          <w:lang w:val="en-GB"/>
        </w:rPr>
        <w:t>lean-Technology Investment Options</w:t>
      </w:r>
    </w:p>
    <w:p w:rsidR="00CB1DC7" w:rsidRPr="00C502E2" w:rsidRDefault="00CB1DC7" w:rsidP="00CB1DC7">
      <w:pPr>
        <w:pStyle w:val="BodyTextMain"/>
        <w:rPr>
          <w:lang w:val="en-GB"/>
        </w:rPr>
      </w:pPr>
    </w:p>
    <w:tbl>
      <w:tblPr>
        <w:tblStyle w:val="TableGrid"/>
        <w:tblW w:w="9314" w:type="dxa"/>
        <w:jc w:val="center"/>
        <w:tblLook w:val="04A0" w:firstRow="1" w:lastRow="0" w:firstColumn="1" w:lastColumn="0" w:noHBand="0" w:noVBand="1"/>
      </w:tblPr>
      <w:tblGrid>
        <w:gridCol w:w="4128"/>
        <w:gridCol w:w="2376"/>
        <w:gridCol w:w="2810"/>
      </w:tblGrid>
      <w:tr w:rsidR="00CB1DC7" w:rsidRPr="00C502E2" w:rsidTr="00CB1DC7">
        <w:trPr>
          <w:trHeight w:val="603"/>
          <w:jc w:val="center"/>
        </w:trPr>
        <w:tc>
          <w:tcPr>
            <w:tcW w:w="4128" w:type="dxa"/>
            <w:vAlign w:val="center"/>
            <w:hideMark/>
          </w:tcPr>
          <w:p w:rsidR="00CB1DC7" w:rsidRPr="00C502E2" w:rsidRDefault="00CB1DC7" w:rsidP="00BB3C73">
            <w:pPr>
              <w:jc w:val="center"/>
              <w:rPr>
                <w:rFonts w:ascii="Arial" w:hAnsi="Arial" w:cs="Arial"/>
                <w:b/>
                <w:bCs/>
                <w:color w:val="000000"/>
                <w:lang w:val="en-GB" w:eastAsia="en-CA"/>
              </w:rPr>
            </w:pPr>
            <w:bookmarkStart w:id="14" w:name="_Hlk491192964"/>
            <w:r w:rsidRPr="00C502E2">
              <w:rPr>
                <w:rFonts w:ascii="Arial" w:hAnsi="Arial" w:cs="Arial"/>
                <w:b/>
                <w:bCs/>
                <w:color w:val="000000"/>
                <w:lang w:val="en-GB" w:eastAsia="en-CA"/>
              </w:rPr>
              <w:t>Clean</w:t>
            </w:r>
            <w:r>
              <w:rPr>
                <w:rFonts w:ascii="Arial" w:hAnsi="Arial" w:cs="Arial"/>
                <w:b/>
                <w:bCs/>
                <w:color w:val="000000"/>
                <w:lang w:val="en-GB" w:eastAsia="en-CA"/>
              </w:rPr>
              <w:t>-</w:t>
            </w:r>
            <w:r w:rsidRPr="00C502E2">
              <w:rPr>
                <w:rFonts w:ascii="Arial" w:hAnsi="Arial" w:cs="Arial"/>
                <w:b/>
                <w:bCs/>
                <w:color w:val="000000"/>
                <w:lang w:val="en-GB" w:eastAsia="en-CA"/>
              </w:rPr>
              <w:t>Technology Investment Option</w:t>
            </w:r>
          </w:p>
        </w:tc>
        <w:tc>
          <w:tcPr>
            <w:tcW w:w="2376" w:type="dxa"/>
            <w:vAlign w:val="center"/>
            <w:hideMark/>
          </w:tcPr>
          <w:p w:rsidR="00CB1DC7" w:rsidRPr="00C502E2" w:rsidRDefault="00CB1DC7" w:rsidP="00BB3C73">
            <w:pPr>
              <w:jc w:val="center"/>
              <w:rPr>
                <w:rFonts w:ascii="Arial" w:hAnsi="Arial" w:cs="Arial"/>
                <w:b/>
                <w:bCs/>
                <w:lang w:val="en-GB" w:eastAsia="en-CA"/>
              </w:rPr>
            </w:pPr>
            <w:r w:rsidRPr="00C502E2">
              <w:rPr>
                <w:rFonts w:ascii="Arial" w:hAnsi="Arial" w:cs="Arial"/>
                <w:b/>
                <w:bCs/>
                <w:lang w:val="en-GB" w:eastAsia="en-CA"/>
              </w:rPr>
              <w:t>Annualized Cost (Savings)</w:t>
            </w:r>
          </w:p>
        </w:tc>
        <w:tc>
          <w:tcPr>
            <w:tcW w:w="2810" w:type="dxa"/>
            <w:vAlign w:val="center"/>
            <w:hideMark/>
          </w:tcPr>
          <w:p w:rsidR="00CB1DC7" w:rsidRPr="00C502E2" w:rsidRDefault="00CB1DC7" w:rsidP="00BB3C73">
            <w:pPr>
              <w:jc w:val="center"/>
              <w:rPr>
                <w:rFonts w:ascii="Arial" w:hAnsi="Arial" w:cs="Arial"/>
                <w:b/>
                <w:bCs/>
                <w:color w:val="000000"/>
                <w:lang w:val="en-GB" w:eastAsia="en-CA"/>
              </w:rPr>
            </w:pPr>
            <w:r w:rsidRPr="00C502E2">
              <w:rPr>
                <w:rFonts w:ascii="Arial" w:hAnsi="Arial" w:cs="Arial"/>
                <w:b/>
                <w:bCs/>
                <w:color w:val="000000"/>
                <w:lang w:val="en-GB" w:eastAsia="en-CA"/>
              </w:rPr>
              <w:t>Reduction in Emissions Intensity</w:t>
            </w:r>
          </w:p>
        </w:tc>
      </w:tr>
      <w:tr w:rsidR="00CB1DC7" w:rsidRPr="00C502E2" w:rsidTr="00CB1DC7">
        <w:trPr>
          <w:trHeight w:val="301"/>
          <w:jc w:val="center"/>
        </w:trPr>
        <w:tc>
          <w:tcPr>
            <w:tcW w:w="4128" w:type="dxa"/>
            <w:hideMark/>
          </w:tcPr>
          <w:p w:rsidR="00CB1DC7" w:rsidRPr="00C502E2" w:rsidRDefault="00CB1DC7" w:rsidP="00BB3C73">
            <w:pPr>
              <w:jc w:val="both"/>
              <w:rPr>
                <w:rFonts w:ascii="Arial" w:hAnsi="Arial" w:cs="Arial"/>
                <w:color w:val="000000"/>
                <w:lang w:val="en-GB" w:eastAsia="en-CA"/>
              </w:rPr>
            </w:pPr>
            <w:r w:rsidRPr="00C502E2">
              <w:rPr>
                <w:rFonts w:ascii="Arial" w:hAnsi="Arial" w:cs="Arial"/>
                <w:color w:val="000000"/>
                <w:lang w:val="en-GB" w:eastAsia="en-CA"/>
              </w:rPr>
              <w:t>Substitute raw materials</w:t>
            </w:r>
          </w:p>
        </w:tc>
        <w:tc>
          <w:tcPr>
            <w:tcW w:w="2376" w:type="dxa"/>
            <w:hideMark/>
          </w:tcPr>
          <w:p w:rsidR="00CB1DC7" w:rsidRPr="00C502E2" w:rsidRDefault="00CB1DC7" w:rsidP="00BB3C73">
            <w:pPr>
              <w:jc w:val="center"/>
              <w:rPr>
                <w:rFonts w:ascii="Arial" w:hAnsi="Arial" w:cs="Arial"/>
                <w:lang w:val="en-GB" w:eastAsia="en-CA"/>
              </w:rPr>
            </w:pPr>
            <w:r w:rsidRPr="00C502E2">
              <w:rPr>
                <w:rFonts w:ascii="Arial" w:hAnsi="Arial" w:cs="Arial"/>
                <w:lang w:val="en-GB"/>
              </w:rPr>
              <w:t>($425,000)</w:t>
            </w:r>
          </w:p>
        </w:tc>
        <w:tc>
          <w:tcPr>
            <w:tcW w:w="2810" w:type="dxa"/>
            <w:hideMark/>
          </w:tcPr>
          <w:p w:rsidR="00CB1DC7" w:rsidRPr="00C502E2" w:rsidRDefault="00CB1DC7" w:rsidP="00BB3C73">
            <w:pPr>
              <w:jc w:val="center"/>
              <w:rPr>
                <w:rFonts w:ascii="Arial" w:hAnsi="Arial" w:cs="Arial"/>
                <w:color w:val="000000"/>
                <w:lang w:val="en-GB" w:eastAsia="en-CA"/>
              </w:rPr>
            </w:pPr>
            <w:bookmarkStart w:id="15" w:name="RANGE!D6"/>
            <w:r w:rsidRPr="00C502E2">
              <w:rPr>
                <w:rFonts w:ascii="Arial" w:hAnsi="Arial" w:cs="Arial"/>
                <w:color w:val="000000"/>
                <w:lang w:val="en-GB" w:eastAsia="en-CA"/>
              </w:rPr>
              <w:t>0.0</w:t>
            </w:r>
            <w:bookmarkEnd w:id="15"/>
            <w:r w:rsidRPr="00C502E2">
              <w:rPr>
                <w:rFonts w:ascii="Arial" w:hAnsi="Arial" w:cs="Arial"/>
                <w:color w:val="000000"/>
                <w:lang w:val="en-GB" w:eastAsia="en-CA"/>
              </w:rPr>
              <w:t>08</w:t>
            </w:r>
          </w:p>
        </w:tc>
      </w:tr>
      <w:tr w:rsidR="00CB1DC7" w:rsidRPr="00C502E2" w:rsidTr="00CB1DC7">
        <w:trPr>
          <w:trHeight w:val="301"/>
          <w:jc w:val="center"/>
        </w:trPr>
        <w:tc>
          <w:tcPr>
            <w:tcW w:w="4128" w:type="dxa"/>
            <w:hideMark/>
          </w:tcPr>
          <w:p w:rsidR="00CB1DC7" w:rsidRPr="00C502E2" w:rsidRDefault="00CB1DC7" w:rsidP="00BB3C73">
            <w:pPr>
              <w:jc w:val="both"/>
              <w:rPr>
                <w:rFonts w:ascii="Arial" w:hAnsi="Arial" w:cs="Arial"/>
                <w:color w:val="000000"/>
                <w:lang w:val="en-GB" w:eastAsia="en-CA"/>
              </w:rPr>
            </w:pPr>
            <w:r w:rsidRPr="00C502E2">
              <w:rPr>
                <w:rFonts w:ascii="Arial" w:hAnsi="Arial" w:cs="Arial"/>
                <w:color w:val="000000"/>
                <w:lang w:val="en-GB" w:eastAsia="en-CA"/>
              </w:rPr>
              <w:t>Kiln repairs</w:t>
            </w:r>
          </w:p>
        </w:tc>
        <w:tc>
          <w:tcPr>
            <w:tcW w:w="2376" w:type="dxa"/>
            <w:hideMark/>
          </w:tcPr>
          <w:p w:rsidR="00CB1DC7" w:rsidRPr="00C502E2" w:rsidRDefault="00CB1DC7" w:rsidP="00BB3C73">
            <w:pPr>
              <w:jc w:val="center"/>
              <w:rPr>
                <w:rFonts w:ascii="Arial" w:hAnsi="Arial" w:cs="Arial"/>
                <w:color w:val="000000"/>
                <w:lang w:val="en-GB" w:eastAsia="en-CA"/>
              </w:rPr>
            </w:pPr>
            <w:r w:rsidRPr="00C502E2">
              <w:rPr>
                <w:rFonts w:ascii="Arial" w:hAnsi="Arial" w:cs="Arial"/>
                <w:lang w:val="en-GB"/>
              </w:rPr>
              <w:t>$2,200,000</w:t>
            </w:r>
          </w:p>
        </w:tc>
        <w:tc>
          <w:tcPr>
            <w:tcW w:w="2810" w:type="dxa"/>
            <w:hideMark/>
          </w:tcPr>
          <w:p w:rsidR="00CB1DC7" w:rsidRPr="00C502E2" w:rsidRDefault="00CB1DC7" w:rsidP="00BB3C73">
            <w:pPr>
              <w:jc w:val="center"/>
              <w:rPr>
                <w:rFonts w:ascii="Arial" w:hAnsi="Arial" w:cs="Arial"/>
                <w:color w:val="000000"/>
                <w:lang w:val="en-GB" w:eastAsia="en-CA"/>
              </w:rPr>
            </w:pPr>
            <w:bookmarkStart w:id="16" w:name="RANGE!D7"/>
            <w:r w:rsidRPr="00C502E2">
              <w:rPr>
                <w:rFonts w:ascii="Arial" w:hAnsi="Arial" w:cs="Arial"/>
                <w:color w:val="000000"/>
                <w:lang w:val="en-GB" w:eastAsia="en-CA"/>
              </w:rPr>
              <w:t>0.0</w:t>
            </w:r>
            <w:bookmarkEnd w:id="16"/>
            <w:r w:rsidRPr="00C502E2">
              <w:rPr>
                <w:rFonts w:ascii="Arial" w:hAnsi="Arial" w:cs="Arial"/>
                <w:color w:val="000000"/>
                <w:lang w:val="en-GB" w:eastAsia="en-CA"/>
              </w:rPr>
              <w:t>40</w:t>
            </w:r>
          </w:p>
        </w:tc>
      </w:tr>
      <w:tr w:rsidR="00CB1DC7" w:rsidRPr="00C502E2" w:rsidTr="00CB1DC7">
        <w:trPr>
          <w:trHeight w:val="316"/>
          <w:jc w:val="center"/>
        </w:trPr>
        <w:tc>
          <w:tcPr>
            <w:tcW w:w="4128" w:type="dxa"/>
            <w:hideMark/>
          </w:tcPr>
          <w:p w:rsidR="00CB1DC7" w:rsidRPr="00C502E2" w:rsidRDefault="00CB1DC7" w:rsidP="00BB3C73">
            <w:pPr>
              <w:jc w:val="both"/>
              <w:rPr>
                <w:rFonts w:ascii="Arial" w:hAnsi="Arial" w:cs="Arial"/>
                <w:color w:val="000000"/>
                <w:lang w:val="en-GB" w:eastAsia="en-CA"/>
              </w:rPr>
            </w:pPr>
            <w:r w:rsidRPr="00C502E2">
              <w:rPr>
                <w:rFonts w:ascii="Arial" w:hAnsi="Arial" w:cs="Arial"/>
                <w:color w:val="000000"/>
                <w:lang w:val="en-GB" w:eastAsia="en-CA"/>
              </w:rPr>
              <w:t>Improve kiln insulation</w:t>
            </w:r>
          </w:p>
        </w:tc>
        <w:tc>
          <w:tcPr>
            <w:tcW w:w="2376" w:type="dxa"/>
            <w:hideMark/>
          </w:tcPr>
          <w:p w:rsidR="00CB1DC7" w:rsidRPr="00C502E2" w:rsidRDefault="00CB1DC7" w:rsidP="00BB3C73">
            <w:pPr>
              <w:jc w:val="center"/>
              <w:rPr>
                <w:rFonts w:ascii="Arial" w:hAnsi="Arial" w:cs="Arial"/>
                <w:color w:val="000000"/>
                <w:lang w:val="en-GB" w:eastAsia="en-CA"/>
              </w:rPr>
            </w:pPr>
            <w:r w:rsidRPr="00C502E2">
              <w:rPr>
                <w:rFonts w:ascii="Arial" w:hAnsi="Arial" w:cs="Arial"/>
                <w:lang w:val="en-GB"/>
              </w:rPr>
              <w:t>$4,000,000</w:t>
            </w:r>
          </w:p>
        </w:tc>
        <w:tc>
          <w:tcPr>
            <w:tcW w:w="2810" w:type="dxa"/>
            <w:hideMark/>
          </w:tcPr>
          <w:p w:rsidR="00CB1DC7" w:rsidRPr="00C502E2" w:rsidRDefault="00CB1DC7" w:rsidP="00BB3C73">
            <w:pPr>
              <w:jc w:val="center"/>
              <w:rPr>
                <w:rFonts w:ascii="Arial" w:hAnsi="Arial" w:cs="Arial"/>
                <w:color w:val="000000"/>
                <w:lang w:val="en-GB" w:eastAsia="en-CA"/>
              </w:rPr>
            </w:pPr>
            <w:bookmarkStart w:id="17" w:name="RANGE!D8"/>
            <w:r w:rsidRPr="00C502E2">
              <w:rPr>
                <w:rFonts w:ascii="Arial" w:hAnsi="Arial" w:cs="Arial"/>
                <w:color w:val="000000"/>
                <w:lang w:val="en-GB" w:eastAsia="en-CA"/>
              </w:rPr>
              <w:t>0.01</w:t>
            </w:r>
            <w:bookmarkEnd w:id="17"/>
            <w:r w:rsidRPr="00C502E2">
              <w:rPr>
                <w:rFonts w:ascii="Arial" w:hAnsi="Arial" w:cs="Arial"/>
                <w:color w:val="000000"/>
                <w:lang w:val="en-GB" w:eastAsia="en-CA"/>
              </w:rPr>
              <w:t>0</w:t>
            </w:r>
          </w:p>
        </w:tc>
      </w:tr>
      <w:bookmarkEnd w:id="14"/>
    </w:tbl>
    <w:p w:rsidR="00CB1DC7" w:rsidRPr="00C502E2" w:rsidRDefault="00CB1DC7" w:rsidP="00CB1DC7">
      <w:pPr>
        <w:jc w:val="both"/>
        <w:rPr>
          <w:sz w:val="22"/>
          <w:szCs w:val="22"/>
          <w:lang w:val="en-GB"/>
        </w:rPr>
      </w:pPr>
    </w:p>
    <w:p w:rsidR="00CB1DC7" w:rsidRPr="00C502E2" w:rsidRDefault="00CB1DC7" w:rsidP="00CB1DC7">
      <w:pPr>
        <w:jc w:val="both"/>
        <w:rPr>
          <w:rFonts w:ascii="Arial" w:hAnsi="Arial" w:cs="Arial"/>
          <w:sz w:val="17"/>
          <w:szCs w:val="17"/>
          <w:lang w:val="en-GB"/>
        </w:rPr>
      </w:pPr>
      <w:r w:rsidRPr="00BB3C73">
        <w:rPr>
          <w:rFonts w:ascii="Arial" w:hAnsi="Arial" w:cs="Arial"/>
          <w:sz w:val="17"/>
          <w:szCs w:val="17"/>
          <w:lang w:val="en-GB"/>
        </w:rPr>
        <w:t>Note</w:t>
      </w:r>
      <w:r w:rsidRPr="00D46900">
        <w:rPr>
          <w:rFonts w:ascii="Arial" w:hAnsi="Arial" w:cs="Arial"/>
          <w:sz w:val="17"/>
          <w:szCs w:val="17"/>
          <w:lang w:val="en-GB"/>
        </w:rPr>
        <w:t>:</w:t>
      </w:r>
      <w:r w:rsidRPr="00C502E2">
        <w:rPr>
          <w:rFonts w:ascii="Arial" w:hAnsi="Arial" w:cs="Arial"/>
          <w:sz w:val="17"/>
          <w:szCs w:val="17"/>
          <w:lang w:val="en-GB"/>
        </w:rPr>
        <w:t xml:space="preserve"> It takes one year for all clea</w:t>
      </w:r>
      <w:r>
        <w:rPr>
          <w:rFonts w:ascii="Arial" w:hAnsi="Arial" w:cs="Arial"/>
          <w:sz w:val="17"/>
          <w:szCs w:val="17"/>
          <w:lang w:val="en-GB"/>
        </w:rPr>
        <w:t>n-</w:t>
      </w:r>
      <w:r w:rsidRPr="00C502E2">
        <w:rPr>
          <w:rFonts w:ascii="Arial" w:hAnsi="Arial" w:cs="Arial"/>
          <w:sz w:val="17"/>
          <w:szCs w:val="17"/>
          <w:lang w:val="en-GB"/>
        </w:rPr>
        <w:t>technology investments to come online; therefore, an investment in year 1 changes the emissions intensity of year 2.</w:t>
      </w:r>
    </w:p>
    <w:p w:rsidR="00CB1DC7" w:rsidRPr="00C502E2" w:rsidRDefault="00CB1DC7" w:rsidP="00CB1DC7">
      <w:pPr>
        <w:pStyle w:val="BodyTextMain"/>
        <w:rPr>
          <w:lang w:val="en-GB"/>
        </w:rPr>
      </w:pPr>
    </w:p>
    <w:p w:rsidR="00CB1DC7" w:rsidRPr="00C502E2" w:rsidRDefault="00CB1DC7" w:rsidP="00CB1DC7">
      <w:pPr>
        <w:pStyle w:val="BodyTextMain"/>
        <w:rPr>
          <w:lang w:val="en-GB"/>
        </w:rPr>
      </w:pPr>
    </w:p>
    <w:p w:rsidR="00CB1DC7" w:rsidRPr="00C502E2" w:rsidRDefault="00CB1DC7" w:rsidP="00342441">
      <w:pPr>
        <w:pStyle w:val="Casehead2"/>
        <w:rPr>
          <w:i/>
          <w:lang w:val="en-GB"/>
        </w:rPr>
      </w:pPr>
      <w:r w:rsidRPr="00C502E2">
        <w:rPr>
          <w:lang w:val="en-GB"/>
        </w:rPr>
        <w:t>C</w:t>
      </w:r>
      <w:r w:rsidR="00342441">
        <w:rPr>
          <w:lang w:val="en-GB"/>
        </w:rPr>
        <w:t>arbon-Market Details</w:t>
      </w:r>
    </w:p>
    <w:p w:rsidR="00CB1DC7" w:rsidRPr="00C502E2" w:rsidRDefault="00CB1DC7" w:rsidP="00CB1DC7">
      <w:pPr>
        <w:pStyle w:val="BodyTextMain"/>
        <w:rPr>
          <w:lang w:val="en-GB"/>
        </w:rPr>
      </w:pPr>
    </w:p>
    <w:tbl>
      <w:tblPr>
        <w:tblStyle w:val="TableGrid"/>
        <w:tblW w:w="9350" w:type="dxa"/>
        <w:jc w:val="center"/>
        <w:tblLook w:val="04A0" w:firstRow="1" w:lastRow="0" w:firstColumn="1" w:lastColumn="0" w:noHBand="0" w:noVBand="1"/>
      </w:tblPr>
      <w:tblGrid>
        <w:gridCol w:w="4099"/>
        <w:gridCol w:w="5251"/>
      </w:tblGrid>
      <w:tr w:rsidR="00CB1DC7" w:rsidRPr="00C502E2" w:rsidTr="00BB3C73">
        <w:trPr>
          <w:trHeight w:val="378"/>
          <w:jc w:val="center"/>
        </w:trPr>
        <w:tc>
          <w:tcPr>
            <w:tcW w:w="4099" w:type="dxa"/>
          </w:tcPr>
          <w:p w:rsidR="00CB1DC7" w:rsidRPr="00C502E2" w:rsidRDefault="00CB1DC7" w:rsidP="00BB3C73">
            <w:pPr>
              <w:jc w:val="both"/>
              <w:rPr>
                <w:rFonts w:ascii="Arial" w:hAnsi="Arial" w:cs="Arial"/>
                <w:b/>
                <w:color w:val="000000"/>
                <w:lang w:val="en-GB" w:eastAsia="en-CA"/>
              </w:rPr>
            </w:pPr>
            <w:r w:rsidRPr="00C502E2">
              <w:rPr>
                <w:rFonts w:ascii="Arial" w:hAnsi="Arial" w:cs="Arial"/>
                <w:b/>
                <w:color w:val="000000"/>
                <w:lang w:val="en-GB" w:eastAsia="en-CA"/>
              </w:rPr>
              <w:t>Carbon</w:t>
            </w:r>
            <w:r>
              <w:rPr>
                <w:rFonts w:ascii="Arial" w:hAnsi="Arial" w:cs="Arial"/>
                <w:b/>
                <w:color w:val="000000"/>
                <w:lang w:val="en-GB" w:eastAsia="en-CA"/>
              </w:rPr>
              <w:t>-</w:t>
            </w:r>
            <w:r w:rsidRPr="00C502E2">
              <w:rPr>
                <w:rFonts w:ascii="Arial" w:hAnsi="Arial" w:cs="Arial"/>
                <w:b/>
                <w:color w:val="000000"/>
                <w:lang w:val="en-GB" w:eastAsia="en-CA"/>
              </w:rPr>
              <w:t>Market Item</w:t>
            </w:r>
          </w:p>
        </w:tc>
        <w:tc>
          <w:tcPr>
            <w:tcW w:w="5251" w:type="dxa"/>
          </w:tcPr>
          <w:p w:rsidR="00CB1DC7" w:rsidRPr="00C502E2" w:rsidRDefault="00CB1DC7" w:rsidP="00BB3C73">
            <w:pPr>
              <w:jc w:val="both"/>
              <w:rPr>
                <w:rFonts w:ascii="Cambria" w:hAnsi="Cambria" w:cs="Arial"/>
                <w:color w:val="000000"/>
                <w:lang w:val="en-GB" w:eastAsia="en-CA"/>
              </w:rPr>
            </w:pPr>
            <w:r w:rsidRPr="00C502E2">
              <w:rPr>
                <w:rFonts w:ascii="Arial" w:hAnsi="Arial" w:cs="Arial"/>
                <w:b/>
                <w:color w:val="000000"/>
                <w:lang w:val="en-GB" w:eastAsia="en-CA"/>
              </w:rPr>
              <w:t>Calculation</w:t>
            </w:r>
          </w:p>
        </w:tc>
      </w:tr>
      <w:tr w:rsidR="00CB1DC7" w:rsidRPr="00C502E2" w:rsidTr="00BB3C73">
        <w:trPr>
          <w:trHeight w:val="249"/>
          <w:jc w:val="center"/>
        </w:trPr>
        <w:tc>
          <w:tcPr>
            <w:tcW w:w="4099" w:type="dxa"/>
          </w:tcPr>
          <w:p w:rsidR="00CB1DC7" w:rsidRPr="00C502E2" w:rsidRDefault="00CB1DC7" w:rsidP="00BB3C73">
            <w:pPr>
              <w:jc w:val="both"/>
              <w:rPr>
                <w:rFonts w:ascii="Arial" w:hAnsi="Arial" w:cs="Arial"/>
                <w:lang w:val="en-GB"/>
              </w:rPr>
            </w:pPr>
            <w:r w:rsidRPr="00C502E2">
              <w:rPr>
                <w:rFonts w:ascii="Arial" w:hAnsi="Arial" w:cs="Arial"/>
                <w:lang w:val="en-GB"/>
              </w:rPr>
              <w:t>Meaning of one permit</w:t>
            </w:r>
          </w:p>
        </w:tc>
        <w:tc>
          <w:tcPr>
            <w:tcW w:w="5251" w:type="dxa"/>
          </w:tcPr>
          <w:p w:rsidR="00CB1DC7" w:rsidRPr="00C502E2" w:rsidRDefault="00CB1DC7" w:rsidP="00BB3C73">
            <w:pPr>
              <w:jc w:val="both"/>
              <w:rPr>
                <w:rFonts w:ascii="Arial" w:hAnsi="Arial" w:cs="Arial"/>
                <w:lang w:val="en-GB"/>
              </w:rPr>
            </w:pPr>
            <w:r w:rsidRPr="00C502E2">
              <w:rPr>
                <w:rFonts w:ascii="Arial" w:hAnsi="Arial" w:cs="Arial"/>
                <w:lang w:val="en-GB"/>
              </w:rPr>
              <w:t>Legally allowed to emit 1 tonne CO</w:t>
            </w:r>
            <w:r w:rsidRPr="00C502E2">
              <w:rPr>
                <w:rFonts w:ascii="Arial" w:hAnsi="Arial" w:cs="Arial"/>
                <w:vertAlign w:val="subscript"/>
                <w:lang w:val="en-GB"/>
              </w:rPr>
              <w:t>2</w:t>
            </w:r>
            <w:r w:rsidRPr="00C502E2">
              <w:rPr>
                <w:rFonts w:ascii="Arial" w:hAnsi="Arial" w:cs="Arial"/>
                <w:lang w:val="en-GB"/>
              </w:rPr>
              <w:t>e</w:t>
            </w:r>
          </w:p>
        </w:tc>
      </w:tr>
      <w:tr w:rsidR="00CB1DC7" w:rsidRPr="00C502E2" w:rsidTr="00BB3C73">
        <w:trPr>
          <w:trHeight w:val="249"/>
          <w:jc w:val="center"/>
        </w:trPr>
        <w:tc>
          <w:tcPr>
            <w:tcW w:w="4099" w:type="dxa"/>
          </w:tcPr>
          <w:p w:rsidR="00CB1DC7" w:rsidRPr="00C502E2" w:rsidRDefault="00CB1DC7" w:rsidP="00BB3C73">
            <w:pPr>
              <w:jc w:val="both"/>
              <w:rPr>
                <w:rFonts w:ascii="Arial" w:hAnsi="Arial" w:cs="Arial"/>
                <w:lang w:val="en-GB"/>
              </w:rPr>
            </w:pPr>
            <w:r w:rsidRPr="00C502E2">
              <w:rPr>
                <w:rFonts w:ascii="Arial" w:hAnsi="Arial" w:cs="Arial"/>
                <w:lang w:val="en-GB"/>
              </w:rPr>
              <w:t>Price floor for a permit</w:t>
            </w:r>
          </w:p>
        </w:tc>
        <w:tc>
          <w:tcPr>
            <w:tcW w:w="5251" w:type="dxa"/>
          </w:tcPr>
          <w:p w:rsidR="00CB1DC7" w:rsidRPr="00C502E2" w:rsidRDefault="00CB1DC7" w:rsidP="00BB3C73">
            <w:pPr>
              <w:jc w:val="both"/>
              <w:rPr>
                <w:rFonts w:ascii="Arial" w:hAnsi="Arial" w:cs="Arial"/>
                <w:lang w:val="en-GB"/>
              </w:rPr>
            </w:pPr>
            <w:r w:rsidRPr="00C502E2">
              <w:rPr>
                <w:rFonts w:ascii="Arial" w:hAnsi="Arial" w:cs="Arial"/>
                <w:lang w:val="en-GB"/>
              </w:rPr>
              <w:t>$18</w:t>
            </w:r>
          </w:p>
        </w:tc>
      </w:tr>
      <w:tr w:rsidR="00CB1DC7" w:rsidRPr="00C502E2" w:rsidTr="00BB3C73">
        <w:trPr>
          <w:trHeight w:val="240"/>
          <w:jc w:val="center"/>
        </w:trPr>
        <w:tc>
          <w:tcPr>
            <w:tcW w:w="4099" w:type="dxa"/>
          </w:tcPr>
          <w:p w:rsidR="00CB1DC7" w:rsidRPr="00C502E2" w:rsidRDefault="00CB1DC7" w:rsidP="00BB3C73">
            <w:pPr>
              <w:jc w:val="both"/>
              <w:rPr>
                <w:rFonts w:ascii="Arial" w:hAnsi="Arial" w:cs="Arial"/>
                <w:lang w:val="en-GB"/>
              </w:rPr>
            </w:pPr>
            <w:r w:rsidRPr="00C502E2">
              <w:rPr>
                <w:rFonts w:ascii="Arial" w:hAnsi="Arial" w:cs="Arial"/>
                <w:lang w:val="en-GB"/>
              </w:rPr>
              <w:t>Price ceiling for a permit</w:t>
            </w:r>
          </w:p>
        </w:tc>
        <w:tc>
          <w:tcPr>
            <w:tcW w:w="5251" w:type="dxa"/>
          </w:tcPr>
          <w:p w:rsidR="00CB1DC7" w:rsidRPr="00C502E2" w:rsidRDefault="00CB1DC7" w:rsidP="00BB3C73">
            <w:pPr>
              <w:jc w:val="both"/>
              <w:rPr>
                <w:rFonts w:ascii="Arial" w:hAnsi="Arial" w:cs="Arial"/>
                <w:lang w:val="en-GB"/>
              </w:rPr>
            </w:pPr>
            <w:r w:rsidRPr="00C502E2">
              <w:rPr>
                <w:rFonts w:ascii="Arial" w:hAnsi="Arial" w:cs="Arial"/>
                <w:lang w:val="en-GB"/>
              </w:rPr>
              <w:t>$54</w:t>
            </w:r>
          </w:p>
        </w:tc>
      </w:tr>
      <w:tr w:rsidR="00CB1DC7" w:rsidRPr="00C502E2" w:rsidTr="00BB3C73">
        <w:trPr>
          <w:trHeight w:val="249"/>
          <w:jc w:val="center"/>
        </w:trPr>
        <w:tc>
          <w:tcPr>
            <w:tcW w:w="4099" w:type="dxa"/>
          </w:tcPr>
          <w:p w:rsidR="00CB1DC7" w:rsidRPr="00C502E2" w:rsidRDefault="00CB1DC7" w:rsidP="00BB3C73">
            <w:pPr>
              <w:jc w:val="both"/>
              <w:rPr>
                <w:rFonts w:ascii="Arial" w:hAnsi="Arial" w:cs="Arial"/>
                <w:lang w:val="en-GB"/>
              </w:rPr>
            </w:pPr>
            <w:r w:rsidRPr="00C502E2">
              <w:rPr>
                <w:rFonts w:ascii="Arial" w:hAnsi="Arial" w:cs="Arial"/>
                <w:lang w:val="en-GB"/>
              </w:rPr>
              <w:t>Lafarge’s year</w:t>
            </w:r>
            <w:r>
              <w:rPr>
                <w:rFonts w:ascii="Arial" w:hAnsi="Arial" w:cs="Arial"/>
                <w:lang w:val="en-GB"/>
              </w:rPr>
              <w:t>-</w:t>
            </w:r>
            <w:r w:rsidRPr="00C502E2">
              <w:rPr>
                <w:rFonts w:ascii="Arial" w:hAnsi="Arial" w:cs="Arial"/>
                <w:lang w:val="en-GB"/>
              </w:rPr>
              <w:t>1 permit allocation</w:t>
            </w:r>
          </w:p>
        </w:tc>
        <w:tc>
          <w:tcPr>
            <w:tcW w:w="5251" w:type="dxa"/>
          </w:tcPr>
          <w:p w:rsidR="00CB1DC7" w:rsidRPr="00C502E2" w:rsidRDefault="00CB1DC7" w:rsidP="00BB3C73">
            <w:pPr>
              <w:jc w:val="both"/>
              <w:rPr>
                <w:rFonts w:ascii="Arial" w:hAnsi="Arial" w:cs="Arial"/>
                <w:lang w:val="en-GB"/>
              </w:rPr>
            </w:pPr>
            <w:r w:rsidRPr="00C502E2">
              <w:rPr>
                <w:rFonts w:ascii="Arial" w:hAnsi="Arial" w:cs="Arial"/>
                <w:lang w:val="en-GB"/>
              </w:rPr>
              <w:t>600,000 tonnes of CO</w:t>
            </w:r>
            <w:r w:rsidRPr="00C502E2">
              <w:rPr>
                <w:rFonts w:ascii="Arial" w:hAnsi="Arial" w:cs="Arial"/>
                <w:vertAlign w:val="subscript"/>
                <w:lang w:val="en-GB"/>
              </w:rPr>
              <w:t>2</w:t>
            </w:r>
            <w:r w:rsidRPr="00C502E2">
              <w:rPr>
                <w:rFonts w:ascii="Arial" w:hAnsi="Arial" w:cs="Arial"/>
                <w:lang w:val="en-GB"/>
              </w:rPr>
              <w:t>e</w:t>
            </w:r>
          </w:p>
        </w:tc>
      </w:tr>
      <w:tr w:rsidR="00CB1DC7" w:rsidRPr="00C502E2" w:rsidTr="00BB3C73">
        <w:trPr>
          <w:trHeight w:val="249"/>
          <w:jc w:val="center"/>
        </w:trPr>
        <w:tc>
          <w:tcPr>
            <w:tcW w:w="4099" w:type="dxa"/>
          </w:tcPr>
          <w:p w:rsidR="00CB1DC7" w:rsidRPr="00C502E2" w:rsidRDefault="00CB1DC7" w:rsidP="00BB3C73">
            <w:pPr>
              <w:jc w:val="both"/>
              <w:rPr>
                <w:rFonts w:ascii="Arial" w:hAnsi="Arial" w:cs="Arial"/>
                <w:lang w:val="en-GB"/>
              </w:rPr>
            </w:pPr>
            <w:r w:rsidRPr="00C502E2">
              <w:rPr>
                <w:rFonts w:ascii="Arial" w:hAnsi="Arial" w:cs="Arial"/>
                <w:lang w:val="en-GB"/>
              </w:rPr>
              <w:t>Lafarge’s year</w:t>
            </w:r>
            <w:r>
              <w:rPr>
                <w:rFonts w:ascii="Arial" w:hAnsi="Arial" w:cs="Arial"/>
                <w:lang w:val="en-GB"/>
              </w:rPr>
              <w:t>-</w:t>
            </w:r>
            <w:r w:rsidRPr="00C502E2">
              <w:rPr>
                <w:rFonts w:ascii="Arial" w:hAnsi="Arial" w:cs="Arial"/>
                <w:lang w:val="en-GB"/>
              </w:rPr>
              <w:t>2 permit allocation</w:t>
            </w:r>
          </w:p>
        </w:tc>
        <w:tc>
          <w:tcPr>
            <w:tcW w:w="5251" w:type="dxa"/>
          </w:tcPr>
          <w:p w:rsidR="00CB1DC7" w:rsidRPr="00C502E2" w:rsidRDefault="00CB1DC7" w:rsidP="00BB3C73">
            <w:pPr>
              <w:jc w:val="both"/>
              <w:rPr>
                <w:rFonts w:ascii="Arial" w:hAnsi="Arial" w:cs="Arial"/>
                <w:lang w:val="en-GB"/>
              </w:rPr>
            </w:pPr>
            <w:r w:rsidRPr="00C502E2">
              <w:rPr>
                <w:rFonts w:ascii="Arial" w:hAnsi="Arial" w:cs="Arial"/>
                <w:lang w:val="en-GB"/>
              </w:rPr>
              <w:t>580,000 tonnes of CO</w:t>
            </w:r>
            <w:r w:rsidRPr="00C502E2">
              <w:rPr>
                <w:rFonts w:ascii="Arial" w:hAnsi="Arial" w:cs="Arial"/>
                <w:vertAlign w:val="subscript"/>
                <w:lang w:val="en-GB"/>
              </w:rPr>
              <w:t>2</w:t>
            </w:r>
            <w:r w:rsidRPr="00C502E2">
              <w:rPr>
                <w:rFonts w:ascii="Arial" w:hAnsi="Arial" w:cs="Arial"/>
                <w:lang w:val="en-GB"/>
              </w:rPr>
              <w:t>e</w:t>
            </w:r>
          </w:p>
        </w:tc>
      </w:tr>
      <w:tr w:rsidR="00CB1DC7" w:rsidRPr="00C502E2" w:rsidTr="00BB3C73">
        <w:trPr>
          <w:trHeight w:val="249"/>
          <w:jc w:val="center"/>
        </w:trPr>
        <w:tc>
          <w:tcPr>
            <w:tcW w:w="4099" w:type="dxa"/>
          </w:tcPr>
          <w:p w:rsidR="00CB1DC7" w:rsidRPr="00C502E2" w:rsidRDefault="00CB1DC7" w:rsidP="00BB3C73">
            <w:pPr>
              <w:jc w:val="both"/>
              <w:rPr>
                <w:rFonts w:ascii="Arial" w:hAnsi="Arial" w:cs="Arial"/>
                <w:lang w:val="en-GB"/>
              </w:rPr>
            </w:pPr>
            <w:r w:rsidRPr="00C502E2">
              <w:rPr>
                <w:rFonts w:ascii="Arial" w:hAnsi="Arial" w:cs="Arial"/>
                <w:lang w:val="en-GB"/>
              </w:rPr>
              <w:t>Lafarge’s year</w:t>
            </w:r>
            <w:r>
              <w:rPr>
                <w:rFonts w:ascii="Arial" w:hAnsi="Arial" w:cs="Arial"/>
                <w:lang w:val="en-GB"/>
              </w:rPr>
              <w:t>-</w:t>
            </w:r>
            <w:r w:rsidRPr="00C502E2">
              <w:rPr>
                <w:rFonts w:ascii="Arial" w:hAnsi="Arial" w:cs="Arial"/>
                <w:lang w:val="en-GB"/>
              </w:rPr>
              <w:t>3 permit allocation</w:t>
            </w:r>
          </w:p>
        </w:tc>
        <w:tc>
          <w:tcPr>
            <w:tcW w:w="5251" w:type="dxa"/>
          </w:tcPr>
          <w:p w:rsidR="00CB1DC7" w:rsidRPr="00C502E2" w:rsidRDefault="00CB1DC7" w:rsidP="00BB3C73">
            <w:pPr>
              <w:jc w:val="both"/>
              <w:rPr>
                <w:rFonts w:ascii="Arial" w:hAnsi="Arial" w:cs="Arial"/>
                <w:lang w:val="en-GB"/>
              </w:rPr>
            </w:pPr>
            <w:r w:rsidRPr="00C502E2">
              <w:rPr>
                <w:rFonts w:ascii="Arial" w:hAnsi="Arial" w:cs="Arial"/>
                <w:lang w:val="en-GB"/>
              </w:rPr>
              <w:t>560,000 tonnes of CO</w:t>
            </w:r>
            <w:r w:rsidRPr="00C502E2">
              <w:rPr>
                <w:rFonts w:ascii="Arial" w:hAnsi="Arial" w:cs="Arial"/>
                <w:vertAlign w:val="subscript"/>
                <w:lang w:val="en-GB"/>
              </w:rPr>
              <w:t>2</w:t>
            </w:r>
            <w:r w:rsidRPr="00C502E2">
              <w:rPr>
                <w:rFonts w:ascii="Arial" w:hAnsi="Arial" w:cs="Arial"/>
                <w:lang w:val="en-GB"/>
              </w:rPr>
              <w:t>e</w:t>
            </w:r>
          </w:p>
        </w:tc>
      </w:tr>
      <w:tr w:rsidR="00CB1DC7" w:rsidRPr="00C502E2" w:rsidTr="00BB3C73">
        <w:trPr>
          <w:trHeight w:val="249"/>
          <w:jc w:val="center"/>
        </w:trPr>
        <w:tc>
          <w:tcPr>
            <w:tcW w:w="4099" w:type="dxa"/>
          </w:tcPr>
          <w:p w:rsidR="00CB1DC7" w:rsidRPr="00C502E2" w:rsidRDefault="00CB1DC7" w:rsidP="00BB3C73">
            <w:pPr>
              <w:jc w:val="both"/>
              <w:rPr>
                <w:rFonts w:ascii="Arial" w:hAnsi="Arial" w:cs="Arial"/>
                <w:lang w:val="en-GB"/>
              </w:rPr>
            </w:pPr>
            <w:r w:rsidRPr="00C502E2">
              <w:rPr>
                <w:rFonts w:ascii="Arial" w:hAnsi="Arial" w:cs="Arial"/>
                <w:lang w:val="en-GB"/>
              </w:rPr>
              <w:t xml:space="preserve">Lafarge’s current annual emissions </w:t>
            </w:r>
          </w:p>
        </w:tc>
        <w:tc>
          <w:tcPr>
            <w:tcW w:w="5251" w:type="dxa"/>
          </w:tcPr>
          <w:p w:rsidR="00CB1DC7" w:rsidRPr="00C502E2" w:rsidRDefault="00CB1DC7" w:rsidP="00BB3C73">
            <w:pPr>
              <w:jc w:val="both"/>
              <w:rPr>
                <w:rFonts w:ascii="Arial" w:hAnsi="Arial" w:cs="Arial"/>
                <w:lang w:val="en-GB"/>
              </w:rPr>
            </w:pPr>
            <w:r w:rsidRPr="00C502E2">
              <w:rPr>
                <w:rFonts w:ascii="Arial" w:hAnsi="Arial" w:cs="Arial"/>
                <w:lang w:val="en-GB"/>
              </w:rPr>
              <w:t>650,000 tonnes of CO</w:t>
            </w:r>
            <w:r w:rsidRPr="00C502E2">
              <w:rPr>
                <w:rFonts w:ascii="Arial" w:hAnsi="Arial" w:cs="Arial"/>
                <w:vertAlign w:val="subscript"/>
                <w:lang w:val="en-GB"/>
              </w:rPr>
              <w:t>2</w:t>
            </w:r>
            <w:r w:rsidRPr="00C502E2">
              <w:rPr>
                <w:rFonts w:ascii="Arial" w:hAnsi="Arial" w:cs="Arial"/>
                <w:lang w:val="en-GB"/>
              </w:rPr>
              <w:t>e</w:t>
            </w:r>
          </w:p>
        </w:tc>
      </w:tr>
      <w:bookmarkEnd w:id="13"/>
    </w:tbl>
    <w:p w:rsidR="00CB1DC7" w:rsidRPr="00C502E2" w:rsidRDefault="00CB1DC7" w:rsidP="00CB1DC7">
      <w:pPr>
        <w:jc w:val="both"/>
        <w:rPr>
          <w:rFonts w:ascii="Arial" w:hAnsi="Arial" w:cs="Arial"/>
          <w:sz w:val="17"/>
          <w:szCs w:val="17"/>
          <w:lang w:val="en-GB"/>
        </w:rPr>
      </w:pPr>
    </w:p>
    <w:p w:rsidR="00120BDE" w:rsidRPr="005825B0" w:rsidRDefault="00120BDE" w:rsidP="00120BDE">
      <w:pPr>
        <w:pStyle w:val="FootnoteText1"/>
        <w:rPr>
          <w:lang w:val="en-GB"/>
        </w:rPr>
      </w:pPr>
      <w:r w:rsidRPr="005825B0">
        <w:rPr>
          <w:lang w:val="en-GB"/>
        </w:rPr>
        <w:t>Note: All currency amounts are in CA$; CO</w:t>
      </w:r>
      <w:r w:rsidRPr="005825B0">
        <w:rPr>
          <w:vertAlign w:val="subscript"/>
          <w:lang w:val="en-GB"/>
        </w:rPr>
        <w:t>2</w:t>
      </w:r>
      <w:r w:rsidRPr="005825B0">
        <w:rPr>
          <w:lang w:val="en-GB"/>
        </w:rPr>
        <w:t>e = carbon dioxide equivalent.</w:t>
      </w:r>
    </w:p>
    <w:p w:rsidR="00120BDE" w:rsidRPr="00165EBC" w:rsidRDefault="00120BDE" w:rsidP="00120BDE">
      <w:pPr>
        <w:pStyle w:val="FootnoteText1"/>
        <w:rPr>
          <w:lang w:val="en-GB"/>
        </w:rPr>
      </w:pPr>
      <w:r>
        <w:rPr>
          <w:lang w:val="en-GB"/>
        </w:rPr>
        <w:t>Source: Created by the case authors.</w:t>
      </w:r>
    </w:p>
    <w:p w:rsidR="00CB1DC7" w:rsidRPr="00120BDE" w:rsidRDefault="00CB1DC7" w:rsidP="00CB1DC7">
      <w:pPr>
        <w:pStyle w:val="BodyTextMain"/>
        <w:rPr>
          <w:lang w:val="en-GB"/>
        </w:rPr>
      </w:pPr>
    </w:p>
    <w:sectPr w:rsidR="00CB1DC7" w:rsidRPr="00120BDE"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CB1DC7" w:rsidRPr="0067470A" w:rsidRDefault="00CB1DC7" w:rsidP="00A77200">
      <w:pPr>
        <w:pStyle w:val="FootnoteText1"/>
        <w:rPr>
          <w:lang w:val="en-CA"/>
        </w:rPr>
      </w:pPr>
      <w:r w:rsidRPr="0067470A">
        <w:rPr>
          <w:rStyle w:val="FootnoteReference"/>
        </w:rPr>
        <w:footnoteRef/>
      </w:r>
      <w:r w:rsidRPr="0067470A">
        <w:t xml:space="preserve"> </w:t>
      </w:r>
      <w:r>
        <w:t>“</w:t>
      </w:r>
      <w:r w:rsidRPr="00A75589">
        <w:t>Cement,</w:t>
      </w:r>
      <w:r>
        <w:t>”</w:t>
      </w:r>
      <w:r w:rsidRPr="00A75589">
        <w:t xml:space="preserve"> Lafarge, accessed June 27, 2018, www.lafarge.ca/en/cement</w:t>
      </w:r>
      <w:r>
        <w:t>.</w:t>
      </w:r>
      <w:r w:rsidRPr="0067470A">
        <w:t xml:space="preserve"> </w:t>
      </w:r>
    </w:p>
  </w:footnote>
  <w:footnote w:id="2">
    <w:p w:rsidR="00CB1DC7" w:rsidRPr="00BE3B61" w:rsidRDefault="00CB1DC7" w:rsidP="00A77200">
      <w:pPr>
        <w:pStyle w:val="FootnoteText1"/>
        <w:rPr>
          <w:lang w:val="en-CA"/>
        </w:rPr>
      </w:pPr>
      <w:r w:rsidRPr="00BE3B61">
        <w:rPr>
          <w:rStyle w:val="FootnoteReference"/>
        </w:rPr>
        <w:footnoteRef/>
      </w:r>
      <w:r w:rsidRPr="00BE3B61">
        <w:t xml:space="preserve"> </w:t>
      </w:r>
      <w:r w:rsidRPr="00BE3B61">
        <w:rPr>
          <w:lang w:val="en-CA"/>
        </w:rPr>
        <w:t>All currency amounts are in CA$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20BDE">
      <w:rPr>
        <w:rFonts w:ascii="Arial" w:hAnsi="Arial"/>
        <w:b/>
        <w:noProof/>
      </w:rPr>
      <w:t>4</w:t>
    </w:r>
    <w:r>
      <w:rPr>
        <w:rFonts w:ascii="Arial" w:hAnsi="Arial"/>
        <w:b/>
      </w:rPr>
      <w:fldChar w:fldCharType="end"/>
    </w:r>
    <w:r>
      <w:rPr>
        <w:rFonts w:ascii="Arial" w:hAnsi="Arial"/>
        <w:b/>
      </w:rPr>
      <w:tab/>
    </w:r>
    <w:r w:rsidR="00CB1DC7">
      <w:rPr>
        <w:rFonts w:ascii="Arial" w:hAnsi="Arial"/>
        <w:b/>
      </w:rPr>
      <w:t>9B18M134</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0BDE"/>
    <w:rsid w:val="0012732D"/>
    <w:rsid w:val="00143F25"/>
    <w:rsid w:val="00152682"/>
    <w:rsid w:val="00154FC9"/>
    <w:rsid w:val="0019241A"/>
    <w:rsid w:val="001A22D1"/>
    <w:rsid w:val="001A752D"/>
    <w:rsid w:val="001A757E"/>
    <w:rsid w:val="001B5032"/>
    <w:rsid w:val="001C7777"/>
    <w:rsid w:val="001D62DE"/>
    <w:rsid w:val="001E364F"/>
    <w:rsid w:val="001F4222"/>
    <w:rsid w:val="00203AA1"/>
    <w:rsid w:val="00213E98"/>
    <w:rsid w:val="0023081A"/>
    <w:rsid w:val="002F460C"/>
    <w:rsid w:val="002F48D6"/>
    <w:rsid w:val="00317391"/>
    <w:rsid w:val="00326216"/>
    <w:rsid w:val="00336580"/>
    <w:rsid w:val="00342441"/>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67448"/>
    <w:rsid w:val="006946EE"/>
    <w:rsid w:val="006A58A9"/>
    <w:rsid w:val="006A606D"/>
    <w:rsid w:val="006C0371"/>
    <w:rsid w:val="006C08B6"/>
    <w:rsid w:val="006C0B1A"/>
    <w:rsid w:val="006C6065"/>
    <w:rsid w:val="006C7F9F"/>
    <w:rsid w:val="006E2F6D"/>
    <w:rsid w:val="006E58F6"/>
    <w:rsid w:val="006E77E1"/>
    <w:rsid w:val="006F131D"/>
    <w:rsid w:val="00711642"/>
    <w:rsid w:val="00746EE9"/>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77200"/>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B1DC7"/>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3D0066B5"/>
  <w15:docId w15:val="{28114681-1281-47CE-83B4-FDDEA768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A7720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3">
    <w:name w:val="Mention3"/>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es@ivey.c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veycas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F11D2-7475-491A-9ADB-B8AF9D73F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2</cp:revision>
  <cp:lastPrinted>2015-03-04T20:34:00Z</cp:lastPrinted>
  <dcterms:created xsi:type="dcterms:W3CDTF">2021-03-17T13:58:00Z</dcterms:created>
  <dcterms:modified xsi:type="dcterms:W3CDTF">2021-03-17T13:58:00Z</dcterms:modified>
</cp:coreProperties>
</file>