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5B4FA2" w:rsidRPr="00AD3822" w14:paraId="22B2B5A8" w14:textId="77777777" w:rsidTr="00AD3822">
        <w:tc>
          <w:tcPr>
            <w:tcW w:w="4788" w:type="dxa"/>
          </w:tcPr>
          <w:p w14:paraId="62E9DD46" w14:textId="77777777" w:rsidR="005B4FA2" w:rsidRPr="00AD3822" w:rsidRDefault="005B4FA2" w:rsidP="005B4FA2">
            <w:pPr>
              <w:tabs>
                <w:tab w:val="left" w:pos="-1440"/>
                <w:tab w:val="left" w:pos="-720"/>
                <w:tab w:val="left" w:pos="1"/>
              </w:tabs>
              <w:jc w:val="both"/>
              <w:rPr>
                <w:rFonts w:ascii="Arial" w:hAnsi="Arial"/>
                <w:b/>
                <w:sz w:val="24"/>
                <w:lang w:val="en-GB"/>
              </w:rPr>
            </w:pPr>
            <w:r w:rsidRPr="00AD3822">
              <w:rPr>
                <w:rFonts w:ascii="Arial" w:hAnsi="Arial"/>
                <w:b/>
                <w:noProof/>
                <w:sz w:val="24"/>
              </w:rPr>
              <w:drawing>
                <wp:inline distT="0" distB="0" distL="0" distR="0" wp14:anchorId="669938C8" wp14:editId="1F243CEE">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40DABDDE" w14:textId="77777777" w:rsidR="005B4FA2" w:rsidRPr="00AD3822" w:rsidRDefault="005B4FA2" w:rsidP="005B4FA2">
            <w:pPr>
              <w:tabs>
                <w:tab w:val="left" w:pos="-1440"/>
                <w:tab w:val="left" w:pos="-720"/>
                <w:tab w:val="left" w:pos="1"/>
              </w:tabs>
              <w:jc w:val="both"/>
              <w:rPr>
                <w:rFonts w:ascii="Arial" w:hAnsi="Arial"/>
                <w:b/>
                <w:sz w:val="24"/>
                <w:lang w:val="en-GB"/>
              </w:rPr>
            </w:pPr>
            <w:r w:rsidRPr="00AD3822">
              <w:rPr>
                <w:rFonts w:ascii="Arial" w:hAnsi="Arial"/>
                <w:b/>
                <w:noProof/>
                <w:sz w:val="24"/>
              </w:rPr>
              <w:drawing>
                <wp:anchor distT="0" distB="0" distL="114300" distR="114300" simplePos="0" relativeHeight="251659264" behindDoc="1" locked="0" layoutInCell="1" allowOverlap="1" wp14:anchorId="4C423BFE" wp14:editId="24046EB2">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CEFB6DD" w14:textId="77777777" w:rsidR="005B4FA2" w:rsidRPr="00AD3822" w:rsidRDefault="005B4FA2" w:rsidP="005B4FA2">
      <w:pPr>
        <w:pBdr>
          <w:bottom w:val="single" w:sz="18" w:space="1" w:color="auto"/>
        </w:pBdr>
        <w:tabs>
          <w:tab w:val="left" w:pos="-1440"/>
          <w:tab w:val="left" w:pos="-720"/>
          <w:tab w:val="left" w:pos="1"/>
        </w:tabs>
        <w:jc w:val="both"/>
        <w:rPr>
          <w:rFonts w:ascii="Arial" w:hAnsi="Arial"/>
          <w:b/>
          <w:sz w:val="2"/>
          <w:szCs w:val="2"/>
          <w:lang w:val="en-GB"/>
        </w:rPr>
      </w:pPr>
    </w:p>
    <w:p w14:paraId="5347050A" w14:textId="1C710E81" w:rsidR="005B4FA2" w:rsidRPr="00AD3822" w:rsidRDefault="00E30CEE" w:rsidP="005B4FA2">
      <w:pPr>
        <w:jc w:val="right"/>
        <w:rPr>
          <w:rFonts w:ascii="Arial" w:hAnsi="Arial"/>
          <w:b/>
          <w:caps/>
          <w:sz w:val="24"/>
          <w:lang w:val="en-GB"/>
        </w:rPr>
      </w:pPr>
      <w:r>
        <w:rPr>
          <w:rFonts w:ascii="Arial" w:hAnsi="Arial"/>
          <w:b/>
          <w:caps/>
          <w:sz w:val="24"/>
          <w:lang w:val="en-GB"/>
        </w:rPr>
        <w:t>9B18M137</w:t>
      </w:r>
    </w:p>
    <w:p w14:paraId="5FB9330F" w14:textId="77777777" w:rsidR="00D75295" w:rsidRPr="00AD3822" w:rsidRDefault="00D75295" w:rsidP="00D75295">
      <w:pPr>
        <w:jc w:val="right"/>
        <w:rPr>
          <w:rFonts w:ascii="Arial" w:hAnsi="Arial"/>
          <w:b/>
          <w:sz w:val="28"/>
          <w:szCs w:val="28"/>
          <w:lang w:val="en-GB"/>
        </w:rPr>
      </w:pPr>
    </w:p>
    <w:p w14:paraId="5EE8AF59" w14:textId="77777777" w:rsidR="00013360" w:rsidRPr="00AD3822" w:rsidRDefault="00013360" w:rsidP="00D75295">
      <w:pPr>
        <w:jc w:val="right"/>
        <w:rPr>
          <w:rFonts w:ascii="Arial" w:hAnsi="Arial"/>
          <w:b/>
          <w:sz w:val="28"/>
          <w:szCs w:val="28"/>
          <w:lang w:val="en-GB"/>
        </w:rPr>
      </w:pPr>
    </w:p>
    <w:p w14:paraId="1F9BCE90" w14:textId="507329CF" w:rsidR="00013360" w:rsidRPr="00AD3822" w:rsidRDefault="00953B82" w:rsidP="00013360">
      <w:pPr>
        <w:pStyle w:val="CaseTitle"/>
        <w:spacing w:after="0" w:line="240" w:lineRule="auto"/>
        <w:rPr>
          <w:sz w:val="20"/>
          <w:szCs w:val="20"/>
          <w:lang w:val="en-GB"/>
        </w:rPr>
      </w:pPr>
      <w:r w:rsidRPr="00AD3822">
        <w:rPr>
          <w:lang w:val="en-GB"/>
        </w:rPr>
        <w:t>FUJITSU</w:t>
      </w:r>
      <w:r w:rsidR="00F86AD5">
        <w:rPr>
          <w:lang w:val="en-GB"/>
        </w:rPr>
        <w:t>:</w:t>
      </w:r>
      <w:r w:rsidRPr="00AD3822">
        <w:rPr>
          <w:lang w:val="en-GB"/>
        </w:rPr>
        <w:t xml:space="preserve"> CO-CREATING DIGITAL BUSINESS</w:t>
      </w:r>
    </w:p>
    <w:p w14:paraId="37502D00" w14:textId="77777777" w:rsidR="00CA3976" w:rsidRPr="00AD3822" w:rsidRDefault="00CA3976" w:rsidP="00013360">
      <w:pPr>
        <w:pStyle w:val="CaseTitle"/>
        <w:spacing w:after="0" w:line="240" w:lineRule="auto"/>
        <w:rPr>
          <w:sz w:val="20"/>
          <w:szCs w:val="20"/>
          <w:lang w:val="en-GB"/>
        </w:rPr>
      </w:pPr>
    </w:p>
    <w:p w14:paraId="19DB25CE" w14:textId="77777777" w:rsidR="00013360" w:rsidRPr="00AD3822" w:rsidRDefault="00013360" w:rsidP="00013360">
      <w:pPr>
        <w:pStyle w:val="CaseTitle"/>
        <w:spacing w:after="0" w:line="240" w:lineRule="auto"/>
        <w:rPr>
          <w:sz w:val="20"/>
          <w:szCs w:val="20"/>
          <w:lang w:val="en-GB"/>
        </w:rPr>
      </w:pPr>
    </w:p>
    <w:p w14:paraId="07460A49" w14:textId="6A59D750" w:rsidR="00627C63" w:rsidRPr="00AD3822" w:rsidRDefault="00DF722C" w:rsidP="00627C63">
      <w:pPr>
        <w:pStyle w:val="StyleCopyrightStatementAfter0ptBottomSinglesolidline1"/>
        <w:rPr>
          <w:lang w:val="en-GB"/>
        </w:rPr>
      </w:pPr>
      <w:r w:rsidRPr="00AD3822">
        <w:rPr>
          <w:lang w:val="en-GB"/>
        </w:rPr>
        <w:t xml:space="preserve">Sarah </w:t>
      </w:r>
      <w:r w:rsidR="00D3031D" w:rsidRPr="00AD3822">
        <w:rPr>
          <w:lang w:val="en-GB"/>
        </w:rPr>
        <w:t xml:space="preserve">Lai-Yin </w:t>
      </w:r>
      <w:r w:rsidRPr="00AD3822">
        <w:rPr>
          <w:lang w:val="en-GB"/>
        </w:rPr>
        <w:t>Cheah and Foo Maw Der</w:t>
      </w:r>
      <w:r w:rsidR="001C7777" w:rsidRPr="00AD3822">
        <w:rPr>
          <w:lang w:val="en-GB"/>
        </w:rPr>
        <w:t xml:space="preserve"> </w:t>
      </w:r>
      <w:r w:rsidR="004B632F" w:rsidRPr="00AD3822">
        <w:rPr>
          <w:lang w:val="en-GB"/>
        </w:rPr>
        <w:t xml:space="preserve">wrote this </w:t>
      </w:r>
      <w:r w:rsidR="00152682" w:rsidRPr="00AD3822">
        <w:rPr>
          <w:lang w:val="en-GB"/>
        </w:rPr>
        <w:t>case</w:t>
      </w:r>
      <w:r w:rsidR="004B632F" w:rsidRPr="00AD3822">
        <w:rPr>
          <w:lang w:val="en-GB"/>
        </w:rPr>
        <w:t xml:space="preserve"> </w:t>
      </w:r>
      <w:r w:rsidR="00152682" w:rsidRPr="00AD3822">
        <w:rPr>
          <w:lang w:val="en-GB"/>
        </w:rPr>
        <w:t>solely to provide material for class discussion. The</w:t>
      </w:r>
      <w:r w:rsidR="001C7777" w:rsidRPr="00AD3822">
        <w:rPr>
          <w:lang w:val="en-GB"/>
        </w:rPr>
        <w:t xml:space="preserve"> author</w:t>
      </w:r>
      <w:r w:rsidR="001A22D1" w:rsidRPr="00AD3822">
        <w:rPr>
          <w:lang w:val="en-GB"/>
        </w:rPr>
        <w:t>s</w:t>
      </w:r>
      <w:r w:rsidR="00152682" w:rsidRPr="00AD3822">
        <w:rPr>
          <w:lang w:val="en-GB"/>
        </w:rPr>
        <w:t xml:space="preserve"> do not intend to illustrate either effective or ineffective handling of a managerial situation. The author</w:t>
      </w:r>
      <w:r w:rsidR="001A22D1" w:rsidRPr="00AD3822">
        <w:rPr>
          <w:lang w:val="en-GB"/>
        </w:rPr>
        <w:t>s</w:t>
      </w:r>
      <w:r w:rsidR="00152682" w:rsidRPr="00AD3822">
        <w:rPr>
          <w:lang w:val="en-GB"/>
        </w:rPr>
        <w:t xml:space="preserve"> may have disguised certain names and other identifying information to protect confidentiality.</w:t>
      </w:r>
    </w:p>
    <w:p w14:paraId="250539B6" w14:textId="77777777" w:rsidR="00751E0B" w:rsidRPr="00AD3822" w:rsidRDefault="00751E0B" w:rsidP="00751E0B">
      <w:pPr>
        <w:pStyle w:val="StyleCopyrightStatementAfter0ptBottomSinglesolidline1"/>
        <w:rPr>
          <w:lang w:val="en-GB"/>
        </w:rPr>
      </w:pPr>
    </w:p>
    <w:p w14:paraId="39346388" w14:textId="77777777" w:rsidR="005B4FA2" w:rsidRPr="00AD3822" w:rsidRDefault="005B4FA2" w:rsidP="005B4FA2">
      <w:pPr>
        <w:jc w:val="both"/>
        <w:rPr>
          <w:rFonts w:ascii="Arial" w:hAnsi="Arial" w:cs="Arial"/>
          <w:i/>
          <w:iCs/>
          <w:sz w:val="16"/>
          <w:szCs w:val="16"/>
          <w:lang w:val="en-GB"/>
        </w:rPr>
      </w:pPr>
      <w:r w:rsidRPr="00AD3822">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AD3822">
          <w:rPr>
            <w:rFonts w:ascii="Arial" w:hAnsi="Arial" w:cs="Arial"/>
            <w:i/>
            <w:iCs/>
            <w:sz w:val="16"/>
            <w:szCs w:val="16"/>
            <w:lang w:val="en-GB"/>
          </w:rPr>
          <w:t>cases@ivey.ca</w:t>
        </w:r>
      </w:hyperlink>
      <w:r w:rsidRPr="00AD3822">
        <w:rPr>
          <w:rFonts w:ascii="Arial" w:hAnsi="Arial" w:cs="Arial"/>
          <w:i/>
          <w:iCs/>
          <w:sz w:val="16"/>
          <w:szCs w:val="16"/>
          <w:lang w:val="en-GB"/>
        </w:rPr>
        <w:t xml:space="preserve">; </w:t>
      </w:r>
      <w:hyperlink r:id="rId11" w:history="1">
        <w:r w:rsidRPr="00AD3822">
          <w:rPr>
            <w:rFonts w:ascii="Arial" w:hAnsi="Arial" w:cs="Arial"/>
            <w:i/>
            <w:iCs/>
            <w:sz w:val="16"/>
            <w:szCs w:val="16"/>
            <w:lang w:val="en-GB"/>
          </w:rPr>
          <w:t>www.iveycases.com</w:t>
        </w:r>
      </w:hyperlink>
      <w:r w:rsidRPr="00AD3822">
        <w:rPr>
          <w:rFonts w:ascii="Arial" w:hAnsi="Arial" w:cs="Arial"/>
          <w:i/>
          <w:iCs/>
          <w:sz w:val="16"/>
          <w:szCs w:val="16"/>
          <w:lang w:val="en-GB"/>
        </w:rPr>
        <w:t>.</w:t>
      </w:r>
    </w:p>
    <w:p w14:paraId="29DB1DA4" w14:textId="77777777" w:rsidR="005B4FA2" w:rsidRPr="00AD3822" w:rsidRDefault="005B4FA2" w:rsidP="005B4FA2">
      <w:pPr>
        <w:pStyle w:val="StyleCopyrightStatementAfter0ptBottomSinglesolidline1"/>
        <w:pBdr>
          <w:top w:val="none" w:sz="0" w:space="0" w:color="auto"/>
        </w:pBdr>
        <w:rPr>
          <w:lang w:val="en-GB"/>
        </w:rPr>
      </w:pPr>
    </w:p>
    <w:p w14:paraId="4A65F4D1" w14:textId="7603F070" w:rsidR="00751E0B" w:rsidRPr="00AD3822" w:rsidRDefault="005B4FA2" w:rsidP="005B4FA2">
      <w:pPr>
        <w:pStyle w:val="StyleStyleCopyrightStatementAfter0ptBottomSinglesolid"/>
        <w:rPr>
          <w:lang w:val="en-GB"/>
        </w:rPr>
      </w:pPr>
      <w:r w:rsidRPr="00AD3822">
        <w:rPr>
          <w:lang w:val="en-GB"/>
        </w:rPr>
        <w:t>Copyright © 2018, National University of Singapore and Ivey School of Business Foundation</w:t>
      </w:r>
      <w:r w:rsidRPr="00AD3822">
        <w:rPr>
          <w:lang w:val="en-GB"/>
        </w:rPr>
        <w:tab/>
        <w:t>Version: 2018-09-</w:t>
      </w:r>
      <w:r w:rsidR="002C3ED5">
        <w:rPr>
          <w:lang w:val="en-GB"/>
        </w:rPr>
        <w:t>1</w:t>
      </w:r>
      <w:r w:rsidR="002E742C">
        <w:rPr>
          <w:lang w:val="en-GB"/>
        </w:rPr>
        <w:t>3</w:t>
      </w:r>
    </w:p>
    <w:p w14:paraId="446DD503" w14:textId="77777777" w:rsidR="00751E0B" w:rsidRPr="00AD3822" w:rsidRDefault="00751E0B" w:rsidP="00751E0B">
      <w:pPr>
        <w:pStyle w:val="StyleCopyrightStatementAfter0ptBottomSinglesolidline1"/>
        <w:rPr>
          <w:rFonts w:ascii="Times New Roman" w:hAnsi="Times New Roman"/>
          <w:sz w:val="18"/>
          <w:lang w:val="en-GB"/>
        </w:rPr>
      </w:pPr>
    </w:p>
    <w:p w14:paraId="44919AD2" w14:textId="77777777" w:rsidR="004B632F" w:rsidRPr="00AD3822" w:rsidRDefault="004B632F" w:rsidP="004B632F">
      <w:pPr>
        <w:pStyle w:val="StyleCopyrightStatementAfter0ptBottomSinglesolidline1"/>
        <w:rPr>
          <w:rFonts w:ascii="Times New Roman" w:hAnsi="Times New Roman"/>
          <w:spacing w:val="-2"/>
          <w:sz w:val="18"/>
          <w:lang w:val="en-GB"/>
        </w:rPr>
      </w:pPr>
    </w:p>
    <w:p w14:paraId="6A48C0B8" w14:textId="6D17B8A6" w:rsidR="00F86AD5" w:rsidRDefault="00DF722C" w:rsidP="00DF722C">
      <w:pPr>
        <w:pStyle w:val="BodyTextMain"/>
        <w:rPr>
          <w:spacing w:val="-2"/>
          <w:lang w:val="en-GB"/>
        </w:rPr>
      </w:pPr>
      <w:r w:rsidRPr="00AD3822">
        <w:rPr>
          <w:spacing w:val="-2"/>
          <w:lang w:val="en-GB"/>
        </w:rPr>
        <w:t xml:space="preserve">On July </w:t>
      </w:r>
      <w:r w:rsidR="00791239" w:rsidRPr="00AD3822">
        <w:rPr>
          <w:spacing w:val="-2"/>
          <w:lang w:val="en-GB"/>
        </w:rPr>
        <w:t xml:space="preserve">12, </w:t>
      </w:r>
      <w:r w:rsidRPr="00AD3822">
        <w:rPr>
          <w:spacing w:val="-2"/>
          <w:lang w:val="en-GB"/>
        </w:rPr>
        <w:t>2017, Heng Chew Wong stared at his computer screen in his office at One</w:t>
      </w:r>
      <w:r w:rsidR="00791239" w:rsidRPr="00AD3822">
        <w:rPr>
          <w:spacing w:val="-2"/>
          <w:lang w:val="en-GB"/>
        </w:rPr>
        <w:t xml:space="preserve"> </w:t>
      </w:r>
      <w:r w:rsidRPr="00AD3822">
        <w:rPr>
          <w:spacing w:val="-2"/>
          <w:lang w:val="en-GB"/>
        </w:rPr>
        <w:t>North, a Silicon</w:t>
      </w:r>
      <w:r w:rsidR="00791239" w:rsidRPr="00AD3822">
        <w:rPr>
          <w:spacing w:val="-2"/>
          <w:lang w:val="en-GB"/>
        </w:rPr>
        <w:t xml:space="preserve"> </w:t>
      </w:r>
      <w:r w:rsidRPr="00AD3822">
        <w:rPr>
          <w:spacing w:val="-2"/>
          <w:lang w:val="en-GB"/>
        </w:rPr>
        <w:t>Valley</w:t>
      </w:r>
      <w:r w:rsidR="00791239" w:rsidRPr="00AD3822">
        <w:rPr>
          <w:spacing w:val="-2"/>
          <w:lang w:val="en-GB"/>
        </w:rPr>
        <w:t>–</w:t>
      </w:r>
      <w:r w:rsidRPr="00AD3822">
        <w:rPr>
          <w:spacing w:val="-2"/>
          <w:lang w:val="en-GB"/>
        </w:rPr>
        <w:t>inspired community of high-technology multinational companies (MNCs) and start</w:t>
      </w:r>
      <w:r w:rsidR="00791239" w:rsidRPr="00AD3822">
        <w:rPr>
          <w:spacing w:val="-2"/>
          <w:lang w:val="en-GB"/>
        </w:rPr>
        <w:t>-</w:t>
      </w:r>
      <w:r w:rsidRPr="00AD3822">
        <w:rPr>
          <w:spacing w:val="-2"/>
          <w:lang w:val="en-GB"/>
        </w:rPr>
        <w:t xml:space="preserve">ups in Singapore. After </w:t>
      </w:r>
      <w:r w:rsidR="0098455F" w:rsidRPr="00AD3822">
        <w:rPr>
          <w:spacing w:val="-2"/>
          <w:lang w:val="en-GB"/>
        </w:rPr>
        <w:t xml:space="preserve">seven years </w:t>
      </w:r>
      <w:r w:rsidR="00791239" w:rsidRPr="00AD3822">
        <w:rPr>
          <w:spacing w:val="-2"/>
          <w:lang w:val="en-GB"/>
        </w:rPr>
        <w:t xml:space="preserve">as president of </w:t>
      </w:r>
      <w:r w:rsidRPr="00AD3822">
        <w:rPr>
          <w:spacing w:val="-2"/>
          <w:lang w:val="en-GB"/>
        </w:rPr>
        <w:t xml:space="preserve">the information and communications technology (ICT) firm </w:t>
      </w:r>
      <w:r w:rsidR="003828C1" w:rsidRPr="00AD3822">
        <w:rPr>
          <w:spacing w:val="-2"/>
          <w:lang w:val="en-GB"/>
        </w:rPr>
        <w:t>Fujitsu Asia Pte. Ltd. in</w:t>
      </w:r>
      <w:r w:rsidRPr="00AD3822">
        <w:rPr>
          <w:spacing w:val="-2"/>
          <w:lang w:val="en-GB"/>
        </w:rPr>
        <w:t xml:space="preserve"> Singapore</w:t>
      </w:r>
      <w:r w:rsidR="00727C1B" w:rsidRPr="00AD3822">
        <w:rPr>
          <w:spacing w:val="-2"/>
          <w:lang w:val="en-GB"/>
        </w:rPr>
        <w:t>, a subsidiary of the Japanese conglomerate Fujitsu Limited (Fujitsu)</w:t>
      </w:r>
      <w:r w:rsidRPr="00AD3822">
        <w:rPr>
          <w:spacing w:val="-2"/>
          <w:lang w:val="en-GB"/>
        </w:rPr>
        <w:t>, Wong had witnessed how the company was able</w:t>
      </w:r>
      <w:r w:rsidR="00F86AD5">
        <w:rPr>
          <w:spacing w:val="-2"/>
          <w:lang w:val="en-GB"/>
        </w:rPr>
        <w:t>, in many situations,</w:t>
      </w:r>
      <w:r w:rsidRPr="00AD3822">
        <w:rPr>
          <w:spacing w:val="-2"/>
          <w:lang w:val="en-GB"/>
        </w:rPr>
        <w:t xml:space="preserve"> to continuously innovate </w:t>
      </w:r>
      <w:r w:rsidR="00C54084" w:rsidRPr="00AD3822">
        <w:rPr>
          <w:spacing w:val="-2"/>
          <w:lang w:val="en-GB"/>
        </w:rPr>
        <w:t>as</w:t>
      </w:r>
      <w:r w:rsidRPr="00AD3822">
        <w:rPr>
          <w:spacing w:val="-2"/>
          <w:lang w:val="en-GB"/>
        </w:rPr>
        <w:t xml:space="preserve"> a powerful change agent and </w:t>
      </w:r>
      <w:r w:rsidR="00C54084" w:rsidRPr="00AD3822">
        <w:rPr>
          <w:spacing w:val="-2"/>
          <w:lang w:val="en-GB"/>
        </w:rPr>
        <w:t xml:space="preserve">how it had </w:t>
      </w:r>
      <w:r w:rsidRPr="00AD3822">
        <w:rPr>
          <w:spacing w:val="-2"/>
          <w:lang w:val="en-GB"/>
        </w:rPr>
        <w:t>developed invaluable competenc</w:t>
      </w:r>
      <w:r w:rsidR="00E90233" w:rsidRPr="00AD3822">
        <w:rPr>
          <w:spacing w:val="-2"/>
          <w:lang w:val="en-GB"/>
        </w:rPr>
        <w:t>i</w:t>
      </w:r>
      <w:r w:rsidRPr="00AD3822">
        <w:rPr>
          <w:spacing w:val="-2"/>
          <w:lang w:val="en-GB"/>
        </w:rPr>
        <w:t>e</w:t>
      </w:r>
      <w:r w:rsidR="00E90233" w:rsidRPr="00AD3822">
        <w:rPr>
          <w:spacing w:val="-2"/>
          <w:lang w:val="en-GB"/>
        </w:rPr>
        <w:t>s</w:t>
      </w:r>
      <w:r w:rsidRPr="00AD3822">
        <w:rPr>
          <w:spacing w:val="-2"/>
          <w:lang w:val="en-GB"/>
        </w:rPr>
        <w:t xml:space="preserve"> in the process. </w:t>
      </w:r>
    </w:p>
    <w:p w14:paraId="65C218F2" w14:textId="77777777" w:rsidR="00F86AD5" w:rsidRPr="00B926DB" w:rsidRDefault="00F86AD5" w:rsidP="00DF722C">
      <w:pPr>
        <w:pStyle w:val="BodyTextMain"/>
        <w:rPr>
          <w:spacing w:val="-2"/>
          <w:sz w:val="20"/>
          <w:lang w:val="en-GB"/>
        </w:rPr>
      </w:pPr>
    </w:p>
    <w:p w14:paraId="36ADB10F" w14:textId="1FC000B8" w:rsidR="00E90233" w:rsidRPr="00AD3822" w:rsidRDefault="00DF722C" w:rsidP="00DF722C">
      <w:pPr>
        <w:pStyle w:val="BodyTextMain"/>
        <w:rPr>
          <w:spacing w:val="-2"/>
          <w:lang w:val="en-GB"/>
        </w:rPr>
      </w:pPr>
      <w:r w:rsidRPr="00AD3822">
        <w:rPr>
          <w:spacing w:val="-2"/>
          <w:lang w:val="en-GB"/>
        </w:rPr>
        <w:t xml:space="preserve">In particular, Fujitsu had deployed engineering cloud computing to support the manufacturing industry in 2017, offering manufacturing companies cost-effective access to engineering support software such as computer-aided design (CAD) applications </w:t>
      </w:r>
      <w:r w:rsidR="00AD3822">
        <w:rPr>
          <w:spacing w:val="-2"/>
          <w:lang w:val="en-GB"/>
        </w:rPr>
        <w:t xml:space="preserve">that </w:t>
      </w:r>
      <w:r w:rsidR="00C54084" w:rsidRPr="00AD3822">
        <w:rPr>
          <w:spacing w:val="-2"/>
          <w:lang w:val="en-GB"/>
        </w:rPr>
        <w:t>users could access via their</w:t>
      </w:r>
      <w:r w:rsidRPr="00AD3822">
        <w:rPr>
          <w:spacing w:val="-2"/>
          <w:lang w:val="en-GB"/>
        </w:rPr>
        <w:t xml:space="preserve"> mobile devices. In its effort to rejuvenate Japan’s failing agricultural industry, Fujitsu </w:t>
      </w:r>
      <w:r w:rsidR="005C5ECB">
        <w:rPr>
          <w:spacing w:val="-2"/>
          <w:lang w:val="en-GB"/>
        </w:rPr>
        <w:t xml:space="preserve">had </w:t>
      </w:r>
      <w:r w:rsidRPr="00AD3822">
        <w:rPr>
          <w:spacing w:val="-2"/>
          <w:lang w:val="en-GB"/>
        </w:rPr>
        <w:t xml:space="preserve">worked with industry stakeholders </w:t>
      </w:r>
      <w:r w:rsidR="00AD3822">
        <w:rPr>
          <w:spacing w:val="-2"/>
          <w:lang w:val="en-GB"/>
        </w:rPr>
        <w:t xml:space="preserve">in 2012 </w:t>
      </w:r>
      <w:r w:rsidRPr="00AD3822">
        <w:rPr>
          <w:spacing w:val="-2"/>
          <w:lang w:val="en-GB"/>
        </w:rPr>
        <w:t>to co-develop the Akisai platform</w:t>
      </w:r>
      <w:r w:rsidR="00C54084" w:rsidRPr="00AD3822">
        <w:rPr>
          <w:spacing w:val="-2"/>
          <w:lang w:val="en-GB"/>
        </w:rPr>
        <w:t>, which</w:t>
      </w:r>
      <w:r w:rsidRPr="00AD3822">
        <w:rPr>
          <w:spacing w:val="-2"/>
          <w:lang w:val="en-GB"/>
        </w:rPr>
        <w:t xml:space="preserve"> </w:t>
      </w:r>
      <w:r w:rsidR="00C54084" w:rsidRPr="00AD3822">
        <w:rPr>
          <w:spacing w:val="-2"/>
          <w:lang w:val="en-GB"/>
        </w:rPr>
        <w:t>used the I</w:t>
      </w:r>
      <w:r w:rsidRPr="00AD3822">
        <w:rPr>
          <w:spacing w:val="-2"/>
          <w:lang w:val="en-GB"/>
        </w:rPr>
        <w:t xml:space="preserve">nternet of things (IoT) and artificial intelligence (AI). Wong was </w:t>
      </w:r>
      <w:r w:rsidR="004C3447" w:rsidRPr="00AD3822">
        <w:rPr>
          <w:spacing w:val="-2"/>
          <w:lang w:val="en-GB"/>
        </w:rPr>
        <w:t>certain</w:t>
      </w:r>
      <w:r w:rsidR="00E90233" w:rsidRPr="00AD3822">
        <w:rPr>
          <w:spacing w:val="-2"/>
          <w:lang w:val="en-GB"/>
        </w:rPr>
        <w:t xml:space="preserve"> </w:t>
      </w:r>
      <w:r w:rsidRPr="00AD3822">
        <w:rPr>
          <w:spacing w:val="-2"/>
          <w:lang w:val="en-GB"/>
        </w:rPr>
        <w:t xml:space="preserve">that these </w:t>
      </w:r>
      <w:r w:rsidR="00E90233" w:rsidRPr="00AD3822">
        <w:rPr>
          <w:spacing w:val="-2"/>
          <w:lang w:val="en-GB"/>
        </w:rPr>
        <w:t xml:space="preserve">competencies </w:t>
      </w:r>
      <w:r w:rsidRPr="00AD3822">
        <w:rPr>
          <w:spacing w:val="-2"/>
          <w:lang w:val="en-GB"/>
        </w:rPr>
        <w:t xml:space="preserve">could potentially </w:t>
      </w:r>
      <w:r w:rsidR="00E90233" w:rsidRPr="00AD3822">
        <w:rPr>
          <w:spacing w:val="-2"/>
          <w:lang w:val="en-GB"/>
        </w:rPr>
        <w:t>act as</w:t>
      </w:r>
      <w:r w:rsidRPr="00AD3822">
        <w:rPr>
          <w:spacing w:val="-2"/>
          <w:lang w:val="en-GB"/>
        </w:rPr>
        <w:t xml:space="preserve"> much-needed new engines of growth for Fujitsu Singapore in the next five to </w:t>
      </w:r>
      <w:r w:rsidR="00AD3822">
        <w:rPr>
          <w:spacing w:val="-2"/>
          <w:lang w:val="en-GB"/>
        </w:rPr>
        <w:t>10</w:t>
      </w:r>
      <w:r w:rsidR="00AD3822" w:rsidRPr="00AD3822">
        <w:rPr>
          <w:spacing w:val="-2"/>
          <w:lang w:val="en-GB"/>
        </w:rPr>
        <w:t xml:space="preserve"> </w:t>
      </w:r>
      <w:r w:rsidRPr="00AD3822">
        <w:rPr>
          <w:spacing w:val="-2"/>
          <w:lang w:val="en-GB"/>
        </w:rPr>
        <w:t>years</w:t>
      </w:r>
      <w:r w:rsidR="00E90233" w:rsidRPr="00AD3822">
        <w:rPr>
          <w:spacing w:val="-2"/>
          <w:lang w:val="en-GB"/>
        </w:rPr>
        <w:t>;</w:t>
      </w:r>
      <w:r w:rsidRPr="00AD3822">
        <w:rPr>
          <w:spacing w:val="-2"/>
          <w:lang w:val="en-GB"/>
        </w:rPr>
        <w:t xml:space="preserve"> they represented Fujitsu’s vision of connected services</w:t>
      </w:r>
      <w:r w:rsidR="00E90233" w:rsidRPr="00AD3822">
        <w:rPr>
          <w:spacing w:val="-2"/>
          <w:lang w:val="en-GB"/>
        </w:rPr>
        <w:t>—</w:t>
      </w:r>
      <w:r w:rsidRPr="00AD3822">
        <w:rPr>
          <w:spacing w:val="-2"/>
          <w:lang w:val="en-GB"/>
        </w:rPr>
        <w:t xml:space="preserve">a secure combination of key digital technologies, especially AI and </w:t>
      </w:r>
      <w:r w:rsidR="000710CD">
        <w:rPr>
          <w:spacing w:val="-2"/>
          <w:lang w:val="en-GB"/>
        </w:rPr>
        <w:t xml:space="preserve">the </w:t>
      </w:r>
      <w:r w:rsidRPr="00AD3822">
        <w:rPr>
          <w:spacing w:val="-2"/>
          <w:lang w:val="en-GB"/>
        </w:rPr>
        <w:t>IoT, on a cloud-based computing platform, to connect customers and ecosystem partners to co-create value</w:t>
      </w:r>
      <w:r w:rsidR="00E90233" w:rsidRPr="00AD3822">
        <w:rPr>
          <w:spacing w:val="-2"/>
          <w:lang w:val="en-GB"/>
        </w:rPr>
        <w:t>.</w:t>
      </w:r>
    </w:p>
    <w:p w14:paraId="64F84655" w14:textId="77777777" w:rsidR="00E90233" w:rsidRPr="00AD3822" w:rsidRDefault="00E90233" w:rsidP="00DF722C">
      <w:pPr>
        <w:pStyle w:val="BodyTextMain"/>
        <w:rPr>
          <w:spacing w:val="-2"/>
          <w:sz w:val="20"/>
          <w:lang w:val="en-GB"/>
        </w:rPr>
      </w:pPr>
    </w:p>
    <w:p w14:paraId="20ED561D" w14:textId="6C8EE47B" w:rsidR="00DF722C" w:rsidRPr="00AD3822" w:rsidRDefault="00E90233" w:rsidP="00DF722C">
      <w:pPr>
        <w:pStyle w:val="BodyTextMain"/>
        <w:rPr>
          <w:spacing w:val="-4"/>
          <w:lang w:val="en-GB"/>
        </w:rPr>
      </w:pPr>
      <w:r w:rsidRPr="00AD3822">
        <w:rPr>
          <w:spacing w:val="-4"/>
          <w:lang w:val="en-GB"/>
        </w:rPr>
        <w:t>Studying</w:t>
      </w:r>
      <w:r w:rsidR="00DF722C" w:rsidRPr="00AD3822">
        <w:rPr>
          <w:spacing w:val="-4"/>
          <w:lang w:val="en-GB"/>
        </w:rPr>
        <w:t xml:space="preserve"> the two project options presented on his computer screen, Wong compared the estimated costs, potential revenues</w:t>
      </w:r>
      <w:r w:rsidRPr="00AD3822">
        <w:rPr>
          <w:spacing w:val="-4"/>
          <w:lang w:val="en-GB"/>
        </w:rPr>
        <w:t>,</w:t>
      </w:r>
      <w:r w:rsidR="00DF722C" w:rsidRPr="00AD3822">
        <w:rPr>
          <w:spacing w:val="-4"/>
          <w:lang w:val="en-GB"/>
        </w:rPr>
        <w:t xml:space="preserve"> and strategic value of each project over the next five years. Having demonstrated its value to the manufacturing industry in Japan, the engineering </w:t>
      </w:r>
      <w:r w:rsidRPr="00AD3822">
        <w:rPr>
          <w:spacing w:val="-4"/>
          <w:lang w:val="en-GB"/>
        </w:rPr>
        <w:t>c</w:t>
      </w:r>
      <w:bookmarkStart w:id="0" w:name="_GoBack"/>
      <w:bookmarkEnd w:id="0"/>
      <w:r w:rsidRPr="00AD3822">
        <w:rPr>
          <w:spacing w:val="-4"/>
          <w:lang w:val="en-GB"/>
        </w:rPr>
        <w:t>loud-</w:t>
      </w:r>
      <w:r w:rsidR="00DF722C" w:rsidRPr="00AD3822">
        <w:rPr>
          <w:spacing w:val="-4"/>
          <w:lang w:val="en-GB"/>
        </w:rPr>
        <w:t xml:space="preserve">computing platform seemed </w:t>
      </w:r>
      <w:r w:rsidRPr="00AD3822">
        <w:rPr>
          <w:spacing w:val="-4"/>
          <w:lang w:val="en-GB"/>
        </w:rPr>
        <w:t xml:space="preserve">to be </w:t>
      </w:r>
      <w:r w:rsidR="00DF722C" w:rsidRPr="00AD3822">
        <w:rPr>
          <w:spacing w:val="-4"/>
          <w:lang w:val="en-GB"/>
        </w:rPr>
        <w:t xml:space="preserve">an ideal candidate </w:t>
      </w:r>
      <w:r w:rsidRPr="00AD3822">
        <w:rPr>
          <w:spacing w:val="-4"/>
          <w:lang w:val="en-GB"/>
        </w:rPr>
        <w:t xml:space="preserve">to present </w:t>
      </w:r>
      <w:r w:rsidR="00DF722C" w:rsidRPr="00AD3822">
        <w:rPr>
          <w:spacing w:val="-4"/>
          <w:lang w:val="en-GB"/>
        </w:rPr>
        <w:t xml:space="preserve">as </w:t>
      </w:r>
      <w:r w:rsidRPr="00AD3822">
        <w:rPr>
          <w:spacing w:val="-4"/>
          <w:lang w:val="en-GB"/>
        </w:rPr>
        <w:t xml:space="preserve">a </w:t>
      </w:r>
      <w:r w:rsidR="00DF722C" w:rsidRPr="00AD3822">
        <w:rPr>
          <w:spacing w:val="-4"/>
          <w:lang w:val="en-GB"/>
        </w:rPr>
        <w:t xml:space="preserve">cost-effective platform as a service (PaaS) and software as a service (SaaS) for small and medium enterprises (SMEs) in Singapore and the region. However, given the high costs of customizing and localizing the existing platform for local use, would the target SMEs </w:t>
      </w:r>
      <w:r w:rsidR="00104FBC">
        <w:rPr>
          <w:spacing w:val="-4"/>
          <w:lang w:val="en-GB"/>
        </w:rPr>
        <w:t xml:space="preserve">generate sufficient demand </w:t>
      </w:r>
      <w:r w:rsidR="00DF722C" w:rsidRPr="00AD3822">
        <w:rPr>
          <w:spacing w:val="-4"/>
          <w:lang w:val="en-GB"/>
        </w:rPr>
        <w:t xml:space="preserve">to justify such </w:t>
      </w:r>
      <w:r w:rsidRPr="00AD3822">
        <w:rPr>
          <w:spacing w:val="-4"/>
          <w:lang w:val="en-GB"/>
        </w:rPr>
        <w:t xml:space="preserve">a </w:t>
      </w:r>
      <w:r w:rsidR="00DF722C" w:rsidRPr="00AD3822">
        <w:rPr>
          <w:spacing w:val="-4"/>
          <w:lang w:val="en-GB"/>
        </w:rPr>
        <w:t>costly investment at this stage? The Akisai platform</w:t>
      </w:r>
      <w:r w:rsidRPr="00AD3822">
        <w:rPr>
          <w:spacing w:val="-4"/>
          <w:lang w:val="en-GB"/>
        </w:rPr>
        <w:t>,</w:t>
      </w:r>
      <w:r w:rsidR="00DF722C" w:rsidRPr="00AD3822">
        <w:rPr>
          <w:spacing w:val="-4"/>
          <w:lang w:val="en-GB"/>
        </w:rPr>
        <w:t xml:space="preserve"> using </w:t>
      </w:r>
      <w:r w:rsidR="00104FBC">
        <w:rPr>
          <w:spacing w:val="-4"/>
          <w:lang w:val="en-GB"/>
        </w:rPr>
        <w:t xml:space="preserve">the </w:t>
      </w:r>
      <w:r w:rsidR="00DF722C" w:rsidRPr="00AD3822">
        <w:rPr>
          <w:spacing w:val="-4"/>
          <w:lang w:val="en-GB"/>
        </w:rPr>
        <w:t>IoT and AI</w:t>
      </w:r>
      <w:r w:rsidRPr="00AD3822">
        <w:rPr>
          <w:spacing w:val="-4"/>
          <w:lang w:val="en-GB"/>
        </w:rPr>
        <w:t>,</w:t>
      </w:r>
      <w:r w:rsidR="00DF722C" w:rsidRPr="00AD3822">
        <w:rPr>
          <w:spacing w:val="-4"/>
          <w:lang w:val="en-GB"/>
        </w:rPr>
        <w:t xml:space="preserve"> had </w:t>
      </w:r>
      <w:r w:rsidRPr="00AD3822">
        <w:rPr>
          <w:spacing w:val="-4"/>
          <w:lang w:val="en-GB"/>
        </w:rPr>
        <w:t xml:space="preserve">attracted the </w:t>
      </w:r>
      <w:r w:rsidR="00DF722C" w:rsidRPr="00AD3822">
        <w:rPr>
          <w:spacing w:val="-4"/>
          <w:lang w:val="en-GB"/>
        </w:rPr>
        <w:t xml:space="preserve">interest </w:t>
      </w:r>
      <w:r w:rsidRPr="00AD3822">
        <w:rPr>
          <w:spacing w:val="-4"/>
          <w:lang w:val="en-GB"/>
        </w:rPr>
        <w:t xml:space="preserve">of </w:t>
      </w:r>
      <w:r w:rsidR="00DF722C" w:rsidRPr="00AD3822">
        <w:rPr>
          <w:spacing w:val="-4"/>
          <w:lang w:val="en-GB"/>
        </w:rPr>
        <w:t xml:space="preserve">a European partner who </w:t>
      </w:r>
      <w:r w:rsidRPr="00AD3822">
        <w:rPr>
          <w:spacing w:val="-4"/>
          <w:lang w:val="en-GB"/>
        </w:rPr>
        <w:t xml:space="preserve">had </w:t>
      </w:r>
      <w:r w:rsidR="00DF722C" w:rsidRPr="00AD3822">
        <w:rPr>
          <w:spacing w:val="-4"/>
          <w:lang w:val="en-GB"/>
        </w:rPr>
        <w:t xml:space="preserve">deployed the technology for vertical farming in Finland, a country </w:t>
      </w:r>
      <w:r w:rsidR="00104FBC">
        <w:rPr>
          <w:spacing w:val="-4"/>
          <w:lang w:val="en-GB"/>
        </w:rPr>
        <w:t>that had</w:t>
      </w:r>
      <w:r w:rsidR="00104FBC" w:rsidRPr="00AD3822">
        <w:rPr>
          <w:spacing w:val="-4"/>
          <w:lang w:val="en-GB"/>
        </w:rPr>
        <w:t xml:space="preserve"> </w:t>
      </w:r>
      <w:r w:rsidR="00DF722C" w:rsidRPr="00AD3822">
        <w:rPr>
          <w:spacing w:val="-4"/>
          <w:lang w:val="en-GB"/>
        </w:rPr>
        <w:t xml:space="preserve">similar demographics and constraints as Singapore. </w:t>
      </w:r>
      <w:r w:rsidR="000710CD">
        <w:rPr>
          <w:spacing w:val="-4"/>
          <w:lang w:val="en-GB"/>
        </w:rPr>
        <w:t>Was it</w:t>
      </w:r>
      <w:r w:rsidR="00DF722C" w:rsidRPr="00AD3822">
        <w:rPr>
          <w:spacing w:val="-4"/>
          <w:lang w:val="en-GB"/>
        </w:rPr>
        <w:t xml:space="preserve"> the right time to introduce the platform in Singapore?</w:t>
      </w:r>
    </w:p>
    <w:p w14:paraId="4C0D589F" w14:textId="77777777" w:rsidR="00DF722C" w:rsidRPr="00AD3822" w:rsidRDefault="00DF722C" w:rsidP="00DF722C">
      <w:pPr>
        <w:rPr>
          <w:sz w:val="18"/>
          <w:szCs w:val="22"/>
          <w:lang w:val="en-GB"/>
        </w:rPr>
      </w:pPr>
    </w:p>
    <w:p w14:paraId="370DAD8B" w14:textId="77777777" w:rsidR="00DF722C" w:rsidRPr="00AD3822" w:rsidRDefault="00DF722C" w:rsidP="00DF722C">
      <w:pPr>
        <w:rPr>
          <w:sz w:val="18"/>
          <w:szCs w:val="22"/>
          <w:lang w:val="en-GB"/>
        </w:rPr>
      </w:pPr>
    </w:p>
    <w:p w14:paraId="22C788E9" w14:textId="77777777" w:rsidR="00DF722C" w:rsidRPr="00AD3822" w:rsidRDefault="00DF722C" w:rsidP="00DF722C">
      <w:pPr>
        <w:pStyle w:val="Casehead1"/>
        <w:rPr>
          <w:lang w:val="en-GB"/>
        </w:rPr>
      </w:pPr>
      <w:r w:rsidRPr="00AD3822">
        <w:rPr>
          <w:lang w:val="en-GB"/>
        </w:rPr>
        <w:t>ABOUT FUJITSU</w:t>
      </w:r>
    </w:p>
    <w:p w14:paraId="5BDC1D32" w14:textId="77777777" w:rsidR="00DF722C" w:rsidRPr="00AD3822" w:rsidRDefault="00DF722C" w:rsidP="00DF722C">
      <w:pPr>
        <w:rPr>
          <w:szCs w:val="22"/>
          <w:lang w:val="en-GB"/>
        </w:rPr>
      </w:pPr>
    </w:p>
    <w:p w14:paraId="2658FD1A" w14:textId="73E08DE6" w:rsidR="00DF722C" w:rsidRPr="00AD3822" w:rsidRDefault="00DF722C" w:rsidP="00E90233">
      <w:pPr>
        <w:pStyle w:val="BodyTextMain"/>
        <w:rPr>
          <w:lang w:val="en-GB"/>
        </w:rPr>
      </w:pPr>
      <w:r w:rsidRPr="00AD3822">
        <w:rPr>
          <w:lang w:val="en-GB"/>
        </w:rPr>
        <w:t xml:space="preserve">Headquartered in Tokyo, </w:t>
      </w:r>
      <w:r w:rsidR="00727C1B" w:rsidRPr="00AD3822">
        <w:rPr>
          <w:lang w:val="en-GB"/>
        </w:rPr>
        <w:t xml:space="preserve">the </w:t>
      </w:r>
      <w:r w:rsidR="00E90233" w:rsidRPr="00AD3822">
        <w:rPr>
          <w:lang w:val="en-GB"/>
        </w:rPr>
        <w:t>Fujitsu</w:t>
      </w:r>
      <w:r w:rsidRPr="00AD3822">
        <w:rPr>
          <w:lang w:val="en-GB"/>
        </w:rPr>
        <w:t xml:space="preserve"> parent company</w:t>
      </w:r>
      <w:r w:rsidR="00F612A5" w:rsidRPr="00AD3822">
        <w:rPr>
          <w:lang w:val="en-GB"/>
        </w:rPr>
        <w:t xml:space="preserve"> </w:t>
      </w:r>
      <w:r w:rsidRPr="00AD3822">
        <w:rPr>
          <w:lang w:val="en-GB"/>
        </w:rPr>
        <w:t>was a global provider of ICT products, solutions</w:t>
      </w:r>
      <w:r w:rsidR="00E90233" w:rsidRPr="00AD3822">
        <w:rPr>
          <w:lang w:val="en-GB"/>
        </w:rPr>
        <w:t>,</w:t>
      </w:r>
      <w:r w:rsidRPr="00AD3822">
        <w:rPr>
          <w:lang w:val="en-GB"/>
        </w:rPr>
        <w:t xml:space="preserve"> and services in three key sectors: technology solutions, ubiquitous solutions</w:t>
      </w:r>
      <w:r w:rsidR="00E90233" w:rsidRPr="00AD3822">
        <w:rPr>
          <w:lang w:val="en-GB"/>
        </w:rPr>
        <w:t>,</w:t>
      </w:r>
      <w:r w:rsidRPr="00AD3822">
        <w:rPr>
          <w:lang w:val="en-GB"/>
        </w:rPr>
        <w:t xml:space="preserve"> and device solutions</w:t>
      </w:r>
      <w:r w:rsidR="00E90233" w:rsidRPr="00AD3822">
        <w:rPr>
          <w:lang w:val="en-GB"/>
        </w:rPr>
        <w:t xml:space="preserve"> (s</w:t>
      </w:r>
      <w:r w:rsidRPr="00AD3822">
        <w:rPr>
          <w:lang w:val="en-GB"/>
        </w:rPr>
        <w:t>ee Exhibit 1</w:t>
      </w:r>
      <w:r w:rsidR="00E90233" w:rsidRPr="00AD3822">
        <w:rPr>
          <w:lang w:val="en-GB"/>
        </w:rPr>
        <w:t>)</w:t>
      </w:r>
      <w:r w:rsidRPr="00AD3822">
        <w:rPr>
          <w:lang w:val="en-GB"/>
        </w:rPr>
        <w:t xml:space="preserve">. With a staff strength of about 156,000 </w:t>
      </w:r>
      <w:r w:rsidR="00E90233" w:rsidRPr="00AD3822">
        <w:rPr>
          <w:lang w:val="en-GB"/>
        </w:rPr>
        <w:t xml:space="preserve">people </w:t>
      </w:r>
      <w:r w:rsidRPr="00AD3822">
        <w:rPr>
          <w:lang w:val="en-GB"/>
        </w:rPr>
        <w:t xml:space="preserve">in more than 100 countries, Fujitsu reported consolidated </w:t>
      </w:r>
      <w:r w:rsidRPr="00AD3822">
        <w:rPr>
          <w:lang w:val="en-GB"/>
        </w:rPr>
        <w:lastRenderedPageBreak/>
        <w:t xml:space="preserve">revenues of </w:t>
      </w:r>
      <w:r w:rsidR="00E90233" w:rsidRPr="00AD3822">
        <w:rPr>
          <w:lang w:val="en-GB"/>
        </w:rPr>
        <w:t>¥</w:t>
      </w:r>
      <w:r w:rsidRPr="00AD3822">
        <w:rPr>
          <w:lang w:val="en-GB"/>
        </w:rPr>
        <w:t>4.5 trillion</w:t>
      </w:r>
      <w:r w:rsidR="00E90233" w:rsidRPr="00AD3822">
        <w:rPr>
          <w:rStyle w:val="FootnoteReference"/>
          <w:lang w:val="en-GB"/>
        </w:rPr>
        <w:footnoteReference w:id="1"/>
      </w:r>
      <w:r w:rsidRPr="00AD3822">
        <w:rPr>
          <w:lang w:val="en-GB"/>
        </w:rPr>
        <w:t xml:space="preserve"> and operating profit of </w:t>
      </w:r>
      <w:r w:rsidR="00E90233" w:rsidRPr="00AD3822">
        <w:rPr>
          <w:lang w:val="en-GB"/>
        </w:rPr>
        <w:t>¥</w:t>
      </w:r>
      <w:r w:rsidRPr="00AD3822">
        <w:rPr>
          <w:lang w:val="en-GB"/>
        </w:rPr>
        <w:t xml:space="preserve">128.8 billion in </w:t>
      </w:r>
      <w:r w:rsidR="000710CD" w:rsidRPr="00AD3822">
        <w:rPr>
          <w:lang w:val="en-GB"/>
        </w:rPr>
        <w:t>fi</w:t>
      </w:r>
      <w:r w:rsidR="000710CD">
        <w:rPr>
          <w:lang w:val="en-GB"/>
        </w:rPr>
        <w:t>nanci</w:t>
      </w:r>
      <w:r w:rsidR="000710CD" w:rsidRPr="00AD3822">
        <w:rPr>
          <w:lang w:val="en-GB"/>
        </w:rPr>
        <w:t xml:space="preserve">al </w:t>
      </w:r>
      <w:r w:rsidRPr="00AD3822">
        <w:rPr>
          <w:lang w:val="en-GB"/>
        </w:rPr>
        <w:t xml:space="preserve">year </w:t>
      </w:r>
      <w:r w:rsidR="00E90233" w:rsidRPr="00AD3822">
        <w:rPr>
          <w:lang w:val="en-GB"/>
        </w:rPr>
        <w:t xml:space="preserve">(FY) </w:t>
      </w:r>
      <w:r w:rsidRPr="00AD3822">
        <w:rPr>
          <w:lang w:val="en-GB"/>
        </w:rPr>
        <w:t>2016. Accounting for more than 60 per</w:t>
      </w:r>
      <w:r w:rsidR="00892EA8" w:rsidRPr="00AD3822">
        <w:rPr>
          <w:lang w:val="en-GB"/>
        </w:rPr>
        <w:t xml:space="preserve"> </w:t>
      </w:r>
      <w:r w:rsidRPr="00AD3822">
        <w:rPr>
          <w:lang w:val="en-GB"/>
        </w:rPr>
        <w:t xml:space="preserve">cent of Fujitsu’s revenue, technology solutions had been </w:t>
      </w:r>
      <w:r w:rsidR="00892EA8" w:rsidRPr="00AD3822">
        <w:rPr>
          <w:lang w:val="en-GB"/>
        </w:rPr>
        <w:t xml:space="preserve">the company’s </w:t>
      </w:r>
      <w:r w:rsidRPr="00AD3822">
        <w:rPr>
          <w:lang w:val="en-GB"/>
        </w:rPr>
        <w:t>mainstay</w:t>
      </w:r>
      <w:r w:rsidR="00892EA8" w:rsidRPr="00AD3822">
        <w:rPr>
          <w:lang w:val="en-GB"/>
        </w:rPr>
        <w:t xml:space="preserve">; these </w:t>
      </w:r>
      <w:r w:rsidR="00104FBC">
        <w:rPr>
          <w:lang w:val="en-GB"/>
        </w:rPr>
        <w:t xml:space="preserve">solutions </w:t>
      </w:r>
      <w:r w:rsidR="00892EA8" w:rsidRPr="00AD3822">
        <w:rPr>
          <w:lang w:val="en-GB"/>
        </w:rPr>
        <w:t>included</w:t>
      </w:r>
      <w:r w:rsidRPr="00AD3822">
        <w:rPr>
          <w:lang w:val="en-GB"/>
        </w:rPr>
        <w:t xml:space="preserve"> infrastructural platforms such as servers, storage</w:t>
      </w:r>
      <w:r w:rsidR="00892EA8" w:rsidRPr="00AD3822">
        <w:rPr>
          <w:lang w:val="en-GB"/>
        </w:rPr>
        <w:t>,</w:t>
      </w:r>
      <w:r w:rsidRPr="00AD3822">
        <w:rPr>
          <w:lang w:val="en-GB"/>
        </w:rPr>
        <w:t xml:space="preserve"> and networks and related services </w:t>
      </w:r>
      <w:r w:rsidR="00892EA8" w:rsidRPr="00AD3822">
        <w:rPr>
          <w:lang w:val="en-GB"/>
        </w:rPr>
        <w:t xml:space="preserve">such as </w:t>
      </w:r>
      <w:r w:rsidRPr="00AD3822">
        <w:rPr>
          <w:lang w:val="en-GB"/>
        </w:rPr>
        <w:t>data cent</w:t>
      </w:r>
      <w:r w:rsidR="00892EA8" w:rsidRPr="00AD3822">
        <w:rPr>
          <w:lang w:val="en-GB"/>
        </w:rPr>
        <w:t>r</w:t>
      </w:r>
      <w:r w:rsidRPr="00AD3822">
        <w:rPr>
          <w:lang w:val="en-GB"/>
        </w:rPr>
        <w:t>e outsourcing, cloud</w:t>
      </w:r>
      <w:r w:rsidR="00892EA8" w:rsidRPr="00AD3822">
        <w:rPr>
          <w:lang w:val="en-GB"/>
        </w:rPr>
        <w:t xml:space="preserve"> services,</w:t>
      </w:r>
      <w:r w:rsidRPr="00AD3822">
        <w:rPr>
          <w:lang w:val="en-GB"/>
        </w:rPr>
        <w:t xml:space="preserve"> and network services. The ubiquitous solutions </w:t>
      </w:r>
      <w:r w:rsidR="00892EA8" w:rsidRPr="00AD3822">
        <w:rPr>
          <w:lang w:val="en-GB"/>
        </w:rPr>
        <w:t xml:space="preserve">sector </w:t>
      </w:r>
      <w:r w:rsidRPr="00AD3822">
        <w:rPr>
          <w:lang w:val="en-GB"/>
        </w:rPr>
        <w:t>(personal computers, mobile phones</w:t>
      </w:r>
      <w:r w:rsidR="00892EA8" w:rsidRPr="00AD3822">
        <w:rPr>
          <w:lang w:val="en-GB"/>
        </w:rPr>
        <w:t>,</w:t>
      </w:r>
      <w:r w:rsidRPr="00AD3822">
        <w:rPr>
          <w:lang w:val="en-GB"/>
        </w:rPr>
        <w:t xml:space="preserve"> and mobile wear) </w:t>
      </w:r>
      <w:r w:rsidR="00892EA8" w:rsidRPr="00AD3822">
        <w:rPr>
          <w:lang w:val="en-GB"/>
        </w:rPr>
        <w:t xml:space="preserve">made up another 23 per cent of the revenue, </w:t>
      </w:r>
      <w:r w:rsidRPr="00AD3822">
        <w:rPr>
          <w:lang w:val="en-GB"/>
        </w:rPr>
        <w:t xml:space="preserve">and </w:t>
      </w:r>
      <w:r w:rsidR="00892EA8" w:rsidRPr="00AD3822">
        <w:rPr>
          <w:lang w:val="en-GB"/>
        </w:rPr>
        <w:t xml:space="preserve">the </w:t>
      </w:r>
      <w:r w:rsidRPr="00AD3822">
        <w:rPr>
          <w:lang w:val="en-GB"/>
        </w:rPr>
        <w:t xml:space="preserve">device solutions </w:t>
      </w:r>
      <w:r w:rsidR="00892EA8" w:rsidRPr="00AD3822">
        <w:rPr>
          <w:lang w:val="en-GB"/>
        </w:rPr>
        <w:t xml:space="preserve">sector </w:t>
      </w:r>
      <w:r w:rsidRPr="00AD3822">
        <w:rPr>
          <w:lang w:val="en-GB"/>
        </w:rPr>
        <w:t>(large-scale integrated circuits and electronic components)</w:t>
      </w:r>
      <w:r w:rsidR="00892EA8" w:rsidRPr="00AD3822">
        <w:rPr>
          <w:lang w:val="en-GB"/>
        </w:rPr>
        <w:t xml:space="preserve"> made up</w:t>
      </w:r>
      <w:r w:rsidRPr="00AD3822">
        <w:rPr>
          <w:lang w:val="en-GB"/>
        </w:rPr>
        <w:t xml:space="preserve"> 12 per</w:t>
      </w:r>
      <w:r w:rsidR="00892EA8" w:rsidRPr="00AD3822">
        <w:rPr>
          <w:lang w:val="en-GB"/>
        </w:rPr>
        <w:t xml:space="preserve"> </w:t>
      </w:r>
      <w:r w:rsidRPr="00AD3822">
        <w:rPr>
          <w:lang w:val="en-GB"/>
        </w:rPr>
        <w:t>cent</w:t>
      </w:r>
      <w:r w:rsidR="00892EA8" w:rsidRPr="00AD3822">
        <w:rPr>
          <w:lang w:val="en-GB"/>
        </w:rPr>
        <w:t xml:space="preserve"> (s</w:t>
      </w:r>
      <w:r w:rsidRPr="00AD3822">
        <w:rPr>
          <w:lang w:val="en-GB"/>
        </w:rPr>
        <w:t>ee Exhibit 2</w:t>
      </w:r>
      <w:r w:rsidR="00892EA8" w:rsidRPr="00AD3822">
        <w:rPr>
          <w:lang w:val="en-GB"/>
        </w:rPr>
        <w:t>).</w:t>
      </w:r>
      <w:r w:rsidRPr="00AD3822">
        <w:rPr>
          <w:lang w:val="en-GB"/>
        </w:rPr>
        <w:t xml:space="preserve"> For the past three years, revenue from technology solutions and device solutions had declined, while </w:t>
      </w:r>
      <w:r w:rsidR="00104FBC">
        <w:rPr>
          <w:lang w:val="en-GB"/>
        </w:rPr>
        <w:t>revenue</w:t>
      </w:r>
      <w:r w:rsidR="00104FBC" w:rsidRPr="00AD3822">
        <w:rPr>
          <w:lang w:val="en-GB"/>
        </w:rPr>
        <w:t xml:space="preserve"> </w:t>
      </w:r>
      <w:r w:rsidR="00AA4711" w:rsidRPr="00AD3822">
        <w:rPr>
          <w:lang w:val="en-GB"/>
        </w:rPr>
        <w:t xml:space="preserve">from </w:t>
      </w:r>
      <w:r w:rsidRPr="00AD3822">
        <w:rPr>
          <w:lang w:val="en-GB"/>
        </w:rPr>
        <w:t>ubiquitous solutions</w:t>
      </w:r>
      <w:r w:rsidR="00892EA8" w:rsidRPr="00AD3822">
        <w:rPr>
          <w:lang w:val="en-GB"/>
        </w:rPr>
        <w:t>, particularly</w:t>
      </w:r>
      <w:r w:rsidRPr="00AD3822">
        <w:rPr>
          <w:lang w:val="en-GB"/>
        </w:rPr>
        <w:t xml:space="preserve"> </w:t>
      </w:r>
      <w:r w:rsidR="00892EA8" w:rsidRPr="00AD3822">
        <w:rPr>
          <w:lang w:val="en-GB"/>
        </w:rPr>
        <w:t xml:space="preserve">the </w:t>
      </w:r>
      <w:r w:rsidRPr="00AD3822">
        <w:rPr>
          <w:lang w:val="en-GB"/>
        </w:rPr>
        <w:t>mobile wear area</w:t>
      </w:r>
      <w:r w:rsidR="00892EA8" w:rsidRPr="00AD3822">
        <w:rPr>
          <w:lang w:val="en-GB"/>
        </w:rPr>
        <w:t>,</w:t>
      </w:r>
      <w:r w:rsidRPr="00AD3822">
        <w:rPr>
          <w:lang w:val="en-GB"/>
        </w:rPr>
        <w:t xml:space="preserve"> had risen. In recent years, Fujitsu </w:t>
      </w:r>
      <w:r w:rsidR="00892EA8" w:rsidRPr="00AD3822">
        <w:rPr>
          <w:lang w:val="en-GB"/>
        </w:rPr>
        <w:t xml:space="preserve">had </w:t>
      </w:r>
      <w:r w:rsidRPr="00AD3822">
        <w:rPr>
          <w:lang w:val="en-GB"/>
        </w:rPr>
        <w:t xml:space="preserve">identified four technology trends that </w:t>
      </w:r>
      <w:r w:rsidR="00892EA8" w:rsidRPr="00AD3822">
        <w:rPr>
          <w:lang w:val="en-GB"/>
        </w:rPr>
        <w:t xml:space="preserve">it had </w:t>
      </w:r>
      <w:r w:rsidRPr="00AD3822">
        <w:rPr>
          <w:lang w:val="en-GB"/>
        </w:rPr>
        <w:t xml:space="preserve">adopted as core technology areas to grow its mainstay technology solutions sector: </w:t>
      </w:r>
      <w:r w:rsidR="00104FBC">
        <w:rPr>
          <w:lang w:val="en-GB"/>
        </w:rPr>
        <w:t xml:space="preserve">the </w:t>
      </w:r>
      <w:r w:rsidRPr="00AD3822">
        <w:rPr>
          <w:lang w:val="en-GB"/>
        </w:rPr>
        <w:t>IoT, AI, cybersecurity</w:t>
      </w:r>
      <w:r w:rsidR="00892EA8" w:rsidRPr="00AD3822">
        <w:rPr>
          <w:lang w:val="en-GB"/>
        </w:rPr>
        <w:t>,</w:t>
      </w:r>
      <w:r w:rsidRPr="00AD3822">
        <w:rPr>
          <w:lang w:val="en-GB"/>
        </w:rPr>
        <w:t xml:space="preserve"> and cloud computing. The company </w:t>
      </w:r>
      <w:r w:rsidR="00892EA8" w:rsidRPr="00AD3822">
        <w:rPr>
          <w:lang w:val="en-GB"/>
        </w:rPr>
        <w:t xml:space="preserve">had </w:t>
      </w:r>
      <w:r w:rsidRPr="00AD3822">
        <w:rPr>
          <w:lang w:val="en-GB"/>
        </w:rPr>
        <w:t xml:space="preserve">embarked on initiatives to consolidate divisions related to these core technologies to form the new </w:t>
      </w:r>
      <w:r w:rsidR="00B21C7F" w:rsidRPr="00AD3822">
        <w:rPr>
          <w:lang w:val="en-GB"/>
        </w:rPr>
        <w:t>digital services unit</w:t>
      </w:r>
      <w:r w:rsidRPr="00AD3822">
        <w:rPr>
          <w:lang w:val="en-GB"/>
        </w:rPr>
        <w:t xml:space="preserve">, with </w:t>
      </w:r>
      <w:r w:rsidR="00FF1040" w:rsidRPr="00AD3822">
        <w:rPr>
          <w:lang w:val="en-GB"/>
        </w:rPr>
        <w:t xml:space="preserve">the purpose of </w:t>
      </w:r>
      <w:r w:rsidRPr="00AD3822">
        <w:rPr>
          <w:lang w:val="en-GB"/>
        </w:rPr>
        <w:t>globally expand</w:t>
      </w:r>
      <w:r w:rsidR="00B21C7F" w:rsidRPr="00AD3822">
        <w:rPr>
          <w:lang w:val="en-GB"/>
        </w:rPr>
        <w:t>ing</w:t>
      </w:r>
      <w:r w:rsidRPr="00AD3822">
        <w:rPr>
          <w:lang w:val="en-GB"/>
        </w:rPr>
        <w:t xml:space="preserve"> a new growth area</w:t>
      </w:r>
      <w:r w:rsidR="00B21C7F" w:rsidRPr="00AD3822">
        <w:rPr>
          <w:lang w:val="en-GB"/>
        </w:rPr>
        <w:t xml:space="preserve">: </w:t>
      </w:r>
      <w:r w:rsidRPr="00AD3822">
        <w:rPr>
          <w:lang w:val="en-GB"/>
        </w:rPr>
        <w:t>digital innovation business.</w:t>
      </w:r>
    </w:p>
    <w:p w14:paraId="3EF2A48A" w14:textId="77777777" w:rsidR="00DF722C" w:rsidRPr="00AD3822" w:rsidRDefault="00DF722C" w:rsidP="00DF722C">
      <w:pPr>
        <w:jc w:val="both"/>
        <w:rPr>
          <w:sz w:val="18"/>
          <w:szCs w:val="22"/>
          <w:lang w:val="en-GB"/>
        </w:rPr>
      </w:pPr>
    </w:p>
    <w:p w14:paraId="7D9F10A7" w14:textId="77777777" w:rsidR="00DF722C" w:rsidRPr="00AD3822" w:rsidRDefault="00DF722C" w:rsidP="00DF722C">
      <w:pPr>
        <w:jc w:val="both"/>
        <w:rPr>
          <w:sz w:val="18"/>
          <w:szCs w:val="22"/>
          <w:lang w:val="en-GB"/>
        </w:rPr>
      </w:pPr>
    </w:p>
    <w:p w14:paraId="5A4EE4A8" w14:textId="77777777" w:rsidR="00DF722C" w:rsidRPr="00AD3822" w:rsidRDefault="00DF722C" w:rsidP="00DF722C">
      <w:pPr>
        <w:pStyle w:val="Casehead1"/>
        <w:rPr>
          <w:lang w:val="en-GB"/>
        </w:rPr>
      </w:pPr>
      <w:r w:rsidRPr="00AD3822">
        <w:rPr>
          <w:lang w:val="en-GB"/>
        </w:rPr>
        <w:t>TRENDS AND COMPETITION</w:t>
      </w:r>
    </w:p>
    <w:p w14:paraId="1FA6E2F7" w14:textId="77777777" w:rsidR="00DF722C" w:rsidRPr="00AD3822" w:rsidRDefault="00DF722C" w:rsidP="00E43C40">
      <w:pPr>
        <w:pStyle w:val="BodyTextMain"/>
        <w:rPr>
          <w:sz w:val="20"/>
          <w:lang w:val="en-GB"/>
        </w:rPr>
      </w:pPr>
    </w:p>
    <w:p w14:paraId="0D6C8FDC" w14:textId="603AB763" w:rsidR="00922282" w:rsidRPr="002C3ED5" w:rsidRDefault="00DF722C" w:rsidP="00DF722C">
      <w:pPr>
        <w:pStyle w:val="BodyTextMain"/>
        <w:rPr>
          <w:spacing w:val="-2"/>
          <w:lang w:val="en-GB"/>
        </w:rPr>
      </w:pPr>
      <w:r w:rsidRPr="002C3ED5">
        <w:rPr>
          <w:spacing w:val="-2"/>
          <w:lang w:val="en-GB"/>
        </w:rPr>
        <w:t>The ICT industry was ever</w:t>
      </w:r>
      <w:r w:rsidR="00EA0B5A" w:rsidRPr="002C3ED5">
        <w:rPr>
          <w:spacing w:val="-2"/>
          <w:lang w:val="en-GB"/>
        </w:rPr>
        <w:t>-</w:t>
      </w:r>
      <w:r w:rsidRPr="002C3ED5">
        <w:rPr>
          <w:spacing w:val="-2"/>
          <w:lang w:val="en-GB"/>
        </w:rPr>
        <w:t>evolving</w:t>
      </w:r>
      <w:r w:rsidR="00B21C7F" w:rsidRPr="002C3ED5">
        <w:rPr>
          <w:spacing w:val="-2"/>
          <w:lang w:val="en-GB"/>
        </w:rPr>
        <w:t>,</w:t>
      </w:r>
      <w:r w:rsidRPr="002C3ED5">
        <w:rPr>
          <w:spacing w:val="-2"/>
          <w:lang w:val="en-GB"/>
        </w:rPr>
        <w:t xml:space="preserve"> and its trends </w:t>
      </w:r>
      <w:r w:rsidR="00B21C7F" w:rsidRPr="002C3ED5">
        <w:rPr>
          <w:spacing w:val="-2"/>
          <w:lang w:val="en-GB"/>
        </w:rPr>
        <w:t xml:space="preserve">were </w:t>
      </w:r>
      <w:r w:rsidRPr="002C3ED5">
        <w:rPr>
          <w:spacing w:val="-2"/>
          <w:lang w:val="en-GB"/>
        </w:rPr>
        <w:t>ever</w:t>
      </w:r>
      <w:r w:rsidR="00EA0B5A" w:rsidRPr="002C3ED5">
        <w:rPr>
          <w:spacing w:val="-2"/>
          <w:lang w:val="en-GB"/>
        </w:rPr>
        <w:t>-</w:t>
      </w:r>
      <w:r w:rsidRPr="002C3ED5">
        <w:rPr>
          <w:spacing w:val="-2"/>
          <w:lang w:val="en-GB"/>
        </w:rPr>
        <w:t>changing. In response, Fujitsu constantly innovated with new product</w:t>
      </w:r>
      <w:r w:rsidR="00B21C7F" w:rsidRPr="002C3ED5">
        <w:rPr>
          <w:spacing w:val="-2"/>
          <w:lang w:val="en-GB"/>
        </w:rPr>
        <w:t>s</w:t>
      </w:r>
      <w:r w:rsidRPr="002C3ED5">
        <w:rPr>
          <w:spacing w:val="-2"/>
          <w:lang w:val="en-GB"/>
        </w:rPr>
        <w:t>, service</w:t>
      </w:r>
      <w:r w:rsidR="00B21C7F" w:rsidRPr="002C3ED5">
        <w:rPr>
          <w:spacing w:val="-2"/>
          <w:lang w:val="en-GB"/>
        </w:rPr>
        <w:t>s,</w:t>
      </w:r>
      <w:r w:rsidRPr="002C3ED5">
        <w:rPr>
          <w:spacing w:val="-2"/>
          <w:lang w:val="en-GB"/>
        </w:rPr>
        <w:t xml:space="preserve"> and solution</w:t>
      </w:r>
      <w:r w:rsidR="00B21C7F" w:rsidRPr="002C3ED5">
        <w:rPr>
          <w:spacing w:val="-2"/>
          <w:lang w:val="en-GB"/>
        </w:rPr>
        <w:t>s</w:t>
      </w:r>
      <w:r w:rsidRPr="002C3ED5">
        <w:rPr>
          <w:spacing w:val="-2"/>
          <w:lang w:val="en-GB"/>
        </w:rPr>
        <w:t xml:space="preserve"> offerings to keep up with the trends.</w:t>
      </w:r>
      <w:r w:rsidR="00B21C7F" w:rsidRPr="002C3ED5">
        <w:rPr>
          <w:spacing w:val="-2"/>
          <w:lang w:val="en-GB"/>
        </w:rPr>
        <w:t xml:space="preserve"> </w:t>
      </w:r>
      <w:r w:rsidRPr="002C3ED5">
        <w:rPr>
          <w:spacing w:val="-2"/>
          <w:lang w:val="en-GB"/>
        </w:rPr>
        <w:t>One major trend in recent times included the IoT</w:t>
      </w:r>
      <w:r w:rsidR="00B21C7F" w:rsidRPr="002C3ED5">
        <w:rPr>
          <w:spacing w:val="-2"/>
          <w:lang w:val="en-GB"/>
        </w:rPr>
        <w:t>—</w:t>
      </w:r>
      <w:r w:rsidRPr="002C3ED5">
        <w:rPr>
          <w:spacing w:val="-2"/>
          <w:lang w:val="en-GB"/>
        </w:rPr>
        <w:t>the concept of connecting components and devices to the Internet. This connectivity revolutionized the way humans interacted with their tools and assets</w:t>
      </w:r>
      <w:r w:rsidR="00B21C7F" w:rsidRPr="002C3ED5">
        <w:rPr>
          <w:spacing w:val="-2"/>
          <w:lang w:val="en-GB"/>
        </w:rPr>
        <w:t>,</w:t>
      </w:r>
      <w:r w:rsidRPr="002C3ED5">
        <w:rPr>
          <w:spacing w:val="-2"/>
          <w:lang w:val="en-GB"/>
        </w:rPr>
        <w:t xml:space="preserve"> as the human</w:t>
      </w:r>
      <w:r w:rsidR="00B21C7F" w:rsidRPr="002C3ED5">
        <w:rPr>
          <w:spacing w:val="-2"/>
          <w:lang w:val="en-GB"/>
        </w:rPr>
        <w:t xml:space="preserve">–Internet </w:t>
      </w:r>
      <w:r w:rsidRPr="002C3ED5">
        <w:rPr>
          <w:spacing w:val="-2"/>
          <w:lang w:val="en-GB"/>
        </w:rPr>
        <w:t>interface allow</w:t>
      </w:r>
      <w:r w:rsidR="00B21C7F" w:rsidRPr="002C3ED5">
        <w:rPr>
          <w:spacing w:val="-2"/>
          <w:lang w:val="en-GB"/>
        </w:rPr>
        <w:t>ed</w:t>
      </w:r>
      <w:r w:rsidRPr="002C3ED5">
        <w:rPr>
          <w:spacing w:val="-2"/>
          <w:lang w:val="en-GB"/>
        </w:rPr>
        <w:t xml:space="preserve"> central control by a designated administrator. Furthermore, network connectivity enable</w:t>
      </w:r>
      <w:r w:rsidR="00B21C7F" w:rsidRPr="002C3ED5">
        <w:rPr>
          <w:spacing w:val="-2"/>
          <w:lang w:val="en-GB"/>
        </w:rPr>
        <w:t>d</w:t>
      </w:r>
      <w:r w:rsidRPr="002C3ED5">
        <w:rPr>
          <w:spacing w:val="-2"/>
          <w:lang w:val="en-GB"/>
        </w:rPr>
        <w:t xml:space="preserve"> </w:t>
      </w:r>
      <w:r w:rsidR="00B21C7F" w:rsidRPr="002C3ED5">
        <w:rPr>
          <w:spacing w:val="-2"/>
          <w:lang w:val="en-GB"/>
        </w:rPr>
        <w:t xml:space="preserve">the capture of </w:t>
      </w:r>
      <w:r w:rsidRPr="002C3ED5">
        <w:rPr>
          <w:spacing w:val="-2"/>
          <w:lang w:val="en-GB"/>
        </w:rPr>
        <w:t xml:space="preserve">more data about work processes, employees, </w:t>
      </w:r>
      <w:r w:rsidR="00B21C7F" w:rsidRPr="002C3ED5">
        <w:rPr>
          <w:spacing w:val="-2"/>
          <w:lang w:val="en-GB"/>
        </w:rPr>
        <w:t xml:space="preserve">and </w:t>
      </w:r>
      <w:r w:rsidR="00EA0B5A" w:rsidRPr="002C3ED5">
        <w:rPr>
          <w:spacing w:val="-2"/>
          <w:lang w:val="en-GB"/>
        </w:rPr>
        <w:t>other relevant factors</w:t>
      </w:r>
      <w:r w:rsidRPr="002C3ED5">
        <w:rPr>
          <w:spacing w:val="-2"/>
          <w:lang w:val="en-GB"/>
        </w:rPr>
        <w:t>. The data collected about equipment, processes</w:t>
      </w:r>
      <w:r w:rsidR="00B21C7F" w:rsidRPr="002C3ED5">
        <w:rPr>
          <w:spacing w:val="-2"/>
          <w:lang w:val="en-GB"/>
        </w:rPr>
        <w:t>,</w:t>
      </w:r>
      <w:r w:rsidRPr="002C3ED5">
        <w:rPr>
          <w:spacing w:val="-2"/>
          <w:lang w:val="en-GB"/>
        </w:rPr>
        <w:t xml:space="preserve"> and people could become useful information for companies to monitor their performance. According to </w:t>
      </w:r>
      <w:r w:rsidR="00B21C7F" w:rsidRPr="002C3ED5">
        <w:rPr>
          <w:spacing w:val="-2"/>
          <w:lang w:val="en-GB"/>
        </w:rPr>
        <w:t xml:space="preserve">a 2016 </w:t>
      </w:r>
      <w:r w:rsidRPr="002C3ED5">
        <w:rPr>
          <w:spacing w:val="-2"/>
          <w:lang w:val="en-GB"/>
        </w:rPr>
        <w:t xml:space="preserve">Gartner </w:t>
      </w:r>
      <w:r w:rsidR="00B21C7F" w:rsidRPr="002C3ED5">
        <w:rPr>
          <w:spacing w:val="-2"/>
          <w:lang w:val="en-GB"/>
        </w:rPr>
        <w:t>report</w:t>
      </w:r>
      <w:r w:rsidRPr="002C3ED5">
        <w:rPr>
          <w:spacing w:val="-2"/>
          <w:lang w:val="en-GB"/>
        </w:rPr>
        <w:t>,</w:t>
      </w:r>
      <w:r w:rsidR="00922282" w:rsidRPr="002C3ED5">
        <w:rPr>
          <w:rStyle w:val="FootnoteReference"/>
          <w:spacing w:val="-2"/>
          <w:lang w:val="en-GB"/>
        </w:rPr>
        <w:footnoteReference w:id="2"/>
      </w:r>
      <w:r w:rsidR="00922282" w:rsidRPr="002C3ED5">
        <w:rPr>
          <w:spacing w:val="-2"/>
          <w:lang w:val="en-GB"/>
        </w:rPr>
        <w:t xml:space="preserve"> the IoT endpoints would reach an installed base of 20.4 billion units by 2020</w:t>
      </w:r>
      <w:r w:rsidR="00B21C7F" w:rsidRPr="002C3ED5">
        <w:rPr>
          <w:spacing w:val="-2"/>
          <w:lang w:val="en-GB"/>
        </w:rPr>
        <w:t>,</w:t>
      </w:r>
      <w:r w:rsidR="00922282" w:rsidRPr="002C3ED5">
        <w:rPr>
          <w:spacing w:val="-2"/>
          <w:lang w:val="en-GB"/>
        </w:rPr>
        <w:t xml:space="preserve"> at a compounded annual growth rate of 32.9 per</w:t>
      </w:r>
      <w:r w:rsidR="00B21C7F" w:rsidRPr="002C3ED5">
        <w:rPr>
          <w:spacing w:val="-2"/>
          <w:lang w:val="en-GB"/>
        </w:rPr>
        <w:t xml:space="preserve"> </w:t>
      </w:r>
      <w:r w:rsidR="00922282" w:rsidRPr="002C3ED5">
        <w:rPr>
          <w:spacing w:val="-2"/>
          <w:lang w:val="en-GB"/>
        </w:rPr>
        <w:t xml:space="preserve">cent from 2015. In the IoT platform space, </w:t>
      </w:r>
      <w:r w:rsidR="00B21C7F" w:rsidRPr="002C3ED5">
        <w:rPr>
          <w:spacing w:val="-2"/>
          <w:lang w:val="en-GB"/>
        </w:rPr>
        <w:t xml:space="preserve">the </w:t>
      </w:r>
      <w:r w:rsidR="00922282" w:rsidRPr="002C3ED5">
        <w:rPr>
          <w:spacing w:val="-2"/>
          <w:lang w:val="en-GB"/>
        </w:rPr>
        <w:t xml:space="preserve">research firm </w:t>
      </w:r>
      <w:r w:rsidR="00B21C7F" w:rsidRPr="002C3ED5">
        <w:rPr>
          <w:spacing w:val="-2"/>
          <w:lang w:val="en-GB"/>
        </w:rPr>
        <w:t>International Data Corporation</w:t>
      </w:r>
      <w:r w:rsidR="008A381D" w:rsidRPr="002C3ED5">
        <w:rPr>
          <w:spacing w:val="-2"/>
          <w:lang w:val="en-GB"/>
        </w:rPr>
        <w:t xml:space="preserve"> </w:t>
      </w:r>
      <w:r w:rsidR="00922282" w:rsidRPr="002C3ED5">
        <w:rPr>
          <w:spacing w:val="-2"/>
          <w:lang w:val="en-GB"/>
        </w:rPr>
        <w:t>evaluated the existing players based on criteria such as breadth of product functionality and complementary portfolio offerings, device and edge support</w:t>
      </w:r>
      <w:r w:rsidR="008A381D" w:rsidRPr="002C3ED5">
        <w:rPr>
          <w:spacing w:val="-2"/>
          <w:lang w:val="en-GB"/>
        </w:rPr>
        <w:t>,</w:t>
      </w:r>
      <w:r w:rsidR="00922282" w:rsidRPr="002C3ED5">
        <w:rPr>
          <w:spacing w:val="-2"/>
          <w:lang w:val="en-GB"/>
        </w:rPr>
        <w:t xml:space="preserve"> and integration capabilities. </w:t>
      </w:r>
      <w:r w:rsidR="008A381D" w:rsidRPr="002C3ED5">
        <w:rPr>
          <w:spacing w:val="-2"/>
          <w:lang w:val="en-GB"/>
        </w:rPr>
        <w:t xml:space="preserve">It ranked </w:t>
      </w:r>
      <w:r w:rsidR="002E742C">
        <w:rPr>
          <w:spacing w:val="-2"/>
          <w:lang w:val="en-GB"/>
        </w:rPr>
        <w:t>International Business Machines Corporation (</w:t>
      </w:r>
      <w:r w:rsidR="00922282" w:rsidRPr="002C3ED5">
        <w:rPr>
          <w:spacing w:val="-2"/>
          <w:lang w:val="en-GB"/>
        </w:rPr>
        <w:t>IBM</w:t>
      </w:r>
      <w:r w:rsidR="002E742C">
        <w:rPr>
          <w:spacing w:val="-2"/>
          <w:lang w:val="en-GB"/>
        </w:rPr>
        <w:t>)</w:t>
      </w:r>
      <w:r w:rsidR="00922282" w:rsidRPr="002C3ED5">
        <w:rPr>
          <w:spacing w:val="-2"/>
          <w:lang w:val="en-GB"/>
        </w:rPr>
        <w:t xml:space="preserve">, </w:t>
      </w:r>
      <w:r w:rsidR="00D85807" w:rsidRPr="002C3ED5">
        <w:rPr>
          <w:spacing w:val="-2"/>
          <w:lang w:val="en-GB"/>
        </w:rPr>
        <w:t>General Electric</w:t>
      </w:r>
      <w:r w:rsidR="00922282" w:rsidRPr="002C3ED5">
        <w:rPr>
          <w:spacing w:val="-2"/>
          <w:lang w:val="en-GB"/>
        </w:rPr>
        <w:t xml:space="preserve"> Digital, Microsoft</w:t>
      </w:r>
      <w:r w:rsidR="00D85807" w:rsidRPr="002C3ED5">
        <w:rPr>
          <w:spacing w:val="-2"/>
          <w:lang w:val="en-GB"/>
        </w:rPr>
        <w:t xml:space="preserve"> Corporation</w:t>
      </w:r>
      <w:r w:rsidR="007F63AA" w:rsidRPr="002C3ED5">
        <w:rPr>
          <w:spacing w:val="-2"/>
          <w:lang w:val="en-GB"/>
        </w:rPr>
        <w:t xml:space="preserve"> (Microsoft)</w:t>
      </w:r>
      <w:r w:rsidR="00922282" w:rsidRPr="002C3ED5">
        <w:rPr>
          <w:spacing w:val="-2"/>
          <w:lang w:val="en-GB"/>
        </w:rPr>
        <w:t>, Amazon</w:t>
      </w:r>
      <w:r w:rsidR="00D85807" w:rsidRPr="002C3ED5">
        <w:rPr>
          <w:spacing w:val="-2"/>
          <w:lang w:val="en-GB"/>
        </w:rPr>
        <w:t>.com Inc. (Amazon)</w:t>
      </w:r>
      <w:r w:rsidR="008A381D" w:rsidRPr="002C3ED5">
        <w:rPr>
          <w:spacing w:val="-2"/>
          <w:lang w:val="en-GB"/>
        </w:rPr>
        <w:t>,</w:t>
      </w:r>
      <w:r w:rsidR="00922282" w:rsidRPr="002C3ED5">
        <w:rPr>
          <w:spacing w:val="-2"/>
          <w:lang w:val="en-GB"/>
        </w:rPr>
        <w:t xml:space="preserve"> and PTC as leaders</w:t>
      </w:r>
      <w:r w:rsidR="00AA4711" w:rsidRPr="002C3ED5">
        <w:rPr>
          <w:spacing w:val="-2"/>
          <w:lang w:val="en-GB"/>
        </w:rPr>
        <w:t>;</w:t>
      </w:r>
      <w:r w:rsidR="00922282" w:rsidRPr="002C3ED5">
        <w:rPr>
          <w:spacing w:val="-2"/>
          <w:lang w:val="en-GB"/>
        </w:rPr>
        <w:t xml:space="preserve"> Fujitsu was rated as a major player</w:t>
      </w:r>
      <w:r w:rsidR="008A381D" w:rsidRPr="002C3ED5">
        <w:rPr>
          <w:spacing w:val="-2"/>
          <w:lang w:val="en-GB"/>
        </w:rPr>
        <w:t>,</w:t>
      </w:r>
      <w:r w:rsidR="00922282" w:rsidRPr="002C3ED5">
        <w:rPr>
          <w:spacing w:val="-2"/>
          <w:lang w:val="en-GB"/>
        </w:rPr>
        <w:t xml:space="preserve"> in the same league as Oracle</w:t>
      </w:r>
      <w:r w:rsidR="00D85807" w:rsidRPr="002C3ED5">
        <w:rPr>
          <w:spacing w:val="-2"/>
          <w:lang w:val="en-GB"/>
        </w:rPr>
        <w:t xml:space="preserve"> Corporation (Oracle)</w:t>
      </w:r>
      <w:r w:rsidR="00922282" w:rsidRPr="002C3ED5">
        <w:rPr>
          <w:spacing w:val="-2"/>
          <w:lang w:val="en-GB"/>
        </w:rPr>
        <w:t>.</w:t>
      </w:r>
      <w:r w:rsidR="00922282" w:rsidRPr="002C3ED5">
        <w:rPr>
          <w:rStyle w:val="FootnoteReference"/>
          <w:spacing w:val="-2"/>
          <w:lang w:val="en-GB"/>
        </w:rPr>
        <w:footnoteReference w:id="3"/>
      </w:r>
      <w:r w:rsidR="00922282" w:rsidRPr="002C3ED5">
        <w:rPr>
          <w:spacing w:val="-2"/>
          <w:lang w:val="en-GB"/>
        </w:rPr>
        <w:t xml:space="preserve"> In response to this trend, Fujitsu </w:t>
      </w:r>
      <w:r w:rsidR="007F63AA" w:rsidRPr="002C3ED5">
        <w:rPr>
          <w:spacing w:val="-2"/>
          <w:lang w:val="en-GB"/>
        </w:rPr>
        <w:t xml:space="preserve">had </w:t>
      </w:r>
      <w:r w:rsidR="00922282" w:rsidRPr="002C3ED5">
        <w:rPr>
          <w:spacing w:val="-2"/>
          <w:lang w:val="en-GB"/>
        </w:rPr>
        <w:t xml:space="preserve">made </w:t>
      </w:r>
      <w:r w:rsidR="00D54595" w:rsidRPr="002C3ED5">
        <w:rPr>
          <w:spacing w:val="-2"/>
          <w:lang w:val="en-GB"/>
        </w:rPr>
        <w:t xml:space="preserve">the </w:t>
      </w:r>
      <w:r w:rsidR="00922282" w:rsidRPr="002C3ED5">
        <w:rPr>
          <w:spacing w:val="-2"/>
          <w:lang w:val="en-GB"/>
        </w:rPr>
        <w:t>IoT a fundamental aspect of its business. In 2014, Fujitsu announced its Human Centric IoT initiative</w:t>
      </w:r>
      <w:r w:rsidR="007F63AA" w:rsidRPr="002C3ED5">
        <w:rPr>
          <w:spacing w:val="-2"/>
          <w:lang w:val="en-GB"/>
        </w:rPr>
        <w:t>,</w:t>
      </w:r>
      <w:r w:rsidR="00922282" w:rsidRPr="002C3ED5">
        <w:rPr>
          <w:spacing w:val="-2"/>
          <w:lang w:val="en-GB"/>
        </w:rPr>
        <w:t xml:space="preserve"> and the following year, </w:t>
      </w:r>
      <w:r w:rsidR="007F63AA" w:rsidRPr="002C3ED5">
        <w:rPr>
          <w:spacing w:val="-2"/>
          <w:lang w:val="en-GB"/>
        </w:rPr>
        <w:t xml:space="preserve">it launched </w:t>
      </w:r>
      <w:r w:rsidR="00922282" w:rsidRPr="002C3ED5">
        <w:rPr>
          <w:spacing w:val="-2"/>
          <w:lang w:val="en-GB"/>
        </w:rPr>
        <w:t xml:space="preserve">its IoT platform. Fujitsu interpreted </w:t>
      </w:r>
      <w:r w:rsidR="00D54595" w:rsidRPr="002C3ED5">
        <w:rPr>
          <w:spacing w:val="-2"/>
          <w:lang w:val="en-GB"/>
        </w:rPr>
        <w:t xml:space="preserve">the </w:t>
      </w:r>
      <w:r w:rsidR="00922282" w:rsidRPr="002C3ED5">
        <w:rPr>
          <w:spacing w:val="-2"/>
          <w:lang w:val="en-GB"/>
        </w:rPr>
        <w:t>IoT as “innovation that can provide users with new value through mutual connections of all kinds of objects, people and places.”</w:t>
      </w:r>
      <w:r w:rsidR="00922282" w:rsidRPr="002C3ED5">
        <w:rPr>
          <w:rStyle w:val="FootnoteReference"/>
          <w:spacing w:val="-2"/>
          <w:lang w:val="en-GB"/>
        </w:rPr>
        <w:footnoteReference w:id="4"/>
      </w:r>
      <w:r w:rsidR="00922282" w:rsidRPr="002C3ED5">
        <w:rPr>
          <w:spacing w:val="-2"/>
          <w:lang w:val="en-GB"/>
        </w:rPr>
        <w:t xml:space="preserve"> Its solutions ranged from enterprise wearable devices</w:t>
      </w:r>
      <w:r w:rsidR="007F63AA" w:rsidRPr="002C3ED5">
        <w:rPr>
          <w:spacing w:val="-2"/>
          <w:lang w:val="en-GB"/>
        </w:rPr>
        <w:t xml:space="preserve"> and </w:t>
      </w:r>
      <w:r w:rsidR="00922282" w:rsidRPr="002C3ED5">
        <w:rPr>
          <w:spacing w:val="-2"/>
          <w:lang w:val="en-GB"/>
        </w:rPr>
        <w:t>middleware applications to standardized business solutions for customer verticals. The data collected from the devices would be processed and analyzed to enhance staff productivity, optimize customers’ business model</w:t>
      </w:r>
      <w:r w:rsidR="007F63AA" w:rsidRPr="002C3ED5">
        <w:rPr>
          <w:spacing w:val="-2"/>
          <w:lang w:val="en-GB"/>
        </w:rPr>
        <w:t>s</w:t>
      </w:r>
      <w:r w:rsidR="00922282" w:rsidRPr="002C3ED5">
        <w:rPr>
          <w:spacing w:val="-2"/>
          <w:lang w:val="en-GB"/>
        </w:rPr>
        <w:t>, and identify improvement areas such as workers’ safety and production efficiency.</w:t>
      </w:r>
    </w:p>
    <w:p w14:paraId="18D7939C" w14:textId="77777777" w:rsidR="00922282" w:rsidRPr="00AD3822" w:rsidRDefault="00922282" w:rsidP="00DF722C">
      <w:pPr>
        <w:jc w:val="both"/>
        <w:rPr>
          <w:spacing w:val="-2"/>
          <w:szCs w:val="22"/>
          <w:lang w:val="en-GB"/>
        </w:rPr>
      </w:pPr>
    </w:p>
    <w:p w14:paraId="2146935A" w14:textId="4F271739" w:rsidR="00922282" w:rsidRPr="00AD3822" w:rsidRDefault="00922282" w:rsidP="00DF722C">
      <w:pPr>
        <w:pStyle w:val="BodyTextMain"/>
        <w:rPr>
          <w:lang w:val="en-GB"/>
        </w:rPr>
      </w:pPr>
      <w:r w:rsidRPr="00AD3822">
        <w:rPr>
          <w:lang w:val="en-GB"/>
        </w:rPr>
        <w:t xml:space="preserve">The second core technology, AI, </w:t>
      </w:r>
      <w:r w:rsidR="007F63AA" w:rsidRPr="00AD3822">
        <w:rPr>
          <w:lang w:val="en-GB"/>
        </w:rPr>
        <w:t xml:space="preserve">involved </w:t>
      </w:r>
      <w:r w:rsidRPr="00AD3822">
        <w:rPr>
          <w:lang w:val="en-GB"/>
        </w:rPr>
        <w:t>the ability of computer</w:t>
      </w:r>
      <w:r w:rsidR="007F63AA" w:rsidRPr="00AD3822">
        <w:rPr>
          <w:lang w:val="en-GB"/>
        </w:rPr>
        <w:t>s</w:t>
      </w:r>
      <w:r w:rsidRPr="00AD3822">
        <w:rPr>
          <w:lang w:val="en-GB"/>
        </w:rPr>
        <w:t xml:space="preserve"> to perform certain tasks </w:t>
      </w:r>
      <w:r w:rsidR="007F63AA" w:rsidRPr="00AD3822">
        <w:rPr>
          <w:lang w:val="en-GB"/>
        </w:rPr>
        <w:t xml:space="preserve">as well as </w:t>
      </w:r>
      <w:r w:rsidRPr="00AD3822">
        <w:rPr>
          <w:lang w:val="en-GB"/>
        </w:rPr>
        <w:t>or even better than human</w:t>
      </w:r>
      <w:r w:rsidR="007F63AA" w:rsidRPr="00AD3822">
        <w:rPr>
          <w:lang w:val="en-GB"/>
        </w:rPr>
        <w:t>s</w:t>
      </w:r>
      <w:r w:rsidRPr="00AD3822">
        <w:rPr>
          <w:lang w:val="en-GB"/>
        </w:rPr>
        <w:t>. The consulting company Forrester predicted a greater than 300</w:t>
      </w:r>
      <w:r w:rsidR="007F63AA" w:rsidRPr="00AD3822">
        <w:rPr>
          <w:lang w:val="en-GB"/>
        </w:rPr>
        <w:t xml:space="preserve"> per cent </w:t>
      </w:r>
      <w:r w:rsidRPr="00AD3822">
        <w:rPr>
          <w:lang w:val="en-GB"/>
        </w:rPr>
        <w:t>increase in AI in 2017 compared with 2016.</w:t>
      </w:r>
      <w:r w:rsidRPr="00AD3822">
        <w:rPr>
          <w:rStyle w:val="FootnoteReference"/>
          <w:lang w:val="en-GB"/>
        </w:rPr>
        <w:footnoteReference w:id="5"/>
      </w:r>
      <w:r w:rsidRPr="00AD3822">
        <w:rPr>
          <w:lang w:val="en-GB"/>
        </w:rPr>
        <w:t xml:space="preserve"> In 2016, the number of AI-related start</w:t>
      </w:r>
      <w:r w:rsidR="007F63AA" w:rsidRPr="00AD3822">
        <w:rPr>
          <w:lang w:val="en-GB"/>
        </w:rPr>
        <w:t>-</w:t>
      </w:r>
      <w:r w:rsidRPr="00AD3822">
        <w:rPr>
          <w:lang w:val="en-GB"/>
        </w:rPr>
        <w:t xml:space="preserve">up deals swelled to 658 from </w:t>
      </w:r>
      <w:r w:rsidRPr="00AD3822">
        <w:rPr>
          <w:lang w:val="en-GB"/>
        </w:rPr>
        <w:lastRenderedPageBreak/>
        <w:t xml:space="preserve">160 in 2012, attracting </w:t>
      </w:r>
      <w:r w:rsidR="007F63AA" w:rsidRPr="00AD3822">
        <w:rPr>
          <w:lang w:val="en-GB"/>
        </w:rPr>
        <w:t>US$</w:t>
      </w:r>
      <w:r w:rsidRPr="00AD3822">
        <w:rPr>
          <w:lang w:val="en-GB"/>
        </w:rPr>
        <w:t>5 billion in total investment, up about 60</w:t>
      </w:r>
      <w:r w:rsidR="007F63AA" w:rsidRPr="00AD3822">
        <w:rPr>
          <w:lang w:val="en-GB"/>
        </w:rPr>
        <w:t xml:space="preserve"> per cent.</w:t>
      </w:r>
      <w:r w:rsidR="007F63AA" w:rsidRPr="00AD3822">
        <w:rPr>
          <w:rStyle w:val="FootnoteReference"/>
          <w:lang w:val="en-GB"/>
        </w:rPr>
        <w:footnoteReference w:id="6"/>
      </w:r>
      <w:r w:rsidR="007F63AA" w:rsidRPr="00AD3822">
        <w:rPr>
          <w:lang w:val="en-GB"/>
        </w:rPr>
        <w:t xml:space="preserve"> </w:t>
      </w:r>
      <w:r w:rsidRPr="00AD3822">
        <w:rPr>
          <w:lang w:val="en-GB"/>
        </w:rPr>
        <w:t xml:space="preserve">One reason for the growing importance of AI was the rise of </w:t>
      </w:r>
      <w:r w:rsidR="00D54595">
        <w:rPr>
          <w:lang w:val="en-GB"/>
        </w:rPr>
        <w:t xml:space="preserve">the </w:t>
      </w:r>
      <w:r w:rsidRPr="00AD3822">
        <w:rPr>
          <w:lang w:val="en-GB"/>
        </w:rPr>
        <w:t>IoT and the amount of data that could be harvested from it. Wong said</w:t>
      </w:r>
      <w:r w:rsidR="007F63AA" w:rsidRPr="00AD3822">
        <w:rPr>
          <w:lang w:val="en-GB"/>
        </w:rPr>
        <w:t xml:space="preserve">, </w:t>
      </w:r>
      <w:r w:rsidRPr="00AD3822">
        <w:rPr>
          <w:lang w:val="en-GB"/>
        </w:rPr>
        <w:t>“</w:t>
      </w:r>
      <w:r w:rsidR="007F63AA" w:rsidRPr="00AD3822">
        <w:rPr>
          <w:lang w:val="en-GB"/>
        </w:rPr>
        <w:t>T</w:t>
      </w:r>
      <w:r w:rsidRPr="00AD3822">
        <w:rPr>
          <w:lang w:val="en-GB"/>
        </w:rPr>
        <w:t xml:space="preserve">oday, information can be collected through sensors and all that. AI needs to be there to give a sense of what this information is.” </w:t>
      </w:r>
      <w:r w:rsidR="007F63AA" w:rsidRPr="00AD3822">
        <w:rPr>
          <w:lang w:val="en-GB"/>
        </w:rPr>
        <w:t>A</w:t>
      </w:r>
      <w:r w:rsidRPr="00AD3822">
        <w:rPr>
          <w:lang w:val="en-GB"/>
        </w:rPr>
        <w:t xml:space="preserve"> </w:t>
      </w:r>
      <w:r w:rsidR="002E742C">
        <w:rPr>
          <w:lang w:val="en-GB"/>
        </w:rPr>
        <w:t>2017</w:t>
      </w:r>
      <w:r w:rsidRPr="00AD3822">
        <w:rPr>
          <w:lang w:val="en-GB"/>
        </w:rPr>
        <w:t xml:space="preserve"> study by Morgan Stanley revealed that the leading players </w:t>
      </w:r>
      <w:r w:rsidR="007F63AA" w:rsidRPr="00AD3822">
        <w:rPr>
          <w:lang w:val="en-GB"/>
        </w:rPr>
        <w:t xml:space="preserve">in the AI marketplace </w:t>
      </w:r>
      <w:r w:rsidRPr="00AD3822">
        <w:rPr>
          <w:lang w:val="en-GB"/>
        </w:rPr>
        <w:t xml:space="preserve">were similar </w:t>
      </w:r>
      <w:r w:rsidR="007F63AA" w:rsidRPr="00AD3822">
        <w:rPr>
          <w:lang w:val="en-GB"/>
        </w:rPr>
        <w:t xml:space="preserve">to </w:t>
      </w:r>
      <w:r w:rsidRPr="00AD3822">
        <w:rPr>
          <w:lang w:val="en-GB"/>
        </w:rPr>
        <w:t xml:space="preserve">those in </w:t>
      </w:r>
      <w:r w:rsidR="00D54595">
        <w:rPr>
          <w:lang w:val="en-GB"/>
        </w:rPr>
        <w:t xml:space="preserve">the </w:t>
      </w:r>
      <w:r w:rsidRPr="00AD3822">
        <w:rPr>
          <w:lang w:val="en-GB"/>
        </w:rPr>
        <w:t>IoT: IBM, Microsoft</w:t>
      </w:r>
      <w:r w:rsidR="007F63AA" w:rsidRPr="00AD3822">
        <w:rPr>
          <w:lang w:val="en-GB"/>
        </w:rPr>
        <w:t>,</w:t>
      </w:r>
      <w:r w:rsidRPr="00AD3822">
        <w:rPr>
          <w:lang w:val="en-GB"/>
        </w:rPr>
        <w:t xml:space="preserve"> and Amazon.</w:t>
      </w:r>
      <w:r w:rsidRPr="00AD3822">
        <w:rPr>
          <w:rStyle w:val="FootnoteReference"/>
          <w:lang w:val="en-GB"/>
        </w:rPr>
        <w:footnoteReference w:id="7"/>
      </w:r>
      <w:r w:rsidRPr="00AD3822">
        <w:rPr>
          <w:lang w:val="en-GB"/>
        </w:rPr>
        <w:t xml:space="preserve"> Each competitor</w:t>
      </w:r>
      <w:r w:rsidR="007F63AA" w:rsidRPr="00AD3822">
        <w:rPr>
          <w:lang w:val="en-GB"/>
        </w:rPr>
        <w:t>’</w:t>
      </w:r>
      <w:r w:rsidRPr="00AD3822">
        <w:rPr>
          <w:lang w:val="en-GB"/>
        </w:rPr>
        <w:t>s AI platform had a market share of 20</w:t>
      </w:r>
      <w:r w:rsidR="007F63AA" w:rsidRPr="00AD3822">
        <w:rPr>
          <w:lang w:val="en-GB"/>
        </w:rPr>
        <w:t>–</w:t>
      </w:r>
      <w:r w:rsidRPr="00AD3822">
        <w:rPr>
          <w:lang w:val="en-GB"/>
        </w:rPr>
        <w:t>30 per</w:t>
      </w:r>
      <w:r w:rsidR="007F63AA" w:rsidRPr="00AD3822">
        <w:rPr>
          <w:lang w:val="en-GB"/>
        </w:rPr>
        <w:t xml:space="preserve"> </w:t>
      </w:r>
      <w:r w:rsidRPr="00AD3822">
        <w:rPr>
          <w:lang w:val="en-GB"/>
        </w:rPr>
        <w:t xml:space="preserve">cent, </w:t>
      </w:r>
      <w:r w:rsidR="007F63AA" w:rsidRPr="00AD3822">
        <w:rPr>
          <w:lang w:val="en-GB"/>
        </w:rPr>
        <w:t xml:space="preserve">and </w:t>
      </w:r>
      <w:r w:rsidRPr="00AD3822">
        <w:rPr>
          <w:lang w:val="en-GB"/>
        </w:rPr>
        <w:t xml:space="preserve">the popularity </w:t>
      </w:r>
      <w:r w:rsidR="007F63AA" w:rsidRPr="00AD3822">
        <w:rPr>
          <w:lang w:val="en-GB"/>
        </w:rPr>
        <w:t xml:space="preserve">of these platforms was </w:t>
      </w:r>
      <w:r w:rsidRPr="00AD3822">
        <w:rPr>
          <w:lang w:val="en-GB"/>
        </w:rPr>
        <w:t xml:space="preserve">supported by </w:t>
      </w:r>
      <w:r w:rsidR="007F63AA" w:rsidRPr="00AD3822">
        <w:rPr>
          <w:lang w:val="en-GB"/>
        </w:rPr>
        <w:t xml:space="preserve">the </w:t>
      </w:r>
      <w:r w:rsidRPr="00AD3822">
        <w:rPr>
          <w:lang w:val="en-GB"/>
        </w:rPr>
        <w:t>market perception that they had access to large existing datasets for mining and analysis. Recognizing the importance of AI, Fujitsu made extensive investment</w:t>
      </w:r>
      <w:r w:rsidR="00AA4711" w:rsidRPr="00AD3822">
        <w:rPr>
          <w:lang w:val="en-GB"/>
        </w:rPr>
        <w:t>s</w:t>
      </w:r>
      <w:r w:rsidRPr="00AD3822">
        <w:rPr>
          <w:lang w:val="en-GB"/>
        </w:rPr>
        <w:t xml:space="preserve"> in Zinrai</w:t>
      </w:r>
      <w:r w:rsidR="007F63AA" w:rsidRPr="00AD3822">
        <w:rPr>
          <w:lang w:val="en-GB"/>
        </w:rPr>
        <w:t>—</w:t>
      </w:r>
      <w:r w:rsidRPr="00AD3822">
        <w:rPr>
          <w:lang w:val="en-GB"/>
        </w:rPr>
        <w:t>the concept, brand name</w:t>
      </w:r>
      <w:r w:rsidR="007F63AA" w:rsidRPr="00AD3822">
        <w:rPr>
          <w:lang w:val="en-GB"/>
        </w:rPr>
        <w:t>,</w:t>
      </w:r>
      <w:r w:rsidRPr="00AD3822">
        <w:rPr>
          <w:lang w:val="en-GB"/>
        </w:rPr>
        <w:t xml:space="preserve"> and framework for its AI solutions</w:t>
      </w:r>
      <w:r w:rsidR="007F63AA" w:rsidRPr="00AD3822">
        <w:rPr>
          <w:lang w:val="en-GB"/>
        </w:rPr>
        <w:t>—</w:t>
      </w:r>
      <w:r w:rsidRPr="00AD3822">
        <w:rPr>
          <w:lang w:val="en-GB"/>
        </w:rPr>
        <w:t xml:space="preserve">which </w:t>
      </w:r>
      <w:r w:rsidR="007F63AA" w:rsidRPr="00AD3822">
        <w:rPr>
          <w:lang w:val="en-GB"/>
        </w:rPr>
        <w:t xml:space="preserve">it </w:t>
      </w:r>
      <w:r w:rsidRPr="00AD3822">
        <w:rPr>
          <w:lang w:val="en-GB"/>
        </w:rPr>
        <w:t>integrated into its MetaArc</w:t>
      </w:r>
      <w:r w:rsidR="007F63AA" w:rsidRPr="00AD3822">
        <w:rPr>
          <w:lang w:val="en-GB"/>
        </w:rPr>
        <w:t xml:space="preserve"> </w:t>
      </w:r>
      <w:r w:rsidRPr="00AD3822">
        <w:rPr>
          <w:lang w:val="en-GB"/>
        </w:rPr>
        <w:t>digital business solution. The company incorporated machine learning, deep learning, and visual recognition into its digital solutions and services. Fujitsu also conducted advanced research in fields such as neuroscience, social receptivity</w:t>
      </w:r>
      <w:r w:rsidR="007F63AA" w:rsidRPr="00AD3822">
        <w:rPr>
          <w:lang w:val="en-GB"/>
        </w:rPr>
        <w:t>,</w:t>
      </w:r>
      <w:r w:rsidRPr="00AD3822">
        <w:rPr>
          <w:lang w:val="en-GB"/>
        </w:rPr>
        <w:t xml:space="preserve"> and simulation with the view to complement human workflows</w:t>
      </w:r>
      <w:r w:rsidR="007F63AA" w:rsidRPr="00AD3822">
        <w:rPr>
          <w:lang w:val="en-GB"/>
        </w:rPr>
        <w:t xml:space="preserve"> rather than</w:t>
      </w:r>
      <w:r w:rsidRPr="00AD3822">
        <w:rPr>
          <w:lang w:val="en-GB"/>
        </w:rPr>
        <w:t xml:space="preserve"> to replace humans.</w:t>
      </w:r>
    </w:p>
    <w:p w14:paraId="2B8FA8B5" w14:textId="77777777" w:rsidR="00922282" w:rsidRPr="00AD3822" w:rsidRDefault="00922282" w:rsidP="00DF722C">
      <w:pPr>
        <w:jc w:val="both"/>
        <w:rPr>
          <w:szCs w:val="22"/>
          <w:lang w:val="en-GB"/>
        </w:rPr>
      </w:pPr>
    </w:p>
    <w:p w14:paraId="4147E665" w14:textId="29B2B5A8" w:rsidR="00922282" w:rsidRPr="00B926DB" w:rsidRDefault="00922282" w:rsidP="00DF722C">
      <w:pPr>
        <w:pStyle w:val="BodyTextMain"/>
        <w:rPr>
          <w:spacing w:val="-2"/>
          <w:lang w:val="en-GB"/>
        </w:rPr>
      </w:pPr>
      <w:r w:rsidRPr="00B926DB">
        <w:rPr>
          <w:spacing w:val="-2"/>
          <w:lang w:val="en-GB"/>
        </w:rPr>
        <w:t>Gartner</w:t>
      </w:r>
      <w:r w:rsidR="007F63AA" w:rsidRPr="00B926DB">
        <w:rPr>
          <w:spacing w:val="-2"/>
          <w:lang w:val="en-GB"/>
        </w:rPr>
        <w:t xml:space="preserve"> projected that the global public cloud services market </w:t>
      </w:r>
      <w:r w:rsidR="004728FA" w:rsidRPr="00B926DB">
        <w:rPr>
          <w:spacing w:val="-2"/>
          <w:lang w:val="en-GB"/>
        </w:rPr>
        <w:t>would</w:t>
      </w:r>
      <w:r w:rsidR="007F63AA" w:rsidRPr="00B926DB">
        <w:rPr>
          <w:spacing w:val="-2"/>
          <w:lang w:val="en-GB"/>
        </w:rPr>
        <w:t xml:space="preserve"> grow at 18 per cent in 2017 to </w:t>
      </w:r>
      <w:r w:rsidR="004728FA" w:rsidRPr="00B926DB">
        <w:rPr>
          <w:spacing w:val="-2"/>
          <w:lang w:val="en-GB"/>
        </w:rPr>
        <w:t xml:space="preserve">a </w:t>
      </w:r>
      <w:r w:rsidR="007F63AA" w:rsidRPr="00B926DB">
        <w:rPr>
          <w:spacing w:val="-2"/>
          <w:lang w:val="en-GB"/>
        </w:rPr>
        <w:t>total of US$246.8 billion.</w:t>
      </w:r>
      <w:r w:rsidRPr="00B926DB">
        <w:rPr>
          <w:rStyle w:val="FootnoteReference"/>
          <w:spacing w:val="-2"/>
          <w:lang w:val="en-GB"/>
        </w:rPr>
        <w:footnoteReference w:id="8"/>
      </w:r>
      <w:r w:rsidR="007F63AA" w:rsidRPr="00B926DB">
        <w:rPr>
          <w:spacing w:val="-2"/>
          <w:lang w:val="en-GB"/>
        </w:rPr>
        <w:t xml:space="preserve"> This market</w:t>
      </w:r>
      <w:r w:rsidRPr="00B926DB">
        <w:rPr>
          <w:spacing w:val="-2"/>
          <w:lang w:val="en-GB"/>
        </w:rPr>
        <w:t xml:space="preserve"> was driven primarily by cloud system infrastructure services</w:t>
      </w:r>
      <w:r w:rsidRPr="00B926DB">
        <w:rPr>
          <w:spacing w:val="-2"/>
          <w:lang w:val="en-GB"/>
        </w:rPr>
        <w:sym w:font="Symbol" w:char="F0BE"/>
      </w:r>
      <w:r w:rsidRPr="00B926DB">
        <w:rPr>
          <w:spacing w:val="-2"/>
          <w:lang w:val="en-GB"/>
        </w:rPr>
        <w:t>infrastructure as a service (IaaS)</w:t>
      </w:r>
      <w:r w:rsidR="004728FA" w:rsidRPr="00B926DB">
        <w:rPr>
          <w:spacing w:val="-2"/>
          <w:lang w:val="en-GB"/>
        </w:rPr>
        <w:t>—</w:t>
      </w:r>
      <w:r w:rsidRPr="00B926DB">
        <w:rPr>
          <w:spacing w:val="-2"/>
          <w:lang w:val="en-GB"/>
        </w:rPr>
        <w:t>and cloud application services</w:t>
      </w:r>
      <w:r w:rsidRPr="00B926DB">
        <w:rPr>
          <w:spacing w:val="-2"/>
          <w:lang w:val="en-GB"/>
        </w:rPr>
        <w:sym w:font="Symbol" w:char="F0BE"/>
      </w:r>
      <w:r w:rsidRPr="00B926DB">
        <w:rPr>
          <w:spacing w:val="-2"/>
          <w:lang w:val="en-GB"/>
        </w:rPr>
        <w:t>SaaS</w:t>
      </w:r>
      <w:r w:rsidR="004728FA" w:rsidRPr="00B926DB">
        <w:rPr>
          <w:spacing w:val="-2"/>
          <w:lang w:val="en-GB"/>
        </w:rPr>
        <w:t xml:space="preserve">—which were </w:t>
      </w:r>
      <w:r w:rsidRPr="00B926DB">
        <w:rPr>
          <w:spacing w:val="-2"/>
          <w:lang w:val="en-GB"/>
        </w:rPr>
        <w:t>growing at 36.8 per</w:t>
      </w:r>
      <w:r w:rsidR="004728FA" w:rsidRPr="00B926DB">
        <w:rPr>
          <w:spacing w:val="-2"/>
          <w:lang w:val="en-GB"/>
        </w:rPr>
        <w:t xml:space="preserve"> </w:t>
      </w:r>
      <w:r w:rsidRPr="00B926DB">
        <w:rPr>
          <w:spacing w:val="-2"/>
          <w:lang w:val="en-GB"/>
        </w:rPr>
        <w:t>cent and 20.1 per</w:t>
      </w:r>
      <w:r w:rsidR="004728FA" w:rsidRPr="00B926DB">
        <w:rPr>
          <w:spacing w:val="-2"/>
          <w:lang w:val="en-GB"/>
        </w:rPr>
        <w:t xml:space="preserve"> </w:t>
      </w:r>
      <w:r w:rsidRPr="00B926DB">
        <w:rPr>
          <w:spacing w:val="-2"/>
          <w:lang w:val="en-GB"/>
        </w:rPr>
        <w:t>cent, respectively. Amazon Web Services, the first to market cloud services in 2006, continued its position as a dominant leader</w:t>
      </w:r>
      <w:r w:rsidR="004728FA" w:rsidRPr="00B926DB">
        <w:rPr>
          <w:spacing w:val="-2"/>
          <w:lang w:val="en-GB"/>
        </w:rPr>
        <w:t>,</w:t>
      </w:r>
      <w:r w:rsidRPr="00B926DB">
        <w:rPr>
          <w:spacing w:val="-2"/>
          <w:lang w:val="en-GB"/>
        </w:rPr>
        <w:t xml:space="preserve"> with revenue of </w:t>
      </w:r>
      <w:r w:rsidR="004728FA" w:rsidRPr="00B926DB">
        <w:rPr>
          <w:spacing w:val="-2"/>
          <w:lang w:val="en-GB"/>
        </w:rPr>
        <w:t>US$14</w:t>
      </w:r>
      <w:r w:rsidR="0020128E" w:rsidRPr="00B926DB">
        <w:rPr>
          <w:spacing w:val="-2"/>
          <w:lang w:val="en-GB"/>
        </w:rPr>
        <w:t xml:space="preserve"> </w:t>
      </w:r>
      <w:r w:rsidRPr="00B926DB">
        <w:rPr>
          <w:spacing w:val="-2"/>
          <w:lang w:val="en-GB"/>
        </w:rPr>
        <w:t>billion and a whopping market share of 40 per</w:t>
      </w:r>
      <w:r w:rsidR="004728FA" w:rsidRPr="00B926DB">
        <w:rPr>
          <w:spacing w:val="-2"/>
          <w:lang w:val="en-GB"/>
        </w:rPr>
        <w:t xml:space="preserve"> </w:t>
      </w:r>
      <w:r w:rsidRPr="00B926DB">
        <w:rPr>
          <w:spacing w:val="-2"/>
          <w:lang w:val="en-GB"/>
        </w:rPr>
        <w:t>cent in 2016. The other three players</w:t>
      </w:r>
      <w:r w:rsidR="004728FA" w:rsidRPr="00B926DB">
        <w:rPr>
          <w:spacing w:val="-2"/>
          <w:lang w:val="en-GB"/>
        </w:rPr>
        <w:t>—</w:t>
      </w:r>
      <w:r w:rsidRPr="00B926DB">
        <w:rPr>
          <w:spacing w:val="-2"/>
          <w:lang w:val="en-GB"/>
        </w:rPr>
        <w:t>Microsoft, Google</w:t>
      </w:r>
      <w:r w:rsidR="002E742C">
        <w:rPr>
          <w:spacing w:val="-2"/>
          <w:lang w:val="en-GB"/>
        </w:rPr>
        <w:t xml:space="preserve"> LLC</w:t>
      </w:r>
      <w:r w:rsidR="004728FA" w:rsidRPr="00B926DB">
        <w:rPr>
          <w:spacing w:val="-2"/>
          <w:lang w:val="en-GB"/>
        </w:rPr>
        <w:t>,</w:t>
      </w:r>
      <w:r w:rsidRPr="00B926DB">
        <w:rPr>
          <w:spacing w:val="-2"/>
          <w:lang w:val="en-GB"/>
        </w:rPr>
        <w:t xml:space="preserve"> and IBM</w:t>
      </w:r>
      <w:r w:rsidR="004728FA" w:rsidRPr="00B926DB">
        <w:rPr>
          <w:spacing w:val="-2"/>
          <w:lang w:val="en-GB"/>
        </w:rPr>
        <w:t>—</w:t>
      </w:r>
      <w:r w:rsidRPr="00B926DB">
        <w:rPr>
          <w:spacing w:val="-2"/>
          <w:lang w:val="en-GB"/>
        </w:rPr>
        <w:t>took 23 per</w:t>
      </w:r>
      <w:r w:rsidR="004728FA" w:rsidRPr="00B926DB">
        <w:rPr>
          <w:spacing w:val="-2"/>
          <w:lang w:val="en-GB"/>
        </w:rPr>
        <w:t xml:space="preserve"> </w:t>
      </w:r>
      <w:r w:rsidRPr="00B926DB">
        <w:rPr>
          <w:spacing w:val="-2"/>
          <w:lang w:val="en-GB"/>
        </w:rPr>
        <w:t>cent of the public IaaS and PaaS market share.</w:t>
      </w:r>
      <w:r w:rsidRPr="00B926DB">
        <w:rPr>
          <w:rStyle w:val="FootnoteReference"/>
          <w:spacing w:val="-2"/>
          <w:lang w:val="en-GB"/>
        </w:rPr>
        <w:footnoteReference w:id="9"/>
      </w:r>
      <w:r w:rsidRPr="00B926DB">
        <w:rPr>
          <w:spacing w:val="-2"/>
          <w:lang w:val="en-GB"/>
        </w:rPr>
        <w:t xml:space="preserve"> Other new players such </w:t>
      </w:r>
      <w:r w:rsidR="004728FA" w:rsidRPr="00B926DB">
        <w:rPr>
          <w:spacing w:val="-2"/>
          <w:lang w:val="en-GB"/>
        </w:rPr>
        <w:t>as Alibaba Group Holding Limited</w:t>
      </w:r>
      <w:r w:rsidRPr="00B926DB">
        <w:rPr>
          <w:spacing w:val="-2"/>
          <w:lang w:val="en-GB"/>
        </w:rPr>
        <w:t xml:space="preserve"> and Oracle had also entered the fray. To meet the growing market demand, Fujitsu </w:t>
      </w:r>
      <w:r w:rsidR="00C17605" w:rsidRPr="00B926DB">
        <w:rPr>
          <w:spacing w:val="-2"/>
          <w:lang w:val="en-GB"/>
        </w:rPr>
        <w:t>made</w:t>
      </w:r>
      <w:r w:rsidRPr="00B926DB">
        <w:rPr>
          <w:spacing w:val="-2"/>
          <w:lang w:val="en-GB"/>
        </w:rPr>
        <w:t xml:space="preserve"> </w:t>
      </w:r>
      <w:r w:rsidR="002A3C69" w:rsidRPr="00B926DB">
        <w:rPr>
          <w:spacing w:val="-2"/>
          <w:lang w:val="en-GB"/>
        </w:rPr>
        <w:t>cloud-</w:t>
      </w:r>
      <w:r w:rsidRPr="00B926DB">
        <w:rPr>
          <w:spacing w:val="-2"/>
          <w:lang w:val="en-GB"/>
        </w:rPr>
        <w:t>computing technology the foundation of its main cloud service</w:t>
      </w:r>
      <w:r w:rsidR="00C17605" w:rsidRPr="00B926DB">
        <w:rPr>
          <w:spacing w:val="-2"/>
          <w:lang w:val="en-GB"/>
        </w:rPr>
        <w:t>,</w:t>
      </w:r>
      <w:r w:rsidRPr="00B926DB">
        <w:rPr>
          <w:spacing w:val="-2"/>
          <w:lang w:val="en-GB"/>
        </w:rPr>
        <w:t xml:space="preserve"> K5, which included network</w:t>
      </w:r>
      <w:r w:rsidR="007808F0" w:rsidRPr="00B926DB">
        <w:rPr>
          <w:spacing w:val="-2"/>
          <w:lang w:val="en-GB"/>
        </w:rPr>
        <w:t>ing</w:t>
      </w:r>
      <w:r w:rsidRPr="00B926DB">
        <w:rPr>
          <w:spacing w:val="-2"/>
          <w:lang w:val="en-GB"/>
        </w:rPr>
        <w:t>, IaaS</w:t>
      </w:r>
      <w:r w:rsidR="00C17605" w:rsidRPr="00B926DB">
        <w:rPr>
          <w:spacing w:val="-2"/>
          <w:lang w:val="en-GB"/>
        </w:rPr>
        <w:t>,</w:t>
      </w:r>
      <w:r w:rsidRPr="00B926DB">
        <w:rPr>
          <w:spacing w:val="-2"/>
          <w:lang w:val="en-GB"/>
        </w:rPr>
        <w:t xml:space="preserve"> and PaaS. Fujitsu adapt</w:t>
      </w:r>
      <w:r w:rsidR="00C17605" w:rsidRPr="00B926DB">
        <w:rPr>
          <w:spacing w:val="-2"/>
          <w:lang w:val="en-GB"/>
        </w:rPr>
        <w:t>ed</w:t>
      </w:r>
      <w:r w:rsidRPr="00B926DB">
        <w:rPr>
          <w:spacing w:val="-2"/>
          <w:lang w:val="en-GB"/>
        </w:rPr>
        <w:t xml:space="preserve"> these technologies to the situation or </w:t>
      </w:r>
      <w:r w:rsidR="00C17605" w:rsidRPr="00B926DB">
        <w:rPr>
          <w:spacing w:val="-2"/>
          <w:lang w:val="en-GB"/>
        </w:rPr>
        <w:t xml:space="preserve">to </w:t>
      </w:r>
      <w:r w:rsidRPr="00B926DB">
        <w:rPr>
          <w:spacing w:val="-2"/>
          <w:lang w:val="en-GB"/>
        </w:rPr>
        <w:t>customers’ needs</w:t>
      </w:r>
      <w:r w:rsidR="00C17605" w:rsidRPr="00B926DB">
        <w:rPr>
          <w:spacing w:val="-2"/>
          <w:lang w:val="en-GB"/>
        </w:rPr>
        <w:t xml:space="preserve">—for example, by deploying an </w:t>
      </w:r>
      <w:r w:rsidRPr="00B926DB">
        <w:rPr>
          <w:spacing w:val="-2"/>
          <w:lang w:val="en-GB"/>
        </w:rPr>
        <w:t>engineering cloud</w:t>
      </w:r>
      <w:r w:rsidR="00C17605" w:rsidRPr="00B926DB">
        <w:rPr>
          <w:spacing w:val="-2"/>
          <w:lang w:val="en-GB"/>
        </w:rPr>
        <w:t xml:space="preserve"> in response to</w:t>
      </w:r>
      <w:r w:rsidRPr="00B926DB">
        <w:rPr>
          <w:spacing w:val="-2"/>
          <w:lang w:val="en-GB"/>
        </w:rPr>
        <w:t xml:space="preserve"> the Miyagi earthquake and </w:t>
      </w:r>
      <w:r w:rsidR="00C17605" w:rsidRPr="00B926DB">
        <w:rPr>
          <w:spacing w:val="-2"/>
          <w:lang w:val="en-GB"/>
        </w:rPr>
        <w:t xml:space="preserve">by creating </w:t>
      </w:r>
      <w:r w:rsidRPr="00B926DB">
        <w:rPr>
          <w:spacing w:val="-2"/>
          <w:lang w:val="en-GB"/>
        </w:rPr>
        <w:t xml:space="preserve">the agricultural cloud Akisai. These </w:t>
      </w:r>
      <w:r w:rsidR="00C17605" w:rsidRPr="00B926DB">
        <w:rPr>
          <w:spacing w:val="-2"/>
          <w:lang w:val="en-GB"/>
        </w:rPr>
        <w:t xml:space="preserve">end-to-end </w:t>
      </w:r>
      <w:r w:rsidRPr="00B926DB">
        <w:rPr>
          <w:spacing w:val="-2"/>
          <w:lang w:val="en-GB"/>
        </w:rPr>
        <w:t>cloud services were created specifically to support the requirements of the target industries.</w:t>
      </w:r>
    </w:p>
    <w:p w14:paraId="7E5E84D5" w14:textId="77777777" w:rsidR="00922282" w:rsidRPr="00AD3822" w:rsidRDefault="00922282" w:rsidP="00DF722C">
      <w:pPr>
        <w:jc w:val="both"/>
        <w:rPr>
          <w:szCs w:val="22"/>
          <w:lang w:val="en-GB"/>
        </w:rPr>
      </w:pPr>
    </w:p>
    <w:p w14:paraId="0B1ADEE9" w14:textId="43A88BA1" w:rsidR="00922282" w:rsidRDefault="00C17605" w:rsidP="00DF722C">
      <w:pPr>
        <w:pStyle w:val="BodyTextMain"/>
        <w:rPr>
          <w:spacing w:val="-4"/>
          <w:lang w:val="en-GB"/>
        </w:rPr>
      </w:pPr>
      <w:r w:rsidRPr="00AD3822">
        <w:rPr>
          <w:spacing w:val="-4"/>
          <w:lang w:val="en-GB"/>
        </w:rPr>
        <w:t xml:space="preserve">Because of the </w:t>
      </w:r>
      <w:r w:rsidR="00922282" w:rsidRPr="00AD3822">
        <w:rPr>
          <w:spacing w:val="-4"/>
          <w:lang w:val="en-GB"/>
        </w:rPr>
        <w:t xml:space="preserve">rapid digitization of consumer devices and enterprise records, the research firm Juniper Research predicted </w:t>
      </w:r>
      <w:r w:rsidRPr="00AD3822">
        <w:rPr>
          <w:spacing w:val="-4"/>
          <w:lang w:val="en-GB"/>
        </w:rPr>
        <w:t xml:space="preserve">that </w:t>
      </w:r>
      <w:r w:rsidR="00922282" w:rsidRPr="00AD3822">
        <w:rPr>
          <w:spacing w:val="-4"/>
          <w:lang w:val="en-GB"/>
        </w:rPr>
        <w:t xml:space="preserve">the </w:t>
      </w:r>
      <w:r w:rsidRPr="00AD3822">
        <w:rPr>
          <w:spacing w:val="-4"/>
          <w:lang w:val="en-GB"/>
        </w:rPr>
        <w:t xml:space="preserve">global </w:t>
      </w:r>
      <w:r w:rsidR="00922282" w:rsidRPr="00AD3822">
        <w:rPr>
          <w:spacing w:val="-4"/>
          <w:lang w:val="en-GB"/>
        </w:rPr>
        <w:t xml:space="preserve">cost of data breaches could reach </w:t>
      </w:r>
      <w:r w:rsidRPr="00AD3822">
        <w:rPr>
          <w:spacing w:val="-4"/>
          <w:lang w:val="en-GB"/>
        </w:rPr>
        <w:t>US$</w:t>
      </w:r>
      <w:r w:rsidR="00922282" w:rsidRPr="00AD3822">
        <w:rPr>
          <w:spacing w:val="-4"/>
          <w:lang w:val="en-GB"/>
        </w:rPr>
        <w:t>2.1 trillion by 2019</w:t>
      </w:r>
      <w:r w:rsidRPr="00AD3822">
        <w:rPr>
          <w:spacing w:val="-4"/>
          <w:lang w:val="en-GB"/>
        </w:rPr>
        <w:t>,</w:t>
      </w:r>
      <w:r w:rsidR="00922282" w:rsidRPr="00AD3822">
        <w:rPr>
          <w:spacing w:val="-4"/>
          <w:lang w:val="en-GB"/>
        </w:rPr>
        <w:t xml:space="preserve"> as cybercrime continued to rise</w:t>
      </w:r>
      <w:r w:rsidR="00343E7F">
        <w:rPr>
          <w:spacing w:val="-4"/>
          <w:lang w:val="en-GB"/>
        </w:rPr>
        <w:t>.</w:t>
      </w:r>
      <w:r w:rsidR="0060082E" w:rsidRPr="00AD3822">
        <w:rPr>
          <w:rStyle w:val="FootnoteReference"/>
          <w:spacing w:val="-4"/>
          <w:lang w:val="en-GB"/>
        </w:rPr>
        <w:footnoteReference w:id="10"/>
      </w:r>
      <w:r w:rsidR="00922282" w:rsidRPr="00AD3822">
        <w:rPr>
          <w:spacing w:val="-4"/>
          <w:lang w:val="en-GB"/>
        </w:rPr>
        <w:t xml:space="preserve"> </w:t>
      </w:r>
      <w:r w:rsidR="00922282" w:rsidRPr="00AD3822">
        <w:rPr>
          <w:i/>
          <w:spacing w:val="-4"/>
          <w:lang w:val="en-GB"/>
        </w:rPr>
        <w:t>Forbes</w:t>
      </w:r>
      <w:r w:rsidR="00922282" w:rsidRPr="00AD3822">
        <w:rPr>
          <w:spacing w:val="-4"/>
          <w:lang w:val="en-GB"/>
        </w:rPr>
        <w:t xml:space="preserve"> forecast </w:t>
      </w:r>
      <w:r w:rsidRPr="00AD3822">
        <w:rPr>
          <w:spacing w:val="-4"/>
          <w:lang w:val="en-GB"/>
        </w:rPr>
        <w:t>a US$</w:t>
      </w:r>
      <w:r w:rsidR="00922282" w:rsidRPr="00AD3822">
        <w:rPr>
          <w:spacing w:val="-4"/>
          <w:lang w:val="en-GB"/>
        </w:rPr>
        <w:t xml:space="preserve">170 billion </w:t>
      </w:r>
      <w:r w:rsidRPr="00AD3822">
        <w:rPr>
          <w:spacing w:val="-4"/>
          <w:lang w:val="en-GB"/>
        </w:rPr>
        <w:t xml:space="preserve">cybersecurity </w:t>
      </w:r>
      <w:r w:rsidR="00922282" w:rsidRPr="00AD3822">
        <w:rPr>
          <w:spacing w:val="-4"/>
          <w:lang w:val="en-GB"/>
        </w:rPr>
        <w:t>market by 2020.</w:t>
      </w:r>
      <w:r w:rsidR="00922282" w:rsidRPr="00AD3822">
        <w:rPr>
          <w:rStyle w:val="FootnoteReference"/>
          <w:spacing w:val="-4"/>
          <w:lang w:val="en-GB"/>
        </w:rPr>
        <w:footnoteReference w:id="11"/>
      </w:r>
      <w:r w:rsidR="00922282" w:rsidRPr="00AD3822">
        <w:rPr>
          <w:spacing w:val="-4"/>
          <w:lang w:val="en-GB"/>
        </w:rPr>
        <w:t xml:space="preserve"> Unlike cloud services, the cybersecurity market was fragmented</w:t>
      </w:r>
      <w:r w:rsidRPr="00AD3822">
        <w:rPr>
          <w:spacing w:val="-4"/>
          <w:lang w:val="en-GB"/>
        </w:rPr>
        <w:t>,</w:t>
      </w:r>
      <w:r w:rsidR="00922282" w:rsidRPr="00AD3822">
        <w:rPr>
          <w:spacing w:val="-4"/>
          <w:lang w:val="en-GB"/>
        </w:rPr>
        <w:t xml:space="preserve"> with no clear leader. For example, </w:t>
      </w:r>
      <w:r w:rsidRPr="00AD3822">
        <w:rPr>
          <w:spacing w:val="-4"/>
          <w:lang w:val="en-GB"/>
        </w:rPr>
        <w:t xml:space="preserve">Cisco Systems, Inc. </w:t>
      </w:r>
      <w:r w:rsidR="00922282" w:rsidRPr="00AD3822">
        <w:rPr>
          <w:spacing w:val="-4"/>
          <w:lang w:val="en-GB"/>
        </w:rPr>
        <w:t xml:space="preserve">brought in over </w:t>
      </w:r>
      <w:r w:rsidRPr="00AD3822">
        <w:rPr>
          <w:spacing w:val="-4"/>
          <w:lang w:val="en-GB"/>
        </w:rPr>
        <w:t>US$</w:t>
      </w:r>
      <w:r w:rsidR="00922282" w:rsidRPr="00AD3822">
        <w:rPr>
          <w:spacing w:val="-4"/>
          <w:lang w:val="en-GB"/>
        </w:rPr>
        <w:t>4 billion in revenue at only a small 5.3 per</w:t>
      </w:r>
      <w:r w:rsidRPr="00AD3822">
        <w:rPr>
          <w:spacing w:val="-4"/>
          <w:lang w:val="en-GB"/>
        </w:rPr>
        <w:t xml:space="preserve"> </w:t>
      </w:r>
      <w:r w:rsidR="00922282" w:rsidRPr="00AD3822">
        <w:rPr>
          <w:spacing w:val="-4"/>
          <w:lang w:val="en-GB"/>
        </w:rPr>
        <w:t>cent market share in 2016.</w:t>
      </w:r>
      <w:r w:rsidR="00922282" w:rsidRPr="00AD3822">
        <w:rPr>
          <w:rStyle w:val="FootnoteReference"/>
          <w:spacing w:val="-4"/>
          <w:lang w:val="en-GB"/>
        </w:rPr>
        <w:footnoteReference w:id="12"/>
      </w:r>
      <w:r w:rsidR="00922282" w:rsidRPr="00AD3822">
        <w:rPr>
          <w:spacing w:val="-4"/>
          <w:lang w:val="en-GB"/>
        </w:rPr>
        <w:t xml:space="preserve"> Other players, such as IBM, were still trying to position </w:t>
      </w:r>
      <w:r w:rsidRPr="00AD3822">
        <w:rPr>
          <w:spacing w:val="-4"/>
          <w:lang w:val="en-GB"/>
        </w:rPr>
        <w:t xml:space="preserve">themselves </w:t>
      </w:r>
      <w:r w:rsidR="00922282" w:rsidRPr="00AD3822">
        <w:rPr>
          <w:spacing w:val="-4"/>
          <w:lang w:val="en-GB"/>
        </w:rPr>
        <w:t>for growth</w:t>
      </w:r>
      <w:r w:rsidR="00343E7F">
        <w:rPr>
          <w:spacing w:val="-4"/>
          <w:lang w:val="en-GB"/>
        </w:rPr>
        <w:t>,</w:t>
      </w:r>
      <w:r w:rsidR="00922282" w:rsidRPr="00AD3822">
        <w:rPr>
          <w:spacing w:val="-4"/>
          <w:lang w:val="en-GB"/>
        </w:rPr>
        <w:t xml:space="preserve"> as connectivity and data exponentially increased. To capitalize on the burgeoning market, Fujitsu launched </w:t>
      </w:r>
      <w:r w:rsidRPr="00AD3822">
        <w:rPr>
          <w:spacing w:val="-4"/>
          <w:lang w:val="en-GB"/>
        </w:rPr>
        <w:t xml:space="preserve">its </w:t>
      </w:r>
      <w:r w:rsidR="00922282" w:rsidRPr="00AD3822">
        <w:rPr>
          <w:spacing w:val="-4"/>
          <w:lang w:val="en-GB"/>
        </w:rPr>
        <w:t xml:space="preserve">Security Solution Global Managed Security Service </w:t>
      </w:r>
      <w:r w:rsidRPr="00AD3822">
        <w:rPr>
          <w:spacing w:val="-4"/>
          <w:lang w:val="en-GB"/>
        </w:rPr>
        <w:t xml:space="preserve">in 2015 </w:t>
      </w:r>
      <w:r w:rsidR="00922282" w:rsidRPr="00AD3822">
        <w:rPr>
          <w:spacing w:val="-4"/>
          <w:lang w:val="en-GB"/>
        </w:rPr>
        <w:t xml:space="preserve">to enable its enterprise customers to implement </w:t>
      </w:r>
      <w:r w:rsidR="00AA4711" w:rsidRPr="00AD3822">
        <w:rPr>
          <w:spacing w:val="-4"/>
          <w:lang w:val="en-GB"/>
        </w:rPr>
        <w:t>damage assessments</w:t>
      </w:r>
      <w:r w:rsidR="00AA4711" w:rsidRPr="00AD3822" w:rsidDel="00C17605">
        <w:rPr>
          <w:spacing w:val="-4"/>
          <w:lang w:val="en-GB"/>
        </w:rPr>
        <w:t xml:space="preserve"> </w:t>
      </w:r>
      <w:r w:rsidR="00AA4711" w:rsidRPr="00AD3822">
        <w:rPr>
          <w:spacing w:val="-4"/>
          <w:lang w:val="en-GB"/>
        </w:rPr>
        <w:t>and</w:t>
      </w:r>
      <w:r w:rsidR="00AA4711" w:rsidRPr="00AD3822" w:rsidDel="00C17605">
        <w:rPr>
          <w:spacing w:val="-4"/>
          <w:lang w:val="en-GB"/>
        </w:rPr>
        <w:t xml:space="preserve"> </w:t>
      </w:r>
      <w:r w:rsidRPr="00AD3822">
        <w:rPr>
          <w:spacing w:val="-4"/>
          <w:lang w:val="en-GB"/>
        </w:rPr>
        <w:t>counter-</w:t>
      </w:r>
      <w:r w:rsidR="00922282" w:rsidRPr="00AD3822">
        <w:rPr>
          <w:spacing w:val="-4"/>
          <w:lang w:val="en-GB"/>
        </w:rPr>
        <w:t xml:space="preserve">measures </w:t>
      </w:r>
      <w:r w:rsidRPr="00AD3822">
        <w:rPr>
          <w:spacing w:val="-4"/>
          <w:lang w:val="en-GB"/>
        </w:rPr>
        <w:t xml:space="preserve">to </w:t>
      </w:r>
      <w:r w:rsidR="00922282" w:rsidRPr="00AD3822">
        <w:rPr>
          <w:spacing w:val="-4"/>
          <w:lang w:val="en-GB"/>
        </w:rPr>
        <w:t xml:space="preserve">cyberattacks, including malware infections. The company also set up </w:t>
      </w:r>
      <w:r w:rsidR="006F64B8" w:rsidRPr="00AD3822">
        <w:rPr>
          <w:spacing w:val="-4"/>
          <w:lang w:val="en-GB"/>
        </w:rPr>
        <w:t>an a</w:t>
      </w:r>
      <w:r w:rsidR="00922282" w:rsidRPr="00AD3822">
        <w:rPr>
          <w:spacing w:val="-4"/>
          <w:lang w:val="en-GB"/>
        </w:rPr>
        <w:t xml:space="preserve">dvanced </w:t>
      </w:r>
      <w:proofErr w:type="spellStart"/>
      <w:r w:rsidR="006F64B8" w:rsidRPr="00AD3822">
        <w:rPr>
          <w:spacing w:val="-4"/>
          <w:lang w:val="en-GB"/>
        </w:rPr>
        <w:t>artifact</w:t>
      </w:r>
      <w:proofErr w:type="spellEnd"/>
      <w:r w:rsidR="006F64B8" w:rsidRPr="00AD3822">
        <w:rPr>
          <w:spacing w:val="-4"/>
          <w:lang w:val="en-GB"/>
        </w:rPr>
        <w:t xml:space="preserve"> analysis laboratory </w:t>
      </w:r>
      <w:r w:rsidR="00922282" w:rsidRPr="00AD3822">
        <w:rPr>
          <w:spacing w:val="-4"/>
          <w:lang w:val="en-GB"/>
        </w:rPr>
        <w:t xml:space="preserve">in Tokyo and Yokohama to </w:t>
      </w:r>
      <w:proofErr w:type="spellStart"/>
      <w:r w:rsidR="00922282" w:rsidRPr="00AD3822">
        <w:rPr>
          <w:spacing w:val="-4"/>
          <w:lang w:val="en-GB"/>
        </w:rPr>
        <w:t>analyze</w:t>
      </w:r>
      <w:proofErr w:type="spellEnd"/>
      <w:r w:rsidR="00922282" w:rsidRPr="00AD3822">
        <w:rPr>
          <w:spacing w:val="-4"/>
          <w:lang w:val="en-GB"/>
        </w:rPr>
        <w:t xml:space="preserve"> up-to-date security information collected from sources worldwide.</w:t>
      </w:r>
    </w:p>
    <w:p w14:paraId="794B1029" w14:textId="77777777" w:rsidR="00343E7F" w:rsidRPr="00B926DB" w:rsidRDefault="00343E7F" w:rsidP="00DF722C">
      <w:pPr>
        <w:pStyle w:val="BodyTextMain"/>
        <w:rPr>
          <w:spacing w:val="-4"/>
          <w:sz w:val="20"/>
          <w:lang w:val="en-GB"/>
        </w:rPr>
      </w:pPr>
    </w:p>
    <w:p w14:paraId="3DB62097" w14:textId="3CF906FD" w:rsidR="00922282" w:rsidRPr="00AD3822" w:rsidRDefault="00922282" w:rsidP="00DF722C">
      <w:pPr>
        <w:pStyle w:val="BodyTextMain"/>
        <w:rPr>
          <w:lang w:val="en-GB"/>
        </w:rPr>
      </w:pPr>
      <w:r w:rsidRPr="00AD3822">
        <w:rPr>
          <w:lang w:val="en-GB"/>
        </w:rPr>
        <w:lastRenderedPageBreak/>
        <w:t>It was apparent that competition in the ICT industry</w:t>
      </w:r>
      <w:r w:rsidR="006F64B8" w:rsidRPr="00AD3822">
        <w:rPr>
          <w:lang w:val="en-GB"/>
        </w:rPr>
        <w:t xml:space="preserve"> was stiff (see Exhibit 3)</w:t>
      </w:r>
      <w:r w:rsidRPr="00AD3822">
        <w:rPr>
          <w:lang w:val="en-GB"/>
        </w:rPr>
        <w:t>, and agility in responding to technological, social</w:t>
      </w:r>
      <w:r w:rsidR="00AA4711" w:rsidRPr="00AD3822">
        <w:rPr>
          <w:lang w:val="en-GB"/>
        </w:rPr>
        <w:t>,</w:t>
      </w:r>
      <w:r w:rsidRPr="00AD3822">
        <w:rPr>
          <w:lang w:val="en-GB"/>
        </w:rPr>
        <w:t xml:space="preserve"> and economic changes was critical to a firm’s survival. In the ICT industry, players tried to differentiate themselves while building on their core competenc</w:t>
      </w:r>
      <w:r w:rsidR="006F64B8" w:rsidRPr="00AD3822">
        <w:rPr>
          <w:lang w:val="en-GB"/>
        </w:rPr>
        <w:t>i</w:t>
      </w:r>
      <w:r w:rsidRPr="00AD3822">
        <w:rPr>
          <w:lang w:val="en-GB"/>
        </w:rPr>
        <w:t>e</w:t>
      </w:r>
      <w:r w:rsidR="006F64B8" w:rsidRPr="00AD3822">
        <w:rPr>
          <w:lang w:val="en-GB"/>
        </w:rPr>
        <w:t>s</w:t>
      </w:r>
      <w:r w:rsidRPr="00AD3822">
        <w:rPr>
          <w:lang w:val="en-GB"/>
        </w:rPr>
        <w:t xml:space="preserve"> and existing customer</w:t>
      </w:r>
      <w:r w:rsidR="006F64B8" w:rsidRPr="00AD3822">
        <w:rPr>
          <w:lang w:val="en-GB"/>
        </w:rPr>
        <w:t xml:space="preserve"> base</w:t>
      </w:r>
      <w:r w:rsidRPr="00AD3822">
        <w:rPr>
          <w:lang w:val="en-GB"/>
        </w:rPr>
        <w:t xml:space="preserve">s. Fujitsu attempted to do </w:t>
      </w:r>
      <w:r w:rsidR="006F64B8" w:rsidRPr="00AD3822">
        <w:rPr>
          <w:lang w:val="en-GB"/>
        </w:rPr>
        <w:t xml:space="preserve">this </w:t>
      </w:r>
      <w:r w:rsidRPr="00AD3822">
        <w:rPr>
          <w:lang w:val="en-GB"/>
        </w:rPr>
        <w:t>by providing a unique and compelling value proposition with the comprehensiveness of its service offerings. Besides leveraging its internal expertise to develop new product and service offerings, Fujitsu actively sought new ideas and knowledge from outside its organization</w:t>
      </w:r>
      <w:r w:rsidR="006F64B8" w:rsidRPr="00AD3822">
        <w:rPr>
          <w:lang w:val="en-GB"/>
        </w:rPr>
        <w:t>al</w:t>
      </w:r>
      <w:r w:rsidRPr="00AD3822">
        <w:rPr>
          <w:lang w:val="en-GB"/>
        </w:rPr>
        <w:t xml:space="preserve"> boundaries—</w:t>
      </w:r>
      <w:r w:rsidR="006F64B8" w:rsidRPr="00AD3822">
        <w:rPr>
          <w:lang w:val="en-GB"/>
        </w:rPr>
        <w:t xml:space="preserve">from </w:t>
      </w:r>
      <w:r w:rsidRPr="00AD3822">
        <w:rPr>
          <w:lang w:val="en-GB"/>
        </w:rPr>
        <w:t>public research institutes, universities, users</w:t>
      </w:r>
      <w:r w:rsidR="006F64B8" w:rsidRPr="00AD3822">
        <w:rPr>
          <w:lang w:val="en-GB"/>
        </w:rPr>
        <w:t>,</w:t>
      </w:r>
      <w:r w:rsidRPr="00AD3822">
        <w:rPr>
          <w:lang w:val="en-GB"/>
        </w:rPr>
        <w:t xml:space="preserve"> and the larger community.</w:t>
      </w:r>
    </w:p>
    <w:p w14:paraId="0F0D0378" w14:textId="77777777" w:rsidR="00922282" w:rsidRPr="00AD3822" w:rsidRDefault="00922282" w:rsidP="00E43C40">
      <w:pPr>
        <w:pStyle w:val="BodyTextMain"/>
        <w:rPr>
          <w:sz w:val="20"/>
          <w:lang w:val="en-GB"/>
        </w:rPr>
      </w:pPr>
    </w:p>
    <w:p w14:paraId="014AD86E" w14:textId="77777777" w:rsidR="00922282" w:rsidRPr="00AD3822" w:rsidRDefault="00922282" w:rsidP="00E43C40">
      <w:pPr>
        <w:pStyle w:val="BodyTextMain"/>
        <w:rPr>
          <w:sz w:val="20"/>
          <w:lang w:val="en-GB"/>
        </w:rPr>
      </w:pPr>
    </w:p>
    <w:p w14:paraId="2F5DB287" w14:textId="77777777" w:rsidR="00922282" w:rsidRPr="00AD3822" w:rsidRDefault="00922282" w:rsidP="00DF722C">
      <w:pPr>
        <w:pStyle w:val="Casehead1"/>
        <w:rPr>
          <w:lang w:val="en-GB"/>
        </w:rPr>
      </w:pPr>
      <w:r w:rsidRPr="00AD3822">
        <w:rPr>
          <w:lang w:val="en-GB"/>
        </w:rPr>
        <w:t>OPEN INNOVATION</w:t>
      </w:r>
    </w:p>
    <w:p w14:paraId="3896B239" w14:textId="77777777" w:rsidR="00922282" w:rsidRPr="00AD3822" w:rsidRDefault="00922282" w:rsidP="00E43C40">
      <w:pPr>
        <w:pStyle w:val="BodyTextMain"/>
        <w:rPr>
          <w:sz w:val="20"/>
          <w:lang w:val="en-GB"/>
        </w:rPr>
      </w:pPr>
    </w:p>
    <w:p w14:paraId="083FF722" w14:textId="77777777" w:rsidR="00922282" w:rsidRPr="00AD3822" w:rsidRDefault="00922282" w:rsidP="00DF722C">
      <w:pPr>
        <w:pStyle w:val="Casehead2"/>
        <w:rPr>
          <w:lang w:val="en-GB"/>
        </w:rPr>
      </w:pPr>
      <w:r w:rsidRPr="00AD3822">
        <w:rPr>
          <w:lang w:val="en-GB"/>
        </w:rPr>
        <w:t>Biomedical Research</w:t>
      </w:r>
    </w:p>
    <w:p w14:paraId="18F89AFC" w14:textId="77777777" w:rsidR="00922282" w:rsidRPr="00AD3822" w:rsidRDefault="00922282" w:rsidP="00DF722C">
      <w:pPr>
        <w:jc w:val="both"/>
        <w:rPr>
          <w:szCs w:val="22"/>
          <w:lang w:val="en-GB"/>
        </w:rPr>
      </w:pPr>
    </w:p>
    <w:p w14:paraId="145E81E7" w14:textId="33361AA5" w:rsidR="00922282" w:rsidRPr="00B926DB" w:rsidRDefault="00922282" w:rsidP="00DF722C">
      <w:pPr>
        <w:pStyle w:val="BodyTextMain"/>
        <w:rPr>
          <w:spacing w:val="-2"/>
          <w:lang w:val="en-GB"/>
        </w:rPr>
      </w:pPr>
      <w:r w:rsidRPr="00B926DB">
        <w:rPr>
          <w:spacing w:val="-2"/>
          <w:lang w:val="en-GB"/>
        </w:rPr>
        <w:t>In 2010, Fujitsu Asia</w:t>
      </w:r>
      <w:r w:rsidR="0011578B" w:rsidRPr="00B926DB">
        <w:rPr>
          <w:spacing w:val="-2"/>
          <w:lang w:val="en-GB"/>
        </w:rPr>
        <w:t xml:space="preserve"> Pte. Ltd.</w:t>
      </w:r>
      <w:r w:rsidRPr="00B926DB">
        <w:rPr>
          <w:spacing w:val="-2"/>
          <w:lang w:val="en-GB"/>
        </w:rPr>
        <w:t xml:space="preserve"> partnered </w:t>
      </w:r>
      <w:r w:rsidR="0063065C" w:rsidRPr="00B926DB">
        <w:rPr>
          <w:spacing w:val="-2"/>
          <w:lang w:val="en-GB"/>
        </w:rPr>
        <w:t xml:space="preserve">with </w:t>
      </w:r>
      <w:r w:rsidRPr="00B926DB">
        <w:rPr>
          <w:spacing w:val="-2"/>
          <w:lang w:val="en-GB"/>
        </w:rPr>
        <w:t xml:space="preserve">Singapore’s national research agency, Agency for Science, Technology and Research (A*STAR) to establish its first biomedical research facility in Southeast Asia. At the research facility in Singapore, Fujitsu Laboratories </w:t>
      </w:r>
      <w:r w:rsidR="003D5F45" w:rsidRPr="00B926DB">
        <w:rPr>
          <w:spacing w:val="-2"/>
          <w:lang w:val="en-GB"/>
        </w:rPr>
        <w:t xml:space="preserve">Ltd. </w:t>
      </w:r>
      <w:r w:rsidR="009B045F" w:rsidRPr="00B926DB">
        <w:rPr>
          <w:spacing w:val="-2"/>
          <w:lang w:val="en-GB"/>
        </w:rPr>
        <w:t xml:space="preserve">(Fujitsu Laboratories) </w:t>
      </w:r>
      <w:r w:rsidRPr="00B926DB">
        <w:rPr>
          <w:spacing w:val="-2"/>
          <w:lang w:val="en-GB"/>
        </w:rPr>
        <w:t>worked with A*STAR to develop aptamer technology</w:t>
      </w:r>
      <w:r w:rsidRPr="00B926DB">
        <w:rPr>
          <w:rStyle w:val="FootnoteReference"/>
          <w:spacing w:val="-2"/>
          <w:lang w:val="en-GB"/>
        </w:rPr>
        <w:footnoteReference w:id="13"/>
      </w:r>
      <w:r w:rsidRPr="00B926DB">
        <w:rPr>
          <w:spacing w:val="-2"/>
          <w:lang w:val="en-GB"/>
        </w:rPr>
        <w:t xml:space="preserve"> </w:t>
      </w:r>
      <w:r w:rsidR="003D5F45" w:rsidRPr="00B926DB">
        <w:rPr>
          <w:spacing w:val="-2"/>
          <w:lang w:val="en-GB"/>
        </w:rPr>
        <w:t xml:space="preserve">to diagnose </w:t>
      </w:r>
      <w:r w:rsidRPr="00B926DB">
        <w:rPr>
          <w:spacing w:val="-2"/>
          <w:lang w:val="en-GB"/>
        </w:rPr>
        <w:t xml:space="preserve">diseases </w:t>
      </w:r>
      <w:r w:rsidR="00935094" w:rsidRPr="00B926DB">
        <w:rPr>
          <w:spacing w:val="-2"/>
          <w:lang w:val="en-GB"/>
        </w:rPr>
        <w:t xml:space="preserve">that </w:t>
      </w:r>
      <w:r w:rsidR="006B1886" w:rsidRPr="00B926DB">
        <w:rPr>
          <w:spacing w:val="-2"/>
          <w:lang w:val="en-GB"/>
        </w:rPr>
        <w:t xml:space="preserve">had </w:t>
      </w:r>
      <w:r w:rsidRPr="00B926DB">
        <w:rPr>
          <w:spacing w:val="-2"/>
          <w:lang w:val="en-GB"/>
        </w:rPr>
        <w:t xml:space="preserve">traditionally </w:t>
      </w:r>
      <w:r w:rsidR="006B1886" w:rsidRPr="00B926DB">
        <w:rPr>
          <w:spacing w:val="-2"/>
          <w:lang w:val="en-GB"/>
        </w:rPr>
        <w:t xml:space="preserve">been </w:t>
      </w:r>
      <w:r w:rsidR="003D5F45" w:rsidRPr="00B926DB">
        <w:rPr>
          <w:spacing w:val="-2"/>
          <w:lang w:val="en-GB"/>
        </w:rPr>
        <w:t xml:space="preserve">diagnosed with </w:t>
      </w:r>
      <w:r w:rsidR="00935094" w:rsidRPr="00B926DB">
        <w:rPr>
          <w:spacing w:val="-2"/>
          <w:lang w:val="en-GB"/>
        </w:rPr>
        <w:t xml:space="preserve">the use of </w:t>
      </w:r>
      <w:r w:rsidRPr="00B926DB">
        <w:rPr>
          <w:spacing w:val="-2"/>
          <w:lang w:val="en-GB"/>
        </w:rPr>
        <w:t xml:space="preserve">antibodies. The benefits of </w:t>
      </w:r>
      <w:r w:rsidR="003D5F45" w:rsidRPr="00B926DB">
        <w:rPr>
          <w:spacing w:val="-2"/>
          <w:lang w:val="en-GB"/>
        </w:rPr>
        <w:t xml:space="preserve">using </w:t>
      </w:r>
      <w:r w:rsidRPr="00B926DB">
        <w:rPr>
          <w:spacing w:val="-2"/>
          <w:lang w:val="en-GB"/>
        </w:rPr>
        <w:t xml:space="preserve">aptamers </w:t>
      </w:r>
      <w:r w:rsidR="003D5F45" w:rsidRPr="00B926DB">
        <w:rPr>
          <w:spacing w:val="-2"/>
          <w:lang w:val="en-GB"/>
        </w:rPr>
        <w:t xml:space="preserve">instead of </w:t>
      </w:r>
      <w:r w:rsidRPr="00B926DB">
        <w:rPr>
          <w:spacing w:val="-2"/>
          <w:lang w:val="en-GB"/>
        </w:rPr>
        <w:t>antibodies include</w:t>
      </w:r>
      <w:r w:rsidR="003D5F45" w:rsidRPr="00B926DB">
        <w:rPr>
          <w:spacing w:val="-2"/>
          <w:lang w:val="en-GB"/>
        </w:rPr>
        <w:t>d</w:t>
      </w:r>
      <w:r w:rsidRPr="00B926DB">
        <w:rPr>
          <w:spacing w:val="-2"/>
          <w:lang w:val="en-GB"/>
        </w:rPr>
        <w:t xml:space="preserve"> greater consistency, stability</w:t>
      </w:r>
      <w:r w:rsidR="003D5F45" w:rsidRPr="00B926DB">
        <w:rPr>
          <w:spacing w:val="-2"/>
          <w:lang w:val="en-GB"/>
        </w:rPr>
        <w:t>,</w:t>
      </w:r>
      <w:r w:rsidRPr="00B926DB">
        <w:rPr>
          <w:spacing w:val="-2"/>
          <w:lang w:val="en-GB"/>
        </w:rPr>
        <w:t xml:space="preserve"> and overall quality, </w:t>
      </w:r>
      <w:r w:rsidR="006B1886" w:rsidRPr="00B926DB">
        <w:rPr>
          <w:spacing w:val="-2"/>
          <w:lang w:val="en-GB"/>
        </w:rPr>
        <w:t xml:space="preserve">leading to </w:t>
      </w:r>
      <w:r w:rsidRPr="00B926DB">
        <w:rPr>
          <w:spacing w:val="-2"/>
          <w:lang w:val="en-GB"/>
        </w:rPr>
        <w:t>a more efficient and cost-effective diagnostic process. Individuals would enjoy earlier treatment and higher cure rate</w:t>
      </w:r>
      <w:r w:rsidR="009B045F" w:rsidRPr="00B926DB">
        <w:rPr>
          <w:spacing w:val="-2"/>
          <w:lang w:val="en-GB"/>
        </w:rPr>
        <w:t>s</w:t>
      </w:r>
      <w:r w:rsidRPr="00B926DB">
        <w:rPr>
          <w:spacing w:val="-2"/>
          <w:lang w:val="en-GB"/>
        </w:rPr>
        <w:t>, while governments would enjoy lower healthcare costs.</w:t>
      </w:r>
    </w:p>
    <w:p w14:paraId="08AA31EB" w14:textId="77777777" w:rsidR="00922282" w:rsidRPr="00AD3822" w:rsidRDefault="00922282" w:rsidP="00DF722C">
      <w:pPr>
        <w:jc w:val="both"/>
        <w:rPr>
          <w:szCs w:val="22"/>
          <w:lang w:val="en-GB"/>
        </w:rPr>
      </w:pPr>
    </w:p>
    <w:p w14:paraId="0449C44A" w14:textId="3DA8F3DF" w:rsidR="00922282" w:rsidRPr="00AD3822" w:rsidRDefault="009B045F" w:rsidP="00DF722C">
      <w:pPr>
        <w:pStyle w:val="BodyTextMain"/>
        <w:rPr>
          <w:lang w:val="en-GB"/>
        </w:rPr>
      </w:pPr>
      <w:r w:rsidRPr="00AD3822">
        <w:rPr>
          <w:lang w:val="en-GB"/>
        </w:rPr>
        <w:t>Fujitsu was able to l</w:t>
      </w:r>
      <w:r w:rsidR="00922282" w:rsidRPr="00AD3822">
        <w:rPr>
          <w:lang w:val="en-GB"/>
        </w:rPr>
        <w:t>everag</w:t>
      </w:r>
      <w:r w:rsidRPr="00AD3822">
        <w:rPr>
          <w:lang w:val="en-GB"/>
        </w:rPr>
        <w:t xml:space="preserve">e </w:t>
      </w:r>
      <w:r w:rsidR="00922282" w:rsidRPr="00AD3822">
        <w:rPr>
          <w:lang w:val="en-GB"/>
        </w:rPr>
        <w:t xml:space="preserve">its proprietary methodology for aptamer development </w:t>
      </w:r>
      <w:r w:rsidRPr="00AD3822">
        <w:rPr>
          <w:lang w:val="en-GB"/>
        </w:rPr>
        <w:t>based on</w:t>
      </w:r>
      <w:r w:rsidR="00922282" w:rsidRPr="00AD3822">
        <w:rPr>
          <w:lang w:val="en-GB"/>
        </w:rPr>
        <w:t xml:space="preserve"> almost </w:t>
      </w:r>
      <w:r w:rsidR="00935094">
        <w:rPr>
          <w:lang w:val="en-GB"/>
        </w:rPr>
        <w:t>10</w:t>
      </w:r>
      <w:r w:rsidR="00935094" w:rsidRPr="00AD3822">
        <w:rPr>
          <w:lang w:val="en-GB"/>
        </w:rPr>
        <w:t xml:space="preserve"> </w:t>
      </w:r>
      <w:r w:rsidR="00922282" w:rsidRPr="00AD3822">
        <w:rPr>
          <w:lang w:val="en-GB"/>
        </w:rPr>
        <w:t xml:space="preserve">years of </w:t>
      </w:r>
      <w:r w:rsidRPr="00AD3822">
        <w:rPr>
          <w:lang w:val="en-GB"/>
        </w:rPr>
        <w:t>research and development (R&amp;D)</w:t>
      </w:r>
      <w:r w:rsidR="00922282" w:rsidRPr="00AD3822">
        <w:rPr>
          <w:lang w:val="en-GB"/>
        </w:rPr>
        <w:t xml:space="preserve"> in nano-biotechnology</w:t>
      </w:r>
      <w:r w:rsidR="00AA4711" w:rsidRPr="00AD3822">
        <w:rPr>
          <w:lang w:val="en-GB"/>
        </w:rPr>
        <w:t xml:space="preserve"> (</w:t>
      </w:r>
      <w:r w:rsidR="00922282" w:rsidRPr="00AD3822">
        <w:rPr>
          <w:lang w:val="en-GB"/>
        </w:rPr>
        <w:t>since 2010</w:t>
      </w:r>
      <w:r w:rsidR="00AA4711" w:rsidRPr="00AD3822">
        <w:rPr>
          <w:lang w:val="en-GB"/>
        </w:rPr>
        <w:t>)</w:t>
      </w:r>
      <w:r w:rsidRPr="00AD3822">
        <w:rPr>
          <w:lang w:val="en-GB"/>
        </w:rPr>
        <w:t xml:space="preserve">. </w:t>
      </w:r>
      <w:r w:rsidR="00922282" w:rsidRPr="00AD3822">
        <w:rPr>
          <w:lang w:val="en-GB"/>
        </w:rPr>
        <w:t xml:space="preserve">Fujitsu also collaborated with A*STAR’s drug discovery </w:t>
      </w:r>
      <w:r w:rsidRPr="00AD3822">
        <w:rPr>
          <w:lang w:val="en-GB"/>
        </w:rPr>
        <w:t xml:space="preserve">centre, </w:t>
      </w:r>
      <w:r w:rsidR="00922282" w:rsidRPr="00AD3822">
        <w:rPr>
          <w:lang w:val="en-GB"/>
        </w:rPr>
        <w:t xml:space="preserve">Experimental Therapeutics Centre, </w:t>
      </w:r>
      <w:r w:rsidRPr="00AD3822">
        <w:rPr>
          <w:lang w:val="en-GB"/>
        </w:rPr>
        <w:t xml:space="preserve">the </w:t>
      </w:r>
      <w:r w:rsidR="00922282" w:rsidRPr="00AD3822">
        <w:rPr>
          <w:lang w:val="en-GB"/>
        </w:rPr>
        <w:t xml:space="preserve">National University Hospital, </w:t>
      </w:r>
      <w:r w:rsidRPr="00AD3822">
        <w:rPr>
          <w:lang w:val="en-GB"/>
        </w:rPr>
        <w:t xml:space="preserve">the </w:t>
      </w:r>
      <w:r w:rsidR="00922282" w:rsidRPr="00AD3822">
        <w:rPr>
          <w:lang w:val="en-GB"/>
        </w:rPr>
        <w:t xml:space="preserve">Cancer Science Institute, and </w:t>
      </w:r>
      <w:r w:rsidRPr="00AD3822">
        <w:rPr>
          <w:lang w:val="en-GB"/>
        </w:rPr>
        <w:t xml:space="preserve">the </w:t>
      </w:r>
      <w:r w:rsidR="00922282" w:rsidRPr="00AD3822">
        <w:rPr>
          <w:lang w:val="en-GB"/>
        </w:rPr>
        <w:t xml:space="preserve">National University of Singapore to explore better methods </w:t>
      </w:r>
      <w:r w:rsidRPr="00AD3822">
        <w:rPr>
          <w:lang w:val="en-GB"/>
        </w:rPr>
        <w:t xml:space="preserve">of </w:t>
      </w:r>
      <w:r w:rsidR="00922282" w:rsidRPr="00AD3822">
        <w:rPr>
          <w:lang w:val="en-GB"/>
        </w:rPr>
        <w:t>diagnosing diseases such as cardiovascular diseases, prostate and gastric cancer</w:t>
      </w:r>
      <w:r w:rsidRPr="00AD3822">
        <w:rPr>
          <w:lang w:val="en-GB"/>
        </w:rPr>
        <w:t>s,</w:t>
      </w:r>
      <w:r w:rsidR="00922282" w:rsidRPr="00AD3822">
        <w:rPr>
          <w:lang w:val="en-GB"/>
        </w:rPr>
        <w:t xml:space="preserve"> and dengue</w:t>
      </w:r>
      <w:r w:rsidRPr="00AD3822">
        <w:rPr>
          <w:lang w:val="en-GB"/>
        </w:rPr>
        <w:t>. Kazuo Murano, the chairperson of Fujitsu Laboratories, explained:</w:t>
      </w:r>
    </w:p>
    <w:p w14:paraId="1CFBFC0A" w14:textId="77777777" w:rsidR="00922282" w:rsidRPr="00AD3822" w:rsidRDefault="00922282" w:rsidP="00DF722C">
      <w:pPr>
        <w:jc w:val="both"/>
        <w:rPr>
          <w:szCs w:val="22"/>
          <w:lang w:val="en-GB"/>
        </w:rPr>
      </w:pPr>
    </w:p>
    <w:p w14:paraId="0A00C51B" w14:textId="458FB7BD" w:rsidR="00922282" w:rsidRPr="00AD3822" w:rsidRDefault="00922282" w:rsidP="00DF722C">
      <w:pPr>
        <w:pStyle w:val="BodyTextMain"/>
        <w:ind w:left="720"/>
        <w:rPr>
          <w:lang w:val="en-GB"/>
        </w:rPr>
      </w:pPr>
      <w:r w:rsidRPr="00AD3822">
        <w:rPr>
          <w:lang w:val="en-GB"/>
        </w:rPr>
        <w:t>One of the missions of Fujitsu Laboratories is to conduct strategic research that addresses important biomedical problems, through our novel technology methodology that presents major commercial potential</w:t>
      </w:r>
      <w:r w:rsidR="00935094">
        <w:rPr>
          <w:lang w:val="en-GB"/>
        </w:rPr>
        <w:t>.</w:t>
      </w:r>
      <w:r w:rsidRPr="00AD3822">
        <w:rPr>
          <w:lang w:val="en-GB"/>
        </w:rPr>
        <w:t xml:space="preserve"> </w:t>
      </w:r>
      <w:r w:rsidR="009B045F" w:rsidRPr="00AD3822">
        <w:rPr>
          <w:lang w:val="en-GB"/>
        </w:rPr>
        <w:t>.</w:t>
      </w:r>
      <w:r w:rsidR="008F5F7B" w:rsidRPr="00AD3822">
        <w:rPr>
          <w:lang w:val="en-GB"/>
        </w:rPr>
        <w:t xml:space="preserve"> </w:t>
      </w:r>
      <w:r w:rsidR="009B045F" w:rsidRPr="00AD3822">
        <w:rPr>
          <w:lang w:val="en-GB"/>
        </w:rPr>
        <w:t>.</w:t>
      </w:r>
      <w:r w:rsidR="008F5F7B" w:rsidRPr="00AD3822">
        <w:rPr>
          <w:lang w:val="en-GB"/>
        </w:rPr>
        <w:t xml:space="preserve"> </w:t>
      </w:r>
      <w:r w:rsidR="009B045F" w:rsidRPr="00AD3822">
        <w:rPr>
          <w:lang w:val="en-GB"/>
        </w:rPr>
        <w:t xml:space="preserve">. </w:t>
      </w:r>
      <w:r w:rsidRPr="00AD3822">
        <w:rPr>
          <w:lang w:val="en-GB"/>
        </w:rPr>
        <w:t xml:space="preserve">The launch of Fujitsu Laboratories Singapore and our collaboration with A*STAR </w:t>
      </w:r>
      <w:r w:rsidR="009B045F" w:rsidRPr="00AD3822">
        <w:rPr>
          <w:lang w:val="en-GB"/>
        </w:rPr>
        <w:t xml:space="preserve">symbolises </w:t>
      </w:r>
      <w:r w:rsidRPr="00AD3822">
        <w:rPr>
          <w:lang w:val="en-GB"/>
        </w:rPr>
        <w:t>our commitment to contribute to the Asia region by improving human life through innovative technologies.</w:t>
      </w:r>
      <w:r w:rsidRPr="00AD3822">
        <w:rPr>
          <w:rStyle w:val="FootnoteReference"/>
          <w:lang w:val="en-GB"/>
        </w:rPr>
        <w:footnoteReference w:id="14"/>
      </w:r>
    </w:p>
    <w:p w14:paraId="5A965C7F" w14:textId="77777777" w:rsidR="00922282" w:rsidRPr="00AD3822" w:rsidRDefault="00922282" w:rsidP="00DF722C">
      <w:pPr>
        <w:jc w:val="both"/>
        <w:rPr>
          <w:szCs w:val="22"/>
          <w:lang w:val="en-GB"/>
        </w:rPr>
      </w:pPr>
    </w:p>
    <w:p w14:paraId="55675D1C" w14:textId="69946AAA" w:rsidR="00922282" w:rsidRPr="00AD3822" w:rsidRDefault="00922282" w:rsidP="004E45EB">
      <w:pPr>
        <w:pStyle w:val="BodyTextMain"/>
        <w:rPr>
          <w:lang w:val="en-GB"/>
        </w:rPr>
      </w:pPr>
      <w:r w:rsidRPr="00AD3822">
        <w:rPr>
          <w:lang w:val="en-GB"/>
        </w:rPr>
        <w:t xml:space="preserve">By early 2013, Fujitsu had made significant progress in validating the effectiveness of its aptamer technology. With the support of its Singapore research partners, Fujitsu Laboratories developed a biomarker for prostate cancer and an aptamer for the West Nile virus. The company debated for some time </w:t>
      </w:r>
      <w:r w:rsidR="009B045F" w:rsidRPr="00AD3822">
        <w:rPr>
          <w:lang w:val="en-GB"/>
        </w:rPr>
        <w:t xml:space="preserve">whether </w:t>
      </w:r>
      <w:r w:rsidRPr="00AD3822">
        <w:rPr>
          <w:lang w:val="en-GB"/>
        </w:rPr>
        <w:t>it should continue to develop the biomarker in-house or spin off the technology.</w:t>
      </w:r>
    </w:p>
    <w:p w14:paraId="796BE75D" w14:textId="77777777" w:rsidR="00922282" w:rsidRPr="00AD3822" w:rsidRDefault="00922282" w:rsidP="00DF722C">
      <w:pPr>
        <w:jc w:val="both"/>
        <w:rPr>
          <w:szCs w:val="22"/>
          <w:lang w:val="en-GB"/>
        </w:rPr>
      </w:pPr>
    </w:p>
    <w:p w14:paraId="3B97E614" w14:textId="77777777" w:rsidR="00922282" w:rsidRPr="00AD3822" w:rsidRDefault="00922282" w:rsidP="00DF722C">
      <w:pPr>
        <w:jc w:val="both"/>
        <w:rPr>
          <w:szCs w:val="22"/>
          <w:lang w:val="en-GB"/>
        </w:rPr>
      </w:pPr>
    </w:p>
    <w:p w14:paraId="4D625A84" w14:textId="77777777" w:rsidR="00922282" w:rsidRPr="00AD3822" w:rsidRDefault="00922282" w:rsidP="00B926DB">
      <w:pPr>
        <w:pStyle w:val="Casehead1"/>
        <w:keepNext/>
        <w:rPr>
          <w:lang w:val="en-GB"/>
        </w:rPr>
      </w:pPr>
      <w:r w:rsidRPr="00AD3822">
        <w:rPr>
          <w:lang w:val="en-GB"/>
        </w:rPr>
        <w:t>Spinning off Apta Biosciences</w:t>
      </w:r>
    </w:p>
    <w:p w14:paraId="5E08893C" w14:textId="77777777" w:rsidR="00467B92" w:rsidRPr="00AD3822" w:rsidRDefault="00467B92" w:rsidP="00B926DB">
      <w:pPr>
        <w:pStyle w:val="BodyTextMain"/>
        <w:keepNext/>
        <w:rPr>
          <w:sz w:val="20"/>
          <w:lang w:val="en-GB"/>
        </w:rPr>
      </w:pPr>
    </w:p>
    <w:p w14:paraId="51550CC2" w14:textId="1FD34C00" w:rsidR="00C71AB2" w:rsidRPr="00B926DB" w:rsidRDefault="00922282" w:rsidP="00B926DB">
      <w:pPr>
        <w:pStyle w:val="BodyTextMain"/>
        <w:keepNext/>
        <w:rPr>
          <w:spacing w:val="-4"/>
          <w:lang w:val="en-GB"/>
        </w:rPr>
      </w:pPr>
      <w:r w:rsidRPr="00B926DB">
        <w:rPr>
          <w:spacing w:val="-4"/>
          <w:lang w:val="en-GB"/>
        </w:rPr>
        <w:t xml:space="preserve">In August 2013, Fujitsu partnered with Anglo Scientific Limited, a specialist in creating new </w:t>
      </w:r>
      <w:r w:rsidR="009B045F" w:rsidRPr="00B926DB">
        <w:rPr>
          <w:spacing w:val="-4"/>
          <w:lang w:val="en-GB"/>
        </w:rPr>
        <w:t xml:space="preserve">public–private collaborative </w:t>
      </w:r>
      <w:r w:rsidRPr="00B926DB">
        <w:rPr>
          <w:spacing w:val="-4"/>
          <w:lang w:val="en-GB"/>
        </w:rPr>
        <w:t>ventures in scien</w:t>
      </w:r>
      <w:r w:rsidR="009B045F" w:rsidRPr="00B926DB">
        <w:rPr>
          <w:spacing w:val="-4"/>
          <w:lang w:val="en-GB"/>
        </w:rPr>
        <w:t>ce, based in the United Kingdom,</w:t>
      </w:r>
      <w:r w:rsidRPr="00B926DB">
        <w:rPr>
          <w:spacing w:val="-4"/>
          <w:lang w:val="en-GB"/>
        </w:rPr>
        <w:t xml:space="preserve"> to set up a new company</w:t>
      </w:r>
      <w:r w:rsidR="009B045F" w:rsidRPr="00B926DB">
        <w:rPr>
          <w:spacing w:val="-4"/>
          <w:lang w:val="en-GB"/>
        </w:rPr>
        <w:t xml:space="preserve"> called </w:t>
      </w:r>
      <w:r w:rsidRPr="00B926DB">
        <w:rPr>
          <w:spacing w:val="-4"/>
          <w:lang w:val="en-GB"/>
        </w:rPr>
        <w:t>Apta Biosciences Limited (ABS). Through its corporate venture capital fund</w:t>
      </w:r>
      <w:r w:rsidR="009B045F" w:rsidRPr="00B926DB">
        <w:rPr>
          <w:spacing w:val="-4"/>
          <w:lang w:val="en-GB"/>
        </w:rPr>
        <w:t>,</w:t>
      </w:r>
      <w:r w:rsidRPr="00B926DB">
        <w:rPr>
          <w:spacing w:val="-4"/>
          <w:lang w:val="en-GB"/>
        </w:rPr>
        <w:t xml:space="preserve"> set up in 2010, Fujitsu invested in ABS, </w:t>
      </w:r>
      <w:r w:rsidRPr="00B926DB">
        <w:rPr>
          <w:spacing w:val="-4"/>
          <w:lang w:val="en-GB"/>
        </w:rPr>
        <w:lastRenderedPageBreak/>
        <w:t>which then established a wholly</w:t>
      </w:r>
      <w:r w:rsidR="009B045F" w:rsidRPr="00B926DB">
        <w:rPr>
          <w:spacing w:val="-4"/>
          <w:lang w:val="en-GB"/>
        </w:rPr>
        <w:t xml:space="preserve"> </w:t>
      </w:r>
      <w:r w:rsidRPr="00B926DB">
        <w:rPr>
          <w:spacing w:val="-4"/>
          <w:lang w:val="en-GB"/>
        </w:rPr>
        <w:t>owned subsidiary, Aptamer Solutions Limited, in Singapore to develop and manufacture aptamers</w:t>
      </w:r>
      <w:r w:rsidR="00C71AB2" w:rsidRPr="00B926DB">
        <w:rPr>
          <w:spacing w:val="-4"/>
          <w:lang w:val="en-GB"/>
        </w:rPr>
        <w:t>.</w:t>
      </w:r>
      <w:r w:rsidRPr="00B926DB">
        <w:rPr>
          <w:spacing w:val="-4"/>
          <w:lang w:val="en-GB"/>
        </w:rPr>
        <w:t xml:space="preserve"> </w:t>
      </w:r>
      <w:r w:rsidR="00C71AB2" w:rsidRPr="00B926DB">
        <w:rPr>
          <w:spacing w:val="-4"/>
          <w:lang w:val="en-GB"/>
        </w:rPr>
        <w:t>Aptamer Solutions Limited’s</w:t>
      </w:r>
      <w:r w:rsidRPr="00B926DB">
        <w:rPr>
          <w:spacing w:val="-4"/>
          <w:lang w:val="en-GB"/>
        </w:rPr>
        <w:t xml:space="preserve"> target customers </w:t>
      </w:r>
      <w:r w:rsidR="00C71AB2" w:rsidRPr="00B926DB">
        <w:rPr>
          <w:spacing w:val="-4"/>
          <w:lang w:val="en-GB"/>
        </w:rPr>
        <w:t xml:space="preserve">were </w:t>
      </w:r>
      <w:r w:rsidRPr="00B926DB">
        <w:rPr>
          <w:spacing w:val="-4"/>
          <w:lang w:val="en-GB"/>
        </w:rPr>
        <w:t>companies and research institutes creat</w:t>
      </w:r>
      <w:r w:rsidR="00C71AB2" w:rsidRPr="00B926DB">
        <w:rPr>
          <w:spacing w:val="-4"/>
          <w:lang w:val="en-GB"/>
        </w:rPr>
        <w:t>ing</w:t>
      </w:r>
      <w:r w:rsidRPr="00B926DB">
        <w:rPr>
          <w:spacing w:val="-4"/>
          <w:lang w:val="en-GB"/>
        </w:rPr>
        <w:t xml:space="preserve"> diagnostic agents and therapeutic medicines. While the roles of </w:t>
      </w:r>
      <w:r w:rsidR="00C71AB2" w:rsidRPr="00B926DB">
        <w:rPr>
          <w:spacing w:val="-4"/>
          <w:lang w:val="en-GB"/>
        </w:rPr>
        <w:t xml:space="preserve">chief executive officer </w:t>
      </w:r>
      <w:r w:rsidRPr="00B926DB">
        <w:rPr>
          <w:spacing w:val="-4"/>
          <w:lang w:val="en-GB"/>
        </w:rPr>
        <w:t xml:space="preserve">and </w:t>
      </w:r>
      <w:r w:rsidR="00C71AB2" w:rsidRPr="00B926DB">
        <w:rPr>
          <w:spacing w:val="-4"/>
          <w:lang w:val="en-GB"/>
        </w:rPr>
        <w:t xml:space="preserve">chief operating officer </w:t>
      </w:r>
      <w:r w:rsidRPr="00B926DB">
        <w:rPr>
          <w:spacing w:val="-4"/>
          <w:lang w:val="en-GB"/>
        </w:rPr>
        <w:t xml:space="preserve">of the spin-off </w:t>
      </w:r>
      <w:r w:rsidR="00C71AB2" w:rsidRPr="00B926DB">
        <w:rPr>
          <w:spacing w:val="-4"/>
          <w:lang w:val="en-GB"/>
        </w:rPr>
        <w:t xml:space="preserve">company </w:t>
      </w:r>
      <w:r w:rsidRPr="00B926DB">
        <w:rPr>
          <w:spacing w:val="-4"/>
          <w:lang w:val="en-GB"/>
        </w:rPr>
        <w:t xml:space="preserve">were held by </w:t>
      </w:r>
      <w:r w:rsidR="00C71AB2" w:rsidRPr="00B926DB">
        <w:rPr>
          <w:spacing w:val="-4"/>
          <w:lang w:val="en-GB"/>
        </w:rPr>
        <w:t xml:space="preserve">Anglo Scientific </w:t>
      </w:r>
      <w:r w:rsidR="003831A8" w:rsidRPr="00B926DB">
        <w:rPr>
          <w:spacing w:val="-4"/>
          <w:lang w:val="en-GB"/>
        </w:rPr>
        <w:t xml:space="preserve">Limited </w:t>
      </w:r>
      <w:r w:rsidRPr="00B926DB">
        <w:rPr>
          <w:spacing w:val="-4"/>
          <w:lang w:val="en-GB"/>
        </w:rPr>
        <w:t xml:space="preserve">staff </w:t>
      </w:r>
      <w:r w:rsidR="00C71AB2" w:rsidRPr="00B926DB">
        <w:rPr>
          <w:spacing w:val="-4"/>
          <w:lang w:val="en-GB"/>
        </w:rPr>
        <w:t>members</w:t>
      </w:r>
      <w:r w:rsidRPr="00B926DB">
        <w:rPr>
          <w:spacing w:val="-4"/>
          <w:lang w:val="en-GB"/>
        </w:rPr>
        <w:t xml:space="preserve">, the position of </w:t>
      </w:r>
      <w:r w:rsidR="00C71AB2" w:rsidRPr="00B926DB">
        <w:rPr>
          <w:spacing w:val="-4"/>
          <w:lang w:val="en-GB"/>
        </w:rPr>
        <w:t xml:space="preserve">chief technology officer </w:t>
      </w:r>
      <w:r w:rsidRPr="00B926DB">
        <w:rPr>
          <w:spacing w:val="-4"/>
          <w:lang w:val="en-GB"/>
        </w:rPr>
        <w:t xml:space="preserve">was filled by </w:t>
      </w:r>
      <w:r w:rsidRPr="00B926DB">
        <w:rPr>
          <w:color w:val="000000"/>
          <w:spacing w:val="-4"/>
          <w:lang w:val="en-GB"/>
        </w:rPr>
        <w:t>Shozo Fujita</w:t>
      </w:r>
      <w:r w:rsidRPr="00B926DB">
        <w:rPr>
          <w:spacing w:val="-4"/>
          <w:lang w:val="en-GB"/>
        </w:rPr>
        <w:t>, the R&amp;D director of Fujitsu Laboratories</w:t>
      </w:r>
      <w:r w:rsidR="00C71AB2" w:rsidRPr="00B926DB">
        <w:rPr>
          <w:spacing w:val="-4"/>
          <w:lang w:val="en-GB"/>
        </w:rPr>
        <w:t>.</w:t>
      </w:r>
    </w:p>
    <w:p w14:paraId="4BCD3F4C" w14:textId="77777777" w:rsidR="00C71AB2" w:rsidRPr="00B926DB" w:rsidRDefault="00C71AB2" w:rsidP="004E45EB">
      <w:pPr>
        <w:pStyle w:val="BodyTextMain"/>
        <w:rPr>
          <w:spacing w:val="-4"/>
          <w:sz w:val="20"/>
          <w:lang w:val="en-GB"/>
        </w:rPr>
      </w:pPr>
    </w:p>
    <w:p w14:paraId="5C9A61BC" w14:textId="71C7BA86" w:rsidR="001815F6" w:rsidRPr="00AD3822" w:rsidRDefault="00922282" w:rsidP="004E45EB">
      <w:pPr>
        <w:pStyle w:val="BodyTextMain"/>
        <w:rPr>
          <w:spacing w:val="-2"/>
          <w:lang w:val="en-GB"/>
        </w:rPr>
      </w:pPr>
      <w:r w:rsidRPr="00AD3822">
        <w:rPr>
          <w:spacing w:val="-2"/>
          <w:lang w:val="en-GB"/>
        </w:rPr>
        <w:t xml:space="preserve">What </w:t>
      </w:r>
      <w:r w:rsidR="00935094">
        <w:rPr>
          <w:spacing w:val="-2"/>
          <w:lang w:val="en-GB"/>
        </w:rPr>
        <w:t>had</w:t>
      </w:r>
      <w:r w:rsidR="00935094" w:rsidRPr="00AD3822">
        <w:rPr>
          <w:spacing w:val="-2"/>
          <w:lang w:val="en-GB"/>
        </w:rPr>
        <w:t xml:space="preserve"> </w:t>
      </w:r>
      <w:r w:rsidRPr="00AD3822">
        <w:rPr>
          <w:spacing w:val="-2"/>
          <w:lang w:val="en-GB"/>
        </w:rPr>
        <w:t>led Fujita to give up a secure and stable job in Fujitsu to join a start</w:t>
      </w:r>
      <w:r w:rsidR="00C71AB2" w:rsidRPr="00AD3822">
        <w:rPr>
          <w:spacing w:val="-2"/>
          <w:lang w:val="en-GB"/>
        </w:rPr>
        <w:t>-</w:t>
      </w:r>
      <w:r w:rsidRPr="00AD3822">
        <w:rPr>
          <w:spacing w:val="-2"/>
          <w:lang w:val="en-GB"/>
        </w:rPr>
        <w:t>up that was fraught with uncertainties?</w:t>
      </w:r>
      <w:r w:rsidR="00C71AB2" w:rsidRPr="00AD3822" w:rsidDel="00C71AB2">
        <w:rPr>
          <w:spacing w:val="-2"/>
          <w:lang w:val="en-GB"/>
        </w:rPr>
        <w:t xml:space="preserve"> </w:t>
      </w:r>
      <w:r w:rsidRPr="00AD3822">
        <w:rPr>
          <w:spacing w:val="-2"/>
          <w:lang w:val="en-GB"/>
        </w:rPr>
        <w:t xml:space="preserve">Having worked for Fujitsu Laboratories for 27 years, Fujita had seen many spin-offs </w:t>
      </w:r>
      <w:r w:rsidR="00C71AB2" w:rsidRPr="00AD3822">
        <w:rPr>
          <w:spacing w:val="-2"/>
          <w:lang w:val="en-GB"/>
        </w:rPr>
        <w:t xml:space="preserve">from </w:t>
      </w:r>
      <w:r w:rsidRPr="00AD3822">
        <w:rPr>
          <w:spacing w:val="-2"/>
          <w:lang w:val="en-GB"/>
        </w:rPr>
        <w:t xml:space="preserve">the company, </w:t>
      </w:r>
      <w:r w:rsidR="00C71AB2" w:rsidRPr="00AD3822">
        <w:rPr>
          <w:spacing w:val="-2"/>
          <w:lang w:val="en-GB"/>
        </w:rPr>
        <w:t xml:space="preserve">including the </w:t>
      </w:r>
      <w:r w:rsidRPr="00AD3822">
        <w:rPr>
          <w:spacing w:val="-2"/>
          <w:lang w:val="en-GB"/>
        </w:rPr>
        <w:t>robotics venture FANUC</w:t>
      </w:r>
      <w:r w:rsidR="00C71AB2" w:rsidRPr="00AD3822">
        <w:rPr>
          <w:spacing w:val="-2"/>
          <w:lang w:val="en-GB"/>
        </w:rPr>
        <w:t xml:space="preserve"> Corporation (FANUC),</w:t>
      </w:r>
      <w:r w:rsidRPr="00AD3822">
        <w:rPr>
          <w:spacing w:val="-2"/>
          <w:lang w:val="en-GB"/>
        </w:rPr>
        <w:t xml:space="preserve"> created in 1955</w:t>
      </w:r>
      <w:r w:rsidR="00C71AB2" w:rsidRPr="00AD3822">
        <w:rPr>
          <w:spacing w:val="-2"/>
          <w:lang w:val="en-GB"/>
        </w:rPr>
        <w:t>,</w:t>
      </w:r>
      <w:r w:rsidRPr="00AD3822">
        <w:rPr>
          <w:spacing w:val="-2"/>
          <w:lang w:val="en-GB"/>
        </w:rPr>
        <w:t xml:space="preserve"> and </w:t>
      </w:r>
      <w:r w:rsidR="00C71AB2" w:rsidRPr="00AD3822">
        <w:rPr>
          <w:spacing w:val="-2"/>
          <w:lang w:val="en-GB"/>
        </w:rPr>
        <w:t xml:space="preserve">the </w:t>
      </w:r>
      <w:r w:rsidRPr="00AD3822">
        <w:rPr>
          <w:spacing w:val="-2"/>
          <w:lang w:val="en-GB"/>
        </w:rPr>
        <w:t>quantum dot laser technology firm QD Laser</w:t>
      </w:r>
      <w:r w:rsidR="00C71AB2" w:rsidRPr="00AD3822">
        <w:rPr>
          <w:spacing w:val="-2"/>
          <w:lang w:val="en-GB"/>
        </w:rPr>
        <w:t xml:space="preserve"> Inc.,</w:t>
      </w:r>
      <w:r w:rsidRPr="00AD3822">
        <w:rPr>
          <w:spacing w:val="-2"/>
          <w:lang w:val="en-GB"/>
        </w:rPr>
        <w:t xml:space="preserve"> in 2006.</w:t>
      </w:r>
      <w:r w:rsidR="002E742C" w:rsidRPr="00AD3822">
        <w:rPr>
          <w:rStyle w:val="FootnoteReference"/>
          <w:color w:val="000000"/>
          <w:spacing w:val="-2"/>
          <w:lang w:val="en-GB"/>
        </w:rPr>
        <w:footnoteReference w:id="15"/>
      </w:r>
      <w:r w:rsidRPr="00AD3822">
        <w:rPr>
          <w:spacing w:val="-2"/>
          <w:lang w:val="en-GB"/>
        </w:rPr>
        <w:t xml:space="preserve"> FANUC </w:t>
      </w:r>
      <w:r w:rsidR="00C71AB2" w:rsidRPr="00AD3822">
        <w:rPr>
          <w:spacing w:val="-2"/>
          <w:lang w:val="en-GB"/>
        </w:rPr>
        <w:t xml:space="preserve">had become </w:t>
      </w:r>
      <w:r w:rsidRPr="00AD3822">
        <w:rPr>
          <w:spacing w:val="-2"/>
          <w:lang w:val="en-GB"/>
        </w:rPr>
        <w:t>one of the largest makers of industrial robots</w:t>
      </w:r>
      <w:r w:rsidR="00C71AB2" w:rsidRPr="00AD3822">
        <w:rPr>
          <w:spacing w:val="-2"/>
          <w:lang w:val="en-GB"/>
        </w:rPr>
        <w:t>,</w:t>
      </w:r>
      <w:r w:rsidRPr="00AD3822">
        <w:rPr>
          <w:spacing w:val="-2"/>
          <w:lang w:val="en-GB"/>
        </w:rPr>
        <w:t xml:space="preserve"> with revenue of over </w:t>
      </w:r>
      <w:r w:rsidR="00C71AB2" w:rsidRPr="00AD3822">
        <w:rPr>
          <w:spacing w:val="-2"/>
          <w:lang w:val="en-GB"/>
        </w:rPr>
        <w:t>US$</w:t>
      </w:r>
      <w:r w:rsidRPr="00AD3822">
        <w:rPr>
          <w:spacing w:val="-2"/>
          <w:lang w:val="en-GB"/>
        </w:rPr>
        <w:t>6 billion in 2015, while QD Laser</w:t>
      </w:r>
      <w:r w:rsidR="00C71AB2" w:rsidRPr="00AD3822">
        <w:rPr>
          <w:spacing w:val="-2"/>
          <w:lang w:val="en-GB"/>
        </w:rPr>
        <w:t xml:space="preserve"> Inc. had</w:t>
      </w:r>
      <w:r w:rsidRPr="00AD3822">
        <w:rPr>
          <w:spacing w:val="-2"/>
          <w:lang w:val="en-GB"/>
        </w:rPr>
        <w:t xml:space="preserve"> achieved a cumulative shipment of more than 2.5 million units. Fujita started his research </w:t>
      </w:r>
      <w:r w:rsidR="00C71AB2" w:rsidRPr="00AD3822">
        <w:rPr>
          <w:spacing w:val="-2"/>
          <w:lang w:val="en-GB"/>
        </w:rPr>
        <w:t xml:space="preserve">on protein detection </w:t>
      </w:r>
      <w:r w:rsidRPr="00AD3822">
        <w:rPr>
          <w:spacing w:val="-2"/>
          <w:lang w:val="en-GB"/>
        </w:rPr>
        <w:t>in 2000</w:t>
      </w:r>
      <w:r w:rsidR="00C71AB2" w:rsidRPr="00AD3822">
        <w:rPr>
          <w:spacing w:val="-2"/>
          <w:lang w:val="en-GB"/>
        </w:rPr>
        <w:t>,</w:t>
      </w:r>
      <w:r w:rsidRPr="00AD3822">
        <w:rPr>
          <w:spacing w:val="-2"/>
          <w:lang w:val="en-GB"/>
        </w:rPr>
        <w:t xml:space="preserve"> using deoxyribonucleic acid (DNA)</w:t>
      </w:r>
      <w:r w:rsidR="00C71AB2" w:rsidRPr="00AD3822">
        <w:rPr>
          <w:spacing w:val="-2"/>
          <w:lang w:val="en-GB"/>
        </w:rPr>
        <w:t>,</w:t>
      </w:r>
      <w:r w:rsidRPr="00AD3822">
        <w:rPr>
          <w:spacing w:val="-2"/>
          <w:lang w:val="en-GB"/>
        </w:rPr>
        <w:t xml:space="preserve"> as he was a protein chemist. After six years of R&amp;D, his team found two protein detection technologies</w:t>
      </w:r>
      <w:r w:rsidRPr="00AD3822">
        <w:rPr>
          <w:spacing w:val="-2"/>
          <w:lang w:val="en-GB"/>
        </w:rPr>
        <w:sym w:font="Symbol" w:char="F0BE"/>
      </w:r>
      <w:r w:rsidRPr="00AD3822">
        <w:rPr>
          <w:spacing w:val="-2"/>
          <w:lang w:val="en-GB"/>
        </w:rPr>
        <w:t>aptamer technology and switchSENSE technology</w:t>
      </w:r>
      <w:r w:rsidRPr="00AD3822">
        <w:rPr>
          <w:rStyle w:val="FootnoteReference"/>
          <w:color w:val="000000"/>
          <w:spacing w:val="-2"/>
          <w:lang w:val="en-GB"/>
        </w:rPr>
        <w:footnoteReference w:id="16"/>
      </w:r>
      <w:r w:rsidRPr="00AD3822">
        <w:rPr>
          <w:spacing w:val="-2"/>
          <w:lang w:val="en-GB"/>
        </w:rPr>
        <w:sym w:font="Symbol" w:char="F0BE"/>
      </w:r>
      <w:r w:rsidRPr="00AD3822">
        <w:rPr>
          <w:spacing w:val="-2"/>
          <w:lang w:val="en-GB"/>
        </w:rPr>
        <w:t xml:space="preserve">that could be used to detect new target proteins such as cancer markers or food poisoning toxins. Excited </w:t>
      </w:r>
      <w:r w:rsidR="00C71AB2" w:rsidRPr="00AD3822">
        <w:rPr>
          <w:spacing w:val="-2"/>
          <w:lang w:val="en-GB"/>
        </w:rPr>
        <w:t xml:space="preserve">by </w:t>
      </w:r>
      <w:r w:rsidRPr="00AD3822">
        <w:rPr>
          <w:spacing w:val="-2"/>
          <w:lang w:val="en-GB"/>
        </w:rPr>
        <w:t xml:space="preserve">his discoveries, Fujita proposed to his management </w:t>
      </w:r>
      <w:r w:rsidR="00C71AB2" w:rsidRPr="00AD3822">
        <w:rPr>
          <w:spacing w:val="-2"/>
          <w:lang w:val="en-GB"/>
        </w:rPr>
        <w:t xml:space="preserve">that these technologies should be </w:t>
      </w:r>
      <w:r w:rsidRPr="00AD3822">
        <w:rPr>
          <w:spacing w:val="-2"/>
          <w:lang w:val="en-GB"/>
        </w:rPr>
        <w:t>commercialize</w:t>
      </w:r>
      <w:r w:rsidR="00C71AB2" w:rsidRPr="00AD3822">
        <w:rPr>
          <w:spacing w:val="-2"/>
          <w:lang w:val="en-GB"/>
        </w:rPr>
        <w:t>d. However</w:t>
      </w:r>
      <w:r w:rsidR="001815F6" w:rsidRPr="00AD3822">
        <w:rPr>
          <w:spacing w:val="-2"/>
          <w:lang w:val="en-GB"/>
        </w:rPr>
        <w:t xml:space="preserve">, </w:t>
      </w:r>
      <w:r w:rsidRPr="00AD3822">
        <w:rPr>
          <w:spacing w:val="-2"/>
          <w:lang w:val="en-GB"/>
        </w:rPr>
        <w:t>he found</w:t>
      </w:r>
      <w:r w:rsidR="001815F6" w:rsidRPr="00AD3822">
        <w:rPr>
          <w:spacing w:val="-2"/>
          <w:lang w:val="en-GB"/>
        </w:rPr>
        <w:t xml:space="preserve"> that </w:t>
      </w:r>
      <w:r w:rsidRPr="00AD3822">
        <w:rPr>
          <w:spacing w:val="-2"/>
          <w:lang w:val="en-GB"/>
        </w:rPr>
        <w:t xml:space="preserve">“Fujitsu was not ready to commercialize and no business unit was capable of this commercialization </w:t>
      </w:r>
      <w:r w:rsidR="001815F6" w:rsidRPr="00AD3822">
        <w:rPr>
          <w:spacing w:val="-2"/>
          <w:lang w:val="en-GB"/>
        </w:rPr>
        <w:t>.</w:t>
      </w:r>
      <w:r w:rsidR="008F5F7B" w:rsidRPr="00AD3822">
        <w:rPr>
          <w:spacing w:val="-2"/>
          <w:lang w:val="en-GB"/>
        </w:rPr>
        <w:t xml:space="preserve"> </w:t>
      </w:r>
      <w:r w:rsidR="001815F6" w:rsidRPr="00AD3822">
        <w:rPr>
          <w:spacing w:val="-2"/>
          <w:lang w:val="en-GB"/>
        </w:rPr>
        <w:t>.</w:t>
      </w:r>
      <w:r w:rsidR="008F5F7B" w:rsidRPr="00AD3822">
        <w:rPr>
          <w:spacing w:val="-2"/>
          <w:lang w:val="en-GB"/>
        </w:rPr>
        <w:t xml:space="preserve"> </w:t>
      </w:r>
      <w:r w:rsidR="001815F6" w:rsidRPr="00AD3822">
        <w:rPr>
          <w:spacing w:val="-2"/>
          <w:lang w:val="en-GB"/>
        </w:rPr>
        <w:t xml:space="preserve">. </w:t>
      </w:r>
      <w:r w:rsidRPr="00AD3822">
        <w:rPr>
          <w:spacing w:val="-2"/>
          <w:lang w:val="en-GB"/>
        </w:rPr>
        <w:t xml:space="preserve">so this laboratory decided to spin out </w:t>
      </w:r>
      <w:r w:rsidR="001815F6" w:rsidRPr="00AD3822">
        <w:rPr>
          <w:spacing w:val="-2"/>
          <w:lang w:val="en-GB"/>
        </w:rPr>
        <w:t>.</w:t>
      </w:r>
      <w:r w:rsidR="008F5F7B" w:rsidRPr="00AD3822">
        <w:rPr>
          <w:spacing w:val="-2"/>
          <w:lang w:val="en-GB"/>
        </w:rPr>
        <w:t xml:space="preserve"> </w:t>
      </w:r>
      <w:r w:rsidR="001815F6" w:rsidRPr="00AD3822">
        <w:rPr>
          <w:spacing w:val="-2"/>
          <w:lang w:val="en-GB"/>
        </w:rPr>
        <w:t>.</w:t>
      </w:r>
      <w:r w:rsidR="008F5F7B" w:rsidRPr="00AD3822">
        <w:rPr>
          <w:spacing w:val="-2"/>
          <w:lang w:val="en-GB"/>
        </w:rPr>
        <w:t xml:space="preserve"> </w:t>
      </w:r>
      <w:r w:rsidR="001815F6" w:rsidRPr="00AD3822">
        <w:rPr>
          <w:spacing w:val="-2"/>
          <w:lang w:val="en-GB"/>
        </w:rPr>
        <w:t xml:space="preserve">. </w:t>
      </w:r>
      <w:r w:rsidRPr="00AD3822">
        <w:rPr>
          <w:spacing w:val="-2"/>
          <w:lang w:val="en-GB"/>
        </w:rPr>
        <w:t xml:space="preserve">because if </w:t>
      </w:r>
      <w:r w:rsidR="0095614D">
        <w:rPr>
          <w:spacing w:val="-2"/>
          <w:lang w:val="en-GB"/>
        </w:rPr>
        <w:t>[</w:t>
      </w:r>
      <w:r w:rsidR="00E86448">
        <w:rPr>
          <w:spacing w:val="-2"/>
          <w:lang w:val="en-GB"/>
        </w:rPr>
        <w:t>the company</w:t>
      </w:r>
      <w:r w:rsidR="0095614D">
        <w:rPr>
          <w:spacing w:val="-2"/>
          <w:lang w:val="en-GB"/>
        </w:rPr>
        <w:t xml:space="preserve"> waited] </w:t>
      </w:r>
      <w:r w:rsidRPr="00AD3822">
        <w:rPr>
          <w:spacing w:val="-2"/>
          <w:lang w:val="en-GB"/>
        </w:rPr>
        <w:t xml:space="preserve">for the business unit to be ready for commercialization, </w:t>
      </w:r>
      <w:r w:rsidR="0095614D">
        <w:rPr>
          <w:spacing w:val="-2"/>
          <w:lang w:val="en-GB"/>
        </w:rPr>
        <w:t>[</w:t>
      </w:r>
      <w:r w:rsidR="00E86448">
        <w:rPr>
          <w:spacing w:val="-2"/>
          <w:lang w:val="en-GB"/>
        </w:rPr>
        <w:t>its</w:t>
      </w:r>
      <w:r w:rsidR="0095614D">
        <w:rPr>
          <w:spacing w:val="-2"/>
          <w:lang w:val="en-GB"/>
        </w:rPr>
        <w:t xml:space="preserve">] </w:t>
      </w:r>
      <w:r w:rsidRPr="00AD3822">
        <w:rPr>
          <w:spacing w:val="-2"/>
          <w:lang w:val="en-GB"/>
        </w:rPr>
        <w:t xml:space="preserve">key patents </w:t>
      </w:r>
      <w:r w:rsidR="0095614D">
        <w:rPr>
          <w:spacing w:val="-2"/>
          <w:lang w:val="en-GB"/>
        </w:rPr>
        <w:t xml:space="preserve">[would] </w:t>
      </w:r>
      <w:r w:rsidRPr="00AD3822">
        <w:rPr>
          <w:spacing w:val="-2"/>
          <w:lang w:val="en-GB"/>
        </w:rPr>
        <w:t>expire before commercialization.</w:t>
      </w:r>
      <w:r w:rsidR="001815F6" w:rsidRPr="00AD3822">
        <w:rPr>
          <w:spacing w:val="-2"/>
          <w:lang w:val="en-GB"/>
        </w:rPr>
        <w:t>”</w:t>
      </w:r>
    </w:p>
    <w:p w14:paraId="20E3A288" w14:textId="77777777" w:rsidR="001815F6" w:rsidRPr="00AD3822" w:rsidRDefault="001815F6" w:rsidP="004E45EB">
      <w:pPr>
        <w:pStyle w:val="BodyTextMain"/>
        <w:rPr>
          <w:sz w:val="20"/>
          <w:lang w:val="en-GB"/>
        </w:rPr>
      </w:pPr>
    </w:p>
    <w:p w14:paraId="047902C1" w14:textId="220FCD07" w:rsidR="00922282" w:rsidRPr="002C3ED5" w:rsidRDefault="00922282" w:rsidP="004E45EB">
      <w:pPr>
        <w:pStyle w:val="BodyTextMain"/>
        <w:rPr>
          <w:color w:val="000000"/>
          <w:spacing w:val="-4"/>
          <w:lang w:val="en-GB"/>
        </w:rPr>
      </w:pPr>
      <w:r w:rsidRPr="002C3ED5">
        <w:rPr>
          <w:color w:val="000000"/>
          <w:spacing w:val="-4"/>
          <w:lang w:val="en-GB"/>
        </w:rPr>
        <w:t xml:space="preserve">With the blessing </w:t>
      </w:r>
      <w:r w:rsidR="001815F6" w:rsidRPr="002C3ED5">
        <w:rPr>
          <w:color w:val="000000"/>
          <w:spacing w:val="-4"/>
          <w:lang w:val="en-GB"/>
        </w:rPr>
        <w:t xml:space="preserve">of </w:t>
      </w:r>
      <w:r w:rsidRPr="002C3ED5">
        <w:rPr>
          <w:color w:val="000000"/>
          <w:spacing w:val="-4"/>
          <w:lang w:val="en-GB"/>
        </w:rPr>
        <w:t xml:space="preserve">his management, Fujita </w:t>
      </w:r>
      <w:r w:rsidR="001815F6" w:rsidRPr="002C3ED5">
        <w:rPr>
          <w:color w:val="000000"/>
          <w:spacing w:val="-4"/>
          <w:lang w:val="en-GB"/>
        </w:rPr>
        <w:t>approached</w:t>
      </w:r>
      <w:r w:rsidRPr="002C3ED5">
        <w:rPr>
          <w:color w:val="000000"/>
          <w:spacing w:val="-4"/>
          <w:lang w:val="en-GB"/>
        </w:rPr>
        <w:t xml:space="preserve"> Japanese venture capitalists (VC</w:t>
      </w:r>
      <w:r w:rsidR="00935094" w:rsidRPr="002C3ED5">
        <w:rPr>
          <w:color w:val="000000"/>
          <w:spacing w:val="-4"/>
          <w:lang w:val="en-GB"/>
        </w:rPr>
        <w:t>s</w:t>
      </w:r>
      <w:r w:rsidRPr="002C3ED5">
        <w:rPr>
          <w:color w:val="000000"/>
          <w:spacing w:val="-4"/>
          <w:lang w:val="en-GB"/>
        </w:rPr>
        <w:t>) in 2007, but they could not understand the potential of these technologies, and bundling the two key technologies as a package added more complexity to the equation. “It is very difficult for external people to understand because it is very complicated and involves different markets. So after first contact with the VCs, we decided to separate the technologies into separate businesses</w:t>
      </w:r>
      <w:r w:rsidR="001815F6" w:rsidRPr="002C3ED5">
        <w:rPr>
          <w:color w:val="000000"/>
          <w:spacing w:val="-4"/>
          <w:lang w:val="en-GB"/>
        </w:rPr>
        <w:t>.</w:t>
      </w:r>
      <w:r w:rsidRPr="002C3ED5">
        <w:rPr>
          <w:color w:val="000000"/>
          <w:spacing w:val="-4"/>
          <w:lang w:val="en-GB"/>
        </w:rPr>
        <w:t>” Leaving the switchSENSE technology to the German R&amp;D partner, Technische Universit</w:t>
      </w:r>
      <w:r w:rsidR="001815F6" w:rsidRPr="002C3ED5">
        <w:rPr>
          <w:color w:val="000000"/>
          <w:spacing w:val="-4"/>
          <w:lang w:val="en-GB"/>
        </w:rPr>
        <w:t>ä</w:t>
      </w:r>
      <w:r w:rsidRPr="002C3ED5">
        <w:rPr>
          <w:color w:val="000000"/>
          <w:spacing w:val="-4"/>
          <w:lang w:val="en-GB"/>
        </w:rPr>
        <w:t>t M</w:t>
      </w:r>
      <w:r w:rsidR="001815F6" w:rsidRPr="002C3ED5">
        <w:rPr>
          <w:color w:val="000000"/>
          <w:spacing w:val="-4"/>
          <w:lang w:val="en-GB"/>
        </w:rPr>
        <w:t>ü</w:t>
      </w:r>
      <w:r w:rsidR="00935094" w:rsidRPr="002C3ED5">
        <w:rPr>
          <w:color w:val="000000"/>
          <w:spacing w:val="-4"/>
          <w:lang w:val="en-GB"/>
        </w:rPr>
        <w:t>n</w:t>
      </w:r>
      <w:r w:rsidRPr="002C3ED5">
        <w:rPr>
          <w:color w:val="000000"/>
          <w:spacing w:val="-4"/>
          <w:lang w:val="en-GB"/>
        </w:rPr>
        <w:t>chen, for commercialization, Fujita move</w:t>
      </w:r>
      <w:r w:rsidR="001815F6" w:rsidRPr="002C3ED5">
        <w:rPr>
          <w:color w:val="000000"/>
          <w:spacing w:val="-4"/>
          <w:lang w:val="en-GB"/>
        </w:rPr>
        <w:t>d</w:t>
      </w:r>
      <w:r w:rsidRPr="002C3ED5">
        <w:rPr>
          <w:color w:val="000000"/>
          <w:spacing w:val="-4"/>
          <w:lang w:val="en-GB"/>
        </w:rPr>
        <w:t xml:space="preserve"> the aptamer technology to Singapore for further development with A*STAR. </w:t>
      </w:r>
      <w:r w:rsidR="001815F6" w:rsidRPr="002C3ED5">
        <w:rPr>
          <w:color w:val="000000"/>
          <w:spacing w:val="-4"/>
          <w:lang w:val="en-GB"/>
        </w:rPr>
        <w:t>I</w:t>
      </w:r>
      <w:r w:rsidRPr="002C3ED5">
        <w:rPr>
          <w:color w:val="000000"/>
          <w:spacing w:val="-4"/>
          <w:lang w:val="en-GB"/>
        </w:rPr>
        <w:t>n collaboration with the R&amp;D partners in Singapore</w:t>
      </w:r>
      <w:r w:rsidR="001815F6" w:rsidRPr="002C3ED5">
        <w:rPr>
          <w:color w:val="000000"/>
          <w:spacing w:val="-4"/>
          <w:lang w:val="en-GB"/>
        </w:rPr>
        <w:t>,</w:t>
      </w:r>
      <w:r w:rsidRPr="002C3ED5">
        <w:rPr>
          <w:color w:val="000000"/>
          <w:spacing w:val="-4"/>
          <w:lang w:val="en-GB"/>
        </w:rPr>
        <w:t xml:space="preserve"> under the auspices of Fujitsu Laboratories, </w:t>
      </w:r>
      <w:r w:rsidR="001815F6" w:rsidRPr="002C3ED5">
        <w:rPr>
          <w:color w:val="000000"/>
          <w:spacing w:val="-4"/>
          <w:lang w:val="en-GB"/>
        </w:rPr>
        <w:t xml:space="preserve">Fujita continued to develop aptamers for specific applications, </w:t>
      </w:r>
      <w:r w:rsidR="005A62FB" w:rsidRPr="002C3ED5">
        <w:rPr>
          <w:color w:val="000000"/>
          <w:spacing w:val="-4"/>
          <w:lang w:val="en-GB"/>
        </w:rPr>
        <w:t>and</w:t>
      </w:r>
      <w:r w:rsidR="001815F6" w:rsidRPr="002C3ED5">
        <w:rPr>
          <w:color w:val="000000"/>
          <w:spacing w:val="-4"/>
          <w:lang w:val="en-GB"/>
        </w:rPr>
        <w:t xml:space="preserve"> </w:t>
      </w:r>
      <w:r w:rsidRPr="002C3ED5">
        <w:rPr>
          <w:color w:val="000000"/>
          <w:spacing w:val="-4"/>
          <w:lang w:val="en-GB"/>
        </w:rPr>
        <w:t xml:space="preserve">he </w:t>
      </w:r>
      <w:r w:rsidR="005A62FB" w:rsidRPr="002C3ED5">
        <w:rPr>
          <w:color w:val="000000"/>
          <w:spacing w:val="-4"/>
          <w:lang w:val="en-GB"/>
        </w:rPr>
        <w:t>continued to</w:t>
      </w:r>
      <w:r w:rsidRPr="002C3ED5">
        <w:rPr>
          <w:color w:val="000000"/>
          <w:spacing w:val="-4"/>
          <w:lang w:val="en-GB"/>
        </w:rPr>
        <w:t xml:space="preserve"> seek external funding to finance the new venture: “Fujitsu and Fujitsu Laboratories have an internal venture incubation system [where staff create new venture</w:t>
      </w:r>
      <w:r w:rsidR="005A62FB" w:rsidRPr="002C3ED5">
        <w:rPr>
          <w:color w:val="000000"/>
          <w:spacing w:val="-4"/>
          <w:lang w:val="en-GB"/>
        </w:rPr>
        <w:t xml:space="preserve">s]; </w:t>
      </w:r>
      <w:r w:rsidRPr="002C3ED5">
        <w:rPr>
          <w:color w:val="000000"/>
          <w:spacing w:val="-4"/>
          <w:lang w:val="en-GB"/>
        </w:rPr>
        <w:t>Fujitsu will support such activity</w:t>
      </w:r>
      <w:r w:rsidR="005A62FB" w:rsidRPr="002C3ED5">
        <w:rPr>
          <w:color w:val="000000"/>
          <w:spacing w:val="-4"/>
          <w:lang w:val="en-GB"/>
        </w:rPr>
        <w:t>.</w:t>
      </w:r>
      <w:r w:rsidRPr="002C3ED5">
        <w:rPr>
          <w:color w:val="000000"/>
          <w:spacing w:val="-4"/>
          <w:lang w:val="en-GB"/>
        </w:rPr>
        <w:t xml:space="preserve"> </w:t>
      </w:r>
      <w:r w:rsidR="005A62FB" w:rsidRPr="002C3ED5">
        <w:rPr>
          <w:color w:val="000000"/>
          <w:spacing w:val="-4"/>
          <w:lang w:val="en-GB"/>
        </w:rPr>
        <w:t>.</w:t>
      </w:r>
      <w:r w:rsidR="00193E15" w:rsidRPr="002C3ED5">
        <w:rPr>
          <w:color w:val="000000"/>
          <w:spacing w:val="-4"/>
          <w:lang w:val="en-GB"/>
        </w:rPr>
        <w:t xml:space="preserve"> </w:t>
      </w:r>
      <w:r w:rsidR="005A62FB" w:rsidRPr="002C3ED5">
        <w:rPr>
          <w:color w:val="000000"/>
          <w:spacing w:val="-4"/>
          <w:lang w:val="en-GB"/>
        </w:rPr>
        <w:t>.</w:t>
      </w:r>
      <w:r w:rsidR="00193E15" w:rsidRPr="002C3ED5">
        <w:rPr>
          <w:color w:val="000000"/>
          <w:spacing w:val="-4"/>
          <w:lang w:val="en-GB"/>
        </w:rPr>
        <w:t xml:space="preserve"> </w:t>
      </w:r>
      <w:r w:rsidR="005A62FB" w:rsidRPr="002C3ED5">
        <w:rPr>
          <w:color w:val="000000"/>
          <w:spacing w:val="-4"/>
          <w:lang w:val="en-GB"/>
        </w:rPr>
        <w:t xml:space="preserve">. </w:t>
      </w:r>
      <w:r w:rsidRPr="002C3ED5">
        <w:rPr>
          <w:color w:val="000000"/>
          <w:spacing w:val="-4"/>
          <w:lang w:val="en-GB"/>
        </w:rPr>
        <w:t xml:space="preserve">So I visited venture capitalists in </w:t>
      </w:r>
      <w:r w:rsidR="005A62FB" w:rsidRPr="002C3ED5">
        <w:rPr>
          <w:color w:val="000000"/>
          <w:spacing w:val="-4"/>
          <w:lang w:val="en-GB"/>
        </w:rPr>
        <w:t>[the United States</w:t>
      </w:r>
      <w:r w:rsidRPr="002C3ED5">
        <w:rPr>
          <w:color w:val="000000"/>
          <w:spacing w:val="-4"/>
          <w:lang w:val="en-GB"/>
        </w:rPr>
        <w:t xml:space="preserve">, </w:t>
      </w:r>
      <w:r w:rsidR="005A62FB" w:rsidRPr="002C3ED5">
        <w:rPr>
          <w:color w:val="000000"/>
          <w:spacing w:val="-4"/>
          <w:lang w:val="en-GB"/>
        </w:rPr>
        <w:t xml:space="preserve">United Kingdom,] </w:t>
      </w:r>
      <w:r w:rsidRPr="002C3ED5">
        <w:rPr>
          <w:color w:val="000000"/>
          <w:spacing w:val="-4"/>
          <w:lang w:val="en-GB"/>
        </w:rPr>
        <w:t xml:space="preserve">and European countries </w:t>
      </w:r>
      <w:r w:rsidR="005A62FB" w:rsidRPr="002C3ED5">
        <w:rPr>
          <w:color w:val="000000"/>
          <w:spacing w:val="-4"/>
          <w:lang w:val="en-GB"/>
        </w:rPr>
        <w:t>.</w:t>
      </w:r>
      <w:r w:rsidR="00193E15" w:rsidRPr="002C3ED5">
        <w:rPr>
          <w:color w:val="000000"/>
          <w:spacing w:val="-4"/>
          <w:lang w:val="en-GB"/>
        </w:rPr>
        <w:t xml:space="preserve"> </w:t>
      </w:r>
      <w:r w:rsidR="005A62FB" w:rsidRPr="002C3ED5">
        <w:rPr>
          <w:color w:val="000000"/>
          <w:spacing w:val="-4"/>
          <w:lang w:val="en-GB"/>
        </w:rPr>
        <w:t>.</w:t>
      </w:r>
      <w:r w:rsidR="00193E15" w:rsidRPr="002C3ED5">
        <w:rPr>
          <w:color w:val="000000"/>
          <w:spacing w:val="-4"/>
          <w:lang w:val="en-GB"/>
        </w:rPr>
        <w:t xml:space="preserve"> </w:t>
      </w:r>
      <w:r w:rsidR="005A62FB" w:rsidRPr="002C3ED5">
        <w:rPr>
          <w:color w:val="000000"/>
          <w:spacing w:val="-4"/>
          <w:sz w:val="24"/>
          <w:lang w:val="en-GB"/>
        </w:rPr>
        <w:t>.</w:t>
      </w:r>
      <w:r w:rsidR="005A62FB" w:rsidRPr="002C3ED5">
        <w:rPr>
          <w:color w:val="000000"/>
          <w:spacing w:val="-4"/>
          <w:lang w:val="en-GB"/>
        </w:rPr>
        <w:t xml:space="preserve"> </w:t>
      </w:r>
      <w:r w:rsidRPr="002C3ED5">
        <w:rPr>
          <w:color w:val="000000"/>
          <w:spacing w:val="-4"/>
          <w:lang w:val="en-GB"/>
        </w:rPr>
        <w:t>Silicon Valley, Boston, London</w:t>
      </w:r>
      <w:r w:rsidR="005A62FB" w:rsidRPr="002C3ED5">
        <w:rPr>
          <w:color w:val="000000"/>
          <w:spacing w:val="-4"/>
          <w:lang w:val="en-GB"/>
        </w:rPr>
        <w:t>,</w:t>
      </w:r>
      <w:r w:rsidRPr="002C3ED5">
        <w:rPr>
          <w:color w:val="000000"/>
          <w:spacing w:val="-4"/>
          <w:lang w:val="en-GB"/>
        </w:rPr>
        <w:t xml:space="preserve"> and Munich.” Of the 82 VCs Fujita </w:t>
      </w:r>
      <w:r w:rsidR="005A62FB" w:rsidRPr="002C3ED5">
        <w:rPr>
          <w:color w:val="000000"/>
          <w:spacing w:val="-4"/>
          <w:lang w:val="en-GB"/>
        </w:rPr>
        <w:t xml:space="preserve">had </w:t>
      </w:r>
      <w:r w:rsidRPr="002C3ED5">
        <w:rPr>
          <w:color w:val="000000"/>
          <w:spacing w:val="-4"/>
          <w:lang w:val="en-GB"/>
        </w:rPr>
        <w:t xml:space="preserve">contacted by 2012, 15 showed initial interest, but </w:t>
      </w:r>
      <w:r w:rsidR="005A62FB" w:rsidRPr="002C3ED5">
        <w:rPr>
          <w:color w:val="000000"/>
          <w:spacing w:val="-4"/>
          <w:lang w:val="en-GB"/>
        </w:rPr>
        <w:t xml:space="preserve">only three </w:t>
      </w:r>
      <w:r w:rsidRPr="002C3ED5">
        <w:rPr>
          <w:color w:val="000000"/>
          <w:spacing w:val="-4"/>
          <w:lang w:val="en-GB"/>
        </w:rPr>
        <w:t>remained engaged after further clarification. Reflecting on his journey, Fujita felt that Fujitsu Laboratories</w:t>
      </w:r>
      <w:r w:rsidR="00A531D8" w:rsidRPr="002C3ED5">
        <w:rPr>
          <w:color w:val="000000"/>
          <w:spacing w:val="-4"/>
          <w:lang w:val="en-GB"/>
        </w:rPr>
        <w:t>’</w:t>
      </w:r>
      <w:r w:rsidRPr="002C3ED5">
        <w:rPr>
          <w:color w:val="000000"/>
          <w:spacing w:val="-4"/>
          <w:lang w:val="en-GB"/>
        </w:rPr>
        <w:t xml:space="preserve"> </w:t>
      </w:r>
      <w:r w:rsidR="005A62FB" w:rsidRPr="002C3ED5">
        <w:rPr>
          <w:color w:val="000000"/>
          <w:spacing w:val="-4"/>
          <w:lang w:val="en-GB"/>
        </w:rPr>
        <w:t xml:space="preserve">separation </w:t>
      </w:r>
      <w:r w:rsidRPr="002C3ED5">
        <w:rPr>
          <w:color w:val="000000"/>
          <w:spacing w:val="-4"/>
          <w:lang w:val="en-GB"/>
        </w:rPr>
        <w:t>from Fujitsu prevented business pressures from affecting the direction of research</w:t>
      </w:r>
      <w:r w:rsidR="005A62FB" w:rsidRPr="002C3ED5">
        <w:rPr>
          <w:color w:val="000000"/>
          <w:spacing w:val="-4"/>
          <w:lang w:val="en-GB"/>
        </w:rPr>
        <w:t xml:space="preserve"> and allowed</w:t>
      </w:r>
      <w:r w:rsidRPr="002C3ED5">
        <w:rPr>
          <w:color w:val="000000"/>
          <w:spacing w:val="-4"/>
          <w:lang w:val="en-GB"/>
        </w:rPr>
        <w:t xml:space="preserve"> researchers </w:t>
      </w:r>
      <w:r w:rsidR="005A62FB" w:rsidRPr="002C3ED5">
        <w:rPr>
          <w:color w:val="000000"/>
          <w:spacing w:val="-4"/>
          <w:lang w:val="en-GB"/>
        </w:rPr>
        <w:t xml:space="preserve">to </w:t>
      </w:r>
      <w:r w:rsidRPr="002C3ED5">
        <w:rPr>
          <w:color w:val="000000"/>
          <w:spacing w:val="-4"/>
          <w:lang w:val="en-GB"/>
        </w:rPr>
        <w:t xml:space="preserve">spend </w:t>
      </w:r>
      <w:r w:rsidR="005A62FB" w:rsidRPr="002C3ED5">
        <w:rPr>
          <w:color w:val="000000"/>
          <w:spacing w:val="-4"/>
          <w:lang w:val="en-GB"/>
        </w:rPr>
        <w:t xml:space="preserve">more </w:t>
      </w:r>
      <w:r w:rsidRPr="002C3ED5">
        <w:rPr>
          <w:color w:val="000000"/>
          <w:spacing w:val="-4"/>
          <w:lang w:val="en-GB"/>
        </w:rPr>
        <w:t>time focus</w:t>
      </w:r>
      <w:r w:rsidR="005A62FB" w:rsidRPr="002C3ED5">
        <w:rPr>
          <w:color w:val="000000"/>
          <w:spacing w:val="-4"/>
          <w:lang w:val="en-GB"/>
        </w:rPr>
        <w:t>ing</w:t>
      </w:r>
      <w:r w:rsidRPr="002C3ED5">
        <w:rPr>
          <w:color w:val="000000"/>
          <w:spacing w:val="-4"/>
          <w:lang w:val="en-GB"/>
        </w:rPr>
        <w:t xml:space="preserve"> on their projects</w:t>
      </w:r>
      <w:r w:rsidR="005A62FB" w:rsidRPr="002C3ED5">
        <w:rPr>
          <w:color w:val="000000"/>
          <w:spacing w:val="-4"/>
          <w:lang w:val="en-GB"/>
        </w:rPr>
        <w:t>,</w:t>
      </w:r>
      <w:r w:rsidRPr="002C3ED5">
        <w:rPr>
          <w:color w:val="000000"/>
          <w:spacing w:val="-4"/>
          <w:lang w:val="en-GB"/>
        </w:rPr>
        <w:t xml:space="preserve"> without worrying too much about profitability. The autonomy granted to </w:t>
      </w:r>
      <w:r w:rsidR="005A62FB" w:rsidRPr="002C3ED5">
        <w:rPr>
          <w:color w:val="000000"/>
          <w:spacing w:val="-4"/>
          <w:lang w:val="en-GB"/>
        </w:rPr>
        <w:t xml:space="preserve">scientists at </w:t>
      </w:r>
      <w:r w:rsidRPr="002C3ED5">
        <w:rPr>
          <w:color w:val="000000"/>
          <w:spacing w:val="-4"/>
          <w:lang w:val="en-GB"/>
        </w:rPr>
        <w:t xml:space="preserve">Fujitsu Laboratories to explore new ideas ranging from outer space to human biology was critical in generating innovative businesses for the future. Among Japanese high-technology companies, Fujitsu had been one of the most active </w:t>
      </w:r>
      <w:r w:rsidR="005A62FB" w:rsidRPr="002C3ED5">
        <w:rPr>
          <w:color w:val="000000"/>
          <w:spacing w:val="-4"/>
          <w:lang w:val="en-GB"/>
        </w:rPr>
        <w:t>in</w:t>
      </w:r>
      <w:r w:rsidRPr="002C3ED5">
        <w:rPr>
          <w:color w:val="000000"/>
          <w:spacing w:val="-4"/>
          <w:lang w:val="en-GB"/>
        </w:rPr>
        <w:t xml:space="preserve"> </w:t>
      </w:r>
      <w:r w:rsidR="005A62FB" w:rsidRPr="002C3ED5">
        <w:rPr>
          <w:color w:val="000000"/>
          <w:spacing w:val="-4"/>
          <w:lang w:val="en-GB"/>
        </w:rPr>
        <w:t xml:space="preserve">leveraging </w:t>
      </w:r>
      <w:r w:rsidRPr="002C3ED5">
        <w:rPr>
          <w:color w:val="000000"/>
          <w:spacing w:val="-4"/>
          <w:lang w:val="en-GB"/>
        </w:rPr>
        <w:t>its intellectual property rights through sale</w:t>
      </w:r>
      <w:r w:rsidR="005A62FB" w:rsidRPr="002C3ED5">
        <w:rPr>
          <w:color w:val="000000"/>
          <w:spacing w:val="-4"/>
          <w:lang w:val="en-GB"/>
        </w:rPr>
        <w:t>s</w:t>
      </w:r>
      <w:r w:rsidRPr="002C3ED5">
        <w:rPr>
          <w:color w:val="000000"/>
          <w:spacing w:val="-4"/>
          <w:lang w:val="en-GB"/>
        </w:rPr>
        <w:t xml:space="preserve"> or </w:t>
      </w:r>
      <w:r w:rsidR="00935094" w:rsidRPr="002C3ED5">
        <w:rPr>
          <w:color w:val="000000"/>
          <w:spacing w:val="-4"/>
          <w:lang w:val="en-GB"/>
        </w:rPr>
        <w:t xml:space="preserve">the </w:t>
      </w:r>
      <w:r w:rsidR="005A62FB" w:rsidRPr="002C3ED5">
        <w:rPr>
          <w:color w:val="000000"/>
          <w:spacing w:val="-4"/>
          <w:lang w:val="en-GB"/>
        </w:rPr>
        <w:t>spin-</w:t>
      </w:r>
      <w:r w:rsidRPr="002C3ED5">
        <w:rPr>
          <w:color w:val="000000"/>
          <w:spacing w:val="-4"/>
          <w:lang w:val="en-GB"/>
        </w:rPr>
        <w:t>off</w:t>
      </w:r>
      <w:r w:rsidR="005A62FB" w:rsidRPr="002C3ED5">
        <w:rPr>
          <w:color w:val="000000"/>
          <w:spacing w:val="-4"/>
          <w:lang w:val="en-GB"/>
        </w:rPr>
        <w:t xml:space="preserve"> of</w:t>
      </w:r>
      <w:r w:rsidRPr="002C3ED5">
        <w:rPr>
          <w:color w:val="000000"/>
          <w:spacing w:val="-4"/>
          <w:lang w:val="en-GB"/>
        </w:rPr>
        <w:t xml:space="preserve"> new companies to commercialize its technologies. In the case of Apta Biosciences, Fujitsu assigned key patents on aptamer technology to the new venture, besides making equity investments.</w:t>
      </w:r>
    </w:p>
    <w:p w14:paraId="5BFE2832" w14:textId="77777777" w:rsidR="002C3ED5" w:rsidRDefault="002C3ED5" w:rsidP="004E45EB">
      <w:pPr>
        <w:pStyle w:val="BodyTextMain"/>
        <w:rPr>
          <w:color w:val="000000"/>
          <w:spacing w:val="-2"/>
          <w:lang w:val="en-GB"/>
        </w:rPr>
      </w:pPr>
    </w:p>
    <w:p w14:paraId="4058F50F" w14:textId="77777777" w:rsidR="002C3ED5" w:rsidRPr="00B926DB" w:rsidRDefault="002C3ED5" w:rsidP="004E45EB">
      <w:pPr>
        <w:pStyle w:val="BodyTextMain"/>
        <w:rPr>
          <w:color w:val="000000"/>
          <w:spacing w:val="-2"/>
          <w:lang w:val="en-GB"/>
        </w:rPr>
      </w:pPr>
    </w:p>
    <w:p w14:paraId="7D9DEFEE" w14:textId="77777777" w:rsidR="00922282" w:rsidRPr="00AD3822" w:rsidRDefault="00922282" w:rsidP="00922282">
      <w:pPr>
        <w:pStyle w:val="Casehead1"/>
        <w:keepNext/>
        <w:rPr>
          <w:lang w:val="en-GB"/>
        </w:rPr>
      </w:pPr>
      <w:r w:rsidRPr="00AD3822">
        <w:rPr>
          <w:lang w:val="en-GB"/>
        </w:rPr>
        <w:t>CONNECTED SERVICES</w:t>
      </w:r>
    </w:p>
    <w:p w14:paraId="2F0A7C8A" w14:textId="77777777" w:rsidR="00922282" w:rsidRPr="00AD3822" w:rsidRDefault="00922282" w:rsidP="00922282">
      <w:pPr>
        <w:keepNext/>
        <w:jc w:val="both"/>
        <w:rPr>
          <w:szCs w:val="22"/>
          <w:lang w:val="en-GB"/>
        </w:rPr>
      </w:pPr>
    </w:p>
    <w:p w14:paraId="4058965F" w14:textId="39987E3D" w:rsidR="00922282" w:rsidRPr="00AD3822" w:rsidRDefault="005A62FB" w:rsidP="00922282">
      <w:pPr>
        <w:pStyle w:val="BodyTextMain"/>
        <w:keepNext/>
        <w:rPr>
          <w:spacing w:val="-2"/>
          <w:lang w:val="en-GB"/>
        </w:rPr>
      </w:pPr>
      <w:r w:rsidRPr="00AD3822">
        <w:rPr>
          <w:spacing w:val="-2"/>
          <w:lang w:val="en-GB"/>
        </w:rPr>
        <w:t xml:space="preserve">Fujitsu recognized a future market need for combinations of key digital technologies, especially AI and </w:t>
      </w:r>
      <w:r w:rsidR="00935094">
        <w:rPr>
          <w:spacing w:val="-2"/>
          <w:lang w:val="en-GB"/>
        </w:rPr>
        <w:t xml:space="preserve">the </w:t>
      </w:r>
      <w:r w:rsidRPr="00AD3822">
        <w:rPr>
          <w:spacing w:val="-2"/>
          <w:lang w:val="en-GB"/>
        </w:rPr>
        <w:t>IoT, and it made such c</w:t>
      </w:r>
      <w:r w:rsidR="00922282" w:rsidRPr="00AD3822">
        <w:rPr>
          <w:spacing w:val="-2"/>
          <w:lang w:val="en-GB"/>
        </w:rPr>
        <w:t xml:space="preserve">onnected services </w:t>
      </w:r>
      <w:r w:rsidRPr="00AD3822">
        <w:rPr>
          <w:spacing w:val="-2"/>
          <w:lang w:val="en-GB"/>
        </w:rPr>
        <w:t>its</w:t>
      </w:r>
      <w:r w:rsidR="00922282" w:rsidRPr="00AD3822">
        <w:rPr>
          <w:spacing w:val="-2"/>
          <w:lang w:val="en-GB"/>
        </w:rPr>
        <w:t xml:space="preserve"> </w:t>
      </w:r>
      <w:r w:rsidRPr="00AD3822">
        <w:rPr>
          <w:spacing w:val="-2"/>
          <w:lang w:val="en-GB"/>
        </w:rPr>
        <w:t xml:space="preserve">company </w:t>
      </w:r>
      <w:r w:rsidR="00922282" w:rsidRPr="00AD3822">
        <w:rPr>
          <w:spacing w:val="-2"/>
          <w:lang w:val="en-GB"/>
        </w:rPr>
        <w:t xml:space="preserve">vision. </w:t>
      </w:r>
      <w:r w:rsidRPr="00AD3822">
        <w:rPr>
          <w:spacing w:val="-2"/>
          <w:lang w:val="en-GB"/>
        </w:rPr>
        <w:t xml:space="preserve">The company provided access to such services </w:t>
      </w:r>
      <w:r w:rsidR="00922282" w:rsidRPr="00AD3822">
        <w:rPr>
          <w:spacing w:val="-2"/>
          <w:lang w:val="en-GB"/>
        </w:rPr>
        <w:lastRenderedPageBreak/>
        <w:t>on a cloud-based computing platform, connect</w:t>
      </w:r>
      <w:r w:rsidR="00587722" w:rsidRPr="00AD3822">
        <w:rPr>
          <w:spacing w:val="-2"/>
          <w:lang w:val="en-GB"/>
        </w:rPr>
        <w:t>ing</w:t>
      </w:r>
      <w:r w:rsidR="00922282" w:rsidRPr="00AD3822">
        <w:rPr>
          <w:spacing w:val="-2"/>
          <w:lang w:val="en-GB"/>
        </w:rPr>
        <w:t xml:space="preserve"> customers and ecosystem partners to co-create value. Connected services were new kinds of technology platforms that facilitate</w:t>
      </w:r>
      <w:r w:rsidR="00587722" w:rsidRPr="00AD3822">
        <w:rPr>
          <w:spacing w:val="-2"/>
          <w:lang w:val="en-GB"/>
        </w:rPr>
        <w:t>d</w:t>
      </w:r>
      <w:r w:rsidR="00922282" w:rsidRPr="00AD3822">
        <w:rPr>
          <w:spacing w:val="-2"/>
          <w:lang w:val="en-GB"/>
        </w:rPr>
        <w:t xml:space="preserve"> </w:t>
      </w:r>
      <w:r w:rsidR="00587722" w:rsidRPr="00AD3822">
        <w:rPr>
          <w:spacing w:val="-2"/>
          <w:lang w:val="en-GB"/>
        </w:rPr>
        <w:t xml:space="preserve">a number of endeavours: </w:t>
      </w:r>
      <w:r w:rsidR="00922282" w:rsidRPr="00AD3822">
        <w:rPr>
          <w:spacing w:val="-2"/>
          <w:lang w:val="en-GB"/>
        </w:rPr>
        <w:t>(</w:t>
      </w:r>
      <w:r w:rsidR="00587722" w:rsidRPr="00AD3822">
        <w:rPr>
          <w:spacing w:val="-2"/>
          <w:lang w:val="en-GB"/>
        </w:rPr>
        <w:t>1</w:t>
      </w:r>
      <w:r w:rsidR="00922282" w:rsidRPr="00AD3822">
        <w:rPr>
          <w:spacing w:val="-2"/>
          <w:lang w:val="en-GB"/>
        </w:rPr>
        <w:t>) joint research with research institutes, universities</w:t>
      </w:r>
      <w:r w:rsidR="00587722" w:rsidRPr="00AD3822">
        <w:rPr>
          <w:spacing w:val="-2"/>
          <w:lang w:val="en-GB"/>
        </w:rPr>
        <w:t>,</w:t>
      </w:r>
      <w:r w:rsidR="00922282" w:rsidRPr="00AD3822">
        <w:rPr>
          <w:spacing w:val="-2"/>
          <w:lang w:val="en-GB"/>
        </w:rPr>
        <w:t xml:space="preserve"> and global technology partners</w:t>
      </w:r>
      <w:r w:rsidR="00587722" w:rsidRPr="00AD3822">
        <w:rPr>
          <w:spacing w:val="-2"/>
          <w:lang w:val="en-GB"/>
        </w:rPr>
        <w:t xml:space="preserve">; </w:t>
      </w:r>
      <w:r w:rsidR="00922282" w:rsidRPr="00AD3822">
        <w:rPr>
          <w:spacing w:val="-2"/>
          <w:lang w:val="en-GB"/>
        </w:rPr>
        <w:t>(</w:t>
      </w:r>
      <w:r w:rsidR="00587722" w:rsidRPr="00AD3822">
        <w:rPr>
          <w:spacing w:val="-2"/>
          <w:lang w:val="en-GB"/>
        </w:rPr>
        <w:t>2</w:t>
      </w:r>
      <w:r w:rsidR="00922282" w:rsidRPr="00AD3822">
        <w:rPr>
          <w:spacing w:val="-2"/>
          <w:lang w:val="en-GB"/>
        </w:rPr>
        <w:t xml:space="preserve">) contributions to government </w:t>
      </w:r>
      <w:r w:rsidR="00587722" w:rsidRPr="00AD3822">
        <w:rPr>
          <w:spacing w:val="-2"/>
          <w:lang w:val="en-GB"/>
        </w:rPr>
        <w:t xml:space="preserve">sustainable development </w:t>
      </w:r>
      <w:r w:rsidR="00922282" w:rsidRPr="00AD3822">
        <w:rPr>
          <w:spacing w:val="-2"/>
          <w:lang w:val="en-GB"/>
        </w:rPr>
        <w:t xml:space="preserve">projects in </w:t>
      </w:r>
      <w:r w:rsidR="0011578B" w:rsidRPr="00AD3822">
        <w:rPr>
          <w:spacing w:val="-2"/>
          <w:lang w:val="en-GB"/>
        </w:rPr>
        <w:t>countries where the company operated</w:t>
      </w:r>
      <w:r w:rsidR="00587722" w:rsidRPr="00AD3822">
        <w:rPr>
          <w:spacing w:val="-2"/>
          <w:lang w:val="en-GB"/>
        </w:rPr>
        <w:t xml:space="preserve">; </w:t>
      </w:r>
      <w:r w:rsidR="00922282" w:rsidRPr="00AD3822">
        <w:rPr>
          <w:spacing w:val="-2"/>
          <w:lang w:val="en-GB"/>
        </w:rPr>
        <w:t>(</w:t>
      </w:r>
      <w:r w:rsidR="00587722" w:rsidRPr="00AD3822">
        <w:rPr>
          <w:spacing w:val="-2"/>
          <w:lang w:val="en-GB"/>
        </w:rPr>
        <w:t>3</w:t>
      </w:r>
      <w:r w:rsidR="00922282" w:rsidRPr="00AD3822">
        <w:rPr>
          <w:spacing w:val="-2"/>
          <w:lang w:val="en-GB"/>
        </w:rPr>
        <w:t>) support for core business</w:t>
      </w:r>
      <w:r w:rsidR="00587722" w:rsidRPr="00AD3822">
        <w:rPr>
          <w:spacing w:val="-2"/>
          <w:lang w:val="en-GB"/>
        </w:rPr>
        <w:t xml:space="preserve">; </w:t>
      </w:r>
      <w:r w:rsidR="00922282" w:rsidRPr="00AD3822">
        <w:rPr>
          <w:spacing w:val="-2"/>
          <w:lang w:val="en-GB"/>
        </w:rPr>
        <w:t>(</w:t>
      </w:r>
      <w:r w:rsidR="00587722" w:rsidRPr="00AD3822">
        <w:rPr>
          <w:spacing w:val="-2"/>
          <w:lang w:val="en-GB"/>
        </w:rPr>
        <w:t>4</w:t>
      </w:r>
      <w:r w:rsidR="00922282" w:rsidRPr="00AD3822">
        <w:rPr>
          <w:spacing w:val="-2"/>
          <w:lang w:val="en-GB"/>
        </w:rPr>
        <w:t>) co-creation with customers</w:t>
      </w:r>
      <w:r w:rsidR="00587722" w:rsidRPr="00AD3822">
        <w:rPr>
          <w:spacing w:val="-2"/>
          <w:lang w:val="en-GB"/>
        </w:rPr>
        <w:t>;</w:t>
      </w:r>
      <w:r w:rsidR="00922282" w:rsidRPr="00AD3822">
        <w:rPr>
          <w:spacing w:val="-2"/>
          <w:lang w:val="en-GB"/>
        </w:rPr>
        <w:t xml:space="preserve"> (</w:t>
      </w:r>
      <w:r w:rsidR="00587722" w:rsidRPr="00AD3822">
        <w:rPr>
          <w:spacing w:val="-2"/>
          <w:lang w:val="en-GB"/>
        </w:rPr>
        <w:t>5</w:t>
      </w:r>
      <w:r w:rsidR="00922282" w:rsidRPr="00AD3822">
        <w:rPr>
          <w:spacing w:val="-2"/>
          <w:lang w:val="en-GB"/>
        </w:rPr>
        <w:t>) service delivery to customers</w:t>
      </w:r>
      <w:r w:rsidR="00587722" w:rsidRPr="00AD3822">
        <w:rPr>
          <w:spacing w:val="-2"/>
          <w:lang w:val="en-GB"/>
        </w:rPr>
        <w:t>;</w:t>
      </w:r>
      <w:r w:rsidR="00922282" w:rsidRPr="00AD3822">
        <w:rPr>
          <w:spacing w:val="-2"/>
          <w:lang w:val="en-GB"/>
        </w:rPr>
        <w:t xml:space="preserve"> (</w:t>
      </w:r>
      <w:r w:rsidR="00587722" w:rsidRPr="00AD3822">
        <w:rPr>
          <w:spacing w:val="-2"/>
          <w:lang w:val="en-GB"/>
        </w:rPr>
        <w:t>6</w:t>
      </w:r>
      <w:r w:rsidR="00922282" w:rsidRPr="00AD3822">
        <w:rPr>
          <w:spacing w:val="-2"/>
          <w:lang w:val="en-GB"/>
        </w:rPr>
        <w:t xml:space="preserve">) alliances with </w:t>
      </w:r>
      <w:r w:rsidR="00587722" w:rsidRPr="00AD3822">
        <w:rPr>
          <w:spacing w:val="-2"/>
          <w:lang w:val="en-GB"/>
        </w:rPr>
        <w:t xml:space="preserve">leading </w:t>
      </w:r>
      <w:r w:rsidR="00922282" w:rsidRPr="00AD3822">
        <w:rPr>
          <w:spacing w:val="-2"/>
          <w:lang w:val="en-GB"/>
        </w:rPr>
        <w:t>global enterprises and ICT players</w:t>
      </w:r>
      <w:r w:rsidR="00587722" w:rsidRPr="00AD3822">
        <w:rPr>
          <w:spacing w:val="-2"/>
          <w:lang w:val="en-GB"/>
        </w:rPr>
        <w:t>; and</w:t>
      </w:r>
      <w:r w:rsidR="00922282" w:rsidRPr="00AD3822">
        <w:rPr>
          <w:spacing w:val="-2"/>
          <w:lang w:val="en-GB"/>
        </w:rPr>
        <w:t xml:space="preserve"> (</w:t>
      </w:r>
      <w:r w:rsidR="00587722" w:rsidRPr="00AD3822">
        <w:rPr>
          <w:spacing w:val="-2"/>
          <w:lang w:val="en-GB"/>
        </w:rPr>
        <w:t>7</w:t>
      </w:r>
      <w:r w:rsidR="00922282" w:rsidRPr="00AD3822">
        <w:rPr>
          <w:spacing w:val="-2"/>
          <w:lang w:val="en-GB"/>
        </w:rPr>
        <w:t>) knowledge acquisition from experts in various fields</w:t>
      </w:r>
      <w:r w:rsidR="00587722" w:rsidRPr="00AD3822">
        <w:rPr>
          <w:spacing w:val="-2"/>
          <w:lang w:val="en-GB"/>
        </w:rPr>
        <w:t xml:space="preserve"> (see</w:t>
      </w:r>
      <w:r w:rsidR="00922282" w:rsidRPr="00AD3822">
        <w:rPr>
          <w:spacing w:val="-2"/>
          <w:lang w:val="en-GB"/>
        </w:rPr>
        <w:t xml:space="preserve"> Exhibit 4</w:t>
      </w:r>
      <w:r w:rsidR="00587722" w:rsidRPr="00AD3822">
        <w:rPr>
          <w:spacing w:val="-2"/>
          <w:lang w:val="en-GB"/>
        </w:rPr>
        <w:t>)</w:t>
      </w:r>
      <w:r w:rsidR="00922282" w:rsidRPr="00AD3822">
        <w:rPr>
          <w:spacing w:val="-2"/>
          <w:lang w:val="en-GB"/>
        </w:rPr>
        <w:t>.</w:t>
      </w:r>
    </w:p>
    <w:p w14:paraId="218D84FE" w14:textId="77777777" w:rsidR="00922282" w:rsidRPr="00AD3822" w:rsidRDefault="00922282" w:rsidP="00DF722C">
      <w:pPr>
        <w:jc w:val="both"/>
        <w:rPr>
          <w:szCs w:val="22"/>
          <w:lang w:val="en-GB"/>
        </w:rPr>
      </w:pPr>
    </w:p>
    <w:p w14:paraId="4D33CCE1" w14:textId="77777777" w:rsidR="00922282" w:rsidRPr="00AD3822" w:rsidRDefault="00922282" w:rsidP="00DF722C">
      <w:pPr>
        <w:jc w:val="both"/>
        <w:rPr>
          <w:szCs w:val="22"/>
          <w:lang w:val="en-GB"/>
        </w:rPr>
      </w:pPr>
    </w:p>
    <w:p w14:paraId="5747ADF3" w14:textId="0AB66C8E" w:rsidR="00922282" w:rsidRPr="00AD3822" w:rsidRDefault="00922282" w:rsidP="004E45EB">
      <w:pPr>
        <w:pStyle w:val="Casehead1"/>
        <w:rPr>
          <w:lang w:val="en-GB"/>
        </w:rPr>
      </w:pPr>
      <w:r w:rsidRPr="00AD3822">
        <w:rPr>
          <w:lang w:val="en-GB"/>
        </w:rPr>
        <w:t>The Akisai Project</w:t>
      </w:r>
      <w:r w:rsidR="00587722" w:rsidRPr="00AD3822">
        <w:rPr>
          <w:lang w:val="en-GB"/>
        </w:rPr>
        <w:t>:</w:t>
      </w:r>
      <w:r w:rsidRPr="00AD3822">
        <w:rPr>
          <w:lang w:val="en-GB"/>
        </w:rPr>
        <w:t xml:space="preserve"> The Agricultural Cloud</w:t>
      </w:r>
    </w:p>
    <w:p w14:paraId="73E937CA" w14:textId="77777777" w:rsidR="00922282" w:rsidRPr="00AD3822" w:rsidRDefault="00922282" w:rsidP="00DF722C">
      <w:pPr>
        <w:jc w:val="both"/>
        <w:rPr>
          <w:szCs w:val="22"/>
          <w:lang w:val="en-GB"/>
        </w:rPr>
      </w:pPr>
    </w:p>
    <w:p w14:paraId="550E2B88" w14:textId="3EAFF1F1" w:rsidR="00922282" w:rsidRPr="00B926DB" w:rsidRDefault="00922282" w:rsidP="004E45EB">
      <w:pPr>
        <w:pStyle w:val="BodyTextMain"/>
        <w:rPr>
          <w:spacing w:val="-2"/>
          <w:lang w:val="en-GB"/>
        </w:rPr>
      </w:pPr>
      <w:r w:rsidRPr="00B926DB">
        <w:rPr>
          <w:spacing w:val="-2"/>
          <w:lang w:val="en-GB"/>
        </w:rPr>
        <w:t xml:space="preserve">One example of Fujitsu’s connected services </w:t>
      </w:r>
      <w:r w:rsidR="00587722" w:rsidRPr="00B926DB">
        <w:rPr>
          <w:spacing w:val="-2"/>
          <w:lang w:val="en-GB"/>
        </w:rPr>
        <w:t>was</w:t>
      </w:r>
      <w:r w:rsidRPr="00B926DB">
        <w:rPr>
          <w:spacing w:val="-2"/>
          <w:lang w:val="en-GB"/>
        </w:rPr>
        <w:t xml:space="preserve"> its agricultural cloud</w:t>
      </w:r>
      <w:r w:rsidR="00587722" w:rsidRPr="00B926DB">
        <w:rPr>
          <w:spacing w:val="-2"/>
          <w:lang w:val="en-GB"/>
        </w:rPr>
        <w:t>,</w:t>
      </w:r>
      <w:r w:rsidRPr="00B926DB">
        <w:rPr>
          <w:spacing w:val="-2"/>
          <w:lang w:val="en-GB"/>
        </w:rPr>
        <w:t xml:space="preserve"> Akisai. In recent years, Japan</w:t>
      </w:r>
      <w:r w:rsidR="00587722" w:rsidRPr="00B926DB">
        <w:rPr>
          <w:spacing w:val="-2"/>
          <w:lang w:val="en-GB"/>
        </w:rPr>
        <w:t>’s</w:t>
      </w:r>
      <w:r w:rsidRPr="00B926DB">
        <w:rPr>
          <w:spacing w:val="-2"/>
          <w:lang w:val="en-GB"/>
        </w:rPr>
        <w:t xml:space="preserve"> agricultural sector </w:t>
      </w:r>
      <w:r w:rsidR="00587722" w:rsidRPr="00B926DB">
        <w:rPr>
          <w:spacing w:val="-2"/>
          <w:lang w:val="en-GB"/>
        </w:rPr>
        <w:t xml:space="preserve">had been </w:t>
      </w:r>
      <w:r w:rsidRPr="00B926DB">
        <w:rPr>
          <w:spacing w:val="-2"/>
          <w:lang w:val="en-GB"/>
        </w:rPr>
        <w:t>failing</w:t>
      </w:r>
      <w:r w:rsidR="008A2FD5" w:rsidRPr="00B926DB">
        <w:rPr>
          <w:spacing w:val="-2"/>
          <w:lang w:val="en-GB"/>
        </w:rPr>
        <w:t>,</w:t>
      </w:r>
      <w:r w:rsidRPr="00B926DB">
        <w:rPr>
          <w:spacing w:val="-2"/>
          <w:lang w:val="en-GB"/>
        </w:rPr>
        <w:t xml:space="preserve"> as </w:t>
      </w:r>
      <w:r w:rsidR="0095614D" w:rsidRPr="00B926DB">
        <w:rPr>
          <w:spacing w:val="-2"/>
          <w:lang w:val="en-GB"/>
        </w:rPr>
        <w:t xml:space="preserve">farmers </w:t>
      </w:r>
      <w:r w:rsidRPr="00B926DB">
        <w:rPr>
          <w:spacing w:val="-2"/>
          <w:lang w:val="en-GB"/>
        </w:rPr>
        <w:t>abandoned</w:t>
      </w:r>
      <w:r w:rsidR="0095614D" w:rsidRPr="00B926DB">
        <w:rPr>
          <w:spacing w:val="-2"/>
          <w:lang w:val="en-GB"/>
        </w:rPr>
        <w:t xml:space="preserve"> arable land</w:t>
      </w:r>
      <w:r w:rsidRPr="00B926DB">
        <w:rPr>
          <w:spacing w:val="-2"/>
          <w:lang w:val="en-GB"/>
        </w:rPr>
        <w:t xml:space="preserve">. </w:t>
      </w:r>
      <w:r w:rsidR="008A2FD5" w:rsidRPr="00B926DB">
        <w:rPr>
          <w:spacing w:val="-2"/>
          <w:lang w:val="en-GB"/>
        </w:rPr>
        <w:t xml:space="preserve">The country had </w:t>
      </w:r>
      <w:r w:rsidR="00587722" w:rsidRPr="00B926DB">
        <w:rPr>
          <w:spacing w:val="-2"/>
          <w:lang w:val="en-GB"/>
        </w:rPr>
        <w:t>fewer</w:t>
      </w:r>
      <w:r w:rsidRPr="00B926DB">
        <w:rPr>
          <w:spacing w:val="-2"/>
          <w:lang w:val="en-GB"/>
        </w:rPr>
        <w:t xml:space="preserve"> farmers</w:t>
      </w:r>
      <w:r w:rsidR="00587722" w:rsidRPr="00B926DB">
        <w:rPr>
          <w:spacing w:val="-2"/>
          <w:lang w:val="en-GB"/>
        </w:rPr>
        <w:t xml:space="preserve">, and they were </w:t>
      </w:r>
      <w:r w:rsidRPr="00B926DB">
        <w:rPr>
          <w:spacing w:val="-2"/>
          <w:lang w:val="en-GB"/>
        </w:rPr>
        <w:t xml:space="preserve">getting older and finding it </w:t>
      </w:r>
      <w:r w:rsidR="008A2FD5" w:rsidRPr="00B926DB">
        <w:rPr>
          <w:spacing w:val="-2"/>
          <w:lang w:val="en-GB"/>
        </w:rPr>
        <w:t xml:space="preserve">more difficult </w:t>
      </w:r>
      <w:r w:rsidRPr="00B926DB">
        <w:rPr>
          <w:spacing w:val="-2"/>
          <w:lang w:val="en-GB"/>
        </w:rPr>
        <w:t>to cope with the back</w:t>
      </w:r>
      <w:r w:rsidR="0095614D" w:rsidRPr="00B926DB">
        <w:rPr>
          <w:spacing w:val="-2"/>
          <w:lang w:val="en-GB"/>
        </w:rPr>
        <w:t>-</w:t>
      </w:r>
      <w:r w:rsidRPr="00B926DB">
        <w:rPr>
          <w:spacing w:val="-2"/>
          <w:lang w:val="en-GB"/>
        </w:rPr>
        <w:t xml:space="preserve">breaking labour of farming. To support the Japanese government’s effort to save the agricultural industry, Fujitsu worked with industry stakeholders </w:t>
      </w:r>
      <w:r w:rsidR="0095614D" w:rsidRPr="00B926DB">
        <w:rPr>
          <w:spacing w:val="-2"/>
          <w:lang w:val="en-GB"/>
        </w:rPr>
        <w:t xml:space="preserve">in 2012 </w:t>
      </w:r>
      <w:r w:rsidRPr="00B926DB">
        <w:rPr>
          <w:spacing w:val="-2"/>
          <w:lang w:val="en-GB"/>
        </w:rPr>
        <w:t>to co-develop and launch the Akisai platform</w:t>
      </w:r>
      <w:r w:rsidR="00587722" w:rsidRPr="00B926DB">
        <w:rPr>
          <w:spacing w:val="-2"/>
          <w:lang w:val="en-GB"/>
        </w:rPr>
        <w:t>, which</w:t>
      </w:r>
      <w:r w:rsidRPr="00B926DB">
        <w:rPr>
          <w:spacing w:val="-2"/>
          <w:lang w:val="en-GB"/>
        </w:rPr>
        <w:t xml:space="preserve"> </w:t>
      </w:r>
      <w:r w:rsidR="00587722" w:rsidRPr="00B926DB">
        <w:rPr>
          <w:spacing w:val="-2"/>
          <w:lang w:val="en-GB"/>
        </w:rPr>
        <w:t xml:space="preserve">used </w:t>
      </w:r>
      <w:r w:rsidR="008A2FD5" w:rsidRPr="00B926DB">
        <w:rPr>
          <w:spacing w:val="-2"/>
          <w:lang w:val="en-GB"/>
        </w:rPr>
        <w:t xml:space="preserve">the </w:t>
      </w:r>
      <w:r w:rsidRPr="00B926DB">
        <w:rPr>
          <w:spacing w:val="-2"/>
          <w:lang w:val="en-GB"/>
        </w:rPr>
        <w:t xml:space="preserve">IoT and AI. The project involved interviewing experienced farmers and agricultural advisors to capture their knowledge and expertise in farming under different conditions to build </w:t>
      </w:r>
      <w:r w:rsidR="00587722" w:rsidRPr="00B926DB">
        <w:rPr>
          <w:spacing w:val="-2"/>
          <w:lang w:val="en-GB"/>
        </w:rPr>
        <w:t xml:space="preserve">a </w:t>
      </w:r>
      <w:r w:rsidRPr="00B926DB">
        <w:rPr>
          <w:spacing w:val="-2"/>
          <w:lang w:val="en-GB"/>
        </w:rPr>
        <w:t xml:space="preserve">knowledge base for AI. </w:t>
      </w:r>
      <w:r w:rsidR="00587722" w:rsidRPr="00B926DB">
        <w:rPr>
          <w:spacing w:val="-2"/>
          <w:lang w:val="en-GB"/>
        </w:rPr>
        <w:t>Fujitsu determined</w:t>
      </w:r>
      <w:r w:rsidRPr="00B926DB">
        <w:rPr>
          <w:spacing w:val="-2"/>
          <w:lang w:val="en-GB"/>
        </w:rPr>
        <w:t xml:space="preserve"> the needs and challenges of potential clients</w:t>
      </w:r>
      <w:r w:rsidR="00587722" w:rsidRPr="00B926DB">
        <w:rPr>
          <w:spacing w:val="-2"/>
          <w:lang w:val="en-GB"/>
        </w:rPr>
        <w:t xml:space="preserve"> and </w:t>
      </w:r>
      <w:r w:rsidRPr="00B926DB">
        <w:rPr>
          <w:spacing w:val="-2"/>
          <w:lang w:val="en-GB"/>
        </w:rPr>
        <w:t xml:space="preserve">sought support from device manufacturers </w:t>
      </w:r>
      <w:r w:rsidR="00587722" w:rsidRPr="00B926DB">
        <w:rPr>
          <w:spacing w:val="-2"/>
          <w:lang w:val="en-GB"/>
        </w:rPr>
        <w:t xml:space="preserve">to </w:t>
      </w:r>
      <w:r w:rsidRPr="00B926DB">
        <w:rPr>
          <w:spacing w:val="-2"/>
          <w:lang w:val="en-GB"/>
        </w:rPr>
        <w:t>implement sensors, cameras</w:t>
      </w:r>
      <w:r w:rsidR="00587722" w:rsidRPr="00B926DB">
        <w:rPr>
          <w:spacing w:val="-2"/>
          <w:lang w:val="en-GB"/>
        </w:rPr>
        <w:t>,</w:t>
      </w:r>
      <w:r w:rsidRPr="00B926DB">
        <w:rPr>
          <w:spacing w:val="-2"/>
          <w:lang w:val="en-GB"/>
        </w:rPr>
        <w:t xml:space="preserve"> and mobile devices for integration with its IoT servers for back</w:t>
      </w:r>
      <w:r w:rsidR="00587722" w:rsidRPr="00B926DB">
        <w:rPr>
          <w:spacing w:val="-2"/>
          <w:lang w:val="en-GB"/>
        </w:rPr>
        <w:t>-</w:t>
      </w:r>
      <w:r w:rsidRPr="00B926DB">
        <w:rPr>
          <w:spacing w:val="-2"/>
          <w:lang w:val="en-GB"/>
        </w:rPr>
        <w:t>end processing.</w:t>
      </w:r>
    </w:p>
    <w:p w14:paraId="1BA8D0A8" w14:textId="77777777" w:rsidR="00922282" w:rsidRPr="00AD3822" w:rsidRDefault="00922282" w:rsidP="00DF722C">
      <w:pPr>
        <w:jc w:val="both"/>
        <w:rPr>
          <w:szCs w:val="22"/>
          <w:lang w:val="en-GB"/>
        </w:rPr>
      </w:pPr>
    </w:p>
    <w:p w14:paraId="3659851D" w14:textId="29F1C0E9" w:rsidR="00922282" w:rsidRPr="00AD3822" w:rsidRDefault="00922282" w:rsidP="004E45EB">
      <w:pPr>
        <w:pStyle w:val="BodyTextMain"/>
        <w:rPr>
          <w:lang w:val="en-GB"/>
        </w:rPr>
      </w:pPr>
      <w:r w:rsidRPr="00AD3822">
        <w:rPr>
          <w:lang w:val="en-GB"/>
        </w:rPr>
        <w:t>The Akisai platform aimed to support all aspects of agricultural business</w:t>
      </w:r>
      <w:r w:rsidR="00587722" w:rsidRPr="00AD3822">
        <w:rPr>
          <w:lang w:val="en-GB"/>
        </w:rPr>
        <w:t>es,</w:t>
      </w:r>
      <w:r w:rsidRPr="00AD3822">
        <w:rPr>
          <w:lang w:val="en-GB"/>
        </w:rPr>
        <w:t xml:space="preserve"> from management through production to sales processes. In particular, the production process was supported by </w:t>
      </w:r>
      <w:r w:rsidR="00587722" w:rsidRPr="00AD3822">
        <w:rPr>
          <w:lang w:val="en-GB"/>
        </w:rPr>
        <w:t xml:space="preserve">a </w:t>
      </w:r>
      <w:r w:rsidRPr="00AD3822">
        <w:rPr>
          <w:lang w:val="en-GB"/>
        </w:rPr>
        <w:t>production management system that captured</w:t>
      </w:r>
      <w:r w:rsidR="00587722" w:rsidRPr="00AD3822">
        <w:rPr>
          <w:lang w:val="en-GB"/>
        </w:rPr>
        <w:t>,</w:t>
      </w:r>
      <w:r w:rsidRPr="00AD3822">
        <w:rPr>
          <w:lang w:val="en-GB"/>
        </w:rPr>
        <w:t xml:space="preserve"> through sensors and cameras</w:t>
      </w:r>
      <w:r w:rsidR="00587722" w:rsidRPr="00AD3822">
        <w:rPr>
          <w:lang w:val="en-GB"/>
        </w:rPr>
        <w:t>,</w:t>
      </w:r>
      <w:r w:rsidRPr="00AD3822">
        <w:rPr>
          <w:lang w:val="en-GB"/>
        </w:rPr>
        <w:t xml:space="preserve"> daily data </w:t>
      </w:r>
      <w:r w:rsidR="008A2FD5">
        <w:rPr>
          <w:lang w:val="en-GB"/>
        </w:rPr>
        <w:t>on</w:t>
      </w:r>
      <w:r w:rsidR="008A2FD5" w:rsidRPr="00AD3822">
        <w:rPr>
          <w:lang w:val="en-GB"/>
        </w:rPr>
        <w:t xml:space="preserve"> </w:t>
      </w:r>
      <w:r w:rsidRPr="00AD3822">
        <w:rPr>
          <w:lang w:val="en-GB"/>
        </w:rPr>
        <w:t>air</w:t>
      </w:r>
      <w:r w:rsidR="00587722" w:rsidRPr="00AD3822">
        <w:rPr>
          <w:lang w:val="en-GB"/>
        </w:rPr>
        <w:t xml:space="preserve"> and </w:t>
      </w:r>
      <w:r w:rsidRPr="00AD3822">
        <w:rPr>
          <w:lang w:val="en-GB"/>
        </w:rPr>
        <w:t>soil temperatures, air</w:t>
      </w:r>
      <w:r w:rsidR="00587722" w:rsidRPr="00AD3822">
        <w:rPr>
          <w:lang w:val="en-GB"/>
        </w:rPr>
        <w:t xml:space="preserve"> and </w:t>
      </w:r>
      <w:r w:rsidRPr="00AD3822">
        <w:rPr>
          <w:lang w:val="en-GB"/>
        </w:rPr>
        <w:t>soil humidity levels, solar radiation levels</w:t>
      </w:r>
      <w:r w:rsidR="00587722" w:rsidRPr="00AD3822">
        <w:rPr>
          <w:lang w:val="en-GB"/>
        </w:rPr>
        <w:t>,</w:t>
      </w:r>
      <w:r w:rsidRPr="00AD3822">
        <w:rPr>
          <w:lang w:val="en-GB"/>
        </w:rPr>
        <w:t xml:space="preserve"> and other field </w:t>
      </w:r>
      <w:r w:rsidR="00587722" w:rsidRPr="00AD3822">
        <w:rPr>
          <w:lang w:val="en-GB"/>
        </w:rPr>
        <w:t>conditions</w:t>
      </w:r>
      <w:r w:rsidRPr="00AD3822">
        <w:rPr>
          <w:lang w:val="en-GB"/>
        </w:rPr>
        <w:t>. Worker records, production history</w:t>
      </w:r>
      <w:r w:rsidR="00587722" w:rsidRPr="00AD3822">
        <w:rPr>
          <w:lang w:val="en-GB"/>
        </w:rPr>
        <w:t>,</w:t>
      </w:r>
      <w:r w:rsidRPr="00AD3822">
        <w:rPr>
          <w:lang w:val="en-GB"/>
        </w:rPr>
        <w:t xml:space="preserve"> and crop growth data were also collected daily via mobile devices. These harvesting data, together with inputs from farming advisors, data from agricultural experimental laboratories, and external data services such as Google Maps and weather forecasts, were then analyzed to support management functions such as planning and decision-making</w:t>
      </w:r>
      <w:r w:rsidR="00587722" w:rsidRPr="00AD3822">
        <w:rPr>
          <w:lang w:val="en-GB"/>
        </w:rPr>
        <w:t xml:space="preserve"> (s</w:t>
      </w:r>
      <w:r w:rsidRPr="00AD3822">
        <w:rPr>
          <w:lang w:val="en-GB"/>
        </w:rPr>
        <w:t>ee Exhibit 5</w:t>
      </w:r>
      <w:r w:rsidR="00587722" w:rsidRPr="00AD3822">
        <w:rPr>
          <w:lang w:val="en-GB"/>
        </w:rPr>
        <w:t>)</w:t>
      </w:r>
      <w:r w:rsidRPr="00AD3822">
        <w:rPr>
          <w:lang w:val="en-GB"/>
        </w:rPr>
        <w:t>.</w:t>
      </w:r>
    </w:p>
    <w:p w14:paraId="23547956" w14:textId="77777777" w:rsidR="00922282" w:rsidRPr="00AD3822" w:rsidRDefault="00922282" w:rsidP="00DF722C">
      <w:pPr>
        <w:jc w:val="both"/>
        <w:rPr>
          <w:szCs w:val="22"/>
          <w:lang w:val="en-GB"/>
        </w:rPr>
      </w:pPr>
    </w:p>
    <w:p w14:paraId="0E6526D6" w14:textId="3A32F0F7" w:rsidR="001266C7" w:rsidRPr="00AD3822" w:rsidRDefault="00922282" w:rsidP="004E45EB">
      <w:pPr>
        <w:pStyle w:val="BodyTextMain"/>
        <w:rPr>
          <w:spacing w:val="-2"/>
          <w:lang w:val="en-GB"/>
        </w:rPr>
      </w:pPr>
      <w:r w:rsidRPr="00AD3822">
        <w:rPr>
          <w:spacing w:val="-2"/>
          <w:lang w:val="en-GB"/>
        </w:rPr>
        <w:t>New and inexperienced farming entrepreneurs could subscribe to the Akisai cloud services</w:t>
      </w:r>
      <w:r w:rsidR="00587722" w:rsidRPr="00AD3822">
        <w:rPr>
          <w:spacing w:val="-2"/>
          <w:lang w:val="en-GB"/>
        </w:rPr>
        <w:t>, which were</w:t>
      </w:r>
      <w:r w:rsidRPr="00AD3822">
        <w:rPr>
          <w:spacing w:val="-2"/>
          <w:lang w:val="en-GB"/>
        </w:rPr>
        <w:t xml:space="preserve"> offered as </w:t>
      </w:r>
      <w:proofErr w:type="gramStart"/>
      <w:r w:rsidRPr="00AD3822">
        <w:rPr>
          <w:spacing w:val="-2"/>
          <w:lang w:val="en-GB"/>
        </w:rPr>
        <w:t>a</w:t>
      </w:r>
      <w:r w:rsidR="00587722" w:rsidRPr="00AD3822">
        <w:rPr>
          <w:spacing w:val="-2"/>
          <w:lang w:val="en-GB"/>
        </w:rPr>
        <w:t>n</w:t>
      </w:r>
      <w:proofErr w:type="gramEnd"/>
      <w:r w:rsidRPr="00AD3822">
        <w:rPr>
          <w:spacing w:val="-2"/>
          <w:lang w:val="en-GB"/>
        </w:rPr>
        <w:t xml:space="preserve"> SaaS, to optimize </w:t>
      </w:r>
      <w:r w:rsidR="00587722" w:rsidRPr="00AD3822">
        <w:rPr>
          <w:spacing w:val="-2"/>
          <w:lang w:val="en-GB"/>
        </w:rPr>
        <w:t xml:space="preserve">their </w:t>
      </w:r>
      <w:r w:rsidRPr="00AD3822">
        <w:rPr>
          <w:spacing w:val="-2"/>
          <w:lang w:val="en-GB"/>
        </w:rPr>
        <w:t>work operations</w:t>
      </w:r>
      <w:r w:rsidR="00587722" w:rsidRPr="00AD3822">
        <w:rPr>
          <w:spacing w:val="-2"/>
          <w:lang w:val="en-GB"/>
        </w:rPr>
        <w:t xml:space="preserve"> and </w:t>
      </w:r>
      <w:r w:rsidRPr="00AD3822">
        <w:rPr>
          <w:spacing w:val="-2"/>
          <w:lang w:val="en-GB"/>
        </w:rPr>
        <w:t xml:space="preserve">increase </w:t>
      </w:r>
      <w:r w:rsidR="00587722" w:rsidRPr="00AD3822">
        <w:rPr>
          <w:spacing w:val="-2"/>
          <w:lang w:val="en-GB"/>
        </w:rPr>
        <w:t xml:space="preserve">both </w:t>
      </w:r>
      <w:r w:rsidRPr="00AD3822">
        <w:rPr>
          <w:spacing w:val="-2"/>
          <w:lang w:val="en-GB"/>
        </w:rPr>
        <w:t xml:space="preserve">food production capacity and harvest per unit area. By 2014, the user base of Akisai </w:t>
      </w:r>
      <w:r w:rsidR="00587722" w:rsidRPr="00AD3822">
        <w:rPr>
          <w:spacing w:val="-2"/>
          <w:lang w:val="en-GB"/>
        </w:rPr>
        <w:t xml:space="preserve">had grown </w:t>
      </w:r>
      <w:r w:rsidRPr="00AD3822">
        <w:rPr>
          <w:spacing w:val="-2"/>
          <w:lang w:val="en-GB"/>
        </w:rPr>
        <w:t>to 160 companies, including Aeon Agri Create</w:t>
      </w:r>
      <w:r w:rsidR="00587722" w:rsidRPr="00AD3822">
        <w:rPr>
          <w:spacing w:val="-2"/>
          <w:lang w:val="en-GB"/>
        </w:rPr>
        <w:t xml:space="preserve"> Co. Ltd.</w:t>
      </w:r>
      <w:r w:rsidR="001266C7" w:rsidRPr="00AD3822">
        <w:rPr>
          <w:spacing w:val="-2"/>
          <w:lang w:val="en-GB"/>
        </w:rPr>
        <w:t xml:space="preserve"> (Aeon Agri Create)</w:t>
      </w:r>
      <w:r w:rsidRPr="00AD3822">
        <w:rPr>
          <w:spacing w:val="-2"/>
          <w:lang w:val="en-GB"/>
        </w:rPr>
        <w:t xml:space="preserve">, </w:t>
      </w:r>
      <w:r w:rsidR="00587722" w:rsidRPr="00AD3822">
        <w:rPr>
          <w:spacing w:val="-2"/>
          <w:lang w:val="en-GB"/>
        </w:rPr>
        <w:t xml:space="preserve">a </w:t>
      </w:r>
      <w:r w:rsidRPr="00AD3822">
        <w:rPr>
          <w:spacing w:val="-2"/>
          <w:lang w:val="en-GB"/>
        </w:rPr>
        <w:t>subsidiary of Japan’s leading supermarket chain Aeon Group. With 12 farms and 3</w:t>
      </w:r>
      <w:r w:rsidR="00587722" w:rsidRPr="00AD3822">
        <w:rPr>
          <w:spacing w:val="-2"/>
          <w:lang w:val="en-GB"/>
        </w:rPr>
        <w:t>,</w:t>
      </w:r>
      <w:r w:rsidRPr="00AD3822">
        <w:rPr>
          <w:spacing w:val="-2"/>
          <w:lang w:val="en-GB"/>
        </w:rPr>
        <w:t>000 contracted farmers, Aeon Agri Create used the Akisai cloud services for daily farm operations and monitoring. Workers use</w:t>
      </w:r>
      <w:r w:rsidR="001266C7" w:rsidRPr="00AD3822">
        <w:rPr>
          <w:spacing w:val="-2"/>
          <w:lang w:val="en-GB"/>
        </w:rPr>
        <w:t>d</w:t>
      </w:r>
      <w:r w:rsidRPr="00AD3822">
        <w:rPr>
          <w:spacing w:val="-2"/>
          <w:lang w:val="en-GB"/>
        </w:rPr>
        <w:t xml:space="preserve"> mobile devices such as tablets and smartphones to check on pesticide or fertilizer usage and track operational costs. The global positioning system function of the smart devices enabled </w:t>
      </w:r>
      <w:r w:rsidR="00D14537">
        <w:rPr>
          <w:spacing w:val="-2"/>
          <w:lang w:val="en-GB"/>
        </w:rPr>
        <w:t xml:space="preserve">collected </w:t>
      </w:r>
      <w:r w:rsidRPr="00AD3822">
        <w:rPr>
          <w:spacing w:val="-2"/>
          <w:lang w:val="en-GB"/>
        </w:rPr>
        <w:t>data to be linked to the specific farm location</w:t>
      </w:r>
      <w:r w:rsidR="001266C7" w:rsidRPr="00AD3822">
        <w:rPr>
          <w:spacing w:val="-2"/>
          <w:lang w:val="en-GB"/>
        </w:rPr>
        <w:t>s</w:t>
      </w:r>
      <w:r w:rsidRPr="00AD3822">
        <w:rPr>
          <w:spacing w:val="-2"/>
          <w:lang w:val="en-GB"/>
        </w:rPr>
        <w:t xml:space="preserve">. Data collected from crops </w:t>
      </w:r>
      <w:r w:rsidR="001266C7" w:rsidRPr="00AD3822">
        <w:rPr>
          <w:spacing w:val="-2"/>
          <w:lang w:val="en-GB"/>
        </w:rPr>
        <w:t xml:space="preserve">that </w:t>
      </w:r>
      <w:r w:rsidRPr="00AD3822">
        <w:rPr>
          <w:spacing w:val="-2"/>
          <w:lang w:val="en-GB"/>
        </w:rPr>
        <w:t>suffered from insects or plant diseases add</w:t>
      </w:r>
      <w:r w:rsidR="001266C7" w:rsidRPr="00AD3822">
        <w:rPr>
          <w:spacing w:val="-2"/>
          <w:lang w:val="en-GB"/>
        </w:rPr>
        <w:t>ed</w:t>
      </w:r>
      <w:r w:rsidRPr="00AD3822">
        <w:rPr>
          <w:spacing w:val="-2"/>
          <w:lang w:val="en-GB"/>
        </w:rPr>
        <w:t xml:space="preserve"> to the knowledge base in the cloud. Through the support of the Akisai cloud services, the farming subsidiary forecast </w:t>
      </w:r>
      <w:r w:rsidR="001266C7" w:rsidRPr="00AD3822">
        <w:rPr>
          <w:spacing w:val="-2"/>
          <w:lang w:val="en-GB"/>
        </w:rPr>
        <w:t xml:space="preserve">an </w:t>
      </w:r>
      <w:r w:rsidRPr="00AD3822">
        <w:rPr>
          <w:spacing w:val="-2"/>
          <w:lang w:val="en-GB"/>
        </w:rPr>
        <w:t>improvement in crop yield by up to 33 per</w:t>
      </w:r>
      <w:r w:rsidR="008A2FD5">
        <w:rPr>
          <w:spacing w:val="-2"/>
          <w:lang w:val="en-GB"/>
        </w:rPr>
        <w:t xml:space="preserve"> </w:t>
      </w:r>
      <w:r w:rsidRPr="00AD3822">
        <w:rPr>
          <w:spacing w:val="-2"/>
          <w:lang w:val="en-GB"/>
        </w:rPr>
        <w:t xml:space="preserve">cent. </w:t>
      </w:r>
    </w:p>
    <w:p w14:paraId="722CB2BD" w14:textId="77777777" w:rsidR="001266C7" w:rsidRPr="00AD3822" w:rsidRDefault="001266C7" w:rsidP="004E45EB">
      <w:pPr>
        <w:pStyle w:val="BodyTextMain"/>
        <w:rPr>
          <w:sz w:val="20"/>
          <w:lang w:val="en-GB"/>
        </w:rPr>
      </w:pPr>
    </w:p>
    <w:p w14:paraId="7ABF9CE0" w14:textId="599C897D" w:rsidR="00922282" w:rsidRPr="00AD3822" w:rsidRDefault="00922282" w:rsidP="004E45EB">
      <w:pPr>
        <w:pStyle w:val="BodyTextMain"/>
        <w:rPr>
          <w:lang w:val="en-GB"/>
        </w:rPr>
      </w:pPr>
      <w:r w:rsidRPr="00AD3822">
        <w:rPr>
          <w:lang w:val="en-GB"/>
        </w:rPr>
        <w:t xml:space="preserve">The success of Akisai in Japan </w:t>
      </w:r>
      <w:r w:rsidR="001266C7" w:rsidRPr="00AD3822">
        <w:rPr>
          <w:lang w:val="en-GB"/>
        </w:rPr>
        <w:t xml:space="preserve">also </w:t>
      </w:r>
      <w:r w:rsidRPr="00AD3822">
        <w:rPr>
          <w:lang w:val="en-GB"/>
        </w:rPr>
        <w:t xml:space="preserve">attracted the interest of overseas partners. In Finland, Fujitsu established a joint venture with </w:t>
      </w:r>
      <w:r w:rsidR="001266C7" w:rsidRPr="00AD3822">
        <w:rPr>
          <w:lang w:val="en-GB"/>
        </w:rPr>
        <w:t xml:space="preserve">the horticultural </w:t>
      </w:r>
      <w:r w:rsidRPr="00AD3822">
        <w:rPr>
          <w:lang w:val="en-GB"/>
        </w:rPr>
        <w:t>company Robbe’s Little Garden</w:t>
      </w:r>
      <w:r w:rsidR="001E0B98" w:rsidRPr="00AD3822">
        <w:rPr>
          <w:lang w:val="en-GB"/>
        </w:rPr>
        <w:t xml:space="preserve">. This collaboration </w:t>
      </w:r>
      <w:r w:rsidRPr="00AD3822">
        <w:rPr>
          <w:lang w:val="en-GB"/>
        </w:rPr>
        <w:t>combine</w:t>
      </w:r>
      <w:r w:rsidR="001E0B98" w:rsidRPr="00AD3822">
        <w:rPr>
          <w:lang w:val="en-GB"/>
        </w:rPr>
        <w:t>d</w:t>
      </w:r>
      <w:r w:rsidRPr="00AD3822">
        <w:rPr>
          <w:lang w:val="en-GB"/>
        </w:rPr>
        <w:t xml:space="preserve"> the Akisai agricultural cloud solution with Finnish greenhouse automation technology and expertise in </w:t>
      </w:r>
      <w:r w:rsidR="00D14537">
        <w:rPr>
          <w:lang w:val="en-GB"/>
        </w:rPr>
        <w:t>light-emitting diode (</w:t>
      </w:r>
      <w:r w:rsidRPr="00AD3822">
        <w:rPr>
          <w:lang w:val="en-GB"/>
        </w:rPr>
        <w:t>LED</w:t>
      </w:r>
      <w:r w:rsidR="00D14537">
        <w:rPr>
          <w:lang w:val="en-GB"/>
        </w:rPr>
        <w:t>)</w:t>
      </w:r>
      <w:r w:rsidRPr="00AD3822">
        <w:rPr>
          <w:lang w:val="en-GB"/>
        </w:rPr>
        <w:t xml:space="preserve"> lighting and environment control to automate multi-layer baby leaf salad production. The Akisai solution enabled </w:t>
      </w:r>
      <w:r w:rsidR="001E0B98" w:rsidRPr="00AD3822">
        <w:rPr>
          <w:lang w:val="en-GB"/>
        </w:rPr>
        <w:t xml:space="preserve">wireless </w:t>
      </w:r>
      <w:r w:rsidRPr="00AD3822">
        <w:rPr>
          <w:lang w:val="en-GB"/>
        </w:rPr>
        <w:t xml:space="preserve">remote monitoring and control of greenhouse operations </w:t>
      </w:r>
      <w:r w:rsidR="001E0B98" w:rsidRPr="00AD3822">
        <w:rPr>
          <w:lang w:val="en-GB"/>
        </w:rPr>
        <w:t>via</w:t>
      </w:r>
      <w:r w:rsidRPr="00AD3822">
        <w:rPr>
          <w:lang w:val="en-GB"/>
        </w:rPr>
        <w:t xml:space="preserve"> mobile devices and could potentially be transposed to a larger facility. This collaboration aimed to increase the cost</w:t>
      </w:r>
      <w:r w:rsidR="001E0B98" w:rsidRPr="00AD3822">
        <w:rPr>
          <w:lang w:val="en-GB"/>
        </w:rPr>
        <w:t xml:space="preserve"> </w:t>
      </w:r>
      <w:r w:rsidRPr="00AD3822">
        <w:rPr>
          <w:lang w:val="en-GB"/>
        </w:rPr>
        <w:t>efficiency of growing salads and vegetables in challenging conditions.</w:t>
      </w:r>
    </w:p>
    <w:p w14:paraId="23F225E7" w14:textId="77777777" w:rsidR="00922282" w:rsidRPr="00AD3822" w:rsidRDefault="00922282" w:rsidP="00DF722C">
      <w:pPr>
        <w:jc w:val="both"/>
        <w:rPr>
          <w:szCs w:val="22"/>
          <w:lang w:val="en-GB"/>
        </w:rPr>
      </w:pPr>
    </w:p>
    <w:p w14:paraId="0A7446C3" w14:textId="4F52F90A" w:rsidR="00881FBB" w:rsidRPr="00B926DB" w:rsidRDefault="00922282" w:rsidP="004E45EB">
      <w:pPr>
        <w:pStyle w:val="BodyTextMain"/>
        <w:rPr>
          <w:spacing w:val="-4"/>
          <w:lang w:val="en-GB"/>
        </w:rPr>
      </w:pPr>
      <w:r w:rsidRPr="00B926DB">
        <w:rPr>
          <w:spacing w:val="-4"/>
          <w:lang w:val="en-GB"/>
        </w:rPr>
        <w:t xml:space="preserve">The technology had clear production benefits in </w:t>
      </w:r>
      <w:r w:rsidR="00F01AB1" w:rsidRPr="00B926DB">
        <w:rPr>
          <w:spacing w:val="-4"/>
          <w:lang w:val="en-GB"/>
        </w:rPr>
        <w:t xml:space="preserve">agricultural </w:t>
      </w:r>
      <w:r w:rsidRPr="00B926DB">
        <w:rPr>
          <w:spacing w:val="-4"/>
          <w:lang w:val="en-GB"/>
        </w:rPr>
        <w:t xml:space="preserve">industries. Robert Jordas, founder of Robbe’s Little Garden, felt that big data would give </w:t>
      </w:r>
      <w:r w:rsidR="00F01AB1" w:rsidRPr="00B926DB">
        <w:rPr>
          <w:spacing w:val="-4"/>
          <w:lang w:val="en-GB"/>
        </w:rPr>
        <w:t xml:space="preserve">farmers </w:t>
      </w:r>
      <w:r w:rsidR="008A2FD5" w:rsidRPr="00B926DB">
        <w:rPr>
          <w:spacing w:val="-4"/>
          <w:lang w:val="en-GB"/>
        </w:rPr>
        <w:t>much</w:t>
      </w:r>
      <w:r w:rsidRPr="00B926DB">
        <w:rPr>
          <w:spacing w:val="-4"/>
          <w:lang w:val="en-GB"/>
        </w:rPr>
        <w:t xml:space="preserve"> more insight into the necessary growing conditions for </w:t>
      </w:r>
      <w:r w:rsidRPr="00B926DB">
        <w:rPr>
          <w:spacing w:val="-4"/>
          <w:lang w:val="en-GB"/>
        </w:rPr>
        <w:lastRenderedPageBreak/>
        <w:t xml:space="preserve">various plants to maximize yield. </w:t>
      </w:r>
      <w:r w:rsidR="00C45815" w:rsidRPr="00B926DB">
        <w:rPr>
          <w:spacing w:val="-4"/>
          <w:lang w:val="en-GB"/>
        </w:rPr>
        <w:t xml:space="preserve">He commented, </w:t>
      </w:r>
      <w:r w:rsidRPr="00B926DB">
        <w:rPr>
          <w:spacing w:val="-4"/>
          <w:lang w:val="en-GB"/>
        </w:rPr>
        <w:t>“The nice thing about vertical growing is that when we know how to grow a certain plant in one place, we actually have the recipe to grow it anywhere in the world. This is really interesting and it is valuable information, valuable know-how, what we are able to find out with these tools</w:t>
      </w:r>
      <w:r w:rsidR="00F01AB1" w:rsidRPr="00B926DB">
        <w:rPr>
          <w:spacing w:val="-4"/>
          <w:lang w:val="en-GB"/>
        </w:rPr>
        <w:t xml:space="preserve">.” </w:t>
      </w:r>
      <w:r w:rsidRPr="00B926DB">
        <w:rPr>
          <w:spacing w:val="-4"/>
          <w:lang w:val="en-GB"/>
        </w:rPr>
        <w:t xml:space="preserve">Jordas emphasized that this data-driven cloud technology would be very important for industries </w:t>
      </w:r>
      <w:r w:rsidR="00F01AB1" w:rsidRPr="00B926DB">
        <w:rPr>
          <w:spacing w:val="-4"/>
          <w:lang w:val="en-GB"/>
        </w:rPr>
        <w:t xml:space="preserve">such </w:t>
      </w:r>
      <w:r w:rsidRPr="00B926DB">
        <w:rPr>
          <w:spacing w:val="-4"/>
          <w:lang w:val="en-GB"/>
        </w:rPr>
        <w:t>as agriculture</w:t>
      </w:r>
      <w:r w:rsidR="00F01AB1" w:rsidRPr="00B926DB">
        <w:rPr>
          <w:spacing w:val="-4"/>
          <w:lang w:val="en-GB"/>
        </w:rPr>
        <w:t>,</w:t>
      </w:r>
      <w:r w:rsidRPr="00B926DB">
        <w:rPr>
          <w:spacing w:val="-4"/>
          <w:lang w:val="en-GB"/>
        </w:rPr>
        <w:t xml:space="preserve"> where venture capital interest had been limited</w:t>
      </w:r>
      <w:r w:rsidR="009F2F64" w:rsidRPr="00B926DB">
        <w:rPr>
          <w:spacing w:val="-4"/>
          <w:lang w:val="en-GB"/>
        </w:rPr>
        <w:t>.</w:t>
      </w:r>
      <w:r w:rsidR="00707552" w:rsidRPr="00B926DB">
        <w:rPr>
          <w:rStyle w:val="FootnoteReference"/>
          <w:spacing w:val="-4"/>
          <w:lang w:val="en-GB"/>
        </w:rPr>
        <w:footnoteReference w:id="17"/>
      </w:r>
      <w:r w:rsidRPr="00B926DB">
        <w:rPr>
          <w:spacing w:val="-4"/>
          <w:lang w:val="en-GB"/>
        </w:rPr>
        <w:t xml:space="preserve"> The adoption of technology </w:t>
      </w:r>
      <w:r w:rsidR="00F01AB1" w:rsidRPr="00B926DB">
        <w:rPr>
          <w:spacing w:val="-4"/>
          <w:lang w:val="en-GB"/>
        </w:rPr>
        <w:t xml:space="preserve">such </w:t>
      </w:r>
      <w:r w:rsidRPr="00B926DB">
        <w:rPr>
          <w:spacing w:val="-4"/>
          <w:lang w:val="en-GB"/>
        </w:rPr>
        <w:t xml:space="preserve">as Aksai would </w:t>
      </w:r>
      <w:r w:rsidR="00A97BBF" w:rsidRPr="00B926DB">
        <w:rPr>
          <w:spacing w:val="-4"/>
          <w:lang w:val="en-GB"/>
        </w:rPr>
        <w:t xml:space="preserve">help to optimize </w:t>
      </w:r>
      <w:r w:rsidRPr="00B926DB">
        <w:rPr>
          <w:spacing w:val="-4"/>
          <w:lang w:val="en-GB"/>
        </w:rPr>
        <w:t xml:space="preserve">growing conditions </w:t>
      </w:r>
      <w:r w:rsidR="00A97BBF" w:rsidRPr="00B926DB">
        <w:rPr>
          <w:spacing w:val="-4"/>
          <w:lang w:val="en-GB"/>
        </w:rPr>
        <w:t xml:space="preserve">and </w:t>
      </w:r>
      <w:r w:rsidRPr="00B926DB">
        <w:rPr>
          <w:spacing w:val="-4"/>
          <w:lang w:val="en-GB"/>
        </w:rPr>
        <w:t>maximize yield</w:t>
      </w:r>
      <w:r w:rsidR="00A97BBF" w:rsidRPr="00B926DB">
        <w:rPr>
          <w:spacing w:val="-4"/>
          <w:lang w:val="en-GB"/>
        </w:rPr>
        <w:t>s</w:t>
      </w:r>
      <w:r w:rsidRPr="00B926DB">
        <w:rPr>
          <w:spacing w:val="-4"/>
          <w:lang w:val="en-GB"/>
        </w:rPr>
        <w:t>.</w:t>
      </w:r>
      <w:r w:rsidR="00881FBB" w:rsidRPr="00B926DB">
        <w:rPr>
          <w:spacing w:val="-4"/>
          <w:lang w:val="en-GB"/>
        </w:rPr>
        <w:t xml:space="preserve"> </w:t>
      </w:r>
      <w:r w:rsidRPr="00B926DB">
        <w:rPr>
          <w:spacing w:val="-4"/>
          <w:lang w:val="en-GB"/>
        </w:rPr>
        <w:t xml:space="preserve">Fujitsu had successfully combined the know-how of local greenhouse farmers with </w:t>
      </w:r>
      <w:r w:rsidR="00881FBB" w:rsidRPr="00B926DB">
        <w:rPr>
          <w:spacing w:val="-4"/>
          <w:lang w:val="en-GB"/>
        </w:rPr>
        <w:t xml:space="preserve">its </w:t>
      </w:r>
      <w:r w:rsidRPr="00B926DB">
        <w:rPr>
          <w:spacing w:val="-4"/>
          <w:lang w:val="en-GB"/>
        </w:rPr>
        <w:t xml:space="preserve">connected services to produce smart agricultural solutions that could increase effectiveness and efficiency for the industry. </w:t>
      </w:r>
      <w:r w:rsidR="00881FBB" w:rsidRPr="00B926DB">
        <w:rPr>
          <w:spacing w:val="-4"/>
          <w:lang w:val="en-GB"/>
        </w:rPr>
        <w:t xml:space="preserve">Wong analyzed </w:t>
      </w:r>
      <w:r w:rsidRPr="00B926DB">
        <w:rPr>
          <w:spacing w:val="-4"/>
          <w:lang w:val="en-GB"/>
        </w:rPr>
        <w:t>the growth of connected services as a source of revenue for the company</w:t>
      </w:r>
      <w:r w:rsidR="00881FBB" w:rsidRPr="00B926DB">
        <w:rPr>
          <w:spacing w:val="-4"/>
          <w:lang w:val="en-GB"/>
        </w:rPr>
        <w:t>:</w:t>
      </w:r>
      <w:r w:rsidRPr="00B926DB">
        <w:rPr>
          <w:spacing w:val="-4"/>
          <w:lang w:val="en-GB"/>
        </w:rPr>
        <w:t xml:space="preserve"> “I think it will be a mainstay </w:t>
      </w:r>
      <w:r w:rsidR="00881FBB" w:rsidRPr="00B926DB">
        <w:rPr>
          <w:spacing w:val="-4"/>
          <w:lang w:val="en-GB"/>
        </w:rPr>
        <w:t>.</w:t>
      </w:r>
      <w:r w:rsidR="00FF7823" w:rsidRPr="00B926DB">
        <w:rPr>
          <w:spacing w:val="-4"/>
          <w:lang w:val="en-GB"/>
        </w:rPr>
        <w:t xml:space="preserve"> </w:t>
      </w:r>
      <w:r w:rsidR="00881FBB" w:rsidRPr="00B926DB">
        <w:rPr>
          <w:spacing w:val="-4"/>
          <w:lang w:val="en-GB"/>
        </w:rPr>
        <w:t>.</w:t>
      </w:r>
      <w:r w:rsidR="00FF7823" w:rsidRPr="00B926DB">
        <w:rPr>
          <w:spacing w:val="-4"/>
          <w:lang w:val="en-GB"/>
        </w:rPr>
        <w:t xml:space="preserve"> </w:t>
      </w:r>
      <w:r w:rsidR="00881FBB" w:rsidRPr="00B926DB">
        <w:rPr>
          <w:spacing w:val="-4"/>
          <w:lang w:val="en-GB"/>
        </w:rPr>
        <w:t xml:space="preserve">. </w:t>
      </w:r>
      <w:r w:rsidRPr="00B926DB">
        <w:rPr>
          <w:spacing w:val="-4"/>
          <w:lang w:val="en-GB"/>
        </w:rPr>
        <w:t>you project the next five to ten years, I think if it doesn’t hit more than 30 per</w:t>
      </w:r>
      <w:r w:rsidR="00881FBB" w:rsidRPr="00B926DB">
        <w:rPr>
          <w:spacing w:val="-4"/>
          <w:lang w:val="en-GB"/>
        </w:rPr>
        <w:t xml:space="preserve"> </w:t>
      </w:r>
      <w:r w:rsidRPr="00B926DB">
        <w:rPr>
          <w:spacing w:val="-4"/>
          <w:lang w:val="en-GB"/>
        </w:rPr>
        <w:t>cent, I will be surprised</w:t>
      </w:r>
      <w:r w:rsidR="00881FBB" w:rsidRPr="00B926DB">
        <w:rPr>
          <w:spacing w:val="-4"/>
          <w:lang w:val="en-GB"/>
        </w:rPr>
        <w:t>.”</w:t>
      </w:r>
    </w:p>
    <w:p w14:paraId="7A5A3B53" w14:textId="77777777" w:rsidR="00881FBB" w:rsidRPr="00B926DB" w:rsidRDefault="00881FBB" w:rsidP="004E45EB">
      <w:pPr>
        <w:pStyle w:val="BodyTextMain"/>
        <w:rPr>
          <w:spacing w:val="-4"/>
          <w:sz w:val="20"/>
          <w:lang w:val="en-GB"/>
        </w:rPr>
      </w:pPr>
    </w:p>
    <w:p w14:paraId="5713794E" w14:textId="3D28CF26" w:rsidR="00922282" w:rsidRPr="00AD3822" w:rsidRDefault="00922282" w:rsidP="004E45EB">
      <w:pPr>
        <w:pStyle w:val="BodyTextMain"/>
        <w:rPr>
          <w:lang w:val="en-GB"/>
        </w:rPr>
      </w:pPr>
      <w:r w:rsidRPr="00AD3822">
        <w:rPr>
          <w:lang w:val="en-GB"/>
        </w:rPr>
        <w:t>What differentiated Fujitsu was not just its connected services. Having a long-standing tradition of focusing on customers’ needs, Fujitsu believed in developing deep relationships</w:t>
      </w:r>
      <w:r w:rsidR="00881FBB" w:rsidRPr="00AD3822">
        <w:rPr>
          <w:lang w:val="en-GB"/>
        </w:rPr>
        <w:t>,</w:t>
      </w:r>
      <w:r w:rsidRPr="00AD3822">
        <w:rPr>
          <w:lang w:val="en-GB"/>
        </w:rPr>
        <w:t xml:space="preserve"> taking the time to understand customers’ needs</w:t>
      </w:r>
      <w:r w:rsidR="00881FBB" w:rsidRPr="00AD3822">
        <w:rPr>
          <w:lang w:val="en-GB"/>
        </w:rPr>
        <w:t>,</w:t>
      </w:r>
      <w:r w:rsidRPr="00AD3822">
        <w:rPr>
          <w:lang w:val="en-GB"/>
        </w:rPr>
        <w:t xml:space="preserve"> and doing its best to tap </w:t>
      </w:r>
      <w:r w:rsidR="00881FBB" w:rsidRPr="00AD3822">
        <w:rPr>
          <w:lang w:val="en-GB"/>
        </w:rPr>
        <w:t xml:space="preserve">into </w:t>
      </w:r>
      <w:r w:rsidRPr="00AD3822">
        <w:rPr>
          <w:lang w:val="en-GB"/>
        </w:rPr>
        <w:t xml:space="preserve">its network of partners to help solve customers’ problems. For Robbe’s Little Garden, the adoption of Akisai was more of a partnership than a mere implementation of the technology, as Fujitsu invested time and resources to learn about the needs and business of Robbe’s Little Garden. As </w:t>
      </w:r>
      <w:r w:rsidR="00C45815">
        <w:rPr>
          <w:lang w:val="en-GB"/>
        </w:rPr>
        <w:t>Jordas</w:t>
      </w:r>
      <w:r w:rsidR="00C45815" w:rsidRPr="00AD3822">
        <w:rPr>
          <w:lang w:val="en-GB"/>
        </w:rPr>
        <w:t xml:space="preserve"> </w:t>
      </w:r>
      <w:r w:rsidRPr="00AD3822">
        <w:rPr>
          <w:lang w:val="en-GB"/>
        </w:rPr>
        <w:t>observed, “Fujitsu works in quite an interesting way, they really want to get into this field of business. They really want to go really deep inside, and understand what it’s about</w:t>
      </w:r>
      <w:r w:rsidR="00881FBB" w:rsidRPr="00AD3822">
        <w:rPr>
          <w:lang w:val="en-GB"/>
        </w:rPr>
        <w:t>. .</w:t>
      </w:r>
      <w:r w:rsidR="00C33334" w:rsidRPr="00AD3822">
        <w:rPr>
          <w:lang w:val="en-GB"/>
        </w:rPr>
        <w:t xml:space="preserve"> </w:t>
      </w:r>
      <w:r w:rsidR="00881FBB" w:rsidRPr="00AD3822">
        <w:rPr>
          <w:lang w:val="en-GB"/>
        </w:rPr>
        <w:t>.</w:t>
      </w:r>
      <w:r w:rsidR="00C33334" w:rsidRPr="00AD3822">
        <w:rPr>
          <w:lang w:val="en-GB"/>
        </w:rPr>
        <w:t xml:space="preserve"> </w:t>
      </w:r>
      <w:r w:rsidR="00881FBB" w:rsidRPr="00AD3822">
        <w:rPr>
          <w:lang w:val="en-GB"/>
        </w:rPr>
        <w:t xml:space="preserve">. </w:t>
      </w:r>
      <w:r w:rsidRPr="00AD3822">
        <w:rPr>
          <w:lang w:val="en-GB"/>
        </w:rPr>
        <w:t>That is maybe not the normal way for an IoT company to work, but Fujitsu does it this way and it is really an interesting way to do.”</w:t>
      </w:r>
      <w:r w:rsidR="009C2DBA" w:rsidRPr="00AD3822">
        <w:rPr>
          <w:rStyle w:val="FootnoteReference"/>
          <w:lang w:val="en-GB"/>
        </w:rPr>
        <w:footnoteReference w:id="18"/>
      </w:r>
      <w:r w:rsidRPr="00AD3822">
        <w:rPr>
          <w:lang w:val="en-GB"/>
        </w:rPr>
        <w:t xml:space="preserve"> Such partnerships </w:t>
      </w:r>
      <w:r w:rsidR="00881FBB" w:rsidRPr="00AD3822">
        <w:rPr>
          <w:lang w:val="en-GB"/>
        </w:rPr>
        <w:t xml:space="preserve">provided </w:t>
      </w:r>
      <w:r w:rsidRPr="00AD3822">
        <w:rPr>
          <w:lang w:val="en-GB"/>
        </w:rPr>
        <w:t xml:space="preserve">mutual </w:t>
      </w:r>
      <w:r w:rsidR="00881FBB" w:rsidRPr="00AD3822">
        <w:rPr>
          <w:lang w:val="en-GB"/>
        </w:rPr>
        <w:t>benefits:</w:t>
      </w:r>
      <w:r w:rsidRPr="00AD3822">
        <w:rPr>
          <w:lang w:val="en-GB"/>
        </w:rPr>
        <w:t xml:space="preserve"> the client gained the support of technical expertise</w:t>
      </w:r>
      <w:r w:rsidR="00881FBB" w:rsidRPr="00AD3822">
        <w:rPr>
          <w:lang w:val="en-GB"/>
        </w:rPr>
        <w:t>,</w:t>
      </w:r>
      <w:r w:rsidRPr="00AD3822">
        <w:rPr>
          <w:lang w:val="en-GB"/>
        </w:rPr>
        <w:t xml:space="preserve"> while Fujitsu gathered insights about the industry and the knowledge required to adapt and apply its solutions across the industry.</w:t>
      </w:r>
    </w:p>
    <w:p w14:paraId="21219821" w14:textId="77777777" w:rsidR="00922282" w:rsidRPr="00AD3822" w:rsidRDefault="00922282" w:rsidP="002D69CF">
      <w:pPr>
        <w:pStyle w:val="BodyTextMain"/>
        <w:rPr>
          <w:sz w:val="20"/>
          <w:lang w:val="en-GB"/>
        </w:rPr>
      </w:pPr>
    </w:p>
    <w:p w14:paraId="20D5E7F5" w14:textId="77777777" w:rsidR="00922282" w:rsidRPr="00AD3822" w:rsidRDefault="00922282" w:rsidP="002D69CF">
      <w:pPr>
        <w:pStyle w:val="BodyTextMain"/>
        <w:rPr>
          <w:sz w:val="20"/>
          <w:lang w:val="en-GB"/>
        </w:rPr>
      </w:pPr>
    </w:p>
    <w:p w14:paraId="49305DCC" w14:textId="77777777" w:rsidR="00922282" w:rsidRPr="00AD3822" w:rsidRDefault="00922282" w:rsidP="004E45EB">
      <w:pPr>
        <w:pStyle w:val="Casehead1"/>
        <w:rPr>
          <w:color w:val="000000"/>
          <w:lang w:val="en-GB"/>
        </w:rPr>
      </w:pPr>
      <w:r w:rsidRPr="00AD3822">
        <w:rPr>
          <w:lang w:val="en-GB"/>
        </w:rPr>
        <w:t>The Engineering Cloud</w:t>
      </w:r>
    </w:p>
    <w:p w14:paraId="5F8B3300" w14:textId="77777777" w:rsidR="00922282" w:rsidRPr="00AD3822" w:rsidRDefault="00922282" w:rsidP="00DF722C">
      <w:pPr>
        <w:jc w:val="both"/>
        <w:rPr>
          <w:color w:val="000000"/>
          <w:szCs w:val="22"/>
          <w:lang w:val="en-GB"/>
        </w:rPr>
      </w:pPr>
    </w:p>
    <w:p w14:paraId="7A30634F" w14:textId="18FF20CF" w:rsidR="00922282" w:rsidRPr="00AD3822" w:rsidRDefault="00922282" w:rsidP="004E45EB">
      <w:pPr>
        <w:pStyle w:val="BodyTextMain"/>
        <w:rPr>
          <w:spacing w:val="-2"/>
          <w:lang w:val="en-GB"/>
        </w:rPr>
      </w:pPr>
      <w:r w:rsidRPr="00AD3822">
        <w:rPr>
          <w:spacing w:val="-2"/>
          <w:lang w:val="en-GB"/>
        </w:rPr>
        <w:t xml:space="preserve">Since 2011, the concept of Industry 4.0 had begun to catch the attention of the manufacturing community. </w:t>
      </w:r>
      <w:r w:rsidR="00881FBB" w:rsidRPr="00AD3822">
        <w:rPr>
          <w:spacing w:val="-2"/>
          <w:lang w:val="en-GB"/>
        </w:rPr>
        <w:t xml:space="preserve">This concept </w:t>
      </w:r>
      <w:r w:rsidRPr="00AD3822">
        <w:rPr>
          <w:spacing w:val="-2"/>
          <w:lang w:val="en-GB"/>
        </w:rPr>
        <w:t xml:space="preserve">encapsulated the notion of smart </w:t>
      </w:r>
      <w:r w:rsidR="00881FBB" w:rsidRPr="00AD3822">
        <w:rPr>
          <w:spacing w:val="-2"/>
          <w:lang w:val="en-GB"/>
        </w:rPr>
        <w:t xml:space="preserve">factories </w:t>
      </w:r>
      <w:r w:rsidRPr="00AD3822">
        <w:rPr>
          <w:spacing w:val="-2"/>
          <w:lang w:val="en-GB"/>
        </w:rPr>
        <w:t>enabled by cyber-physical systems,</w:t>
      </w:r>
      <w:r w:rsidRPr="00AD3822">
        <w:rPr>
          <w:rStyle w:val="FootnoteReference"/>
          <w:color w:val="000000"/>
          <w:spacing w:val="-2"/>
          <w:lang w:val="en-GB"/>
        </w:rPr>
        <w:footnoteReference w:id="19"/>
      </w:r>
      <w:r w:rsidRPr="00AD3822">
        <w:rPr>
          <w:spacing w:val="-2"/>
          <w:lang w:val="en-GB"/>
        </w:rPr>
        <w:t xml:space="preserve"> </w:t>
      </w:r>
      <w:r w:rsidR="008A2FD5">
        <w:rPr>
          <w:spacing w:val="-2"/>
          <w:lang w:val="en-GB"/>
        </w:rPr>
        <w:t xml:space="preserve">the </w:t>
      </w:r>
      <w:r w:rsidRPr="00AD3822">
        <w:rPr>
          <w:spacing w:val="-2"/>
          <w:lang w:val="en-GB"/>
        </w:rPr>
        <w:t>IoT, cloud computing</w:t>
      </w:r>
      <w:r w:rsidR="00881FBB" w:rsidRPr="00AD3822">
        <w:rPr>
          <w:spacing w:val="-2"/>
          <w:lang w:val="en-GB"/>
        </w:rPr>
        <w:t>,</w:t>
      </w:r>
      <w:r w:rsidRPr="00AD3822">
        <w:rPr>
          <w:spacing w:val="-2"/>
          <w:lang w:val="en-GB"/>
        </w:rPr>
        <w:t xml:space="preserve"> and cognitive computing. While large manufacturers had the financial and human resources to make the technological leap and business transformation to build smart factories, SMEs would have limited resources to follow suit. Traditionally, Fujitsu had served large multinational manufacturing companies, providing engineering support software applications such as CAD, computer-aided manufacturing (CAM), computer-aided engineering (CAE), digital mock-up</w:t>
      </w:r>
      <w:r w:rsidR="00881FBB" w:rsidRPr="00AD3822">
        <w:rPr>
          <w:spacing w:val="-2"/>
          <w:lang w:val="en-GB"/>
        </w:rPr>
        <w:t>,</w:t>
      </w:r>
      <w:r w:rsidRPr="00AD3822">
        <w:rPr>
          <w:spacing w:val="-2"/>
          <w:lang w:val="en-GB"/>
        </w:rPr>
        <w:t xml:space="preserve"> and product data management to support their product lifecycle management. However, as the manufacturing sector transition</w:t>
      </w:r>
      <w:r w:rsidR="00881FBB" w:rsidRPr="00AD3822">
        <w:rPr>
          <w:spacing w:val="-2"/>
          <w:lang w:val="en-GB"/>
        </w:rPr>
        <w:t>ed</w:t>
      </w:r>
      <w:r w:rsidRPr="00AD3822">
        <w:rPr>
          <w:spacing w:val="-2"/>
          <w:lang w:val="en-GB"/>
        </w:rPr>
        <w:t xml:space="preserve"> to Industry 4.0, Fujitsu found itself having to transform its own manufacturing processes.</w:t>
      </w:r>
    </w:p>
    <w:p w14:paraId="2D5EC583" w14:textId="77777777" w:rsidR="00922282" w:rsidRPr="00AD3822" w:rsidRDefault="00922282" w:rsidP="00DF722C">
      <w:pPr>
        <w:jc w:val="both"/>
        <w:rPr>
          <w:color w:val="000000"/>
          <w:szCs w:val="22"/>
          <w:lang w:val="en-GB"/>
        </w:rPr>
      </w:pPr>
    </w:p>
    <w:p w14:paraId="27CBF727" w14:textId="555DF8EA" w:rsidR="00922282" w:rsidRDefault="00922282" w:rsidP="004E45EB">
      <w:pPr>
        <w:pStyle w:val="BodyTextMain"/>
        <w:rPr>
          <w:lang w:val="en-GB"/>
        </w:rPr>
      </w:pPr>
      <w:r w:rsidRPr="00AD3822">
        <w:rPr>
          <w:lang w:val="en-GB"/>
        </w:rPr>
        <w:t xml:space="preserve">Building on its business transformation experience and its capabilities as a manufacturer of hardware and software products, </w:t>
      </w:r>
      <w:r w:rsidR="00881FBB" w:rsidRPr="00AD3822">
        <w:rPr>
          <w:lang w:val="en-GB"/>
        </w:rPr>
        <w:t xml:space="preserve">Fujitsu </w:t>
      </w:r>
      <w:r w:rsidRPr="00AD3822">
        <w:rPr>
          <w:lang w:val="en-GB"/>
        </w:rPr>
        <w:t xml:space="preserve">went on to develop and launch its engineering cloud concept as a next-generation manufacturing environment to support the manufacturing sector. By offering engineering software applications over the cloud using SaaS, Fujitsu gave customers </w:t>
      </w:r>
      <w:r w:rsidR="00881FBB" w:rsidRPr="00AD3822">
        <w:rPr>
          <w:lang w:val="en-GB"/>
        </w:rPr>
        <w:t>with</w:t>
      </w:r>
      <w:r w:rsidRPr="00AD3822">
        <w:rPr>
          <w:lang w:val="en-GB"/>
        </w:rPr>
        <w:t xml:space="preserve"> global or regional product development and manufacturing operations the ability to share data any time at any place. If customers </w:t>
      </w:r>
      <w:r w:rsidR="00881FBB" w:rsidRPr="00AD3822">
        <w:rPr>
          <w:lang w:val="en-GB"/>
        </w:rPr>
        <w:t>wanted</w:t>
      </w:r>
      <w:r w:rsidRPr="00AD3822">
        <w:rPr>
          <w:lang w:val="en-GB"/>
        </w:rPr>
        <w:t xml:space="preserve"> to customize manufacturing applications to their requirements, they could subscribe </w:t>
      </w:r>
      <w:r w:rsidR="00881FBB" w:rsidRPr="00AD3822">
        <w:rPr>
          <w:lang w:val="en-GB"/>
        </w:rPr>
        <w:t xml:space="preserve">to </w:t>
      </w:r>
      <w:r w:rsidRPr="00AD3822">
        <w:rPr>
          <w:lang w:val="en-GB"/>
        </w:rPr>
        <w:t>a thin-client environment</w:t>
      </w:r>
      <w:r w:rsidR="00AE1F17" w:rsidRPr="00AD3822">
        <w:rPr>
          <w:rStyle w:val="FootnoteReference"/>
          <w:lang w:val="en-GB"/>
        </w:rPr>
        <w:footnoteReference w:id="20"/>
      </w:r>
      <w:r w:rsidRPr="00AD3822">
        <w:rPr>
          <w:lang w:val="en-GB"/>
        </w:rPr>
        <w:t xml:space="preserve"> to support these applications from the engineering cloud using PaaS</w:t>
      </w:r>
      <w:r w:rsidR="00881FBB" w:rsidRPr="00AD3822">
        <w:rPr>
          <w:lang w:val="en-GB"/>
        </w:rPr>
        <w:t xml:space="preserve"> (s</w:t>
      </w:r>
      <w:r w:rsidRPr="00AD3822">
        <w:rPr>
          <w:lang w:val="en-GB"/>
        </w:rPr>
        <w:t>ee Exhibit 6</w:t>
      </w:r>
      <w:r w:rsidR="00881FBB" w:rsidRPr="00AD3822">
        <w:rPr>
          <w:lang w:val="en-GB"/>
        </w:rPr>
        <w:t>)</w:t>
      </w:r>
      <w:r w:rsidRPr="00AD3822">
        <w:rPr>
          <w:lang w:val="en-GB"/>
        </w:rPr>
        <w:t>.</w:t>
      </w:r>
    </w:p>
    <w:p w14:paraId="16ADBD0E" w14:textId="77777777" w:rsidR="00C45815" w:rsidRPr="00AD3822" w:rsidRDefault="00C45815" w:rsidP="004E45EB">
      <w:pPr>
        <w:pStyle w:val="BodyTextMain"/>
        <w:rPr>
          <w:lang w:val="en-GB"/>
        </w:rPr>
      </w:pPr>
    </w:p>
    <w:p w14:paraId="502C0C4B" w14:textId="51294374" w:rsidR="00922282" w:rsidRPr="00B926DB" w:rsidRDefault="00922282" w:rsidP="004E45EB">
      <w:pPr>
        <w:pStyle w:val="BodyTextMain"/>
        <w:rPr>
          <w:lang w:val="en-GB"/>
        </w:rPr>
      </w:pPr>
      <w:r w:rsidRPr="00B926DB">
        <w:rPr>
          <w:lang w:val="en-GB"/>
        </w:rPr>
        <w:lastRenderedPageBreak/>
        <w:t xml:space="preserve">In the past, </w:t>
      </w:r>
      <w:r w:rsidR="002535A7" w:rsidRPr="00B926DB">
        <w:rPr>
          <w:lang w:val="en-GB"/>
        </w:rPr>
        <w:t xml:space="preserve">because of the complexity and large file sizes of CAD, CAM, and CAE drawings and models, companies that produced these </w:t>
      </w:r>
      <w:r w:rsidR="00CC4602" w:rsidRPr="00B926DB">
        <w:rPr>
          <w:lang w:val="en-GB"/>
        </w:rPr>
        <w:t xml:space="preserve">drawings and models </w:t>
      </w:r>
      <w:r w:rsidR="002535A7" w:rsidRPr="00B926DB">
        <w:rPr>
          <w:lang w:val="en-GB"/>
        </w:rPr>
        <w:t xml:space="preserve">needed </w:t>
      </w:r>
      <w:r w:rsidRPr="00B926DB">
        <w:rPr>
          <w:lang w:val="en-GB"/>
        </w:rPr>
        <w:t>expensive workstations with high processing power and resolution set up in proprietary development environment</w:t>
      </w:r>
      <w:r w:rsidR="002535A7" w:rsidRPr="00B926DB">
        <w:rPr>
          <w:lang w:val="en-GB"/>
        </w:rPr>
        <w:t>s and</w:t>
      </w:r>
      <w:r w:rsidRPr="00B926DB">
        <w:rPr>
          <w:lang w:val="en-GB"/>
        </w:rPr>
        <w:t xml:space="preserve"> powered by expensive servers and software licen</w:t>
      </w:r>
      <w:r w:rsidR="00CC4602" w:rsidRPr="00B926DB">
        <w:rPr>
          <w:lang w:val="en-GB"/>
        </w:rPr>
        <w:t>c</w:t>
      </w:r>
      <w:r w:rsidRPr="00B926DB">
        <w:rPr>
          <w:lang w:val="en-GB"/>
        </w:rPr>
        <w:t xml:space="preserve">es. However, </w:t>
      </w:r>
      <w:r w:rsidR="002535A7" w:rsidRPr="00B926DB">
        <w:rPr>
          <w:lang w:val="en-GB"/>
        </w:rPr>
        <w:t xml:space="preserve">Fujitsu Laboratories had made </w:t>
      </w:r>
      <w:r w:rsidRPr="00B926DB">
        <w:rPr>
          <w:lang w:val="en-GB"/>
        </w:rPr>
        <w:t xml:space="preserve">advances in high-speed image compression technology </w:t>
      </w:r>
      <w:r w:rsidR="002535A7" w:rsidRPr="00B926DB">
        <w:rPr>
          <w:lang w:val="en-GB"/>
        </w:rPr>
        <w:t>that</w:t>
      </w:r>
      <w:r w:rsidRPr="00B926DB">
        <w:rPr>
          <w:lang w:val="en-GB"/>
        </w:rPr>
        <w:t xml:space="preserve"> compressed the</w:t>
      </w:r>
      <w:r w:rsidR="002535A7" w:rsidRPr="00B926DB">
        <w:rPr>
          <w:lang w:val="en-GB"/>
        </w:rPr>
        <w:t>se</w:t>
      </w:r>
      <w:r w:rsidRPr="00B926DB">
        <w:rPr>
          <w:lang w:val="en-GB"/>
        </w:rPr>
        <w:t xml:space="preserve"> files to a fraction of their original sizes such that customers could transmit them efficiently over the Internet and process and display them with notebook computers or smartphones for convenient viewing and editing. By subscribing to the engineering cloud for manufacturing and engineering applications, the companies not only reduce</w:t>
      </w:r>
      <w:r w:rsidR="002535A7" w:rsidRPr="00B926DB">
        <w:rPr>
          <w:lang w:val="en-GB"/>
        </w:rPr>
        <w:t>d their</w:t>
      </w:r>
      <w:r w:rsidRPr="00B926DB">
        <w:rPr>
          <w:lang w:val="en-GB"/>
        </w:rPr>
        <w:t xml:space="preserve"> expenditure</w:t>
      </w:r>
      <w:r w:rsidR="002535A7" w:rsidRPr="00B926DB">
        <w:rPr>
          <w:lang w:val="en-GB"/>
        </w:rPr>
        <w:t>s</w:t>
      </w:r>
      <w:r w:rsidRPr="00B926DB">
        <w:rPr>
          <w:lang w:val="en-GB"/>
        </w:rPr>
        <w:t xml:space="preserve"> </w:t>
      </w:r>
      <w:r w:rsidR="002535A7" w:rsidRPr="00B926DB">
        <w:rPr>
          <w:lang w:val="en-GB"/>
        </w:rPr>
        <w:t xml:space="preserve">on </w:t>
      </w:r>
      <w:r w:rsidRPr="00B926DB">
        <w:rPr>
          <w:lang w:val="en-GB"/>
        </w:rPr>
        <w:t>servers, workstations</w:t>
      </w:r>
      <w:r w:rsidR="002535A7" w:rsidRPr="00B926DB">
        <w:rPr>
          <w:lang w:val="en-GB"/>
        </w:rPr>
        <w:t>,</w:t>
      </w:r>
      <w:r w:rsidRPr="00B926DB">
        <w:rPr>
          <w:lang w:val="en-GB"/>
        </w:rPr>
        <w:t xml:space="preserve"> and related licenses</w:t>
      </w:r>
      <w:r w:rsidR="002535A7" w:rsidRPr="00B926DB">
        <w:rPr>
          <w:lang w:val="en-GB"/>
        </w:rPr>
        <w:t>—</w:t>
      </w:r>
      <w:r w:rsidRPr="00B926DB">
        <w:rPr>
          <w:lang w:val="en-GB"/>
        </w:rPr>
        <w:t>and hence</w:t>
      </w:r>
      <w:r w:rsidR="002535A7" w:rsidRPr="00B926DB">
        <w:rPr>
          <w:lang w:val="en-GB"/>
        </w:rPr>
        <w:t>, on</w:t>
      </w:r>
      <w:r w:rsidRPr="00B926DB">
        <w:rPr>
          <w:lang w:val="en-GB"/>
        </w:rPr>
        <w:t xml:space="preserve"> manufacturing costs</w:t>
      </w:r>
      <w:r w:rsidR="002535A7" w:rsidRPr="00B926DB">
        <w:rPr>
          <w:lang w:val="en-GB"/>
        </w:rPr>
        <w:t>—</w:t>
      </w:r>
      <w:r w:rsidRPr="00B926DB">
        <w:rPr>
          <w:lang w:val="en-GB"/>
        </w:rPr>
        <w:t>but also improve</w:t>
      </w:r>
      <w:r w:rsidR="002535A7" w:rsidRPr="00B926DB">
        <w:rPr>
          <w:lang w:val="en-GB"/>
        </w:rPr>
        <w:t>d</w:t>
      </w:r>
      <w:r w:rsidRPr="00B926DB">
        <w:rPr>
          <w:lang w:val="en-GB"/>
        </w:rPr>
        <w:t xml:space="preserve"> product development time and their time to market.</w:t>
      </w:r>
    </w:p>
    <w:p w14:paraId="44E0702A" w14:textId="77777777" w:rsidR="00922282" w:rsidRPr="00AD3822" w:rsidRDefault="00922282" w:rsidP="00DF722C">
      <w:pPr>
        <w:jc w:val="both"/>
        <w:rPr>
          <w:color w:val="000000"/>
          <w:szCs w:val="22"/>
          <w:lang w:val="en-GB"/>
        </w:rPr>
      </w:pPr>
    </w:p>
    <w:p w14:paraId="713BC9B4" w14:textId="7A778E8D" w:rsidR="00922282" w:rsidRPr="00AD3822" w:rsidRDefault="00922282" w:rsidP="004E45EB">
      <w:pPr>
        <w:pStyle w:val="BodyTextMain"/>
        <w:rPr>
          <w:lang w:val="en-GB"/>
        </w:rPr>
      </w:pPr>
      <w:r w:rsidRPr="00AD3822">
        <w:rPr>
          <w:lang w:val="en-GB"/>
        </w:rPr>
        <w:t>Since focusing on connected services, Fujitsu had seen positive growth in its core business, particularly in the technology solutions sector. The growth of its core business, together with prior investment in business model transformation, had contributed to over 10 per</w:t>
      </w:r>
      <w:r w:rsidR="002535A7" w:rsidRPr="00AD3822">
        <w:rPr>
          <w:lang w:val="en-GB"/>
        </w:rPr>
        <w:t xml:space="preserve"> </w:t>
      </w:r>
      <w:r w:rsidRPr="00AD3822">
        <w:rPr>
          <w:lang w:val="en-GB"/>
        </w:rPr>
        <w:t>cent in operating profit.</w:t>
      </w:r>
    </w:p>
    <w:p w14:paraId="1DB6056A" w14:textId="77777777" w:rsidR="00922282" w:rsidRPr="00AD3822" w:rsidRDefault="00922282" w:rsidP="002D69CF">
      <w:pPr>
        <w:pStyle w:val="BodyTextMain"/>
        <w:rPr>
          <w:sz w:val="20"/>
          <w:lang w:val="en-GB"/>
        </w:rPr>
      </w:pPr>
    </w:p>
    <w:p w14:paraId="6AFA7345" w14:textId="77777777" w:rsidR="00922282" w:rsidRPr="00AD3822" w:rsidRDefault="00922282" w:rsidP="002D69CF">
      <w:pPr>
        <w:pStyle w:val="BodyTextMain"/>
        <w:rPr>
          <w:sz w:val="20"/>
          <w:lang w:val="en-GB"/>
        </w:rPr>
      </w:pPr>
    </w:p>
    <w:p w14:paraId="25250E03" w14:textId="77777777" w:rsidR="00922282" w:rsidRPr="00AD3822" w:rsidRDefault="00922282" w:rsidP="004E45EB">
      <w:pPr>
        <w:pStyle w:val="Casehead1"/>
        <w:rPr>
          <w:lang w:val="en-GB"/>
        </w:rPr>
      </w:pPr>
      <w:r w:rsidRPr="00AD3822">
        <w:rPr>
          <w:lang w:val="en-GB"/>
        </w:rPr>
        <w:t>FUTURE OPPORTUNITIES</w:t>
      </w:r>
    </w:p>
    <w:p w14:paraId="19974AF4" w14:textId="77777777" w:rsidR="00922282" w:rsidRPr="00AD3822" w:rsidRDefault="00922282" w:rsidP="00DF722C">
      <w:pPr>
        <w:jc w:val="both"/>
        <w:rPr>
          <w:szCs w:val="22"/>
          <w:lang w:val="en-GB"/>
        </w:rPr>
      </w:pPr>
    </w:p>
    <w:p w14:paraId="5C233F84" w14:textId="40D7F126" w:rsidR="00922282" w:rsidRPr="00B926DB" w:rsidRDefault="00922282" w:rsidP="004E45EB">
      <w:pPr>
        <w:pStyle w:val="BodyTextMain"/>
        <w:rPr>
          <w:lang w:val="en-GB"/>
        </w:rPr>
      </w:pPr>
      <w:r w:rsidRPr="00B926DB">
        <w:rPr>
          <w:lang w:val="en-GB"/>
        </w:rPr>
        <w:t xml:space="preserve">Looking at future growth opportunities for Singapore, Wong </w:t>
      </w:r>
      <w:r w:rsidR="00BC0AF0" w:rsidRPr="00B926DB">
        <w:rPr>
          <w:lang w:val="en-GB"/>
        </w:rPr>
        <w:t>was</w:t>
      </w:r>
      <w:r w:rsidRPr="00B926DB">
        <w:rPr>
          <w:lang w:val="en-GB"/>
        </w:rPr>
        <w:t xml:space="preserve"> upbeat about the potential of the two projects: </w:t>
      </w:r>
      <w:r w:rsidR="00BC0AF0" w:rsidRPr="00B926DB">
        <w:rPr>
          <w:lang w:val="en-GB"/>
        </w:rPr>
        <w:t xml:space="preserve">the </w:t>
      </w:r>
      <w:r w:rsidRPr="00B926DB">
        <w:rPr>
          <w:lang w:val="en-GB"/>
        </w:rPr>
        <w:t xml:space="preserve">agricultural cloud and </w:t>
      </w:r>
      <w:r w:rsidR="00BC0AF0" w:rsidRPr="00B926DB">
        <w:rPr>
          <w:lang w:val="en-GB"/>
        </w:rPr>
        <w:t xml:space="preserve">the </w:t>
      </w:r>
      <w:r w:rsidRPr="00B926DB">
        <w:rPr>
          <w:lang w:val="en-GB"/>
        </w:rPr>
        <w:t xml:space="preserve">engineering cloud. As </w:t>
      </w:r>
      <w:r w:rsidR="00BC0AF0" w:rsidRPr="00B926DB">
        <w:rPr>
          <w:lang w:val="en-GB"/>
        </w:rPr>
        <w:t xml:space="preserve">he </w:t>
      </w:r>
      <w:r w:rsidRPr="00B926DB">
        <w:rPr>
          <w:lang w:val="en-GB"/>
        </w:rPr>
        <w:t>studied and compared the estimated costs, potential revenues</w:t>
      </w:r>
      <w:r w:rsidR="00BC0AF0" w:rsidRPr="00B926DB">
        <w:rPr>
          <w:lang w:val="en-GB"/>
        </w:rPr>
        <w:t>,</w:t>
      </w:r>
      <w:r w:rsidRPr="00B926DB">
        <w:rPr>
          <w:lang w:val="en-GB"/>
        </w:rPr>
        <w:t xml:space="preserve"> and strategic value of each project over the next five years, </w:t>
      </w:r>
      <w:r w:rsidR="00CC4602" w:rsidRPr="00B926DB">
        <w:rPr>
          <w:lang w:val="en-GB"/>
        </w:rPr>
        <w:t xml:space="preserve">several </w:t>
      </w:r>
      <w:r w:rsidRPr="00B926DB">
        <w:rPr>
          <w:lang w:val="en-GB"/>
        </w:rPr>
        <w:t>thoughts ran through his mind.</w:t>
      </w:r>
    </w:p>
    <w:p w14:paraId="4F4892BA" w14:textId="77777777" w:rsidR="00922282" w:rsidRPr="00AD3822" w:rsidRDefault="00922282" w:rsidP="00DF722C">
      <w:pPr>
        <w:jc w:val="both"/>
        <w:rPr>
          <w:szCs w:val="22"/>
          <w:lang w:val="en-GB"/>
        </w:rPr>
      </w:pPr>
    </w:p>
    <w:p w14:paraId="4498AABE" w14:textId="26A7C351" w:rsidR="00642D6D" w:rsidRPr="00AD3822" w:rsidRDefault="00922282" w:rsidP="004E45EB">
      <w:pPr>
        <w:pStyle w:val="BodyTextMain"/>
        <w:rPr>
          <w:lang w:val="en-GB"/>
        </w:rPr>
      </w:pPr>
      <w:r w:rsidRPr="00AD3822">
        <w:rPr>
          <w:lang w:val="en-GB"/>
        </w:rPr>
        <w:t xml:space="preserve">How important would farming be to Singapore? Agriculture contributed less than </w:t>
      </w:r>
      <w:r w:rsidR="00C45815">
        <w:rPr>
          <w:lang w:val="en-GB"/>
        </w:rPr>
        <w:t xml:space="preserve">1 </w:t>
      </w:r>
      <w:r w:rsidRPr="00AD3822">
        <w:rPr>
          <w:lang w:val="en-GB"/>
        </w:rPr>
        <w:t>per</w:t>
      </w:r>
      <w:r w:rsidR="00BC0AF0" w:rsidRPr="00AD3822">
        <w:rPr>
          <w:lang w:val="en-GB"/>
        </w:rPr>
        <w:t xml:space="preserve"> </w:t>
      </w:r>
      <w:r w:rsidRPr="00AD3822">
        <w:rPr>
          <w:lang w:val="en-GB"/>
        </w:rPr>
        <w:t xml:space="preserve">cent of the country’s gross domestic product (GDP) and </w:t>
      </w:r>
      <w:r w:rsidR="00BC0AF0" w:rsidRPr="00AD3822">
        <w:rPr>
          <w:lang w:val="en-GB"/>
        </w:rPr>
        <w:t xml:space="preserve">employed </w:t>
      </w:r>
      <w:r w:rsidRPr="00AD3822">
        <w:rPr>
          <w:lang w:val="en-GB"/>
        </w:rPr>
        <w:t>1.3 per</w:t>
      </w:r>
      <w:r w:rsidR="00BC0AF0" w:rsidRPr="00AD3822">
        <w:rPr>
          <w:lang w:val="en-GB"/>
        </w:rPr>
        <w:t xml:space="preserve"> </w:t>
      </w:r>
      <w:r w:rsidRPr="00AD3822">
        <w:rPr>
          <w:lang w:val="en-GB"/>
        </w:rPr>
        <w:t xml:space="preserve">cent </w:t>
      </w:r>
      <w:r w:rsidR="00BC0AF0" w:rsidRPr="00AD3822">
        <w:rPr>
          <w:lang w:val="en-GB"/>
        </w:rPr>
        <w:t xml:space="preserve">of its </w:t>
      </w:r>
      <w:r w:rsidRPr="00AD3822">
        <w:rPr>
          <w:lang w:val="en-GB"/>
        </w:rPr>
        <w:t>labo</w:t>
      </w:r>
      <w:r w:rsidR="00BC0AF0" w:rsidRPr="00AD3822">
        <w:rPr>
          <w:lang w:val="en-GB"/>
        </w:rPr>
        <w:t>u</w:t>
      </w:r>
      <w:r w:rsidRPr="00AD3822">
        <w:rPr>
          <w:lang w:val="en-GB"/>
        </w:rPr>
        <w:t xml:space="preserve">r force in 2016. However, the estimated value added </w:t>
      </w:r>
      <w:r w:rsidR="00BC0AF0" w:rsidRPr="00AD3822">
        <w:rPr>
          <w:lang w:val="en-GB"/>
        </w:rPr>
        <w:t xml:space="preserve">of </w:t>
      </w:r>
      <w:r w:rsidRPr="00AD3822">
        <w:rPr>
          <w:lang w:val="en-GB"/>
        </w:rPr>
        <w:t xml:space="preserve">the </w:t>
      </w:r>
      <w:r w:rsidR="00BC0AF0" w:rsidRPr="00AD3822">
        <w:rPr>
          <w:lang w:val="en-GB"/>
        </w:rPr>
        <w:t>agricultural sector</w:t>
      </w:r>
      <w:r w:rsidRPr="00AD3822">
        <w:rPr>
          <w:lang w:val="en-GB"/>
        </w:rPr>
        <w:t xml:space="preserve"> had increased from S</w:t>
      </w:r>
      <w:r w:rsidR="00CC4602">
        <w:rPr>
          <w:lang w:val="en-GB"/>
        </w:rPr>
        <w:t>$</w:t>
      </w:r>
      <w:r w:rsidRPr="00AD3822">
        <w:rPr>
          <w:lang w:val="en-GB"/>
        </w:rPr>
        <w:t>90.5 million in 2006 to S</w:t>
      </w:r>
      <w:r w:rsidR="00CC4602">
        <w:rPr>
          <w:lang w:val="en-GB"/>
        </w:rPr>
        <w:t>$</w:t>
      </w:r>
      <w:r w:rsidRPr="00AD3822">
        <w:rPr>
          <w:lang w:val="en-GB"/>
        </w:rPr>
        <w:t>126.6 million in 2014.</w:t>
      </w:r>
      <w:r w:rsidR="002E742C" w:rsidRPr="00AD3822">
        <w:rPr>
          <w:rStyle w:val="FootnoteReference"/>
          <w:lang w:val="en-GB"/>
        </w:rPr>
        <w:footnoteReference w:id="21"/>
      </w:r>
      <w:r w:rsidR="00BC0AF0" w:rsidRPr="00AD3822">
        <w:rPr>
          <w:lang w:val="en-GB"/>
        </w:rPr>
        <w:t>This increase</w:t>
      </w:r>
      <w:r w:rsidR="00DF722C" w:rsidRPr="00AD3822">
        <w:rPr>
          <w:lang w:val="en-GB"/>
        </w:rPr>
        <w:t xml:space="preserve"> in value added could be attributed to </w:t>
      </w:r>
      <w:r w:rsidR="00BC0AF0" w:rsidRPr="00AD3822">
        <w:rPr>
          <w:lang w:val="en-GB"/>
        </w:rPr>
        <w:t xml:space="preserve">the </w:t>
      </w:r>
      <w:r w:rsidR="00DF722C" w:rsidRPr="00AD3822">
        <w:rPr>
          <w:lang w:val="en-GB"/>
        </w:rPr>
        <w:t xml:space="preserve">Singapore government’s recognition of the importance of farming </w:t>
      </w:r>
      <w:r w:rsidR="00BC0AF0" w:rsidRPr="00AD3822">
        <w:rPr>
          <w:lang w:val="en-GB"/>
        </w:rPr>
        <w:t xml:space="preserve">to </w:t>
      </w:r>
      <w:r w:rsidR="00DF722C" w:rsidRPr="00AD3822">
        <w:rPr>
          <w:lang w:val="en-GB"/>
        </w:rPr>
        <w:t xml:space="preserve">enhancing </w:t>
      </w:r>
      <w:r w:rsidR="00BC0AF0" w:rsidRPr="00AD3822">
        <w:rPr>
          <w:lang w:val="en-GB"/>
        </w:rPr>
        <w:t xml:space="preserve">the </w:t>
      </w:r>
      <w:r w:rsidR="00DF722C" w:rsidRPr="00AD3822">
        <w:rPr>
          <w:lang w:val="en-GB"/>
        </w:rPr>
        <w:t xml:space="preserve">resilience </w:t>
      </w:r>
      <w:r w:rsidR="00BC0AF0" w:rsidRPr="00AD3822">
        <w:rPr>
          <w:lang w:val="en-GB"/>
        </w:rPr>
        <w:t xml:space="preserve">of the country’s </w:t>
      </w:r>
      <w:r w:rsidR="00DF722C" w:rsidRPr="00AD3822">
        <w:rPr>
          <w:lang w:val="en-GB"/>
        </w:rPr>
        <w:t xml:space="preserve">food supply. The government agency overseeing agriculture, </w:t>
      </w:r>
      <w:r w:rsidR="00BC0AF0" w:rsidRPr="00AD3822">
        <w:rPr>
          <w:lang w:val="en-GB"/>
        </w:rPr>
        <w:t xml:space="preserve">the </w:t>
      </w:r>
      <w:r w:rsidR="00DF722C" w:rsidRPr="00AD3822">
        <w:rPr>
          <w:lang w:val="en-GB"/>
        </w:rPr>
        <w:t>Agri-Food and Veterinary Authority (AVA)</w:t>
      </w:r>
      <w:r w:rsidR="00BC0AF0" w:rsidRPr="00AD3822">
        <w:rPr>
          <w:lang w:val="en-GB"/>
        </w:rPr>
        <w:t xml:space="preserve"> of Singapore</w:t>
      </w:r>
      <w:r w:rsidR="00DF722C" w:rsidRPr="00AD3822">
        <w:rPr>
          <w:lang w:val="en-GB"/>
        </w:rPr>
        <w:t xml:space="preserve">, </w:t>
      </w:r>
      <w:r w:rsidR="00BC0AF0" w:rsidRPr="00AD3822">
        <w:rPr>
          <w:lang w:val="en-GB"/>
        </w:rPr>
        <w:t xml:space="preserve">had </w:t>
      </w:r>
      <w:r w:rsidR="00DF722C" w:rsidRPr="00AD3822">
        <w:rPr>
          <w:lang w:val="en-GB"/>
        </w:rPr>
        <w:t xml:space="preserve">formulated </w:t>
      </w:r>
      <w:r w:rsidR="00BC0AF0" w:rsidRPr="00AD3822">
        <w:rPr>
          <w:lang w:val="en-GB"/>
        </w:rPr>
        <w:t xml:space="preserve">a farm transformation map </w:t>
      </w:r>
      <w:r w:rsidR="00DF722C" w:rsidRPr="00AD3822">
        <w:rPr>
          <w:lang w:val="en-GB"/>
        </w:rPr>
        <w:t xml:space="preserve">to transform the domestic farming industry </w:t>
      </w:r>
      <w:r w:rsidR="00BC0AF0" w:rsidRPr="00AD3822">
        <w:rPr>
          <w:lang w:val="en-GB"/>
        </w:rPr>
        <w:t xml:space="preserve">through </w:t>
      </w:r>
      <w:r w:rsidR="00DF722C" w:rsidRPr="00AD3822">
        <w:rPr>
          <w:lang w:val="en-GB"/>
        </w:rPr>
        <w:t xml:space="preserve">four key </w:t>
      </w:r>
      <w:r w:rsidR="00BC0AF0" w:rsidRPr="00AD3822">
        <w:rPr>
          <w:lang w:val="en-GB"/>
        </w:rPr>
        <w:t>activities</w:t>
      </w:r>
      <w:r w:rsidR="00DF722C" w:rsidRPr="00AD3822">
        <w:rPr>
          <w:lang w:val="en-GB"/>
        </w:rPr>
        <w:t>: (</w:t>
      </w:r>
      <w:r w:rsidR="00BC0AF0" w:rsidRPr="00AD3822">
        <w:rPr>
          <w:lang w:val="en-GB"/>
        </w:rPr>
        <w:t>1</w:t>
      </w:r>
      <w:r w:rsidR="00DF722C" w:rsidRPr="00AD3822">
        <w:rPr>
          <w:lang w:val="en-GB"/>
        </w:rPr>
        <w:t>) attracting and building modern farmers into agri-technologists</w:t>
      </w:r>
      <w:r w:rsidR="00CC4602">
        <w:rPr>
          <w:lang w:val="en-GB"/>
        </w:rPr>
        <w:t>;</w:t>
      </w:r>
      <w:r w:rsidR="00DF722C" w:rsidRPr="00AD3822">
        <w:rPr>
          <w:lang w:val="en-GB"/>
        </w:rPr>
        <w:t xml:space="preserve"> (</w:t>
      </w:r>
      <w:r w:rsidR="00BC0AF0" w:rsidRPr="00AD3822">
        <w:rPr>
          <w:lang w:val="en-GB"/>
        </w:rPr>
        <w:t>2</w:t>
      </w:r>
      <w:r w:rsidR="00DF722C" w:rsidRPr="00AD3822">
        <w:rPr>
          <w:lang w:val="en-GB"/>
        </w:rPr>
        <w:t>) overcoming physical space constraints</w:t>
      </w:r>
      <w:r w:rsidR="00CC4602">
        <w:rPr>
          <w:lang w:val="en-GB"/>
        </w:rPr>
        <w:t>;</w:t>
      </w:r>
      <w:r w:rsidR="00DF722C" w:rsidRPr="00AD3822">
        <w:rPr>
          <w:lang w:val="en-GB"/>
        </w:rPr>
        <w:t xml:space="preserve"> (</w:t>
      </w:r>
      <w:r w:rsidR="00BC0AF0" w:rsidRPr="00AD3822">
        <w:rPr>
          <w:lang w:val="en-GB"/>
        </w:rPr>
        <w:t>3</w:t>
      </w:r>
      <w:r w:rsidR="00DF722C" w:rsidRPr="00AD3822">
        <w:rPr>
          <w:lang w:val="en-GB"/>
        </w:rPr>
        <w:t>) seeking technological innovations to increase yield</w:t>
      </w:r>
      <w:r w:rsidR="00CC4602">
        <w:rPr>
          <w:lang w:val="en-GB"/>
        </w:rPr>
        <w:t>;</w:t>
      </w:r>
      <w:r w:rsidR="00DF722C" w:rsidRPr="00AD3822">
        <w:rPr>
          <w:lang w:val="en-GB"/>
        </w:rPr>
        <w:t xml:space="preserve"> and (</w:t>
      </w:r>
      <w:r w:rsidR="00BC0AF0" w:rsidRPr="00AD3822">
        <w:rPr>
          <w:lang w:val="en-GB"/>
        </w:rPr>
        <w:t>4</w:t>
      </w:r>
      <w:r w:rsidR="00DF722C" w:rsidRPr="00AD3822">
        <w:rPr>
          <w:lang w:val="en-GB"/>
        </w:rPr>
        <w:t>) building the ecosystem. An agricultural productivity fund of S</w:t>
      </w:r>
      <w:r w:rsidR="00CC4602">
        <w:rPr>
          <w:lang w:val="en-GB"/>
        </w:rPr>
        <w:t>$</w:t>
      </w:r>
      <w:r w:rsidR="00DF722C" w:rsidRPr="00AD3822">
        <w:rPr>
          <w:lang w:val="en-GB"/>
        </w:rPr>
        <w:t xml:space="preserve">63 million had been launched in 2014 to co-fund </w:t>
      </w:r>
      <w:r w:rsidR="00BC0AF0" w:rsidRPr="00AD3822">
        <w:rPr>
          <w:lang w:val="en-GB"/>
        </w:rPr>
        <w:t xml:space="preserve">local farmers’ </w:t>
      </w:r>
      <w:r w:rsidR="00DF722C" w:rsidRPr="00AD3822">
        <w:rPr>
          <w:lang w:val="en-GB"/>
        </w:rPr>
        <w:t xml:space="preserve">investments in technology to facilitate </w:t>
      </w:r>
      <w:r w:rsidR="00BC0AF0" w:rsidRPr="00AD3822">
        <w:rPr>
          <w:lang w:val="en-GB"/>
        </w:rPr>
        <w:t xml:space="preserve">the adoption of </w:t>
      </w:r>
      <w:r w:rsidR="00DF722C" w:rsidRPr="00AD3822">
        <w:rPr>
          <w:lang w:val="en-GB"/>
        </w:rPr>
        <w:t xml:space="preserve">technology in the agricultural sector. By 2017, </w:t>
      </w:r>
      <w:r w:rsidR="00BC0AF0" w:rsidRPr="00AD3822">
        <w:rPr>
          <w:lang w:val="en-GB"/>
        </w:rPr>
        <w:t xml:space="preserve">the AVA </w:t>
      </w:r>
      <w:r w:rsidR="00DF722C" w:rsidRPr="00AD3822">
        <w:rPr>
          <w:lang w:val="en-GB"/>
        </w:rPr>
        <w:t>had a total land area of 1,465 hectares</w:t>
      </w:r>
      <w:r w:rsidR="00BC0AF0" w:rsidRPr="00AD3822">
        <w:rPr>
          <w:lang w:val="en-GB"/>
        </w:rPr>
        <w:t xml:space="preserve"> and </w:t>
      </w:r>
      <w:r w:rsidR="00DF722C" w:rsidRPr="00AD3822">
        <w:rPr>
          <w:lang w:val="en-GB"/>
        </w:rPr>
        <w:t>six agro-technology parks comprising over 200 farms producing a diverse range of products from vegetables and fruits to livestock and flowers.</w:t>
      </w:r>
      <w:r w:rsidR="00642D6D" w:rsidRPr="00AD3822">
        <w:rPr>
          <w:lang w:val="en-GB"/>
        </w:rPr>
        <w:t xml:space="preserve"> In May 2017, f</w:t>
      </w:r>
      <w:r w:rsidR="00DF722C" w:rsidRPr="00AD3822">
        <w:rPr>
          <w:lang w:val="en-GB"/>
        </w:rPr>
        <w:t xml:space="preserve">or the first time in a decade, the government of the land-scarce country </w:t>
      </w:r>
      <w:r w:rsidR="00642D6D" w:rsidRPr="00AD3822">
        <w:rPr>
          <w:lang w:val="en-GB"/>
        </w:rPr>
        <w:t xml:space="preserve">tendered </w:t>
      </w:r>
      <w:r w:rsidR="00DF722C" w:rsidRPr="00AD3822">
        <w:rPr>
          <w:lang w:val="en-GB"/>
        </w:rPr>
        <w:t>36 plots of agricultural land spanning 60 hectares on 20-year lease</w:t>
      </w:r>
      <w:r w:rsidR="00BC0AF0" w:rsidRPr="00AD3822">
        <w:rPr>
          <w:lang w:val="en-GB"/>
        </w:rPr>
        <w:t>s</w:t>
      </w:r>
      <w:r w:rsidR="00DF722C" w:rsidRPr="00AD3822">
        <w:rPr>
          <w:lang w:val="en-GB"/>
        </w:rPr>
        <w:t xml:space="preserve"> for food farming. </w:t>
      </w:r>
      <w:r w:rsidR="00CC4602">
        <w:rPr>
          <w:lang w:val="en-GB"/>
        </w:rPr>
        <w:t>The government</w:t>
      </w:r>
      <w:r w:rsidR="00CC4602" w:rsidRPr="00AD3822">
        <w:rPr>
          <w:lang w:val="en-GB"/>
        </w:rPr>
        <w:t xml:space="preserve"> </w:t>
      </w:r>
      <w:r w:rsidR="00DF722C" w:rsidRPr="00AD3822">
        <w:rPr>
          <w:lang w:val="en-GB"/>
        </w:rPr>
        <w:t xml:space="preserve">hoped </w:t>
      </w:r>
      <w:r w:rsidR="00CC4602">
        <w:rPr>
          <w:lang w:val="en-GB"/>
        </w:rPr>
        <w:t>it would</w:t>
      </w:r>
      <w:r w:rsidR="00CC4602" w:rsidRPr="00AD3822">
        <w:rPr>
          <w:lang w:val="en-GB"/>
        </w:rPr>
        <w:t xml:space="preserve"> </w:t>
      </w:r>
      <w:r w:rsidR="00DF722C" w:rsidRPr="00AD3822">
        <w:rPr>
          <w:lang w:val="en-GB"/>
        </w:rPr>
        <w:t>be a role model for the modern agricultural sector in urbanized societies</w:t>
      </w:r>
      <w:r w:rsidR="00642D6D" w:rsidRPr="00AD3822">
        <w:rPr>
          <w:lang w:val="en-GB"/>
        </w:rPr>
        <w:t>.</w:t>
      </w:r>
    </w:p>
    <w:p w14:paraId="02D0530E" w14:textId="77777777" w:rsidR="00642D6D" w:rsidRPr="00AD3822" w:rsidRDefault="00642D6D" w:rsidP="004E45EB">
      <w:pPr>
        <w:pStyle w:val="BodyTextMain"/>
        <w:rPr>
          <w:sz w:val="20"/>
          <w:lang w:val="en-GB"/>
        </w:rPr>
      </w:pPr>
    </w:p>
    <w:p w14:paraId="6719B147" w14:textId="548CCA89" w:rsidR="00DF722C" w:rsidRPr="002C3ED5" w:rsidRDefault="00DF722C" w:rsidP="004E45EB">
      <w:pPr>
        <w:pStyle w:val="BodyTextMain"/>
        <w:rPr>
          <w:spacing w:val="-2"/>
          <w:lang w:val="en-GB"/>
        </w:rPr>
      </w:pPr>
      <w:r w:rsidRPr="002C3ED5">
        <w:rPr>
          <w:spacing w:val="-2"/>
          <w:lang w:val="en-GB"/>
        </w:rPr>
        <w:t xml:space="preserve">Interestingly, </w:t>
      </w:r>
      <w:r w:rsidR="00642D6D" w:rsidRPr="002C3ED5">
        <w:rPr>
          <w:spacing w:val="-2"/>
          <w:lang w:val="en-GB"/>
        </w:rPr>
        <w:t xml:space="preserve">in 2014, </w:t>
      </w:r>
      <w:r w:rsidRPr="002C3ED5">
        <w:rPr>
          <w:spacing w:val="-2"/>
          <w:lang w:val="en-GB"/>
        </w:rPr>
        <w:t xml:space="preserve">the consumer electronics company Panasonic </w:t>
      </w:r>
      <w:r w:rsidR="00642D6D" w:rsidRPr="002C3ED5">
        <w:rPr>
          <w:spacing w:val="-2"/>
          <w:lang w:val="en-GB"/>
        </w:rPr>
        <w:t xml:space="preserve">Corporation </w:t>
      </w:r>
      <w:r w:rsidRPr="002C3ED5">
        <w:rPr>
          <w:spacing w:val="-2"/>
          <w:lang w:val="en-GB"/>
        </w:rPr>
        <w:t>started venturing into indoor agriculture in Singapore</w:t>
      </w:r>
      <w:r w:rsidR="00642D6D" w:rsidRPr="002C3ED5">
        <w:rPr>
          <w:spacing w:val="-2"/>
          <w:lang w:val="en-GB"/>
        </w:rPr>
        <w:t xml:space="preserve"> </w:t>
      </w:r>
      <w:r w:rsidRPr="002C3ED5">
        <w:rPr>
          <w:spacing w:val="-2"/>
          <w:lang w:val="en-GB"/>
        </w:rPr>
        <w:t xml:space="preserve">by growing leafy greens in a warehouse for sale to local restaurants and grocers. With an indoor farm of </w:t>
      </w:r>
      <w:r w:rsidR="00642D6D" w:rsidRPr="002C3ED5">
        <w:rPr>
          <w:spacing w:val="-2"/>
          <w:lang w:val="en-GB"/>
        </w:rPr>
        <w:t>248 square metres</w:t>
      </w:r>
      <w:r w:rsidRPr="002C3ED5">
        <w:rPr>
          <w:spacing w:val="-2"/>
          <w:lang w:val="en-GB"/>
        </w:rPr>
        <w:t xml:space="preserve">, Panasonic </w:t>
      </w:r>
      <w:r w:rsidR="00642D6D" w:rsidRPr="002C3ED5">
        <w:rPr>
          <w:spacing w:val="-2"/>
          <w:lang w:val="en-GB"/>
        </w:rPr>
        <w:t>produced 3.6 tons</w:t>
      </w:r>
      <w:r w:rsidR="00642D6D" w:rsidRPr="002C3ED5" w:rsidDel="00642D6D">
        <w:rPr>
          <w:spacing w:val="-2"/>
          <w:lang w:val="en-GB"/>
        </w:rPr>
        <w:t xml:space="preserve"> </w:t>
      </w:r>
      <w:r w:rsidRPr="002C3ED5">
        <w:rPr>
          <w:spacing w:val="-2"/>
          <w:lang w:val="en-GB"/>
        </w:rPr>
        <w:t>annual</w:t>
      </w:r>
      <w:r w:rsidR="00642D6D" w:rsidRPr="002C3ED5">
        <w:rPr>
          <w:spacing w:val="-2"/>
          <w:lang w:val="en-GB"/>
        </w:rPr>
        <w:t>ly.</w:t>
      </w:r>
      <w:r w:rsidRPr="002C3ED5">
        <w:rPr>
          <w:spacing w:val="-2"/>
          <w:lang w:val="en-GB"/>
        </w:rPr>
        <w:t xml:space="preserve"> To attain higher yield in the limited space, the growing beds were stacked against the ceilin</w:t>
      </w:r>
      <w:r w:rsidR="004E45EB" w:rsidRPr="002C3ED5">
        <w:rPr>
          <w:spacing w:val="-2"/>
          <w:lang w:val="en-GB"/>
        </w:rPr>
        <w:t>g</w:t>
      </w:r>
      <w:r w:rsidR="00642D6D" w:rsidRPr="002C3ED5">
        <w:rPr>
          <w:spacing w:val="-2"/>
          <w:lang w:val="en-GB"/>
        </w:rPr>
        <w:t>,</w:t>
      </w:r>
      <w:r w:rsidR="004E45EB" w:rsidRPr="002C3ED5">
        <w:rPr>
          <w:spacing w:val="-2"/>
          <w:lang w:val="en-GB"/>
        </w:rPr>
        <w:t xml:space="preserve"> with LED</w:t>
      </w:r>
      <w:r w:rsidR="00642D6D" w:rsidRPr="002C3ED5">
        <w:rPr>
          <w:spacing w:val="-2"/>
          <w:lang w:val="en-GB"/>
        </w:rPr>
        <w:t xml:space="preserve"> light</w:t>
      </w:r>
      <w:r w:rsidR="004E45EB" w:rsidRPr="002C3ED5">
        <w:rPr>
          <w:spacing w:val="-2"/>
          <w:lang w:val="en-GB"/>
        </w:rPr>
        <w:t>s replacing sunlight.</w:t>
      </w:r>
    </w:p>
    <w:p w14:paraId="5FB2E00F" w14:textId="77777777" w:rsidR="00DF722C" w:rsidRPr="00B926DB" w:rsidRDefault="00DF722C" w:rsidP="00DF722C">
      <w:pPr>
        <w:jc w:val="both"/>
        <w:rPr>
          <w:szCs w:val="22"/>
          <w:lang w:val="en-GB"/>
        </w:rPr>
      </w:pPr>
    </w:p>
    <w:p w14:paraId="6C4A9589" w14:textId="0F2CDFD8" w:rsidR="00DF722C" w:rsidRPr="002C3ED5" w:rsidRDefault="00DF722C" w:rsidP="004E45EB">
      <w:pPr>
        <w:pStyle w:val="BodyTextMain"/>
        <w:rPr>
          <w:spacing w:val="-2"/>
          <w:lang w:val="en-GB"/>
        </w:rPr>
      </w:pPr>
      <w:r w:rsidRPr="002C3ED5">
        <w:rPr>
          <w:spacing w:val="-2"/>
          <w:lang w:val="en-GB"/>
        </w:rPr>
        <w:t>With Fujitsu’s strengths in building ecosystem</w:t>
      </w:r>
      <w:r w:rsidR="00642D6D" w:rsidRPr="002C3ED5">
        <w:rPr>
          <w:spacing w:val="-2"/>
          <w:lang w:val="en-GB"/>
        </w:rPr>
        <w:t>s</w:t>
      </w:r>
      <w:r w:rsidRPr="002C3ED5">
        <w:rPr>
          <w:spacing w:val="-2"/>
          <w:lang w:val="en-GB"/>
        </w:rPr>
        <w:t xml:space="preserve"> with its connected services and </w:t>
      </w:r>
      <w:r w:rsidR="00642D6D" w:rsidRPr="002C3ED5">
        <w:rPr>
          <w:spacing w:val="-2"/>
          <w:lang w:val="en-GB"/>
        </w:rPr>
        <w:t xml:space="preserve">its </w:t>
      </w:r>
      <w:r w:rsidRPr="002C3ED5">
        <w:rPr>
          <w:spacing w:val="-2"/>
          <w:lang w:val="en-GB"/>
        </w:rPr>
        <w:t xml:space="preserve">experience in operating </w:t>
      </w:r>
      <w:r w:rsidR="00642D6D" w:rsidRPr="002C3ED5">
        <w:rPr>
          <w:spacing w:val="-2"/>
          <w:lang w:val="en-GB"/>
        </w:rPr>
        <w:t xml:space="preserve">the </w:t>
      </w:r>
      <w:r w:rsidRPr="002C3ED5">
        <w:rPr>
          <w:spacing w:val="-2"/>
          <w:lang w:val="en-GB"/>
        </w:rPr>
        <w:t xml:space="preserve">agricultural cloud, it could certainly </w:t>
      </w:r>
      <w:r w:rsidR="00642D6D" w:rsidRPr="002C3ED5">
        <w:rPr>
          <w:spacing w:val="-2"/>
          <w:lang w:val="en-GB"/>
        </w:rPr>
        <w:t>act as</w:t>
      </w:r>
      <w:r w:rsidRPr="002C3ED5">
        <w:rPr>
          <w:spacing w:val="-2"/>
          <w:lang w:val="en-GB"/>
        </w:rPr>
        <w:t xml:space="preserve"> a technology partner for AVA and the aspiring modern farmers in Singapore. However, indoor or vertical farming would be quite different from the Akisai project</w:t>
      </w:r>
      <w:r w:rsidR="00642D6D" w:rsidRPr="002C3ED5">
        <w:rPr>
          <w:spacing w:val="-2"/>
          <w:lang w:val="en-GB"/>
        </w:rPr>
        <w:t>, which</w:t>
      </w:r>
      <w:r w:rsidRPr="002C3ED5">
        <w:rPr>
          <w:spacing w:val="-2"/>
          <w:lang w:val="en-GB"/>
        </w:rPr>
        <w:t xml:space="preserve"> </w:t>
      </w:r>
      <w:r w:rsidR="00642D6D" w:rsidRPr="002C3ED5">
        <w:rPr>
          <w:spacing w:val="-2"/>
          <w:lang w:val="en-GB"/>
        </w:rPr>
        <w:t xml:space="preserve">had </w:t>
      </w:r>
      <w:r w:rsidRPr="002C3ED5">
        <w:rPr>
          <w:spacing w:val="-2"/>
          <w:lang w:val="en-GB"/>
        </w:rPr>
        <w:lastRenderedPageBreak/>
        <w:t xml:space="preserve">focused on outdoor farming in Japan. It became apparent that the insight from </w:t>
      </w:r>
      <w:r w:rsidR="00642D6D" w:rsidRPr="002C3ED5">
        <w:rPr>
          <w:spacing w:val="-2"/>
          <w:lang w:val="en-GB"/>
        </w:rPr>
        <w:t xml:space="preserve">Fujitsu’s </w:t>
      </w:r>
      <w:r w:rsidRPr="002C3ED5">
        <w:rPr>
          <w:spacing w:val="-2"/>
          <w:lang w:val="en-GB"/>
        </w:rPr>
        <w:t xml:space="preserve">current joint venture </w:t>
      </w:r>
      <w:r w:rsidR="00642D6D" w:rsidRPr="002C3ED5">
        <w:rPr>
          <w:spacing w:val="-2"/>
          <w:lang w:val="en-GB"/>
        </w:rPr>
        <w:t xml:space="preserve">in indoor farming </w:t>
      </w:r>
      <w:r w:rsidRPr="002C3ED5">
        <w:rPr>
          <w:spacing w:val="-2"/>
          <w:lang w:val="en-GB"/>
        </w:rPr>
        <w:t xml:space="preserve">with Robbe’s Little Garden in Finland would be valuable, although that project </w:t>
      </w:r>
      <w:r w:rsidR="00642D6D" w:rsidRPr="002C3ED5">
        <w:rPr>
          <w:spacing w:val="-2"/>
          <w:lang w:val="en-GB"/>
        </w:rPr>
        <w:t xml:space="preserve">was </w:t>
      </w:r>
      <w:r w:rsidRPr="002C3ED5">
        <w:rPr>
          <w:spacing w:val="-2"/>
          <w:lang w:val="en-GB"/>
        </w:rPr>
        <w:t>still experimental in nature. Other issues</w:t>
      </w:r>
      <w:r w:rsidR="00642D6D" w:rsidRPr="002C3ED5">
        <w:rPr>
          <w:spacing w:val="-2"/>
          <w:lang w:val="en-GB"/>
        </w:rPr>
        <w:t>,</w:t>
      </w:r>
      <w:r w:rsidRPr="002C3ED5">
        <w:rPr>
          <w:spacing w:val="-2"/>
          <w:lang w:val="en-GB"/>
        </w:rPr>
        <w:t xml:space="preserve"> such as customization of the system for local operating conditions and languages</w:t>
      </w:r>
      <w:r w:rsidR="00642D6D" w:rsidRPr="002C3ED5">
        <w:rPr>
          <w:spacing w:val="-2"/>
          <w:lang w:val="en-GB"/>
        </w:rPr>
        <w:t>,</w:t>
      </w:r>
      <w:r w:rsidRPr="002C3ED5">
        <w:rPr>
          <w:spacing w:val="-2"/>
          <w:lang w:val="en-GB"/>
        </w:rPr>
        <w:t xml:space="preserve"> would </w:t>
      </w:r>
      <w:r w:rsidR="00642D6D" w:rsidRPr="002C3ED5">
        <w:rPr>
          <w:spacing w:val="-2"/>
          <w:lang w:val="en-GB"/>
        </w:rPr>
        <w:t xml:space="preserve">also </w:t>
      </w:r>
      <w:r w:rsidRPr="002C3ED5">
        <w:rPr>
          <w:spacing w:val="-2"/>
          <w:lang w:val="en-GB"/>
        </w:rPr>
        <w:t xml:space="preserve">need to be considered. More innovative solutions to pursue water and energy efficiency would be needed </w:t>
      </w:r>
      <w:r w:rsidR="00642D6D" w:rsidRPr="002C3ED5">
        <w:rPr>
          <w:spacing w:val="-2"/>
          <w:lang w:val="en-GB"/>
        </w:rPr>
        <w:t>as well</w:t>
      </w:r>
      <w:r w:rsidRPr="002C3ED5">
        <w:rPr>
          <w:spacing w:val="-2"/>
          <w:lang w:val="en-GB"/>
        </w:rPr>
        <w:t xml:space="preserve">, given the relatively higher cost of water for industrial use in Singapore than </w:t>
      </w:r>
      <w:r w:rsidR="00642D6D" w:rsidRPr="002C3ED5">
        <w:rPr>
          <w:spacing w:val="-2"/>
          <w:lang w:val="en-GB"/>
        </w:rPr>
        <w:t xml:space="preserve">in </w:t>
      </w:r>
      <w:r w:rsidRPr="002C3ED5">
        <w:rPr>
          <w:spacing w:val="-2"/>
          <w:lang w:val="en-GB"/>
        </w:rPr>
        <w:t xml:space="preserve">other Asian countries and electricity </w:t>
      </w:r>
      <w:r w:rsidR="00642D6D" w:rsidRPr="002C3ED5">
        <w:rPr>
          <w:spacing w:val="-2"/>
          <w:lang w:val="en-GB"/>
        </w:rPr>
        <w:t xml:space="preserve">tariffs that fluctuated </w:t>
      </w:r>
      <w:r w:rsidRPr="002C3ED5">
        <w:rPr>
          <w:spacing w:val="-2"/>
          <w:lang w:val="en-GB"/>
        </w:rPr>
        <w:t>in tandem with the cost of natural gas.</w:t>
      </w:r>
      <w:r w:rsidR="00642D6D" w:rsidRPr="002C3ED5">
        <w:rPr>
          <w:spacing w:val="-2"/>
          <w:lang w:val="en-GB"/>
        </w:rPr>
        <w:t xml:space="preserve"> </w:t>
      </w:r>
    </w:p>
    <w:p w14:paraId="206C6B76" w14:textId="77777777" w:rsidR="005B4FA2" w:rsidRPr="00AD3822" w:rsidRDefault="005B4FA2" w:rsidP="004E45EB">
      <w:pPr>
        <w:pStyle w:val="BodyTextMain"/>
        <w:rPr>
          <w:lang w:val="en-GB"/>
        </w:rPr>
      </w:pPr>
    </w:p>
    <w:p w14:paraId="2DC15AD5" w14:textId="0313CEA3" w:rsidR="00DF722C" w:rsidRPr="00AD3822" w:rsidRDefault="00DF722C" w:rsidP="004E45EB">
      <w:pPr>
        <w:pStyle w:val="BodyTextMain"/>
        <w:rPr>
          <w:lang w:val="en-GB"/>
        </w:rPr>
      </w:pPr>
      <w:r w:rsidRPr="00AD3822">
        <w:rPr>
          <w:lang w:val="en-GB"/>
        </w:rPr>
        <w:t>Turning his attention to the engineering cloud, Wong noted that manufacturing’s share of Singapore</w:t>
      </w:r>
      <w:r w:rsidR="00D3699E" w:rsidRPr="00AD3822">
        <w:rPr>
          <w:lang w:val="en-GB"/>
        </w:rPr>
        <w:t>’s</w:t>
      </w:r>
      <w:r w:rsidRPr="00AD3822">
        <w:rPr>
          <w:lang w:val="en-GB"/>
        </w:rPr>
        <w:t xml:space="preserve"> economy had declined from 28 per</w:t>
      </w:r>
      <w:r w:rsidR="00D3699E" w:rsidRPr="00AD3822">
        <w:rPr>
          <w:lang w:val="en-GB"/>
        </w:rPr>
        <w:t xml:space="preserve"> </w:t>
      </w:r>
      <w:r w:rsidRPr="00AD3822">
        <w:rPr>
          <w:lang w:val="en-GB"/>
        </w:rPr>
        <w:t>cent of GDP and 20.7 per</w:t>
      </w:r>
      <w:r w:rsidR="00D3699E" w:rsidRPr="00AD3822">
        <w:rPr>
          <w:lang w:val="en-GB"/>
        </w:rPr>
        <w:t xml:space="preserve"> </w:t>
      </w:r>
      <w:r w:rsidRPr="00AD3822">
        <w:rPr>
          <w:lang w:val="en-GB"/>
        </w:rPr>
        <w:t xml:space="preserve">cent of </w:t>
      </w:r>
      <w:r w:rsidR="00D3699E" w:rsidRPr="00AD3822">
        <w:rPr>
          <w:lang w:val="en-GB"/>
        </w:rPr>
        <w:t xml:space="preserve">the </w:t>
      </w:r>
      <w:r w:rsidRPr="00AD3822">
        <w:rPr>
          <w:lang w:val="en-GB"/>
        </w:rPr>
        <w:t>workforce in 2005 to 18 per</w:t>
      </w:r>
      <w:r w:rsidR="00D3699E" w:rsidRPr="00AD3822">
        <w:rPr>
          <w:lang w:val="en-GB"/>
        </w:rPr>
        <w:t xml:space="preserve"> </w:t>
      </w:r>
      <w:r w:rsidRPr="00AD3822">
        <w:rPr>
          <w:lang w:val="en-GB"/>
        </w:rPr>
        <w:t>cent of GDP and 13.6 per</w:t>
      </w:r>
      <w:r w:rsidR="00D3699E" w:rsidRPr="00AD3822">
        <w:rPr>
          <w:lang w:val="en-GB"/>
        </w:rPr>
        <w:t xml:space="preserve"> </w:t>
      </w:r>
      <w:r w:rsidRPr="00AD3822">
        <w:rPr>
          <w:lang w:val="en-GB"/>
        </w:rPr>
        <w:t xml:space="preserve">cent of </w:t>
      </w:r>
      <w:r w:rsidR="00D3699E" w:rsidRPr="00AD3822">
        <w:rPr>
          <w:lang w:val="en-GB"/>
        </w:rPr>
        <w:t xml:space="preserve">the </w:t>
      </w:r>
      <w:r w:rsidRPr="00AD3822">
        <w:rPr>
          <w:lang w:val="en-GB"/>
        </w:rPr>
        <w:t>workforce in 2016, as was the trend in many developed economies. The government was determined to sustain this sector</w:t>
      </w:r>
      <w:r w:rsidR="00D3699E" w:rsidRPr="00AD3822">
        <w:rPr>
          <w:lang w:val="en-GB"/>
        </w:rPr>
        <w:t>, which was</w:t>
      </w:r>
      <w:r w:rsidRPr="00AD3822">
        <w:rPr>
          <w:lang w:val="en-GB"/>
        </w:rPr>
        <w:t xml:space="preserve"> powered by close to 9,000 companies </w:t>
      </w:r>
      <w:r w:rsidR="00D3699E" w:rsidRPr="00AD3822">
        <w:rPr>
          <w:lang w:val="en-GB"/>
        </w:rPr>
        <w:t xml:space="preserve">and </w:t>
      </w:r>
      <w:r w:rsidRPr="00AD3822">
        <w:rPr>
          <w:lang w:val="en-GB"/>
        </w:rPr>
        <w:t>employed over 384,000 people with total sales of S</w:t>
      </w:r>
      <w:r w:rsidR="009454A2">
        <w:rPr>
          <w:lang w:val="en-GB"/>
        </w:rPr>
        <w:t>$</w:t>
      </w:r>
      <w:r w:rsidRPr="00AD3822">
        <w:rPr>
          <w:lang w:val="en-GB"/>
        </w:rPr>
        <w:t xml:space="preserve">259 billion and value added of </w:t>
      </w:r>
      <w:r w:rsidR="00D3699E" w:rsidRPr="00AD3822">
        <w:rPr>
          <w:lang w:val="en-GB"/>
        </w:rPr>
        <w:t>S</w:t>
      </w:r>
      <w:r w:rsidR="009454A2">
        <w:rPr>
          <w:lang w:val="en-GB"/>
        </w:rPr>
        <w:t>$</w:t>
      </w:r>
      <w:r w:rsidRPr="00AD3822">
        <w:rPr>
          <w:lang w:val="en-GB"/>
        </w:rPr>
        <w:t xml:space="preserve">70 billion in 2016. In </w:t>
      </w:r>
      <w:r w:rsidR="00D3699E" w:rsidRPr="00AD3822">
        <w:rPr>
          <w:lang w:val="en-GB"/>
        </w:rPr>
        <w:t xml:space="preserve">its </w:t>
      </w:r>
      <w:r w:rsidRPr="00AD3822">
        <w:rPr>
          <w:lang w:val="en-GB"/>
        </w:rPr>
        <w:t xml:space="preserve">recent five-year budget, </w:t>
      </w:r>
      <w:r w:rsidR="00D3699E" w:rsidRPr="00AD3822">
        <w:rPr>
          <w:lang w:val="en-GB"/>
        </w:rPr>
        <w:t xml:space="preserve">the government had set aside </w:t>
      </w:r>
      <w:r w:rsidRPr="00AD3822">
        <w:rPr>
          <w:lang w:val="en-GB"/>
        </w:rPr>
        <w:t>S</w:t>
      </w:r>
      <w:r w:rsidR="009454A2">
        <w:rPr>
          <w:lang w:val="en-GB"/>
        </w:rPr>
        <w:t>$</w:t>
      </w:r>
      <w:r w:rsidRPr="00AD3822">
        <w:rPr>
          <w:lang w:val="en-GB"/>
        </w:rPr>
        <w:t>3.3 billion to develop the advanced manufacturing and engineering domain, focusing on technology areas</w:t>
      </w:r>
      <w:r w:rsidR="00D3699E" w:rsidRPr="00AD3822">
        <w:rPr>
          <w:lang w:val="en-GB"/>
        </w:rPr>
        <w:t>—</w:t>
      </w:r>
      <w:r w:rsidRPr="00AD3822">
        <w:rPr>
          <w:lang w:val="en-GB"/>
        </w:rPr>
        <w:t>robotics and automation, digital manufacturing, additive manufacturing</w:t>
      </w:r>
      <w:r w:rsidR="00D3699E" w:rsidRPr="00AD3822">
        <w:rPr>
          <w:lang w:val="en-GB"/>
        </w:rPr>
        <w:t>,</w:t>
      </w:r>
      <w:r w:rsidRPr="00AD3822">
        <w:rPr>
          <w:lang w:val="en-GB"/>
        </w:rPr>
        <w:t xml:space="preserve"> and advanced materials</w:t>
      </w:r>
      <w:r w:rsidR="00D3699E" w:rsidRPr="00AD3822">
        <w:rPr>
          <w:lang w:val="en-GB"/>
        </w:rPr>
        <w:t>—</w:t>
      </w:r>
      <w:r w:rsidRPr="00AD3822">
        <w:rPr>
          <w:lang w:val="en-GB"/>
        </w:rPr>
        <w:t>in preparation for Industry 4.0</w:t>
      </w:r>
      <w:r w:rsidR="004E45EB" w:rsidRPr="00AD3822">
        <w:rPr>
          <w:lang w:val="en-GB"/>
        </w:rPr>
        <w:t>.</w:t>
      </w:r>
    </w:p>
    <w:p w14:paraId="6DC6665B" w14:textId="77777777" w:rsidR="00DF722C" w:rsidRPr="00AD3822" w:rsidRDefault="00DF722C" w:rsidP="00DF722C">
      <w:pPr>
        <w:jc w:val="both"/>
        <w:rPr>
          <w:szCs w:val="22"/>
          <w:lang w:val="en-GB"/>
        </w:rPr>
      </w:pPr>
    </w:p>
    <w:p w14:paraId="6F51AE1D" w14:textId="561229C7" w:rsidR="00DF722C" w:rsidRPr="00AD3822" w:rsidRDefault="00DF722C" w:rsidP="004E45EB">
      <w:pPr>
        <w:pStyle w:val="BodyTextMain"/>
        <w:rPr>
          <w:lang w:val="en-GB"/>
        </w:rPr>
      </w:pPr>
      <w:r w:rsidRPr="00AD3822">
        <w:rPr>
          <w:lang w:val="en-GB"/>
        </w:rPr>
        <w:t>To help companies address gaps in adopting technologies for advanced remanufacturing processes, A*STAR and the Nanyang Technological University formed the Advanced Remanufacturing and Technology Cent</w:t>
      </w:r>
      <w:r w:rsidR="00D3699E" w:rsidRPr="00AD3822">
        <w:rPr>
          <w:lang w:val="en-GB"/>
        </w:rPr>
        <w:t>r</w:t>
      </w:r>
      <w:r w:rsidRPr="00AD3822">
        <w:rPr>
          <w:lang w:val="en-GB"/>
        </w:rPr>
        <w:t xml:space="preserve">e (ARTC) in 2012. The first </w:t>
      </w:r>
      <w:r w:rsidR="00D3699E" w:rsidRPr="00AD3822">
        <w:rPr>
          <w:lang w:val="en-GB"/>
        </w:rPr>
        <w:t xml:space="preserve">test bed </w:t>
      </w:r>
      <w:r w:rsidRPr="00AD3822">
        <w:rPr>
          <w:lang w:val="en-GB"/>
        </w:rPr>
        <w:t>in Asia for developing manufacturing technologies, ARTC was a public</w:t>
      </w:r>
      <w:r w:rsidR="00D3699E" w:rsidRPr="00AD3822">
        <w:rPr>
          <w:lang w:val="en-GB"/>
        </w:rPr>
        <w:t>–</w:t>
      </w:r>
      <w:r w:rsidRPr="00AD3822">
        <w:rPr>
          <w:lang w:val="en-GB"/>
        </w:rPr>
        <w:t xml:space="preserve">private collaboration that aimed to enable firms </w:t>
      </w:r>
      <w:r w:rsidR="00D3699E" w:rsidRPr="00AD3822">
        <w:rPr>
          <w:lang w:val="en-GB"/>
        </w:rPr>
        <w:t xml:space="preserve">to </w:t>
      </w:r>
      <w:r w:rsidRPr="00AD3822">
        <w:rPr>
          <w:lang w:val="en-GB"/>
        </w:rPr>
        <w:t>build strong capabilities in the manufacturing sector.</w:t>
      </w:r>
    </w:p>
    <w:p w14:paraId="2B916E85" w14:textId="77777777" w:rsidR="00DF722C" w:rsidRPr="00AD3822" w:rsidRDefault="00DF722C" w:rsidP="00DF722C">
      <w:pPr>
        <w:jc w:val="both"/>
        <w:rPr>
          <w:szCs w:val="22"/>
          <w:lang w:val="en-GB"/>
        </w:rPr>
      </w:pPr>
    </w:p>
    <w:p w14:paraId="0549B205" w14:textId="2C8BDB49" w:rsidR="00DF722C" w:rsidRPr="00AD3822" w:rsidRDefault="00DF722C" w:rsidP="004E45EB">
      <w:pPr>
        <w:pStyle w:val="BodyTextMain"/>
        <w:rPr>
          <w:lang w:val="en-GB"/>
        </w:rPr>
      </w:pPr>
      <w:r w:rsidRPr="00AD3822">
        <w:rPr>
          <w:lang w:val="en-GB"/>
        </w:rPr>
        <w:t>Having seen Fujitsu demonstrate its value to the manufacturing sector in Japan with its engineering cloud platform, Wong was positive that the platform could offer PaaS and SaaS solutions for SMEs in Singapore to help them accelerate their transformation in the age of Industry 4.0. However, the costs of localizing the existing platform for these companies could be quite prohibitive</w:t>
      </w:r>
      <w:r w:rsidR="00D3699E" w:rsidRPr="00AD3822">
        <w:rPr>
          <w:lang w:val="en-GB"/>
        </w:rPr>
        <w:t>,</w:t>
      </w:r>
      <w:r w:rsidRPr="00AD3822">
        <w:rPr>
          <w:lang w:val="en-GB"/>
        </w:rPr>
        <w:t xml:space="preserve"> and it was unclear </w:t>
      </w:r>
      <w:r w:rsidR="009454A2">
        <w:rPr>
          <w:lang w:val="en-GB"/>
        </w:rPr>
        <w:t xml:space="preserve">whether </w:t>
      </w:r>
      <w:r w:rsidRPr="00AD3822">
        <w:rPr>
          <w:lang w:val="en-GB"/>
        </w:rPr>
        <w:t xml:space="preserve">manufacturing SMEs </w:t>
      </w:r>
      <w:r w:rsidR="009454A2">
        <w:rPr>
          <w:lang w:val="en-GB"/>
        </w:rPr>
        <w:t xml:space="preserve">would generate sufficient demand </w:t>
      </w:r>
      <w:r w:rsidRPr="00AD3822">
        <w:rPr>
          <w:lang w:val="en-GB"/>
        </w:rPr>
        <w:t>to cover the localization costs. In addition, the resources required to acquire new SME customers and support their operations would be quite different from those used to engage MNCs</w:t>
      </w:r>
      <w:r w:rsidR="00D3699E" w:rsidRPr="00AD3822">
        <w:rPr>
          <w:lang w:val="en-GB"/>
        </w:rPr>
        <w:t>—</w:t>
      </w:r>
      <w:r w:rsidRPr="00AD3822">
        <w:rPr>
          <w:lang w:val="en-GB"/>
        </w:rPr>
        <w:t>which was what Fujitsu had been structured to do. Should Fujitsu engage the SMEs directly or collaborate with partners such as ARTC or chambers of commerce to access their networks of SMEs that were open to innovati</w:t>
      </w:r>
      <w:r w:rsidR="004E45EB" w:rsidRPr="00AD3822">
        <w:rPr>
          <w:lang w:val="en-GB"/>
        </w:rPr>
        <w:t>on and new technology adoption</w:t>
      </w:r>
      <w:r w:rsidR="00D3699E" w:rsidRPr="00AD3822">
        <w:rPr>
          <w:lang w:val="en-GB"/>
        </w:rPr>
        <w:t>?</w:t>
      </w:r>
    </w:p>
    <w:p w14:paraId="773F2B27" w14:textId="77777777" w:rsidR="00DF722C" w:rsidRPr="00AD3822" w:rsidRDefault="00DF722C" w:rsidP="00DF722C">
      <w:pPr>
        <w:jc w:val="both"/>
        <w:rPr>
          <w:szCs w:val="22"/>
          <w:lang w:val="en-GB"/>
        </w:rPr>
      </w:pPr>
    </w:p>
    <w:p w14:paraId="4D675FFE" w14:textId="77777777" w:rsidR="004E45EB" w:rsidRPr="00AD3822" w:rsidRDefault="004E45EB" w:rsidP="00DF722C">
      <w:pPr>
        <w:jc w:val="both"/>
        <w:rPr>
          <w:szCs w:val="22"/>
          <w:lang w:val="en-GB"/>
        </w:rPr>
      </w:pPr>
    </w:p>
    <w:p w14:paraId="11DA719C" w14:textId="77777777" w:rsidR="00DF722C" w:rsidRPr="00AD3822" w:rsidRDefault="00DF722C" w:rsidP="004E45EB">
      <w:pPr>
        <w:pStyle w:val="Casehead1"/>
        <w:rPr>
          <w:lang w:val="en-GB"/>
        </w:rPr>
      </w:pPr>
      <w:r w:rsidRPr="00AD3822">
        <w:rPr>
          <w:lang w:val="en-GB"/>
        </w:rPr>
        <w:t>MOVING FORWARD</w:t>
      </w:r>
    </w:p>
    <w:p w14:paraId="04453B74" w14:textId="77777777" w:rsidR="00DF722C" w:rsidRPr="00AD3822" w:rsidRDefault="00DF722C" w:rsidP="00DF722C">
      <w:pPr>
        <w:jc w:val="both"/>
        <w:rPr>
          <w:szCs w:val="22"/>
          <w:lang w:val="en-GB"/>
        </w:rPr>
      </w:pPr>
    </w:p>
    <w:p w14:paraId="0190AE2C" w14:textId="6806A825" w:rsidR="00813D25" w:rsidRPr="00AD3822" w:rsidRDefault="00DF722C" w:rsidP="007E51E7">
      <w:pPr>
        <w:pStyle w:val="BodyTextMain"/>
        <w:rPr>
          <w:vertAlign w:val="subscript"/>
          <w:lang w:val="en-GB"/>
        </w:rPr>
      </w:pPr>
      <w:r w:rsidRPr="00AD3822">
        <w:rPr>
          <w:lang w:val="en-GB"/>
        </w:rPr>
        <w:t xml:space="preserve">As Wong stared at the two project options displayed on his computer, he knew </w:t>
      </w:r>
      <w:r w:rsidR="00D3699E" w:rsidRPr="00AD3822">
        <w:rPr>
          <w:lang w:val="en-GB"/>
        </w:rPr>
        <w:t xml:space="preserve">that he had limited time and resources and </w:t>
      </w:r>
      <w:r w:rsidRPr="00AD3822">
        <w:rPr>
          <w:lang w:val="en-GB"/>
        </w:rPr>
        <w:t xml:space="preserve">he </w:t>
      </w:r>
      <w:r w:rsidR="009454A2">
        <w:rPr>
          <w:lang w:val="en-GB"/>
        </w:rPr>
        <w:t>needed</w:t>
      </w:r>
      <w:r w:rsidR="009454A2" w:rsidRPr="00AD3822">
        <w:rPr>
          <w:lang w:val="en-GB"/>
        </w:rPr>
        <w:t xml:space="preserve"> </w:t>
      </w:r>
      <w:r w:rsidRPr="00AD3822">
        <w:rPr>
          <w:lang w:val="en-GB"/>
        </w:rPr>
        <w:t>to decide between them very soon. Should he leverage the Akisai project know-how and be the first mover in providing the agricultural cloud for vertical farming in a densely</w:t>
      </w:r>
      <w:r w:rsidR="009454A2">
        <w:rPr>
          <w:lang w:val="en-GB"/>
        </w:rPr>
        <w:t xml:space="preserve"> </w:t>
      </w:r>
      <w:r w:rsidRPr="00AD3822">
        <w:rPr>
          <w:lang w:val="en-GB"/>
        </w:rPr>
        <w:t xml:space="preserve">populated city? It could be Fujitsu’s future showcase for other Asian cities that faced similar farming constraints but placed </w:t>
      </w:r>
      <w:r w:rsidR="00D3699E" w:rsidRPr="00AD3822">
        <w:rPr>
          <w:lang w:val="en-GB"/>
        </w:rPr>
        <w:t xml:space="preserve">a </w:t>
      </w:r>
      <w:r w:rsidRPr="00AD3822">
        <w:rPr>
          <w:lang w:val="en-GB"/>
        </w:rPr>
        <w:t xml:space="preserve">high value on food resilience. Or should the company focus on bringing the engineering cloud to Singapore’s manufacturing SMEs? </w:t>
      </w:r>
      <w:r w:rsidR="00AA5F4F">
        <w:rPr>
          <w:lang w:val="en-GB"/>
        </w:rPr>
        <w:t>Doing so</w:t>
      </w:r>
      <w:r w:rsidR="00AA5F4F" w:rsidRPr="00AD3822">
        <w:rPr>
          <w:lang w:val="en-GB"/>
        </w:rPr>
        <w:t xml:space="preserve"> </w:t>
      </w:r>
      <w:r w:rsidRPr="00AD3822">
        <w:rPr>
          <w:lang w:val="en-GB"/>
        </w:rPr>
        <w:t>could differentiate Fujitsu as a specialized cloud provider from its competitors that were commodity cloud providers.</w:t>
      </w:r>
      <w:r w:rsidR="00813D25" w:rsidRPr="00AD3822">
        <w:rPr>
          <w:vertAlign w:val="subscript"/>
          <w:lang w:val="en-GB"/>
        </w:rPr>
        <w:br w:type="page"/>
      </w:r>
    </w:p>
    <w:p w14:paraId="2B515D8B" w14:textId="1459CC1C" w:rsidR="00813D25" w:rsidRPr="00AD3822" w:rsidRDefault="00813D25" w:rsidP="00813D25">
      <w:pPr>
        <w:pStyle w:val="ExhibitHeading"/>
        <w:rPr>
          <w:lang w:val="en-GB"/>
        </w:rPr>
      </w:pPr>
      <w:r w:rsidRPr="00AD3822">
        <w:rPr>
          <w:lang w:val="en-GB"/>
        </w:rPr>
        <w:lastRenderedPageBreak/>
        <w:t>EXHIBIT 1: FUJITSU’S ORGANIZATION</w:t>
      </w:r>
      <w:r w:rsidR="00743977" w:rsidRPr="00AD3822">
        <w:rPr>
          <w:lang w:val="en-GB"/>
        </w:rPr>
        <w:t>al</w:t>
      </w:r>
      <w:r w:rsidRPr="00AD3822">
        <w:rPr>
          <w:lang w:val="en-GB"/>
        </w:rPr>
        <w:t xml:space="preserve"> STRUCTURE</w:t>
      </w:r>
    </w:p>
    <w:p w14:paraId="3177E4DB" w14:textId="77777777" w:rsidR="00813D25" w:rsidRPr="00AD3822" w:rsidRDefault="00813D25" w:rsidP="002D69CF">
      <w:pPr>
        <w:pStyle w:val="BodyTextMain"/>
        <w:rPr>
          <w:sz w:val="20"/>
          <w:lang w:val="en-GB"/>
        </w:rPr>
      </w:pPr>
    </w:p>
    <w:p w14:paraId="661DB793" w14:textId="45B8D950" w:rsidR="00D318D7" w:rsidRPr="00AD3822" w:rsidRDefault="00B72F0F" w:rsidP="00813D25">
      <w:pPr>
        <w:jc w:val="center"/>
        <w:rPr>
          <w:rFonts w:ascii="Arial" w:hAnsi="Arial" w:cs="Arial"/>
          <w:b/>
          <w:lang w:val="en-GB"/>
        </w:rPr>
      </w:pPr>
      <w:r w:rsidRPr="00AD3822">
        <w:rPr>
          <w:noProof/>
        </w:rPr>
        <w:drawing>
          <wp:inline distT="0" distB="0" distL="0" distR="0" wp14:anchorId="5F75AD06" wp14:editId="635C35D2">
            <wp:extent cx="5943600" cy="3456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6305"/>
                    </a:xfrm>
                    <a:prstGeom prst="rect">
                      <a:avLst/>
                    </a:prstGeom>
                  </pic:spPr>
                </pic:pic>
              </a:graphicData>
            </a:graphic>
          </wp:inline>
        </w:drawing>
      </w:r>
    </w:p>
    <w:p w14:paraId="3ACD278F" w14:textId="77777777" w:rsidR="000F507A" w:rsidRPr="00AD3822" w:rsidRDefault="000F507A" w:rsidP="00DF369D">
      <w:pPr>
        <w:pStyle w:val="Footnote"/>
        <w:rPr>
          <w:lang w:val="en-GB"/>
        </w:rPr>
      </w:pPr>
    </w:p>
    <w:p w14:paraId="6B737BB4" w14:textId="18901AE0" w:rsidR="000F507A" w:rsidRPr="00AD3822" w:rsidRDefault="00F9350A" w:rsidP="00DF369D">
      <w:pPr>
        <w:pStyle w:val="Footnote"/>
        <w:rPr>
          <w:lang w:val="en-GB"/>
        </w:rPr>
      </w:pPr>
      <w:r w:rsidRPr="00AD3822">
        <w:rPr>
          <w:lang w:val="en-GB"/>
        </w:rPr>
        <w:t xml:space="preserve">Notes: </w:t>
      </w:r>
      <w:r w:rsidR="009454A2">
        <w:rPr>
          <w:lang w:val="en-GB"/>
        </w:rPr>
        <w:t xml:space="preserve">IT = information technology; </w:t>
      </w:r>
      <w:r w:rsidR="000F507A" w:rsidRPr="00AD3822">
        <w:rPr>
          <w:lang w:val="en-GB"/>
        </w:rPr>
        <w:t>(</w:t>
      </w:r>
      <w:r w:rsidRPr="00AD3822">
        <w:rPr>
          <w:lang w:val="en-GB"/>
        </w:rPr>
        <w:t>Equity-</w:t>
      </w:r>
      <w:r w:rsidR="000F507A" w:rsidRPr="00AD3822">
        <w:rPr>
          <w:lang w:val="en-GB"/>
        </w:rPr>
        <w:t>method affiliates)</w:t>
      </w:r>
      <w:r w:rsidRPr="00AD3822">
        <w:rPr>
          <w:lang w:val="en-GB"/>
        </w:rPr>
        <w:t xml:space="preserve">: </w:t>
      </w:r>
      <w:r w:rsidR="000F507A" w:rsidRPr="00AD3822">
        <w:rPr>
          <w:lang w:val="en-GB"/>
        </w:rPr>
        <w:t>Fujitsu Limited</w:t>
      </w:r>
      <w:r w:rsidRPr="00AD3822">
        <w:rPr>
          <w:lang w:val="en-GB"/>
        </w:rPr>
        <w:t xml:space="preserve">, </w:t>
      </w:r>
      <w:r w:rsidR="000F507A" w:rsidRPr="00AD3822">
        <w:rPr>
          <w:lang w:val="en-GB"/>
        </w:rPr>
        <w:t>44.25</w:t>
      </w:r>
      <w:r w:rsidRPr="00AD3822">
        <w:rPr>
          <w:lang w:val="en-GB"/>
        </w:rPr>
        <w:t>%;</w:t>
      </w:r>
      <w:r w:rsidR="002C199B">
        <w:rPr>
          <w:lang w:val="en-GB"/>
        </w:rPr>
        <w:t xml:space="preserve"> </w:t>
      </w:r>
      <w:r w:rsidR="000F507A" w:rsidRPr="00AD3822">
        <w:rPr>
          <w:lang w:val="en-GB"/>
        </w:rPr>
        <w:t>Fujitsu Leasing Co., Ltd.</w:t>
      </w:r>
      <w:r w:rsidRPr="00AD3822">
        <w:rPr>
          <w:lang w:val="en-GB"/>
        </w:rPr>
        <w:t xml:space="preserve">, </w:t>
      </w:r>
      <w:r w:rsidR="000F507A" w:rsidRPr="00AD3822">
        <w:rPr>
          <w:lang w:val="en-GB"/>
        </w:rPr>
        <w:t>20.00</w:t>
      </w:r>
      <w:r w:rsidRPr="00AD3822">
        <w:rPr>
          <w:lang w:val="en-GB"/>
        </w:rPr>
        <w:t>%;</w:t>
      </w:r>
      <w:r w:rsidR="002C199B">
        <w:rPr>
          <w:lang w:val="en-GB"/>
        </w:rPr>
        <w:t xml:space="preserve"> </w:t>
      </w:r>
      <w:r w:rsidR="000F507A" w:rsidRPr="00AD3822">
        <w:rPr>
          <w:lang w:val="en-GB"/>
        </w:rPr>
        <w:t>Socionext Inc.</w:t>
      </w:r>
      <w:r w:rsidRPr="00AD3822">
        <w:rPr>
          <w:lang w:val="en-GB"/>
        </w:rPr>
        <w:t xml:space="preserve">, </w:t>
      </w:r>
      <w:r w:rsidR="000F507A" w:rsidRPr="00AD3822">
        <w:rPr>
          <w:lang w:val="en-GB"/>
        </w:rPr>
        <w:t>40.00%</w:t>
      </w:r>
      <w:r w:rsidRPr="00AD3822">
        <w:rPr>
          <w:lang w:val="en-GB"/>
        </w:rPr>
        <w:t>;</w:t>
      </w:r>
      <w:r w:rsidR="00C20D76" w:rsidRPr="00AD3822">
        <w:rPr>
          <w:lang w:val="en-GB"/>
        </w:rPr>
        <w:t xml:space="preserve"> </w:t>
      </w:r>
      <w:r w:rsidR="000F507A" w:rsidRPr="00AD3822">
        <w:rPr>
          <w:lang w:val="en-GB"/>
        </w:rPr>
        <w:t>Percentages are percentages of voting rights</w:t>
      </w:r>
      <w:r w:rsidRPr="00AD3822">
        <w:rPr>
          <w:lang w:val="en-GB"/>
        </w:rPr>
        <w:t>,</w:t>
      </w:r>
      <w:r w:rsidR="000F507A" w:rsidRPr="00AD3822">
        <w:rPr>
          <w:lang w:val="en-GB"/>
        </w:rPr>
        <w:t xml:space="preserve"> and figures in parentheses are indirect shareholdings, which are included in the percentages of voting rights</w:t>
      </w:r>
      <w:r w:rsidRPr="00AD3822">
        <w:rPr>
          <w:lang w:val="en-GB"/>
        </w:rPr>
        <w:t>;</w:t>
      </w:r>
      <w:r w:rsidR="000F507A" w:rsidRPr="00AD3822">
        <w:rPr>
          <w:lang w:val="en-GB"/>
        </w:rPr>
        <w:t xml:space="preserve"> NIFTY Corporation changed its company name to Fujitsu Cloud Technologies Limited as of April 1, 2017.</w:t>
      </w:r>
    </w:p>
    <w:p w14:paraId="516D1F6F" w14:textId="0200A36F" w:rsidR="000F507A" w:rsidRPr="00AD3822" w:rsidRDefault="000F507A" w:rsidP="00DF369D">
      <w:pPr>
        <w:pStyle w:val="Footnote"/>
        <w:rPr>
          <w:lang w:val="en-GB"/>
        </w:rPr>
      </w:pPr>
      <w:r w:rsidRPr="00AD3822">
        <w:rPr>
          <w:lang w:val="en-GB"/>
        </w:rPr>
        <w:t xml:space="preserve">Source: </w:t>
      </w:r>
      <w:r w:rsidR="00AB164B" w:rsidRPr="00AD3822">
        <w:rPr>
          <w:lang w:val="en-GB"/>
        </w:rPr>
        <w:t>Company files.</w:t>
      </w:r>
    </w:p>
    <w:p w14:paraId="11F0D2B3" w14:textId="77777777" w:rsidR="000F507A" w:rsidRPr="00AD3822" w:rsidRDefault="000F507A" w:rsidP="00DF369D">
      <w:pPr>
        <w:pStyle w:val="Footnote"/>
        <w:rPr>
          <w:lang w:val="en-GB"/>
        </w:rPr>
      </w:pPr>
    </w:p>
    <w:p w14:paraId="5ECFE27C" w14:textId="77777777" w:rsidR="000F507A" w:rsidRPr="00AD3822" w:rsidRDefault="000F507A" w:rsidP="000F507A">
      <w:pPr>
        <w:pStyle w:val="ExhibitHeading"/>
        <w:jc w:val="left"/>
        <w:rPr>
          <w:lang w:val="en-GB"/>
        </w:rPr>
      </w:pPr>
    </w:p>
    <w:p w14:paraId="51C88E3F" w14:textId="34176546" w:rsidR="000F507A" w:rsidRPr="00AD3822" w:rsidRDefault="000F507A" w:rsidP="00546269">
      <w:pPr>
        <w:pStyle w:val="ExhibitHeading"/>
        <w:keepNext/>
        <w:rPr>
          <w:lang w:val="en-GB"/>
        </w:rPr>
      </w:pPr>
      <w:r w:rsidRPr="00AD3822">
        <w:rPr>
          <w:lang w:val="en-GB"/>
        </w:rPr>
        <w:t>EXHIBIT 2: FUJITSU’S REVENUE BY REGION AND SECTOR/CATEGORY</w:t>
      </w:r>
    </w:p>
    <w:p w14:paraId="1605DBA2" w14:textId="6B63CD7A" w:rsidR="000F507A" w:rsidRPr="00AD3822" w:rsidRDefault="000F507A" w:rsidP="00546269">
      <w:pPr>
        <w:pStyle w:val="ExhibitHeading"/>
        <w:keepNext/>
        <w:rPr>
          <w:rFonts w:ascii="Times New Roman" w:hAnsi="Times New Roman" w:cs="Times New Roman"/>
          <w:sz w:val="22"/>
          <w:szCs w:val="22"/>
          <w:lang w:val="en-GB"/>
        </w:rPr>
      </w:pPr>
      <w:r w:rsidRPr="00AD3822">
        <w:rPr>
          <w:lang w:val="en-GB"/>
        </w:rPr>
        <w:t>2014</w:t>
      </w:r>
      <w:r w:rsidR="00743977" w:rsidRPr="00AD3822">
        <w:rPr>
          <w:lang w:val="en-GB"/>
        </w:rPr>
        <w:t>–</w:t>
      </w:r>
      <w:r w:rsidRPr="00AD3822">
        <w:rPr>
          <w:lang w:val="en-GB"/>
        </w:rPr>
        <w:t>2016</w:t>
      </w:r>
      <w:r w:rsidR="00584444" w:rsidRPr="00AD3822">
        <w:rPr>
          <w:lang w:val="en-GB"/>
        </w:rPr>
        <w:t xml:space="preserve"> (</w:t>
      </w:r>
      <w:r w:rsidR="00743977" w:rsidRPr="00AD3822">
        <w:rPr>
          <w:lang w:val="en-GB"/>
        </w:rPr>
        <w:t>in ¥</w:t>
      </w:r>
      <w:r w:rsidR="002C199B">
        <w:rPr>
          <w:lang w:val="en-GB"/>
        </w:rPr>
        <w:t xml:space="preserve"> </w:t>
      </w:r>
      <w:r w:rsidR="00584444" w:rsidRPr="00AD3822">
        <w:rPr>
          <w:lang w:val="en-GB"/>
        </w:rPr>
        <w:t>Billions)</w:t>
      </w:r>
    </w:p>
    <w:p w14:paraId="20BAB7DA" w14:textId="77777777" w:rsidR="000F507A" w:rsidRPr="00AD3822" w:rsidRDefault="000F507A" w:rsidP="00DF369D">
      <w:pPr>
        <w:pStyle w:val="Footnote"/>
        <w:rPr>
          <w:lang w:val="en-GB"/>
        </w:rPr>
      </w:pPr>
    </w:p>
    <w:tbl>
      <w:tblPr>
        <w:tblW w:w="7984" w:type="dxa"/>
        <w:jc w:val="center"/>
        <w:tblLook w:val="04A0" w:firstRow="1" w:lastRow="0" w:firstColumn="1" w:lastColumn="0" w:noHBand="0" w:noVBand="1"/>
      </w:tblPr>
      <w:tblGrid>
        <w:gridCol w:w="1885"/>
        <w:gridCol w:w="1350"/>
        <w:gridCol w:w="1260"/>
        <w:gridCol w:w="1059"/>
        <w:gridCol w:w="1191"/>
        <w:gridCol w:w="1239"/>
      </w:tblGrid>
      <w:tr w:rsidR="00584444" w:rsidRPr="00AD3822" w14:paraId="0C28E8E7" w14:textId="77777777" w:rsidTr="00922282">
        <w:trPr>
          <w:trHeight w:val="60"/>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4D006" w14:textId="30896158" w:rsidR="00584444" w:rsidRPr="00AD3822" w:rsidRDefault="00D73417" w:rsidP="00B926DB">
            <w:pPr>
              <w:pStyle w:val="ExhibitText"/>
              <w:jc w:val="center"/>
              <w:rPr>
                <w:b/>
                <w:sz w:val="18"/>
                <w:szCs w:val="18"/>
                <w:lang w:val="en-GB" w:eastAsia="zh-CN"/>
              </w:rPr>
            </w:pPr>
            <w:r w:rsidRPr="00AD3822">
              <w:rPr>
                <w:b/>
                <w:sz w:val="18"/>
                <w:szCs w:val="18"/>
                <w:lang w:val="en-GB" w:eastAsia="zh-CN"/>
              </w:rPr>
              <w:t>Financial Year</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7BD6F0A" w14:textId="77777777" w:rsidR="00584444" w:rsidRPr="00AD3822" w:rsidRDefault="00584444" w:rsidP="00B926DB">
            <w:pPr>
              <w:pStyle w:val="ExhibitText"/>
              <w:jc w:val="center"/>
              <w:rPr>
                <w:b/>
                <w:sz w:val="18"/>
                <w:szCs w:val="18"/>
                <w:lang w:val="en-GB" w:eastAsia="zh-CN"/>
              </w:rPr>
            </w:pPr>
            <w:r w:rsidRPr="00AD3822">
              <w:rPr>
                <w:b/>
                <w:sz w:val="18"/>
                <w:szCs w:val="18"/>
                <w:lang w:val="en-GB" w:eastAsia="zh-CN"/>
              </w:rPr>
              <w:t>Japan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959ABF2" w14:textId="77777777" w:rsidR="00584444" w:rsidRPr="00AD3822" w:rsidRDefault="00584444" w:rsidP="00B926DB">
            <w:pPr>
              <w:pStyle w:val="ExhibitText"/>
              <w:jc w:val="center"/>
              <w:rPr>
                <w:b/>
                <w:sz w:val="18"/>
                <w:szCs w:val="18"/>
                <w:lang w:val="en-GB" w:eastAsia="zh-CN"/>
              </w:rPr>
            </w:pPr>
            <w:r w:rsidRPr="00AD3822">
              <w:rPr>
                <w:b/>
                <w:sz w:val="18"/>
                <w:szCs w:val="18"/>
                <w:lang w:val="en-GB" w:eastAsia="zh-CN"/>
              </w:rPr>
              <w:t>EMEIA*</w:t>
            </w:r>
          </w:p>
        </w:tc>
        <w:tc>
          <w:tcPr>
            <w:tcW w:w="1059" w:type="dxa"/>
            <w:tcBorders>
              <w:top w:val="single" w:sz="4" w:space="0" w:color="auto"/>
              <w:left w:val="nil"/>
              <w:bottom w:val="single" w:sz="4" w:space="0" w:color="auto"/>
              <w:right w:val="single" w:sz="4" w:space="0" w:color="auto"/>
            </w:tcBorders>
            <w:shd w:val="clear" w:color="auto" w:fill="auto"/>
            <w:noWrap/>
            <w:vAlign w:val="bottom"/>
            <w:hideMark/>
          </w:tcPr>
          <w:p w14:paraId="1026508A" w14:textId="77777777" w:rsidR="00584444" w:rsidRPr="00AD3822" w:rsidRDefault="00584444" w:rsidP="00B926DB">
            <w:pPr>
              <w:pStyle w:val="ExhibitText"/>
              <w:jc w:val="center"/>
              <w:rPr>
                <w:b/>
                <w:sz w:val="18"/>
                <w:szCs w:val="18"/>
                <w:lang w:val="en-GB" w:eastAsia="zh-CN"/>
              </w:rPr>
            </w:pPr>
            <w:r w:rsidRPr="00AD3822">
              <w:rPr>
                <w:b/>
                <w:sz w:val="18"/>
                <w:szCs w:val="18"/>
                <w:lang w:val="en-GB" w:eastAsia="zh-CN"/>
              </w:rPr>
              <w:t>Americas</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28EC67A5" w14:textId="77777777" w:rsidR="00584444" w:rsidRPr="00AD3822" w:rsidRDefault="00584444" w:rsidP="00B926DB">
            <w:pPr>
              <w:pStyle w:val="ExhibitText"/>
              <w:jc w:val="center"/>
              <w:rPr>
                <w:b/>
                <w:sz w:val="18"/>
                <w:szCs w:val="18"/>
                <w:lang w:val="en-GB" w:eastAsia="zh-CN"/>
              </w:rPr>
            </w:pPr>
            <w:r w:rsidRPr="00AD3822">
              <w:rPr>
                <w:b/>
                <w:sz w:val="18"/>
                <w:szCs w:val="18"/>
                <w:lang w:val="en-GB" w:eastAsia="zh-CN"/>
              </w:rPr>
              <w:t>Asia^</w:t>
            </w:r>
          </w:p>
        </w:tc>
        <w:tc>
          <w:tcPr>
            <w:tcW w:w="1239" w:type="dxa"/>
            <w:tcBorders>
              <w:top w:val="single" w:sz="4" w:space="0" w:color="auto"/>
              <w:left w:val="nil"/>
              <w:bottom w:val="single" w:sz="4" w:space="0" w:color="auto"/>
              <w:right w:val="single" w:sz="4" w:space="0" w:color="auto"/>
            </w:tcBorders>
            <w:shd w:val="clear" w:color="auto" w:fill="auto"/>
            <w:noWrap/>
            <w:vAlign w:val="bottom"/>
            <w:hideMark/>
          </w:tcPr>
          <w:p w14:paraId="1050F08C" w14:textId="77777777" w:rsidR="00584444" w:rsidRPr="00AD3822" w:rsidRDefault="00584444" w:rsidP="00B926DB">
            <w:pPr>
              <w:pStyle w:val="ExhibitText"/>
              <w:jc w:val="center"/>
              <w:rPr>
                <w:b/>
                <w:sz w:val="18"/>
                <w:szCs w:val="18"/>
                <w:lang w:val="en-GB" w:eastAsia="zh-CN"/>
              </w:rPr>
            </w:pPr>
            <w:r w:rsidRPr="00AD3822">
              <w:rPr>
                <w:b/>
                <w:sz w:val="18"/>
                <w:szCs w:val="18"/>
                <w:lang w:val="en-GB" w:eastAsia="zh-CN"/>
              </w:rPr>
              <w:t>Oceania</w:t>
            </w:r>
          </w:p>
        </w:tc>
      </w:tr>
      <w:tr w:rsidR="00584444" w:rsidRPr="00AD3822" w14:paraId="3E8932C5" w14:textId="77777777" w:rsidTr="00922282">
        <w:trPr>
          <w:trHeight w:val="6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87BA8AF" w14:textId="6ECEB3CF" w:rsidR="00584444" w:rsidRPr="00AD3822" w:rsidRDefault="00584444" w:rsidP="00B926DB">
            <w:pPr>
              <w:pStyle w:val="ExhibitText"/>
              <w:jc w:val="center"/>
              <w:rPr>
                <w:sz w:val="18"/>
                <w:szCs w:val="18"/>
                <w:lang w:val="en-GB" w:eastAsia="zh-CN"/>
              </w:rPr>
            </w:pPr>
            <w:r w:rsidRPr="00AD3822">
              <w:rPr>
                <w:sz w:val="18"/>
                <w:szCs w:val="18"/>
                <w:lang w:val="en-GB" w:eastAsia="zh-CN"/>
              </w:rPr>
              <w:t>2014</w:t>
            </w:r>
          </w:p>
        </w:tc>
        <w:tc>
          <w:tcPr>
            <w:tcW w:w="1350" w:type="dxa"/>
            <w:tcBorders>
              <w:top w:val="nil"/>
              <w:left w:val="nil"/>
              <w:bottom w:val="single" w:sz="4" w:space="0" w:color="auto"/>
              <w:right w:val="single" w:sz="4" w:space="0" w:color="auto"/>
            </w:tcBorders>
            <w:shd w:val="clear" w:color="auto" w:fill="auto"/>
            <w:noWrap/>
            <w:vAlign w:val="bottom"/>
            <w:hideMark/>
          </w:tcPr>
          <w:p w14:paraId="5B02EEFB" w14:textId="16183FA1" w:rsidR="00584444" w:rsidRPr="00AD3822" w:rsidRDefault="00584444" w:rsidP="00B926DB">
            <w:pPr>
              <w:pStyle w:val="ExhibitText"/>
              <w:jc w:val="center"/>
              <w:rPr>
                <w:sz w:val="18"/>
                <w:szCs w:val="18"/>
                <w:lang w:val="en-GB" w:eastAsia="zh-CN"/>
              </w:rPr>
            </w:pPr>
            <w:r w:rsidRPr="00AD3822">
              <w:rPr>
                <w:sz w:val="18"/>
                <w:szCs w:val="18"/>
                <w:lang w:val="en-GB" w:eastAsia="zh-CN"/>
              </w:rPr>
              <w:t>2,873.20</w:t>
            </w:r>
          </w:p>
        </w:tc>
        <w:tc>
          <w:tcPr>
            <w:tcW w:w="1260" w:type="dxa"/>
            <w:tcBorders>
              <w:top w:val="nil"/>
              <w:left w:val="nil"/>
              <w:bottom w:val="single" w:sz="4" w:space="0" w:color="auto"/>
              <w:right w:val="single" w:sz="4" w:space="0" w:color="auto"/>
            </w:tcBorders>
            <w:shd w:val="clear" w:color="auto" w:fill="auto"/>
            <w:noWrap/>
            <w:vAlign w:val="bottom"/>
            <w:hideMark/>
          </w:tcPr>
          <w:p w14:paraId="1A96EFDF" w14:textId="30F22213" w:rsidR="00584444" w:rsidRPr="00AD3822" w:rsidRDefault="00584444" w:rsidP="00B926DB">
            <w:pPr>
              <w:pStyle w:val="ExhibitText"/>
              <w:jc w:val="center"/>
              <w:rPr>
                <w:sz w:val="18"/>
                <w:szCs w:val="18"/>
                <w:lang w:val="en-GB" w:eastAsia="zh-CN"/>
              </w:rPr>
            </w:pPr>
            <w:r w:rsidRPr="00AD3822">
              <w:rPr>
                <w:sz w:val="18"/>
                <w:szCs w:val="18"/>
                <w:lang w:val="en-GB" w:eastAsia="zh-CN"/>
              </w:rPr>
              <w:t>990.60</w:t>
            </w:r>
          </w:p>
        </w:tc>
        <w:tc>
          <w:tcPr>
            <w:tcW w:w="1059" w:type="dxa"/>
            <w:tcBorders>
              <w:top w:val="nil"/>
              <w:left w:val="nil"/>
              <w:bottom w:val="single" w:sz="4" w:space="0" w:color="auto"/>
              <w:right w:val="single" w:sz="4" w:space="0" w:color="auto"/>
            </w:tcBorders>
            <w:shd w:val="clear" w:color="auto" w:fill="auto"/>
            <w:noWrap/>
            <w:vAlign w:val="bottom"/>
            <w:hideMark/>
          </w:tcPr>
          <w:p w14:paraId="2B7D0BF0" w14:textId="5129C198" w:rsidR="00584444" w:rsidRPr="00AD3822" w:rsidRDefault="00584444" w:rsidP="00B926DB">
            <w:pPr>
              <w:pStyle w:val="ExhibitText"/>
              <w:jc w:val="center"/>
              <w:rPr>
                <w:sz w:val="18"/>
                <w:szCs w:val="18"/>
                <w:lang w:val="en-GB" w:eastAsia="zh-CN"/>
              </w:rPr>
            </w:pPr>
            <w:r w:rsidRPr="00AD3822">
              <w:rPr>
                <w:sz w:val="18"/>
                <w:szCs w:val="18"/>
                <w:lang w:val="en-GB" w:eastAsia="zh-CN"/>
              </w:rPr>
              <w:t>392.00</w:t>
            </w:r>
          </w:p>
        </w:tc>
        <w:tc>
          <w:tcPr>
            <w:tcW w:w="1191" w:type="dxa"/>
            <w:tcBorders>
              <w:top w:val="nil"/>
              <w:left w:val="nil"/>
              <w:bottom w:val="single" w:sz="4" w:space="0" w:color="auto"/>
              <w:right w:val="single" w:sz="4" w:space="0" w:color="auto"/>
            </w:tcBorders>
            <w:shd w:val="clear" w:color="auto" w:fill="auto"/>
            <w:noWrap/>
            <w:vAlign w:val="bottom"/>
            <w:hideMark/>
          </w:tcPr>
          <w:p w14:paraId="773FCC6D" w14:textId="4F14C123" w:rsidR="00584444" w:rsidRPr="00AD3822" w:rsidRDefault="00584444" w:rsidP="00B926DB">
            <w:pPr>
              <w:pStyle w:val="ExhibitText"/>
              <w:jc w:val="center"/>
              <w:rPr>
                <w:sz w:val="18"/>
                <w:szCs w:val="18"/>
                <w:lang w:val="en-GB" w:eastAsia="zh-CN"/>
              </w:rPr>
            </w:pPr>
            <w:r w:rsidRPr="00AD3822">
              <w:rPr>
                <w:sz w:val="18"/>
                <w:szCs w:val="18"/>
                <w:lang w:val="en-GB" w:eastAsia="zh-CN"/>
              </w:rPr>
              <w:t>387.10</w:t>
            </w:r>
          </w:p>
        </w:tc>
        <w:tc>
          <w:tcPr>
            <w:tcW w:w="1239" w:type="dxa"/>
            <w:tcBorders>
              <w:top w:val="nil"/>
              <w:left w:val="nil"/>
              <w:bottom w:val="single" w:sz="4" w:space="0" w:color="auto"/>
              <w:right w:val="single" w:sz="4" w:space="0" w:color="auto"/>
            </w:tcBorders>
            <w:shd w:val="clear" w:color="auto" w:fill="auto"/>
            <w:noWrap/>
            <w:vAlign w:val="bottom"/>
            <w:hideMark/>
          </w:tcPr>
          <w:p w14:paraId="6592746C" w14:textId="49858905" w:rsidR="00584444" w:rsidRPr="00AD3822" w:rsidRDefault="00584444" w:rsidP="00B926DB">
            <w:pPr>
              <w:pStyle w:val="ExhibitText"/>
              <w:tabs>
                <w:tab w:val="decimal" w:pos="681"/>
              </w:tabs>
              <w:rPr>
                <w:sz w:val="18"/>
                <w:szCs w:val="18"/>
                <w:lang w:val="en-GB" w:eastAsia="zh-CN"/>
              </w:rPr>
            </w:pPr>
            <w:r w:rsidRPr="00AD3822">
              <w:rPr>
                <w:sz w:val="18"/>
                <w:szCs w:val="18"/>
                <w:lang w:val="en-GB" w:eastAsia="zh-CN"/>
              </w:rPr>
              <w:t xml:space="preserve">110.00 </w:t>
            </w:r>
          </w:p>
        </w:tc>
      </w:tr>
      <w:tr w:rsidR="00584444" w:rsidRPr="00AD3822" w14:paraId="2D411332" w14:textId="77777777" w:rsidTr="00922282">
        <w:trPr>
          <w:trHeight w:val="6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06D79BF" w14:textId="0AD4FB06" w:rsidR="00584444" w:rsidRPr="00AD3822" w:rsidRDefault="00584444" w:rsidP="00B926DB">
            <w:pPr>
              <w:pStyle w:val="ExhibitText"/>
              <w:jc w:val="center"/>
              <w:rPr>
                <w:sz w:val="18"/>
                <w:szCs w:val="18"/>
                <w:lang w:val="en-GB" w:eastAsia="zh-CN"/>
              </w:rPr>
            </w:pPr>
            <w:r w:rsidRPr="00AD3822">
              <w:rPr>
                <w:sz w:val="18"/>
                <w:szCs w:val="18"/>
                <w:lang w:val="en-GB" w:eastAsia="zh-CN"/>
              </w:rPr>
              <w:t>2015</w:t>
            </w:r>
          </w:p>
        </w:tc>
        <w:tc>
          <w:tcPr>
            <w:tcW w:w="1350" w:type="dxa"/>
            <w:tcBorders>
              <w:top w:val="nil"/>
              <w:left w:val="nil"/>
              <w:bottom w:val="single" w:sz="4" w:space="0" w:color="auto"/>
              <w:right w:val="single" w:sz="4" w:space="0" w:color="auto"/>
            </w:tcBorders>
            <w:shd w:val="clear" w:color="auto" w:fill="auto"/>
            <w:noWrap/>
            <w:vAlign w:val="bottom"/>
            <w:hideMark/>
          </w:tcPr>
          <w:p w14:paraId="72E4677B" w14:textId="077AEC5E" w:rsidR="00584444" w:rsidRPr="00AD3822" w:rsidRDefault="00584444" w:rsidP="00B926DB">
            <w:pPr>
              <w:pStyle w:val="ExhibitText"/>
              <w:jc w:val="center"/>
              <w:rPr>
                <w:sz w:val="18"/>
                <w:szCs w:val="18"/>
                <w:lang w:val="en-GB" w:eastAsia="zh-CN"/>
              </w:rPr>
            </w:pPr>
            <w:r w:rsidRPr="00AD3822">
              <w:rPr>
                <w:sz w:val="18"/>
                <w:szCs w:val="18"/>
                <w:lang w:val="en-GB" w:eastAsia="zh-CN"/>
              </w:rPr>
              <w:t>2,845.00</w:t>
            </w:r>
          </w:p>
        </w:tc>
        <w:tc>
          <w:tcPr>
            <w:tcW w:w="1260" w:type="dxa"/>
            <w:tcBorders>
              <w:top w:val="nil"/>
              <w:left w:val="nil"/>
              <w:bottom w:val="single" w:sz="4" w:space="0" w:color="auto"/>
              <w:right w:val="single" w:sz="4" w:space="0" w:color="auto"/>
            </w:tcBorders>
            <w:shd w:val="clear" w:color="auto" w:fill="auto"/>
            <w:noWrap/>
            <w:vAlign w:val="bottom"/>
            <w:hideMark/>
          </w:tcPr>
          <w:p w14:paraId="3F62C462" w14:textId="219D5AFD" w:rsidR="00584444" w:rsidRPr="00AD3822" w:rsidRDefault="00584444" w:rsidP="00B926DB">
            <w:pPr>
              <w:pStyle w:val="ExhibitText"/>
              <w:jc w:val="center"/>
              <w:rPr>
                <w:sz w:val="18"/>
                <w:szCs w:val="18"/>
                <w:lang w:val="en-GB" w:eastAsia="zh-CN"/>
              </w:rPr>
            </w:pPr>
            <w:r w:rsidRPr="00AD3822">
              <w:rPr>
                <w:sz w:val="18"/>
                <w:szCs w:val="18"/>
                <w:lang w:val="en-GB" w:eastAsia="zh-CN"/>
              </w:rPr>
              <w:t>952.00</w:t>
            </w:r>
          </w:p>
        </w:tc>
        <w:tc>
          <w:tcPr>
            <w:tcW w:w="1059" w:type="dxa"/>
            <w:tcBorders>
              <w:top w:val="nil"/>
              <w:left w:val="nil"/>
              <w:bottom w:val="single" w:sz="4" w:space="0" w:color="auto"/>
              <w:right w:val="single" w:sz="4" w:space="0" w:color="auto"/>
            </w:tcBorders>
            <w:shd w:val="clear" w:color="auto" w:fill="auto"/>
            <w:noWrap/>
            <w:vAlign w:val="bottom"/>
            <w:hideMark/>
          </w:tcPr>
          <w:p w14:paraId="4B14B041" w14:textId="38933A91" w:rsidR="00584444" w:rsidRPr="00AD3822" w:rsidRDefault="00584444" w:rsidP="00B926DB">
            <w:pPr>
              <w:pStyle w:val="ExhibitText"/>
              <w:jc w:val="center"/>
              <w:rPr>
                <w:sz w:val="18"/>
                <w:szCs w:val="18"/>
                <w:lang w:val="en-GB" w:eastAsia="zh-CN"/>
              </w:rPr>
            </w:pPr>
            <w:r w:rsidRPr="00AD3822">
              <w:rPr>
                <w:sz w:val="18"/>
                <w:szCs w:val="18"/>
                <w:lang w:val="en-GB" w:eastAsia="zh-CN"/>
              </w:rPr>
              <w:t>420.40</w:t>
            </w:r>
          </w:p>
        </w:tc>
        <w:tc>
          <w:tcPr>
            <w:tcW w:w="1191" w:type="dxa"/>
            <w:tcBorders>
              <w:top w:val="nil"/>
              <w:left w:val="nil"/>
              <w:bottom w:val="single" w:sz="4" w:space="0" w:color="auto"/>
              <w:right w:val="single" w:sz="4" w:space="0" w:color="auto"/>
            </w:tcBorders>
            <w:shd w:val="clear" w:color="auto" w:fill="auto"/>
            <w:noWrap/>
            <w:vAlign w:val="bottom"/>
            <w:hideMark/>
          </w:tcPr>
          <w:p w14:paraId="73BA807B" w14:textId="7852D2D1" w:rsidR="00584444" w:rsidRPr="00AD3822" w:rsidRDefault="00584444" w:rsidP="00B926DB">
            <w:pPr>
              <w:pStyle w:val="ExhibitText"/>
              <w:jc w:val="center"/>
              <w:rPr>
                <w:sz w:val="18"/>
                <w:szCs w:val="18"/>
                <w:lang w:val="en-GB" w:eastAsia="zh-CN"/>
              </w:rPr>
            </w:pPr>
            <w:r w:rsidRPr="00AD3822">
              <w:rPr>
                <w:sz w:val="18"/>
                <w:szCs w:val="18"/>
                <w:lang w:val="en-GB" w:eastAsia="zh-CN"/>
              </w:rPr>
              <w:t>421.00</w:t>
            </w:r>
          </w:p>
        </w:tc>
        <w:tc>
          <w:tcPr>
            <w:tcW w:w="1239" w:type="dxa"/>
            <w:tcBorders>
              <w:top w:val="nil"/>
              <w:left w:val="nil"/>
              <w:bottom w:val="single" w:sz="4" w:space="0" w:color="auto"/>
              <w:right w:val="single" w:sz="4" w:space="0" w:color="auto"/>
            </w:tcBorders>
            <w:shd w:val="clear" w:color="auto" w:fill="auto"/>
            <w:noWrap/>
            <w:vAlign w:val="bottom"/>
            <w:hideMark/>
          </w:tcPr>
          <w:p w14:paraId="54DFEAD7" w14:textId="419A90AA" w:rsidR="00584444" w:rsidRPr="00AD3822" w:rsidRDefault="00584444" w:rsidP="00B926DB">
            <w:pPr>
              <w:pStyle w:val="ExhibitText"/>
              <w:tabs>
                <w:tab w:val="decimal" w:pos="681"/>
              </w:tabs>
              <w:rPr>
                <w:sz w:val="18"/>
                <w:szCs w:val="18"/>
                <w:lang w:val="en-GB" w:eastAsia="zh-CN"/>
              </w:rPr>
            </w:pPr>
            <w:r w:rsidRPr="00AD3822">
              <w:rPr>
                <w:sz w:val="18"/>
                <w:szCs w:val="18"/>
                <w:lang w:val="en-GB" w:eastAsia="zh-CN"/>
              </w:rPr>
              <w:t xml:space="preserve">100.60 </w:t>
            </w:r>
          </w:p>
        </w:tc>
      </w:tr>
      <w:tr w:rsidR="00584444" w:rsidRPr="00AD3822" w14:paraId="71D1BD06" w14:textId="77777777" w:rsidTr="00922282">
        <w:trPr>
          <w:trHeight w:val="60"/>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48A3DE1" w14:textId="27AEBB2C" w:rsidR="00584444" w:rsidRPr="00AD3822" w:rsidRDefault="00584444" w:rsidP="00B926DB">
            <w:pPr>
              <w:pStyle w:val="ExhibitText"/>
              <w:jc w:val="center"/>
              <w:rPr>
                <w:sz w:val="18"/>
                <w:szCs w:val="18"/>
                <w:lang w:val="en-GB" w:eastAsia="zh-CN"/>
              </w:rPr>
            </w:pPr>
            <w:r w:rsidRPr="00AD3822">
              <w:rPr>
                <w:sz w:val="18"/>
                <w:szCs w:val="18"/>
                <w:lang w:val="en-GB" w:eastAsia="zh-CN"/>
              </w:rPr>
              <w:t>2016</w:t>
            </w:r>
          </w:p>
        </w:tc>
        <w:tc>
          <w:tcPr>
            <w:tcW w:w="1350" w:type="dxa"/>
            <w:tcBorders>
              <w:top w:val="nil"/>
              <w:left w:val="nil"/>
              <w:bottom w:val="single" w:sz="4" w:space="0" w:color="auto"/>
              <w:right w:val="single" w:sz="4" w:space="0" w:color="auto"/>
            </w:tcBorders>
            <w:shd w:val="clear" w:color="auto" w:fill="auto"/>
            <w:noWrap/>
            <w:vAlign w:val="bottom"/>
            <w:hideMark/>
          </w:tcPr>
          <w:p w14:paraId="3674BCFA" w14:textId="59A50F75" w:rsidR="00584444" w:rsidRPr="00AD3822" w:rsidRDefault="00584444" w:rsidP="00B926DB">
            <w:pPr>
              <w:pStyle w:val="ExhibitText"/>
              <w:jc w:val="center"/>
              <w:rPr>
                <w:sz w:val="18"/>
                <w:szCs w:val="18"/>
                <w:lang w:val="en-GB" w:eastAsia="zh-CN"/>
              </w:rPr>
            </w:pPr>
            <w:r w:rsidRPr="00AD3822">
              <w:rPr>
                <w:sz w:val="18"/>
                <w:szCs w:val="18"/>
                <w:lang w:val="en-GB" w:eastAsia="zh-CN"/>
              </w:rPr>
              <w:t>2,865.60</w:t>
            </w:r>
          </w:p>
        </w:tc>
        <w:tc>
          <w:tcPr>
            <w:tcW w:w="1260" w:type="dxa"/>
            <w:tcBorders>
              <w:top w:val="nil"/>
              <w:left w:val="nil"/>
              <w:bottom w:val="single" w:sz="4" w:space="0" w:color="auto"/>
              <w:right w:val="single" w:sz="4" w:space="0" w:color="auto"/>
            </w:tcBorders>
            <w:shd w:val="clear" w:color="auto" w:fill="auto"/>
            <w:noWrap/>
            <w:vAlign w:val="bottom"/>
            <w:hideMark/>
          </w:tcPr>
          <w:p w14:paraId="37828D4D" w14:textId="67AEBEE3" w:rsidR="00584444" w:rsidRPr="00AD3822" w:rsidRDefault="00584444" w:rsidP="00B926DB">
            <w:pPr>
              <w:pStyle w:val="ExhibitText"/>
              <w:jc w:val="center"/>
              <w:rPr>
                <w:sz w:val="18"/>
                <w:szCs w:val="18"/>
                <w:lang w:val="en-GB" w:eastAsia="zh-CN"/>
              </w:rPr>
            </w:pPr>
            <w:r w:rsidRPr="00AD3822">
              <w:rPr>
                <w:sz w:val="18"/>
                <w:szCs w:val="18"/>
                <w:lang w:val="en-GB" w:eastAsia="zh-CN"/>
              </w:rPr>
              <w:t>778.10</w:t>
            </w:r>
          </w:p>
        </w:tc>
        <w:tc>
          <w:tcPr>
            <w:tcW w:w="1059" w:type="dxa"/>
            <w:tcBorders>
              <w:top w:val="nil"/>
              <w:left w:val="nil"/>
              <w:bottom w:val="single" w:sz="4" w:space="0" w:color="auto"/>
              <w:right w:val="single" w:sz="4" w:space="0" w:color="auto"/>
            </w:tcBorders>
            <w:shd w:val="clear" w:color="auto" w:fill="auto"/>
            <w:noWrap/>
            <w:vAlign w:val="bottom"/>
            <w:hideMark/>
          </w:tcPr>
          <w:p w14:paraId="26738B94" w14:textId="21913C34" w:rsidR="00584444" w:rsidRPr="00AD3822" w:rsidRDefault="00584444" w:rsidP="00B926DB">
            <w:pPr>
              <w:pStyle w:val="ExhibitText"/>
              <w:jc w:val="center"/>
              <w:rPr>
                <w:sz w:val="18"/>
                <w:szCs w:val="18"/>
                <w:lang w:val="en-GB" w:eastAsia="zh-CN"/>
              </w:rPr>
            </w:pPr>
            <w:r w:rsidRPr="00AD3822">
              <w:rPr>
                <w:sz w:val="18"/>
                <w:szCs w:val="18"/>
                <w:lang w:val="en-GB" w:eastAsia="zh-CN"/>
              </w:rPr>
              <w:t>386.90</w:t>
            </w:r>
          </w:p>
        </w:tc>
        <w:tc>
          <w:tcPr>
            <w:tcW w:w="1191" w:type="dxa"/>
            <w:tcBorders>
              <w:top w:val="nil"/>
              <w:left w:val="nil"/>
              <w:bottom w:val="single" w:sz="4" w:space="0" w:color="auto"/>
              <w:right w:val="single" w:sz="4" w:space="0" w:color="auto"/>
            </w:tcBorders>
            <w:shd w:val="clear" w:color="auto" w:fill="auto"/>
            <w:noWrap/>
            <w:vAlign w:val="bottom"/>
            <w:hideMark/>
          </w:tcPr>
          <w:p w14:paraId="39BE86FB" w14:textId="5469ABC2" w:rsidR="00584444" w:rsidRPr="00AD3822" w:rsidRDefault="00584444" w:rsidP="00B926DB">
            <w:pPr>
              <w:pStyle w:val="ExhibitText"/>
              <w:jc w:val="center"/>
              <w:rPr>
                <w:sz w:val="18"/>
                <w:szCs w:val="18"/>
                <w:lang w:val="en-GB" w:eastAsia="zh-CN"/>
              </w:rPr>
            </w:pPr>
            <w:r w:rsidRPr="00AD3822">
              <w:rPr>
                <w:sz w:val="18"/>
                <w:szCs w:val="18"/>
                <w:lang w:val="en-GB" w:eastAsia="zh-CN"/>
              </w:rPr>
              <w:t>385.10</w:t>
            </w:r>
          </w:p>
        </w:tc>
        <w:tc>
          <w:tcPr>
            <w:tcW w:w="1239" w:type="dxa"/>
            <w:tcBorders>
              <w:top w:val="nil"/>
              <w:left w:val="nil"/>
              <w:bottom w:val="single" w:sz="4" w:space="0" w:color="auto"/>
              <w:right w:val="single" w:sz="4" w:space="0" w:color="auto"/>
            </w:tcBorders>
            <w:shd w:val="clear" w:color="auto" w:fill="auto"/>
            <w:noWrap/>
            <w:vAlign w:val="bottom"/>
            <w:hideMark/>
          </w:tcPr>
          <w:p w14:paraId="5D4D1955" w14:textId="61ACA638" w:rsidR="00584444" w:rsidRPr="00AD3822" w:rsidRDefault="00584444" w:rsidP="00B926DB">
            <w:pPr>
              <w:pStyle w:val="ExhibitText"/>
              <w:tabs>
                <w:tab w:val="decimal" w:pos="681"/>
              </w:tabs>
              <w:rPr>
                <w:sz w:val="18"/>
                <w:szCs w:val="18"/>
                <w:lang w:val="en-GB" w:eastAsia="zh-CN"/>
              </w:rPr>
            </w:pPr>
            <w:r w:rsidRPr="00AD3822">
              <w:rPr>
                <w:sz w:val="18"/>
                <w:szCs w:val="18"/>
                <w:lang w:val="en-GB" w:eastAsia="zh-CN"/>
              </w:rPr>
              <w:t xml:space="preserve">93.80 </w:t>
            </w:r>
          </w:p>
        </w:tc>
      </w:tr>
    </w:tbl>
    <w:p w14:paraId="200B08B7" w14:textId="20804273" w:rsidR="0034200B" w:rsidRPr="00AD3822" w:rsidRDefault="0034200B" w:rsidP="00DF369D">
      <w:pPr>
        <w:pStyle w:val="Footnote"/>
        <w:rPr>
          <w:sz w:val="8"/>
          <w:szCs w:val="8"/>
          <w:lang w:val="en-GB"/>
        </w:rPr>
      </w:pPr>
    </w:p>
    <w:tbl>
      <w:tblPr>
        <w:tblW w:w="9374" w:type="dxa"/>
        <w:jc w:val="center"/>
        <w:tblLook w:val="04A0" w:firstRow="1" w:lastRow="0" w:firstColumn="1" w:lastColumn="0" w:noHBand="0" w:noVBand="1"/>
      </w:tblPr>
      <w:tblGrid>
        <w:gridCol w:w="1165"/>
        <w:gridCol w:w="1350"/>
        <w:gridCol w:w="1350"/>
        <w:gridCol w:w="1350"/>
        <w:gridCol w:w="1260"/>
        <w:gridCol w:w="1459"/>
        <w:gridCol w:w="1440"/>
      </w:tblGrid>
      <w:tr w:rsidR="00CA29E3" w:rsidRPr="00AD3822" w14:paraId="4225044C" w14:textId="77777777" w:rsidTr="00922282">
        <w:trPr>
          <w:trHeight w:val="60"/>
          <w:jc w:val="center"/>
        </w:trPr>
        <w:tc>
          <w:tcPr>
            <w:tcW w:w="1165" w:type="dxa"/>
            <w:vMerge w:val="restart"/>
            <w:tcBorders>
              <w:top w:val="single" w:sz="4" w:space="0" w:color="auto"/>
              <w:left w:val="single" w:sz="4" w:space="0" w:color="auto"/>
              <w:right w:val="single" w:sz="4" w:space="0" w:color="auto"/>
            </w:tcBorders>
            <w:shd w:val="clear" w:color="auto" w:fill="auto"/>
            <w:hideMark/>
          </w:tcPr>
          <w:p w14:paraId="10D89841" w14:textId="3546588E" w:rsidR="002F19F0" w:rsidRPr="00AD3822" w:rsidRDefault="002F19F0" w:rsidP="00B926DB">
            <w:pPr>
              <w:pStyle w:val="ExhibitText"/>
              <w:jc w:val="center"/>
              <w:rPr>
                <w:b/>
                <w:sz w:val="18"/>
                <w:szCs w:val="18"/>
                <w:lang w:val="en-GB" w:eastAsia="zh-CN"/>
              </w:rPr>
            </w:pPr>
            <w:r w:rsidRPr="00AD3822">
              <w:rPr>
                <w:b/>
                <w:sz w:val="18"/>
                <w:szCs w:val="18"/>
                <w:lang w:val="en-GB" w:eastAsia="zh-CN"/>
              </w:rPr>
              <w:t>Financial Year</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6055AD5C" w14:textId="77777777" w:rsidR="002F19F0" w:rsidRPr="00AD3822" w:rsidRDefault="002F19F0" w:rsidP="002C199B">
            <w:pPr>
              <w:pStyle w:val="ExhibitText"/>
              <w:jc w:val="center"/>
              <w:rPr>
                <w:b/>
                <w:sz w:val="18"/>
                <w:szCs w:val="18"/>
                <w:lang w:val="en-GB" w:eastAsia="zh-CN"/>
              </w:rPr>
            </w:pPr>
            <w:r w:rsidRPr="00AD3822">
              <w:rPr>
                <w:b/>
                <w:sz w:val="18"/>
                <w:szCs w:val="18"/>
                <w:lang w:val="en-GB" w:eastAsia="zh-CN"/>
              </w:rPr>
              <w:t>Services</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1E881A8" w14:textId="77777777" w:rsidR="002F19F0" w:rsidRPr="00AD3822" w:rsidRDefault="002F19F0" w:rsidP="002C199B">
            <w:pPr>
              <w:pStyle w:val="ExhibitText"/>
              <w:jc w:val="center"/>
              <w:rPr>
                <w:b/>
                <w:sz w:val="18"/>
                <w:szCs w:val="18"/>
                <w:lang w:val="en-GB" w:eastAsia="zh-CN"/>
              </w:rPr>
            </w:pPr>
            <w:r w:rsidRPr="00AD3822">
              <w:rPr>
                <w:b/>
                <w:sz w:val="18"/>
                <w:szCs w:val="18"/>
                <w:lang w:val="en-GB" w:eastAsia="zh-CN"/>
              </w:rPr>
              <w:t>System Platform</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FC2DEB3" w14:textId="77777777" w:rsidR="002F19F0" w:rsidRPr="00AD3822" w:rsidRDefault="002F19F0" w:rsidP="002C199B">
            <w:pPr>
              <w:pStyle w:val="ExhibitText"/>
              <w:jc w:val="center"/>
              <w:rPr>
                <w:b/>
                <w:sz w:val="18"/>
                <w:szCs w:val="18"/>
                <w:lang w:val="en-GB" w:eastAsia="zh-CN"/>
              </w:rPr>
            </w:pPr>
            <w:r w:rsidRPr="00AD3822">
              <w:rPr>
                <w:b/>
                <w:sz w:val="18"/>
                <w:szCs w:val="18"/>
                <w:lang w:val="en-GB" w:eastAsia="zh-CN"/>
              </w:rPr>
              <w:t>PCs / Mobile Phones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1E65C9B" w14:textId="69DD2805" w:rsidR="002F19F0" w:rsidRPr="00AD3822" w:rsidRDefault="002F19F0" w:rsidP="002C199B">
            <w:pPr>
              <w:pStyle w:val="ExhibitText"/>
              <w:jc w:val="center"/>
              <w:rPr>
                <w:b/>
                <w:sz w:val="18"/>
                <w:szCs w:val="18"/>
                <w:lang w:val="en-GB" w:eastAsia="zh-CN"/>
              </w:rPr>
            </w:pPr>
            <w:r w:rsidRPr="00AD3822">
              <w:rPr>
                <w:b/>
                <w:sz w:val="18"/>
                <w:szCs w:val="18"/>
                <w:lang w:val="en-GB" w:eastAsia="zh-CN"/>
              </w:rPr>
              <w:t>Mobile</w:t>
            </w:r>
            <w:r w:rsidR="004C3447" w:rsidRPr="00AD3822">
              <w:rPr>
                <w:b/>
                <w:sz w:val="18"/>
                <w:szCs w:val="18"/>
                <w:lang w:val="en-GB" w:eastAsia="zh-CN"/>
              </w:rPr>
              <w:t xml:space="preserve"> Wear</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14:paraId="0D7B8F83" w14:textId="18CFDD7D" w:rsidR="002F19F0" w:rsidRPr="00AD3822" w:rsidRDefault="00743977" w:rsidP="002C199B">
            <w:pPr>
              <w:pStyle w:val="ExhibitText"/>
              <w:jc w:val="center"/>
              <w:rPr>
                <w:b/>
                <w:sz w:val="18"/>
                <w:szCs w:val="18"/>
                <w:lang w:val="en-GB" w:eastAsia="zh-CN"/>
              </w:rPr>
            </w:pPr>
            <w:r w:rsidRPr="00AD3822">
              <w:rPr>
                <w:b/>
                <w:sz w:val="18"/>
                <w:szCs w:val="18"/>
                <w:lang w:val="en-GB" w:eastAsia="zh-CN"/>
              </w:rPr>
              <w:t>Large-S</w:t>
            </w:r>
            <w:r w:rsidR="002F19F0" w:rsidRPr="00AD3822">
              <w:rPr>
                <w:b/>
                <w:sz w:val="18"/>
                <w:szCs w:val="18"/>
                <w:lang w:val="en-GB" w:eastAsia="zh-CN"/>
              </w:rPr>
              <w:t xml:space="preserve">cale </w:t>
            </w:r>
            <w:r w:rsidRPr="00AD3822">
              <w:rPr>
                <w:b/>
                <w:sz w:val="18"/>
                <w:szCs w:val="18"/>
                <w:lang w:val="en-GB" w:eastAsia="zh-CN"/>
              </w:rPr>
              <w:t xml:space="preserve">Integrated Circuits </w:t>
            </w:r>
            <w:r w:rsidR="002F19F0" w:rsidRPr="00AD3822">
              <w:rPr>
                <w:b/>
                <w:sz w:val="18"/>
                <w:szCs w:val="18"/>
                <w:lang w:val="en-GB" w:eastAsia="zh-CN"/>
              </w:rPr>
              <w:t>(LSI)</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83D48F7" w14:textId="77777777" w:rsidR="002F19F0" w:rsidRPr="00AD3822" w:rsidRDefault="002F19F0" w:rsidP="002C199B">
            <w:pPr>
              <w:pStyle w:val="ExhibitText"/>
              <w:jc w:val="center"/>
              <w:rPr>
                <w:b/>
                <w:sz w:val="18"/>
                <w:szCs w:val="18"/>
                <w:lang w:val="en-GB" w:eastAsia="zh-CN"/>
              </w:rPr>
            </w:pPr>
            <w:r w:rsidRPr="00AD3822">
              <w:rPr>
                <w:b/>
                <w:sz w:val="18"/>
                <w:szCs w:val="18"/>
                <w:lang w:val="en-GB" w:eastAsia="zh-CN"/>
              </w:rPr>
              <w:t>Electronic Components</w:t>
            </w:r>
          </w:p>
        </w:tc>
      </w:tr>
      <w:tr w:rsidR="002F19F0" w:rsidRPr="00AD3822" w14:paraId="562AE3C2" w14:textId="77777777" w:rsidTr="00922282">
        <w:trPr>
          <w:trHeight w:val="60"/>
          <w:jc w:val="center"/>
        </w:trPr>
        <w:tc>
          <w:tcPr>
            <w:tcW w:w="1165" w:type="dxa"/>
            <w:vMerge/>
            <w:tcBorders>
              <w:left w:val="single" w:sz="4" w:space="0" w:color="auto"/>
              <w:bottom w:val="single" w:sz="4" w:space="0" w:color="auto"/>
              <w:right w:val="single" w:sz="4" w:space="0" w:color="auto"/>
            </w:tcBorders>
            <w:shd w:val="clear" w:color="auto" w:fill="auto"/>
            <w:hideMark/>
          </w:tcPr>
          <w:p w14:paraId="2122A5E9" w14:textId="77777777" w:rsidR="002F19F0" w:rsidRPr="00AD3822" w:rsidRDefault="002F19F0" w:rsidP="00B926DB">
            <w:pPr>
              <w:pStyle w:val="ExhibitText"/>
              <w:jc w:val="center"/>
              <w:rPr>
                <w:sz w:val="18"/>
                <w:szCs w:val="18"/>
                <w:lang w:val="en-GB" w:eastAsia="zh-CN"/>
              </w:rPr>
            </w:pPr>
          </w:p>
        </w:tc>
        <w:tc>
          <w:tcPr>
            <w:tcW w:w="2700" w:type="dxa"/>
            <w:gridSpan w:val="2"/>
            <w:tcBorders>
              <w:top w:val="single" w:sz="4" w:space="0" w:color="auto"/>
              <w:left w:val="nil"/>
              <w:bottom w:val="single" w:sz="4" w:space="0" w:color="auto"/>
              <w:right w:val="single" w:sz="4" w:space="0" w:color="000000"/>
            </w:tcBorders>
            <w:shd w:val="clear" w:color="auto" w:fill="auto"/>
            <w:vAlign w:val="center"/>
            <w:hideMark/>
          </w:tcPr>
          <w:p w14:paraId="4943AE5D" w14:textId="77777777" w:rsidR="002F19F0" w:rsidRPr="00AD3822" w:rsidRDefault="002F19F0" w:rsidP="002C199B">
            <w:pPr>
              <w:pStyle w:val="ExhibitText"/>
              <w:jc w:val="center"/>
              <w:rPr>
                <w:sz w:val="18"/>
                <w:szCs w:val="18"/>
                <w:lang w:val="en-GB" w:eastAsia="zh-CN"/>
              </w:rPr>
            </w:pPr>
            <w:r w:rsidRPr="00AD3822">
              <w:rPr>
                <w:sz w:val="18"/>
                <w:szCs w:val="18"/>
                <w:lang w:val="en-GB" w:eastAsia="zh-CN"/>
              </w:rPr>
              <w:t>Technology Solutions</w:t>
            </w:r>
          </w:p>
        </w:tc>
        <w:tc>
          <w:tcPr>
            <w:tcW w:w="2610" w:type="dxa"/>
            <w:gridSpan w:val="2"/>
            <w:tcBorders>
              <w:top w:val="single" w:sz="4" w:space="0" w:color="auto"/>
              <w:left w:val="nil"/>
              <w:bottom w:val="single" w:sz="4" w:space="0" w:color="auto"/>
              <w:right w:val="single" w:sz="4" w:space="0" w:color="000000"/>
            </w:tcBorders>
            <w:shd w:val="clear" w:color="auto" w:fill="auto"/>
            <w:vAlign w:val="center"/>
            <w:hideMark/>
          </w:tcPr>
          <w:p w14:paraId="44851401" w14:textId="77777777" w:rsidR="002F19F0" w:rsidRPr="00AD3822" w:rsidRDefault="002F19F0" w:rsidP="002C199B">
            <w:pPr>
              <w:pStyle w:val="ExhibitText"/>
              <w:jc w:val="center"/>
              <w:rPr>
                <w:sz w:val="18"/>
                <w:szCs w:val="18"/>
                <w:lang w:val="en-GB" w:eastAsia="zh-CN"/>
              </w:rPr>
            </w:pPr>
            <w:r w:rsidRPr="00AD3822">
              <w:rPr>
                <w:sz w:val="18"/>
                <w:szCs w:val="18"/>
                <w:lang w:val="en-GB" w:eastAsia="zh-CN"/>
              </w:rPr>
              <w:t>Ubiquitous Solutions</w:t>
            </w:r>
          </w:p>
        </w:tc>
        <w:tc>
          <w:tcPr>
            <w:tcW w:w="2899" w:type="dxa"/>
            <w:gridSpan w:val="2"/>
            <w:tcBorders>
              <w:top w:val="single" w:sz="4" w:space="0" w:color="auto"/>
              <w:left w:val="nil"/>
              <w:bottom w:val="single" w:sz="4" w:space="0" w:color="auto"/>
              <w:right w:val="single" w:sz="4" w:space="0" w:color="000000"/>
            </w:tcBorders>
            <w:shd w:val="clear" w:color="auto" w:fill="auto"/>
            <w:vAlign w:val="center"/>
            <w:hideMark/>
          </w:tcPr>
          <w:p w14:paraId="405D4B9F" w14:textId="77777777" w:rsidR="002F19F0" w:rsidRPr="00AD3822" w:rsidRDefault="002F19F0" w:rsidP="002C199B">
            <w:pPr>
              <w:pStyle w:val="ExhibitText"/>
              <w:jc w:val="center"/>
              <w:rPr>
                <w:sz w:val="18"/>
                <w:szCs w:val="18"/>
                <w:lang w:val="en-GB" w:eastAsia="zh-CN"/>
              </w:rPr>
            </w:pPr>
            <w:r w:rsidRPr="00AD3822">
              <w:rPr>
                <w:sz w:val="18"/>
                <w:szCs w:val="18"/>
                <w:lang w:val="en-GB" w:eastAsia="zh-CN"/>
              </w:rPr>
              <w:t>Device Solutions</w:t>
            </w:r>
          </w:p>
        </w:tc>
      </w:tr>
      <w:tr w:rsidR="00E51D6F" w:rsidRPr="00AD3822" w14:paraId="051CD13F" w14:textId="77777777" w:rsidTr="00922282">
        <w:trPr>
          <w:trHeight w:val="6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67070E1" w14:textId="754F3DFB" w:rsidR="0034200B" w:rsidRPr="00AD3822" w:rsidRDefault="0034200B" w:rsidP="00B926DB">
            <w:pPr>
              <w:pStyle w:val="ExhibitText"/>
              <w:jc w:val="center"/>
              <w:rPr>
                <w:sz w:val="18"/>
                <w:szCs w:val="18"/>
                <w:lang w:val="en-GB" w:eastAsia="zh-CN"/>
              </w:rPr>
            </w:pPr>
            <w:r w:rsidRPr="00AD3822">
              <w:rPr>
                <w:sz w:val="18"/>
                <w:szCs w:val="18"/>
                <w:lang w:val="en-GB" w:eastAsia="zh-CN"/>
              </w:rPr>
              <w:t>2014</w:t>
            </w:r>
          </w:p>
        </w:tc>
        <w:tc>
          <w:tcPr>
            <w:tcW w:w="1350" w:type="dxa"/>
            <w:tcBorders>
              <w:top w:val="nil"/>
              <w:left w:val="nil"/>
              <w:bottom w:val="single" w:sz="4" w:space="0" w:color="auto"/>
              <w:right w:val="single" w:sz="4" w:space="0" w:color="auto"/>
            </w:tcBorders>
            <w:shd w:val="clear" w:color="auto" w:fill="auto"/>
            <w:noWrap/>
            <w:vAlign w:val="center"/>
            <w:hideMark/>
          </w:tcPr>
          <w:p w14:paraId="62A734B0" w14:textId="560F4711" w:rsidR="0034200B" w:rsidRPr="00AD3822" w:rsidRDefault="0034200B" w:rsidP="00B926DB">
            <w:pPr>
              <w:pStyle w:val="ExhibitText"/>
              <w:jc w:val="center"/>
              <w:rPr>
                <w:sz w:val="18"/>
                <w:szCs w:val="18"/>
                <w:lang w:val="en-GB" w:eastAsia="zh-CN"/>
              </w:rPr>
            </w:pPr>
            <w:r w:rsidRPr="00AD3822">
              <w:rPr>
                <w:sz w:val="18"/>
                <w:szCs w:val="18"/>
                <w:lang w:val="en-GB" w:eastAsia="zh-CN"/>
              </w:rPr>
              <w:t>2,706.20</w:t>
            </w:r>
          </w:p>
        </w:tc>
        <w:tc>
          <w:tcPr>
            <w:tcW w:w="1350" w:type="dxa"/>
            <w:tcBorders>
              <w:top w:val="nil"/>
              <w:left w:val="nil"/>
              <w:bottom w:val="single" w:sz="4" w:space="0" w:color="auto"/>
              <w:right w:val="single" w:sz="4" w:space="0" w:color="auto"/>
            </w:tcBorders>
            <w:shd w:val="clear" w:color="auto" w:fill="auto"/>
            <w:noWrap/>
            <w:vAlign w:val="center"/>
            <w:hideMark/>
          </w:tcPr>
          <w:p w14:paraId="439D32AE" w14:textId="0E4C946F" w:rsidR="0034200B" w:rsidRPr="00AD3822" w:rsidRDefault="0034200B" w:rsidP="00B926DB">
            <w:pPr>
              <w:pStyle w:val="ExhibitText"/>
              <w:jc w:val="center"/>
              <w:rPr>
                <w:sz w:val="18"/>
                <w:szCs w:val="18"/>
                <w:lang w:val="en-GB" w:eastAsia="zh-CN"/>
              </w:rPr>
            </w:pPr>
            <w:r w:rsidRPr="00AD3822">
              <w:rPr>
                <w:sz w:val="18"/>
                <w:szCs w:val="18"/>
                <w:lang w:val="en-GB" w:eastAsia="zh-CN"/>
              </w:rPr>
              <w:t>596.50</w:t>
            </w:r>
          </w:p>
        </w:tc>
        <w:tc>
          <w:tcPr>
            <w:tcW w:w="1350" w:type="dxa"/>
            <w:tcBorders>
              <w:top w:val="nil"/>
              <w:left w:val="nil"/>
              <w:bottom w:val="single" w:sz="4" w:space="0" w:color="auto"/>
              <w:right w:val="single" w:sz="4" w:space="0" w:color="auto"/>
            </w:tcBorders>
            <w:shd w:val="clear" w:color="auto" w:fill="auto"/>
            <w:noWrap/>
            <w:vAlign w:val="center"/>
            <w:hideMark/>
          </w:tcPr>
          <w:p w14:paraId="00AE28E3" w14:textId="00C9C8A5" w:rsidR="0034200B" w:rsidRPr="00AD3822" w:rsidRDefault="0034200B" w:rsidP="00B926DB">
            <w:pPr>
              <w:pStyle w:val="ExhibitText"/>
              <w:jc w:val="center"/>
              <w:rPr>
                <w:sz w:val="18"/>
                <w:szCs w:val="18"/>
                <w:lang w:val="en-GB" w:eastAsia="zh-CN"/>
              </w:rPr>
            </w:pPr>
            <w:r w:rsidRPr="00AD3822">
              <w:rPr>
                <w:sz w:val="18"/>
                <w:szCs w:val="18"/>
                <w:lang w:val="en-GB" w:eastAsia="zh-CN"/>
              </w:rPr>
              <w:t>709.30</w:t>
            </w:r>
          </w:p>
        </w:tc>
        <w:tc>
          <w:tcPr>
            <w:tcW w:w="1260" w:type="dxa"/>
            <w:tcBorders>
              <w:top w:val="nil"/>
              <w:left w:val="nil"/>
              <w:bottom w:val="single" w:sz="4" w:space="0" w:color="auto"/>
              <w:right w:val="single" w:sz="4" w:space="0" w:color="auto"/>
            </w:tcBorders>
            <w:shd w:val="clear" w:color="auto" w:fill="auto"/>
            <w:noWrap/>
            <w:vAlign w:val="center"/>
            <w:hideMark/>
          </w:tcPr>
          <w:p w14:paraId="3463409E" w14:textId="56AE67E3" w:rsidR="0034200B" w:rsidRPr="00AD3822" w:rsidRDefault="0034200B" w:rsidP="00B926DB">
            <w:pPr>
              <w:pStyle w:val="ExhibitText"/>
              <w:jc w:val="center"/>
              <w:rPr>
                <w:sz w:val="18"/>
                <w:szCs w:val="18"/>
                <w:lang w:val="en-GB" w:eastAsia="zh-CN"/>
              </w:rPr>
            </w:pPr>
            <w:r w:rsidRPr="00AD3822">
              <w:rPr>
                <w:sz w:val="18"/>
                <w:szCs w:val="18"/>
                <w:lang w:val="en-GB" w:eastAsia="zh-CN"/>
              </w:rPr>
              <w:t>353.50</w:t>
            </w:r>
          </w:p>
        </w:tc>
        <w:tc>
          <w:tcPr>
            <w:tcW w:w="1459" w:type="dxa"/>
            <w:tcBorders>
              <w:top w:val="nil"/>
              <w:left w:val="nil"/>
              <w:bottom w:val="single" w:sz="4" w:space="0" w:color="auto"/>
              <w:right w:val="single" w:sz="4" w:space="0" w:color="auto"/>
            </w:tcBorders>
            <w:shd w:val="clear" w:color="auto" w:fill="auto"/>
            <w:noWrap/>
            <w:vAlign w:val="center"/>
            <w:hideMark/>
          </w:tcPr>
          <w:p w14:paraId="5EB2B10F" w14:textId="19D0A9BA" w:rsidR="0034200B" w:rsidRPr="00AD3822" w:rsidRDefault="0034200B" w:rsidP="00B926DB">
            <w:pPr>
              <w:pStyle w:val="ExhibitText"/>
              <w:jc w:val="center"/>
              <w:rPr>
                <w:sz w:val="18"/>
                <w:szCs w:val="18"/>
                <w:lang w:val="en-GB" w:eastAsia="zh-CN"/>
              </w:rPr>
            </w:pPr>
            <w:r w:rsidRPr="00AD3822">
              <w:rPr>
                <w:sz w:val="18"/>
                <w:szCs w:val="18"/>
                <w:lang w:val="en-GB" w:eastAsia="zh-CN"/>
              </w:rPr>
              <w:t>313.70</w:t>
            </w:r>
          </w:p>
        </w:tc>
        <w:tc>
          <w:tcPr>
            <w:tcW w:w="1440" w:type="dxa"/>
            <w:tcBorders>
              <w:top w:val="nil"/>
              <w:left w:val="nil"/>
              <w:bottom w:val="single" w:sz="4" w:space="0" w:color="auto"/>
              <w:right w:val="single" w:sz="4" w:space="0" w:color="auto"/>
            </w:tcBorders>
            <w:shd w:val="clear" w:color="auto" w:fill="auto"/>
            <w:noWrap/>
            <w:vAlign w:val="center"/>
            <w:hideMark/>
          </w:tcPr>
          <w:p w14:paraId="083F729E" w14:textId="68A1E5BC" w:rsidR="0034200B" w:rsidRPr="00AD3822" w:rsidRDefault="0034200B" w:rsidP="00B926DB">
            <w:pPr>
              <w:pStyle w:val="ExhibitText"/>
              <w:jc w:val="center"/>
              <w:rPr>
                <w:sz w:val="18"/>
                <w:szCs w:val="18"/>
                <w:lang w:val="en-GB" w:eastAsia="zh-CN"/>
              </w:rPr>
            </w:pPr>
            <w:r w:rsidRPr="00AD3822">
              <w:rPr>
                <w:sz w:val="18"/>
                <w:szCs w:val="18"/>
                <w:lang w:val="en-GB" w:eastAsia="zh-CN"/>
              </w:rPr>
              <w:t>283.40</w:t>
            </w:r>
          </w:p>
        </w:tc>
      </w:tr>
      <w:tr w:rsidR="002F19F0" w:rsidRPr="00AD3822" w14:paraId="35AC7F7C" w14:textId="77777777" w:rsidTr="00922282">
        <w:trPr>
          <w:trHeight w:val="6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3D941A0E" w14:textId="7C09AC75" w:rsidR="0034200B" w:rsidRPr="00AD3822" w:rsidRDefault="0034200B" w:rsidP="00B926DB">
            <w:pPr>
              <w:pStyle w:val="ExhibitText"/>
              <w:jc w:val="center"/>
              <w:rPr>
                <w:sz w:val="18"/>
                <w:szCs w:val="18"/>
                <w:lang w:val="en-GB" w:eastAsia="zh-CN"/>
              </w:rPr>
            </w:pPr>
            <w:r w:rsidRPr="00AD3822">
              <w:rPr>
                <w:sz w:val="18"/>
                <w:szCs w:val="18"/>
                <w:lang w:val="en-GB" w:eastAsia="zh-CN"/>
              </w:rPr>
              <w:t>2015</w:t>
            </w:r>
          </w:p>
        </w:tc>
        <w:tc>
          <w:tcPr>
            <w:tcW w:w="1350" w:type="dxa"/>
            <w:tcBorders>
              <w:top w:val="nil"/>
              <w:left w:val="nil"/>
              <w:bottom w:val="single" w:sz="4" w:space="0" w:color="auto"/>
              <w:right w:val="single" w:sz="4" w:space="0" w:color="auto"/>
            </w:tcBorders>
            <w:shd w:val="clear" w:color="auto" w:fill="auto"/>
            <w:noWrap/>
            <w:vAlign w:val="center"/>
            <w:hideMark/>
          </w:tcPr>
          <w:p w14:paraId="75B85F74" w14:textId="1AA5ED63" w:rsidR="0034200B" w:rsidRPr="00AD3822" w:rsidRDefault="0034200B" w:rsidP="00B926DB">
            <w:pPr>
              <w:pStyle w:val="ExhibitText"/>
              <w:jc w:val="center"/>
              <w:rPr>
                <w:sz w:val="18"/>
                <w:szCs w:val="18"/>
                <w:lang w:val="en-GB" w:eastAsia="zh-CN"/>
              </w:rPr>
            </w:pPr>
            <w:r w:rsidRPr="00AD3822">
              <w:rPr>
                <w:sz w:val="18"/>
                <w:szCs w:val="18"/>
                <w:lang w:val="en-GB" w:eastAsia="zh-CN"/>
              </w:rPr>
              <w:t>2,765.10</w:t>
            </w:r>
          </w:p>
        </w:tc>
        <w:tc>
          <w:tcPr>
            <w:tcW w:w="1350" w:type="dxa"/>
            <w:tcBorders>
              <w:top w:val="nil"/>
              <w:left w:val="nil"/>
              <w:bottom w:val="single" w:sz="4" w:space="0" w:color="auto"/>
              <w:right w:val="single" w:sz="4" w:space="0" w:color="auto"/>
            </w:tcBorders>
            <w:shd w:val="clear" w:color="auto" w:fill="auto"/>
            <w:noWrap/>
            <w:vAlign w:val="center"/>
            <w:hideMark/>
          </w:tcPr>
          <w:p w14:paraId="3D32D336" w14:textId="4A165653" w:rsidR="0034200B" w:rsidRPr="00AD3822" w:rsidRDefault="0034200B" w:rsidP="00B926DB">
            <w:pPr>
              <w:pStyle w:val="ExhibitText"/>
              <w:jc w:val="center"/>
              <w:rPr>
                <w:sz w:val="18"/>
                <w:szCs w:val="18"/>
                <w:lang w:val="en-GB" w:eastAsia="zh-CN"/>
              </w:rPr>
            </w:pPr>
            <w:r w:rsidRPr="00AD3822">
              <w:rPr>
                <w:sz w:val="18"/>
                <w:szCs w:val="18"/>
                <w:lang w:val="en-GB" w:eastAsia="zh-CN"/>
              </w:rPr>
              <w:t>518.10</w:t>
            </w:r>
          </w:p>
        </w:tc>
        <w:tc>
          <w:tcPr>
            <w:tcW w:w="1350" w:type="dxa"/>
            <w:tcBorders>
              <w:top w:val="nil"/>
              <w:left w:val="nil"/>
              <w:bottom w:val="single" w:sz="4" w:space="0" w:color="auto"/>
              <w:right w:val="single" w:sz="4" w:space="0" w:color="auto"/>
            </w:tcBorders>
            <w:shd w:val="clear" w:color="auto" w:fill="auto"/>
            <w:noWrap/>
            <w:vAlign w:val="center"/>
            <w:hideMark/>
          </w:tcPr>
          <w:p w14:paraId="61DD9203" w14:textId="092E56B4" w:rsidR="0034200B" w:rsidRPr="00AD3822" w:rsidRDefault="0034200B" w:rsidP="00B926DB">
            <w:pPr>
              <w:pStyle w:val="ExhibitText"/>
              <w:jc w:val="center"/>
              <w:rPr>
                <w:sz w:val="18"/>
                <w:szCs w:val="18"/>
                <w:lang w:val="en-GB" w:eastAsia="zh-CN"/>
              </w:rPr>
            </w:pPr>
            <w:r w:rsidRPr="00AD3822">
              <w:rPr>
                <w:sz w:val="18"/>
                <w:szCs w:val="18"/>
                <w:lang w:val="en-GB" w:eastAsia="zh-CN"/>
              </w:rPr>
              <w:t>651.30</w:t>
            </w:r>
          </w:p>
        </w:tc>
        <w:tc>
          <w:tcPr>
            <w:tcW w:w="1260" w:type="dxa"/>
            <w:tcBorders>
              <w:top w:val="nil"/>
              <w:left w:val="nil"/>
              <w:bottom w:val="single" w:sz="4" w:space="0" w:color="auto"/>
              <w:right w:val="single" w:sz="4" w:space="0" w:color="auto"/>
            </w:tcBorders>
            <w:shd w:val="clear" w:color="auto" w:fill="auto"/>
            <w:noWrap/>
            <w:vAlign w:val="center"/>
            <w:hideMark/>
          </w:tcPr>
          <w:p w14:paraId="0C375D4D" w14:textId="73F0366F" w:rsidR="0034200B" w:rsidRPr="00AD3822" w:rsidRDefault="0034200B" w:rsidP="00B926DB">
            <w:pPr>
              <w:pStyle w:val="ExhibitText"/>
              <w:jc w:val="center"/>
              <w:rPr>
                <w:sz w:val="18"/>
                <w:szCs w:val="18"/>
                <w:lang w:val="en-GB" w:eastAsia="zh-CN"/>
              </w:rPr>
            </w:pPr>
            <w:r w:rsidRPr="00AD3822">
              <w:rPr>
                <w:sz w:val="18"/>
                <w:szCs w:val="18"/>
                <w:lang w:val="en-GB" w:eastAsia="zh-CN"/>
              </w:rPr>
              <w:t>389.50</w:t>
            </w:r>
          </w:p>
        </w:tc>
        <w:tc>
          <w:tcPr>
            <w:tcW w:w="1459" w:type="dxa"/>
            <w:tcBorders>
              <w:top w:val="nil"/>
              <w:left w:val="nil"/>
              <w:bottom w:val="single" w:sz="4" w:space="0" w:color="auto"/>
              <w:right w:val="single" w:sz="4" w:space="0" w:color="auto"/>
            </w:tcBorders>
            <w:shd w:val="clear" w:color="auto" w:fill="auto"/>
            <w:noWrap/>
            <w:vAlign w:val="center"/>
            <w:hideMark/>
          </w:tcPr>
          <w:p w14:paraId="43030F24" w14:textId="03835724" w:rsidR="0034200B" w:rsidRPr="00AD3822" w:rsidRDefault="0034200B" w:rsidP="00B926DB">
            <w:pPr>
              <w:pStyle w:val="ExhibitText"/>
              <w:jc w:val="center"/>
              <w:rPr>
                <w:sz w:val="18"/>
                <w:szCs w:val="18"/>
                <w:lang w:val="en-GB" w:eastAsia="zh-CN"/>
              </w:rPr>
            </w:pPr>
            <w:r w:rsidRPr="00AD3822">
              <w:rPr>
                <w:sz w:val="18"/>
                <w:szCs w:val="18"/>
                <w:lang w:val="en-GB" w:eastAsia="zh-CN"/>
              </w:rPr>
              <w:t>314.60</w:t>
            </w:r>
          </w:p>
        </w:tc>
        <w:tc>
          <w:tcPr>
            <w:tcW w:w="1440" w:type="dxa"/>
            <w:tcBorders>
              <w:top w:val="nil"/>
              <w:left w:val="nil"/>
              <w:bottom w:val="single" w:sz="4" w:space="0" w:color="auto"/>
              <w:right w:val="single" w:sz="4" w:space="0" w:color="auto"/>
            </w:tcBorders>
            <w:shd w:val="clear" w:color="auto" w:fill="auto"/>
            <w:noWrap/>
            <w:vAlign w:val="center"/>
            <w:hideMark/>
          </w:tcPr>
          <w:p w14:paraId="6768AC72" w14:textId="41434FE8" w:rsidR="0034200B" w:rsidRPr="00AD3822" w:rsidRDefault="0034200B" w:rsidP="00B926DB">
            <w:pPr>
              <w:pStyle w:val="ExhibitText"/>
              <w:jc w:val="center"/>
              <w:rPr>
                <w:sz w:val="18"/>
                <w:szCs w:val="18"/>
                <w:lang w:val="en-GB" w:eastAsia="zh-CN"/>
              </w:rPr>
            </w:pPr>
            <w:r w:rsidRPr="00AD3822">
              <w:rPr>
                <w:sz w:val="18"/>
                <w:szCs w:val="18"/>
                <w:lang w:val="en-GB" w:eastAsia="zh-CN"/>
              </w:rPr>
              <w:t>290.70</w:t>
            </w:r>
          </w:p>
        </w:tc>
      </w:tr>
      <w:tr w:rsidR="002F19F0" w:rsidRPr="00AD3822" w14:paraId="048F4D97" w14:textId="77777777" w:rsidTr="00922282">
        <w:trPr>
          <w:trHeight w:val="60"/>
          <w:jc w:val="center"/>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35A38B5E" w14:textId="1A2A0276" w:rsidR="0034200B" w:rsidRPr="00AD3822" w:rsidRDefault="0034200B" w:rsidP="00B926DB">
            <w:pPr>
              <w:pStyle w:val="ExhibitText"/>
              <w:jc w:val="center"/>
              <w:rPr>
                <w:sz w:val="18"/>
                <w:szCs w:val="18"/>
                <w:lang w:val="en-GB" w:eastAsia="zh-CN"/>
              </w:rPr>
            </w:pPr>
            <w:r w:rsidRPr="00AD3822">
              <w:rPr>
                <w:sz w:val="18"/>
                <w:szCs w:val="18"/>
                <w:lang w:val="en-GB" w:eastAsia="zh-CN"/>
              </w:rPr>
              <w:t>2016</w:t>
            </w:r>
          </w:p>
        </w:tc>
        <w:tc>
          <w:tcPr>
            <w:tcW w:w="1350" w:type="dxa"/>
            <w:tcBorders>
              <w:top w:val="nil"/>
              <w:left w:val="nil"/>
              <w:bottom w:val="single" w:sz="4" w:space="0" w:color="auto"/>
              <w:right w:val="single" w:sz="4" w:space="0" w:color="auto"/>
            </w:tcBorders>
            <w:shd w:val="clear" w:color="auto" w:fill="auto"/>
            <w:noWrap/>
            <w:vAlign w:val="center"/>
            <w:hideMark/>
          </w:tcPr>
          <w:p w14:paraId="5E266E63" w14:textId="6CE9C4D6" w:rsidR="0034200B" w:rsidRPr="00AD3822" w:rsidRDefault="0034200B" w:rsidP="00B926DB">
            <w:pPr>
              <w:pStyle w:val="ExhibitText"/>
              <w:jc w:val="center"/>
              <w:rPr>
                <w:sz w:val="18"/>
                <w:szCs w:val="18"/>
                <w:lang w:val="en-GB" w:eastAsia="zh-CN"/>
              </w:rPr>
            </w:pPr>
            <w:r w:rsidRPr="00AD3822">
              <w:rPr>
                <w:sz w:val="18"/>
                <w:szCs w:val="18"/>
                <w:lang w:val="en-GB" w:eastAsia="zh-CN"/>
              </w:rPr>
              <w:t>2,624.20</w:t>
            </w:r>
          </w:p>
        </w:tc>
        <w:tc>
          <w:tcPr>
            <w:tcW w:w="1350" w:type="dxa"/>
            <w:tcBorders>
              <w:top w:val="nil"/>
              <w:left w:val="nil"/>
              <w:bottom w:val="single" w:sz="4" w:space="0" w:color="auto"/>
              <w:right w:val="single" w:sz="4" w:space="0" w:color="auto"/>
            </w:tcBorders>
            <w:shd w:val="clear" w:color="auto" w:fill="auto"/>
            <w:noWrap/>
            <w:vAlign w:val="center"/>
            <w:hideMark/>
          </w:tcPr>
          <w:p w14:paraId="0365B29F" w14:textId="7ED6D7EF" w:rsidR="0034200B" w:rsidRPr="00AD3822" w:rsidRDefault="0034200B" w:rsidP="00B926DB">
            <w:pPr>
              <w:pStyle w:val="ExhibitText"/>
              <w:jc w:val="center"/>
              <w:rPr>
                <w:sz w:val="18"/>
                <w:szCs w:val="18"/>
                <w:lang w:val="en-GB" w:eastAsia="zh-CN"/>
              </w:rPr>
            </w:pPr>
            <w:r w:rsidRPr="00AD3822">
              <w:rPr>
                <w:sz w:val="18"/>
                <w:szCs w:val="18"/>
                <w:lang w:val="en-GB" w:eastAsia="zh-CN"/>
              </w:rPr>
              <w:t>502.30</w:t>
            </w:r>
          </w:p>
        </w:tc>
        <w:tc>
          <w:tcPr>
            <w:tcW w:w="1350" w:type="dxa"/>
            <w:tcBorders>
              <w:top w:val="nil"/>
              <w:left w:val="nil"/>
              <w:bottom w:val="single" w:sz="4" w:space="0" w:color="auto"/>
              <w:right w:val="single" w:sz="4" w:space="0" w:color="auto"/>
            </w:tcBorders>
            <w:shd w:val="clear" w:color="auto" w:fill="auto"/>
            <w:noWrap/>
            <w:vAlign w:val="center"/>
            <w:hideMark/>
          </w:tcPr>
          <w:p w14:paraId="6F822B64" w14:textId="5525D24A" w:rsidR="0034200B" w:rsidRPr="00AD3822" w:rsidRDefault="0034200B" w:rsidP="00B926DB">
            <w:pPr>
              <w:pStyle w:val="ExhibitText"/>
              <w:jc w:val="center"/>
              <w:rPr>
                <w:sz w:val="18"/>
                <w:szCs w:val="18"/>
                <w:lang w:val="en-GB" w:eastAsia="zh-CN"/>
              </w:rPr>
            </w:pPr>
            <w:r w:rsidRPr="00AD3822">
              <w:rPr>
                <w:sz w:val="18"/>
                <w:szCs w:val="18"/>
                <w:lang w:val="en-GB" w:eastAsia="zh-CN"/>
              </w:rPr>
              <w:t>611.60</w:t>
            </w:r>
          </w:p>
        </w:tc>
        <w:tc>
          <w:tcPr>
            <w:tcW w:w="1260" w:type="dxa"/>
            <w:tcBorders>
              <w:top w:val="nil"/>
              <w:left w:val="nil"/>
              <w:bottom w:val="single" w:sz="4" w:space="0" w:color="auto"/>
              <w:right w:val="single" w:sz="4" w:space="0" w:color="auto"/>
            </w:tcBorders>
            <w:shd w:val="clear" w:color="auto" w:fill="auto"/>
            <w:noWrap/>
            <w:vAlign w:val="center"/>
            <w:hideMark/>
          </w:tcPr>
          <w:p w14:paraId="6FC78CEB" w14:textId="76812E01" w:rsidR="0034200B" w:rsidRPr="00AD3822" w:rsidRDefault="0034200B" w:rsidP="00B926DB">
            <w:pPr>
              <w:pStyle w:val="ExhibitText"/>
              <w:jc w:val="center"/>
              <w:rPr>
                <w:sz w:val="18"/>
                <w:szCs w:val="18"/>
                <w:lang w:val="en-GB" w:eastAsia="zh-CN"/>
              </w:rPr>
            </w:pPr>
            <w:r w:rsidRPr="00AD3822">
              <w:rPr>
                <w:sz w:val="18"/>
                <w:szCs w:val="18"/>
                <w:lang w:val="en-GB" w:eastAsia="zh-CN"/>
              </w:rPr>
              <w:t>414.10</w:t>
            </w:r>
          </w:p>
        </w:tc>
        <w:tc>
          <w:tcPr>
            <w:tcW w:w="1459" w:type="dxa"/>
            <w:tcBorders>
              <w:top w:val="nil"/>
              <w:left w:val="nil"/>
              <w:bottom w:val="single" w:sz="4" w:space="0" w:color="auto"/>
              <w:right w:val="single" w:sz="4" w:space="0" w:color="auto"/>
            </w:tcBorders>
            <w:shd w:val="clear" w:color="auto" w:fill="auto"/>
            <w:noWrap/>
            <w:vAlign w:val="center"/>
            <w:hideMark/>
          </w:tcPr>
          <w:p w14:paraId="5575FB4C" w14:textId="1CD6F089" w:rsidR="0034200B" w:rsidRPr="00AD3822" w:rsidRDefault="0034200B" w:rsidP="00B926DB">
            <w:pPr>
              <w:pStyle w:val="ExhibitText"/>
              <w:jc w:val="center"/>
              <w:rPr>
                <w:sz w:val="18"/>
                <w:szCs w:val="18"/>
                <w:lang w:val="en-GB" w:eastAsia="zh-CN"/>
              </w:rPr>
            </w:pPr>
            <w:r w:rsidRPr="00AD3822">
              <w:rPr>
                <w:sz w:val="18"/>
                <w:szCs w:val="18"/>
                <w:lang w:val="en-GB" w:eastAsia="zh-CN"/>
              </w:rPr>
              <w:t>269.40</w:t>
            </w:r>
          </w:p>
        </w:tc>
        <w:tc>
          <w:tcPr>
            <w:tcW w:w="1440" w:type="dxa"/>
            <w:tcBorders>
              <w:top w:val="nil"/>
              <w:left w:val="nil"/>
              <w:bottom w:val="single" w:sz="4" w:space="0" w:color="auto"/>
              <w:right w:val="single" w:sz="4" w:space="0" w:color="auto"/>
            </w:tcBorders>
            <w:shd w:val="clear" w:color="auto" w:fill="auto"/>
            <w:noWrap/>
            <w:vAlign w:val="center"/>
            <w:hideMark/>
          </w:tcPr>
          <w:p w14:paraId="2A366A0D" w14:textId="494D3C84" w:rsidR="0034200B" w:rsidRPr="00AD3822" w:rsidRDefault="0034200B" w:rsidP="00B926DB">
            <w:pPr>
              <w:pStyle w:val="ExhibitText"/>
              <w:jc w:val="center"/>
              <w:rPr>
                <w:sz w:val="18"/>
                <w:szCs w:val="18"/>
                <w:lang w:val="en-GB" w:eastAsia="zh-CN"/>
              </w:rPr>
            </w:pPr>
            <w:r w:rsidRPr="00AD3822">
              <w:rPr>
                <w:sz w:val="18"/>
                <w:szCs w:val="18"/>
                <w:lang w:val="en-GB" w:eastAsia="zh-CN"/>
              </w:rPr>
              <w:t>276.00</w:t>
            </w:r>
          </w:p>
        </w:tc>
      </w:tr>
    </w:tbl>
    <w:p w14:paraId="14733D82" w14:textId="77777777" w:rsidR="00743977" w:rsidRPr="00AD3822" w:rsidRDefault="00743977" w:rsidP="00743977">
      <w:pPr>
        <w:pStyle w:val="Footnote"/>
        <w:rPr>
          <w:lang w:val="en-GB"/>
        </w:rPr>
      </w:pPr>
    </w:p>
    <w:p w14:paraId="6624388A" w14:textId="22EF95A3" w:rsidR="00743977" w:rsidRPr="00AD3822" w:rsidRDefault="00743977" w:rsidP="00743977">
      <w:pPr>
        <w:pStyle w:val="Footnote"/>
        <w:rPr>
          <w:lang w:val="en-GB"/>
        </w:rPr>
      </w:pPr>
      <w:r w:rsidRPr="00AD3822">
        <w:rPr>
          <w:lang w:val="en-GB"/>
        </w:rPr>
        <w:t>Notes</w:t>
      </w:r>
      <w:r w:rsidR="002E742C">
        <w:rPr>
          <w:lang w:val="en-CA"/>
        </w:rPr>
        <w:t>¥ = JPY = Japanese yen; ¥</w:t>
      </w:r>
      <w:r w:rsidR="002E742C" w:rsidRPr="001A7643">
        <w:rPr>
          <w:lang w:val="en-CA"/>
        </w:rPr>
        <w:t>1</w:t>
      </w:r>
      <w:r w:rsidR="002E742C">
        <w:rPr>
          <w:lang w:val="en-CA"/>
        </w:rPr>
        <w:t xml:space="preserve"> = US$0.0009</w:t>
      </w:r>
      <w:r w:rsidR="002E742C" w:rsidRPr="001A7643">
        <w:rPr>
          <w:lang w:val="en-CA"/>
        </w:rPr>
        <w:t xml:space="preserve"> </w:t>
      </w:r>
      <w:r w:rsidR="002E742C">
        <w:rPr>
          <w:lang w:val="en-CA"/>
        </w:rPr>
        <w:t>as of July 12, 2017</w:t>
      </w:r>
      <w:r w:rsidR="002C199B">
        <w:rPr>
          <w:lang w:val="en-CA"/>
        </w:rPr>
        <w:t xml:space="preserve">; PCs = personal computers; </w:t>
      </w:r>
      <w:r w:rsidRPr="00AD3822">
        <w:rPr>
          <w:lang w:val="en-GB"/>
        </w:rPr>
        <w:t>*EMEIA includes Europe, Middle East, India</w:t>
      </w:r>
      <w:r w:rsidR="000B004E" w:rsidRPr="00AD3822">
        <w:rPr>
          <w:lang w:val="en-GB"/>
        </w:rPr>
        <w:t>,</w:t>
      </w:r>
      <w:r w:rsidRPr="00AD3822">
        <w:rPr>
          <w:lang w:val="en-GB"/>
        </w:rPr>
        <w:t xml:space="preserve"> and Africa; ^Asia excludes Japan.</w:t>
      </w:r>
    </w:p>
    <w:p w14:paraId="38A2F8A4" w14:textId="77777777" w:rsidR="00AB164B" w:rsidRPr="00AD3822" w:rsidRDefault="00AB164B" w:rsidP="00AB164B">
      <w:pPr>
        <w:pStyle w:val="Footnote"/>
        <w:rPr>
          <w:lang w:val="en-GB"/>
        </w:rPr>
      </w:pPr>
      <w:r w:rsidRPr="00AD3822">
        <w:rPr>
          <w:lang w:val="en-GB"/>
        </w:rPr>
        <w:t>Source: Company files.</w:t>
      </w:r>
    </w:p>
    <w:p w14:paraId="4A586CE0" w14:textId="5A924662" w:rsidR="00546269" w:rsidRPr="00AD3822" w:rsidRDefault="00546269" w:rsidP="00DF369D">
      <w:pPr>
        <w:pStyle w:val="Footnote"/>
        <w:rPr>
          <w:lang w:val="en-GB"/>
        </w:rPr>
      </w:pPr>
      <w:r w:rsidRPr="00AD3822">
        <w:rPr>
          <w:lang w:val="en-GB"/>
        </w:rPr>
        <w:t xml:space="preserve"> </w:t>
      </w:r>
    </w:p>
    <w:p w14:paraId="19C3F6B2" w14:textId="2EAD096D" w:rsidR="00546269" w:rsidRPr="00AD3822" w:rsidRDefault="00546269" w:rsidP="00DF369D">
      <w:pPr>
        <w:pStyle w:val="Footnote"/>
        <w:rPr>
          <w:lang w:val="en-GB"/>
        </w:rPr>
      </w:pPr>
    </w:p>
    <w:p w14:paraId="5DB912BD" w14:textId="06559C9E" w:rsidR="00546269" w:rsidRPr="00AD3822" w:rsidRDefault="00546269" w:rsidP="006E67A9">
      <w:pPr>
        <w:pStyle w:val="ExhibitHeading"/>
        <w:keepNext/>
        <w:keepLines/>
        <w:rPr>
          <w:lang w:val="en-GB"/>
        </w:rPr>
      </w:pPr>
      <w:r w:rsidRPr="00AD3822">
        <w:rPr>
          <w:lang w:val="en-GB"/>
        </w:rPr>
        <w:lastRenderedPageBreak/>
        <w:t xml:space="preserve">EXHIBIT 3: </w:t>
      </w:r>
      <w:r w:rsidR="005A0013">
        <w:rPr>
          <w:lang w:val="en-GB"/>
        </w:rPr>
        <w:t xml:space="preserve">information and communications technology </w:t>
      </w:r>
      <w:r w:rsidRPr="00AD3822">
        <w:rPr>
          <w:lang w:val="en-GB"/>
        </w:rPr>
        <w:t>COMPETITON BY TECHNOLOGY CORE AREA</w:t>
      </w:r>
    </w:p>
    <w:p w14:paraId="54BEC46B" w14:textId="77777777" w:rsidR="00546269" w:rsidRPr="00AD3822" w:rsidRDefault="00546269" w:rsidP="006E67A9">
      <w:pPr>
        <w:pStyle w:val="Footnote"/>
        <w:keepNext/>
        <w:keepLines/>
        <w:rPr>
          <w:lang w:val="en-GB"/>
        </w:rPr>
      </w:pPr>
    </w:p>
    <w:tbl>
      <w:tblPr>
        <w:tblW w:w="9247" w:type="dxa"/>
        <w:jc w:val="center"/>
        <w:tblLook w:val="04A0" w:firstRow="1" w:lastRow="0" w:firstColumn="1" w:lastColumn="0" w:noHBand="0" w:noVBand="1"/>
      </w:tblPr>
      <w:tblGrid>
        <w:gridCol w:w="2227"/>
        <w:gridCol w:w="2385"/>
        <w:gridCol w:w="2385"/>
        <w:gridCol w:w="2250"/>
      </w:tblGrid>
      <w:tr w:rsidR="00546269" w:rsidRPr="00AD3822" w14:paraId="4E0ACCDB" w14:textId="77777777" w:rsidTr="00B926DB">
        <w:trPr>
          <w:trHeight w:val="300"/>
          <w:jc w:val="center"/>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14:paraId="718E8319" w14:textId="77777777" w:rsidR="00546269" w:rsidRPr="00AD3822" w:rsidRDefault="00546269" w:rsidP="006E67A9">
            <w:pPr>
              <w:pStyle w:val="ExhibitText"/>
              <w:keepNext/>
              <w:keepLines/>
              <w:rPr>
                <w:b/>
                <w:sz w:val="18"/>
                <w:szCs w:val="18"/>
                <w:lang w:val="en-GB"/>
              </w:rPr>
            </w:pPr>
            <w:r w:rsidRPr="00AD3822">
              <w:rPr>
                <w:b/>
                <w:sz w:val="18"/>
                <w:szCs w:val="18"/>
                <w:lang w:val="en-GB"/>
              </w:rPr>
              <w:t>Technology Core Areas</w:t>
            </w:r>
          </w:p>
        </w:tc>
        <w:tc>
          <w:tcPr>
            <w:tcW w:w="4770" w:type="dxa"/>
            <w:gridSpan w:val="2"/>
            <w:tcBorders>
              <w:top w:val="single" w:sz="4" w:space="0" w:color="auto"/>
              <w:left w:val="nil"/>
              <w:bottom w:val="single" w:sz="4" w:space="0" w:color="auto"/>
              <w:right w:val="single" w:sz="4" w:space="0" w:color="auto"/>
            </w:tcBorders>
            <w:shd w:val="clear" w:color="auto" w:fill="auto"/>
            <w:hideMark/>
          </w:tcPr>
          <w:p w14:paraId="034857B6" w14:textId="47D386D8" w:rsidR="00546269" w:rsidRPr="00AD3822" w:rsidRDefault="00546269" w:rsidP="006E67A9">
            <w:pPr>
              <w:pStyle w:val="ExhibitText"/>
              <w:keepNext/>
              <w:keepLines/>
              <w:jc w:val="center"/>
              <w:rPr>
                <w:b/>
                <w:sz w:val="18"/>
                <w:szCs w:val="18"/>
                <w:lang w:val="en-GB"/>
              </w:rPr>
            </w:pPr>
            <w:r w:rsidRPr="00AD3822">
              <w:rPr>
                <w:b/>
                <w:sz w:val="18"/>
                <w:szCs w:val="18"/>
                <w:lang w:val="en-GB"/>
              </w:rPr>
              <w:t xml:space="preserve">Competitors and </w:t>
            </w:r>
            <w:r w:rsidR="00743977" w:rsidRPr="00AD3822">
              <w:rPr>
                <w:b/>
                <w:sz w:val="18"/>
                <w:szCs w:val="18"/>
                <w:lang w:val="en-GB"/>
              </w:rPr>
              <w:t>Their Product Offerings</w:t>
            </w:r>
          </w:p>
        </w:tc>
        <w:tc>
          <w:tcPr>
            <w:tcW w:w="2250" w:type="dxa"/>
            <w:tcBorders>
              <w:top w:val="single" w:sz="4" w:space="0" w:color="auto"/>
              <w:left w:val="nil"/>
              <w:bottom w:val="single" w:sz="4" w:space="0" w:color="auto"/>
              <w:right w:val="single" w:sz="4" w:space="0" w:color="auto"/>
            </w:tcBorders>
            <w:shd w:val="clear" w:color="auto" w:fill="auto"/>
            <w:hideMark/>
          </w:tcPr>
          <w:p w14:paraId="09599DE3" w14:textId="77777777" w:rsidR="00546269" w:rsidRPr="00AD3822" w:rsidRDefault="00546269" w:rsidP="006E67A9">
            <w:pPr>
              <w:pStyle w:val="ExhibitText"/>
              <w:keepNext/>
              <w:keepLines/>
              <w:jc w:val="center"/>
              <w:rPr>
                <w:b/>
                <w:sz w:val="18"/>
                <w:szCs w:val="18"/>
                <w:lang w:val="en-GB"/>
              </w:rPr>
            </w:pPr>
            <w:r w:rsidRPr="00AD3822">
              <w:rPr>
                <w:b/>
                <w:sz w:val="18"/>
                <w:szCs w:val="18"/>
                <w:lang w:val="en-GB"/>
              </w:rPr>
              <w:t>Research Firms</w:t>
            </w:r>
          </w:p>
        </w:tc>
      </w:tr>
      <w:tr w:rsidR="00546269" w:rsidRPr="00AD3822" w14:paraId="7202CAA2" w14:textId="77777777" w:rsidTr="002E742C">
        <w:trPr>
          <w:trHeight w:val="809"/>
          <w:jc w:val="center"/>
        </w:trPr>
        <w:tc>
          <w:tcPr>
            <w:tcW w:w="2227" w:type="dxa"/>
            <w:tcBorders>
              <w:top w:val="nil"/>
              <w:left w:val="single" w:sz="4" w:space="0" w:color="auto"/>
              <w:bottom w:val="single" w:sz="4" w:space="0" w:color="auto"/>
              <w:right w:val="single" w:sz="4" w:space="0" w:color="auto"/>
            </w:tcBorders>
            <w:shd w:val="clear" w:color="auto" w:fill="auto"/>
            <w:vAlign w:val="center"/>
            <w:hideMark/>
          </w:tcPr>
          <w:p w14:paraId="0F61D1A8" w14:textId="77777777" w:rsidR="00546269" w:rsidRPr="00AD3822" w:rsidRDefault="00546269" w:rsidP="002E742C">
            <w:pPr>
              <w:pStyle w:val="ExhibitText"/>
              <w:keepNext/>
              <w:keepLines/>
              <w:jc w:val="left"/>
              <w:rPr>
                <w:sz w:val="18"/>
                <w:szCs w:val="18"/>
                <w:lang w:val="en-GB"/>
              </w:rPr>
            </w:pPr>
            <w:r w:rsidRPr="00AD3822">
              <w:rPr>
                <w:sz w:val="18"/>
                <w:szCs w:val="18"/>
                <w:lang w:val="en-GB"/>
              </w:rPr>
              <w:t>IoT</w:t>
            </w:r>
          </w:p>
        </w:tc>
        <w:tc>
          <w:tcPr>
            <w:tcW w:w="4770" w:type="dxa"/>
            <w:gridSpan w:val="2"/>
            <w:tcBorders>
              <w:top w:val="nil"/>
              <w:left w:val="nil"/>
              <w:bottom w:val="single" w:sz="4" w:space="0" w:color="auto"/>
              <w:right w:val="single" w:sz="4" w:space="0" w:color="auto"/>
            </w:tcBorders>
            <w:shd w:val="clear" w:color="auto" w:fill="auto"/>
            <w:hideMark/>
          </w:tcPr>
          <w:p w14:paraId="7B37652B" w14:textId="0736A177" w:rsidR="00A62BA2" w:rsidRPr="00AD3822" w:rsidRDefault="00743977" w:rsidP="006E67A9">
            <w:pPr>
              <w:pStyle w:val="ExhibitText"/>
              <w:keepNext/>
              <w:keepLines/>
              <w:rPr>
                <w:sz w:val="18"/>
                <w:szCs w:val="18"/>
                <w:lang w:val="en-GB"/>
              </w:rPr>
            </w:pPr>
            <w:r w:rsidRPr="00AD3822">
              <w:rPr>
                <w:sz w:val="18"/>
                <w:szCs w:val="18"/>
                <w:lang w:val="en-GB"/>
              </w:rPr>
              <w:t xml:space="preserve">IBM’s </w:t>
            </w:r>
            <w:r w:rsidR="00546269" w:rsidRPr="00AD3822">
              <w:rPr>
                <w:sz w:val="18"/>
                <w:szCs w:val="18"/>
                <w:lang w:val="en-GB"/>
              </w:rPr>
              <w:t>Watson</w:t>
            </w:r>
          </w:p>
          <w:p w14:paraId="537A7F22" w14:textId="55DCF3B9" w:rsidR="00A62BA2" w:rsidRPr="00AD3822" w:rsidRDefault="00546269" w:rsidP="006E67A9">
            <w:pPr>
              <w:pStyle w:val="ExhibitText"/>
              <w:keepNext/>
              <w:keepLines/>
              <w:rPr>
                <w:sz w:val="18"/>
                <w:szCs w:val="18"/>
                <w:lang w:val="en-GB"/>
              </w:rPr>
            </w:pPr>
            <w:r w:rsidRPr="00AD3822">
              <w:rPr>
                <w:sz w:val="18"/>
                <w:szCs w:val="18"/>
                <w:lang w:val="en-GB"/>
              </w:rPr>
              <w:t xml:space="preserve">GE </w:t>
            </w:r>
            <w:r w:rsidR="00743977" w:rsidRPr="00AD3822">
              <w:rPr>
                <w:sz w:val="18"/>
                <w:szCs w:val="18"/>
                <w:lang w:val="en-GB"/>
              </w:rPr>
              <w:t xml:space="preserve">Digital’s </w:t>
            </w:r>
            <w:r w:rsidRPr="00AD3822">
              <w:rPr>
                <w:sz w:val="18"/>
                <w:szCs w:val="18"/>
                <w:lang w:val="en-GB"/>
              </w:rPr>
              <w:t>Predix</w:t>
            </w:r>
          </w:p>
          <w:p w14:paraId="020A7BA1" w14:textId="793DFE65" w:rsidR="00A62BA2" w:rsidRPr="00AD3822" w:rsidRDefault="00743977" w:rsidP="006E67A9">
            <w:pPr>
              <w:pStyle w:val="ExhibitText"/>
              <w:keepNext/>
              <w:keepLines/>
              <w:rPr>
                <w:sz w:val="18"/>
                <w:szCs w:val="18"/>
                <w:lang w:val="en-GB"/>
              </w:rPr>
            </w:pPr>
            <w:r w:rsidRPr="00AD3822">
              <w:rPr>
                <w:sz w:val="18"/>
                <w:szCs w:val="18"/>
                <w:lang w:val="en-GB"/>
              </w:rPr>
              <w:t xml:space="preserve">Microsoft’s </w:t>
            </w:r>
            <w:r w:rsidR="00546269" w:rsidRPr="00AD3822">
              <w:rPr>
                <w:sz w:val="18"/>
                <w:szCs w:val="18"/>
                <w:lang w:val="en-GB"/>
              </w:rPr>
              <w:t xml:space="preserve">Azure </w:t>
            </w:r>
            <w:proofErr w:type="spellStart"/>
            <w:r w:rsidR="00546269" w:rsidRPr="00AD3822">
              <w:rPr>
                <w:sz w:val="18"/>
                <w:szCs w:val="18"/>
                <w:lang w:val="en-GB"/>
              </w:rPr>
              <w:t>IoT</w:t>
            </w:r>
            <w:proofErr w:type="spellEnd"/>
            <w:r w:rsidR="00546269" w:rsidRPr="00AD3822">
              <w:rPr>
                <w:sz w:val="18"/>
                <w:szCs w:val="18"/>
                <w:lang w:val="en-GB"/>
              </w:rPr>
              <w:t xml:space="preserve"> </w:t>
            </w:r>
            <w:r w:rsidR="002E742C">
              <w:rPr>
                <w:sz w:val="18"/>
                <w:szCs w:val="18"/>
                <w:lang w:val="en-GB"/>
              </w:rPr>
              <w:t>S</w:t>
            </w:r>
            <w:r w:rsidR="00546269" w:rsidRPr="00AD3822">
              <w:rPr>
                <w:sz w:val="18"/>
                <w:szCs w:val="18"/>
                <w:lang w:val="en-GB"/>
              </w:rPr>
              <w:t>uite</w:t>
            </w:r>
          </w:p>
          <w:p w14:paraId="3CBD152A" w14:textId="48978F79" w:rsidR="00A62BA2" w:rsidRPr="00AD3822" w:rsidRDefault="00743977" w:rsidP="006E67A9">
            <w:pPr>
              <w:pStyle w:val="ExhibitText"/>
              <w:keepNext/>
              <w:keepLines/>
              <w:rPr>
                <w:sz w:val="18"/>
                <w:szCs w:val="18"/>
                <w:lang w:val="en-GB"/>
              </w:rPr>
            </w:pPr>
            <w:r w:rsidRPr="00AD3822">
              <w:rPr>
                <w:sz w:val="18"/>
                <w:szCs w:val="18"/>
                <w:lang w:val="en-GB"/>
              </w:rPr>
              <w:t xml:space="preserve">AWS’s </w:t>
            </w:r>
            <w:r w:rsidR="00546269" w:rsidRPr="00AD3822">
              <w:rPr>
                <w:sz w:val="18"/>
                <w:szCs w:val="18"/>
                <w:lang w:val="en-GB"/>
              </w:rPr>
              <w:t xml:space="preserve">IoT </w:t>
            </w:r>
          </w:p>
          <w:p w14:paraId="36B4D7FF" w14:textId="7967E1E8" w:rsidR="00546269" w:rsidRPr="00AD3822" w:rsidRDefault="00743977" w:rsidP="006E67A9">
            <w:pPr>
              <w:pStyle w:val="ExhibitText"/>
              <w:keepNext/>
              <w:keepLines/>
              <w:rPr>
                <w:sz w:val="18"/>
                <w:szCs w:val="18"/>
                <w:lang w:val="en-GB"/>
              </w:rPr>
            </w:pPr>
            <w:r w:rsidRPr="00AD3822">
              <w:rPr>
                <w:sz w:val="18"/>
                <w:szCs w:val="18"/>
                <w:lang w:val="en-GB"/>
              </w:rPr>
              <w:t xml:space="preserve">PTC’s </w:t>
            </w:r>
            <w:r w:rsidR="00546269" w:rsidRPr="00AD3822">
              <w:rPr>
                <w:sz w:val="18"/>
                <w:szCs w:val="18"/>
                <w:lang w:val="en-GB"/>
              </w:rPr>
              <w:t>ThingWorx</w:t>
            </w:r>
          </w:p>
        </w:tc>
        <w:tc>
          <w:tcPr>
            <w:tcW w:w="2250" w:type="dxa"/>
            <w:tcBorders>
              <w:top w:val="nil"/>
              <w:left w:val="nil"/>
              <w:bottom w:val="single" w:sz="4" w:space="0" w:color="auto"/>
              <w:right w:val="single" w:sz="4" w:space="0" w:color="auto"/>
            </w:tcBorders>
            <w:shd w:val="clear" w:color="auto" w:fill="auto"/>
            <w:vAlign w:val="center"/>
            <w:hideMark/>
          </w:tcPr>
          <w:p w14:paraId="52CF33CB" w14:textId="77777777" w:rsidR="00546269" w:rsidRPr="00AD3822" w:rsidRDefault="00546269" w:rsidP="002E742C">
            <w:pPr>
              <w:pStyle w:val="ExhibitText"/>
              <w:keepNext/>
              <w:keepLines/>
              <w:jc w:val="left"/>
              <w:rPr>
                <w:sz w:val="18"/>
                <w:szCs w:val="18"/>
                <w:lang w:val="en-GB"/>
              </w:rPr>
            </w:pPr>
            <w:r w:rsidRPr="00AD3822">
              <w:rPr>
                <w:sz w:val="18"/>
                <w:szCs w:val="18"/>
                <w:lang w:val="en-GB"/>
              </w:rPr>
              <w:t>IDC</w:t>
            </w:r>
          </w:p>
        </w:tc>
      </w:tr>
      <w:tr w:rsidR="00546269" w:rsidRPr="00AD3822" w14:paraId="165AAF70" w14:textId="77777777" w:rsidTr="002E742C">
        <w:trPr>
          <w:trHeight w:val="107"/>
          <w:jc w:val="center"/>
        </w:trPr>
        <w:tc>
          <w:tcPr>
            <w:tcW w:w="2227" w:type="dxa"/>
            <w:tcBorders>
              <w:top w:val="nil"/>
              <w:left w:val="single" w:sz="4" w:space="0" w:color="auto"/>
              <w:bottom w:val="single" w:sz="4" w:space="0" w:color="auto"/>
              <w:right w:val="single" w:sz="4" w:space="0" w:color="auto"/>
            </w:tcBorders>
            <w:shd w:val="clear" w:color="auto" w:fill="auto"/>
            <w:vAlign w:val="center"/>
            <w:hideMark/>
          </w:tcPr>
          <w:p w14:paraId="7024AB86" w14:textId="77777777" w:rsidR="00546269" w:rsidRPr="00AD3822" w:rsidRDefault="00546269" w:rsidP="002E742C">
            <w:pPr>
              <w:pStyle w:val="ExhibitText"/>
              <w:keepNext/>
              <w:keepLines/>
              <w:jc w:val="left"/>
              <w:rPr>
                <w:sz w:val="18"/>
                <w:szCs w:val="18"/>
                <w:lang w:val="en-GB"/>
              </w:rPr>
            </w:pPr>
            <w:r w:rsidRPr="00AD3822">
              <w:rPr>
                <w:sz w:val="18"/>
                <w:szCs w:val="18"/>
                <w:lang w:val="en-GB"/>
              </w:rPr>
              <w:t>AI</w:t>
            </w:r>
          </w:p>
        </w:tc>
        <w:tc>
          <w:tcPr>
            <w:tcW w:w="4770" w:type="dxa"/>
            <w:gridSpan w:val="2"/>
            <w:tcBorders>
              <w:top w:val="single" w:sz="4" w:space="0" w:color="auto"/>
              <w:left w:val="nil"/>
              <w:bottom w:val="single" w:sz="4" w:space="0" w:color="auto"/>
              <w:right w:val="single" w:sz="4" w:space="0" w:color="auto"/>
            </w:tcBorders>
            <w:shd w:val="clear" w:color="auto" w:fill="auto"/>
            <w:hideMark/>
          </w:tcPr>
          <w:p w14:paraId="5FBABA15" w14:textId="1530BEF2" w:rsidR="00A62BA2" w:rsidRPr="00AD3822" w:rsidRDefault="00743977" w:rsidP="006E67A9">
            <w:pPr>
              <w:pStyle w:val="ExhibitText"/>
              <w:keepNext/>
              <w:keepLines/>
              <w:rPr>
                <w:sz w:val="18"/>
                <w:szCs w:val="18"/>
                <w:lang w:val="en-GB"/>
              </w:rPr>
            </w:pPr>
            <w:r w:rsidRPr="00AD3822">
              <w:rPr>
                <w:sz w:val="18"/>
                <w:szCs w:val="18"/>
                <w:lang w:val="en-GB"/>
              </w:rPr>
              <w:t xml:space="preserve">IBM’s </w:t>
            </w:r>
            <w:r w:rsidR="00546269" w:rsidRPr="00AD3822">
              <w:rPr>
                <w:sz w:val="18"/>
                <w:szCs w:val="18"/>
                <w:lang w:val="en-GB"/>
              </w:rPr>
              <w:t xml:space="preserve">Watson </w:t>
            </w:r>
          </w:p>
          <w:p w14:paraId="49D52B7D" w14:textId="72A08200" w:rsidR="00546269" w:rsidRPr="00AD3822" w:rsidRDefault="00546269" w:rsidP="006E67A9">
            <w:pPr>
              <w:pStyle w:val="ExhibitText"/>
              <w:keepNext/>
              <w:keepLines/>
              <w:rPr>
                <w:sz w:val="18"/>
                <w:szCs w:val="18"/>
                <w:lang w:val="en-GB"/>
              </w:rPr>
            </w:pPr>
            <w:r w:rsidRPr="00AD3822">
              <w:rPr>
                <w:sz w:val="18"/>
                <w:szCs w:val="18"/>
                <w:lang w:val="en-GB"/>
              </w:rPr>
              <w:t>Microsoft Machine Learning/Cortana Intelligence Suite Amazon Machine Learning</w:t>
            </w:r>
          </w:p>
        </w:tc>
        <w:tc>
          <w:tcPr>
            <w:tcW w:w="2250" w:type="dxa"/>
            <w:tcBorders>
              <w:top w:val="nil"/>
              <w:left w:val="nil"/>
              <w:bottom w:val="single" w:sz="4" w:space="0" w:color="auto"/>
              <w:right w:val="single" w:sz="4" w:space="0" w:color="auto"/>
            </w:tcBorders>
            <w:shd w:val="clear" w:color="auto" w:fill="auto"/>
            <w:vAlign w:val="center"/>
            <w:hideMark/>
          </w:tcPr>
          <w:p w14:paraId="11F24556" w14:textId="77777777" w:rsidR="00546269" w:rsidRPr="00AD3822" w:rsidRDefault="00546269" w:rsidP="002E742C">
            <w:pPr>
              <w:pStyle w:val="ExhibitText"/>
              <w:keepNext/>
              <w:keepLines/>
              <w:jc w:val="left"/>
              <w:rPr>
                <w:sz w:val="18"/>
                <w:szCs w:val="18"/>
                <w:lang w:val="en-GB"/>
              </w:rPr>
            </w:pPr>
            <w:r w:rsidRPr="00AD3822">
              <w:rPr>
                <w:sz w:val="18"/>
                <w:szCs w:val="18"/>
                <w:lang w:val="en-GB"/>
              </w:rPr>
              <w:t>Morgan Stanley</w:t>
            </w:r>
          </w:p>
        </w:tc>
      </w:tr>
      <w:tr w:rsidR="002E742C" w:rsidRPr="00AD3822" w14:paraId="1788EAED" w14:textId="77777777" w:rsidTr="002E742C">
        <w:trPr>
          <w:trHeight w:val="575"/>
          <w:jc w:val="center"/>
        </w:trPr>
        <w:tc>
          <w:tcPr>
            <w:tcW w:w="2227" w:type="dxa"/>
            <w:tcBorders>
              <w:top w:val="nil"/>
              <w:left w:val="single" w:sz="4" w:space="0" w:color="auto"/>
              <w:bottom w:val="single" w:sz="4" w:space="0" w:color="auto"/>
              <w:right w:val="single" w:sz="4" w:space="0" w:color="auto"/>
            </w:tcBorders>
            <w:shd w:val="clear" w:color="auto" w:fill="auto"/>
            <w:vAlign w:val="center"/>
            <w:hideMark/>
          </w:tcPr>
          <w:p w14:paraId="30092232" w14:textId="19D8E7DF" w:rsidR="002E742C" w:rsidRPr="00AD3822" w:rsidRDefault="002E742C" w:rsidP="002E742C">
            <w:pPr>
              <w:pStyle w:val="ExhibitText"/>
              <w:keepNext/>
              <w:keepLines/>
              <w:jc w:val="left"/>
              <w:rPr>
                <w:sz w:val="18"/>
                <w:szCs w:val="18"/>
                <w:lang w:val="en-GB"/>
              </w:rPr>
            </w:pPr>
            <w:r w:rsidRPr="00AD3822">
              <w:rPr>
                <w:sz w:val="18"/>
                <w:szCs w:val="18"/>
                <w:lang w:val="en-GB"/>
              </w:rPr>
              <w:t>Cloud Computing</w:t>
            </w:r>
          </w:p>
        </w:tc>
        <w:tc>
          <w:tcPr>
            <w:tcW w:w="2385" w:type="dxa"/>
            <w:tcBorders>
              <w:top w:val="single" w:sz="4" w:space="0" w:color="auto"/>
              <w:left w:val="nil"/>
              <w:bottom w:val="single" w:sz="4" w:space="0" w:color="auto"/>
            </w:tcBorders>
            <w:shd w:val="clear" w:color="auto" w:fill="auto"/>
            <w:hideMark/>
          </w:tcPr>
          <w:p w14:paraId="014DB911" w14:textId="77777777" w:rsidR="002E742C" w:rsidRPr="00AD3822" w:rsidRDefault="002E742C" w:rsidP="006E67A9">
            <w:pPr>
              <w:pStyle w:val="ExhibitText"/>
              <w:keepNext/>
              <w:keepLines/>
              <w:rPr>
                <w:sz w:val="18"/>
                <w:szCs w:val="18"/>
                <w:lang w:val="en-GB"/>
              </w:rPr>
            </w:pPr>
            <w:r w:rsidRPr="00AD3822">
              <w:rPr>
                <w:sz w:val="18"/>
                <w:szCs w:val="18"/>
                <w:lang w:val="en-GB"/>
              </w:rPr>
              <w:t xml:space="preserve">Amazon Web Services </w:t>
            </w:r>
          </w:p>
          <w:p w14:paraId="0640E582" w14:textId="12A82274" w:rsidR="002E742C" w:rsidRPr="00AD3822" w:rsidRDefault="002E742C" w:rsidP="006E67A9">
            <w:pPr>
              <w:pStyle w:val="ExhibitText"/>
              <w:keepNext/>
              <w:keepLines/>
              <w:rPr>
                <w:sz w:val="18"/>
                <w:szCs w:val="18"/>
                <w:lang w:val="en-GB"/>
              </w:rPr>
            </w:pPr>
            <w:r w:rsidRPr="00AD3822">
              <w:rPr>
                <w:sz w:val="18"/>
                <w:szCs w:val="18"/>
                <w:lang w:val="en-GB"/>
              </w:rPr>
              <w:t xml:space="preserve">Microsoft’s Azure </w:t>
            </w:r>
          </w:p>
          <w:p w14:paraId="3295DCC6" w14:textId="77777777" w:rsidR="002E742C" w:rsidRPr="00AD3822" w:rsidRDefault="002E742C" w:rsidP="006E67A9">
            <w:pPr>
              <w:pStyle w:val="ExhibitText"/>
              <w:keepNext/>
              <w:keepLines/>
              <w:rPr>
                <w:sz w:val="18"/>
                <w:szCs w:val="18"/>
                <w:lang w:val="en-GB"/>
              </w:rPr>
            </w:pPr>
            <w:r w:rsidRPr="00AD3822">
              <w:rPr>
                <w:sz w:val="18"/>
                <w:szCs w:val="18"/>
                <w:lang w:val="en-GB"/>
              </w:rPr>
              <w:t>Google</w:t>
            </w:r>
          </w:p>
          <w:p w14:paraId="13EF7795" w14:textId="77777777" w:rsidR="002E742C" w:rsidRPr="00AD3822" w:rsidRDefault="002E742C" w:rsidP="006E67A9">
            <w:pPr>
              <w:pStyle w:val="ExhibitText"/>
              <w:keepNext/>
              <w:keepLines/>
              <w:rPr>
                <w:sz w:val="18"/>
                <w:szCs w:val="18"/>
                <w:lang w:val="en-GB"/>
              </w:rPr>
            </w:pPr>
            <w:r w:rsidRPr="00AD3822">
              <w:rPr>
                <w:sz w:val="18"/>
                <w:szCs w:val="18"/>
                <w:lang w:val="en-GB"/>
              </w:rPr>
              <w:t>IBM</w:t>
            </w:r>
          </w:p>
        </w:tc>
        <w:tc>
          <w:tcPr>
            <w:tcW w:w="2385" w:type="dxa"/>
            <w:tcBorders>
              <w:top w:val="single" w:sz="4" w:space="0" w:color="auto"/>
              <w:bottom w:val="single" w:sz="4" w:space="0" w:color="auto"/>
              <w:right w:val="single" w:sz="4" w:space="0" w:color="auto"/>
            </w:tcBorders>
            <w:shd w:val="clear" w:color="auto" w:fill="auto"/>
          </w:tcPr>
          <w:p w14:paraId="592944F3" w14:textId="77777777" w:rsidR="002E742C" w:rsidRPr="00AD3822" w:rsidRDefault="002E742C" w:rsidP="006E67A9">
            <w:pPr>
              <w:pStyle w:val="ExhibitText"/>
              <w:keepNext/>
              <w:keepLines/>
              <w:rPr>
                <w:sz w:val="18"/>
                <w:szCs w:val="18"/>
                <w:lang w:val="en-GB"/>
              </w:rPr>
            </w:pPr>
            <w:r w:rsidRPr="00AD3822">
              <w:rPr>
                <w:sz w:val="18"/>
                <w:szCs w:val="18"/>
                <w:lang w:val="en-GB"/>
              </w:rPr>
              <w:t xml:space="preserve">Other upcoming: </w:t>
            </w:r>
          </w:p>
          <w:p w14:paraId="5C14C5D8" w14:textId="573E77B5" w:rsidR="002E742C" w:rsidRPr="00AD3822" w:rsidRDefault="002E742C" w:rsidP="006E67A9">
            <w:pPr>
              <w:pStyle w:val="ExhibitText"/>
              <w:keepNext/>
              <w:keepLines/>
              <w:rPr>
                <w:sz w:val="18"/>
                <w:szCs w:val="18"/>
                <w:lang w:val="en-GB"/>
              </w:rPr>
            </w:pPr>
            <w:r w:rsidRPr="00AD3822">
              <w:rPr>
                <w:sz w:val="18"/>
                <w:szCs w:val="18"/>
                <w:lang w:val="en-GB"/>
              </w:rPr>
              <w:t>Alibaba’s Aliyun</w:t>
            </w:r>
          </w:p>
          <w:p w14:paraId="6971AF14" w14:textId="23F6E09D" w:rsidR="002E742C" w:rsidRPr="00AD3822" w:rsidRDefault="002E742C" w:rsidP="006E67A9">
            <w:pPr>
              <w:pStyle w:val="ExhibitText"/>
              <w:keepNext/>
              <w:keepLines/>
              <w:rPr>
                <w:sz w:val="18"/>
                <w:szCs w:val="18"/>
                <w:lang w:val="en-GB"/>
              </w:rPr>
            </w:pPr>
            <w:r w:rsidRPr="00AD3822">
              <w:rPr>
                <w:sz w:val="18"/>
                <w:szCs w:val="18"/>
                <w:lang w:val="en-GB"/>
              </w:rPr>
              <w:t>Oracle</w:t>
            </w:r>
          </w:p>
        </w:tc>
        <w:tc>
          <w:tcPr>
            <w:tcW w:w="2250" w:type="dxa"/>
            <w:tcBorders>
              <w:top w:val="nil"/>
              <w:left w:val="nil"/>
              <w:bottom w:val="single" w:sz="4" w:space="0" w:color="auto"/>
              <w:right w:val="single" w:sz="4" w:space="0" w:color="auto"/>
            </w:tcBorders>
            <w:shd w:val="clear" w:color="auto" w:fill="auto"/>
            <w:vAlign w:val="center"/>
            <w:hideMark/>
          </w:tcPr>
          <w:p w14:paraId="49568714" w14:textId="77777777" w:rsidR="002E742C" w:rsidRPr="00AD3822" w:rsidRDefault="002E742C" w:rsidP="002E742C">
            <w:pPr>
              <w:pStyle w:val="ExhibitText"/>
              <w:keepNext/>
              <w:keepLines/>
              <w:jc w:val="left"/>
              <w:rPr>
                <w:sz w:val="18"/>
                <w:szCs w:val="18"/>
                <w:lang w:val="en-GB"/>
              </w:rPr>
            </w:pPr>
            <w:r w:rsidRPr="00AD3822">
              <w:rPr>
                <w:sz w:val="18"/>
                <w:szCs w:val="18"/>
                <w:lang w:val="en-GB"/>
              </w:rPr>
              <w:t>Fortune</w:t>
            </w:r>
          </w:p>
        </w:tc>
      </w:tr>
      <w:tr w:rsidR="00546269" w:rsidRPr="00AD3822" w14:paraId="504EBE7C" w14:textId="77777777" w:rsidTr="002E742C">
        <w:trPr>
          <w:trHeight w:val="701"/>
          <w:jc w:val="center"/>
        </w:trPr>
        <w:tc>
          <w:tcPr>
            <w:tcW w:w="2227" w:type="dxa"/>
            <w:tcBorders>
              <w:top w:val="nil"/>
              <w:left w:val="single" w:sz="4" w:space="0" w:color="auto"/>
              <w:bottom w:val="single" w:sz="4" w:space="0" w:color="auto"/>
              <w:right w:val="single" w:sz="4" w:space="0" w:color="auto"/>
            </w:tcBorders>
            <w:shd w:val="clear" w:color="auto" w:fill="auto"/>
            <w:vAlign w:val="center"/>
            <w:hideMark/>
          </w:tcPr>
          <w:p w14:paraId="0BB20EA2" w14:textId="77777777" w:rsidR="00A62BA2" w:rsidRPr="00AD3822" w:rsidRDefault="00546269" w:rsidP="002E742C">
            <w:pPr>
              <w:pStyle w:val="ExhibitText"/>
              <w:keepNext/>
              <w:keepLines/>
              <w:jc w:val="left"/>
              <w:rPr>
                <w:sz w:val="18"/>
                <w:szCs w:val="18"/>
                <w:lang w:val="en-GB"/>
              </w:rPr>
            </w:pPr>
            <w:r w:rsidRPr="00AD3822">
              <w:rPr>
                <w:sz w:val="18"/>
                <w:szCs w:val="18"/>
                <w:lang w:val="en-GB"/>
              </w:rPr>
              <w:t>Cybersecurity</w:t>
            </w:r>
          </w:p>
          <w:p w14:paraId="7AA945B5" w14:textId="792E9466" w:rsidR="00546269" w:rsidRPr="00AD3822" w:rsidRDefault="00546269" w:rsidP="002E742C">
            <w:pPr>
              <w:pStyle w:val="ExhibitText"/>
              <w:keepNext/>
              <w:keepLines/>
              <w:jc w:val="left"/>
              <w:rPr>
                <w:sz w:val="18"/>
                <w:szCs w:val="18"/>
                <w:lang w:val="en-GB"/>
              </w:rPr>
            </w:pPr>
            <w:r w:rsidRPr="00AD3822">
              <w:rPr>
                <w:sz w:val="18"/>
                <w:szCs w:val="18"/>
                <w:lang w:val="en-GB"/>
              </w:rPr>
              <w:t xml:space="preserve">(Infrastructure </w:t>
            </w:r>
            <w:r w:rsidR="00743977" w:rsidRPr="00AD3822">
              <w:rPr>
                <w:sz w:val="18"/>
                <w:szCs w:val="18"/>
                <w:lang w:val="en-GB"/>
              </w:rPr>
              <w:t>Gateway Providers</w:t>
            </w:r>
            <w:r w:rsidRPr="00AD3822">
              <w:rPr>
                <w:sz w:val="18"/>
                <w:szCs w:val="18"/>
                <w:lang w:val="en-GB"/>
              </w:rPr>
              <w:t>)</w:t>
            </w:r>
          </w:p>
        </w:tc>
        <w:tc>
          <w:tcPr>
            <w:tcW w:w="4770" w:type="dxa"/>
            <w:gridSpan w:val="2"/>
            <w:tcBorders>
              <w:top w:val="nil"/>
              <w:left w:val="nil"/>
              <w:bottom w:val="single" w:sz="4" w:space="0" w:color="auto"/>
              <w:right w:val="single" w:sz="4" w:space="0" w:color="auto"/>
            </w:tcBorders>
            <w:shd w:val="clear" w:color="auto" w:fill="auto"/>
            <w:hideMark/>
          </w:tcPr>
          <w:p w14:paraId="75ECABD8" w14:textId="77777777" w:rsidR="00A62BA2" w:rsidRPr="00AD3822" w:rsidRDefault="00546269" w:rsidP="006E67A9">
            <w:pPr>
              <w:pStyle w:val="ExhibitText"/>
              <w:keepNext/>
              <w:keepLines/>
              <w:rPr>
                <w:sz w:val="18"/>
                <w:szCs w:val="18"/>
                <w:lang w:val="en-GB"/>
              </w:rPr>
            </w:pPr>
            <w:r w:rsidRPr="00AD3822">
              <w:rPr>
                <w:sz w:val="18"/>
                <w:szCs w:val="18"/>
                <w:lang w:val="en-GB"/>
              </w:rPr>
              <w:t>IBM Security</w:t>
            </w:r>
          </w:p>
          <w:p w14:paraId="618A6ED5" w14:textId="77777777" w:rsidR="00A62BA2" w:rsidRPr="00AD3822" w:rsidRDefault="00546269" w:rsidP="006E67A9">
            <w:pPr>
              <w:pStyle w:val="ExhibitText"/>
              <w:keepNext/>
              <w:keepLines/>
              <w:rPr>
                <w:sz w:val="18"/>
                <w:szCs w:val="18"/>
                <w:lang w:val="en-GB"/>
              </w:rPr>
            </w:pPr>
            <w:r w:rsidRPr="00AD3822">
              <w:rPr>
                <w:sz w:val="18"/>
                <w:szCs w:val="18"/>
                <w:lang w:val="en-GB"/>
              </w:rPr>
              <w:t>CISCO</w:t>
            </w:r>
          </w:p>
          <w:p w14:paraId="095AD957" w14:textId="77777777" w:rsidR="00A62BA2" w:rsidRPr="00AD3822" w:rsidRDefault="00546269" w:rsidP="006E67A9">
            <w:pPr>
              <w:pStyle w:val="ExhibitText"/>
              <w:keepNext/>
              <w:keepLines/>
              <w:rPr>
                <w:sz w:val="18"/>
                <w:szCs w:val="18"/>
                <w:lang w:val="en-GB"/>
              </w:rPr>
            </w:pPr>
            <w:r w:rsidRPr="00AD3822">
              <w:rPr>
                <w:sz w:val="18"/>
                <w:szCs w:val="18"/>
                <w:lang w:val="en-GB"/>
              </w:rPr>
              <w:t>Hitachi</w:t>
            </w:r>
          </w:p>
          <w:p w14:paraId="579C4C23" w14:textId="77777777" w:rsidR="00A62BA2" w:rsidRPr="00AD3822" w:rsidRDefault="00546269" w:rsidP="006E67A9">
            <w:pPr>
              <w:pStyle w:val="ExhibitText"/>
              <w:keepNext/>
              <w:keepLines/>
              <w:rPr>
                <w:sz w:val="18"/>
                <w:szCs w:val="18"/>
                <w:lang w:val="en-GB"/>
              </w:rPr>
            </w:pPr>
            <w:r w:rsidRPr="00AD3822">
              <w:rPr>
                <w:sz w:val="18"/>
                <w:szCs w:val="18"/>
                <w:lang w:val="en-GB"/>
              </w:rPr>
              <w:t>Juniper Networks</w:t>
            </w:r>
          </w:p>
          <w:p w14:paraId="30704A95" w14:textId="2221C5DD" w:rsidR="00546269" w:rsidRPr="00AD3822" w:rsidRDefault="00546269" w:rsidP="006E67A9">
            <w:pPr>
              <w:pStyle w:val="ExhibitText"/>
              <w:keepNext/>
              <w:keepLines/>
              <w:rPr>
                <w:sz w:val="18"/>
                <w:szCs w:val="18"/>
                <w:lang w:val="en-GB"/>
              </w:rPr>
            </w:pPr>
            <w:r w:rsidRPr="00AD3822">
              <w:rPr>
                <w:sz w:val="18"/>
                <w:szCs w:val="18"/>
                <w:lang w:val="en-GB"/>
              </w:rPr>
              <w:t>Hewlett Packard Enterprise</w:t>
            </w:r>
          </w:p>
        </w:tc>
        <w:tc>
          <w:tcPr>
            <w:tcW w:w="2250" w:type="dxa"/>
            <w:tcBorders>
              <w:top w:val="nil"/>
              <w:left w:val="nil"/>
              <w:bottom w:val="single" w:sz="4" w:space="0" w:color="auto"/>
              <w:right w:val="single" w:sz="4" w:space="0" w:color="auto"/>
            </w:tcBorders>
            <w:shd w:val="clear" w:color="auto" w:fill="auto"/>
            <w:vAlign w:val="center"/>
            <w:hideMark/>
          </w:tcPr>
          <w:p w14:paraId="5EE9F451" w14:textId="77777777" w:rsidR="00546269" w:rsidRPr="00AD3822" w:rsidRDefault="00546269" w:rsidP="002E742C">
            <w:pPr>
              <w:pStyle w:val="ExhibitText"/>
              <w:keepNext/>
              <w:keepLines/>
              <w:jc w:val="left"/>
              <w:rPr>
                <w:sz w:val="18"/>
                <w:szCs w:val="18"/>
                <w:lang w:val="en-GB"/>
              </w:rPr>
            </w:pPr>
            <w:r w:rsidRPr="00AD3822">
              <w:rPr>
                <w:sz w:val="18"/>
                <w:szCs w:val="18"/>
                <w:lang w:val="en-GB"/>
              </w:rPr>
              <w:t>Gartner</w:t>
            </w:r>
          </w:p>
        </w:tc>
      </w:tr>
    </w:tbl>
    <w:p w14:paraId="77EE8CEF" w14:textId="77777777" w:rsidR="00546269" w:rsidRPr="00AD3822" w:rsidRDefault="00546269" w:rsidP="006E67A9">
      <w:pPr>
        <w:pStyle w:val="Footnote"/>
        <w:keepNext/>
        <w:keepLines/>
        <w:rPr>
          <w:lang w:val="en-GB"/>
        </w:rPr>
      </w:pPr>
    </w:p>
    <w:p w14:paraId="7B243645" w14:textId="5279EFC1" w:rsidR="009454A2" w:rsidRDefault="009454A2" w:rsidP="006E67A9">
      <w:pPr>
        <w:pStyle w:val="Footnote"/>
        <w:keepNext/>
        <w:keepLines/>
        <w:rPr>
          <w:spacing w:val="-4"/>
          <w:lang w:val="en-GB"/>
        </w:rPr>
      </w:pPr>
      <w:r>
        <w:rPr>
          <w:spacing w:val="-4"/>
          <w:lang w:val="en-GB"/>
        </w:rPr>
        <w:t xml:space="preserve">Note: </w:t>
      </w:r>
      <w:r w:rsidR="005A0013">
        <w:rPr>
          <w:spacing w:val="-4"/>
          <w:lang w:val="en-GB"/>
        </w:rPr>
        <w:t xml:space="preserve">IoT = Internet of Things; GE = General Electric; </w:t>
      </w:r>
      <w:r>
        <w:rPr>
          <w:spacing w:val="-4"/>
          <w:lang w:val="en-GB"/>
        </w:rPr>
        <w:t>IDC = International Data Corporation</w:t>
      </w:r>
      <w:r w:rsidR="00110982">
        <w:rPr>
          <w:spacing w:val="-4"/>
          <w:lang w:val="en-GB"/>
        </w:rPr>
        <w:t>; AI = artificial intelligence</w:t>
      </w:r>
      <w:r w:rsidR="005A0013">
        <w:rPr>
          <w:spacing w:val="-4"/>
          <w:lang w:val="en-GB"/>
        </w:rPr>
        <w:t xml:space="preserve"> </w:t>
      </w:r>
    </w:p>
    <w:p w14:paraId="73D09943" w14:textId="3E26C93F" w:rsidR="00B926DB" w:rsidRDefault="00546269" w:rsidP="006E67A9">
      <w:pPr>
        <w:pStyle w:val="Footnote"/>
        <w:keepNext/>
        <w:keepLines/>
        <w:rPr>
          <w:spacing w:val="-6"/>
          <w:lang w:val="en-GB"/>
        </w:rPr>
      </w:pPr>
      <w:r w:rsidRPr="00B926DB">
        <w:rPr>
          <w:spacing w:val="-6"/>
          <w:lang w:val="en-GB"/>
        </w:rPr>
        <w:t xml:space="preserve">Sources: </w:t>
      </w:r>
      <w:r w:rsidR="00DF5E4A" w:rsidRPr="00B926DB">
        <w:rPr>
          <w:spacing w:val="-6"/>
          <w:lang w:val="en-GB"/>
        </w:rPr>
        <w:t xml:space="preserve">Created by case authors based on data from </w:t>
      </w:r>
      <w:r w:rsidR="00CD0D70" w:rsidRPr="00B926DB">
        <w:rPr>
          <w:spacing w:val="-6"/>
          <w:lang w:val="en-GB"/>
        </w:rPr>
        <w:t xml:space="preserve">Stacy Crook, Carrie MacGillivray, and Vernon Turner, </w:t>
      </w:r>
      <w:r w:rsidR="00CD0D70" w:rsidRPr="00B926DB">
        <w:rPr>
          <w:i/>
          <w:spacing w:val="-6"/>
          <w:lang w:val="en-GB"/>
        </w:rPr>
        <w:t>IDC MarketScape: Worldwide IoT Platforms (Software Vendors) 2017 Vendor Assessment</w:t>
      </w:r>
      <w:r w:rsidR="00CD0D70" w:rsidRPr="00B926DB">
        <w:rPr>
          <w:spacing w:val="-6"/>
          <w:lang w:val="en-GB"/>
        </w:rPr>
        <w:t xml:space="preserve">, </w:t>
      </w:r>
      <w:r w:rsidRPr="00B926DB">
        <w:rPr>
          <w:spacing w:val="-6"/>
          <w:lang w:val="en-GB"/>
        </w:rPr>
        <w:t>IDC</w:t>
      </w:r>
      <w:r w:rsidR="001D09CF" w:rsidRPr="00B926DB">
        <w:rPr>
          <w:spacing w:val="-6"/>
          <w:lang w:val="en-GB"/>
        </w:rPr>
        <w:t xml:space="preserve"> MarketScape</w:t>
      </w:r>
      <w:r w:rsidRPr="00B926DB">
        <w:rPr>
          <w:spacing w:val="-6"/>
          <w:lang w:val="en-GB"/>
        </w:rPr>
        <w:t xml:space="preserve">, </w:t>
      </w:r>
      <w:r w:rsidR="005A0013" w:rsidRPr="00B926DB">
        <w:rPr>
          <w:spacing w:val="-6"/>
          <w:lang w:val="en-GB"/>
        </w:rPr>
        <w:t xml:space="preserve">July 2017, </w:t>
      </w:r>
      <w:r w:rsidRPr="00B926DB">
        <w:rPr>
          <w:spacing w:val="-6"/>
          <w:lang w:val="en-GB"/>
        </w:rPr>
        <w:t xml:space="preserve">accessed January 5, 2018, www.idc.com/getdoc.jsp?containerId=US42033517; </w:t>
      </w:r>
      <w:r w:rsidR="00DF5E4A" w:rsidRPr="00B926DB">
        <w:rPr>
          <w:spacing w:val="-6"/>
          <w:lang w:val="en-GB"/>
        </w:rPr>
        <w:t>Morgan Stanley,</w:t>
      </w:r>
      <w:r w:rsidR="00DF5E4A" w:rsidRPr="00B926DB" w:rsidDel="00DF5E4A">
        <w:rPr>
          <w:spacing w:val="-6"/>
          <w:lang w:val="en-GB"/>
        </w:rPr>
        <w:t xml:space="preserve"> </w:t>
      </w:r>
      <w:r w:rsidRPr="00B926DB">
        <w:rPr>
          <w:i/>
          <w:spacing w:val="-6"/>
          <w:lang w:val="en-GB"/>
        </w:rPr>
        <w:t>Key Investor Debates Likely to Drive Stocks in the Coming Year</w:t>
      </w:r>
      <w:r w:rsidR="00DF5E4A" w:rsidRPr="00B926DB">
        <w:rPr>
          <w:spacing w:val="-6"/>
          <w:lang w:val="en-GB"/>
        </w:rPr>
        <w:t>,</w:t>
      </w:r>
      <w:r w:rsidR="00DF5E4A" w:rsidRPr="00B926DB" w:rsidDel="00DF5E4A">
        <w:rPr>
          <w:spacing w:val="-6"/>
          <w:lang w:val="en-GB"/>
        </w:rPr>
        <w:t xml:space="preserve"> </w:t>
      </w:r>
      <w:r w:rsidR="001D5170" w:rsidRPr="00B926DB">
        <w:rPr>
          <w:spacing w:val="-6"/>
          <w:lang w:val="en-GB"/>
        </w:rPr>
        <w:t>January 19</w:t>
      </w:r>
      <w:r w:rsidR="00DF5E4A" w:rsidRPr="00B926DB">
        <w:rPr>
          <w:spacing w:val="-6"/>
          <w:lang w:val="en-GB"/>
        </w:rPr>
        <w:t>, 201</w:t>
      </w:r>
      <w:r w:rsidR="001D5170" w:rsidRPr="00B926DB">
        <w:rPr>
          <w:spacing w:val="-6"/>
          <w:lang w:val="en-GB"/>
        </w:rPr>
        <w:t>8</w:t>
      </w:r>
      <w:r w:rsidRPr="00B926DB">
        <w:rPr>
          <w:spacing w:val="-6"/>
          <w:lang w:val="en-GB"/>
        </w:rPr>
        <w:t xml:space="preserve">, accessed </w:t>
      </w:r>
      <w:r w:rsidR="001D5170" w:rsidRPr="00B926DB">
        <w:rPr>
          <w:spacing w:val="-6"/>
          <w:lang w:val="en-GB"/>
        </w:rPr>
        <w:t>August</w:t>
      </w:r>
      <w:r w:rsidRPr="00B926DB">
        <w:rPr>
          <w:spacing w:val="-6"/>
          <w:lang w:val="en-GB"/>
        </w:rPr>
        <w:t xml:space="preserve"> </w:t>
      </w:r>
      <w:r w:rsidR="001D5170" w:rsidRPr="00B926DB">
        <w:rPr>
          <w:spacing w:val="-6"/>
          <w:lang w:val="en-GB"/>
        </w:rPr>
        <w:t>2</w:t>
      </w:r>
      <w:r w:rsidRPr="00B926DB">
        <w:rPr>
          <w:spacing w:val="-6"/>
          <w:lang w:val="en-GB"/>
        </w:rPr>
        <w:t xml:space="preserve">, 2018, </w:t>
      </w:r>
      <w:r w:rsidR="00B926DB" w:rsidRPr="00B926DB">
        <w:rPr>
          <w:spacing w:val="-6"/>
          <w:lang w:val="en-GB"/>
        </w:rPr>
        <w:t>https://pwm.morganstanley.com/weilmangrasman/mediahandler/</w:t>
      </w:r>
      <w:r w:rsidR="00E43C40" w:rsidRPr="00B926DB">
        <w:rPr>
          <w:spacing w:val="-6"/>
          <w:lang w:val="en-GB"/>
        </w:rPr>
        <w:t>media/118821/</w:t>
      </w:r>
      <w:r w:rsidR="001D5170" w:rsidRPr="00B926DB">
        <w:rPr>
          <w:spacing w:val="-6"/>
          <w:lang w:val="en-GB"/>
        </w:rPr>
        <w:t>GLOBAL</w:t>
      </w:r>
    </w:p>
    <w:p w14:paraId="6CE867B6" w14:textId="24948F49" w:rsidR="00CD0D70" w:rsidRPr="00B926DB" w:rsidRDefault="001D5170" w:rsidP="006E67A9">
      <w:pPr>
        <w:pStyle w:val="Footnote"/>
        <w:keepNext/>
        <w:keepLines/>
        <w:rPr>
          <w:spacing w:val="-6"/>
          <w:lang w:val="en-GB"/>
        </w:rPr>
      </w:pPr>
      <w:r w:rsidRPr="00B926DB">
        <w:rPr>
          <w:spacing w:val="-6"/>
          <w:lang w:val="en-GB"/>
        </w:rPr>
        <w:t>_20180119_0000.pdf</w:t>
      </w:r>
      <w:r w:rsidR="00546269" w:rsidRPr="00B926DB">
        <w:rPr>
          <w:spacing w:val="-6"/>
          <w:lang w:val="en-GB"/>
        </w:rPr>
        <w:t xml:space="preserve">; </w:t>
      </w:r>
      <w:r w:rsidR="00DF5E4A" w:rsidRPr="00B926DB">
        <w:rPr>
          <w:spacing w:val="-6"/>
          <w:lang w:val="en-GB"/>
        </w:rPr>
        <w:t xml:space="preserve">Barb Darrow, </w:t>
      </w:r>
      <w:r w:rsidR="00546269" w:rsidRPr="00B926DB">
        <w:rPr>
          <w:spacing w:val="-6"/>
          <w:lang w:val="en-GB"/>
        </w:rPr>
        <w:t xml:space="preserve">“Amazon Still Leads Cloud Rankings, But Competition Is Coming </w:t>
      </w:r>
      <w:r w:rsidR="005A0013" w:rsidRPr="00B926DB">
        <w:rPr>
          <w:spacing w:val="-6"/>
          <w:lang w:val="en-GB"/>
        </w:rPr>
        <w:t>o</w:t>
      </w:r>
      <w:r w:rsidR="00546269" w:rsidRPr="00B926DB">
        <w:rPr>
          <w:spacing w:val="-6"/>
          <w:lang w:val="en-GB"/>
        </w:rPr>
        <w:t>n Strong</w:t>
      </w:r>
      <w:r w:rsidR="00DF5E4A" w:rsidRPr="00B926DB">
        <w:rPr>
          <w:spacing w:val="-6"/>
          <w:lang w:val="en-GB"/>
        </w:rPr>
        <w:t>,</w:t>
      </w:r>
      <w:r w:rsidR="00546269" w:rsidRPr="00B926DB">
        <w:rPr>
          <w:spacing w:val="-6"/>
          <w:lang w:val="en-GB"/>
        </w:rPr>
        <w:t xml:space="preserve">” </w:t>
      </w:r>
      <w:r w:rsidR="00546269" w:rsidRPr="00B926DB">
        <w:rPr>
          <w:i/>
          <w:spacing w:val="-6"/>
          <w:lang w:val="en-GB"/>
        </w:rPr>
        <w:t>Fortune</w:t>
      </w:r>
      <w:r w:rsidR="00546269" w:rsidRPr="00B926DB">
        <w:rPr>
          <w:spacing w:val="-6"/>
          <w:lang w:val="en-GB"/>
        </w:rPr>
        <w:t xml:space="preserve">, </w:t>
      </w:r>
      <w:r w:rsidR="00DF5E4A" w:rsidRPr="00B926DB">
        <w:rPr>
          <w:spacing w:val="-6"/>
          <w:lang w:val="en-GB"/>
        </w:rPr>
        <w:t xml:space="preserve">June 15, 2017, </w:t>
      </w:r>
      <w:r w:rsidR="00546269" w:rsidRPr="00B926DB">
        <w:rPr>
          <w:spacing w:val="-6"/>
          <w:lang w:val="en-GB"/>
        </w:rPr>
        <w:t xml:space="preserve">accessed January 5, 2018, http://fortune.com/2017/06/15/gartner-cloud-rankings/; </w:t>
      </w:r>
      <w:r w:rsidR="005A0013" w:rsidRPr="00B926DB">
        <w:rPr>
          <w:spacing w:val="-6"/>
          <w:lang w:val="en-GB"/>
        </w:rPr>
        <w:t xml:space="preserve">Gartner, </w:t>
      </w:r>
      <w:r w:rsidR="00546269" w:rsidRPr="00B926DB">
        <w:rPr>
          <w:spacing w:val="-6"/>
          <w:lang w:val="en-GB"/>
        </w:rPr>
        <w:t xml:space="preserve">“Address Cybersecurity Challenges Proactively to Ensure Success </w:t>
      </w:r>
      <w:r w:rsidR="005A0013" w:rsidRPr="00B926DB">
        <w:rPr>
          <w:spacing w:val="-6"/>
          <w:lang w:val="en-GB"/>
        </w:rPr>
        <w:t>w</w:t>
      </w:r>
      <w:r w:rsidR="00546269" w:rsidRPr="00B926DB">
        <w:rPr>
          <w:spacing w:val="-6"/>
          <w:lang w:val="en-GB"/>
        </w:rPr>
        <w:t>ith Outsourced IoT Initiatives</w:t>
      </w:r>
      <w:r w:rsidR="00DF5E4A" w:rsidRPr="00B926DB">
        <w:rPr>
          <w:spacing w:val="-6"/>
          <w:lang w:val="en-GB"/>
        </w:rPr>
        <w:t>,</w:t>
      </w:r>
      <w:r w:rsidR="00546269" w:rsidRPr="00B926DB">
        <w:rPr>
          <w:spacing w:val="-6"/>
          <w:lang w:val="en-GB"/>
        </w:rPr>
        <w:t xml:space="preserve">” </w:t>
      </w:r>
      <w:r w:rsidR="00DF5E4A" w:rsidRPr="00B926DB">
        <w:rPr>
          <w:spacing w:val="-6"/>
          <w:lang w:val="en-GB"/>
        </w:rPr>
        <w:t xml:space="preserve">February 17, 2017, </w:t>
      </w:r>
      <w:r w:rsidR="005A0013" w:rsidRPr="00B926DB">
        <w:rPr>
          <w:spacing w:val="-6"/>
          <w:lang w:val="en-GB"/>
        </w:rPr>
        <w:t xml:space="preserve">accessed </w:t>
      </w:r>
      <w:r w:rsidR="00546269" w:rsidRPr="00B926DB">
        <w:rPr>
          <w:spacing w:val="-6"/>
          <w:lang w:val="en-GB"/>
        </w:rPr>
        <w:t xml:space="preserve">January 5, 2018, </w:t>
      </w:r>
      <w:r w:rsidR="00DF5E4A" w:rsidRPr="00B926DB">
        <w:rPr>
          <w:spacing w:val="-6"/>
          <w:lang w:val="en-GB"/>
        </w:rPr>
        <w:t>www.gartner.com/doc/3613417/address-cybersecurity-challenges-proactively-ensure</w:t>
      </w:r>
      <w:r w:rsidR="00546269" w:rsidRPr="00B926DB">
        <w:rPr>
          <w:spacing w:val="-6"/>
          <w:lang w:val="en-GB"/>
        </w:rPr>
        <w:t>.</w:t>
      </w:r>
    </w:p>
    <w:p w14:paraId="482D3A3C" w14:textId="77777777" w:rsidR="00CD0D70" w:rsidRPr="00AD3822" w:rsidRDefault="00CD0D70" w:rsidP="00E43C40">
      <w:pPr>
        <w:pStyle w:val="BodyTextMain"/>
        <w:rPr>
          <w:sz w:val="20"/>
          <w:lang w:val="en-GB"/>
        </w:rPr>
      </w:pPr>
    </w:p>
    <w:p w14:paraId="22B110F4" w14:textId="75D905DA" w:rsidR="006577C3" w:rsidRPr="00AD3822" w:rsidRDefault="006577C3" w:rsidP="00E43C40">
      <w:pPr>
        <w:pStyle w:val="BodyTextMain"/>
        <w:rPr>
          <w:sz w:val="20"/>
          <w:lang w:val="en-GB"/>
        </w:rPr>
      </w:pPr>
    </w:p>
    <w:p w14:paraId="05D8E1CF" w14:textId="3C6568DA" w:rsidR="00546269" w:rsidRPr="00AD3822" w:rsidRDefault="00546269" w:rsidP="00E43C40">
      <w:pPr>
        <w:pStyle w:val="ExhibitHeading"/>
        <w:keepLines/>
        <w:rPr>
          <w:lang w:val="en-GB"/>
        </w:rPr>
      </w:pPr>
      <w:r w:rsidRPr="00AD3822">
        <w:rPr>
          <w:lang w:val="en-GB"/>
        </w:rPr>
        <w:t xml:space="preserve">EXHIBIT 4: ECOSYSTEM FOR </w:t>
      </w:r>
      <w:r w:rsidR="00110982">
        <w:rPr>
          <w:lang w:val="en-GB"/>
        </w:rPr>
        <w:t xml:space="preserve">fujitSu’s </w:t>
      </w:r>
      <w:r w:rsidRPr="00AD3822">
        <w:rPr>
          <w:lang w:val="en-GB"/>
        </w:rPr>
        <w:t>CONNECTED SERVICES</w:t>
      </w:r>
    </w:p>
    <w:p w14:paraId="65035FA0" w14:textId="77777777" w:rsidR="00546269" w:rsidRPr="00AD3822" w:rsidRDefault="00546269" w:rsidP="00E43C40">
      <w:pPr>
        <w:pStyle w:val="ExhibitHeading"/>
        <w:keepLines/>
        <w:rPr>
          <w:lang w:val="en-GB"/>
        </w:rPr>
      </w:pPr>
    </w:p>
    <w:p w14:paraId="60AEC733" w14:textId="30C1063F" w:rsidR="00D318D7" w:rsidRPr="00AD3822" w:rsidRDefault="00B72F0F" w:rsidP="00E43C40">
      <w:pPr>
        <w:pStyle w:val="ExhibitHeading"/>
        <w:keepLines/>
        <w:rPr>
          <w:lang w:val="en-GB"/>
        </w:rPr>
      </w:pPr>
      <w:r w:rsidRPr="00AD3822">
        <w:rPr>
          <w:noProof/>
        </w:rPr>
        <w:drawing>
          <wp:inline distT="0" distB="0" distL="0" distR="0" wp14:anchorId="78197A25" wp14:editId="67AF46E2">
            <wp:extent cx="5533908" cy="28704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8657" cy="2904006"/>
                    </a:xfrm>
                    <a:prstGeom prst="rect">
                      <a:avLst/>
                    </a:prstGeom>
                  </pic:spPr>
                </pic:pic>
              </a:graphicData>
            </a:graphic>
          </wp:inline>
        </w:drawing>
      </w:r>
    </w:p>
    <w:p w14:paraId="2C1CE684" w14:textId="77777777" w:rsidR="00D318D7" w:rsidRPr="00AD3822" w:rsidRDefault="00D318D7" w:rsidP="00E43C40">
      <w:pPr>
        <w:pStyle w:val="ExhibitHeading"/>
        <w:keepLines/>
        <w:rPr>
          <w:lang w:val="en-GB"/>
        </w:rPr>
      </w:pPr>
    </w:p>
    <w:p w14:paraId="1EB81DF9" w14:textId="71034D40" w:rsidR="00546269" w:rsidRPr="00AD3822" w:rsidRDefault="000B33DD" w:rsidP="00E43C40">
      <w:pPr>
        <w:pStyle w:val="Footnote"/>
        <w:rPr>
          <w:lang w:val="en-GB"/>
        </w:rPr>
      </w:pPr>
      <w:r w:rsidRPr="00AD3822">
        <w:rPr>
          <w:lang w:val="en-GB"/>
        </w:rPr>
        <w:t>Note: SDGs = sustainable development goals</w:t>
      </w:r>
      <w:r w:rsidR="005A0013">
        <w:rPr>
          <w:lang w:val="en-GB"/>
        </w:rPr>
        <w:t>; ICT = information and communications technology</w:t>
      </w:r>
    </w:p>
    <w:p w14:paraId="179C3EDC" w14:textId="48671741" w:rsidR="00AB164B" w:rsidRPr="00AD3822" w:rsidRDefault="00546269" w:rsidP="00AB164B">
      <w:pPr>
        <w:pStyle w:val="Footnote"/>
        <w:rPr>
          <w:lang w:val="en-GB"/>
        </w:rPr>
      </w:pPr>
      <w:r w:rsidRPr="00AD3822">
        <w:rPr>
          <w:lang w:val="en-GB"/>
        </w:rPr>
        <w:t xml:space="preserve">Source: </w:t>
      </w:r>
      <w:r w:rsidR="00AB164B" w:rsidRPr="00AD3822">
        <w:rPr>
          <w:lang w:val="en-GB"/>
        </w:rPr>
        <w:t>Company files.</w:t>
      </w:r>
    </w:p>
    <w:p w14:paraId="1F85E52A" w14:textId="52B26FBE" w:rsidR="00546269" w:rsidRPr="00AD3822" w:rsidRDefault="00546269" w:rsidP="00E04206">
      <w:pPr>
        <w:pStyle w:val="ExhibitHeading"/>
        <w:keepNext/>
        <w:rPr>
          <w:lang w:val="en-GB"/>
        </w:rPr>
      </w:pPr>
      <w:r w:rsidRPr="00AD3822">
        <w:rPr>
          <w:lang w:val="en-GB"/>
        </w:rPr>
        <w:lastRenderedPageBreak/>
        <w:t xml:space="preserve">EXHIBIT 5: </w:t>
      </w:r>
      <w:r w:rsidR="00110982">
        <w:rPr>
          <w:lang w:val="en-GB"/>
        </w:rPr>
        <w:t xml:space="preserve">fujitsu’s </w:t>
      </w:r>
      <w:r w:rsidRPr="00AD3822">
        <w:rPr>
          <w:lang w:val="en-GB"/>
        </w:rPr>
        <w:t>AKISAI AGRICULTURAL CLOUD</w:t>
      </w:r>
    </w:p>
    <w:p w14:paraId="0FADE364" w14:textId="77777777" w:rsidR="00546269" w:rsidRPr="00AD3822" w:rsidRDefault="00546269" w:rsidP="00E04206">
      <w:pPr>
        <w:pStyle w:val="ExhibitHeading"/>
        <w:keepNext/>
        <w:rPr>
          <w:lang w:val="en-GB"/>
        </w:rPr>
      </w:pPr>
    </w:p>
    <w:p w14:paraId="32BAD631" w14:textId="67EFA74B" w:rsidR="001B28A0" w:rsidRPr="00AD3822" w:rsidRDefault="001B28A0" w:rsidP="00E04206">
      <w:pPr>
        <w:pStyle w:val="ExhibitHeading"/>
        <w:keepNext/>
        <w:rPr>
          <w:lang w:val="en-GB"/>
        </w:rPr>
      </w:pPr>
      <w:r w:rsidRPr="00AD3822">
        <w:rPr>
          <w:noProof/>
        </w:rPr>
        <w:drawing>
          <wp:inline distT="0" distB="0" distL="0" distR="0" wp14:anchorId="6FF1D377" wp14:editId="57EEF856">
            <wp:extent cx="5282279" cy="3379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599" cy="3387825"/>
                    </a:xfrm>
                    <a:prstGeom prst="rect">
                      <a:avLst/>
                    </a:prstGeom>
                  </pic:spPr>
                </pic:pic>
              </a:graphicData>
            </a:graphic>
          </wp:inline>
        </w:drawing>
      </w:r>
    </w:p>
    <w:p w14:paraId="7BACB3AC" w14:textId="77777777" w:rsidR="00976B89" w:rsidRPr="00AD3822" w:rsidRDefault="00976B89" w:rsidP="00E04206">
      <w:pPr>
        <w:pStyle w:val="ExhibitHeading"/>
        <w:keepNext/>
        <w:rPr>
          <w:lang w:val="en-GB"/>
        </w:rPr>
      </w:pPr>
    </w:p>
    <w:p w14:paraId="437256DB" w14:textId="147AE44E" w:rsidR="005A0013" w:rsidRDefault="005A0013" w:rsidP="00AB164B">
      <w:pPr>
        <w:pStyle w:val="Footnote"/>
        <w:rPr>
          <w:lang w:val="en-GB"/>
        </w:rPr>
      </w:pPr>
      <w:r>
        <w:rPr>
          <w:lang w:val="en-GB"/>
        </w:rPr>
        <w:t>Note: HR = human resources</w:t>
      </w:r>
    </w:p>
    <w:p w14:paraId="6DA89B48" w14:textId="58D2C8B4" w:rsidR="00AB164B" w:rsidRPr="00AD3822" w:rsidRDefault="00976B89" w:rsidP="00AB164B">
      <w:pPr>
        <w:pStyle w:val="Footnote"/>
        <w:rPr>
          <w:lang w:val="en-GB"/>
        </w:rPr>
      </w:pPr>
      <w:r w:rsidRPr="00AD3822">
        <w:rPr>
          <w:lang w:val="en-GB"/>
        </w:rPr>
        <w:t>Source</w:t>
      </w:r>
      <w:r w:rsidR="00AB164B" w:rsidRPr="00AD3822">
        <w:rPr>
          <w:lang w:val="en-GB"/>
        </w:rPr>
        <w:t>: Company files.</w:t>
      </w:r>
    </w:p>
    <w:p w14:paraId="58FEDB73" w14:textId="35F40676" w:rsidR="00976B89" w:rsidRPr="00AD3822" w:rsidRDefault="00976B89" w:rsidP="00DF369D">
      <w:pPr>
        <w:pStyle w:val="Footnote"/>
        <w:rPr>
          <w:lang w:val="en-GB"/>
        </w:rPr>
      </w:pPr>
    </w:p>
    <w:p w14:paraId="7D5A6A4C" w14:textId="77777777" w:rsidR="00976B89" w:rsidRPr="00AD3822" w:rsidRDefault="00976B89" w:rsidP="00DF369D">
      <w:pPr>
        <w:pStyle w:val="Footnote"/>
        <w:rPr>
          <w:lang w:val="en-GB"/>
        </w:rPr>
      </w:pPr>
    </w:p>
    <w:p w14:paraId="2F53CBBF" w14:textId="77777777" w:rsidR="00976B89" w:rsidRPr="00AD3822" w:rsidRDefault="00976B89" w:rsidP="00DF369D">
      <w:pPr>
        <w:pStyle w:val="Footnote"/>
        <w:rPr>
          <w:lang w:val="en-GB"/>
        </w:rPr>
      </w:pPr>
    </w:p>
    <w:p w14:paraId="23078526" w14:textId="11C252C9" w:rsidR="00976B89" w:rsidRPr="00AD3822" w:rsidRDefault="00976B89" w:rsidP="00976B89">
      <w:pPr>
        <w:pStyle w:val="ExhibitHeading"/>
        <w:keepNext/>
        <w:rPr>
          <w:lang w:val="en-GB"/>
        </w:rPr>
      </w:pPr>
      <w:r w:rsidRPr="00AD3822">
        <w:rPr>
          <w:lang w:val="en-GB"/>
        </w:rPr>
        <w:t xml:space="preserve">EXHIBIT 6: </w:t>
      </w:r>
      <w:r w:rsidR="00CC4602">
        <w:rPr>
          <w:lang w:val="en-GB"/>
        </w:rPr>
        <w:t xml:space="preserve">fujitsu’s </w:t>
      </w:r>
      <w:r w:rsidRPr="00AD3822">
        <w:rPr>
          <w:lang w:val="en-GB"/>
        </w:rPr>
        <w:t>ENGINEERING CLOUD</w:t>
      </w:r>
    </w:p>
    <w:p w14:paraId="7FF8AAA4" w14:textId="77777777" w:rsidR="001B28A0" w:rsidRPr="00AD3822" w:rsidRDefault="001B28A0" w:rsidP="00976B89">
      <w:pPr>
        <w:pStyle w:val="ExhibitHeading"/>
        <w:keepNext/>
        <w:rPr>
          <w:lang w:val="en-GB"/>
        </w:rPr>
      </w:pPr>
    </w:p>
    <w:p w14:paraId="01B74EE4" w14:textId="5A462E18" w:rsidR="001B28A0" w:rsidRPr="00AD3822" w:rsidRDefault="001B28A0" w:rsidP="00976B89">
      <w:pPr>
        <w:pStyle w:val="ExhibitHeading"/>
        <w:keepNext/>
        <w:rPr>
          <w:lang w:val="en-GB"/>
        </w:rPr>
      </w:pPr>
      <w:r w:rsidRPr="00AD3822">
        <w:rPr>
          <w:noProof/>
        </w:rPr>
        <w:drawing>
          <wp:inline distT="0" distB="0" distL="0" distR="0" wp14:anchorId="51632ACE" wp14:editId="73AACAC8">
            <wp:extent cx="5367130" cy="25792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3030" cy="2582040"/>
                    </a:xfrm>
                    <a:prstGeom prst="rect">
                      <a:avLst/>
                    </a:prstGeom>
                  </pic:spPr>
                </pic:pic>
              </a:graphicData>
            </a:graphic>
          </wp:inline>
        </w:drawing>
      </w:r>
    </w:p>
    <w:p w14:paraId="0831E9FB" w14:textId="77777777" w:rsidR="00976B89" w:rsidRPr="00AD3822" w:rsidRDefault="00976B89" w:rsidP="00DF369D">
      <w:pPr>
        <w:pStyle w:val="Footnote"/>
        <w:rPr>
          <w:lang w:val="en-GB"/>
        </w:rPr>
      </w:pPr>
    </w:p>
    <w:p w14:paraId="49954885" w14:textId="7579AAE2" w:rsidR="005A0013" w:rsidRDefault="005A0013" w:rsidP="006E67A9">
      <w:pPr>
        <w:pStyle w:val="Footnote"/>
        <w:rPr>
          <w:lang w:val="en-GB"/>
        </w:rPr>
      </w:pPr>
      <w:r>
        <w:rPr>
          <w:lang w:val="en-GB"/>
        </w:rPr>
        <w:t xml:space="preserve">Note: SaaS = software as a service; PaaS = platform as a service; CAD = </w:t>
      </w:r>
      <w:r w:rsidR="00D44A34">
        <w:rPr>
          <w:lang w:val="en-GB"/>
        </w:rPr>
        <w:t>computer-aided desi</w:t>
      </w:r>
      <w:r w:rsidR="00110982">
        <w:rPr>
          <w:lang w:val="en-GB"/>
        </w:rPr>
        <w:t>g</w:t>
      </w:r>
      <w:r w:rsidR="00D44A34">
        <w:rPr>
          <w:lang w:val="en-GB"/>
        </w:rPr>
        <w:t xml:space="preserve">n; </w:t>
      </w:r>
      <w:r>
        <w:rPr>
          <w:lang w:val="en-GB"/>
        </w:rPr>
        <w:t xml:space="preserve">CAM = </w:t>
      </w:r>
      <w:r w:rsidR="00D44A34">
        <w:rPr>
          <w:lang w:val="en-GB"/>
        </w:rPr>
        <w:t xml:space="preserve">computer-aided manufacturing; </w:t>
      </w:r>
      <w:r>
        <w:rPr>
          <w:lang w:val="en-GB"/>
        </w:rPr>
        <w:t xml:space="preserve">CAE = </w:t>
      </w:r>
      <w:r w:rsidR="00D44A34">
        <w:rPr>
          <w:lang w:val="en-GB"/>
        </w:rPr>
        <w:t xml:space="preserve">computer-aided engineering; </w:t>
      </w:r>
      <w:r>
        <w:rPr>
          <w:lang w:val="en-GB"/>
        </w:rPr>
        <w:t xml:space="preserve">DMU = </w:t>
      </w:r>
      <w:r w:rsidR="00D44A34">
        <w:rPr>
          <w:lang w:val="en-GB"/>
        </w:rPr>
        <w:t xml:space="preserve">digital mock-up; </w:t>
      </w:r>
      <w:r>
        <w:rPr>
          <w:lang w:val="en-GB"/>
        </w:rPr>
        <w:t xml:space="preserve">PDM = </w:t>
      </w:r>
      <w:r w:rsidR="00D44A34">
        <w:rPr>
          <w:lang w:val="en-GB"/>
        </w:rPr>
        <w:t xml:space="preserve">product data management; </w:t>
      </w:r>
      <w:r>
        <w:rPr>
          <w:lang w:val="en-GB"/>
        </w:rPr>
        <w:t>PLM =</w:t>
      </w:r>
      <w:r w:rsidR="00D44A34">
        <w:rPr>
          <w:lang w:val="en-GB"/>
        </w:rPr>
        <w:t xml:space="preserve"> product lifecycle management</w:t>
      </w:r>
      <w:r w:rsidR="007A629C">
        <w:rPr>
          <w:lang w:val="en-GB"/>
        </w:rPr>
        <w:t>.</w:t>
      </w:r>
    </w:p>
    <w:p w14:paraId="74008745" w14:textId="37C34249" w:rsidR="00976B89" w:rsidRPr="00AD3822" w:rsidRDefault="00976B89" w:rsidP="006E67A9">
      <w:pPr>
        <w:pStyle w:val="Footnote"/>
        <w:rPr>
          <w:lang w:val="en-GB"/>
        </w:rPr>
      </w:pPr>
      <w:r w:rsidRPr="00AD3822">
        <w:rPr>
          <w:lang w:val="en-GB"/>
        </w:rPr>
        <w:t xml:space="preserve">Source: </w:t>
      </w:r>
      <w:r w:rsidR="00FC0693" w:rsidRPr="00AD3822">
        <w:rPr>
          <w:lang w:val="en-GB"/>
        </w:rPr>
        <w:t xml:space="preserve">Adapted by case authors from </w:t>
      </w:r>
      <w:r w:rsidR="00AB164B" w:rsidRPr="00AD3822">
        <w:rPr>
          <w:lang w:val="en-GB"/>
        </w:rPr>
        <w:t>company files.</w:t>
      </w:r>
    </w:p>
    <w:sectPr w:rsidR="00976B89" w:rsidRPr="00AD3822" w:rsidSect="00767AF2">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F15C8" w14:textId="77777777" w:rsidR="00110982" w:rsidRDefault="00110982" w:rsidP="00D75295">
      <w:r>
        <w:separator/>
      </w:r>
    </w:p>
  </w:endnote>
  <w:endnote w:type="continuationSeparator" w:id="0">
    <w:p w14:paraId="276C2EC7" w14:textId="77777777" w:rsidR="00110982" w:rsidRDefault="0011098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3BFBA" w14:textId="77777777" w:rsidR="00110982" w:rsidRDefault="00110982" w:rsidP="00D75295">
      <w:r>
        <w:separator/>
      </w:r>
    </w:p>
  </w:footnote>
  <w:footnote w:type="continuationSeparator" w:id="0">
    <w:p w14:paraId="05278E5E" w14:textId="77777777" w:rsidR="00110982" w:rsidRDefault="00110982" w:rsidP="00D75295">
      <w:r>
        <w:continuationSeparator/>
      </w:r>
    </w:p>
  </w:footnote>
  <w:footnote w:id="1">
    <w:p w14:paraId="4D6AF6FD" w14:textId="7C86DAE9" w:rsidR="00110982" w:rsidRPr="009E1D4C" w:rsidRDefault="00110982" w:rsidP="00E43C40">
      <w:pPr>
        <w:pStyle w:val="Footnote"/>
        <w:rPr>
          <w:lang w:val="en-CA"/>
        </w:rPr>
      </w:pPr>
      <w:r>
        <w:rPr>
          <w:rStyle w:val="FootnoteReference"/>
        </w:rPr>
        <w:footnoteRef/>
      </w:r>
      <w:r>
        <w:t xml:space="preserve"> </w:t>
      </w:r>
      <w:r>
        <w:rPr>
          <w:lang w:val="en-CA"/>
        </w:rPr>
        <w:t>¥ = JPY = Japanese yen; ¥</w:t>
      </w:r>
      <w:r w:rsidRPr="001A7643">
        <w:rPr>
          <w:lang w:val="en-CA"/>
        </w:rPr>
        <w:t>1</w:t>
      </w:r>
      <w:r w:rsidR="002E742C">
        <w:rPr>
          <w:lang w:val="en-CA"/>
        </w:rPr>
        <w:t xml:space="preserve"> = US$0.0009</w:t>
      </w:r>
      <w:r w:rsidRPr="001A7643">
        <w:rPr>
          <w:lang w:val="en-CA"/>
        </w:rPr>
        <w:t xml:space="preserve"> </w:t>
      </w:r>
      <w:r>
        <w:rPr>
          <w:lang w:val="en-CA"/>
        </w:rPr>
        <w:t>as of July 12, 2017.</w:t>
      </w:r>
    </w:p>
  </w:footnote>
  <w:footnote w:id="2">
    <w:p w14:paraId="6EB83F64" w14:textId="69FCD198" w:rsidR="00110982" w:rsidRPr="009F3140" w:rsidRDefault="00110982" w:rsidP="00E43C40">
      <w:pPr>
        <w:pStyle w:val="FootnoteText"/>
        <w:jc w:val="both"/>
        <w:rPr>
          <w:rFonts w:ascii="Arial" w:hAnsi="Arial" w:cs="Arial"/>
          <w:i/>
          <w:sz w:val="17"/>
          <w:szCs w:val="17"/>
        </w:rPr>
      </w:pPr>
      <w:r w:rsidRPr="00DF369D">
        <w:rPr>
          <w:rStyle w:val="FootnoteReference"/>
          <w:rFonts w:ascii="Arial" w:hAnsi="Arial" w:cs="Arial"/>
          <w:sz w:val="17"/>
          <w:szCs w:val="17"/>
        </w:rPr>
        <w:footnoteRef/>
      </w:r>
      <w:r w:rsidRPr="00B926DB">
        <w:rPr>
          <w:rFonts w:ascii="Arial" w:hAnsi="Arial" w:cs="Arial"/>
          <w:sz w:val="17"/>
          <w:szCs w:val="17"/>
        </w:rPr>
        <w:t xml:space="preserve"> </w:t>
      </w:r>
      <w:r w:rsidRPr="00DF722C">
        <w:rPr>
          <w:rStyle w:val="FootnoteChar"/>
          <w:rFonts w:eastAsia="Calibri"/>
        </w:rPr>
        <w:t xml:space="preserve">Peter Middleton, </w:t>
      </w:r>
      <w:r w:rsidRPr="009E1D4C">
        <w:rPr>
          <w:rStyle w:val="FootnoteChar"/>
          <w:rFonts w:eastAsia="Calibri"/>
          <w:i/>
        </w:rPr>
        <w:t>Forecast Alert: Internet of Things—Endpoints and Associated Services, Worldwide, 2016</w:t>
      </w:r>
      <w:r>
        <w:rPr>
          <w:rStyle w:val="FootnoteChar"/>
          <w:rFonts w:eastAsia="Calibri"/>
        </w:rPr>
        <w:t>,</w:t>
      </w:r>
      <w:r w:rsidRPr="00DF722C">
        <w:rPr>
          <w:rStyle w:val="FootnoteChar"/>
          <w:rFonts w:eastAsia="Calibri"/>
        </w:rPr>
        <w:t xml:space="preserve"> Gartner, January 6, 2017, </w:t>
      </w:r>
      <w:r w:rsidRPr="0011578B">
        <w:rPr>
          <w:rStyle w:val="FootnoteChar"/>
          <w:rFonts w:eastAsia="Calibri"/>
        </w:rPr>
        <w:t>accessed January 5, 2018,</w:t>
      </w:r>
      <w:r>
        <w:rPr>
          <w:rStyle w:val="FootnoteChar"/>
          <w:rFonts w:eastAsia="Calibri"/>
        </w:rPr>
        <w:t xml:space="preserve"> </w:t>
      </w:r>
      <w:r w:rsidRPr="00DF722C">
        <w:rPr>
          <w:rStyle w:val="FootnoteChar"/>
          <w:rFonts w:eastAsia="Calibri"/>
        </w:rPr>
        <w:t>www.gartner.com/document/3558917.</w:t>
      </w:r>
    </w:p>
  </w:footnote>
  <w:footnote w:id="3">
    <w:p w14:paraId="2D64CC80" w14:textId="2301A36A" w:rsidR="00110982" w:rsidRPr="0011578B" w:rsidRDefault="00110982" w:rsidP="00E43C40">
      <w:pPr>
        <w:pStyle w:val="Footnote"/>
        <w:rPr>
          <w:i/>
          <w:spacing w:val="-4"/>
        </w:rPr>
      </w:pPr>
      <w:r w:rsidRPr="0011578B">
        <w:rPr>
          <w:rStyle w:val="FootnoteReference"/>
          <w:spacing w:val="-4"/>
        </w:rPr>
        <w:footnoteRef/>
      </w:r>
      <w:r w:rsidRPr="00B926DB">
        <w:rPr>
          <w:spacing w:val="-4"/>
        </w:rPr>
        <w:t xml:space="preserve"> </w:t>
      </w:r>
      <w:r w:rsidRPr="0011578B">
        <w:rPr>
          <w:spacing w:val="-4"/>
          <w:lang w:val="en-GB"/>
        </w:rPr>
        <w:t xml:space="preserve">Stacy Crook, Carrie MacGillivray, and Vernon Turner, </w:t>
      </w:r>
      <w:r w:rsidRPr="0011578B">
        <w:rPr>
          <w:i/>
          <w:spacing w:val="-4"/>
          <w:lang w:val="en-GB"/>
        </w:rPr>
        <w:t>IDC MarketScape: Worldwide IoT Platforms (Software Vendors) 2017 Vendor Assessment</w:t>
      </w:r>
      <w:r w:rsidRPr="0011578B">
        <w:rPr>
          <w:spacing w:val="-4"/>
          <w:lang w:val="en-GB"/>
        </w:rPr>
        <w:t>, IDC MarketScape, July 2017, accessed January 5, 2018, www.idc.com/getdoc.jsp?containerId=US42033517</w:t>
      </w:r>
      <w:r>
        <w:rPr>
          <w:spacing w:val="-4"/>
          <w:lang w:val="en-GB"/>
        </w:rPr>
        <w:t>.</w:t>
      </w:r>
    </w:p>
  </w:footnote>
  <w:footnote w:id="4">
    <w:p w14:paraId="0F061701" w14:textId="04830C7E" w:rsidR="00110982" w:rsidRPr="00006B31" w:rsidRDefault="00110982" w:rsidP="00E43C40">
      <w:pPr>
        <w:jc w:val="both"/>
        <w:rPr>
          <w:highlight w:val="yellow"/>
        </w:rPr>
      </w:pPr>
      <w:r w:rsidRPr="00DF369D">
        <w:rPr>
          <w:rStyle w:val="FootnoteReference"/>
          <w:rFonts w:ascii="Arial" w:hAnsi="Arial" w:cs="Arial"/>
          <w:sz w:val="17"/>
          <w:szCs w:val="17"/>
        </w:rPr>
        <w:footnoteRef/>
      </w:r>
      <w:r w:rsidRPr="00B926DB">
        <w:rPr>
          <w:rStyle w:val="FootnoteChar"/>
        </w:rPr>
        <w:t xml:space="preserve"> </w:t>
      </w:r>
      <w:bookmarkStart w:id="1" w:name="_Hlk502959994"/>
      <w:r w:rsidRPr="00DF722C">
        <w:rPr>
          <w:rStyle w:val="FootnoteChar"/>
        </w:rPr>
        <w:t xml:space="preserve">Takaaki Suga and Satoshi Okuyama, “Fujitsu’s Approach to IOT Business and </w:t>
      </w:r>
      <w:r>
        <w:rPr>
          <w:rStyle w:val="FootnoteChar"/>
        </w:rPr>
        <w:t>I</w:t>
      </w:r>
      <w:r w:rsidRPr="00DF722C">
        <w:rPr>
          <w:rStyle w:val="FootnoteChar"/>
        </w:rPr>
        <w:t>ts Related Technologies</w:t>
      </w:r>
      <w:r>
        <w:rPr>
          <w:rStyle w:val="FootnoteChar"/>
        </w:rPr>
        <w:t>,</w:t>
      </w:r>
      <w:r w:rsidRPr="00DF722C">
        <w:rPr>
          <w:rStyle w:val="FootnoteChar"/>
        </w:rPr>
        <w:t xml:space="preserve">” </w:t>
      </w:r>
      <w:r w:rsidRPr="009E1D4C">
        <w:rPr>
          <w:rStyle w:val="FootnoteChar"/>
          <w:i/>
        </w:rPr>
        <w:t>FUJITSU Scientific and Technical Journal</w:t>
      </w:r>
      <w:r w:rsidRPr="00DF722C">
        <w:rPr>
          <w:rStyle w:val="FootnoteChar"/>
        </w:rPr>
        <w:t xml:space="preserve"> 52, </w:t>
      </w:r>
      <w:r>
        <w:rPr>
          <w:rStyle w:val="FootnoteChar"/>
        </w:rPr>
        <w:t>n</w:t>
      </w:r>
      <w:r w:rsidRPr="00DF722C">
        <w:rPr>
          <w:rStyle w:val="FootnoteChar"/>
        </w:rPr>
        <w:t>o. 4 (October 2016): 8–16.</w:t>
      </w:r>
      <w:bookmarkEnd w:id="1"/>
    </w:p>
  </w:footnote>
  <w:footnote w:id="5">
    <w:p w14:paraId="77AD464B" w14:textId="508F3A57" w:rsidR="00110982" w:rsidRPr="009F3140" w:rsidRDefault="00110982" w:rsidP="00E43C40">
      <w:pPr>
        <w:jc w:val="both"/>
        <w:rPr>
          <w:rFonts w:ascii="Arial" w:hAnsi="Arial" w:cs="Arial"/>
          <w:i/>
          <w:sz w:val="17"/>
          <w:szCs w:val="17"/>
        </w:rPr>
      </w:pPr>
      <w:r w:rsidRPr="00DF369D">
        <w:rPr>
          <w:rStyle w:val="FootnoteReference"/>
          <w:rFonts w:ascii="Arial" w:hAnsi="Arial" w:cs="Arial"/>
          <w:sz w:val="17"/>
          <w:szCs w:val="17"/>
        </w:rPr>
        <w:footnoteRef/>
      </w:r>
      <w:r w:rsidRPr="009F3140">
        <w:rPr>
          <w:rFonts w:ascii="Arial" w:hAnsi="Arial" w:cs="Arial"/>
          <w:i/>
          <w:sz w:val="17"/>
          <w:szCs w:val="17"/>
        </w:rPr>
        <w:t xml:space="preserve"> </w:t>
      </w:r>
      <w:r w:rsidRPr="00DF722C">
        <w:rPr>
          <w:rStyle w:val="FootnoteChar"/>
        </w:rPr>
        <w:t>Gil Press, “Forrester Predicts Investment in Artificial Intelligence Will Grow 300% in 2017</w:t>
      </w:r>
      <w:r>
        <w:rPr>
          <w:rStyle w:val="FootnoteChar"/>
        </w:rPr>
        <w:t>,</w:t>
      </w:r>
      <w:r w:rsidRPr="00DF722C">
        <w:rPr>
          <w:rStyle w:val="FootnoteChar"/>
        </w:rPr>
        <w:t xml:space="preserve">” </w:t>
      </w:r>
      <w:r w:rsidRPr="009E1D4C">
        <w:rPr>
          <w:rStyle w:val="FootnoteChar"/>
          <w:i/>
        </w:rPr>
        <w:t>Tech</w:t>
      </w:r>
      <w:r>
        <w:rPr>
          <w:rStyle w:val="FootnoteChar"/>
        </w:rPr>
        <w:t xml:space="preserve"> (blog), </w:t>
      </w:r>
      <w:r w:rsidRPr="009E1D4C">
        <w:rPr>
          <w:rStyle w:val="FootnoteChar"/>
          <w:i/>
        </w:rPr>
        <w:t>Forbes</w:t>
      </w:r>
      <w:r w:rsidRPr="00DF722C">
        <w:rPr>
          <w:rStyle w:val="FootnoteChar"/>
        </w:rPr>
        <w:t xml:space="preserve">, November 1, 2016, </w:t>
      </w:r>
      <w:r>
        <w:rPr>
          <w:rStyle w:val="FootnoteChar"/>
        </w:rPr>
        <w:t xml:space="preserve">accessed July 4, 2018, </w:t>
      </w:r>
      <w:r w:rsidRPr="00DF722C">
        <w:rPr>
          <w:rStyle w:val="FootnoteChar"/>
        </w:rPr>
        <w:t>www.forbes.com/sites/gilpress/2016/11/01/forrester-predicts-investment-in-artificial-intelligence-will-grow-300-in-2017/#7d4eb7ef5509.</w:t>
      </w:r>
    </w:p>
  </w:footnote>
  <w:footnote w:id="6">
    <w:p w14:paraId="52BC1FD6" w14:textId="679332C7" w:rsidR="00110982" w:rsidRPr="009F3140" w:rsidRDefault="00110982" w:rsidP="00E43C40">
      <w:pPr>
        <w:jc w:val="both"/>
        <w:rPr>
          <w:rFonts w:ascii="Arial" w:hAnsi="Arial" w:cs="Arial"/>
          <w:i/>
          <w:sz w:val="17"/>
          <w:szCs w:val="17"/>
        </w:rPr>
      </w:pPr>
      <w:r w:rsidRPr="00DF369D">
        <w:rPr>
          <w:rStyle w:val="FootnoteReference"/>
          <w:rFonts w:ascii="Arial" w:hAnsi="Arial" w:cs="Arial"/>
          <w:sz w:val="17"/>
          <w:szCs w:val="17"/>
        </w:rPr>
        <w:footnoteRef/>
      </w:r>
      <w:r w:rsidRPr="009F3140">
        <w:rPr>
          <w:rFonts w:ascii="Arial" w:hAnsi="Arial" w:cs="Arial"/>
          <w:i/>
          <w:sz w:val="17"/>
          <w:szCs w:val="17"/>
        </w:rPr>
        <w:t xml:space="preserve"> </w:t>
      </w:r>
      <w:r w:rsidRPr="00DF722C">
        <w:rPr>
          <w:rStyle w:val="FootnoteChar"/>
        </w:rPr>
        <w:t xml:space="preserve">CBInsights, “The 2016 AI Recap: Startups See Record High </w:t>
      </w:r>
      <w:r>
        <w:rPr>
          <w:rStyle w:val="FootnoteChar"/>
        </w:rPr>
        <w:t>i</w:t>
      </w:r>
      <w:r w:rsidRPr="00DF722C">
        <w:rPr>
          <w:rStyle w:val="FootnoteChar"/>
        </w:rPr>
        <w:t xml:space="preserve">n Deals </w:t>
      </w:r>
      <w:r>
        <w:rPr>
          <w:rStyle w:val="FootnoteChar"/>
        </w:rPr>
        <w:t>a</w:t>
      </w:r>
      <w:r w:rsidRPr="00DF722C">
        <w:rPr>
          <w:rStyle w:val="FootnoteChar"/>
        </w:rPr>
        <w:t>nd Funding</w:t>
      </w:r>
      <w:r>
        <w:rPr>
          <w:rStyle w:val="FootnoteChar"/>
        </w:rPr>
        <w:t>,</w:t>
      </w:r>
      <w:r w:rsidRPr="00DF722C">
        <w:rPr>
          <w:rStyle w:val="FootnoteChar"/>
        </w:rPr>
        <w:t xml:space="preserve">” January 19, 2017, </w:t>
      </w:r>
      <w:r>
        <w:rPr>
          <w:rStyle w:val="FootnoteChar"/>
        </w:rPr>
        <w:t xml:space="preserve">accessed July 4, 2018, </w:t>
      </w:r>
      <w:r w:rsidRPr="00DF722C">
        <w:rPr>
          <w:rStyle w:val="FootnoteChar"/>
        </w:rPr>
        <w:t>www.cbinsights.com/research/artificial-intelligence-startup-funding/.</w:t>
      </w:r>
    </w:p>
  </w:footnote>
  <w:footnote w:id="7">
    <w:p w14:paraId="2A552549" w14:textId="35AC8C76" w:rsidR="00110982" w:rsidRPr="009F3140" w:rsidRDefault="00110982" w:rsidP="00E43C40">
      <w:pPr>
        <w:jc w:val="both"/>
        <w:rPr>
          <w:rFonts w:ascii="Arial" w:hAnsi="Arial" w:cs="Arial"/>
          <w:i/>
          <w:sz w:val="17"/>
          <w:szCs w:val="17"/>
        </w:rPr>
      </w:pPr>
      <w:r w:rsidRPr="00DF369D">
        <w:rPr>
          <w:rStyle w:val="FootnoteReference"/>
          <w:rFonts w:ascii="Arial" w:hAnsi="Arial" w:cs="Arial"/>
          <w:sz w:val="17"/>
          <w:szCs w:val="17"/>
        </w:rPr>
        <w:footnoteRef/>
      </w:r>
      <w:r w:rsidRPr="009F3140">
        <w:rPr>
          <w:rFonts w:ascii="Arial" w:hAnsi="Arial" w:cs="Arial"/>
          <w:i/>
          <w:sz w:val="17"/>
          <w:szCs w:val="17"/>
        </w:rPr>
        <w:t xml:space="preserve"> </w:t>
      </w:r>
      <w:r w:rsidRPr="00DF722C">
        <w:rPr>
          <w:rStyle w:val="FootnoteChar"/>
        </w:rPr>
        <w:t xml:space="preserve">Michelle Jones, “Leaders </w:t>
      </w:r>
      <w:r>
        <w:rPr>
          <w:rStyle w:val="FootnoteChar"/>
        </w:rPr>
        <w:t>i</w:t>
      </w:r>
      <w:r w:rsidRPr="00DF722C">
        <w:rPr>
          <w:rStyle w:val="FootnoteChar"/>
        </w:rPr>
        <w:t xml:space="preserve">n Artificial Intelligence </w:t>
      </w:r>
      <w:r>
        <w:rPr>
          <w:rStyle w:val="FootnoteChar"/>
        </w:rPr>
        <w:t>i</w:t>
      </w:r>
      <w:r w:rsidRPr="00DF722C">
        <w:rPr>
          <w:rStyle w:val="FootnoteChar"/>
        </w:rPr>
        <w:t>n 2017: Microsoft, Amazon, IBM</w:t>
      </w:r>
      <w:r>
        <w:rPr>
          <w:rStyle w:val="FootnoteChar"/>
        </w:rPr>
        <w:t>,</w:t>
      </w:r>
      <w:r w:rsidRPr="00DF722C">
        <w:rPr>
          <w:rStyle w:val="FootnoteChar"/>
        </w:rPr>
        <w:t>” ValueWalk, December 14, 2016, www.valuewalk.com/2016/12/leaders-artificial-intelligence-2017-microsoft-amazon-ibm/.</w:t>
      </w:r>
    </w:p>
  </w:footnote>
  <w:footnote w:id="8">
    <w:p w14:paraId="1F841AEB" w14:textId="150FF6CE" w:rsidR="00110982" w:rsidRPr="009F3140" w:rsidRDefault="00110982" w:rsidP="00E43C40">
      <w:pPr>
        <w:pStyle w:val="FootnoteText"/>
        <w:jc w:val="both"/>
        <w:rPr>
          <w:rFonts w:ascii="Arial" w:hAnsi="Arial" w:cs="Arial"/>
          <w:i/>
          <w:sz w:val="17"/>
          <w:szCs w:val="17"/>
        </w:rPr>
      </w:pPr>
      <w:r w:rsidRPr="00DF369D">
        <w:rPr>
          <w:rStyle w:val="FootnoteReference"/>
          <w:rFonts w:ascii="Arial" w:hAnsi="Arial" w:cs="Arial"/>
          <w:sz w:val="17"/>
          <w:szCs w:val="17"/>
        </w:rPr>
        <w:footnoteRef/>
      </w:r>
      <w:r w:rsidRPr="00DF369D">
        <w:rPr>
          <w:rFonts w:ascii="Arial" w:hAnsi="Arial" w:cs="Arial"/>
          <w:sz w:val="17"/>
          <w:szCs w:val="17"/>
        </w:rPr>
        <w:t xml:space="preserve"> </w:t>
      </w:r>
      <w:r>
        <w:rPr>
          <w:rFonts w:ascii="Arial" w:hAnsi="Arial" w:cs="Arial"/>
          <w:sz w:val="17"/>
          <w:szCs w:val="17"/>
        </w:rPr>
        <w:t xml:space="preserve">Gartner, </w:t>
      </w:r>
      <w:r w:rsidRPr="00DF722C">
        <w:rPr>
          <w:rStyle w:val="FootnoteChar"/>
          <w:rFonts w:eastAsia="Calibri"/>
        </w:rPr>
        <w:t>“Gartner Says Worldwide Public Cloud Services Market to Grow 18 Percent in 2017</w:t>
      </w:r>
      <w:r>
        <w:rPr>
          <w:rStyle w:val="FootnoteChar"/>
          <w:rFonts w:eastAsia="Calibri"/>
        </w:rPr>
        <w:t>,</w:t>
      </w:r>
      <w:r w:rsidRPr="00DF722C">
        <w:rPr>
          <w:rStyle w:val="FootnoteChar"/>
          <w:rFonts w:eastAsia="Calibri"/>
        </w:rPr>
        <w:t xml:space="preserve">” </w:t>
      </w:r>
      <w:r>
        <w:rPr>
          <w:rStyle w:val="FootnoteChar"/>
          <w:rFonts w:eastAsia="Calibri"/>
        </w:rPr>
        <w:t xml:space="preserve">press release, </w:t>
      </w:r>
      <w:r w:rsidRPr="00DF722C">
        <w:rPr>
          <w:rStyle w:val="FootnoteChar"/>
          <w:rFonts w:eastAsia="Calibri"/>
        </w:rPr>
        <w:t>Gartner</w:t>
      </w:r>
      <w:r>
        <w:rPr>
          <w:rStyle w:val="FootnoteChar"/>
          <w:rFonts w:eastAsia="Calibri"/>
        </w:rPr>
        <w:t xml:space="preserve"> Newsroom</w:t>
      </w:r>
      <w:r w:rsidRPr="00DF722C">
        <w:rPr>
          <w:rStyle w:val="FootnoteChar"/>
          <w:rFonts w:eastAsia="Calibri"/>
        </w:rPr>
        <w:t xml:space="preserve">, February 22, 2017, </w:t>
      </w:r>
      <w:r>
        <w:rPr>
          <w:rStyle w:val="FootnoteChar"/>
          <w:rFonts w:eastAsia="Calibri"/>
        </w:rPr>
        <w:t xml:space="preserve">accessed July 4, 2018, </w:t>
      </w:r>
      <w:r w:rsidRPr="00DF722C">
        <w:rPr>
          <w:rStyle w:val="FootnoteChar"/>
          <w:rFonts w:eastAsia="Calibri"/>
        </w:rPr>
        <w:t>www.gartner.com/newsroom/id/3616417.</w:t>
      </w:r>
    </w:p>
  </w:footnote>
  <w:footnote w:id="9">
    <w:p w14:paraId="2A096218" w14:textId="207BEFA4" w:rsidR="00110982" w:rsidRPr="001A0B8B" w:rsidRDefault="00110982" w:rsidP="00E43C40">
      <w:pPr>
        <w:jc w:val="both"/>
        <w:rPr>
          <w:rFonts w:ascii="Arial" w:hAnsi="Arial" w:cs="Arial"/>
          <w:b/>
          <w:i/>
          <w:sz w:val="17"/>
          <w:szCs w:val="17"/>
        </w:rPr>
      </w:pPr>
      <w:r w:rsidRPr="00DF369D">
        <w:rPr>
          <w:rStyle w:val="FootnoteReference"/>
          <w:rFonts w:ascii="Arial" w:hAnsi="Arial" w:cs="Arial"/>
          <w:sz w:val="17"/>
          <w:szCs w:val="17"/>
        </w:rPr>
        <w:footnoteRef/>
      </w:r>
      <w:r w:rsidRPr="001A0B8B">
        <w:rPr>
          <w:rFonts w:ascii="Arial" w:hAnsi="Arial" w:cs="Arial"/>
          <w:sz w:val="17"/>
          <w:szCs w:val="17"/>
        </w:rPr>
        <w:t xml:space="preserve"> </w:t>
      </w:r>
      <w:r w:rsidRPr="00DF722C">
        <w:rPr>
          <w:rStyle w:val="FootnoteChar"/>
        </w:rPr>
        <w:t xml:space="preserve">Barb Darrow, “Amazon Still Leads Cloud Rankings, But Competition Is Coming </w:t>
      </w:r>
      <w:r>
        <w:rPr>
          <w:rStyle w:val="FootnoteChar"/>
        </w:rPr>
        <w:t>o</w:t>
      </w:r>
      <w:r w:rsidRPr="00DF722C">
        <w:rPr>
          <w:rStyle w:val="FootnoteChar"/>
        </w:rPr>
        <w:t>n Strong</w:t>
      </w:r>
      <w:r>
        <w:rPr>
          <w:rStyle w:val="FootnoteChar"/>
        </w:rPr>
        <w:t>,</w:t>
      </w:r>
      <w:r w:rsidRPr="00DF722C">
        <w:rPr>
          <w:rStyle w:val="FootnoteChar"/>
        </w:rPr>
        <w:t xml:space="preserve">” </w:t>
      </w:r>
      <w:r w:rsidRPr="009E1D4C">
        <w:rPr>
          <w:rStyle w:val="FootnoteChar"/>
          <w:i/>
        </w:rPr>
        <w:t>Fortune</w:t>
      </w:r>
      <w:r w:rsidRPr="00DF722C">
        <w:rPr>
          <w:rStyle w:val="FootnoteChar"/>
        </w:rPr>
        <w:t xml:space="preserve">, June 15, 2017, </w:t>
      </w:r>
      <w:r w:rsidR="001A0B8B">
        <w:rPr>
          <w:rStyle w:val="FootnoteChar"/>
        </w:rPr>
        <w:t xml:space="preserve">accessed September 12, 2018, </w:t>
      </w:r>
      <w:r w:rsidRPr="001A0B8B">
        <w:rPr>
          <w:rStyle w:val="FootnoteChar"/>
        </w:rPr>
        <w:t>http://fortune.com/2017/06/15/gartner-cloud-rankings/.</w:t>
      </w:r>
    </w:p>
  </w:footnote>
  <w:footnote w:id="10">
    <w:p w14:paraId="3E311602" w14:textId="52C592AB" w:rsidR="00110982" w:rsidRPr="0060082E" w:rsidRDefault="00110982" w:rsidP="00E43C40">
      <w:pPr>
        <w:pStyle w:val="FootnoteText"/>
        <w:jc w:val="both"/>
        <w:rPr>
          <w:rFonts w:ascii="Arial" w:hAnsi="Arial" w:cs="Arial"/>
          <w:sz w:val="17"/>
          <w:szCs w:val="17"/>
        </w:rPr>
      </w:pPr>
      <w:r w:rsidRPr="0060082E">
        <w:rPr>
          <w:rStyle w:val="FootnoteReference"/>
          <w:rFonts w:ascii="Arial" w:hAnsi="Arial" w:cs="Arial"/>
          <w:sz w:val="17"/>
          <w:szCs w:val="17"/>
        </w:rPr>
        <w:footnoteRef/>
      </w:r>
      <w:r w:rsidRPr="0060082E">
        <w:rPr>
          <w:rFonts w:ascii="Arial" w:hAnsi="Arial" w:cs="Arial"/>
          <w:sz w:val="17"/>
          <w:szCs w:val="17"/>
        </w:rPr>
        <w:t xml:space="preserve"> </w:t>
      </w:r>
      <w:r>
        <w:rPr>
          <w:rFonts w:ascii="Arial" w:hAnsi="Arial" w:cs="Arial"/>
          <w:sz w:val="17"/>
          <w:szCs w:val="17"/>
        </w:rPr>
        <w:t xml:space="preserve">Juniper Research, </w:t>
      </w:r>
      <w:r w:rsidRPr="0060082E">
        <w:rPr>
          <w:rFonts w:ascii="Arial" w:hAnsi="Arial" w:cs="Arial"/>
          <w:sz w:val="17"/>
          <w:szCs w:val="17"/>
        </w:rPr>
        <w:t>“</w:t>
      </w:r>
      <w:r>
        <w:rPr>
          <w:rFonts w:ascii="Arial" w:hAnsi="Arial" w:cs="Arial"/>
          <w:sz w:val="17"/>
          <w:szCs w:val="17"/>
        </w:rPr>
        <w:t xml:space="preserve">Cybercrime Will Cost Businesses over $2 Trillion by 2019,” press release, May 12, 2017, accessed </w:t>
      </w:r>
      <w:r>
        <w:rPr>
          <w:rStyle w:val="FootnoteChar"/>
          <w:rFonts w:eastAsia="Calibri"/>
        </w:rPr>
        <w:t>July 4, 2018</w:t>
      </w:r>
      <w:r>
        <w:rPr>
          <w:rFonts w:ascii="Arial" w:hAnsi="Arial" w:cs="Arial"/>
          <w:sz w:val="17"/>
          <w:szCs w:val="17"/>
        </w:rPr>
        <w:t xml:space="preserve">, </w:t>
      </w:r>
      <w:r w:rsidRPr="0060082E">
        <w:rPr>
          <w:rFonts w:ascii="Arial" w:hAnsi="Arial" w:cs="Arial"/>
          <w:sz w:val="17"/>
          <w:szCs w:val="17"/>
        </w:rPr>
        <w:t>www.juniperresearch.com/press/press-releases/cybercrime-cost-businesses-over-2trillion</w:t>
      </w:r>
      <w:r>
        <w:rPr>
          <w:rFonts w:ascii="Arial" w:hAnsi="Arial" w:cs="Arial"/>
          <w:sz w:val="17"/>
          <w:szCs w:val="17"/>
        </w:rPr>
        <w:t>.</w:t>
      </w:r>
    </w:p>
  </w:footnote>
  <w:footnote w:id="11">
    <w:p w14:paraId="4504F973" w14:textId="4E6464E7" w:rsidR="00110982" w:rsidRPr="009F3140" w:rsidRDefault="00110982" w:rsidP="00E43C40">
      <w:pPr>
        <w:jc w:val="both"/>
        <w:rPr>
          <w:rFonts w:ascii="Arial" w:hAnsi="Arial" w:cs="Arial"/>
          <w:i/>
          <w:sz w:val="17"/>
          <w:szCs w:val="17"/>
        </w:rPr>
      </w:pPr>
      <w:r w:rsidRPr="00DF369D">
        <w:rPr>
          <w:rStyle w:val="FootnoteReference"/>
          <w:rFonts w:ascii="Arial" w:hAnsi="Arial" w:cs="Arial"/>
          <w:sz w:val="17"/>
          <w:szCs w:val="17"/>
        </w:rPr>
        <w:footnoteRef/>
      </w:r>
      <w:r w:rsidRPr="00DF369D">
        <w:rPr>
          <w:rFonts w:ascii="Arial" w:hAnsi="Arial" w:cs="Arial"/>
          <w:sz w:val="17"/>
          <w:szCs w:val="17"/>
        </w:rPr>
        <w:t xml:space="preserve"> </w:t>
      </w:r>
      <w:r w:rsidRPr="00DF722C">
        <w:rPr>
          <w:rStyle w:val="FootnoteChar"/>
        </w:rPr>
        <w:t xml:space="preserve">Steve Morgan, “Worldwide Cybersecurity Spending Increasing </w:t>
      </w:r>
      <w:r>
        <w:rPr>
          <w:rStyle w:val="FootnoteChar"/>
        </w:rPr>
        <w:t>t</w:t>
      </w:r>
      <w:r w:rsidRPr="00DF722C">
        <w:rPr>
          <w:rStyle w:val="FootnoteChar"/>
        </w:rPr>
        <w:t xml:space="preserve">o $170 Billion </w:t>
      </w:r>
      <w:r>
        <w:rPr>
          <w:rStyle w:val="FootnoteChar"/>
        </w:rPr>
        <w:t>b</w:t>
      </w:r>
      <w:r w:rsidRPr="00DF722C">
        <w:rPr>
          <w:rStyle w:val="FootnoteChar"/>
        </w:rPr>
        <w:t>y 2020</w:t>
      </w:r>
      <w:r>
        <w:rPr>
          <w:rStyle w:val="FootnoteChar"/>
        </w:rPr>
        <w:t>,</w:t>
      </w:r>
      <w:r w:rsidRPr="00DF722C">
        <w:rPr>
          <w:rStyle w:val="FootnoteChar"/>
        </w:rPr>
        <w:t xml:space="preserve">” </w:t>
      </w:r>
      <w:r w:rsidRPr="009E1D4C">
        <w:rPr>
          <w:rStyle w:val="FootnoteChar"/>
          <w:i/>
        </w:rPr>
        <w:t>Tech</w:t>
      </w:r>
      <w:r>
        <w:rPr>
          <w:rStyle w:val="FootnoteChar"/>
        </w:rPr>
        <w:t xml:space="preserve"> (blog), </w:t>
      </w:r>
      <w:r w:rsidRPr="009E1D4C">
        <w:rPr>
          <w:rStyle w:val="FootnoteChar"/>
          <w:i/>
        </w:rPr>
        <w:t>Forbes</w:t>
      </w:r>
      <w:r w:rsidRPr="00DF722C">
        <w:rPr>
          <w:rStyle w:val="FootnoteChar"/>
        </w:rPr>
        <w:t xml:space="preserve">, March 9, 2016, </w:t>
      </w:r>
      <w:r>
        <w:rPr>
          <w:rStyle w:val="FootnoteChar"/>
        </w:rPr>
        <w:t xml:space="preserve">accessed July 4, 2018, </w:t>
      </w:r>
      <w:r w:rsidRPr="00DF722C">
        <w:rPr>
          <w:rStyle w:val="FootnoteChar"/>
        </w:rPr>
        <w:t>www.forbes.com/sites/stevemorgan/2016/03/09/worldwide-cybersecurity-spending-increasing-to-170-billion-by-2020/#f935fc568323.</w:t>
      </w:r>
    </w:p>
  </w:footnote>
  <w:footnote w:id="12">
    <w:p w14:paraId="129E8209" w14:textId="0F66C3C6" w:rsidR="00110982" w:rsidRPr="003D583E" w:rsidRDefault="00110982" w:rsidP="00E43C40">
      <w:pPr>
        <w:pStyle w:val="Footnote"/>
      </w:pPr>
      <w:r w:rsidRPr="00DF369D">
        <w:rPr>
          <w:rStyle w:val="FootnoteReference"/>
        </w:rPr>
        <w:footnoteRef/>
      </w:r>
      <w:r w:rsidRPr="009F3140">
        <w:rPr>
          <w:i/>
        </w:rPr>
        <w:t xml:space="preserve"> </w:t>
      </w:r>
      <w:r w:rsidRPr="00DF722C">
        <w:rPr>
          <w:rStyle w:val="FootnoteChar"/>
        </w:rPr>
        <w:t xml:space="preserve">Zeus Kerravala, “Cisco Well Positioned </w:t>
      </w:r>
      <w:r>
        <w:rPr>
          <w:rStyle w:val="FootnoteChar"/>
        </w:rPr>
        <w:t>t</w:t>
      </w:r>
      <w:r w:rsidRPr="00DF722C">
        <w:rPr>
          <w:rStyle w:val="FootnoteChar"/>
        </w:rPr>
        <w:t>o Dominate Cybersecurity Market</w:t>
      </w:r>
      <w:r>
        <w:rPr>
          <w:rStyle w:val="FootnoteChar"/>
        </w:rPr>
        <w:t>,</w:t>
      </w:r>
      <w:r w:rsidRPr="00DF722C">
        <w:rPr>
          <w:rStyle w:val="FootnoteChar"/>
        </w:rPr>
        <w:t>” Network</w:t>
      </w:r>
      <w:r>
        <w:rPr>
          <w:rStyle w:val="FootnoteChar"/>
        </w:rPr>
        <w:t xml:space="preserve"> W</w:t>
      </w:r>
      <w:r w:rsidRPr="00DF722C">
        <w:rPr>
          <w:rStyle w:val="FootnoteChar"/>
        </w:rPr>
        <w:t xml:space="preserve">orld, August 22, 2016, </w:t>
      </w:r>
      <w:r>
        <w:rPr>
          <w:rStyle w:val="FootnoteChar"/>
        </w:rPr>
        <w:t xml:space="preserve">accessed July 4, 2018, </w:t>
      </w:r>
      <w:r w:rsidRPr="00DF722C">
        <w:rPr>
          <w:rStyle w:val="FootnoteChar"/>
        </w:rPr>
        <w:t>www.networkworld.com/article/3109562/security/cisco-well-positioned-to-dominate-cybersecurity-market.html.</w:t>
      </w:r>
    </w:p>
  </w:footnote>
  <w:footnote w:id="13">
    <w:p w14:paraId="65EF4ED6" w14:textId="70E0A80B" w:rsidR="00110982" w:rsidRPr="009F3140" w:rsidRDefault="00110982" w:rsidP="00E43C40">
      <w:pPr>
        <w:pStyle w:val="Footnote"/>
        <w:rPr>
          <w:i/>
        </w:rPr>
      </w:pPr>
      <w:r w:rsidRPr="00DF369D">
        <w:rPr>
          <w:rStyle w:val="FootnoteReference"/>
        </w:rPr>
        <w:footnoteRef/>
      </w:r>
      <w:r w:rsidRPr="00DF369D">
        <w:rPr>
          <w:rStyle w:val="FootnoteReference"/>
        </w:rPr>
        <w:t xml:space="preserve"> </w:t>
      </w:r>
      <w:r w:rsidRPr="004E45EB">
        <w:rPr>
          <w:rStyle w:val="FootnoteChar"/>
          <w:rFonts w:eastAsia="Calibri"/>
        </w:rPr>
        <w:t xml:space="preserve">Aptamers </w:t>
      </w:r>
      <w:r>
        <w:rPr>
          <w:rStyle w:val="FootnoteChar"/>
          <w:rFonts w:eastAsia="Calibri"/>
        </w:rPr>
        <w:t>we</w:t>
      </w:r>
      <w:r w:rsidRPr="004E45EB">
        <w:rPr>
          <w:rStyle w:val="FootnoteChar"/>
          <w:rFonts w:eastAsia="Calibri"/>
        </w:rPr>
        <w:t>re artificial chemical substances made to resemble the characteristics of proteins such as antibodies. The aptamer technology was a platform technology developed by Fujitsu in collaboration with Nagoya University of Japan under a grant from the New Energy and Industrial Technology Development Organization in 2002</w:t>
      </w:r>
      <w:r>
        <w:rPr>
          <w:rStyle w:val="FootnoteChar"/>
          <w:rFonts w:eastAsia="Calibri"/>
        </w:rPr>
        <w:t>–</w:t>
      </w:r>
      <w:r w:rsidRPr="004E45EB">
        <w:rPr>
          <w:rStyle w:val="FootnoteChar"/>
          <w:rFonts w:eastAsia="Calibri"/>
        </w:rPr>
        <w:t>2005.</w:t>
      </w:r>
    </w:p>
  </w:footnote>
  <w:footnote w:id="14">
    <w:p w14:paraId="0F23C809" w14:textId="3D3C8AE4" w:rsidR="00110982" w:rsidRPr="00B07732" w:rsidRDefault="00110982" w:rsidP="00E43C40">
      <w:pPr>
        <w:pStyle w:val="Footnote"/>
        <w:rPr>
          <w:highlight w:val="yellow"/>
        </w:rPr>
      </w:pPr>
      <w:r w:rsidRPr="00DF369D">
        <w:rPr>
          <w:rStyle w:val="FootnoteReference"/>
        </w:rPr>
        <w:footnoteRef/>
      </w:r>
      <w:r w:rsidRPr="001A0B8B">
        <w:t xml:space="preserve"> </w:t>
      </w:r>
      <w:r w:rsidRPr="004E45EB">
        <w:rPr>
          <w:rStyle w:val="FootnoteChar"/>
        </w:rPr>
        <w:t>A</w:t>
      </w:r>
      <w:r>
        <w:rPr>
          <w:rStyle w:val="FootnoteChar"/>
        </w:rPr>
        <w:t>gency for Science, Technology and Research (A*</w:t>
      </w:r>
      <w:r w:rsidRPr="004E45EB">
        <w:rPr>
          <w:rStyle w:val="FootnoteChar"/>
        </w:rPr>
        <w:t>STAR</w:t>
      </w:r>
      <w:r>
        <w:rPr>
          <w:rStyle w:val="FootnoteChar"/>
        </w:rPr>
        <w:t>)</w:t>
      </w:r>
      <w:r w:rsidRPr="004E45EB">
        <w:rPr>
          <w:rStyle w:val="FootnoteChar"/>
        </w:rPr>
        <w:t xml:space="preserve">, “Fujitsu Establishes </w:t>
      </w:r>
      <w:r>
        <w:rPr>
          <w:rStyle w:val="FootnoteChar"/>
        </w:rPr>
        <w:t>I</w:t>
      </w:r>
      <w:r w:rsidRPr="004E45EB">
        <w:rPr>
          <w:rStyle w:val="FootnoteChar"/>
        </w:rPr>
        <w:t>ts First Bio-</w:t>
      </w:r>
      <w:r>
        <w:rPr>
          <w:rStyle w:val="FootnoteChar"/>
        </w:rPr>
        <w:t>M</w:t>
      </w:r>
      <w:r w:rsidRPr="004E45EB">
        <w:rPr>
          <w:rStyle w:val="FootnoteChar"/>
        </w:rPr>
        <w:t>edical Research Laboratory in Singapore</w:t>
      </w:r>
      <w:r>
        <w:rPr>
          <w:rStyle w:val="FootnoteChar"/>
        </w:rPr>
        <w:t>,</w:t>
      </w:r>
      <w:r w:rsidRPr="004E45EB">
        <w:rPr>
          <w:rStyle w:val="FootnoteChar"/>
        </w:rPr>
        <w:t xml:space="preserve">” </w:t>
      </w:r>
      <w:r>
        <w:rPr>
          <w:rStyle w:val="FootnoteChar"/>
        </w:rPr>
        <w:t xml:space="preserve">press release, </w:t>
      </w:r>
      <w:r w:rsidRPr="004E45EB">
        <w:rPr>
          <w:rStyle w:val="FootnoteChar"/>
        </w:rPr>
        <w:t>May 19, 2010,</w:t>
      </w:r>
      <w:r>
        <w:rPr>
          <w:rStyle w:val="FootnoteChar"/>
        </w:rPr>
        <w:t xml:space="preserve"> accessed July 4, 2018,</w:t>
      </w:r>
      <w:r w:rsidRPr="004E45EB">
        <w:rPr>
          <w:rStyle w:val="FootnoteChar"/>
        </w:rPr>
        <w:t xml:space="preserve"> www.a-star.edu.sg/News-and-Events/News/Press-Releases/ID/1256/Fujitsu-Establishes-its-First-Bio-medical-Research-Laboratory-in-Singapore.aspx.</w:t>
      </w:r>
    </w:p>
  </w:footnote>
  <w:footnote w:id="15">
    <w:p w14:paraId="59D12D9F" w14:textId="77777777" w:rsidR="002E742C" w:rsidRPr="00B926DB" w:rsidRDefault="002E742C" w:rsidP="002E742C">
      <w:pPr>
        <w:pStyle w:val="Footnote"/>
        <w:rPr>
          <w:i/>
          <w:spacing w:val="-4"/>
        </w:rPr>
      </w:pPr>
      <w:r w:rsidRPr="00B926DB">
        <w:rPr>
          <w:rStyle w:val="FootnoteReference"/>
          <w:spacing w:val="-4"/>
        </w:rPr>
        <w:footnoteRef/>
      </w:r>
      <w:r w:rsidRPr="00B926DB">
        <w:rPr>
          <w:i/>
          <w:spacing w:val="-4"/>
        </w:rPr>
        <w:t xml:space="preserve"> </w:t>
      </w:r>
      <w:bookmarkStart w:id="2" w:name="_Hlk502960834"/>
      <w:r w:rsidRPr="00B926DB">
        <w:rPr>
          <w:rStyle w:val="FootnoteChar"/>
          <w:spacing w:val="-4"/>
        </w:rPr>
        <w:t>APTA Biosciences, “</w:t>
      </w:r>
      <w:proofErr w:type="spellStart"/>
      <w:r w:rsidRPr="00B926DB">
        <w:rPr>
          <w:rStyle w:val="FootnoteChar"/>
          <w:spacing w:val="-4"/>
        </w:rPr>
        <w:t>Dr</w:t>
      </w:r>
      <w:proofErr w:type="spellEnd"/>
      <w:r w:rsidRPr="00B926DB">
        <w:rPr>
          <w:rStyle w:val="FootnoteChar"/>
          <w:spacing w:val="-4"/>
        </w:rPr>
        <w:t xml:space="preserve"> </w:t>
      </w:r>
      <w:proofErr w:type="spellStart"/>
      <w:r w:rsidRPr="00B926DB">
        <w:rPr>
          <w:rStyle w:val="FootnoteChar"/>
          <w:spacing w:val="-4"/>
        </w:rPr>
        <w:t>Shozo</w:t>
      </w:r>
      <w:proofErr w:type="spellEnd"/>
      <w:r w:rsidRPr="00B926DB">
        <w:rPr>
          <w:rStyle w:val="FootnoteChar"/>
          <w:spacing w:val="-4"/>
        </w:rPr>
        <w:t xml:space="preserve"> Fujita,” accessed December 18, 2017, www.aptabiosciences.com/?lightbox=dataItem-itxenu15.</w:t>
      </w:r>
      <w:bookmarkEnd w:id="2"/>
    </w:p>
  </w:footnote>
  <w:footnote w:id="16">
    <w:p w14:paraId="095EC57D" w14:textId="44BA3E1B" w:rsidR="00110982" w:rsidRPr="009F3140" w:rsidRDefault="00110982" w:rsidP="00E43C40">
      <w:pPr>
        <w:pStyle w:val="Footnote"/>
        <w:rPr>
          <w:i/>
        </w:rPr>
      </w:pPr>
      <w:r w:rsidRPr="00DF369D">
        <w:rPr>
          <w:rStyle w:val="FootnoteReference"/>
        </w:rPr>
        <w:footnoteRef/>
      </w:r>
      <w:r w:rsidRPr="009F3140">
        <w:rPr>
          <w:i/>
        </w:rPr>
        <w:t xml:space="preserve"> </w:t>
      </w:r>
      <w:proofErr w:type="spellStart"/>
      <w:r w:rsidRPr="004E45EB">
        <w:rPr>
          <w:rStyle w:val="FootnoteChar"/>
          <w:rFonts w:eastAsia="Calibri"/>
        </w:rPr>
        <w:t>SwitchSENSE</w:t>
      </w:r>
      <w:proofErr w:type="spellEnd"/>
      <w:r w:rsidRPr="004E45EB">
        <w:rPr>
          <w:rStyle w:val="FootnoteChar"/>
          <w:rFonts w:eastAsia="Calibri"/>
        </w:rPr>
        <w:t xml:space="preserve"> was a protein detection technology </w:t>
      </w:r>
      <w:r>
        <w:rPr>
          <w:rStyle w:val="FootnoteChar"/>
          <w:rFonts w:eastAsia="Calibri"/>
        </w:rPr>
        <w:t>that used</w:t>
      </w:r>
      <w:r w:rsidRPr="004E45EB">
        <w:rPr>
          <w:rStyle w:val="FootnoteChar"/>
          <w:rFonts w:eastAsia="Calibri"/>
        </w:rPr>
        <w:t xml:space="preserve"> the artificially induced movement of DNA molecules as an indicator of protein presence.</w:t>
      </w:r>
    </w:p>
  </w:footnote>
  <w:footnote w:id="17">
    <w:p w14:paraId="3C0DCE99" w14:textId="6B2FEEDE" w:rsidR="00110982" w:rsidRDefault="00110982" w:rsidP="00E43C40">
      <w:pPr>
        <w:pStyle w:val="Footnote"/>
      </w:pPr>
      <w:r>
        <w:rPr>
          <w:rStyle w:val="FootnoteReference"/>
        </w:rPr>
        <w:footnoteRef/>
      </w:r>
      <w:r>
        <w:t xml:space="preserve"> Robert Jordas</w:t>
      </w:r>
      <w:r w:rsidRPr="00B24964">
        <w:t>, i</w:t>
      </w:r>
      <w:r w:rsidRPr="00B24964">
        <w:rPr>
          <w:rStyle w:val="FootnoteChar"/>
          <w:rFonts w:eastAsia="Calibri"/>
        </w:rPr>
        <w:t xml:space="preserve">nterview with case </w:t>
      </w:r>
      <w:r>
        <w:rPr>
          <w:rStyle w:val="FootnoteChar"/>
          <w:rFonts w:eastAsia="Calibri"/>
        </w:rPr>
        <w:t>authors, November 15</w:t>
      </w:r>
      <w:r w:rsidRPr="00B24964">
        <w:rPr>
          <w:rStyle w:val="FootnoteChar"/>
          <w:rFonts w:eastAsia="Calibri"/>
        </w:rPr>
        <w:t>, 2017.</w:t>
      </w:r>
    </w:p>
  </w:footnote>
  <w:footnote w:id="18">
    <w:p w14:paraId="600D4372" w14:textId="6EF004A1" w:rsidR="00110982" w:rsidRDefault="00110982" w:rsidP="00E43C40">
      <w:pPr>
        <w:pStyle w:val="Footnote"/>
      </w:pPr>
      <w:r>
        <w:rPr>
          <w:rStyle w:val="FootnoteReference"/>
        </w:rPr>
        <w:footnoteRef/>
      </w:r>
      <w:r>
        <w:t xml:space="preserve"> Ibid. </w:t>
      </w:r>
    </w:p>
  </w:footnote>
  <w:footnote w:id="19">
    <w:p w14:paraId="2E82DFC5" w14:textId="150EF55B" w:rsidR="00110982" w:rsidRPr="009F3140" w:rsidRDefault="00110982" w:rsidP="00E43C40">
      <w:pPr>
        <w:pStyle w:val="Footnote"/>
        <w:rPr>
          <w:i/>
        </w:rPr>
      </w:pPr>
      <w:r w:rsidRPr="00DF369D">
        <w:rPr>
          <w:rStyle w:val="FootnoteReference"/>
        </w:rPr>
        <w:footnoteRef/>
      </w:r>
      <w:r w:rsidRPr="009F3140">
        <w:rPr>
          <w:i/>
        </w:rPr>
        <w:t xml:space="preserve"> </w:t>
      </w:r>
      <w:r w:rsidRPr="00EB3E2C">
        <w:rPr>
          <w:rStyle w:val="FootnoteChar"/>
          <w:rFonts w:eastAsia="Calibri"/>
        </w:rPr>
        <w:t xml:space="preserve">Cyber-physical systems </w:t>
      </w:r>
      <w:r>
        <w:rPr>
          <w:rStyle w:val="FootnoteChar"/>
          <w:rFonts w:eastAsia="Calibri"/>
        </w:rPr>
        <w:t>were</w:t>
      </w:r>
      <w:r w:rsidRPr="00EB3E2C">
        <w:rPr>
          <w:rStyle w:val="FootnoteChar"/>
          <w:rFonts w:eastAsia="Calibri"/>
        </w:rPr>
        <w:t xml:space="preserve"> mechanisms controlled by computer-based algorithms and tightly integrated with the </w:t>
      </w:r>
      <w:r>
        <w:rPr>
          <w:rStyle w:val="FootnoteChar"/>
          <w:rFonts w:eastAsia="Calibri"/>
        </w:rPr>
        <w:t>I</w:t>
      </w:r>
      <w:r w:rsidRPr="00EB3E2C">
        <w:rPr>
          <w:rStyle w:val="FootnoteChar"/>
          <w:rFonts w:eastAsia="Calibri"/>
        </w:rPr>
        <w:t>nternet and its users.</w:t>
      </w:r>
    </w:p>
  </w:footnote>
  <w:footnote w:id="20">
    <w:p w14:paraId="11230D57" w14:textId="08EE91D9" w:rsidR="00110982" w:rsidRPr="00AE1F17" w:rsidRDefault="00110982" w:rsidP="00E43C40">
      <w:pPr>
        <w:pStyle w:val="FootnoteText"/>
        <w:jc w:val="both"/>
        <w:rPr>
          <w:rFonts w:ascii="Arial" w:hAnsi="Arial" w:cs="Arial"/>
          <w:sz w:val="17"/>
          <w:szCs w:val="17"/>
        </w:rPr>
      </w:pPr>
      <w:r w:rsidRPr="00AE1F17">
        <w:rPr>
          <w:rStyle w:val="FootnoteReference"/>
          <w:rFonts w:ascii="Arial" w:hAnsi="Arial" w:cs="Arial"/>
          <w:sz w:val="17"/>
          <w:szCs w:val="17"/>
        </w:rPr>
        <w:footnoteRef/>
      </w:r>
      <w:r w:rsidRPr="00AE1F17">
        <w:rPr>
          <w:rFonts w:ascii="Arial" w:hAnsi="Arial" w:cs="Arial"/>
          <w:sz w:val="17"/>
          <w:szCs w:val="17"/>
        </w:rPr>
        <w:t xml:space="preserve"> A thin client environment referred to a client-server environment where low-cost computing devices (</w:t>
      </w:r>
      <w:r>
        <w:rPr>
          <w:rFonts w:ascii="Arial" w:hAnsi="Arial" w:cs="Arial"/>
          <w:sz w:val="17"/>
          <w:szCs w:val="17"/>
        </w:rPr>
        <w:t xml:space="preserve">i.e., </w:t>
      </w:r>
      <w:r w:rsidRPr="00AE1F17">
        <w:rPr>
          <w:rFonts w:ascii="Arial" w:hAnsi="Arial" w:cs="Arial"/>
          <w:sz w:val="17"/>
          <w:szCs w:val="17"/>
        </w:rPr>
        <w:t xml:space="preserve">thin clients) </w:t>
      </w:r>
      <w:r>
        <w:rPr>
          <w:rFonts w:ascii="Arial" w:hAnsi="Arial" w:cs="Arial"/>
          <w:sz w:val="17"/>
          <w:szCs w:val="17"/>
        </w:rPr>
        <w:t>were</w:t>
      </w:r>
      <w:r w:rsidRPr="00AE1F17">
        <w:rPr>
          <w:rFonts w:ascii="Arial" w:hAnsi="Arial" w:cs="Arial"/>
          <w:sz w:val="17"/>
          <w:szCs w:val="17"/>
        </w:rPr>
        <w:t xml:space="preserve"> utilized to access network computer programs stored centrally in more powerful computers (servers).</w:t>
      </w:r>
    </w:p>
  </w:footnote>
  <w:footnote w:id="21">
    <w:p w14:paraId="18623749" w14:textId="77777777" w:rsidR="002E742C" w:rsidRPr="009F3140" w:rsidRDefault="002E742C" w:rsidP="002E742C">
      <w:pPr>
        <w:pStyle w:val="Footnote"/>
        <w:rPr>
          <w:i/>
        </w:rPr>
      </w:pPr>
      <w:r w:rsidRPr="00DF369D">
        <w:rPr>
          <w:rStyle w:val="FootnoteReference"/>
        </w:rPr>
        <w:footnoteRef/>
      </w:r>
      <w:r>
        <w:rPr>
          <w:rStyle w:val="FootnoteChar"/>
          <w:rFonts w:eastAsia="Calibri"/>
        </w:rPr>
        <w:t xml:space="preserve"> </w:t>
      </w:r>
      <w:r w:rsidRPr="004E45EB">
        <w:rPr>
          <w:rStyle w:val="FootnoteChar"/>
          <w:rFonts w:eastAsia="Calibri"/>
        </w:rPr>
        <w:t>Index Mundi, “Singapore – Agriculture</w:t>
      </w:r>
      <w:r>
        <w:rPr>
          <w:rStyle w:val="FootnoteChar"/>
          <w:rFonts w:eastAsia="Calibri"/>
        </w:rPr>
        <w:t>,</w:t>
      </w:r>
      <w:r w:rsidRPr="004E45EB">
        <w:rPr>
          <w:rStyle w:val="FootnoteChar"/>
          <w:rFonts w:eastAsia="Calibri"/>
        </w:rPr>
        <w:t xml:space="preserve">” accessed December 18, 2017, www.indexmundi.com/facts/singapore/agriculture. </w:t>
      </w:r>
      <w:r>
        <w:t xml:space="preserve">S$ = </w:t>
      </w:r>
      <w:r w:rsidRPr="004E45EB">
        <w:rPr>
          <w:rStyle w:val="FootnoteChar"/>
          <w:rFonts w:eastAsia="Calibri"/>
        </w:rPr>
        <w:t>SGD = Singapore dollar; S</w:t>
      </w:r>
      <w:r>
        <w:rPr>
          <w:rStyle w:val="FootnoteChar"/>
          <w:rFonts w:eastAsia="Calibri"/>
        </w:rPr>
        <w:t>$</w:t>
      </w:r>
      <w:r w:rsidRPr="004E45EB">
        <w:rPr>
          <w:rStyle w:val="FootnoteChar"/>
          <w:rFonts w:eastAsia="Calibri"/>
        </w:rPr>
        <w:t>1</w:t>
      </w:r>
      <w:r>
        <w:rPr>
          <w:rStyle w:val="FootnoteChar"/>
          <w:rFonts w:eastAsia="Calibri"/>
        </w:rPr>
        <w:t>.00</w:t>
      </w:r>
      <w:r w:rsidRPr="004E45EB">
        <w:rPr>
          <w:rStyle w:val="FootnoteChar"/>
          <w:rFonts w:eastAsia="Calibri"/>
        </w:rPr>
        <w:t xml:space="preserve"> = US$0.75 as of January 4, 2018.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C4D8" w14:textId="23286AE9" w:rsidR="00110982" w:rsidRPr="00C92CC4" w:rsidRDefault="0011098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67AF2">
      <w:rPr>
        <w:rFonts w:ascii="Arial" w:hAnsi="Arial"/>
        <w:b/>
        <w:noProof/>
      </w:rPr>
      <w:t>11</w:t>
    </w:r>
    <w:r>
      <w:rPr>
        <w:rFonts w:ascii="Arial" w:hAnsi="Arial"/>
        <w:b/>
      </w:rPr>
      <w:fldChar w:fldCharType="end"/>
    </w:r>
    <w:r>
      <w:rPr>
        <w:rFonts w:ascii="Arial" w:hAnsi="Arial"/>
        <w:b/>
      </w:rPr>
      <w:tab/>
    </w:r>
    <w:r w:rsidR="00E30CEE">
      <w:rPr>
        <w:rFonts w:ascii="Arial" w:hAnsi="Arial"/>
        <w:b/>
      </w:rPr>
      <w:t>9B18M137</w:t>
    </w:r>
  </w:p>
  <w:p w14:paraId="65BC71A0" w14:textId="77777777" w:rsidR="00110982" w:rsidRDefault="00110982" w:rsidP="00D13667">
    <w:pPr>
      <w:pStyle w:val="Header"/>
      <w:tabs>
        <w:tab w:val="clear" w:pos="4680"/>
      </w:tabs>
      <w:rPr>
        <w:sz w:val="18"/>
        <w:szCs w:val="18"/>
      </w:rPr>
    </w:pPr>
  </w:p>
  <w:p w14:paraId="095FFB31" w14:textId="77777777" w:rsidR="00110982" w:rsidRPr="00C92CC4" w:rsidRDefault="00110982"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5CA5"/>
    <w:rsid w:val="0005646B"/>
    <w:rsid w:val="000710CD"/>
    <w:rsid w:val="0008102D"/>
    <w:rsid w:val="00087C89"/>
    <w:rsid w:val="00094C0E"/>
    <w:rsid w:val="000A61D4"/>
    <w:rsid w:val="000A7754"/>
    <w:rsid w:val="000B004E"/>
    <w:rsid w:val="000B33DD"/>
    <w:rsid w:val="000D3813"/>
    <w:rsid w:val="000D7091"/>
    <w:rsid w:val="000F0C22"/>
    <w:rsid w:val="000F507A"/>
    <w:rsid w:val="000F6B09"/>
    <w:rsid w:val="000F6FDC"/>
    <w:rsid w:val="00104567"/>
    <w:rsid w:val="00104916"/>
    <w:rsid w:val="00104AA7"/>
    <w:rsid w:val="00104FBC"/>
    <w:rsid w:val="00110982"/>
    <w:rsid w:val="0011578B"/>
    <w:rsid w:val="001266C7"/>
    <w:rsid w:val="0012732D"/>
    <w:rsid w:val="00131104"/>
    <w:rsid w:val="0013528E"/>
    <w:rsid w:val="00137BAD"/>
    <w:rsid w:val="00143F25"/>
    <w:rsid w:val="00152682"/>
    <w:rsid w:val="00154FC9"/>
    <w:rsid w:val="001815F6"/>
    <w:rsid w:val="0019241A"/>
    <w:rsid w:val="00193E15"/>
    <w:rsid w:val="001A0B8B"/>
    <w:rsid w:val="001A22D1"/>
    <w:rsid w:val="001A752D"/>
    <w:rsid w:val="001A757E"/>
    <w:rsid w:val="001A7643"/>
    <w:rsid w:val="001B28A0"/>
    <w:rsid w:val="001B5032"/>
    <w:rsid w:val="001C7777"/>
    <w:rsid w:val="001D09CF"/>
    <w:rsid w:val="001D5170"/>
    <w:rsid w:val="001E0B98"/>
    <w:rsid w:val="001E364F"/>
    <w:rsid w:val="001F4222"/>
    <w:rsid w:val="0020128E"/>
    <w:rsid w:val="00203AA1"/>
    <w:rsid w:val="0021241B"/>
    <w:rsid w:val="00213E98"/>
    <w:rsid w:val="0021545C"/>
    <w:rsid w:val="0023081A"/>
    <w:rsid w:val="002535A7"/>
    <w:rsid w:val="002628EA"/>
    <w:rsid w:val="002A3C69"/>
    <w:rsid w:val="002C199B"/>
    <w:rsid w:val="002C3ED5"/>
    <w:rsid w:val="002D69CF"/>
    <w:rsid w:val="002E742C"/>
    <w:rsid w:val="002F19F0"/>
    <w:rsid w:val="002F226E"/>
    <w:rsid w:val="002F460C"/>
    <w:rsid w:val="002F48D6"/>
    <w:rsid w:val="00317391"/>
    <w:rsid w:val="003222C6"/>
    <w:rsid w:val="00325E1E"/>
    <w:rsid w:val="00326216"/>
    <w:rsid w:val="00336580"/>
    <w:rsid w:val="003370D9"/>
    <w:rsid w:val="0034200B"/>
    <w:rsid w:val="00343E7F"/>
    <w:rsid w:val="00351AA4"/>
    <w:rsid w:val="00354899"/>
    <w:rsid w:val="00355FD6"/>
    <w:rsid w:val="00357B2D"/>
    <w:rsid w:val="00364A5C"/>
    <w:rsid w:val="00373FB1"/>
    <w:rsid w:val="003828C1"/>
    <w:rsid w:val="003831A8"/>
    <w:rsid w:val="00396C76"/>
    <w:rsid w:val="003B30D8"/>
    <w:rsid w:val="003B7640"/>
    <w:rsid w:val="003B7EF2"/>
    <w:rsid w:val="003C3FA4"/>
    <w:rsid w:val="003D0BA1"/>
    <w:rsid w:val="003D53CF"/>
    <w:rsid w:val="003D5F45"/>
    <w:rsid w:val="003F072A"/>
    <w:rsid w:val="003F2B0C"/>
    <w:rsid w:val="004105B2"/>
    <w:rsid w:val="00412900"/>
    <w:rsid w:val="00413A3B"/>
    <w:rsid w:val="004221E4"/>
    <w:rsid w:val="004273F8"/>
    <w:rsid w:val="004355A3"/>
    <w:rsid w:val="00446546"/>
    <w:rsid w:val="00452769"/>
    <w:rsid w:val="00465348"/>
    <w:rsid w:val="00467B92"/>
    <w:rsid w:val="004728FA"/>
    <w:rsid w:val="004B1CCB"/>
    <w:rsid w:val="004B632F"/>
    <w:rsid w:val="004C3447"/>
    <w:rsid w:val="004D3FB1"/>
    <w:rsid w:val="004D6F21"/>
    <w:rsid w:val="004D73A5"/>
    <w:rsid w:val="004D7D62"/>
    <w:rsid w:val="004E45EB"/>
    <w:rsid w:val="004F47FC"/>
    <w:rsid w:val="00502819"/>
    <w:rsid w:val="005160F1"/>
    <w:rsid w:val="00524F2F"/>
    <w:rsid w:val="00527E5C"/>
    <w:rsid w:val="00531179"/>
    <w:rsid w:val="00532CF5"/>
    <w:rsid w:val="005447F9"/>
    <w:rsid w:val="00546269"/>
    <w:rsid w:val="005528CB"/>
    <w:rsid w:val="00557E24"/>
    <w:rsid w:val="00557F4C"/>
    <w:rsid w:val="00566771"/>
    <w:rsid w:val="00570115"/>
    <w:rsid w:val="00581E2E"/>
    <w:rsid w:val="00584444"/>
    <w:rsid w:val="00584F15"/>
    <w:rsid w:val="00587722"/>
    <w:rsid w:val="0059514B"/>
    <w:rsid w:val="005A0013"/>
    <w:rsid w:val="005A1B0F"/>
    <w:rsid w:val="005A62FB"/>
    <w:rsid w:val="005B4FA2"/>
    <w:rsid w:val="005B618A"/>
    <w:rsid w:val="005C2494"/>
    <w:rsid w:val="005C5ECB"/>
    <w:rsid w:val="005E406D"/>
    <w:rsid w:val="005F3886"/>
    <w:rsid w:val="0060082E"/>
    <w:rsid w:val="0061143D"/>
    <w:rsid w:val="006163F7"/>
    <w:rsid w:val="00622320"/>
    <w:rsid w:val="00626760"/>
    <w:rsid w:val="00627C63"/>
    <w:rsid w:val="0063065C"/>
    <w:rsid w:val="0063350B"/>
    <w:rsid w:val="00642D6D"/>
    <w:rsid w:val="00652606"/>
    <w:rsid w:val="006577C3"/>
    <w:rsid w:val="006645CE"/>
    <w:rsid w:val="006946EE"/>
    <w:rsid w:val="006A58A9"/>
    <w:rsid w:val="006A606D"/>
    <w:rsid w:val="006B1886"/>
    <w:rsid w:val="006C0371"/>
    <w:rsid w:val="006C08B6"/>
    <w:rsid w:val="006C0B1A"/>
    <w:rsid w:val="006C6065"/>
    <w:rsid w:val="006C7F9F"/>
    <w:rsid w:val="006E2F6D"/>
    <w:rsid w:val="006E58F6"/>
    <w:rsid w:val="006E67A9"/>
    <w:rsid w:val="006E77E1"/>
    <w:rsid w:val="006F131D"/>
    <w:rsid w:val="006F64B8"/>
    <w:rsid w:val="00702736"/>
    <w:rsid w:val="00707552"/>
    <w:rsid w:val="0071114A"/>
    <w:rsid w:val="00711642"/>
    <w:rsid w:val="00725872"/>
    <w:rsid w:val="00727C1B"/>
    <w:rsid w:val="007413E7"/>
    <w:rsid w:val="00743977"/>
    <w:rsid w:val="00744DF9"/>
    <w:rsid w:val="007507C6"/>
    <w:rsid w:val="00751E0B"/>
    <w:rsid w:val="00752BCD"/>
    <w:rsid w:val="00754664"/>
    <w:rsid w:val="00766DA1"/>
    <w:rsid w:val="00767AF2"/>
    <w:rsid w:val="007714AE"/>
    <w:rsid w:val="00772A99"/>
    <w:rsid w:val="007808F0"/>
    <w:rsid w:val="00780D94"/>
    <w:rsid w:val="007866A6"/>
    <w:rsid w:val="00791239"/>
    <w:rsid w:val="007A130D"/>
    <w:rsid w:val="007A629C"/>
    <w:rsid w:val="007D1A2D"/>
    <w:rsid w:val="007D39D6"/>
    <w:rsid w:val="007D4102"/>
    <w:rsid w:val="007E51E7"/>
    <w:rsid w:val="007F43B7"/>
    <w:rsid w:val="007F63AA"/>
    <w:rsid w:val="00813D25"/>
    <w:rsid w:val="00821FFC"/>
    <w:rsid w:val="008271CA"/>
    <w:rsid w:val="00834181"/>
    <w:rsid w:val="0084525B"/>
    <w:rsid w:val="008467D5"/>
    <w:rsid w:val="00881FBB"/>
    <w:rsid w:val="00887A48"/>
    <w:rsid w:val="00892EA8"/>
    <w:rsid w:val="008A2FD5"/>
    <w:rsid w:val="008A381D"/>
    <w:rsid w:val="008A4DC4"/>
    <w:rsid w:val="008B438C"/>
    <w:rsid w:val="008C4164"/>
    <w:rsid w:val="008D06CA"/>
    <w:rsid w:val="008D3A46"/>
    <w:rsid w:val="008E5C54"/>
    <w:rsid w:val="008F5F7B"/>
    <w:rsid w:val="009067A4"/>
    <w:rsid w:val="00922282"/>
    <w:rsid w:val="00930885"/>
    <w:rsid w:val="00932531"/>
    <w:rsid w:val="00933D68"/>
    <w:rsid w:val="009340DB"/>
    <w:rsid w:val="00935094"/>
    <w:rsid w:val="009454A2"/>
    <w:rsid w:val="0094618C"/>
    <w:rsid w:val="00953B82"/>
    <w:rsid w:val="0095614D"/>
    <w:rsid w:val="0095684B"/>
    <w:rsid w:val="0096457B"/>
    <w:rsid w:val="00972498"/>
    <w:rsid w:val="0097481F"/>
    <w:rsid w:val="00974CC6"/>
    <w:rsid w:val="00976AD4"/>
    <w:rsid w:val="00976B89"/>
    <w:rsid w:val="0098455F"/>
    <w:rsid w:val="00995547"/>
    <w:rsid w:val="009A312F"/>
    <w:rsid w:val="009A5348"/>
    <w:rsid w:val="009B045F"/>
    <w:rsid w:val="009B0AB7"/>
    <w:rsid w:val="009C2DBA"/>
    <w:rsid w:val="009C76D5"/>
    <w:rsid w:val="009E1D4C"/>
    <w:rsid w:val="009E3315"/>
    <w:rsid w:val="009F2F64"/>
    <w:rsid w:val="009F5DB1"/>
    <w:rsid w:val="009F7AA4"/>
    <w:rsid w:val="00A10AD7"/>
    <w:rsid w:val="00A4260E"/>
    <w:rsid w:val="00A531D8"/>
    <w:rsid w:val="00A559DB"/>
    <w:rsid w:val="00A569EA"/>
    <w:rsid w:val="00A62BA2"/>
    <w:rsid w:val="00A96D46"/>
    <w:rsid w:val="00A97BBF"/>
    <w:rsid w:val="00AA4711"/>
    <w:rsid w:val="00AA5F4F"/>
    <w:rsid w:val="00AB164B"/>
    <w:rsid w:val="00AD28D5"/>
    <w:rsid w:val="00AD3822"/>
    <w:rsid w:val="00AE1F17"/>
    <w:rsid w:val="00AE58F4"/>
    <w:rsid w:val="00AF35FC"/>
    <w:rsid w:val="00AF5556"/>
    <w:rsid w:val="00B03639"/>
    <w:rsid w:val="00B0652A"/>
    <w:rsid w:val="00B21C7F"/>
    <w:rsid w:val="00B245B7"/>
    <w:rsid w:val="00B24964"/>
    <w:rsid w:val="00B40937"/>
    <w:rsid w:val="00B423EF"/>
    <w:rsid w:val="00B453DE"/>
    <w:rsid w:val="00B72597"/>
    <w:rsid w:val="00B72F0F"/>
    <w:rsid w:val="00B901F9"/>
    <w:rsid w:val="00B92431"/>
    <w:rsid w:val="00B926DB"/>
    <w:rsid w:val="00BC0AF0"/>
    <w:rsid w:val="00BC2AFF"/>
    <w:rsid w:val="00BD6EFB"/>
    <w:rsid w:val="00BE4F69"/>
    <w:rsid w:val="00C07166"/>
    <w:rsid w:val="00C106E9"/>
    <w:rsid w:val="00C1584D"/>
    <w:rsid w:val="00C15BE2"/>
    <w:rsid w:val="00C17605"/>
    <w:rsid w:val="00C20D76"/>
    <w:rsid w:val="00C33334"/>
    <w:rsid w:val="00C3447F"/>
    <w:rsid w:val="00C45815"/>
    <w:rsid w:val="00C54084"/>
    <w:rsid w:val="00C55111"/>
    <w:rsid w:val="00C67102"/>
    <w:rsid w:val="00C71AB2"/>
    <w:rsid w:val="00C81491"/>
    <w:rsid w:val="00C81676"/>
    <w:rsid w:val="00C85C5D"/>
    <w:rsid w:val="00C92CC4"/>
    <w:rsid w:val="00CA0AFB"/>
    <w:rsid w:val="00CA29E3"/>
    <w:rsid w:val="00CA2CE1"/>
    <w:rsid w:val="00CA3976"/>
    <w:rsid w:val="00CA50E3"/>
    <w:rsid w:val="00CA757B"/>
    <w:rsid w:val="00CC1787"/>
    <w:rsid w:val="00CC182C"/>
    <w:rsid w:val="00CC4602"/>
    <w:rsid w:val="00CD0824"/>
    <w:rsid w:val="00CD0D70"/>
    <w:rsid w:val="00CD2908"/>
    <w:rsid w:val="00D03A82"/>
    <w:rsid w:val="00D13667"/>
    <w:rsid w:val="00D14537"/>
    <w:rsid w:val="00D15344"/>
    <w:rsid w:val="00D23F57"/>
    <w:rsid w:val="00D3031D"/>
    <w:rsid w:val="00D318D7"/>
    <w:rsid w:val="00D31BEC"/>
    <w:rsid w:val="00D31EEA"/>
    <w:rsid w:val="00D3699E"/>
    <w:rsid w:val="00D40682"/>
    <w:rsid w:val="00D44A34"/>
    <w:rsid w:val="00D54595"/>
    <w:rsid w:val="00D63150"/>
    <w:rsid w:val="00D636BA"/>
    <w:rsid w:val="00D64A32"/>
    <w:rsid w:val="00D64D4A"/>
    <w:rsid w:val="00D64EFC"/>
    <w:rsid w:val="00D7231B"/>
    <w:rsid w:val="00D73417"/>
    <w:rsid w:val="00D75295"/>
    <w:rsid w:val="00D76CE9"/>
    <w:rsid w:val="00D85807"/>
    <w:rsid w:val="00D97F12"/>
    <w:rsid w:val="00DA6095"/>
    <w:rsid w:val="00DB2ED1"/>
    <w:rsid w:val="00DB42E7"/>
    <w:rsid w:val="00DC69E6"/>
    <w:rsid w:val="00DD76EA"/>
    <w:rsid w:val="00DE01A6"/>
    <w:rsid w:val="00DE0765"/>
    <w:rsid w:val="00DE7A98"/>
    <w:rsid w:val="00DF32C2"/>
    <w:rsid w:val="00DF369D"/>
    <w:rsid w:val="00DF5E4A"/>
    <w:rsid w:val="00DF722C"/>
    <w:rsid w:val="00E04206"/>
    <w:rsid w:val="00E30CEE"/>
    <w:rsid w:val="00E43C40"/>
    <w:rsid w:val="00E471A7"/>
    <w:rsid w:val="00E51D6F"/>
    <w:rsid w:val="00E635CF"/>
    <w:rsid w:val="00E63890"/>
    <w:rsid w:val="00E86448"/>
    <w:rsid w:val="00E90233"/>
    <w:rsid w:val="00EA0B5A"/>
    <w:rsid w:val="00EA6E48"/>
    <w:rsid w:val="00EB3E2C"/>
    <w:rsid w:val="00EC6E0A"/>
    <w:rsid w:val="00ED4E18"/>
    <w:rsid w:val="00EE1F37"/>
    <w:rsid w:val="00F0159C"/>
    <w:rsid w:val="00F01AB1"/>
    <w:rsid w:val="00F06145"/>
    <w:rsid w:val="00F105B7"/>
    <w:rsid w:val="00F13220"/>
    <w:rsid w:val="00F17A21"/>
    <w:rsid w:val="00F30EFF"/>
    <w:rsid w:val="00F34675"/>
    <w:rsid w:val="00F37B27"/>
    <w:rsid w:val="00F46556"/>
    <w:rsid w:val="00F50E91"/>
    <w:rsid w:val="00F5145A"/>
    <w:rsid w:val="00F57D29"/>
    <w:rsid w:val="00F612A5"/>
    <w:rsid w:val="00F71B2E"/>
    <w:rsid w:val="00F86AD5"/>
    <w:rsid w:val="00F9350A"/>
    <w:rsid w:val="00F96201"/>
    <w:rsid w:val="00FA1CDE"/>
    <w:rsid w:val="00FC0693"/>
    <w:rsid w:val="00FD0B18"/>
    <w:rsid w:val="00FD2FAD"/>
    <w:rsid w:val="00FE714F"/>
    <w:rsid w:val="00FF0E22"/>
    <w:rsid w:val="00FF1040"/>
    <w:rsid w:val="00FF45DA"/>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3C1AC30"/>
  <w15:docId w15:val="{700EDA83-AF89-4AA2-BD02-87A5C7E2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DF369D"/>
    <w:rPr>
      <w:vertAlign w:val="superscript"/>
    </w:rPr>
  </w:style>
  <w:style w:type="paragraph" w:customStyle="1" w:styleId="Footnote">
    <w:name w:val="Footnote"/>
    <w:basedOn w:val="FootnoteText"/>
    <w:link w:val="FootnoteChar"/>
    <w:qFormat/>
    <w:rsid w:val="00DF369D"/>
    <w:pPr>
      <w:jc w:val="both"/>
    </w:pPr>
    <w:rPr>
      <w:rFonts w:ascii="Arial" w:hAnsi="Arial" w:cs="Arial"/>
      <w:sz w:val="17"/>
      <w:szCs w:val="17"/>
    </w:rPr>
  </w:style>
  <w:style w:type="character" w:customStyle="1" w:styleId="FootnoteChar">
    <w:name w:val="Footnote Char"/>
    <w:basedOn w:val="FootnoteTextChar"/>
    <w:link w:val="Footnote"/>
    <w:rsid w:val="00DF369D"/>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Normal1">
    <w:name w:val="Normal1"/>
    <w:rsid w:val="00DF722C"/>
    <w:pPr>
      <w:pBdr>
        <w:top w:val="nil"/>
        <w:left w:val="nil"/>
        <w:bottom w:val="nil"/>
        <w:right w:val="nil"/>
        <w:between w:val="nil"/>
      </w:pBdr>
      <w:spacing w:after="0" w:line="240" w:lineRule="auto"/>
    </w:pPr>
    <w:rPr>
      <w:rFonts w:ascii="Calibri" w:eastAsia="Calibri" w:hAnsi="Calibri" w:cs="Calibri"/>
      <w:color w:val="000000"/>
      <w:sz w:val="24"/>
      <w:szCs w:val="24"/>
    </w:rPr>
  </w:style>
  <w:style w:type="table" w:customStyle="1" w:styleId="TableGrid1">
    <w:name w:val="Table Grid1"/>
    <w:basedOn w:val="TableNormal"/>
    <w:next w:val="TableGrid"/>
    <w:uiPriority w:val="59"/>
    <w:rsid w:val="005B4FA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09651">
      <w:bodyDiv w:val="1"/>
      <w:marLeft w:val="0"/>
      <w:marRight w:val="0"/>
      <w:marTop w:val="0"/>
      <w:marBottom w:val="0"/>
      <w:divBdr>
        <w:top w:val="none" w:sz="0" w:space="0" w:color="auto"/>
        <w:left w:val="none" w:sz="0" w:space="0" w:color="auto"/>
        <w:bottom w:val="none" w:sz="0" w:space="0" w:color="auto"/>
        <w:right w:val="none" w:sz="0" w:space="0" w:color="auto"/>
      </w:divBdr>
    </w:div>
    <w:div w:id="620457556">
      <w:bodyDiv w:val="1"/>
      <w:marLeft w:val="0"/>
      <w:marRight w:val="0"/>
      <w:marTop w:val="0"/>
      <w:marBottom w:val="0"/>
      <w:divBdr>
        <w:top w:val="none" w:sz="0" w:space="0" w:color="auto"/>
        <w:left w:val="none" w:sz="0" w:space="0" w:color="auto"/>
        <w:bottom w:val="none" w:sz="0" w:space="0" w:color="auto"/>
        <w:right w:val="none" w:sz="0" w:space="0" w:color="auto"/>
      </w:divBdr>
    </w:div>
    <w:div w:id="1041595918">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6839377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6969311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B246830-AD5E-46D5-B1F7-1CFE5709F8C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D64527D-CB68-493A-94EF-3A0D0B00FFD4}">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FCE61-E57A-446D-A1D6-1F32453B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5645</Words>
  <Characters>32181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2018-09-11T13:48:00Z</cp:lastPrinted>
  <dcterms:created xsi:type="dcterms:W3CDTF">2018-09-12T17:15:00Z</dcterms:created>
  <dcterms:modified xsi:type="dcterms:W3CDTF">2018-09-13T20:35:00Z</dcterms:modified>
</cp:coreProperties>
</file>