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13FD0" w14:textId="77777777" w:rsidR="00E077B5" w:rsidRPr="000A6DB5" w:rsidRDefault="00E077B5" w:rsidP="00E077B5">
      <w:pPr>
        <w:pBdr>
          <w:bottom w:val="single" w:sz="18" w:space="1" w:color="auto"/>
        </w:pBdr>
        <w:tabs>
          <w:tab w:val="left" w:pos="-1440"/>
          <w:tab w:val="left" w:pos="-720"/>
          <w:tab w:val="left" w:pos="1"/>
        </w:tabs>
        <w:jc w:val="both"/>
        <w:rPr>
          <w:rFonts w:ascii="Arial" w:hAnsi="Arial"/>
          <w:b/>
          <w:sz w:val="24"/>
          <w:lang w:val="en-GB"/>
        </w:rPr>
      </w:pPr>
      <w:r w:rsidRPr="000A6DB5">
        <w:rPr>
          <w:rFonts w:ascii="Arial" w:hAnsi="Arial"/>
          <w:b/>
          <w:noProof/>
          <w:sz w:val="24"/>
        </w:rPr>
        <w:drawing>
          <wp:inline distT="0" distB="0" distL="0" distR="0" wp14:anchorId="3E2B7284" wp14:editId="23D5135D">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58A1A9B" w14:textId="194CF435" w:rsidR="00E077B5" w:rsidRPr="000A6DB5" w:rsidRDefault="00850BC2" w:rsidP="00E077B5">
      <w:pPr>
        <w:pStyle w:val="ProductNumber"/>
        <w:rPr>
          <w:lang w:val="en-GB"/>
        </w:rPr>
      </w:pPr>
      <w:r>
        <w:rPr>
          <w:lang w:val="en-GB"/>
        </w:rPr>
        <w:t>9B18M145</w:t>
      </w:r>
    </w:p>
    <w:p w14:paraId="4E057522" w14:textId="77777777" w:rsidR="00D75295" w:rsidRPr="000A6DB5" w:rsidRDefault="00D75295" w:rsidP="00D75295">
      <w:pPr>
        <w:jc w:val="right"/>
        <w:rPr>
          <w:rFonts w:ascii="Arial" w:hAnsi="Arial"/>
          <w:b/>
          <w:sz w:val="28"/>
          <w:szCs w:val="28"/>
          <w:lang w:val="en-GB"/>
        </w:rPr>
      </w:pPr>
    </w:p>
    <w:p w14:paraId="426B7211" w14:textId="77777777" w:rsidR="00013360" w:rsidRPr="000A6DB5" w:rsidRDefault="00013360" w:rsidP="00D75295">
      <w:pPr>
        <w:jc w:val="right"/>
        <w:rPr>
          <w:rFonts w:ascii="Arial" w:hAnsi="Arial"/>
          <w:b/>
          <w:sz w:val="28"/>
          <w:szCs w:val="28"/>
          <w:lang w:val="en-GB"/>
        </w:rPr>
      </w:pPr>
    </w:p>
    <w:p w14:paraId="2F03D26A" w14:textId="325D29BD" w:rsidR="00013360" w:rsidRPr="000A6DB5" w:rsidRDefault="007E3D82" w:rsidP="00F043D1">
      <w:pPr>
        <w:pStyle w:val="CaseTitle"/>
        <w:spacing w:after="0" w:line="240" w:lineRule="auto"/>
        <w:outlineLvl w:val="0"/>
        <w:rPr>
          <w:sz w:val="20"/>
          <w:szCs w:val="20"/>
          <w:lang w:val="en-GB"/>
        </w:rPr>
      </w:pPr>
      <w:r w:rsidRPr="000A6DB5">
        <w:rPr>
          <w:rFonts w:eastAsia="Arial"/>
          <w:lang w:val="en-GB"/>
        </w:rPr>
        <w:t>BALAJI WAFERS: TAKING THE PEPSI CHALLENGE</w:t>
      </w:r>
      <w:r w:rsidR="00E73AC6">
        <w:rPr>
          <w:rStyle w:val="EndnoteReference"/>
          <w:rFonts w:eastAsia="Arial"/>
          <w:lang w:val="en-GB"/>
        </w:rPr>
        <w:endnoteReference w:id="1"/>
      </w:r>
    </w:p>
    <w:p w14:paraId="40ABF6FD" w14:textId="77777777" w:rsidR="00CA3976" w:rsidRPr="000A6DB5" w:rsidRDefault="00CA3976" w:rsidP="00013360">
      <w:pPr>
        <w:pStyle w:val="CaseTitle"/>
        <w:spacing w:after="0" w:line="240" w:lineRule="auto"/>
        <w:rPr>
          <w:sz w:val="20"/>
          <w:szCs w:val="20"/>
          <w:lang w:val="en-GB"/>
        </w:rPr>
      </w:pPr>
    </w:p>
    <w:p w14:paraId="202F1085" w14:textId="77777777" w:rsidR="00013360" w:rsidRPr="000A6DB5" w:rsidRDefault="00013360" w:rsidP="00013360">
      <w:pPr>
        <w:pStyle w:val="CaseTitle"/>
        <w:spacing w:after="0" w:line="240" w:lineRule="auto"/>
        <w:rPr>
          <w:sz w:val="20"/>
          <w:szCs w:val="20"/>
          <w:lang w:val="en-GB"/>
        </w:rPr>
      </w:pPr>
    </w:p>
    <w:p w14:paraId="58B0C73F" w14:textId="075C8B39" w:rsidR="00086B26" w:rsidRPr="000A6DB5" w:rsidRDefault="007E3D82" w:rsidP="00086B26">
      <w:pPr>
        <w:pStyle w:val="StyleCopyrightStatementAfter0ptBottomSinglesolidline1"/>
        <w:rPr>
          <w:lang w:val="en-GB"/>
        </w:rPr>
      </w:pPr>
      <w:r w:rsidRPr="00E73AC6">
        <w:rPr>
          <w:rFonts w:cs="Arial"/>
          <w:szCs w:val="16"/>
          <w:lang w:val="en-GB"/>
        </w:rPr>
        <w:t>Rajiv Agarwal and Ashita Aggarwal</w:t>
      </w:r>
      <w:r w:rsidR="00ED7922" w:rsidRPr="000A6DB5">
        <w:rPr>
          <w:rFonts w:cs="Arial"/>
          <w:szCs w:val="16"/>
          <w:lang w:val="en-GB"/>
        </w:rPr>
        <w:t xml:space="preserve"> </w:t>
      </w:r>
      <w:r w:rsidR="00086B26" w:rsidRPr="000A6DB5">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A6DB5" w:rsidRDefault="00086B26" w:rsidP="00086B26">
      <w:pPr>
        <w:pStyle w:val="StyleCopyrightStatementAfter0ptBottomSinglesolidline1"/>
        <w:rPr>
          <w:lang w:val="en-GB"/>
        </w:rPr>
      </w:pPr>
    </w:p>
    <w:p w14:paraId="0EBD034C" w14:textId="77777777" w:rsidR="00E077B5" w:rsidRPr="000A6DB5" w:rsidRDefault="00E077B5" w:rsidP="00E077B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0A6DB5">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A6DB5">
          <w:rPr>
            <w:rFonts w:ascii="Arial" w:hAnsi="Arial"/>
            <w:i/>
            <w:iCs/>
            <w:color w:val="000000"/>
            <w:sz w:val="16"/>
            <w:lang w:val="en-GB"/>
          </w:rPr>
          <w:t>cases@ivey.ca</w:t>
        </w:r>
      </w:hyperlink>
      <w:r w:rsidRPr="000A6DB5">
        <w:rPr>
          <w:rFonts w:ascii="Arial" w:hAnsi="Arial"/>
          <w:i/>
          <w:iCs/>
          <w:color w:val="000000"/>
          <w:sz w:val="16"/>
          <w:lang w:val="en-GB"/>
        </w:rPr>
        <w:t xml:space="preserve">; </w:t>
      </w:r>
      <w:hyperlink r:id="rId10" w:history="1">
        <w:r w:rsidRPr="000A6DB5">
          <w:rPr>
            <w:rFonts w:ascii="Arial" w:hAnsi="Arial"/>
            <w:i/>
            <w:iCs/>
            <w:color w:val="000000"/>
            <w:sz w:val="16"/>
            <w:lang w:val="en-GB"/>
          </w:rPr>
          <w:t>www.iveycases.com</w:t>
        </w:r>
      </w:hyperlink>
      <w:r w:rsidRPr="000A6DB5">
        <w:rPr>
          <w:rFonts w:ascii="Arial" w:hAnsi="Arial"/>
          <w:i/>
          <w:iCs/>
          <w:color w:val="000000"/>
          <w:sz w:val="16"/>
          <w:lang w:val="en-GB"/>
        </w:rPr>
        <w:t>.</w:t>
      </w:r>
    </w:p>
    <w:p w14:paraId="043420AD" w14:textId="77777777" w:rsidR="00E077B5" w:rsidRPr="000A6DB5" w:rsidRDefault="00E077B5" w:rsidP="00E077B5">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3922E14F" w14:textId="7E5FC184" w:rsidR="00751E0B" w:rsidRPr="000A6DB5" w:rsidRDefault="00E077B5" w:rsidP="00E077B5">
      <w:pPr>
        <w:pStyle w:val="StyleStyleCopyrightStatementAfter0ptBottomSinglesolid"/>
        <w:outlineLvl w:val="0"/>
        <w:rPr>
          <w:rFonts w:cs="Arial"/>
          <w:szCs w:val="16"/>
          <w:lang w:val="en-GB"/>
        </w:rPr>
      </w:pPr>
      <w:r w:rsidRPr="000A6DB5">
        <w:rPr>
          <w:rFonts w:cs="Arial"/>
          <w:iCs w:val="0"/>
          <w:color w:val="auto"/>
          <w:szCs w:val="16"/>
          <w:lang w:val="en-GB"/>
        </w:rPr>
        <w:t>Copyright © 2018, Ivey Business School Foundation</w:t>
      </w:r>
      <w:r w:rsidRPr="000A6DB5">
        <w:rPr>
          <w:rFonts w:cs="Arial"/>
          <w:iCs w:val="0"/>
          <w:color w:val="auto"/>
          <w:szCs w:val="16"/>
          <w:lang w:val="en-GB"/>
        </w:rPr>
        <w:tab/>
        <w:t>Version: 2018-</w:t>
      </w:r>
      <w:r w:rsidR="008755C6">
        <w:rPr>
          <w:rFonts w:cs="Arial"/>
          <w:iCs w:val="0"/>
          <w:color w:val="auto"/>
          <w:szCs w:val="16"/>
          <w:lang w:val="en-GB"/>
        </w:rPr>
        <w:t>10-01</w:t>
      </w:r>
    </w:p>
    <w:p w14:paraId="0A2A54E4" w14:textId="77777777" w:rsidR="00751E0B" w:rsidRPr="000A6DB5" w:rsidRDefault="00751E0B" w:rsidP="00751E0B">
      <w:pPr>
        <w:pStyle w:val="StyleCopyrightStatementAfter0ptBottomSinglesolidline1"/>
        <w:rPr>
          <w:rFonts w:ascii="Times New Roman" w:hAnsi="Times New Roman"/>
          <w:sz w:val="20"/>
          <w:lang w:val="en-GB"/>
        </w:rPr>
      </w:pPr>
    </w:p>
    <w:p w14:paraId="1507635B" w14:textId="77777777" w:rsidR="004B632F" w:rsidRPr="000A6DB5" w:rsidRDefault="004B632F" w:rsidP="004B632F">
      <w:pPr>
        <w:pStyle w:val="StyleCopyrightStatementAfter0ptBottomSinglesolidline1"/>
        <w:rPr>
          <w:rFonts w:ascii="Times New Roman" w:hAnsi="Times New Roman"/>
          <w:sz w:val="20"/>
          <w:lang w:val="en-GB"/>
        </w:rPr>
      </w:pPr>
    </w:p>
    <w:p w14:paraId="522B9CCF" w14:textId="4327F2D9" w:rsidR="00E73AC6" w:rsidRPr="000A6DB5" w:rsidRDefault="007E3D82" w:rsidP="00394F79">
      <w:pPr>
        <w:pStyle w:val="BodyTextMain"/>
        <w:rPr>
          <w:lang w:val="en-GB"/>
        </w:rPr>
      </w:pPr>
      <w:r w:rsidRPr="000A6DB5">
        <w:rPr>
          <w:lang w:val="en-GB"/>
        </w:rPr>
        <w:t xml:space="preserve">In September 2017, </w:t>
      </w:r>
      <w:r w:rsidR="00BC7A5E">
        <w:rPr>
          <w:lang w:val="en-GB"/>
        </w:rPr>
        <w:t>the</w:t>
      </w:r>
      <w:r w:rsidR="00BC7A5E" w:rsidRPr="000A6DB5">
        <w:rPr>
          <w:lang w:val="en-GB"/>
        </w:rPr>
        <w:t xml:space="preserve"> </w:t>
      </w:r>
      <w:r w:rsidRPr="000A6DB5">
        <w:rPr>
          <w:i/>
          <w:lang w:val="en-GB"/>
        </w:rPr>
        <w:t>Economic Times</w:t>
      </w:r>
      <w:r w:rsidRPr="000A6DB5">
        <w:rPr>
          <w:lang w:val="en-GB"/>
        </w:rPr>
        <w:t xml:space="preserve"> stated that Gujarat</w:t>
      </w:r>
      <w:r w:rsidR="00F31315" w:rsidRPr="000A6DB5">
        <w:rPr>
          <w:lang w:val="en-GB"/>
        </w:rPr>
        <w:t>-</w:t>
      </w:r>
      <w:r w:rsidRPr="000A6DB5">
        <w:rPr>
          <w:lang w:val="en-GB"/>
        </w:rPr>
        <w:t>based Balaji Wafers</w:t>
      </w:r>
      <w:r w:rsidR="00F31315" w:rsidRPr="000A6DB5">
        <w:rPr>
          <w:lang w:val="en-GB"/>
        </w:rPr>
        <w:t xml:space="preserve"> Pvt. Ltd. (Balaji Wafers)</w:t>
      </w:r>
      <w:r w:rsidRPr="000A6DB5">
        <w:rPr>
          <w:lang w:val="en-GB"/>
        </w:rPr>
        <w:t xml:space="preserve"> </w:t>
      </w:r>
      <w:r w:rsidR="00033EB2" w:rsidRPr="000A6DB5">
        <w:rPr>
          <w:lang w:val="en-GB"/>
        </w:rPr>
        <w:t>ranked</w:t>
      </w:r>
      <w:r w:rsidRPr="000A6DB5">
        <w:rPr>
          <w:lang w:val="en-GB"/>
        </w:rPr>
        <w:t xml:space="preserve"> third </w:t>
      </w:r>
      <w:r w:rsidR="008E7161">
        <w:rPr>
          <w:lang w:val="en-GB"/>
        </w:rPr>
        <w:t>among the top</w:t>
      </w:r>
      <w:r w:rsidRPr="000A6DB5">
        <w:rPr>
          <w:lang w:val="en-GB"/>
        </w:rPr>
        <w:t xml:space="preserve"> manufacturer</w:t>
      </w:r>
      <w:r w:rsidR="008E7161">
        <w:rPr>
          <w:lang w:val="en-GB"/>
        </w:rPr>
        <w:t>s</w:t>
      </w:r>
      <w:r w:rsidRPr="000A6DB5">
        <w:rPr>
          <w:lang w:val="en-GB"/>
        </w:rPr>
        <w:t xml:space="preserve"> of potato wafers in India. </w:t>
      </w:r>
      <w:r w:rsidR="002023F8">
        <w:rPr>
          <w:lang w:val="en-GB"/>
        </w:rPr>
        <w:t>For the year ended September 2017,</w:t>
      </w:r>
      <w:r w:rsidR="00033EB2" w:rsidRPr="000A6DB5">
        <w:rPr>
          <w:lang w:val="en-GB"/>
        </w:rPr>
        <w:t xml:space="preserve"> </w:t>
      </w:r>
      <w:r w:rsidRPr="000A6DB5">
        <w:rPr>
          <w:lang w:val="en-GB"/>
        </w:rPr>
        <w:t xml:space="preserve">Balaji Wafers had a turnover of </w:t>
      </w:r>
      <w:r w:rsidR="00F31315" w:rsidRPr="000A6DB5">
        <w:rPr>
          <w:rStyle w:val="Emphasis"/>
          <w:rFonts w:ascii="Arial" w:hAnsi="Arial" w:cs="Arial"/>
          <w:bCs/>
          <w:i w:val="0"/>
          <w:iCs w:val="0"/>
          <w:spacing w:val="-2"/>
          <w:sz w:val="20"/>
          <w:szCs w:val="20"/>
          <w:shd w:val="clear" w:color="auto" w:fill="FFFFFF"/>
          <w:lang w:val="en-GB"/>
        </w:rPr>
        <w:t>₹</w:t>
      </w:r>
      <w:r w:rsidRPr="000A6DB5">
        <w:rPr>
          <w:lang w:val="en-GB"/>
        </w:rPr>
        <w:t>21.22 billion</w:t>
      </w:r>
      <w:r w:rsidR="00033EB2" w:rsidRPr="000A6DB5">
        <w:rPr>
          <w:lang w:val="en-GB"/>
        </w:rPr>
        <w:t>,</w:t>
      </w:r>
      <w:r w:rsidR="00E73AC6" w:rsidRPr="000A6DB5">
        <w:rPr>
          <w:rStyle w:val="EndnoteReference"/>
          <w:spacing w:val="-2"/>
          <w:lang w:val="en-GB"/>
        </w:rPr>
        <w:endnoteReference w:id="2"/>
      </w:r>
      <w:r w:rsidR="00E73AC6" w:rsidRPr="000A6DB5">
        <w:rPr>
          <w:lang w:val="en-GB"/>
        </w:rPr>
        <w:t xml:space="preserve"> following the market leader, homegrown Haldiram’s Food International Limited (Haldiram) (</w:t>
      </w:r>
      <w:r w:rsidR="00E73AC6" w:rsidRPr="000A6DB5">
        <w:rPr>
          <w:rStyle w:val="Emphasis"/>
          <w:rFonts w:ascii="Arial" w:hAnsi="Arial" w:cs="Arial"/>
          <w:bCs/>
          <w:i w:val="0"/>
          <w:iCs w:val="0"/>
          <w:spacing w:val="-2"/>
          <w:sz w:val="20"/>
          <w:szCs w:val="20"/>
          <w:shd w:val="clear" w:color="auto" w:fill="FFFFFF"/>
          <w:lang w:val="en-GB"/>
        </w:rPr>
        <w:t>₹</w:t>
      </w:r>
      <w:r w:rsidR="00E73AC6" w:rsidRPr="000A6DB5">
        <w:rPr>
          <w:lang w:val="en-GB"/>
        </w:rPr>
        <w:t>42.24 billion), and global multinational corporation (MNC) PepsiCo India Ltd. (PepsiCo) (</w:t>
      </w:r>
      <w:r w:rsidR="00E73AC6" w:rsidRPr="000A6DB5">
        <w:rPr>
          <w:rStyle w:val="Emphasis"/>
          <w:rFonts w:ascii="Arial" w:hAnsi="Arial" w:cs="Arial"/>
          <w:bCs/>
          <w:i w:val="0"/>
          <w:iCs w:val="0"/>
          <w:spacing w:val="-2"/>
          <w:sz w:val="20"/>
          <w:szCs w:val="20"/>
          <w:shd w:val="clear" w:color="auto" w:fill="FFFFFF"/>
          <w:lang w:val="en-GB"/>
        </w:rPr>
        <w:t>₹</w:t>
      </w:r>
      <w:r w:rsidR="00E73AC6" w:rsidRPr="000A6DB5">
        <w:rPr>
          <w:lang w:val="en-GB"/>
        </w:rPr>
        <w:t>35.96 billion) (see Exhibit 1). Even though the Balaji brand had sold more than each of PepsiCo’s two brands (Lay’s and Kurkure), making it the second-largest individual brand, Balaji Wafers needed to address some concerns.</w:t>
      </w:r>
      <w:r w:rsidR="00E73AC6" w:rsidRPr="000A6DB5">
        <w:rPr>
          <w:rStyle w:val="EndnoteReference"/>
          <w:spacing w:val="-2"/>
          <w:lang w:val="en-GB"/>
        </w:rPr>
        <w:endnoteReference w:id="3"/>
      </w:r>
      <w:r w:rsidR="00E73AC6" w:rsidRPr="000A6DB5">
        <w:rPr>
          <w:lang w:val="en-GB"/>
        </w:rPr>
        <w:t xml:space="preserve"> </w:t>
      </w:r>
    </w:p>
    <w:p w14:paraId="6E2B9826" w14:textId="77777777" w:rsidR="00E73AC6" w:rsidRPr="000A6DB5" w:rsidRDefault="00E73AC6" w:rsidP="00394F79">
      <w:pPr>
        <w:pStyle w:val="BodyTextMain"/>
        <w:rPr>
          <w:sz w:val="20"/>
          <w:lang w:val="en-GB"/>
        </w:rPr>
      </w:pPr>
    </w:p>
    <w:p w14:paraId="1978D9AD" w14:textId="621902BA" w:rsidR="00E73AC6" w:rsidRPr="000A6DB5" w:rsidRDefault="00E73AC6" w:rsidP="00394F79">
      <w:pPr>
        <w:pStyle w:val="BodyTextMain"/>
        <w:rPr>
          <w:lang w:val="en-GB"/>
        </w:rPr>
      </w:pPr>
      <w:r w:rsidRPr="000A6DB5">
        <w:rPr>
          <w:lang w:val="en-GB"/>
        </w:rPr>
        <w:t xml:space="preserve">After operating for over three decades, Rajkot-based Balaji Wafers was the leading manufacturer of potato wafers in the western state of Gujarat. Balaji Wafers’ </w:t>
      </w:r>
      <w:r>
        <w:rPr>
          <w:lang w:val="en-GB"/>
        </w:rPr>
        <w:t>60 per cent</w:t>
      </w:r>
      <w:r w:rsidRPr="000A6DB5">
        <w:rPr>
          <w:lang w:val="en-GB"/>
        </w:rPr>
        <w:t xml:space="preserve"> market share made it the undisputed market leader in that state,</w:t>
      </w:r>
      <w:r w:rsidRPr="000A6DB5">
        <w:rPr>
          <w:rStyle w:val="EndnoteReference"/>
          <w:lang w:val="en-GB"/>
        </w:rPr>
        <w:endnoteReference w:id="4"/>
      </w:r>
      <w:r w:rsidRPr="000A6DB5">
        <w:rPr>
          <w:lang w:val="en-GB"/>
        </w:rPr>
        <w:t xml:space="preserve"> having continuously beaten global giant PepsiCo. PepsiCo had made numerous attempts to dislodge Balaji Wafers from its position, including proposing a buyout, but had failed in all of its efforts. Balaji Wafers had spurned offers for a complete takeover and was seeking investments for expanding operations.</w:t>
      </w:r>
      <w:r w:rsidRPr="000A6DB5">
        <w:rPr>
          <w:rStyle w:val="EndnoteReference"/>
          <w:lang w:val="en-GB"/>
        </w:rPr>
        <w:endnoteReference w:id="5"/>
      </w:r>
      <w:r w:rsidRPr="000A6DB5">
        <w:rPr>
          <w:lang w:val="en-GB"/>
        </w:rPr>
        <w:t xml:space="preserve"> Though Balaji Wafers had publicly stated it was considering going national, in pursuit of growth, it had until then preferred to aggressively pursue high sales by expanding regionally into neighbouring states.</w:t>
      </w:r>
      <w:r w:rsidRPr="000A6DB5">
        <w:rPr>
          <w:rStyle w:val="EndnoteReference"/>
          <w:lang w:val="en-GB"/>
        </w:rPr>
        <w:endnoteReference w:id="6"/>
      </w:r>
    </w:p>
    <w:p w14:paraId="4C437CAA" w14:textId="77777777" w:rsidR="00E73AC6" w:rsidRPr="000A6DB5" w:rsidRDefault="00E73AC6" w:rsidP="00394F79">
      <w:pPr>
        <w:pStyle w:val="BodyTextMain"/>
        <w:rPr>
          <w:sz w:val="20"/>
          <w:lang w:val="en-GB"/>
        </w:rPr>
      </w:pPr>
    </w:p>
    <w:p w14:paraId="61C71217" w14:textId="748A865D" w:rsidR="00E73AC6" w:rsidRPr="000A6DB5" w:rsidRDefault="00E73AC6" w:rsidP="00394F79">
      <w:pPr>
        <w:pStyle w:val="BodyTextMain"/>
        <w:rPr>
          <w:lang w:val="en-GB"/>
        </w:rPr>
      </w:pPr>
      <w:r w:rsidRPr="000A6DB5">
        <w:rPr>
          <w:lang w:val="en-GB"/>
        </w:rPr>
        <w:t xml:space="preserve">Balaji Wafers had two options for growth. It could leverage its competitive advantage by remaining a strong regional player and continue to focus on the factors that had made it successful over the years, or it could go national and compete with the likes of Haldiram and PepsiCo. The latter choice would require a robust business strategy, marketing acumen, and huge investments, which could be either raised from external sources or funded by its own cash flows. Would Balaji Wafers be able to sustain its lead over </w:t>
      </w:r>
      <w:r>
        <w:rPr>
          <w:lang w:val="en-GB"/>
        </w:rPr>
        <w:t>PepsiCo</w:t>
      </w:r>
      <w:r w:rsidRPr="000A6DB5">
        <w:rPr>
          <w:lang w:val="en-GB"/>
        </w:rPr>
        <w:t>? What should Balaji Wafers do for its pursuit of growth?</w:t>
      </w:r>
    </w:p>
    <w:p w14:paraId="2D0DEE9F" w14:textId="77777777" w:rsidR="00E73AC6" w:rsidRPr="000A6DB5" w:rsidRDefault="00E73AC6" w:rsidP="00394F79">
      <w:pPr>
        <w:pStyle w:val="BodyTextMain"/>
        <w:rPr>
          <w:sz w:val="20"/>
          <w:lang w:val="en-GB"/>
        </w:rPr>
      </w:pPr>
    </w:p>
    <w:p w14:paraId="37790048" w14:textId="77777777" w:rsidR="00E73AC6" w:rsidRPr="000A6DB5" w:rsidRDefault="00E73AC6" w:rsidP="00394F79">
      <w:pPr>
        <w:pStyle w:val="BodyTextMain"/>
        <w:rPr>
          <w:sz w:val="20"/>
          <w:lang w:val="en-GB"/>
        </w:rPr>
      </w:pPr>
    </w:p>
    <w:p w14:paraId="0A8823AE" w14:textId="77777777" w:rsidR="00E73AC6" w:rsidRPr="000A6DB5" w:rsidRDefault="00E73AC6" w:rsidP="00394F79">
      <w:pPr>
        <w:pStyle w:val="Casehead1"/>
        <w:rPr>
          <w:lang w:val="en-GB"/>
        </w:rPr>
      </w:pPr>
      <w:r w:rsidRPr="000A6DB5">
        <w:rPr>
          <w:lang w:val="en-GB"/>
        </w:rPr>
        <w:t>HISTORY</w:t>
      </w:r>
    </w:p>
    <w:p w14:paraId="380C8F64" w14:textId="77777777" w:rsidR="00E73AC6" w:rsidRPr="000A6DB5" w:rsidRDefault="00E73AC6" w:rsidP="00394F79">
      <w:pPr>
        <w:pStyle w:val="BodyTextMain"/>
        <w:rPr>
          <w:sz w:val="20"/>
          <w:lang w:val="en-GB"/>
        </w:rPr>
      </w:pPr>
    </w:p>
    <w:p w14:paraId="23CD7C7D" w14:textId="1ABD94E5" w:rsidR="00E73AC6" w:rsidRPr="000A6DB5" w:rsidRDefault="00E73AC6" w:rsidP="00394F79">
      <w:pPr>
        <w:pStyle w:val="BodyTextMain"/>
        <w:rPr>
          <w:strike/>
          <w:lang w:val="en-GB"/>
        </w:rPr>
      </w:pPr>
      <w:r w:rsidRPr="000A6DB5">
        <w:rPr>
          <w:lang w:val="en-GB"/>
        </w:rPr>
        <w:t xml:space="preserve">The story of Balaji Wafers’ humble origins began in the 1970s. Chandubhai Virani and his three brothers, Meghjibhai, Bhikubhai, and Kanubhai, had come to Rajkot from Dhundhoraji (a small village in the Jamnagar district in Gujarat) with a dream of building a successful business. They had tried their luck in trading diamonds and agricultural kits, but without much success, losing the </w:t>
      </w:r>
      <w:r w:rsidRPr="000A6DB5">
        <w:rPr>
          <w:rStyle w:val="Emphasis"/>
          <w:rFonts w:ascii="Arial" w:hAnsi="Arial" w:cs="Arial"/>
          <w:bCs/>
          <w:i w:val="0"/>
          <w:iCs w:val="0"/>
          <w:sz w:val="20"/>
          <w:szCs w:val="20"/>
          <w:shd w:val="clear" w:color="auto" w:fill="FFFFFF"/>
          <w:lang w:val="en-GB"/>
        </w:rPr>
        <w:t>₹</w:t>
      </w:r>
      <w:r w:rsidRPr="000A6DB5">
        <w:rPr>
          <w:lang w:val="en-GB"/>
        </w:rPr>
        <w:t xml:space="preserve">20,000 capital their father had given them. Chandubhai and Meghjibhai then took up a job selling refreshments in the Astron Cinema </w:t>
      </w:r>
      <w:r w:rsidRPr="000A6DB5">
        <w:rPr>
          <w:lang w:val="en-GB"/>
        </w:rPr>
        <w:lastRenderedPageBreak/>
        <w:t xml:space="preserve">in Rajkot. Thereafter, a dispute arose between the cinema’s management and the employees’ union, in which the two brothers did not participate (since they were not willing to risk losing their jobs). The </w:t>
      </w:r>
      <w:r>
        <w:rPr>
          <w:lang w:val="en-GB"/>
        </w:rPr>
        <w:t>theatre</w:t>
      </w:r>
      <w:r w:rsidRPr="000A6DB5">
        <w:rPr>
          <w:lang w:val="en-GB"/>
        </w:rPr>
        <w:t xml:space="preserve"> owner gained confidence in the two brothers and, in 1976, gave them the contract for managing the </w:t>
      </w:r>
      <w:r>
        <w:rPr>
          <w:lang w:val="en-GB"/>
        </w:rPr>
        <w:t xml:space="preserve">theatre’s </w:t>
      </w:r>
      <w:r w:rsidRPr="000A6DB5">
        <w:rPr>
          <w:lang w:val="en-GB"/>
        </w:rPr>
        <w:t>food outlet on a revenue-sharing basis.</w:t>
      </w:r>
      <w:bookmarkStart w:id="0" w:name="_Ref507747554"/>
      <w:r w:rsidRPr="000A6DB5">
        <w:rPr>
          <w:lang w:val="en-GB"/>
        </w:rPr>
        <w:t xml:space="preserve"> By 1982, the </w:t>
      </w:r>
      <w:r>
        <w:rPr>
          <w:lang w:val="en-GB"/>
        </w:rPr>
        <w:t>Viranis</w:t>
      </w:r>
      <w:r w:rsidRPr="000A6DB5">
        <w:rPr>
          <w:lang w:val="en-GB"/>
        </w:rPr>
        <w:t xml:space="preserve"> had moved into the business of making homemade potato wafers</w:t>
      </w:r>
      <w:r>
        <w:rPr>
          <w:lang w:val="en-GB"/>
        </w:rPr>
        <w:t>,</w:t>
      </w:r>
      <w:r w:rsidRPr="000A6DB5">
        <w:rPr>
          <w:lang w:val="en-GB"/>
        </w:rPr>
        <w:t xml:space="preserve"> outsourced from different vendors.</w:t>
      </w:r>
      <w:r w:rsidRPr="000A6DB5">
        <w:rPr>
          <w:rStyle w:val="EndnoteReference"/>
          <w:lang w:val="en-GB"/>
        </w:rPr>
        <w:endnoteReference w:id="7"/>
      </w:r>
      <w:bookmarkEnd w:id="0"/>
    </w:p>
    <w:p w14:paraId="1D2D9CAE" w14:textId="77777777" w:rsidR="00E73AC6" w:rsidRPr="000A6DB5" w:rsidRDefault="00E73AC6" w:rsidP="00394F79">
      <w:pPr>
        <w:pStyle w:val="BodyTextMain"/>
        <w:rPr>
          <w:sz w:val="20"/>
          <w:lang w:val="en-GB"/>
        </w:rPr>
      </w:pPr>
    </w:p>
    <w:p w14:paraId="54E5C2DF" w14:textId="77777777" w:rsidR="00E73AC6" w:rsidRPr="000A6DB5" w:rsidRDefault="00E73AC6" w:rsidP="00394F79">
      <w:pPr>
        <w:pStyle w:val="BodyTextMain"/>
        <w:rPr>
          <w:sz w:val="20"/>
          <w:lang w:val="en-GB"/>
        </w:rPr>
      </w:pPr>
    </w:p>
    <w:p w14:paraId="79E08DCF" w14:textId="77777777" w:rsidR="00E73AC6" w:rsidRPr="000A6DB5" w:rsidRDefault="00E73AC6" w:rsidP="00394F79">
      <w:pPr>
        <w:pStyle w:val="Casehead1"/>
        <w:rPr>
          <w:lang w:val="en-GB"/>
        </w:rPr>
      </w:pPr>
      <w:r w:rsidRPr="000A6DB5">
        <w:rPr>
          <w:lang w:val="en-GB"/>
        </w:rPr>
        <w:t>OPERATIONS AT BALAJI WAFERS</w:t>
      </w:r>
    </w:p>
    <w:p w14:paraId="0D71D329" w14:textId="77777777" w:rsidR="00E73AC6" w:rsidRPr="000A6DB5" w:rsidRDefault="00E73AC6" w:rsidP="00394F79">
      <w:pPr>
        <w:pStyle w:val="BodyTextMain"/>
        <w:rPr>
          <w:sz w:val="20"/>
          <w:lang w:val="en-GB"/>
        </w:rPr>
      </w:pPr>
    </w:p>
    <w:p w14:paraId="36AD2CCB" w14:textId="2077248E" w:rsidR="00E73AC6" w:rsidRPr="000A6DB5" w:rsidRDefault="00E73AC6" w:rsidP="00394F79">
      <w:pPr>
        <w:pStyle w:val="BodyTextMain"/>
        <w:rPr>
          <w:lang w:val="en-GB"/>
        </w:rPr>
      </w:pPr>
      <w:r w:rsidRPr="000A6DB5">
        <w:rPr>
          <w:lang w:val="en-GB"/>
        </w:rPr>
        <w:t xml:space="preserve">As demand increased, the brothers started producing wafers at home and sold these to a few nearby shops. The demand for their wafers soon encouraged the </w:t>
      </w:r>
      <w:r>
        <w:rPr>
          <w:lang w:val="en-GB"/>
        </w:rPr>
        <w:t>Viranis</w:t>
      </w:r>
      <w:r w:rsidRPr="000A6DB5">
        <w:rPr>
          <w:lang w:val="en-GB"/>
        </w:rPr>
        <w:t xml:space="preserve"> to gradually increase production. The brothers handled all functions personally, since they did not have a team in that early stage. Their daily routine included purchasing 50 kilograms (kg) of potatoes, manufacturing the wafers at home, manually sprinkling on the spices, and then selling the wafers personally to each shop in the local markets.</w:t>
      </w:r>
      <w:r w:rsidRPr="000A6DB5">
        <w:rPr>
          <w:rStyle w:val="EndnoteReference"/>
          <w:lang w:val="en-GB"/>
        </w:rPr>
        <w:endnoteReference w:id="8"/>
      </w:r>
      <w:r w:rsidRPr="000A6DB5">
        <w:rPr>
          <w:lang w:val="en-GB"/>
        </w:rPr>
        <w:t xml:space="preserve"> </w:t>
      </w:r>
    </w:p>
    <w:p w14:paraId="2C9C457C" w14:textId="77777777" w:rsidR="00E73AC6" w:rsidRPr="000A6DB5" w:rsidRDefault="00E73AC6" w:rsidP="00394F79">
      <w:pPr>
        <w:pStyle w:val="BodyTextMain"/>
        <w:rPr>
          <w:sz w:val="20"/>
          <w:lang w:val="en-GB"/>
        </w:rPr>
      </w:pPr>
    </w:p>
    <w:p w14:paraId="02226271" w14:textId="465B4CCF" w:rsidR="00E73AC6" w:rsidRPr="000A6DB5" w:rsidRDefault="00E73AC6" w:rsidP="00394F79">
      <w:pPr>
        <w:pStyle w:val="BodyTextMain"/>
        <w:rPr>
          <w:lang w:val="en-GB"/>
        </w:rPr>
      </w:pPr>
      <w:r w:rsidRPr="000A6DB5">
        <w:rPr>
          <w:lang w:val="en-GB"/>
        </w:rPr>
        <w:t xml:space="preserve">Subsequently, in 1989, the brothers set up a 1,000-square-metre facility in the nearby industrial area Aji to manufacture 60 kg of wafers a day. In 1993–94, Balaji Wafers installed a semi-automatic plant, raising its production capacity to 180 kg of wafers per day. In 2000, it invested an additional </w:t>
      </w:r>
      <w:r w:rsidRPr="000A6DB5">
        <w:rPr>
          <w:rStyle w:val="Emphasis"/>
          <w:rFonts w:ascii="Arial" w:hAnsi="Arial" w:cs="Arial"/>
          <w:bCs/>
          <w:i w:val="0"/>
          <w:iCs w:val="0"/>
          <w:sz w:val="20"/>
          <w:szCs w:val="20"/>
          <w:shd w:val="clear" w:color="auto" w:fill="FFFFFF"/>
          <w:lang w:val="en-GB"/>
        </w:rPr>
        <w:t>₹</w:t>
      </w:r>
      <w:r w:rsidRPr="000A6DB5">
        <w:rPr>
          <w:lang w:val="en-GB"/>
        </w:rPr>
        <w:t xml:space="preserve">50 million in a modern automatic plant with the capacity to manufacture and package 450 kg of wafers an hour. At that time, Balaji Wafers produced 9,000 kg of banana and potato wafers and 7,000 kg of </w:t>
      </w:r>
      <w:r w:rsidRPr="000A6DB5">
        <w:rPr>
          <w:i/>
          <w:lang w:val="en-GB"/>
        </w:rPr>
        <w:t>namkeen</w:t>
      </w:r>
      <w:r w:rsidRPr="000A6DB5">
        <w:rPr>
          <w:lang w:val="en-GB"/>
        </w:rPr>
        <w:t xml:space="preserve"> (a salty snack) per day. To meet the growing demand, the </w:t>
      </w:r>
      <w:r>
        <w:rPr>
          <w:lang w:val="en-GB"/>
        </w:rPr>
        <w:t>Viranis</w:t>
      </w:r>
      <w:r w:rsidRPr="000A6DB5">
        <w:rPr>
          <w:lang w:val="en-GB"/>
        </w:rPr>
        <w:t xml:space="preserve"> set up three new plants in 1999, 2003, and 2008 in Gujarat, and by 2013 Balaji Wafers had invested </w:t>
      </w:r>
      <w:r>
        <w:rPr>
          <w:lang w:val="en-GB"/>
        </w:rPr>
        <w:t>approximately</w:t>
      </w:r>
      <w:r w:rsidRPr="000A6DB5">
        <w:rPr>
          <w:lang w:val="en-GB"/>
        </w:rPr>
        <w:t xml:space="preserve"> </w:t>
      </w:r>
      <w:r w:rsidRPr="000A6DB5">
        <w:rPr>
          <w:rStyle w:val="Emphasis"/>
          <w:rFonts w:ascii="Arial" w:hAnsi="Arial" w:cs="Arial"/>
          <w:bCs/>
          <w:i w:val="0"/>
          <w:iCs w:val="0"/>
          <w:sz w:val="20"/>
          <w:szCs w:val="20"/>
          <w:shd w:val="clear" w:color="auto" w:fill="FFFFFF"/>
          <w:lang w:val="en-GB"/>
        </w:rPr>
        <w:t>₹</w:t>
      </w:r>
      <w:r w:rsidRPr="000A6DB5">
        <w:rPr>
          <w:lang w:val="en-GB"/>
        </w:rPr>
        <w:t>5 billion in operations.</w:t>
      </w:r>
      <w:r w:rsidRPr="000A6DB5">
        <w:rPr>
          <w:rStyle w:val="EndnoteReference"/>
          <w:lang w:val="en-GB"/>
        </w:rPr>
        <w:endnoteReference w:id="9"/>
      </w:r>
    </w:p>
    <w:p w14:paraId="7C274BF5" w14:textId="77777777" w:rsidR="00E73AC6" w:rsidRPr="000A6DB5" w:rsidRDefault="00E73AC6" w:rsidP="00394F79">
      <w:pPr>
        <w:pStyle w:val="BodyTextMain"/>
        <w:rPr>
          <w:sz w:val="20"/>
          <w:lang w:val="en-GB"/>
        </w:rPr>
      </w:pPr>
    </w:p>
    <w:p w14:paraId="0A99FE14" w14:textId="31B049B7" w:rsidR="00E73AC6" w:rsidRPr="000A6DB5" w:rsidRDefault="00E73AC6" w:rsidP="00394F79">
      <w:pPr>
        <w:pStyle w:val="BodyTextMain"/>
        <w:rPr>
          <w:lang w:val="en-GB"/>
        </w:rPr>
      </w:pPr>
      <w:r w:rsidRPr="000A6DB5">
        <w:rPr>
          <w:color w:val="000000" w:themeColor="text1"/>
          <w:lang w:val="en-GB"/>
        </w:rPr>
        <w:t xml:space="preserve">By 2013, Balaji Wafers had grown from three employees to 2,500 employees; had around 500 suppliers; was present in the states of Gujarat, Maharashtra, Rajasthan, Madhya Pradesh, and Goa across 17 product categories; and was exporting its products to 35 countries worldwide. Namkeen comprised 60 per cent of </w:t>
      </w:r>
      <w:r w:rsidRPr="000A6DB5">
        <w:rPr>
          <w:lang w:val="en-GB"/>
        </w:rPr>
        <w:t>the company’s total production, while wafers made up the remaining 40 per cent.</w:t>
      </w:r>
      <w:r w:rsidRPr="000A6DB5">
        <w:rPr>
          <w:rStyle w:val="EndnoteReference"/>
          <w:spacing w:val="-2"/>
          <w:lang w:val="en-GB"/>
        </w:rPr>
        <w:endnoteReference w:id="10"/>
      </w:r>
      <w:r w:rsidRPr="000A6DB5">
        <w:rPr>
          <w:lang w:val="en-GB"/>
        </w:rPr>
        <w:t xml:space="preserve"> In 2013, the Valsad (Gujarat) unit produced 2,200 kg wafers per hour, making it one of the largest</w:t>
      </w:r>
      <w:r>
        <w:rPr>
          <w:lang w:val="en-GB"/>
        </w:rPr>
        <w:t xml:space="preserve"> units for making</w:t>
      </w:r>
      <w:r w:rsidRPr="000A6DB5">
        <w:rPr>
          <w:lang w:val="en-GB"/>
        </w:rPr>
        <w:t xml:space="preserve"> potato wafer</w:t>
      </w:r>
      <w:r>
        <w:rPr>
          <w:lang w:val="en-GB"/>
        </w:rPr>
        <w:t>s</w:t>
      </w:r>
      <w:r w:rsidRPr="000A6DB5">
        <w:rPr>
          <w:lang w:val="en-GB"/>
        </w:rPr>
        <w:t xml:space="preserve"> in Asia.</w:t>
      </w:r>
      <w:r w:rsidRPr="000A6DB5">
        <w:rPr>
          <w:rStyle w:val="EndnoteReference"/>
          <w:spacing w:val="-2"/>
          <w:lang w:val="en-GB"/>
        </w:rPr>
        <w:endnoteReference w:id="11"/>
      </w:r>
      <w:r w:rsidRPr="000A6DB5">
        <w:rPr>
          <w:lang w:val="en-GB"/>
        </w:rPr>
        <w:t xml:space="preserve"> By 2017, Balaji owned four plants in India with a total processing capacity of 650,000 kg of potato wafers and 1,000,000 kg of namkeen per day, which included around</w:t>
      </w:r>
      <w:bookmarkStart w:id="1" w:name="_Ref507754014"/>
      <w:r w:rsidRPr="000A6DB5">
        <w:rPr>
          <w:lang w:val="en-GB"/>
        </w:rPr>
        <w:t xml:space="preserve"> 30 varieties of salty snacks and savouries in addition to potato wafers,</w:t>
      </w:r>
      <w:r w:rsidRPr="000A6DB5">
        <w:rPr>
          <w:rStyle w:val="EndnoteReference"/>
          <w:spacing w:val="-2"/>
          <w:lang w:val="en-GB"/>
        </w:rPr>
        <w:endnoteReference w:id="12"/>
      </w:r>
      <w:bookmarkEnd w:id="1"/>
      <w:r w:rsidRPr="000A6DB5">
        <w:rPr>
          <w:lang w:val="en-GB"/>
        </w:rPr>
        <w:t xml:space="preserve"> achieving a turnover of </w:t>
      </w:r>
      <w:r w:rsidRPr="000A6DB5">
        <w:rPr>
          <w:rStyle w:val="Emphasis"/>
          <w:rFonts w:ascii="Arial" w:hAnsi="Arial" w:cs="Arial"/>
          <w:bCs/>
          <w:i w:val="0"/>
          <w:iCs w:val="0"/>
          <w:sz w:val="20"/>
          <w:szCs w:val="20"/>
          <w:shd w:val="clear" w:color="auto" w:fill="FFFFFF"/>
          <w:lang w:val="en-GB"/>
        </w:rPr>
        <w:t>₹</w:t>
      </w:r>
      <w:r w:rsidRPr="000A6DB5">
        <w:rPr>
          <w:lang w:val="en-GB"/>
        </w:rPr>
        <w:t>21.22 billion (see Exhibit 2</w:t>
      </w:r>
      <w:r>
        <w:rPr>
          <w:lang w:val="en-GB"/>
        </w:rPr>
        <w:t>).</w:t>
      </w:r>
    </w:p>
    <w:p w14:paraId="50B50A6C" w14:textId="77777777" w:rsidR="00E73AC6" w:rsidRPr="000A6DB5" w:rsidRDefault="00E73AC6" w:rsidP="00394F79">
      <w:pPr>
        <w:pStyle w:val="BodyTextMain"/>
        <w:rPr>
          <w:sz w:val="20"/>
          <w:lang w:val="en-GB"/>
        </w:rPr>
      </w:pPr>
    </w:p>
    <w:p w14:paraId="6651833F" w14:textId="77777777" w:rsidR="00E73AC6" w:rsidRPr="000A6DB5" w:rsidRDefault="00E73AC6" w:rsidP="00394F79">
      <w:pPr>
        <w:pStyle w:val="BodyTextMain"/>
        <w:rPr>
          <w:sz w:val="20"/>
          <w:lang w:val="en-GB"/>
        </w:rPr>
      </w:pPr>
    </w:p>
    <w:p w14:paraId="4C5DC42D" w14:textId="76C79C07" w:rsidR="00E73AC6" w:rsidRPr="000A6DB5" w:rsidRDefault="00E73AC6" w:rsidP="00394F79">
      <w:pPr>
        <w:pStyle w:val="Casehead1"/>
        <w:rPr>
          <w:lang w:val="en-GB"/>
        </w:rPr>
      </w:pPr>
      <w:r w:rsidRPr="000A6DB5">
        <w:rPr>
          <w:lang w:val="en-GB"/>
        </w:rPr>
        <w:t>THE VIRANI FAMILY</w:t>
      </w:r>
    </w:p>
    <w:p w14:paraId="6024F56E" w14:textId="77777777" w:rsidR="00E73AC6" w:rsidRPr="000A6DB5" w:rsidRDefault="00E73AC6" w:rsidP="00394F79">
      <w:pPr>
        <w:pStyle w:val="BodyTextMain"/>
        <w:rPr>
          <w:sz w:val="20"/>
          <w:lang w:val="en-GB"/>
        </w:rPr>
      </w:pPr>
    </w:p>
    <w:p w14:paraId="443BBE40" w14:textId="2CF4EC8F" w:rsidR="00E73AC6" w:rsidRPr="000A6DB5" w:rsidRDefault="00E73AC6" w:rsidP="00394F79">
      <w:pPr>
        <w:pStyle w:val="BodyTextMain"/>
        <w:rPr>
          <w:lang w:val="en-GB"/>
        </w:rPr>
      </w:pPr>
      <w:r w:rsidRPr="000A6DB5">
        <w:rPr>
          <w:lang w:val="en-GB"/>
        </w:rPr>
        <w:t>The Virani family was comprised of the four brothers who had founded Balaji Wafers, Bhikubhai, Chandubhai, Kanubhai, and Meghjibhai, and the next generation sons, Keyur and Mihir (Bhikubhai’s sons), and Pranay (Chandubhai’s son). By 2017, the family had divided the roles among them, and each family member was handling a specific function (see Exhibits 3 and 4). Bhikubhai was the chairman, Chandubhai was the managing director, and Kanubhai was the technical director</w:t>
      </w:r>
      <w:r w:rsidRPr="000A6DB5">
        <w:rPr>
          <w:color w:val="2F332B"/>
          <w:lang w:val="en-GB"/>
        </w:rPr>
        <w:t xml:space="preserve">. </w:t>
      </w:r>
      <w:r w:rsidRPr="000A6DB5">
        <w:rPr>
          <w:lang w:val="en-GB"/>
        </w:rPr>
        <w:t>Chandubhai was also handling production, while Bhikubhai and Kanubhai looked after sales and marketing. Mihir was the marketing director, Pranay was the events director, and Keyur was the research and development director. Chandubhai and Keyur were also the spokespersons for Balaji Wafers.</w:t>
      </w:r>
      <w:r w:rsidRPr="000A6DB5">
        <w:rPr>
          <w:rStyle w:val="EndnoteReference"/>
          <w:lang w:val="en-GB"/>
        </w:rPr>
        <w:endnoteReference w:id="13"/>
      </w:r>
      <w:r w:rsidRPr="000A6DB5">
        <w:rPr>
          <w:lang w:val="en-GB"/>
        </w:rPr>
        <w:t xml:space="preserve"> The family was close-knit and often had lunch together at the corporate office just outside Rajkot.</w:t>
      </w:r>
      <w:r w:rsidRPr="000A6DB5">
        <w:rPr>
          <w:rStyle w:val="EndnoteReference"/>
          <w:lang w:val="en-GB"/>
        </w:rPr>
        <w:endnoteReference w:id="14"/>
      </w:r>
      <w:r w:rsidRPr="000A6DB5">
        <w:rPr>
          <w:lang w:val="en-GB"/>
        </w:rPr>
        <w:t xml:space="preserve"> The family defined a set of values for the company, which they used to drive their decisions. They wanted to build the business on traditional values of trust and quality without any compromise.</w:t>
      </w:r>
      <w:r w:rsidRPr="000A6DB5">
        <w:rPr>
          <w:rStyle w:val="EndnoteReference"/>
          <w:lang w:val="en-GB"/>
        </w:rPr>
        <w:endnoteReference w:id="15"/>
      </w:r>
    </w:p>
    <w:p w14:paraId="42FE772A" w14:textId="77777777" w:rsidR="00E73AC6" w:rsidRPr="000A6DB5" w:rsidRDefault="00E73AC6" w:rsidP="00394F79">
      <w:pPr>
        <w:pStyle w:val="BodyTextMain"/>
        <w:rPr>
          <w:sz w:val="20"/>
          <w:lang w:val="en-GB"/>
        </w:rPr>
      </w:pPr>
    </w:p>
    <w:p w14:paraId="62B9BE70" w14:textId="77777777" w:rsidR="00E73AC6" w:rsidRPr="000A6DB5" w:rsidRDefault="00E73AC6" w:rsidP="00394F79">
      <w:pPr>
        <w:pStyle w:val="BodyTextMain"/>
        <w:rPr>
          <w:sz w:val="20"/>
          <w:lang w:val="en-GB"/>
        </w:rPr>
      </w:pPr>
    </w:p>
    <w:p w14:paraId="372E5EE6" w14:textId="77777777" w:rsidR="00E73AC6" w:rsidRPr="000A6DB5" w:rsidRDefault="00E73AC6" w:rsidP="00394F79">
      <w:pPr>
        <w:pStyle w:val="Casehead1"/>
        <w:keepNext/>
        <w:rPr>
          <w:lang w:val="en-GB"/>
        </w:rPr>
      </w:pPr>
      <w:r w:rsidRPr="000A6DB5">
        <w:rPr>
          <w:lang w:val="en-GB"/>
        </w:rPr>
        <w:lastRenderedPageBreak/>
        <w:t>MARKETING BALAJI WAFERS</w:t>
      </w:r>
    </w:p>
    <w:p w14:paraId="0ACBBF4F" w14:textId="77777777" w:rsidR="00E73AC6" w:rsidRPr="000A6DB5" w:rsidRDefault="00E73AC6" w:rsidP="00394F79">
      <w:pPr>
        <w:pStyle w:val="BodyTextMain"/>
        <w:keepNext/>
        <w:rPr>
          <w:color w:val="000000" w:themeColor="text1"/>
          <w:sz w:val="20"/>
          <w:lang w:val="en-GB"/>
        </w:rPr>
      </w:pPr>
    </w:p>
    <w:p w14:paraId="08FB72D4" w14:textId="144D3B11" w:rsidR="00E73AC6" w:rsidRPr="000A6DB5" w:rsidRDefault="00E73AC6" w:rsidP="00394F79">
      <w:pPr>
        <w:pStyle w:val="BodyTextMain"/>
        <w:keepNext/>
        <w:rPr>
          <w:color w:val="000000" w:themeColor="text1"/>
          <w:lang w:val="en-GB"/>
        </w:rPr>
      </w:pPr>
      <w:r w:rsidRPr="000A6DB5">
        <w:rPr>
          <w:color w:val="000000" w:themeColor="text1"/>
          <w:lang w:val="en-GB"/>
        </w:rPr>
        <w:t>Balaji Wafers had the advantage of local market knowledge, and</w:t>
      </w:r>
      <w:r>
        <w:rPr>
          <w:color w:val="000000" w:themeColor="text1"/>
          <w:lang w:val="en-GB"/>
        </w:rPr>
        <w:t>,</w:t>
      </w:r>
      <w:r w:rsidRPr="000A6DB5">
        <w:rPr>
          <w:color w:val="000000" w:themeColor="text1"/>
          <w:lang w:val="en-GB"/>
        </w:rPr>
        <w:t xml:space="preserve"> like other regional players</w:t>
      </w:r>
      <w:r>
        <w:rPr>
          <w:color w:val="000000" w:themeColor="text1"/>
          <w:lang w:val="en-GB"/>
        </w:rPr>
        <w:t>,</w:t>
      </w:r>
      <w:r w:rsidRPr="000A6DB5">
        <w:rPr>
          <w:color w:val="000000" w:themeColor="text1"/>
          <w:lang w:val="en-GB"/>
        </w:rPr>
        <w:t xml:space="preserve"> it had inherent strengths—extensive distribution and low overheads</w:t>
      </w:r>
      <w:r>
        <w:rPr>
          <w:color w:val="000000" w:themeColor="text1"/>
          <w:lang w:val="en-GB"/>
        </w:rPr>
        <w:t>—</w:t>
      </w:r>
      <w:r w:rsidRPr="000A6DB5">
        <w:rPr>
          <w:color w:val="000000" w:themeColor="text1"/>
          <w:lang w:val="en-GB"/>
        </w:rPr>
        <w:t xml:space="preserve">which </w:t>
      </w:r>
      <w:r w:rsidRPr="000A6DB5">
        <w:rPr>
          <w:lang w:val="en-GB"/>
        </w:rPr>
        <w:t xml:space="preserve">allowed an aggressive pricing strategy, </w:t>
      </w:r>
      <w:r>
        <w:rPr>
          <w:lang w:val="en-GB"/>
        </w:rPr>
        <w:t>which had resulted in</w:t>
      </w:r>
      <w:r w:rsidRPr="000A6DB5">
        <w:rPr>
          <w:lang w:val="en-GB"/>
        </w:rPr>
        <w:t xml:space="preserve"> the tough competition the company gave to MNCs. According to a November 2014 report </w:t>
      </w:r>
      <w:r>
        <w:rPr>
          <w:lang w:val="en-GB"/>
        </w:rPr>
        <w:t xml:space="preserve">by the Nielsen Company </w:t>
      </w:r>
      <w:r w:rsidRPr="000A6DB5">
        <w:rPr>
          <w:lang w:val="en-GB"/>
        </w:rPr>
        <w:t>on the snack market in India, increased disposable income, the need for convenience in a fast-paced lifestyle, and cultural traditions of snacking between meals had fuelled explosive growth in the salty and savoury snacks market, leading to six-fold sales growth in the category</w:t>
      </w:r>
      <w:r>
        <w:rPr>
          <w:lang w:val="en-GB"/>
        </w:rPr>
        <w:t>—</w:t>
      </w:r>
      <w:r w:rsidRPr="000A6DB5">
        <w:rPr>
          <w:lang w:val="en-GB"/>
        </w:rPr>
        <w:t xml:space="preserve">from </w:t>
      </w:r>
      <w:r w:rsidRPr="000A6DB5">
        <w:rPr>
          <w:rStyle w:val="Emphasis"/>
          <w:rFonts w:ascii="Arial" w:hAnsi="Arial" w:cs="Arial"/>
          <w:bCs/>
          <w:i w:val="0"/>
          <w:iCs w:val="0"/>
          <w:sz w:val="20"/>
          <w:szCs w:val="20"/>
          <w:shd w:val="clear" w:color="auto" w:fill="FFFFFF"/>
          <w:lang w:val="en-GB"/>
        </w:rPr>
        <w:t>₹</w:t>
      </w:r>
      <w:r w:rsidRPr="000A6DB5">
        <w:rPr>
          <w:lang w:val="en-GB"/>
        </w:rPr>
        <w:t xml:space="preserve">80 billion in 2004 to </w:t>
      </w:r>
      <w:r w:rsidRPr="000A6DB5">
        <w:rPr>
          <w:rStyle w:val="Emphasis"/>
          <w:rFonts w:ascii="Arial" w:hAnsi="Arial" w:cs="Arial"/>
          <w:bCs/>
          <w:i w:val="0"/>
          <w:iCs w:val="0"/>
          <w:sz w:val="20"/>
          <w:szCs w:val="20"/>
          <w:shd w:val="clear" w:color="auto" w:fill="FFFFFF"/>
          <w:lang w:val="en-GB"/>
        </w:rPr>
        <w:t>₹</w:t>
      </w:r>
      <w:r w:rsidRPr="000A6DB5">
        <w:rPr>
          <w:lang w:val="en-GB"/>
        </w:rPr>
        <w:t>470 billion in 2013.</w:t>
      </w:r>
      <w:r w:rsidRPr="000A6DB5">
        <w:rPr>
          <w:rStyle w:val="EndnoteReference"/>
          <w:lang w:val="en-GB"/>
        </w:rPr>
        <w:endnoteReference w:id="16"/>
      </w:r>
      <w:r w:rsidRPr="000A6DB5">
        <w:rPr>
          <w:lang w:val="en-GB"/>
        </w:rPr>
        <w:t xml:space="preserve"> Global researcher Euromonitor International stated in a 2016 study that Balaji Wafers was larger than Parle Products Pvt. Ltd. (Parle) and</w:t>
      </w:r>
      <w:r>
        <w:rPr>
          <w:lang w:val="en-GB"/>
        </w:rPr>
        <w:t xml:space="preserve"> the Bingo! brand of</w:t>
      </w:r>
      <w:r w:rsidRPr="000A6DB5">
        <w:rPr>
          <w:lang w:val="en-GB"/>
        </w:rPr>
        <w:t xml:space="preserve"> ITC Limited (ITC), with about 60-per-cent market share in Gujarat, Maharashtra, Rajasthan, and Goa</w:t>
      </w:r>
      <w:r>
        <w:rPr>
          <w:lang w:val="en-GB"/>
        </w:rPr>
        <w:t>,</w:t>
      </w:r>
      <w:r w:rsidRPr="000A6DB5">
        <w:rPr>
          <w:lang w:val="en-GB"/>
        </w:rPr>
        <w:t xml:space="preserve"> and 15 per cent in Madhya Pradesh. Between 2013 and 2015, the market share of Lay’s dropped from 51.1 per cent to 49.5 per cent due to the growth of Balaji Wafers, which</w:t>
      </w:r>
      <w:r w:rsidRPr="000A6DB5">
        <w:rPr>
          <w:color w:val="000000" w:themeColor="text1"/>
          <w:lang w:val="en-GB"/>
        </w:rPr>
        <w:t xml:space="preserve"> had steadily gained market share annually in a market estimated to be around </w:t>
      </w:r>
      <w:r w:rsidRPr="000A6DB5">
        <w:rPr>
          <w:rStyle w:val="Emphasis"/>
          <w:rFonts w:ascii="Arial" w:hAnsi="Arial" w:cs="Arial"/>
          <w:bCs/>
          <w:i w:val="0"/>
          <w:iCs w:val="0"/>
          <w:sz w:val="20"/>
          <w:szCs w:val="20"/>
          <w:shd w:val="clear" w:color="auto" w:fill="FFFFFF"/>
          <w:lang w:val="en-GB"/>
        </w:rPr>
        <w:t>₹</w:t>
      </w:r>
      <w:r w:rsidRPr="000A6DB5">
        <w:rPr>
          <w:color w:val="000000" w:themeColor="text1"/>
          <w:lang w:val="en-GB"/>
        </w:rPr>
        <w:t xml:space="preserve">70 billion to </w:t>
      </w:r>
      <w:r w:rsidRPr="000A6DB5">
        <w:rPr>
          <w:rStyle w:val="Emphasis"/>
          <w:rFonts w:ascii="Arial" w:hAnsi="Arial" w:cs="Arial"/>
          <w:bCs/>
          <w:i w:val="0"/>
          <w:iCs w:val="0"/>
          <w:sz w:val="20"/>
          <w:szCs w:val="20"/>
          <w:shd w:val="clear" w:color="auto" w:fill="FFFFFF"/>
          <w:lang w:val="en-GB"/>
        </w:rPr>
        <w:t>₹</w:t>
      </w:r>
      <w:r w:rsidRPr="000A6DB5">
        <w:rPr>
          <w:color w:val="000000" w:themeColor="text1"/>
          <w:lang w:val="en-GB"/>
        </w:rPr>
        <w:t>100 billion.</w:t>
      </w:r>
      <w:r w:rsidRPr="000A6DB5">
        <w:rPr>
          <w:rStyle w:val="EndnoteReference"/>
          <w:lang w:val="en-GB"/>
        </w:rPr>
        <w:endnoteReference w:id="17"/>
      </w:r>
    </w:p>
    <w:p w14:paraId="3170D741" w14:textId="77777777" w:rsidR="00E73AC6" w:rsidRPr="000A6DB5" w:rsidRDefault="00E73AC6" w:rsidP="00394F79">
      <w:pPr>
        <w:pStyle w:val="BodyTextMain"/>
        <w:rPr>
          <w:color w:val="000000" w:themeColor="text1"/>
          <w:sz w:val="20"/>
          <w:shd w:val="clear" w:color="auto" w:fill="FFFFFF"/>
          <w:lang w:val="en-GB"/>
        </w:rPr>
      </w:pPr>
    </w:p>
    <w:p w14:paraId="50FEA0D8" w14:textId="7BC82DF7" w:rsidR="00E73AC6" w:rsidRPr="000A6DB5" w:rsidRDefault="00E73AC6" w:rsidP="00394F79">
      <w:pPr>
        <w:pStyle w:val="BodyTextMain"/>
        <w:rPr>
          <w:lang w:val="en-GB"/>
        </w:rPr>
      </w:pPr>
      <w:r w:rsidRPr="000A6DB5">
        <w:rPr>
          <w:lang w:val="en-GB"/>
        </w:rPr>
        <w:t xml:space="preserve">By 2017, the savoury snack market was a </w:t>
      </w:r>
      <w:r w:rsidRPr="000A6DB5">
        <w:rPr>
          <w:rStyle w:val="Emphasis"/>
          <w:rFonts w:ascii="Arial" w:hAnsi="Arial" w:cs="Arial"/>
          <w:bCs/>
          <w:i w:val="0"/>
          <w:iCs w:val="0"/>
          <w:spacing w:val="-2"/>
          <w:sz w:val="20"/>
          <w:szCs w:val="20"/>
          <w:shd w:val="clear" w:color="auto" w:fill="FFFFFF"/>
          <w:lang w:val="en-GB"/>
        </w:rPr>
        <w:t>₹</w:t>
      </w:r>
      <w:r>
        <w:rPr>
          <w:lang w:val="en-GB"/>
        </w:rPr>
        <w:t>295.4 billion</w:t>
      </w:r>
      <w:r w:rsidRPr="000A6DB5">
        <w:rPr>
          <w:lang w:val="en-GB"/>
        </w:rPr>
        <w:t xml:space="preserve"> market growing at a compound annual growth rate (CAGR) of 14.9 per cent (see Exhibit 5). This category was further broken down into many </w:t>
      </w:r>
      <w:r>
        <w:rPr>
          <w:lang w:val="en-GB"/>
        </w:rPr>
        <w:t>subcategories</w:t>
      </w:r>
      <w:r w:rsidRPr="000A6DB5">
        <w:rPr>
          <w:lang w:val="en-GB"/>
        </w:rPr>
        <w:t xml:space="preserve">, of which salty snacks constituted the majority in terms of both sales and growth rates. Potato wafers was grouped with salty snacks within the savoury snacks category and was estimated to be a </w:t>
      </w:r>
      <w:r w:rsidRPr="000A6DB5">
        <w:rPr>
          <w:rStyle w:val="Emphasis"/>
          <w:rFonts w:ascii="Arial" w:hAnsi="Arial" w:cs="Arial"/>
          <w:bCs/>
          <w:i w:val="0"/>
          <w:iCs w:val="0"/>
          <w:spacing w:val="-2"/>
          <w:sz w:val="20"/>
          <w:szCs w:val="20"/>
          <w:shd w:val="clear" w:color="auto" w:fill="FFFFFF"/>
          <w:lang w:val="en-GB"/>
        </w:rPr>
        <w:t>₹</w:t>
      </w:r>
      <w:r w:rsidRPr="000A6DB5">
        <w:rPr>
          <w:lang w:val="en-GB"/>
        </w:rPr>
        <w:t>3–</w:t>
      </w:r>
      <w:r>
        <w:rPr>
          <w:lang w:val="en-GB"/>
        </w:rPr>
        <w:t>4 billion</w:t>
      </w:r>
      <w:r w:rsidRPr="000A6DB5">
        <w:rPr>
          <w:lang w:val="en-GB"/>
        </w:rPr>
        <w:t xml:space="preserve"> market. Furthermore, salty snacks had a CAGR of 22.8 per cent between 2012 and 2017 and was forecasted to grow at 14.8 per cent for 2017–2022 (see Exhibits 6 and 7). According to Euromonitor International’s 2017 report, the </w:t>
      </w:r>
      <w:r>
        <w:rPr>
          <w:lang w:val="en-GB"/>
        </w:rPr>
        <w:t>year-on-year</w:t>
      </w:r>
      <w:r w:rsidRPr="000A6DB5">
        <w:rPr>
          <w:lang w:val="en-GB"/>
        </w:rPr>
        <w:t xml:space="preserve"> growth rate of the savoury snack market was 14.9 per cent (see Exhibit 6), with PepsiCo and Balaji Wafers having a CAGR of </w:t>
      </w:r>
      <w:r>
        <w:rPr>
          <w:lang w:val="en-GB"/>
        </w:rPr>
        <w:t>−</w:t>
      </w:r>
      <w:r w:rsidRPr="000A6DB5">
        <w:rPr>
          <w:lang w:val="en-GB"/>
        </w:rPr>
        <w:t>1.2 per cent and 15 per cent, respectively (see Exhibit 5).</w:t>
      </w:r>
    </w:p>
    <w:p w14:paraId="536D5C34" w14:textId="77777777" w:rsidR="00E73AC6" w:rsidRPr="000A6DB5" w:rsidRDefault="00E73AC6" w:rsidP="00394F79">
      <w:pPr>
        <w:pStyle w:val="BodyTextMain"/>
        <w:rPr>
          <w:sz w:val="20"/>
          <w:lang w:val="en-GB"/>
        </w:rPr>
      </w:pPr>
    </w:p>
    <w:p w14:paraId="257719A6" w14:textId="3CA25667" w:rsidR="00E73AC6" w:rsidRPr="008755C6" w:rsidRDefault="00E73AC6" w:rsidP="008755C6">
      <w:pPr>
        <w:pStyle w:val="BodyTextMain"/>
      </w:pPr>
      <w:r w:rsidRPr="008755C6">
        <w:t>Since 2013, packaged namkeen had replaced Western snacks such as potato chips and finger sticks as the largest segment within the branded salty snacks market.</w:t>
      </w:r>
      <w:r w:rsidRPr="008755C6">
        <w:rPr>
          <w:rStyle w:val="EndnoteReference"/>
        </w:rPr>
        <w:endnoteReference w:id="18"/>
      </w:r>
      <w:r w:rsidR="008755C6">
        <w:t xml:space="preserve"> </w:t>
      </w:r>
      <w:r w:rsidRPr="008755C6">
        <w:rPr>
          <w:rStyle w:val="apple-converted-space"/>
        </w:rPr>
        <w:t xml:space="preserve">Euromonitor International’s 2017 estimates showed that the industry was expected to grow at a CAGR of 9 per cent to reach </w:t>
      </w:r>
      <w:r w:rsidRPr="008755C6">
        <w:rPr>
          <w:rStyle w:val="Emphasis"/>
          <w:rFonts w:ascii="Tahoma" w:hAnsi="Tahoma" w:cs="Tahoma"/>
          <w:i w:val="0"/>
          <w:iCs w:val="0"/>
        </w:rPr>
        <w:t>₹</w:t>
      </w:r>
      <w:r w:rsidRPr="008755C6">
        <w:rPr>
          <w:rStyle w:val="apple-converted-space"/>
        </w:rPr>
        <w:t xml:space="preserve">446.9 billion in 2022. </w:t>
      </w:r>
      <w:r w:rsidRPr="008755C6">
        <w:t xml:space="preserve">Balaji Wafers had managed to control the erosion in its market share (as a percentage share of retail value), which had dropped from 8.5 per cent to 6.8 per cent in 2011–2017, while PepsiCo’s share dropped from 15.9 per cent to 8.1 per cent, in a market that had an average growth of 20 per cent (from 2014 to 2017) (see Exhibit 8). Balaji Wafers was very strong in Gujarat and Maharashtra and retained its leadership position by beating PepsiCo’s Lay’s. Nationally, it was third after Haldiram and PepsiCo. </w:t>
      </w:r>
    </w:p>
    <w:p w14:paraId="651FB837" w14:textId="77777777" w:rsidR="00E73AC6" w:rsidRPr="008755C6" w:rsidRDefault="00E73AC6" w:rsidP="008755C6">
      <w:pPr>
        <w:pStyle w:val="BodyTextMain"/>
      </w:pPr>
    </w:p>
    <w:p w14:paraId="0CEAF7B1" w14:textId="396AE296" w:rsidR="00E73AC6" w:rsidRPr="008755C6" w:rsidRDefault="00E73AC6" w:rsidP="008755C6">
      <w:pPr>
        <w:pStyle w:val="BodyTextMain"/>
      </w:pPr>
      <w:r w:rsidRPr="008755C6">
        <w:t>In terms of brand shares of the savoury snack category (by percentage value), Balaji was ranked second after Haldiram (see Exhibit 9. Balaji Wafers saw a 14 per cent increase in sales growth in 2015–2016. The savoury snacks market had been declining since 2013, with all players facing declining sales, but Balaji Wafers was able to continue maintaining its year-on-year growth, even when PepsiCo was quickly losing its share (see Exhibit 5). According to Balaji Wafers, some of the secrets of its success were the efforts to keep overhead costs low, which ensured its products remained affordable</w:t>
      </w:r>
      <w:bookmarkStart w:id="2" w:name="_Ref507754859"/>
      <w:r w:rsidRPr="008755C6">
        <w:t>, along with the introduction of healthier varieties and expanding into the neighbouring states of Rajasthan and Madhya Pradesh.</w:t>
      </w:r>
      <w:r w:rsidRPr="008755C6">
        <w:rPr>
          <w:rStyle w:val="EndnoteReference"/>
        </w:rPr>
        <w:endnoteReference w:id="19"/>
      </w:r>
      <w:bookmarkEnd w:id="2"/>
      <w:r w:rsidRPr="008755C6">
        <w:rPr>
          <w:vertAlign w:val="superscript"/>
        </w:rPr>
        <w:t xml:space="preserve"> </w:t>
      </w:r>
    </w:p>
    <w:p w14:paraId="2D2CEF62" w14:textId="77777777" w:rsidR="00E73AC6" w:rsidRPr="000A6DB5" w:rsidRDefault="00E73AC6" w:rsidP="00394F79">
      <w:pPr>
        <w:pStyle w:val="BodyTextMain"/>
        <w:rPr>
          <w:color w:val="000000" w:themeColor="text1"/>
          <w:sz w:val="20"/>
          <w:shd w:val="clear" w:color="auto" w:fill="FFFFFF"/>
          <w:lang w:val="en-GB"/>
        </w:rPr>
      </w:pPr>
    </w:p>
    <w:p w14:paraId="2FE85147" w14:textId="7E9A0F2C" w:rsidR="00E73AC6" w:rsidRPr="000A6DB5" w:rsidRDefault="00E73AC6" w:rsidP="00394F79">
      <w:pPr>
        <w:pStyle w:val="BodyTextMain"/>
        <w:rPr>
          <w:color w:val="000000" w:themeColor="text1"/>
          <w:lang w:val="en-GB"/>
        </w:rPr>
      </w:pPr>
      <w:r w:rsidRPr="000A6DB5">
        <w:rPr>
          <w:color w:val="000000" w:themeColor="text1"/>
          <w:lang w:val="en-GB"/>
        </w:rPr>
        <w:t xml:space="preserve">In 2016, 60 per cent of the Indian snack market was dominated by branded Indian salty snacks, while the balance </w:t>
      </w:r>
      <w:r>
        <w:rPr>
          <w:color w:val="000000" w:themeColor="text1"/>
          <w:lang w:val="en-GB"/>
        </w:rPr>
        <w:t>consisted of</w:t>
      </w:r>
      <w:r w:rsidRPr="000A6DB5">
        <w:rPr>
          <w:color w:val="000000" w:themeColor="text1"/>
          <w:lang w:val="en-GB"/>
        </w:rPr>
        <w:t xml:space="preserve"> branded Western salty snacks including potato chips. Balaji Wafers attributed its success in the Indian market to the critical factors of quality, price, </w:t>
      </w:r>
      <w:r>
        <w:rPr>
          <w:color w:val="000000" w:themeColor="text1"/>
          <w:lang w:val="en-GB"/>
        </w:rPr>
        <w:t>last-mile</w:t>
      </w:r>
      <w:r w:rsidRPr="000A6DB5">
        <w:rPr>
          <w:color w:val="000000" w:themeColor="text1"/>
          <w:lang w:val="en-GB"/>
        </w:rPr>
        <w:t xml:space="preserve"> distribution, and the right taste.</w:t>
      </w:r>
      <w:r w:rsidRPr="000A6DB5">
        <w:rPr>
          <w:rStyle w:val="EndnoteReference"/>
          <w:color w:val="000000" w:themeColor="text1"/>
          <w:lang w:val="en-GB"/>
        </w:rPr>
        <w:endnoteReference w:id="20"/>
      </w:r>
      <w:r w:rsidRPr="000A6DB5">
        <w:rPr>
          <w:color w:val="000000" w:themeColor="text1"/>
          <w:lang w:val="en-GB"/>
        </w:rPr>
        <w:t xml:space="preserve"> Additionally, the contribution of branded Indian salty snacks such as </w:t>
      </w:r>
      <w:r w:rsidRPr="000A6DB5">
        <w:rPr>
          <w:i/>
          <w:color w:val="000000" w:themeColor="text1"/>
          <w:lang w:val="en-GB"/>
        </w:rPr>
        <w:t>dal, chivra, bhujia</w:t>
      </w:r>
      <w:r w:rsidRPr="000A6DB5">
        <w:rPr>
          <w:color w:val="000000" w:themeColor="text1"/>
          <w:lang w:val="en-GB"/>
        </w:rPr>
        <w:t>, and nuts within the overall snacks market was increasing, and the industry players, both multinational and domestic, were using attractive packaging and pricing to penetrate newer markets in smaller towns.</w:t>
      </w:r>
      <w:r w:rsidRPr="000A6DB5">
        <w:rPr>
          <w:rStyle w:val="EndnoteReference"/>
          <w:color w:val="000000" w:themeColor="text1"/>
          <w:lang w:val="en-GB"/>
        </w:rPr>
        <w:endnoteReference w:id="21"/>
      </w:r>
    </w:p>
    <w:p w14:paraId="7E82DFFD" w14:textId="77777777" w:rsidR="00E73AC6" w:rsidRPr="000A6DB5" w:rsidRDefault="00E73AC6" w:rsidP="00394F79">
      <w:pPr>
        <w:pStyle w:val="BodyTextMain"/>
        <w:rPr>
          <w:sz w:val="20"/>
          <w:lang w:val="en-GB"/>
        </w:rPr>
      </w:pPr>
    </w:p>
    <w:p w14:paraId="37DB918B" w14:textId="77777777" w:rsidR="00E73AC6" w:rsidRPr="000A6DB5" w:rsidRDefault="00E73AC6" w:rsidP="00394F79">
      <w:pPr>
        <w:pStyle w:val="BodyTextMain"/>
        <w:rPr>
          <w:sz w:val="20"/>
          <w:lang w:val="en-GB"/>
        </w:rPr>
      </w:pPr>
    </w:p>
    <w:p w14:paraId="7DD7ECE2" w14:textId="77777777" w:rsidR="00E73AC6" w:rsidRPr="000A6DB5" w:rsidRDefault="00E73AC6" w:rsidP="00394F79">
      <w:pPr>
        <w:pStyle w:val="Casehead1"/>
        <w:keepNext/>
        <w:rPr>
          <w:lang w:val="en-GB"/>
        </w:rPr>
      </w:pPr>
      <w:r w:rsidRPr="000A6DB5">
        <w:rPr>
          <w:lang w:val="en-GB"/>
        </w:rPr>
        <w:lastRenderedPageBreak/>
        <w:t>COMPETITORS</w:t>
      </w:r>
    </w:p>
    <w:p w14:paraId="7D6B5C61" w14:textId="77777777" w:rsidR="00E73AC6" w:rsidRPr="000A6DB5" w:rsidRDefault="00E73AC6" w:rsidP="00394F79">
      <w:pPr>
        <w:pStyle w:val="BodyTextMain"/>
        <w:keepNext/>
        <w:rPr>
          <w:sz w:val="20"/>
          <w:lang w:val="en-GB"/>
        </w:rPr>
      </w:pPr>
    </w:p>
    <w:p w14:paraId="5FA7A398" w14:textId="75FCC8EB" w:rsidR="00E73AC6" w:rsidRPr="000A6DB5" w:rsidRDefault="00E73AC6" w:rsidP="00394F79">
      <w:pPr>
        <w:pStyle w:val="BodyTextMain"/>
        <w:keepNext/>
        <w:rPr>
          <w:lang w:val="en-GB"/>
        </w:rPr>
      </w:pPr>
      <w:r w:rsidRPr="000A6DB5">
        <w:rPr>
          <w:lang w:val="en-GB"/>
        </w:rPr>
        <w:t xml:space="preserve">Balaji’s total turnover was </w:t>
      </w:r>
      <w:r>
        <w:rPr>
          <w:lang w:val="en-GB"/>
        </w:rPr>
        <w:t>about</w:t>
      </w:r>
      <w:r w:rsidRPr="000A6DB5">
        <w:rPr>
          <w:lang w:val="en-GB"/>
        </w:rPr>
        <w:t xml:space="preserve"> </w:t>
      </w:r>
      <w:r w:rsidRPr="000A6DB5">
        <w:rPr>
          <w:rStyle w:val="Emphasis"/>
          <w:rFonts w:ascii="Arial" w:hAnsi="Arial" w:cs="Arial"/>
          <w:bCs/>
          <w:i w:val="0"/>
          <w:iCs w:val="0"/>
          <w:sz w:val="20"/>
          <w:szCs w:val="20"/>
          <w:shd w:val="clear" w:color="auto" w:fill="FFFFFF"/>
          <w:lang w:val="en-GB"/>
        </w:rPr>
        <w:t>₹</w:t>
      </w:r>
      <w:r w:rsidRPr="000A6DB5">
        <w:rPr>
          <w:lang w:val="en-GB"/>
        </w:rPr>
        <w:t>21 billion by September 2017</w:t>
      </w:r>
      <w:bookmarkStart w:id="3" w:name="_Ref507763511"/>
      <w:r w:rsidRPr="000A6DB5">
        <w:rPr>
          <w:lang w:val="en-GB"/>
        </w:rPr>
        <w:t xml:space="preserve"> (see Exhibit 1)</w:t>
      </w:r>
      <w:bookmarkEnd w:id="3"/>
      <w:r w:rsidRPr="000A6DB5">
        <w:rPr>
          <w:lang w:val="en-GB"/>
        </w:rPr>
        <w:t xml:space="preserve">. Over the previous five years, it had earned a steady net profit, at 10–12 per cent of revenue. By 2017, Balaji had </w:t>
      </w:r>
      <w:r w:rsidRPr="000A6DB5">
        <w:rPr>
          <w:color w:val="000000" w:themeColor="text1"/>
          <w:lang w:val="en-GB"/>
        </w:rPr>
        <w:t xml:space="preserve">garnered </w:t>
      </w:r>
      <w:r>
        <w:rPr>
          <w:color w:val="000000" w:themeColor="text1"/>
          <w:lang w:val="en-GB"/>
        </w:rPr>
        <w:t>6.85 per cent</w:t>
      </w:r>
      <w:r w:rsidRPr="000A6DB5">
        <w:rPr>
          <w:color w:val="000000" w:themeColor="text1"/>
          <w:lang w:val="en-GB"/>
        </w:rPr>
        <w:t xml:space="preserve"> </w:t>
      </w:r>
      <w:r w:rsidRPr="000A6DB5">
        <w:rPr>
          <w:lang w:val="en-GB"/>
        </w:rPr>
        <w:t>market share by value in India’s sweet and savoury snacks market and was the third-largest company nationally after Haldiram and PepsiCo (which had multiple brands in its portfolio)</w:t>
      </w:r>
      <w:r w:rsidRPr="000A6DB5" w:rsidDel="008D74BA">
        <w:rPr>
          <w:rStyle w:val="EndnoteReference"/>
          <w:lang w:val="en-GB"/>
        </w:rPr>
        <w:t xml:space="preserve"> </w:t>
      </w:r>
      <w:r w:rsidRPr="000A6DB5">
        <w:rPr>
          <w:lang w:val="en-GB"/>
        </w:rPr>
        <w:t xml:space="preserve">(see Exhibits 8 and 9). The market’s continuous growth attracted multiple new players. The salty snacks market was dominated by PepsiCo, with Lay’s and Kurkure; ITC, with Bingo!; and Haldiram and Parle products, along with numerous regional brands. </w:t>
      </w:r>
    </w:p>
    <w:p w14:paraId="3D3BE40C" w14:textId="77777777" w:rsidR="00E73AC6" w:rsidRPr="000A6DB5" w:rsidRDefault="00E73AC6" w:rsidP="00394F79">
      <w:pPr>
        <w:pStyle w:val="BodyTextMain"/>
        <w:rPr>
          <w:sz w:val="20"/>
          <w:lang w:val="en-GB"/>
        </w:rPr>
      </w:pPr>
    </w:p>
    <w:p w14:paraId="3DA8746E" w14:textId="4FC7879A" w:rsidR="00E73AC6" w:rsidRPr="000A6DB5" w:rsidRDefault="00E73AC6" w:rsidP="008755C6">
      <w:pPr>
        <w:pStyle w:val="BodyTextMain"/>
        <w:numPr>
          <w:ilvl w:val="0"/>
          <w:numId w:val="15"/>
        </w:numPr>
        <w:rPr>
          <w:spacing w:val="-4"/>
          <w:lang w:val="en-GB"/>
        </w:rPr>
      </w:pPr>
      <w:r w:rsidRPr="000A6DB5">
        <w:rPr>
          <w:lang w:val="en-GB"/>
        </w:rPr>
        <w:t>PepsiCo: PepsiCo, with its Kurkure and Lay’s brands, was the pioneer in the organized snacks market and the category leader</w:t>
      </w:r>
      <w:r w:rsidRPr="000A6DB5">
        <w:rPr>
          <w:spacing w:val="-4"/>
          <w:lang w:val="en-GB"/>
        </w:rPr>
        <w:t xml:space="preserve">. </w:t>
      </w:r>
      <w:r w:rsidRPr="000A6DB5">
        <w:rPr>
          <w:lang w:val="en-GB"/>
        </w:rPr>
        <w:t>PepsiCo was focusing on the wafers segment and planning to leverage the Kurkure brand to extend into the</w:t>
      </w:r>
      <w:r w:rsidRPr="000A6DB5">
        <w:rPr>
          <w:rFonts w:ascii="Arial" w:hAnsi="Arial" w:cs="Arial"/>
          <w:lang w:val="en-GB"/>
        </w:rPr>
        <w:t xml:space="preserve"> </w:t>
      </w:r>
      <w:r w:rsidRPr="000A6DB5">
        <w:rPr>
          <w:lang w:val="en-GB"/>
        </w:rPr>
        <w:t>pricier snacks segment to capture a larger share of the market.</w:t>
      </w:r>
      <w:r w:rsidRPr="000A6DB5">
        <w:rPr>
          <w:spacing w:val="-4"/>
          <w:lang w:val="en-GB"/>
        </w:rPr>
        <w:t xml:space="preserve"> Its strategy </w:t>
      </w:r>
      <w:r w:rsidRPr="000A6DB5">
        <w:rPr>
          <w:lang w:val="en-GB"/>
        </w:rPr>
        <w:t>was to focus on premium offerings and innovation by creating new demand spaces</w:t>
      </w:r>
      <w:r>
        <w:rPr>
          <w:lang w:val="en-GB"/>
        </w:rPr>
        <w:t>,</w:t>
      </w:r>
      <w:r w:rsidRPr="000A6DB5">
        <w:rPr>
          <w:lang w:val="en-GB"/>
        </w:rPr>
        <w:t xml:space="preserve"> consequently pursuing a premium pricing strategy.</w:t>
      </w:r>
      <w:r w:rsidRPr="000A6DB5">
        <w:rPr>
          <w:rStyle w:val="EndnoteReference"/>
          <w:spacing w:val="-4"/>
          <w:lang w:val="en-GB"/>
        </w:rPr>
        <w:endnoteReference w:id="22"/>
      </w:r>
      <w:r w:rsidRPr="000A6DB5">
        <w:rPr>
          <w:spacing w:val="-4"/>
          <w:lang w:val="en-GB"/>
        </w:rPr>
        <w:t xml:space="preserve"> </w:t>
      </w:r>
      <w:r w:rsidRPr="000A6DB5">
        <w:rPr>
          <w:lang w:val="en-GB"/>
        </w:rPr>
        <w:t>For Frito-Lay, PepsiCo bet on different pack sizes at different price</w:t>
      </w:r>
      <w:r w:rsidRPr="000A6DB5">
        <w:rPr>
          <w:spacing w:val="-4"/>
          <w:lang w:val="en-GB"/>
        </w:rPr>
        <w:t xml:space="preserve"> points </w:t>
      </w:r>
      <w:r w:rsidRPr="000A6DB5">
        <w:rPr>
          <w:lang w:val="en-GB"/>
        </w:rPr>
        <w:t>to improve penetration</w:t>
      </w:r>
      <w:r w:rsidRPr="000A6DB5">
        <w:rPr>
          <w:spacing w:val="-4"/>
          <w:lang w:val="en-GB"/>
        </w:rPr>
        <w:t xml:space="preserve">. It offered its smaller packs for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3,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5, and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10, and products </w:t>
      </w:r>
      <w:r w:rsidRPr="000A6DB5">
        <w:rPr>
          <w:lang w:val="en-GB"/>
        </w:rPr>
        <w:t>for in-home consumption and family occasions</w:t>
      </w:r>
      <w:r w:rsidRPr="000A6DB5">
        <w:rPr>
          <w:spacing w:val="-4"/>
          <w:lang w:val="en-GB"/>
        </w:rPr>
        <w:t xml:space="preserve"> at higher price points of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20,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30,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60, and </w:t>
      </w:r>
      <w:r w:rsidRPr="000A6DB5">
        <w:rPr>
          <w:rStyle w:val="Emphasis"/>
          <w:rFonts w:ascii="Arial" w:hAnsi="Arial" w:cs="Arial"/>
          <w:bCs/>
          <w:i w:val="0"/>
          <w:iCs w:val="0"/>
          <w:sz w:val="20"/>
          <w:szCs w:val="20"/>
          <w:shd w:val="clear" w:color="auto" w:fill="FFFFFF"/>
          <w:lang w:val="en-GB"/>
        </w:rPr>
        <w:t>₹</w:t>
      </w:r>
      <w:r w:rsidRPr="000A6DB5">
        <w:rPr>
          <w:spacing w:val="-4"/>
          <w:lang w:val="en-GB"/>
        </w:rPr>
        <w:t xml:space="preserve">99. In 2011, PepsiCo launched a new brand, “Lehar,” </w:t>
      </w:r>
      <w:r w:rsidRPr="000A6DB5">
        <w:rPr>
          <w:lang w:val="en-GB"/>
        </w:rPr>
        <w:t>which was 40 per cent cheaper than its flagship Lay’s</w:t>
      </w:r>
      <w:r w:rsidRPr="000A6DB5">
        <w:rPr>
          <w:spacing w:val="-4"/>
          <w:lang w:val="en-GB"/>
        </w:rPr>
        <w:t>.</w:t>
      </w:r>
      <w:r w:rsidRPr="000A6DB5">
        <w:rPr>
          <w:rStyle w:val="EndnoteReference"/>
          <w:spacing w:val="-4"/>
          <w:lang w:val="en-GB"/>
        </w:rPr>
        <w:endnoteReference w:id="23"/>
      </w:r>
    </w:p>
    <w:p w14:paraId="21334C57" w14:textId="7AA28731" w:rsidR="00E73AC6" w:rsidRPr="000A6DB5" w:rsidRDefault="00E73AC6" w:rsidP="008755C6">
      <w:pPr>
        <w:pStyle w:val="BodyTextMain"/>
        <w:numPr>
          <w:ilvl w:val="0"/>
          <w:numId w:val="15"/>
        </w:numPr>
        <w:rPr>
          <w:lang w:val="en-GB"/>
        </w:rPr>
      </w:pPr>
      <w:r w:rsidRPr="000A6DB5">
        <w:rPr>
          <w:lang w:val="en-GB"/>
        </w:rPr>
        <w:t xml:space="preserve">ITC: ITC was the largest tobacco manufacturer in India, but it </w:t>
      </w:r>
      <w:r>
        <w:rPr>
          <w:lang w:val="en-GB"/>
        </w:rPr>
        <w:t xml:space="preserve">had </w:t>
      </w:r>
      <w:r w:rsidRPr="000A6DB5">
        <w:rPr>
          <w:lang w:val="en-GB"/>
        </w:rPr>
        <w:t xml:space="preserve">focused on the salty snacks segment after it gained more than </w:t>
      </w:r>
      <w:r>
        <w:rPr>
          <w:lang w:val="en-GB"/>
        </w:rPr>
        <w:t>7 per cent</w:t>
      </w:r>
      <w:r w:rsidRPr="000A6DB5">
        <w:rPr>
          <w:lang w:val="en-GB"/>
        </w:rPr>
        <w:t xml:space="preserve"> market share in 2014. It launched 18 flavours, expanded its manufacturing sites to five from the earlier two locations, widened its distribution network, and revamped its packaging. ITC also introduced innovative formats based on multigrain pulses with distinctively better taste under its umbrella snack brand Bingo! to drive volumes.</w:t>
      </w:r>
      <w:r w:rsidRPr="000A6DB5">
        <w:rPr>
          <w:rStyle w:val="EndnoteReference"/>
          <w:lang w:val="en-GB"/>
        </w:rPr>
        <w:endnoteReference w:id="24"/>
      </w:r>
      <w:r w:rsidRPr="000A6DB5">
        <w:rPr>
          <w:lang w:val="en-GB"/>
        </w:rPr>
        <w:t xml:space="preserve"> </w:t>
      </w:r>
    </w:p>
    <w:p w14:paraId="6989E6EC" w14:textId="6F76C3ED" w:rsidR="00E73AC6" w:rsidRPr="000A6DB5" w:rsidRDefault="00E73AC6" w:rsidP="008755C6">
      <w:pPr>
        <w:pStyle w:val="BodyTextMain"/>
        <w:numPr>
          <w:ilvl w:val="0"/>
          <w:numId w:val="15"/>
        </w:numPr>
        <w:rPr>
          <w:lang w:val="en-GB"/>
        </w:rPr>
      </w:pPr>
      <w:r w:rsidRPr="000A6DB5">
        <w:rPr>
          <w:lang w:val="en-GB"/>
        </w:rPr>
        <w:t>Parle:</w:t>
      </w:r>
      <w:r w:rsidR="00394F79">
        <w:rPr>
          <w:lang w:val="en-GB"/>
        </w:rPr>
        <w:t xml:space="preserve"> </w:t>
      </w:r>
      <w:r w:rsidRPr="000A6DB5">
        <w:rPr>
          <w:lang w:val="en-GB"/>
        </w:rPr>
        <w:t xml:space="preserve">Parle, owner of the brand </w:t>
      </w:r>
      <w:r>
        <w:rPr>
          <w:lang w:val="en-GB"/>
        </w:rPr>
        <w:t>Hippo,</w:t>
      </w:r>
      <w:r w:rsidRPr="000A6DB5">
        <w:rPr>
          <w:lang w:val="en-GB"/>
        </w:rPr>
        <w:t xml:space="preserve"> decided to increase its research and development </w:t>
      </w:r>
      <w:r>
        <w:rPr>
          <w:lang w:val="en-GB"/>
        </w:rPr>
        <w:t>spending</w:t>
      </w:r>
      <w:r w:rsidRPr="000A6DB5">
        <w:rPr>
          <w:lang w:val="en-GB"/>
        </w:rPr>
        <w:t xml:space="preserve"> by 30 per cent to attract customers. It also started developing innovative products to drive volumes and proposed to roll out new products including potato finger chips, called </w:t>
      </w:r>
      <w:r w:rsidRPr="000A6DB5">
        <w:rPr>
          <w:i/>
          <w:lang w:val="en-GB"/>
        </w:rPr>
        <w:t>Aloo Lacha</w:t>
      </w:r>
      <w:r w:rsidRPr="000A6DB5">
        <w:rPr>
          <w:lang w:val="en-GB"/>
        </w:rPr>
        <w:t xml:space="preserve">. The company had also started promoting namkeen in </w:t>
      </w:r>
      <w:r w:rsidRPr="000A6DB5">
        <w:rPr>
          <w:rStyle w:val="Emphasis"/>
          <w:rFonts w:ascii="Arial" w:hAnsi="Arial" w:cs="Arial"/>
          <w:bCs/>
          <w:i w:val="0"/>
          <w:iCs w:val="0"/>
          <w:sz w:val="20"/>
          <w:szCs w:val="20"/>
          <w:shd w:val="clear" w:color="auto" w:fill="FFFFFF"/>
          <w:lang w:val="en-GB"/>
        </w:rPr>
        <w:t>₹</w:t>
      </w:r>
      <w:r>
        <w:rPr>
          <w:lang w:val="en-GB"/>
        </w:rPr>
        <w:t>5 packs</w:t>
      </w:r>
      <w:r w:rsidRPr="000A6DB5">
        <w:rPr>
          <w:lang w:val="en-GB"/>
        </w:rPr>
        <w:t xml:space="preserve"> and had improved its distribution and infrastructure, having separate distributors for towns with populations of </w:t>
      </w:r>
      <w:r>
        <w:rPr>
          <w:lang w:val="en-GB"/>
        </w:rPr>
        <w:t>about</w:t>
      </w:r>
      <w:r w:rsidRPr="000A6DB5">
        <w:rPr>
          <w:lang w:val="en-GB"/>
        </w:rPr>
        <w:t xml:space="preserve"> 500,000</w:t>
      </w:r>
      <w:r>
        <w:rPr>
          <w:lang w:val="en-GB"/>
        </w:rPr>
        <w:t xml:space="preserve">, </w:t>
      </w:r>
      <w:r w:rsidRPr="000A6DB5">
        <w:rPr>
          <w:lang w:val="en-GB"/>
        </w:rPr>
        <w:t>with the intention to increase its total distribution network by 15 per cent in 2014.</w:t>
      </w:r>
      <w:r w:rsidRPr="000A6DB5">
        <w:rPr>
          <w:rStyle w:val="EndnoteReference"/>
          <w:lang w:val="en-GB"/>
        </w:rPr>
        <w:endnoteReference w:id="25"/>
      </w:r>
    </w:p>
    <w:p w14:paraId="6E4297C4" w14:textId="4FF502CA" w:rsidR="00E73AC6" w:rsidRPr="008755C6" w:rsidRDefault="00E73AC6" w:rsidP="008755C6">
      <w:pPr>
        <w:pStyle w:val="BodyTextMain"/>
        <w:numPr>
          <w:ilvl w:val="0"/>
          <w:numId w:val="15"/>
        </w:numPr>
        <w:rPr>
          <w:spacing w:val="-4"/>
        </w:rPr>
      </w:pPr>
      <w:r w:rsidRPr="008755C6">
        <w:rPr>
          <w:spacing w:val="-4"/>
        </w:rPr>
        <w:t>Haldiram: Haldiram, another family-owned, homegrown business, was the leading player, with an 11.7 per cent share of retail value in 2017. The company offered the largest portfolio of snacks across all retail channels. It had grown from being a brand of north India to becoming a large national player. In September 2017, Haldiram finally overtook PepsiCo to regain the position of India’s top snack company.</w:t>
      </w:r>
      <w:r w:rsidRPr="008755C6">
        <w:rPr>
          <w:rStyle w:val="EndnoteReference"/>
          <w:spacing w:val="-4"/>
        </w:rPr>
        <w:endnoteReference w:id="26"/>
      </w:r>
    </w:p>
    <w:p w14:paraId="23C6CE80" w14:textId="22828A38" w:rsidR="00E73AC6" w:rsidRPr="008755C6" w:rsidRDefault="00E73AC6" w:rsidP="008755C6">
      <w:pPr>
        <w:pStyle w:val="BodyTextMain"/>
        <w:numPr>
          <w:ilvl w:val="0"/>
          <w:numId w:val="15"/>
        </w:numPr>
        <w:rPr>
          <w:spacing w:val="-4"/>
        </w:rPr>
      </w:pPr>
      <w:r w:rsidRPr="008755C6">
        <w:rPr>
          <w:spacing w:val="-4"/>
        </w:rPr>
        <w:t xml:space="preserve">Prataap Snacks Ltd. (Prataap): Prataap, owner of the Yellow Diamond brand, saw a 30 per cent increase in retail value sales in 2017. It challenged PepsiCo’s brands through aggressive pricing, its distribution strategy, and the fact that it had raised pre–initial public offering (IPO) funding of </w:t>
      </w:r>
      <w:r w:rsidRPr="008755C6">
        <w:rPr>
          <w:rStyle w:val="Emphasis"/>
          <w:rFonts w:ascii="Tahoma" w:hAnsi="Tahoma" w:cs="Tahoma"/>
          <w:i w:val="0"/>
          <w:iCs w:val="0"/>
          <w:spacing w:val="-4"/>
        </w:rPr>
        <w:t>₹</w:t>
      </w:r>
      <w:r w:rsidRPr="008755C6">
        <w:rPr>
          <w:spacing w:val="-4"/>
        </w:rPr>
        <w:t xml:space="preserve">500 million from Malabar Investments in exchange for a 2.5 per cent stake. This was in addition to the </w:t>
      </w:r>
      <w:r w:rsidRPr="008755C6">
        <w:rPr>
          <w:rStyle w:val="Emphasis"/>
          <w:rFonts w:ascii="Tahoma" w:hAnsi="Tahoma" w:cs="Tahoma"/>
          <w:i w:val="0"/>
          <w:iCs w:val="0"/>
          <w:spacing w:val="-4"/>
        </w:rPr>
        <w:t>₹</w:t>
      </w:r>
      <w:r w:rsidRPr="008755C6">
        <w:rPr>
          <w:spacing w:val="-4"/>
        </w:rPr>
        <w:t xml:space="preserve">2.65 billion in funding invested by Sequoia Capital in 2011 in exchange for a 63.15 per cent stake. Faering Capital invested </w:t>
      </w:r>
      <w:r w:rsidRPr="008755C6">
        <w:rPr>
          <w:rStyle w:val="Emphasis"/>
          <w:rFonts w:ascii="Tahoma" w:hAnsi="Tahoma" w:cs="Tahoma"/>
          <w:i w:val="0"/>
          <w:iCs w:val="0"/>
          <w:spacing w:val="-4"/>
        </w:rPr>
        <w:t>₹</w:t>
      </w:r>
      <w:r w:rsidRPr="008755C6">
        <w:rPr>
          <w:spacing w:val="-4"/>
        </w:rPr>
        <w:t>450 million in June 2016. Prataap’s IPO in September 2017 was oversubscribed 47 times when listed. The company had famous Bollywood actor Salman Khan as its brand ambassador. Prataap had a distribution network of 205 super stockists, with over 3,400 distributors. It owned and operated three manufacturing facilities—one in Indore and two in Guwahati. It had two contract manufacturing plants, in Kolkata and Bengaluru, and intended to use the funds to penetrate the existing markets and explore new markets.</w:t>
      </w:r>
      <w:r w:rsidRPr="008755C6">
        <w:rPr>
          <w:rStyle w:val="EndnoteReference"/>
          <w:spacing w:val="-4"/>
        </w:rPr>
        <w:endnoteReference w:id="27"/>
      </w:r>
    </w:p>
    <w:p w14:paraId="4201507B" w14:textId="0482BDBA" w:rsidR="00E73AC6" w:rsidRPr="000A6DB5" w:rsidRDefault="00E73AC6" w:rsidP="008755C6">
      <w:pPr>
        <w:pStyle w:val="BodyTextMain"/>
        <w:numPr>
          <w:ilvl w:val="0"/>
          <w:numId w:val="15"/>
        </w:numPr>
        <w:rPr>
          <w:color w:val="000000"/>
          <w:spacing w:val="-4"/>
          <w:shd w:val="clear" w:color="auto" w:fill="FFFFFF"/>
          <w:lang w:val="en-GB"/>
        </w:rPr>
      </w:pPr>
      <w:r w:rsidRPr="000A6DB5">
        <w:rPr>
          <w:spacing w:val="-4"/>
          <w:lang w:val="en-GB"/>
        </w:rPr>
        <w:t>Local brands</w:t>
      </w:r>
      <w:r w:rsidRPr="000A6DB5">
        <w:rPr>
          <w:color w:val="000000"/>
          <w:spacing w:val="-4"/>
          <w:shd w:val="clear" w:color="auto" w:fill="FFFFFF"/>
          <w:lang w:val="en-GB"/>
        </w:rPr>
        <w:t xml:space="preserve">: Local snacking companies such as Balaji Wafers, Prataap, Bikanervala, Bikaji Foods, and DFM Foods together recorded sales growth of 8–35 per cent in the year ended March 2016, at a time when major international companies like Mondelez International Inc., PepsiCo’s food division, and GlaxoSmithKline Plc were struggling to grow their businesses. </w:t>
      </w:r>
      <w:r>
        <w:rPr>
          <w:color w:val="000000"/>
          <w:spacing w:val="-4"/>
          <w:shd w:val="clear" w:color="auto" w:fill="FFFFFF"/>
          <w:lang w:val="en-GB"/>
        </w:rPr>
        <w:t>Together, these</w:t>
      </w:r>
      <w:r w:rsidRPr="000A6DB5">
        <w:rPr>
          <w:color w:val="000000"/>
          <w:spacing w:val="-4"/>
          <w:shd w:val="clear" w:color="auto" w:fill="FFFFFF"/>
          <w:lang w:val="en-GB"/>
        </w:rPr>
        <w:t xml:space="preserve"> five local firms had combined sales of nearly </w:t>
      </w:r>
      <w:r w:rsidRPr="000A6DB5">
        <w:rPr>
          <w:rStyle w:val="Emphasis"/>
          <w:rFonts w:ascii="Arial" w:hAnsi="Arial" w:cs="Arial"/>
          <w:bCs/>
          <w:i w:val="0"/>
          <w:iCs w:val="0"/>
          <w:spacing w:val="-4"/>
          <w:sz w:val="20"/>
          <w:szCs w:val="20"/>
          <w:shd w:val="clear" w:color="auto" w:fill="FFFFFF"/>
          <w:lang w:val="en-GB"/>
        </w:rPr>
        <w:t>₹</w:t>
      </w:r>
      <w:r w:rsidRPr="000A6DB5">
        <w:rPr>
          <w:color w:val="000000"/>
          <w:spacing w:val="-4"/>
          <w:shd w:val="clear" w:color="auto" w:fill="FFFFFF"/>
          <w:lang w:val="en-GB"/>
        </w:rPr>
        <w:t>37 billion, which was higher than Nestlé’s Maggi brand and Kellogg’s in India.</w:t>
      </w:r>
      <w:r w:rsidRPr="000A6DB5">
        <w:rPr>
          <w:rStyle w:val="EndnoteReference"/>
          <w:color w:val="000000"/>
          <w:spacing w:val="-4"/>
          <w:shd w:val="clear" w:color="auto" w:fill="FFFFFF"/>
          <w:lang w:val="en-GB"/>
        </w:rPr>
        <w:endnoteReference w:id="28"/>
      </w:r>
      <w:r w:rsidRPr="000A6DB5">
        <w:rPr>
          <w:color w:val="000000"/>
          <w:spacing w:val="-4"/>
          <w:shd w:val="clear" w:color="auto" w:fill="FFFFFF"/>
          <w:lang w:val="en-GB"/>
        </w:rPr>
        <w:t xml:space="preserve"> </w:t>
      </w:r>
    </w:p>
    <w:p w14:paraId="1668314B" w14:textId="26B54AA9" w:rsidR="00E73AC6" w:rsidRPr="000A6DB5" w:rsidRDefault="00E73AC6" w:rsidP="00394F79">
      <w:pPr>
        <w:pStyle w:val="BodyTextMain"/>
        <w:rPr>
          <w:color w:val="000000"/>
          <w:shd w:val="clear" w:color="auto" w:fill="FFFFFF"/>
          <w:lang w:val="en-GB"/>
        </w:rPr>
      </w:pPr>
      <w:r w:rsidRPr="000A6DB5">
        <w:rPr>
          <w:color w:val="000000"/>
          <w:shd w:val="clear" w:color="auto" w:fill="FFFFFF"/>
          <w:lang w:val="en-GB"/>
        </w:rPr>
        <w:lastRenderedPageBreak/>
        <w:t xml:space="preserve">With numerous funds investing in Indian players, the competition among well-funded competitors was growing fast. Investment firm Lighthouse Funds had invested </w:t>
      </w:r>
      <w:r w:rsidRPr="000A6DB5">
        <w:rPr>
          <w:rStyle w:val="Emphasis"/>
          <w:rFonts w:ascii="Arial" w:hAnsi="Arial" w:cs="Arial"/>
          <w:bCs/>
          <w:i w:val="0"/>
          <w:iCs w:val="0"/>
          <w:sz w:val="20"/>
          <w:szCs w:val="20"/>
          <w:shd w:val="clear" w:color="auto" w:fill="FFFFFF"/>
          <w:lang w:val="en-GB"/>
        </w:rPr>
        <w:t>₹</w:t>
      </w:r>
      <w:r w:rsidRPr="000A6DB5">
        <w:rPr>
          <w:color w:val="000000"/>
          <w:shd w:val="clear" w:color="auto" w:fill="FFFFFF"/>
          <w:lang w:val="en-GB"/>
        </w:rPr>
        <w:t>1.25 billion in Bikaji Foods, while Westbridge Capital Ltd. had invested about 25 per cent in DFM Foods. These well-funded new-entrant competitors were potential threats to the existing players.</w:t>
      </w:r>
      <w:r w:rsidRPr="000A6DB5">
        <w:rPr>
          <w:rStyle w:val="EndnoteReference"/>
          <w:color w:val="000000"/>
          <w:shd w:val="clear" w:color="auto" w:fill="FFFFFF"/>
          <w:lang w:val="en-GB"/>
        </w:rPr>
        <w:endnoteReference w:id="29"/>
      </w:r>
    </w:p>
    <w:p w14:paraId="3637C30B" w14:textId="77777777" w:rsidR="00E73AC6" w:rsidRPr="000A6DB5" w:rsidRDefault="00E73AC6" w:rsidP="00394F79">
      <w:pPr>
        <w:pStyle w:val="BodyTextMain"/>
        <w:rPr>
          <w:color w:val="000000"/>
          <w:sz w:val="20"/>
          <w:shd w:val="clear" w:color="auto" w:fill="FFFFFF"/>
          <w:lang w:val="en-GB"/>
        </w:rPr>
      </w:pPr>
    </w:p>
    <w:p w14:paraId="160A201B" w14:textId="77777777" w:rsidR="00E73AC6" w:rsidRPr="000A6DB5" w:rsidRDefault="00E73AC6" w:rsidP="00394F79">
      <w:pPr>
        <w:pStyle w:val="BodyTextMain"/>
        <w:rPr>
          <w:color w:val="000000"/>
          <w:sz w:val="20"/>
          <w:shd w:val="clear" w:color="auto" w:fill="FFFFFF"/>
          <w:lang w:val="en-GB"/>
        </w:rPr>
      </w:pPr>
    </w:p>
    <w:p w14:paraId="14424AB3" w14:textId="77777777" w:rsidR="00E73AC6" w:rsidRPr="000A6DB5" w:rsidRDefault="00E73AC6" w:rsidP="00394F79">
      <w:pPr>
        <w:pStyle w:val="Casehead1"/>
        <w:rPr>
          <w:lang w:val="en-GB"/>
        </w:rPr>
      </w:pPr>
      <w:r w:rsidRPr="000A6DB5">
        <w:rPr>
          <w:lang w:val="en-GB"/>
        </w:rPr>
        <w:t xml:space="preserve">MARKETING COMMUNICATION </w:t>
      </w:r>
    </w:p>
    <w:p w14:paraId="1D7E6116" w14:textId="77777777" w:rsidR="00E73AC6" w:rsidRPr="000A6DB5" w:rsidRDefault="00E73AC6" w:rsidP="00394F79">
      <w:pPr>
        <w:pStyle w:val="BodyTextMain"/>
        <w:rPr>
          <w:lang w:val="en-GB"/>
        </w:rPr>
      </w:pPr>
    </w:p>
    <w:p w14:paraId="4E38765D" w14:textId="46B72B09" w:rsidR="00E73AC6" w:rsidRPr="008755C6" w:rsidRDefault="00E73AC6" w:rsidP="008755C6">
      <w:pPr>
        <w:pStyle w:val="BodyTextMain"/>
      </w:pPr>
      <w:r w:rsidRPr="008755C6">
        <w:t>Balaji Wafers focused on understanding the native tastes of its customers. The potential for traditional snacks was immense, and smart companies were gradually converting traditional “eaten-at-home” products to packaged products that could be consumed on the go.</w:t>
      </w:r>
      <w:r w:rsidRPr="008755C6">
        <w:rPr>
          <w:rStyle w:val="EndnoteReference"/>
        </w:rPr>
        <w:endnoteReference w:id="30"/>
      </w:r>
      <w:r w:rsidRPr="008755C6">
        <w:t xml:space="preserve"> Additionally, because of the hygiene factor, consumers’ preferences were shifting to packaged branded namkeen over unbranded products from local bakeries, thus increasing the market shares of local brands.</w:t>
      </w:r>
      <w:r w:rsidRPr="008755C6">
        <w:rPr>
          <w:rStyle w:val="EndnoteReference"/>
          <w:vertAlign w:val="baseline"/>
        </w:rPr>
        <w:endnoteReference w:id="31"/>
      </w:r>
      <w:r w:rsidRPr="008755C6">
        <w:t xml:space="preserve"> Consumers also perceived traditional Indian snacks to be healthier, and preferred brands that contained commonly used ingredients often found in Indian kitchens.</w:t>
      </w:r>
      <w:r w:rsidRPr="008755C6">
        <w:rPr>
          <w:rStyle w:val="EndnoteReference"/>
        </w:rPr>
        <w:endnoteReference w:id="32"/>
      </w:r>
      <w:r w:rsidRPr="008755C6">
        <w:t xml:space="preserve"> Indian consumers had discerning tastes, and existing local players like Balaji Wafers experimented with tastes to keep its brands relevant to consumers. This was one of the strengths of regional brands—they understood Indian tastes better and could offer variety at low operating and marketing costs.</w:t>
      </w:r>
      <w:r w:rsidRPr="008755C6">
        <w:rPr>
          <w:rStyle w:val="EndnoteReference"/>
        </w:rPr>
        <w:endnoteReference w:id="33"/>
      </w:r>
      <w:r w:rsidRPr="008755C6">
        <w:rPr>
          <w:vertAlign w:val="superscript"/>
        </w:rPr>
        <w:t xml:space="preserve"> </w:t>
      </w:r>
      <w:r w:rsidRPr="008755C6">
        <w:t>Furthermore, as the organized players increased the affordability and availability of their products, they experienced increased sales from consumers who shifted from the unorganized market to these brands. The increased reach and new product launches also contributed to the growth of all local players.</w:t>
      </w:r>
      <w:r w:rsidRPr="008755C6">
        <w:rPr>
          <w:rStyle w:val="EndnoteReference"/>
        </w:rPr>
        <w:endnoteReference w:id="34"/>
      </w:r>
    </w:p>
    <w:p w14:paraId="6721B69C" w14:textId="77777777" w:rsidR="00E73AC6" w:rsidRPr="008755C6" w:rsidRDefault="00E73AC6" w:rsidP="008755C6">
      <w:pPr>
        <w:pStyle w:val="BodyTextMain"/>
      </w:pPr>
    </w:p>
    <w:p w14:paraId="13675CEF" w14:textId="100C36FA" w:rsidR="00E73AC6" w:rsidRPr="008755C6" w:rsidRDefault="00E73AC6" w:rsidP="008755C6">
      <w:pPr>
        <w:pStyle w:val="BodyTextMain"/>
      </w:pPr>
      <w:r w:rsidRPr="008755C6">
        <w:t>It appeared that Balaji Wafers understood the palates of its large regional customer base in India, stepping in with products with localized flavours that catered to these tastes. This strategy of balancing price, flavour, and distribution helped the group capture a 90 per cent share of the Gujarat wafers market and 70 per cent of the namkeen market. In Gujarat, the company’s product mix was just right, and it catered to the Gujarati sweet tooth by making its products less spicy. The company offered masala wafers to cater to the Gujarati palate, chaat masala for the Maharashtrian market, and a range of spicy snacks for the Rajasthan market.</w:t>
      </w:r>
      <w:r w:rsidRPr="008755C6">
        <w:rPr>
          <w:rStyle w:val="EndnoteReference"/>
        </w:rPr>
        <w:endnoteReference w:id="35"/>
      </w:r>
    </w:p>
    <w:p w14:paraId="7F6503A1" w14:textId="77777777" w:rsidR="00E73AC6" w:rsidRPr="008755C6" w:rsidRDefault="00E73AC6" w:rsidP="008755C6">
      <w:pPr>
        <w:pStyle w:val="BodyTextMain"/>
      </w:pPr>
    </w:p>
    <w:p w14:paraId="61492A47" w14:textId="139EB28D" w:rsidR="00E73AC6" w:rsidRPr="000A6DB5" w:rsidRDefault="00E73AC6" w:rsidP="00394F79">
      <w:pPr>
        <w:pStyle w:val="BodyTextMain"/>
        <w:rPr>
          <w:lang w:val="en-GB"/>
        </w:rPr>
      </w:pPr>
      <w:r w:rsidRPr="000A6DB5">
        <w:rPr>
          <w:lang w:val="en-GB"/>
        </w:rPr>
        <w:t xml:space="preserve">Balaji Wafers spent negligible amounts on marketing and advertising. PepsiCo’s Lay’s, its nearest competitor, spent over 7–8 </w:t>
      </w:r>
      <w:r>
        <w:rPr>
          <w:lang w:val="en-GB"/>
        </w:rPr>
        <w:t>per cent</w:t>
      </w:r>
      <w:r w:rsidRPr="000A6DB5">
        <w:rPr>
          <w:lang w:val="en-GB"/>
        </w:rPr>
        <w:t xml:space="preserve"> of its snack revenue on advertising, including endorsements from Bollywood superstars such as Ranbir Kapoor.</w:t>
      </w:r>
      <w:r w:rsidRPr="000A6DB5">
        <w:rPr>
          <w:rStyle w:val="EndnoteReference"/>
          <w:lang w:val="en-GB"/>
        </w:rPr>
        <w:endnoteReference w:id="36"/>
      </w:r>
      <w:r w:rsidRPr="000A6DB5">
        <w:rPr>
          <w:lang w:val="en-GB"/>
        </w:rPr>
        <w:t xml:space="preserve"> Even though Balaji Wafers did not spend much on advertising and communication, it had made inroads beyond its stronghold market of Gujarat into states such as Rajasthan, Maharashtra, Madhya Pradesh, and Goa. It relied more on </w:t>
      </w:r>
      <w:r>
        <w:rPr>
          <w:lang w:val="en-GB"/>
        </w:rPr>
        <w:t>word of mouth</w:t>
      </w:r>
      <w:r w:rsidRPr="000A6DB5">
        <w:rPr>
          <w:lang w:val="en-GB"/>
        </w:rPr>
        <w:t xml:space="preserve"> publicity. There were apprehensions about whether such minimal expenditure on marketing would work when Balaji went national, as local player ad spends could nearly double compared to those of global players, in line with international trends.</w:t>
      </w:r>
      <w:r w:rsidRPr="000A6DB5">
        <w:rPr>
          <w:rStyle w:val="EndnoteReference"/>
          <w:lang w:val="en-GB"/>
        </w:rPr>
        <w:endnoteReference w:id="37"/>
      </w:r>
    </w:p>
    <w:p w14:paraId="6868A4E4" w14:textId="77777777" w:rsidR="00E73AC6" w:rsidRPr="000A6DB5" w:rsidRDefault="00E73AC6" w:rsidP="00394F79">
      <w:pPr>
        <w:pStyle w:val="BodyTextMain"/>
        <w:rPr>
          <w:lang w:val="en-GB"/>
        </w:rPr>
      </w:pPr>
    </w:p>
    <w:p w14:paraId="4EE7CA1F" w14:textId="77777777" w:rsidR="00E73AC6" w:rsidRPr="000A6DB5" w:rsidRDefault="00E73AC6" w:rsidP="00394F79">
      <w:pPr>
        <w:pStyle w:val="BodyTextMain"/>
        <w:rPr>
          <w:lang w:val="en-GB"/>
        </w:rPr>
      </w:pPr>
    </w:p>
    <w:p w14:paraId="2D41E96B" w14:textId="69EFCA89" w:rsidR="00E73AC6" w:rsidRPr="000A6DB5" w:rsidRDefault="00E73AC6" w:rsidP="00394F79">
      <w:pPr>
        <w:pStyle w:val="Casehead1"/>
        <w:rPr>
          <w:lang w:val="en-GB"/>
        </w:rPr>
      </w:pPr>
      <w:r w:rsidRPr="000A6DB5">
        <w:rPr>
          <w:lang w:val="en-GB"/>
        </w:rPr>
        <w:t>DISTRIBUTION</w:t>
      </w:r>
      <w:r w:rsidRPr="000A6DB5">
        <w:rPr>
          <w:rStyle w:val="EndnoteReference"/>
          <w:rFonts w:ascii="Times New Roman" w:hAnsi="Times New Roman" w:cs="Times New Roman"/>
          <w:b w:val="0"/>
          <w:sz w:val="22"/>
          <w:szCs w:val="22"/>
          <w:lang w:val="en-GB"/>
        </w:rPr>
        <w:endnoteReference w:id="38"/>
      </w:r>
    </w:p>
    <w:p w14:paraId="118AA928" w14:textId="77777777" w:rsidR="00E73AC6" w:rsidRPr="000A6DB5" w:rsidRDefault="00E73AC6" w:rsidP="00394F79">
      <w:pPr>
        <w:pStyle w:val="BodyTextMain"/>
        <w:rPr>
          <w:lang w:val="en-GB"/>
        </w:rPr>
      </w:pPr>
    </w:p>
    <w:p w14:paraId="54A485C3" w14:textId="5F84A5D6" w:rsidR="00E73AC6" w:rsidRPr="000A6DB5" w:rsidRDefault="00E73AC6" w:rsidP="00394F79">
      <w:pPr>
        <w:pStyle w:val="BodyTextMain"/>
        <w:rPr>
          <w:lang w:val="en-GB"/>
        </w:rPr>
      </w:pPr>
      <w:r w:rsidRPr="000A6DB5">
        <w:rPr>
          <w:lang w:val="en-GB"/>
        </w:rPr>
        <w:t>Chandubhai believed Balaji Wafers had to focus on distribution to achieve growth. By late 2016, it had a network of 10–12 sole distributors and 700 dealers in Gujarat, Maharashtra, Rajasthan, Madhya Pradesh, and Goa</w:t>
      </w:r>
      <w:r>
        <w:rPr>
          <w:lang w:val="en-GB"/>
        </w:rPr>
        <w:t>,</w:t>
      </w:r>
      <w:r w:rsidRPr="000A6DB5">
        <w:rPr>
          <w:lang w:val="en-GB"/>
        </w:rPr>
        <w:t xml:space="preserve"> covering over 2,000,000 retailers</w:t>
      </w:r>
      <w:r>
        <w:rPr>
          <w:lang w:val="en-GB"/>
        </w:rPr>
        <w:t xml:space="preserve"> and</w:t>
      </w:r>
      <w:r w:rsidRPr="000A6DB5">
        <w:rPr>
          <w:lang w:val="en-GB"/>
        </w:rPr>
        <w:t xml:space="preserve"> reaching millions of final consumers. Balaji Wafers had a strong hold on the retail channel and could reach the depths of the market. It encouraged its dealers to provide their own fleet of trucks, which Balaji compensated for through higher margins. This not only reduced the role of intermediaries but also kept distribution costs low. Balaji Wafers wanted its product to speak for itself and ensured that it was easily available to the customer.</w:t>
      </w:r>
    </w:p>
    <w:p w14:paraId="0E2D9E37" w14:textId="77777777" w:rsidR="00E73AC6" w:rsidRPr="000A6DB5" w:rsidRDefault="00E73AC6" w:rsidP="00394F79">
      <w:pPr>
        <w:pStyle w:val="BodyTextMain"/>
        <w:rPr>
          <w:lang w:val="en-GB"/>
        </w:rPr>
      </w:pPr>
    </w:p>
    <w:p w14:paraId="5ED7B79D" w14:textId="7C7E55F3" w:rsidR="00E73AC6" w:rsidRPr="000A6DB5" w:rsidRDefault="00E73AC6" w:rsidP="00394F79">
      <w:pPr>
        <w:pStyle w:val="BodyTextMain"/>
        <w:rPr>
          <w:lang w:val="en-GB"/>
        </w:rPr>
      </w:pPr>
      <w:r w:rsidRPr="000A6DB5">
        <w:rPr>
          <w:lang w:val="en-GB"/>
        </w:rPr>
        <w:t xml:space="preserve">According to a 2017 Euromonitor International report, </w:t>
      </w:r>
      <w:r>
        <w:rPr>
          <w:lang w:val="en-GB"/>
        </w:rPr>
        <w:t>grocery store–based</w:t>
      </w:r>
      <w:r w:rsidRPr="000A6DB5">
        <w:rPr>
          <w:lang w:val="en-GB"/>
        </w:rPr>
        <w:t xml:space="preserve"> retailing constituted 99.9 per cent of the channel distribution for savoury snacks in India. Of this, 83.7 per cent were traditional grocery </w:t>
      </w:r>
      <w:r w:rsidRPr="000A6DB5">
        <w:rPr>
          <w:lang w:val="en-GB"/>
        </w:rPr>
        <w:lastRenderedPageBreak/>
        <w:t xml:space="preserve">retailers and 16.2 per cent were modern grocery retailers. Of the traditional retailers, 70 per cent were independent </w:t>
      </w:r>
      <w:r w:rsidRPr="000A6DB5">
        <w:rPr>
          <w:i/>
          <w:lang w:val="en-GB"/>
        </w:rPr>
        <w:t>kirana</w:t>
      </w:r>
      <w:r w:rsidRPr="000A6DB5">
        <w:rPr>
          <w:lang w:val="en-GB"/>
        </w:rPr>
        <w:t xml:space="preserve"> stores (local mom-and-pop grocery stores). However, the traditional independent grocers were declining in number and being replaced by the growing number of modern grocery retailers. The remaining 0.1 per cent of the channel distribution for savoury snacks was made up by Internet sales and non-store retailing, which was also a growing segment. </w:t>
      </w:r>
    </w:p>
    <w:p w14:paraId="14ABECE3" w14:textId="77777777" w:rsidR="00E73AC6" w:rsidRPr="000A6DB5" w:rsidRDefault="00E73AC6" w:rsidP="00394F79">
      <w:pPr>
        <w:pStyle w:val="BodyTextMain"/>
        <w:rPr>
          <w:sz w:val="20"/>
          <w:lang w:val="en-GB"/>
        </w:rPr>
      </w:pPr>
    </w:p>
    <w:p w14:paraId="22AB74B1" w14:textId="0D9BA0CC" w:rsidR="00E73AC6" w:rsidRPr="000A6DB5" w:rsidRDefault="00E73AC6" w:rsidP="00394F79">
      <w:pPr>
        <w:pStyle w:val="BodyTextMain"/>
        <w:rPr>
          <w:lang w:val="en-GB"/>
        </w:rPr>
      </w:pPr>
      <w:r w:rsidRPr="000A6DB5">
        <w:rPr>
          <w:lang w:val="en-GB"/>
        </w:rPr>
        <w:t xml:space="preserve">Balaji Wafers’ distribution strategy had given it a </w:t>
      </w:r>
      <w:r>
        <w:rPr>
          <w:lang w:val="en-GB"/>
        </w:rPr>
        <w:t>70 per cent</w:t>
      </w:r>
      <w:r w:rsidRPr="000A6DB5">
        <w:rPr>
          <w:lang w:val="en-GB"/>
        </w:rPr>
        <w:t xml:space="preserve"> market share in Gujarat. Balaji Wafers had also displaced Pep</w:t>
      </w:r>
      <w:r>
        <w:rPr>
          <w:lang w:val="en-GB"/>
        </w:rPr>
        <w:t>s</w:t>
      </w:r>
      <w:r w:rsidRPr="000A6DB5">
        <w:rPr>
          <w:lang w:val="en-GB"/>
        </w:rPr>
        <w:t xml:space="preserve">iCo’s Lay’s in neighbouring Maharashtra to gain a huge </w:t>
      </w:r>
      <w:r>
        <w:rPr>
          <w:lang w:val="en-GB"/>
        </w:rPr>
        <w:t>60 per cent</w:t>
      </w:r>
      <w:r w:rsidRPr="000A6DB5">
        <w:rPr>
          <w:lang w:val="en-GB"/>
        </w:rPr>
        <w:t xml:space="preserve"> market share in 2014, just five years after entering this market in 2009. External industry experts believed the Balaji brand name was restricted to Gujarat and Maharashtra and virtually unknown outside these two states, even though customers were extremely satisfied with Balaji products.</w:t>
      </w:r>
    </w:p>
    <w:p w14:paraId="49E45EBB" w14:textId="77777777" w:rsidR="00E73AC6" w:rsidRPr="000A6DB5" w:rsidRDefault="00E73AC6" w:rsidP="00394F79">
      <w:pPr>
        <w:pStyle w:val="BodyTextMain"/>
        <w:rPr>
          <w:sz w:val="20"/>
          <w:lang w:val="en-GB"/>
        </w:rPr>
      </w:pPr>
    </w:p>
    <w:p w14:paraId="26A874EE" w14:textId="77777777" w:rsidR="00E73AC6" w:rsidRPr="000A6DB5" w:rsidRDefault="00E73AC6" w:rsidP="00394F79">
      <w:pPr>
        <w:pStyle w:val="BodyTextMain"/>
        <w:rPr>
          <w:sz w:val="20"/>
          <w:lang w:val="en-GB"/>
        </w:rPr>
      </w:pPr>
    </w:p>
    <w:p w14:paraId="279AA501" w14:textId="5CBC2D69" w:rsidR="00E73AC6" w:rsidRPr="000A6DB5" w:rsidRDefault="00E73AC6" w:rsidP="00394F79">
      <w:pPr>
        <w:pStyle w:val="Casehead1"/>
        <w:rPr>
          <w:lang w:val="en-GB"/>
        </w:rPr>
      </w:pPr>
      <w:r w:rsidRPr="000A6DB5">
        <w:rPr>
          <w:lang w:val="en-GB"/>
        </w:rPr>
        <w:t>PRICING</w:t>
      </w:r>
      <w:r w:rsidRPr="000A6DB5">
        <w:rPr>
          <w:rStyle w:val="EndnoteReference"/>
          <w:rFonts w:ascii="Times New Roman" w:hAnsi="Times New Roman" w:cs="Times New Roman"/>
          <w:b w:val="0"/>
          <w:sz w:val="22"/>
          <w:szCs w:val="22"/>
          <w:lang w:val="en-GB"/>
        </w:rPr>
        <w:endnoteReference w:id="39"/>
      </w:r>
    </w:p>
    <w:p w14:paraId="591302ED" w14:textId="77777777" w:rsidR="00E73AC6" w:rsidRPr="000A6DB5" w:rsidRDefault="00E73AC6" w:rsidP="00394F79">
      <w:pPr>
        <w:pStyle w:val="BodyTextMain"/>
        <w:rPr>
          <w:sz w:val="20"/>
          <w:lang w:val="en-GB"/>
        </w:rPr>
      </w:pPr>
    </w:p>
    <w:p w14:paraId="72B8E955" w14:textId="22BFCC69" w:rsidR="00E73AC6" w:rsidRPr="000A6DB5" w:rsidRDefault="00E73AC6" w:rsidP="00394F79">
      <w:pPr>
        <w:pStyle w:val="BodyTextMain"/>
        <w:rPr>
          <w:lang w:val="en-GB"/>
        </w:rPr>
      </w:pPr>
      <w:r w:rsidRPr="000A6DB5">
        <w:rPr>
          <w:lang w:val="en-GB"/>
        </w:rPr>
        <w:t xml:space="preserve">Bhikubhai had stated that Balaji Wafers’ products were so affordable that even a school kid could buy them. He also believed that the products should be filling and their consumption should not cause concern among health-conscious parents. A </w:t>
      </w:r>
      <w:r w:rsidRPr="000A6DB5">
        <w:rPr>
          <w:rStyle w:val="Emphasis"/>
          <w:rFonts w:ascii="Arial" w:hAnsi="Arial" w:cs="Arial"/>
          <w:bCs/>
          <w:i w:val="0"/>
          <w:iCs w:val="0"/>
          <w:sz w:val="20"/>
          <w:szCs w:val="20"/>
          <w:shd w:val="clear" w:color="auto" w:fill="FFFFFF"/>
          <w:lang w:val="en-GB"/>
        </w:rPr>
        <w:t>₹</w:t>
      </w:r>
      <w:r>
        <w:rPr>
          <w:lang w:val="en-GB"/>
        </w:rPr>
        <w:t>10 pack</w:t>
      </w:r>
      <w:r w:rsidRPr="000A6DB5">
        <w:rPr>
          <w:lang w:val="en-GB"/>
        </w:rPr>
        <w:t xml:space="preserve"> of Lay’s or Bingo! contained around 13 grams of chips, while a Balaji Wafers’ pack for the same price contained 20 grams of chips. Consequently, Balaji Wafers continued to sell its namkeen and wafers for as low as </w:t>
      </w:r>
      <w:r w:rsidRPr="000A6DB5">
        <w:rPr>
          <w:rStyle w:val="Emphasis"/>
          <w:rFonts w:ascii="Arial" w:hAnsi="Arial" w:cs="Arial"/>
          <w:bCs/>
          <w:i w:val="0"/>
          <w:iCs w:val="0"/>
          <w:sz w:val="20"/>
          <w:szCs w:val="20"/>
          <w:shd w:val="clear" w:color="auto" w:fill="FFFFFF"/>
          <w:lang w:val="en-GB"/>
        </w:rPr>
        <w:t>₹</w:t>
      </w:r>
      <w:r w:rsidRPr="000A6DB5">
        <w:rPr>
          <w:lang w:val="en-GB"/>
        </w:rPr>
        <w:t xml:space="preserve">1 and </w:t>
      </w:r>
      <w:r w:rsidRPr="000A6DB5">
        <w:rPr>
          <w:rStyle w:val="Emphasis"/>
          <w:rFonts w:ascii="Arial" w:hAnsi="Arial" w:cs="Arial"/>
          <w:bCs/>
          <w:i w:val="0"/>
          <w:iCs w:val="0"/>
          <w:sz w:val="20"/>
          <w:szCs w:val="20"/>
          <w:shd w:val="clear" w:color="auto" w:fill="FFFFFF"/>
          <w:lang w:val="en-GB"/>
        </w:rPr>
        <w:t>₹</w:t>
      </w:r>
      <w:r w:rsidRPr="000A6DB5">
        <w:rPr>
          <w:lang w:val="en-GB"/>
        </w:rPr>
        <w:t>5 per packet, respectively.</w:t>
      </w:r>
    </w:p>
    <w:p w14:paraId="3ADC5724" w14:textId="77777777" w:rsidR="00E73AC6" w:rsidRPr="000A6DB5" w:rsidRDefault="00E73AC6" w:rsidP="00394F79">
      <w:pPr>
        <w:pStyle w:val="BodyTextMain"/>
        <w:rPr>
          <w:sz w:val="20"/>
          <w:lang w:val="en-GB"/>
        </w:rPr>
      </w:pPr>
    </w:p>
    <w:p w14:paraId="3207E442" w14:textId="46FA5855" w:rsidR="00E73AC6" w:rsidRPr="000A6DB5" w:rsidRDefault="00E73AC6" w:rsidP="00394F79">
      <w:pPr>
        <w:pStyle w:val="BodyTextMain"/>
        <w:rPr>
          <w:lang w:val="en-GB"/>
        </w:rPr>
      </w:pPr>
      <w:r w:rsidRPr="000A6DB5">
        <w:rPr>
          <w:lang w:val="en-GB"/>
        </w:rPr>
        <w:t xml:space="preserve">Chandubhai followed pricing for price-conscious buyers, an increasing challenge because of rising potato prices. The company used economy pricing coupled with low operations costs and an intensive distribution model. Its low overheads helped in passing on a greater value share to its customers. Erratic potato prices and consumers’ unwillingness to consume more of the product had </w:t>
      </w:r>
      <w:r>
        <w:rPr>
          <w:lang w:val="en-GB"/>
        </w:rPr>
        <w:t>affected</w:t>
      </w:r>
      <w:r w:rsidRPr="000A6DB5">
        <w:rPr>
          <w:lang w:val="en-GB"/>
        </w:rPr>
        <w:t xml:space="preserve"> sales of potato wafers. The contribution of potato wafers to Balaji Wafers’ revenues declined from 70 </w:t>
      </w:r>
      <w:r>
        <w:rPr>
          <w:lang w:val="en-GB"/>
        </w:rPr>
        <w:t>per cent</w:t>
      </w:r>
      <w:r w:rsidRPr="000A6DB5">
        <w:rPr>
          <w:lang w:val="en-GB"/>
        </w:rPr>
        <w:t xml:space="preserve"> to 40 per cent. Balaji responded by increasing its concentration on snacks, which also gave it higher margins compared to wafers.</w:t>
      </w:r>
    </w:p>
    <w:p w14:paraId="73CC8C31" w14:textId="77777777" w:rsidR="00E73AC6" w:rsidRPr="000A6DB5" w:rsidRDefault="00E73AC6" w:rsidP="00394F79">
      <w:pPr>
        <w:pStyle w:val="BodyTextMain"/>
        <w:rPr>
          <w:sz w:val="20"/>
          <w:lang w:val="en-GB"/>
        </w:rPr>
      </w:pPr>
    </w:p>
    <w:p w14:paraId="092B3A4D" w14:textId="6D67FFED" w:rsidR="00E73AC6" w:rsidRPr="000A6DB5" w:rsidRDefault="00E73AC6" w:rsidP="00394F79">
      <w:pPr>
        <w:pStyle w:val="BodyTextMain"/>
        <w:rPr>
          <w:lang w:val="en-GB"/>
        </w:rPr>
      </w:pPr>
      <w:r w:rsidRPr="000A6DB5">
        <w:rPr>
          <w:lang w:val="en-GB"/>
        </w:rPr>
        <w:t>Rolling out nationally would not only increase the company’s overheads, it would also lead to additional distribution, advertising, and marketing costs. If it went national, Balaji Wafers would have to consider whether it would be able to use its penetrative pricing strategy, which traditionally had given it a competitive advantage in Gujarat and Maharashtra.</w:t>
      </w:r>
    </w:p>
    <w:p w14:paraId="5A68513F" w14:textId="77777777" w:rsidR="00E73AC6" w:rsidRPr="000A6DB5" w:rsidRDefault="00E73AC6" w:rsidP="00394F79">
      <w:pPr>
        <w:pStyle w:val="BodyTextMain"/>
        <w:rPr>
          <w:sz w:val="20"/>
          <w:lang w:val="en-GB"/>
        </w:rPr>
      </w:pPr>
    </w:p>
    <w:p w14:paraId="6F01BD58" w14:textId="77777777" w:rsidR="00E73AC6" w:rsidRPr="000A6DB5" w:rsidRDefault="00E73AC6" w:rsidP="00394F79">
      <w:pPr>
        <w:pStyle w:val="BodyTextMain"/>
        <w:rPr>
          <w:sz w:val="20"/>
          <w:lang w:val="en-GB"/>
        </w:rPr>
      </w:pPr>
    </w:p>
    <w:p w14:paraId="30C9C28B" w14:textId="4188B779" w:rsidR="00E73AC6" w:rsidRPr="000A6DB5" w:rsidRDefault="00E73AC6" w:rsidP="00394F79">
      <w:pPr>
        <w:pStyle w:val="Casehead1"/>
        <w:rPr>
          <w:lang w:val="en-GB"/>
        </w:rPr>
      </w:pPr>
      <w:r w:rsidRPr="000A6DB5">
        <w:rPr>
          <w:lang w:val="en-GB"/>
        </w:rPr>
        <w:t>MANAGING THE FAMILY BUSINESS</w:t>
      </w:r>
      <w:r w:rsidRPr="000A6DB5">
        <w:rPr>
          <w:rStyle w:val="EndnoteReference"/>
          <w:rFonts w:ascii="Times New Roman" w:hAnsi="Times New Roman" w:cs="Times New Roman"/>
          <w:b w:val="0"/>
          <w:sz w:val="22"/>
          <w:szCs w:val="22"/>
          <w:lang w:val="en-GB"/>
        </w:rPr>
        <w:endnoteReference w:id="40"/>
      </w:r>
    </w:p>
    <w:p w14:paraId="36248EB7" w14:textId="77777777" w:rsidR="00E73AC6" w:rsidRPr="000A6DB5" w:rsidRDefault="00E73AC6" w:rsidP="00394F79">
      <w:pPr>
        <w:pStyle w:val="BodyTextMain"/>
        <w:rPr>
          <w:sz w:val="20"/>
          <w:lang w:val="en-GB"/>
        </w:rPr>
      </w:pPr>
    </w:p>
    <w:p w14:paraId="473925CA" w14:textId="516A3153" w:rsidR="00E73AC6" w:rsidRPr="000A6DB5" w:rsidRDefault="00E73AC6" w:rsidP="00394F79">
      <w:pPr>
        <w:pStyle w:val="BodyTextMain"/>
        <w:rPr>
          <w:lang w:val="en-GB"/>
        </w:rPr>
      </w:pPr>
      <w:r w:rsidRPr="000A6DB5">
        <w:rPr>
          <w:lang w:val="en-GB"/>
        </w:rPr>
        <w:t xml:space="preserve">Balaji Wafers was hesitant to hire professionals, and most of its existing employees had been groomed by Chandubhai himself. These employees were loyal, unlike professionals, who Chandubhai believed would not stick around. His experience had shown him that the people who were trained by him did stay and were loyal to the company. The sole exception was the head of production, Nishika Bapat, who had formerly been with PepsiCo. The next generation was skeptical of this mindset to avoid hiring professionals, which had worked in the past. The new generation wanted to expand the skill base, especially with the company planning to grow nationally and even export its products outside India. </w:t>
      </w:r>
    </w:p>
    <w:p w14:paraId="766B814F" w14:textId="77777777" w:rsidR="00E73AC6" w:rsidRPr="000A6DB5" w:rsidRDefault="00E73AC6" w:rsidP="00394F79">
      <w:pPr>
        <w:pStyle w:val="BodyTextMain"/>
        <w:rPr>
          <w:sz w:val="20"/>
          <w:lang w:val="en-GB"/>
        </w:rPr>
      </w:pPr>
    </w:p>
    <w:p w14:paraId="154CA61E" w14:textId="60732555" w:rsidR="00E73AC6" w:rsidRPr="000A6DB5" w:rsidRDefault="00E73AC6" w:rsidP="00394F79">
      <w:pPr>
        <w:pStyle w:val="BodyTextMain"/>
        <w:rPr>
          <w:lang w:val="en-GB"/>
        </w:rPr>
      </w:pPr>
      <w:r w:rsidRPr="000A6DB5">
        <w:rPr>
          <w:lang w:val="en-GB"/>
        </w:rPr>
        <w:t xml:space="preserve">The next generation was involved in multiple initiatives within the company: </w:t>
      </w:r>
    </w:p>
    <w:p w14:paraId="388D8E76" w14:textId="3290B392" w:rsidR="00E73AC6" w:rsidRPr="000A6DB5" w:rsidRDefault="00E73AC6" w:rsidP="00394F79">
      <w:pPr>
        <w:pStyle w:val="BodyTextMain"/>
        <w:rPr>
          <w:sz w:val="20"/>
          <w:lang w:val="en-GB"/>
        </w:rPr>
      </w:pPr>
    </w:p>
    <w:p w14:paraId="299F1C3C" w14:textId="18E6D47C" w:rsidR="00E73AC6" w:rsidRPr="000A6DB5" w:rsidRDefault="00E73AC6" w:rsidP="00394F79">
      <w:pPr>
        <w:pStyle w:val="BodyTextMain"/>
        <w:numPr>
          <w:ilvl w:val="0"/>
          <w:numId w:val="13"/>
        </w:numPr>
        <w:rPr>
          <w:lang w:val="en-GB"/>
        </w:rPr>
      </w:pPr>
      <w:r w:rsidRPr="000A6DB5">
        <w:rPr>
          <w:lang w:val="en-GB"/>
        </w:rPr>
        <w:t xml:space="preserve">Product Innovation: As consumer preferences were moving towards healthier snack options, the company invested </w:t>
      </w:r>
      <w:r w:rsidRPr="000A6DB5">
        <w:rPr>
          <w:rStyle w:val="Emphasis"/>
          <w:rFonts w:ascii="Arial" w:hAnsi="Arial" w:cs="Arial"/>
          <w:bCs/>
          <w:i w:val="0"/>
          <w:iCs w:val="0"/>
          <w:sz w:val="20"/>
          <w:szCs w:val="20"/>
          <w:shd w:val="clear" w:color="auto" w:fill="FFFFFF"/>
          <w:lang w:val="en-GB"/>
        </w:rPr>
        <w:t>₹</w:t>
      </w:r>
      <w:r w:rsidRPr="000A6DB5">
        <w:rPr>
          <w:lang w:val="en-GB"/>
        </w:rPr>
        <w:t xml:space="preserve">2.5 billion for new machinery in Rajkot to make baked </w:t>
      </w:r>
      <w:r>
        <w:rPr>
          <w:lang w:val="en-GB"/>
        </w:rPr>
        <w:t>multi-grain</w:t>
      </w:r>
      <w:r w:rsidRPr="000A6DB5">
        <w:rPr>
          <w:lang w:val="en-GB"/>
        </w:rPr>
        <w:t xml:space="preserve"> snacks, which were healthier. The challenge for Balaji Wafers was that competing products in </w:t>
      </w:r>
      <w:r>
        <w:rPr>
          <w:lang w:val="en-GB"/>
        </w:rPr>
        <w:t xml:space="preserve">the </w:t>
      </w:r>
      <w:r w:rsidRPr="000A6DB5">
        <w:rPr>
          <w:lang w:val="en-GB"/>
        </w:rPr>
        <w:t xml:space="preserve">same category (PepsiCo’s Aliva and Parle’s Smart Chips) had failed in the past. The </w:t>
      </w:r>
      <w:r>
        <w:rPr>
          <w:lang w:val="en-GB"/>
        </w:rPr>
        <w:t>Viranis</w:t>
      </w:r>
      <w:r w:rsidRPr="000A6DB5">
        <w:rPr>
          <w:lang w:val="en-GB"/>
        </w:rPr>
        <w:t xml:space="preserve"> therefore wanted to ensure </w:t>
      </w:r>
      <w:r w:rsidRPr="000A6DB5">
        <w:rPr>
          <w:lang w:val="en-GB"/>
        </w:rPr>
        <w:lastRenderedPageBreak/>
        <w:t>they could offer health benefits without sacrificing the taste of their snacks. They were also working on their traditional products, such as potato wafers and namkeen, to reduce the amount of oil used without compromising on taste.</w:t>
      </w:r>
    </w:p>
    <w:p w14:paraId="3866A399" w14:textId="6A72476D" w:rsidR="00E73AC6" w:rsidRPr="000A6DB5" w:rsidRDefault="00E73AC6" w:rsidP="00394F79">
      <w:pPr>
        <w:pStyle w:val="BodyTextMain"/>
        <w:numPr>
          <w:ilvl w:val="0"/>
          <w:numId w:val="13"/>
        </w:numPr>
        <w:rPr>
          <w:lang w:val="en-GB"/>
        </w:rPr>
      </w:pPr>
      <w:r w:rsidRPr="000A6DB5">
        <w:rPr>
          <w:lang w:val="en-GB"/>
        </w:rPr>
        <w:t xml:space="preserve">Market Expansion: Balaji Wafers invested in scaling up and upgrading the manufacturing unit at Indore to try and capture the </w:t>
      </w:r>
      <w:r>
        <w:rPr>
          <w:lang w:val="en-GB"/>
        </w:rPr>
        <w:t>northern</w:t>
      </w:r>
      <w:r w:rsidRPr="000A6DB5">
        <w:rPr>
          <w:lang w:val="en-GB"/>
        </w:rPr>
        <w:t xml:space="preserve"> India markets, not only for scaling up investments to build capacity but also for brand building. </w:t>
      </w:r>
    </w:p>
    <w:p w14:paraId="6EFB704A" w14:textId="6ED8FACB" w:rsidR="00E73AC6" w:rsidRPr="000A6DB5" w:rsidRDefault="00E73AC6" w:rsidP="00394F79">
      <w:pPr>
        <w:pStyle w:val="BodyTextMain"/>
        <w:numPr>
          <w:ilvl w:val="0"/>
          <w:numId w:val="13"/>
        </w:numPr>
        <w:rPr>
          <w:lang w:val="en-GB"/>
        </w:rPr>
      </w:pPr>
      <w:r w:rsidRPr="000A6DB5">
        <w:rPr>
          <w:lang w:val="en-GB"/>
        </w:rPr>
        <w:t>Strategic Investments: The next generation felt that it needed strategic investments to take the business to the next level. A strategic partnership could get the company access to global best practices and funds for expanding operations.</w:t>
      </w:r>
    </w:p>
    <w:p w14:paraId="3F0FAEA9" w14:textId="77777777" w:rsidR="00E73AC6" w:rsidRPr="000A6DB5" w:rsidRDefault="00E73AC6" w:rsidP="00394F79">
      <w:pPr>
        <w:pStyle w:val="BodyTextMain"/>
        <w:rPr>
          <w:sz w:val="20"/>
          <w:lang w:val="en-GB"/>
        </w:rPr>
      </w:pPr>
    </w:p>
    <w:p w14:paraId="57AC52E6" w14:textId="18EBB18D" w:rsidR="00E73AC6" w:rsidRPr="000A6DB5" w:rsidRDefault="00E73AC6" w:rsidP="00394F79">
      <w:pPr>
        <w:pStyle w:val="BodyTextMain"/>
        <w:rPr>
          <w:rFonts w:ascii="Arial" w:hAnsi="Arial" w:cs="Arial"/>
          <w:strike/>
          <w:lang w:val="en-GB"/>
        </w:rPr>
      </w:pPr>
      <w:r w:rsidRPr="000A6DB5">
        <w:rPr>
          <w:lang w:val="en-GB"/>
        </w:rPr>
        <w:t>Chandubhai was not very keen on strategic investors, stating, “Strategic partners would only want profits. They will never grow the business with the same passion as we have done.”</w:t>
      </w:r>
      <w:r w:rsidRPr="000A6DB5">
        <w:rPr>
          <w:strike/>
          <w:lang w:val="en-GB"/>
        </w:rPr>
        <w:t xml:space="preserve"> </w:t>
      </w:r>
    </w:p>
    <w:p w14:paraId="08F522AA" w14:textId="77777777" w:rsidR="00E73AC6" w:rsidRPr="000A6DB5" w:rsidRDefault="00E73AC6" w:rsidP="00394F79">
      <w:pPr>
        <w:pStyle w:val="BodyTextMain"/>
        <w:rPr>
          <w:sz w:val="20"/>
          <w:lang w:val="en-GB"/>
        </w:rPr>
      </w:pPr>
    </w:p>
    <w:p w14:paraId="3F3F96D2" w14:textId="77777777" w:rsidR="00E73AC6" w:rsidRPr="000A6DB5" w:rsidRDefault="00E73AC6" w:rsidP="00394F79">
      <w:pPr>
        <w:pStyle w:val="BodyTextMain"/>
        <w:rPr>
          <w:sz w:val="20"/>
          <w:lang w:val="en-GB"/>
        </w:rPr>
      </w:pPr>
    </w:p>
    <w:p w14:paraId="0589BF93" w14:textId="3D2B0B25" w:rsidR="00E73AC6" w:rsidRPr="000A6DB5" w:rsidRDefault="00E73AC6" w:rsidP="00394F79">
      <w:pPr>
        <w:pStyle w:val="Casehead1"/>
        <w:rPr>
          <w:lang w:val="en-GB"/>
        </w:rPr>
      </w:pPr>
      <w:r w:rsidRPr="000A6DB5">
        <w:rPr>
          <w:lang w:val="en-GB"/>
        </w:rPr>
        <w:t xml:space="preserve">THE </w:t>
      </w:r>
      <w:r>
        <w:rPr>
          <w:lang w:val="en-GB"/>
        </w:rPr>
        <w:t>stake-sale</w:t>
      </w:r>
      <w:r w:rsidRPr="000A6DB5">
        <w:rPr>
          <w:lang w:val="en-GB"/>
        </w:rPr>
        <w:t xml:space="preserve"> PROCESS</w:t>
      </w:r>
    </w:p>
    <w:p w14:paraId="387F4DC4" w14:textId="77777777" w:rsidR="00E73AC6" w:rsidRPr="000A6DB5" w:rsidRDefault="00E73AC6" w:rsidP="00394F79">
      <w:pPr>
        <w:pStyle w:val="BodyTextMain"/>
        <w:rPr>
          <w:sz w:val="20"/>
          <w:lang w:val="en-GB"/>
        </w:rPr>
      </w:pPr>
    </w:p>
    <w:p w14:paraId="1087103F" w14:textId="4DC8CF33" w:rsidR="00E73AC6" w:rsidRPr="000A6DB5" w:rsidRDefault="00E73AC6" w:rsidP="00394F79">
      <w:pPr>
        <w:pStyle w:val="BodyTextMain"/>
        <w:rPr>
          <w:lang w:val="en-GB"/>
        </w:rPr>
      </w:pPr>
      <w:r w:rsidRPr="000A6DB5">
        <w:rPr>
          <w:lang w:val="en-GB"/>
        </w:rPr>
        <w:t xml:space="preserve">With a growth plan in mind, in 2013 Balaji Wafers started talking to </w:t>
      </w:r>
      <w:r>
        <w:rPr>
          <w:lang w:val="en-GB"/>
        </w:rPr>
        <w:t>private-equity</w:t>
      </w:r>
      <w:r w:rsidRPr="000A6DB5">
        <w:rPr>
          <w:lang w:val="en-GB"/>
        </w:rPr>
        <w:t xml:space="preserve"> investors such as </w:t>
      </w:r>
      <w:r>
        <w:rPr>
          <w:lang w:val="en-GB"/>
        </w:rPr>
        <w:t xml:space="preserve">the </w:t>
      </w:r>
      <w:r w:rsidRPr="000A6DB5">
        <w:rPr>
          <w:lang w:val="en-GB"/>
        </w:rPr>
        <w:t>Blackstone Group L.P. and Actis Capital to raise US$100–125 million to fund its growth.</w:t>
      </w:r>
      <w:bookmarkStart w:id="4" w:name="_GoBack"/>
      <w:bookmarkEnd w:id="4"/>
      <w:r w:rsidR="008755C6">
        <w:rPr>
          <w:rStyle w:val="EndnoteReference"/>
          <w:lang w:val="en-GB"/>
        </w:rPr>
        <w:endnoteReference w:id="41"/>
      </w:r>
      <w:r w:rsidRPr="000A6DB5">
        <w:rPr>
          <w:lang w:val="en-GB"/>
        </w:rPr>
        <w:t xml:space="preserve"> These plans included investing </w:t>
      </w:r>
      <w:r w:rsidRPr="000A6DB5">
        <w:rPr>
          <w:rStyle w:val="Emphasis"/>
          <w:rFonts w:ascii="Arial" w:hAnsi="Arial" w:cs="Arial"/>
          <w:bCs/>
          <w:i w:val="0"/>
          <w:iCs w:val="0"/>
          <w:sz w:val="20"/>
          <w:szCs w:val="20"/>
          <w:shd w:val="clear" w:color="auto" w:fill="FFFFFF"/>
          <w:lang w:val="en-GB"/>
        </w:rPr>
        <w:t>₹</w:t>
      </w:r>
      <w:r w:rsidRPr="000A6DB5">
        <w:rPr>
          <w:lang w:val="en-GB"/>
        </w:rPr>
        <w:t xml:space="preserve">2 billion towards new manufacturing facilities planned over a three-year period, focusing on the northern and southern markets. Until then, Balaji Wafers had been a major player </w:t>
      </w:r>
      <w:r>
        <w:rPr>
          <w:lang w:val="en-GB"/>
        </w:rPr>
        <w:t xml:space="preserve">in </w:t>
      </w:r>
      <w:r w:rsidRPr="000A6DB5">
        <w:rPr>
          <w:lang w:val="en-GB"/>
        </w:rPr>
        <w:t>only the western markets. It claimed that better management would be created by the stake sale. Keyur Virani, director of Balaji Wafers, said, “We are now planning to enter [the] North and South India market within [the] next two years and for that we are looking to have strategic partnerships with local players.”</w:t>
      </w:r>
      <w:r w:rsidRPr="000A6DB5">
        <w:rPr>
          <w:rStyle w:val="EndnoteReference"/>
          <w:lang w:val="en-GB"/>
        </w:rPr>
        <w:endnoteReference w:id="42"/>
      </w:r>
      <w:r w:rsidRPr="000A6DB5">
        <w:rPr>
          <w:lang w:val="en-GB"/>
        </w:rPr>
        <w:t xml:space="preserve"> </w:t>
      </w:r>
    </w:p>
    <w:p w14:paraId="2886E9F3" w14:textId="77777777" w:rsidR="00E73AC6" w:rsidRPr="000A6DB5" w:rsidRDefault="00E73AC6" w:rsidP="00394F79">
      <w:pPr>
        <w:pStyle w:val="BodyTextMain"/>
        <w:rPr>
          <w:sz w:val="20"/>
          <w:lang w:val="en-GB"/>
        </w:rPr>
      </w:pPr>
    </w:p>
    <w:p w14:paraId="5AC9D76F" w14:textId="35D5FBC9" w:rsidR="00E73AC6" w:rsidRPr="000A6DB5" w:rsidRDefault="00E73AC6" w:rsidP="00394F79">
      <w:pPr>
        <w:pStyle w:val="BodyTextMain"/>
        <w:rPr>
          <w:lang w:val="en-GB"/>
        </w:rPr>
      </w:pPr>
      <w:r w:rsidRPr="000A6DB5">
        <w:rPr>
          <w:lang w:val="en-GB"/>
        </w:rPr>
        <w:t>Balaji Wafers appointed Ernst &amp; Young to find buyers for the stake sale. By December 2013, the company was in talks with numerous investors including private equity funds and MNCs such as Kellogg’s, General Mills Inc., and PepsiCo.</w:t>
      </w:r>
      <w:r w:rsidRPr="000A6DB5">
        <w:rPr>
          <w:rStyle w:val="EndnoteReference"/>
          <w:lang w:val="en-GB"/>
        </w:rPr>
        <w:endnoteReference w:id="43"/>
      </w:r>
      <w:r w:rsidRPr="000A6DB5">
        <w:rPr>
          <w:lang w:val="en-GB"/>
        </w:rPr>
        <w:t xml:space="preserve"> </w:t>
      </w:r>
    </w:p>
    <w:p w14:paraId="0C5A9418" w14:textId="77777777" w:rsidR="00E73AC6" w:rsidRPr="000A6DB5" w:rsidRDefault="00E73AC6" w:rsidP="00394F79">
      <w:pPr>
        <w:pStyle w:val="BodyTextMain"/>
        <w:rPr>
          <w:sz w:val="20"/>
          <w:lang w:val="en-GB"/>
        </w:rPr>
      </w:pPr>
    </w:p>
    <w:p w14:paraId="09F01D3C" w14:textId="033CF1C8" w:rsidR="00E73AC6" w:rsidRPr="000A6DB5" w:rsidRDefault="00E73AC6" w:rsidP="00394F79">
      <w:pPr>
        <w:pStyle w:val="BodyTextMain"/>
        <w:numPr>
          <w:ilvl w:val="0"/>
          <w:numId w:val="14"/>
        </w:numPr>
        <w:ind w:left="360"/>
        <w:rPr>
          <w:rFonts w:ascii="Arial" w:hAnsi="Arial" w:cs="Arial"/>
          <w:b/>
          <w:lang w:val="en-GB"/>
        </w:rPr>
      </w:pPr>
      <w:r w:rsidRPr="000A6DB5">
        <w:rPr>
          <w:rFonts w:eastAsia="Calibri"/>
          <w:lang w:val="en-GB"/>
        </w:rPr>
        <w:t>Kellogg</w:t>
      </w:r>
      <w:r w:rsidRPr="000A6DB5">
        <w:rPr>
          <w:lang w:val="en-GB"/>
        </w:rPr>
        <w:t>’</w:t>
      </w:r>
      <w:r w:rsidRPr="000A6DB5">
        <w:rPr>
          <w:rFonts w:eastAsia="Calibri"/>
          <w:lang w:val="en-GB"/>
        </w:rPr>
        <w:t>s</w:t>
      </w:r>
      <w:r w:rsidRPr="000A6DB5">
        <w:rPr>
          <w:lang w:val="en-GB"/>
        </w:rPr>
        <w:t>: Kellogg’s, the multinational breakfast cereal giant, was one of the potential suitors. Kellogg’s was looking for ways to grow, as it was unable to establish a strong presence in the local Indian market</w:t>
      </w:r>
      <w:bookmarkStart w:id="5" w:name="_Ref507762654"/>
      <w:r w:rsidRPr="000A6DB5">
        <w:rPr>
          <w:lang w:val="en-GB"/>
        </w:rPr>
        <w:t>. This was close on the heels of its recent US$</w:t>
      </w:r>
      <w:r>
        <w:rPr>
          <w:lang w:val="en-GB"/>
        </w:rPr>
        <w:t>2.7 billion</w:t>
      </w:r>
      <w:r w:rsidRPr="000A6DB5">
        <w:rPr>
          <w:lang w:val="en-GB"/>
        </w:rPr>
        <w:t xml:space="preserve"> buyout of Pringles, which gave it a global presence in the wafer business. Industry sources felt that Kellogg’s taking over Balaji Wafers could help the Pringles brand in Tier 2 cities</w:t>
      </w:r>
      <w:r>
        <w:rPr>
          <w:lang w:val="en-GB"/>
        </w:rPr>
        <w:t>,</w:t>
      </w:r>
      <w:r w:rsidRPr="000A6DB5">
        <w:rPr>
          <w:lang w:val="en-GB"/>
        </w:rPr>
        <w:t xml:space="preserve"> where the consumption of wafers was rising.</w:t>
      </w:r>
      <w:r w:rsidRPr="000A6DB5">
        <w:rPr>
          <w:rStyle w:val="EndnoteReference"/>
          <w:lang w:val="en-GB"/>
        </w:rPr>
        <w:endnoteReference w:id="44"/>
      </w:r>
      <w:bookmarkEnd w:id="5"/>
    </w:p>
    <w:p w14:paraId="6270271B" w14:textId="5C9EC7A5" w:rsidR="00E73AC6" w:rsidRPr="000A6DB5" w:rsidRDefault="00E73AC6" w:rsidP="00394F79">
      <w:pPr>
        <w:pStyle w:val="BodyTextMain"/>
        <w:numPr>
          <w:ilvl w:val="0"/>
          <w:numId w:val="14"/>
        </w:numPr>
        <w:ind w:left="360"/>
        <w:rPr>
          <w:rFonts w:ascii="Arial" w:hAnsi="Arial" w:cs="Arial"/>
          <w:b/>
          <w:lang w:val="en-GB"/>
        </w:rPr>
      </w:pPr>
      <w:r w:rsidRPr="000A6DB5">
        <w:rPr>
          <w:lang w:val="en-GB"/>
        </w:rPr>
        <w:t>Agro</w:t>
      </w:r>
      <w:r>
        <w:rPr>
          <w:lang w:val="en-GB"/>
        </w:rPr>
        <w:t xml:space="preserve"> T</w:t>
      </w:r>
      <w:r w:rsidRPr="000A6DB5">
        <w:rPr>
          <w:lang w:val="en-GB"/>
        </w:rPr>
        <w:t>ech</w:t>
      </w:r>
      <w:r>
        <w:rPr>
          <w:lang w:val="en-GB"/>
        </w:rPr>
        <w:t xml:space="preserve"> Foods Ltd.</w:t>
      </w:r>
      <w:r w:rsidRPr="000A6DB5">
        <w:rPr>
          <w:lang w:val="en-GB"/>
        </w:rPr>
        <w:t xml:space="preserve">: </w:t>
      </w:r>
      <w:r>
        <w:rPr>
          <w:lang w:val="en-GB"/>
        </w:rPr>
        <w:t>A</w:t>
      </w:r>
      <w:r w:rsidRPr="000A6DB5">
        <w:rPr>
          <w:lang w:val="en-GB"/>
        </w:rPr>
        <w:t>fter conducting due diligence on all of Balaji Wafers’ brands and meeting the management, Agro Tech Foods Ltd</w:t>
      </w:r>
      <w:r>
        <w:rPr>
          <w:lang w:val="en-GB"/>
        </w:rPr>
        <w:t>.</w:t>
      </w:r>
      <w:r w:rsidRPr="000A6DB5">
        <w:rPr>
          <w:lang w:val="en-GB"/>
        </w:rPr>
        <w:t>, an affiliate of ConAgra Foods, Inc. USA, concluded that with Balaji Wafers’ operations restricted to a few states</w:t>
      </w:r>
      <w:r>
        <w:rPr>
          <w:lang w:val="en-GB"/>
        </w:rPr>
        <w:t>,</w:t>
      </w:r>
      <w:r w:rsidRPr="000A6DB5">
        <w:rPr>
          <w:lang w:val="en-GB"/>
        </w:rPr>
        <w:t xml:space="preserve"> it was too regional in nature.</w:t>
      </w:r>
      <w:r w:rsidRPr="000A6DB5">
        <w:rPr>
          <w:rStyle w:val="EndnoteReference"/>
          <w:lang w:val="en-GB"/>
        </w:rPr>
        <w:endnoteReference w:id="45"/>
      </w:r>
    </w:p>
    <w:p w14:paraId="246807BA" w14:textId="421E92BB" w:rsidR="00E73AC6" w:rsidRPr="000A6DB5" w:rsidRDefault="00E73AC6" w:rsidP="00394F79">
      <w:pPr>
        <w:pStyle w:val="BodyTextMain"/>
        <w:numPr>
          <w:ilvl w:val="0"/>
          <w:numId w:val="14"/>
        </w:numPr>
        <w:ind w:left="360"/>
        <w:rPr>
          <w:lang w:val="en-GB"/>
        </w:rPr>
      </w:pPr>
      <w:r w:rsidRPr="000A6DB5">
        <w:rPr>
          <w:lang w:val="en-GB"/>
        </w:rPr>
        <w:t>PepsiCo: PepsiCo launched its brand Lay’s in India in 1995. It had used Lay’s to spearhead its presence in the Western salty snacks segment and Kurkure for the Indian salty snacks segment. Both were losing market share to Balaji Wafers in the growing snacks market.</w:t>
      </w:r>
      <w:r w:rsidRPr="000A6DB5">
        <w:rPr>
          <w:rStyle w:val="EndnoteReference"/>
          <w:lang w:val="en-GB"/>
        </w:rPr>
        <w:endnoteReference w:id="46"/>
      </w:r>
      <w:r w:rsidRPr="000A6DB5" w:rsidDel="0098171B">
        <w:rPr>
          <w:rStyle w:val="EndnoteReference"/>
          <w:lang w:val="en-GB"/>
        </w:rPr>
        <w:t xml:space="preserve"> </w:t>
      </w:r>
    </w:p>
    <w:p w14:paraId="45FD2504" w14:textId="77777777" w:rsidR="00E73AC6" w:rsidRPr="000A6DB5" w:rsidRDefault="00E73AC6" w:rsidP="00394F79">
      <w:pPr>
        <w:pStyle w:val="BodyTextMain"/>
        <w:rPr>
          <w:lang w:val="en-GB"/>
        </w:rPr>
      </w:pPr>
    </w:p>
    <w:p w14:paraId="1B81D802" w14:textId="21FF2B72" w:rsidR="00E73AC6" w:rsidRPr="000A6DB5" w:rsidRDefault="00E73AC6" w:rsidP="00394F79">
      <w:pPr>
        <w:pStyle w:val="BodyTextMain"/>
        <w:rPr>
          <w:lang w:val="en-GB"/>
        </w:rPr>
      </w:pPr>
      <w:r w:rsidRPr="000A6DB5">
        <w:rPr>
          <w:lang w:val="en-GB"/>
        </w:rPr>
        <w:t xml:space="preserve">Around 2009, Pepsi and Haldiram saw that Balaji Wafers was offering tough competition in the Gujarat and </w:t>
      </w:r>
      <w:r>
        <w:rPr>
          <w:lang w:val="en-GB"/>
        </w:rPr>
        <w:t>western</w:t>
      </w:r>
      <w:r w:rsidRPr="000A6DB5">
        <w:rPr>
          <w:lang w:val="en-GB"/>
        </w:rPr>
        <w:t xml:space="preserve"> India region. They sent a team of executives to identify ways to respond to Balaji Wafers. The team visited Balaji Wafers’ plant and its potato farms and were impressed by the simplicity and efficiency of Balaji Wafers’ operations. When PepsiCo realized that it was helpless in meeting Balaji Wafers’ challenge, it turned around and offered to buy out a </w:t>
      </w:r>
      <w:r>
        <w:rPr>
          <w:lang w:val="en-GB"/>
        </w:rPr>
        <w:t>51 per cent</w:t>
      </w:r>
      <w:r w:rsidRPr="000A6DB5">
        <w:rPr>
          <w:lang w:val="en-GB"/>
        </w:rPr>
        <w:t xml:space="preserve"> stake in Balaji Wafers, trying to convince Chandubhai for a sellout.</w:t>
      </w:r>
      <w:r w:rsidRPr="000A6DB5">
        <w:rPr>
          <w:rStyle w:val="EndnoteReference"/>
          <w:lang w:val="en-GB"/>
        </w:rPr>
        <w:endnoteReference w:id="47"/>
      </w:r>
      <w:r w:rsidRPr="000A6DB5">
        <w:rPr>
          <w:lang w:val="en-GB"/>
        </w:rPr>
        <w:t xml:space="preserve"> </w:t>
      </w:r>
    </w:p>
    <w:p w14:paraId="5F487820" w14:textId="33CF6D8F" w:rsidR="00E73AC6" w:rsidRPr="000A6DB5" w:rsidRDefault="00E73AC6" w:rsidP="00394F79">
      <w:pPr>
        <w:pStyle w:val="BodyTextMain"/>
        <w:rPr>
          <w:b/>
          <w:lang w:val="en-GB"/>
        </w:rPr>
      </w:pPr>
    </w:p>
    <w:p w14:paraId="7A3554B0" w14:textId="61F7E40A" w:rsidR="00E73AC6" w:rsidRPr="000A6DB5" w:rsidRDefault="00E73AC6" w:rsidP="00394F79">
      <w:pPr>
        <w:pStyle w:val="BodyTextMain"/>
        <w:rPr>
          <w:lang w:val="en-GB"/>
        </w:rPr>
      </w:pPr>
      <w:r w:rsidRPr="000A6DB5">
        <w:rPr>
          <w:lang w:val="en-GB"/>
        </w:rPr>
        <w:t>Media reports stated that the</w:t>
      </w:r>
      <w:r>
        <w:rPr>
          <w:lang w:val="en-GB"/>
        </w:rPr>
        <w:t xml:space="preserve"> Viranis</w:t>
      </w:r>
      <w:r w:rsidRPr="000A6DB5">
        <w:rPr>
          <w:lang w:val="en-GB"/>
        </w:rPr>
        <w:t xml:space="preserve"> had asked for a valuation of </w:t>
      </w:r>
      <w:r w:rsidRPr="000A6DB5">
        <w:rPr>
          <w:rStyle w:val="Emphasis"/>
          <w:rFonts w:ascii="Arial" w:hAnsi="Arial" w:cs="Arial"/>
          <w:bCs/>
          <w:i w:val="0"/>
          <w:iCs w:val="0"/>
          <w:sz w:val="20"/>
          <w:szCs w:val="20"/>
          <w:shd w:val="clear" w:color="auto" w:fill="FFFFFF"/>
          <w:lang w:val="en-GB"/>
        </w:rPr>
        <w:t>₹</w:t>
      </w:r>
      <w:r w:rsidRPr="000A6DB5">
        <w:rPr>
          <w:lang w:val="en-GB"/>
        </w:rPr>
        <w:t xml:space="preserve">35 billion, three and a half times Balaji Wafers’ sales of </w:t>
      </w:r>
      <w:r w:rsidR="00394F79" w:rsidRPr="000A6DB5">
        <w:rPr>
          <w:rStyle w:val="Emphasis"/>
          <w:rFonts w:ascii="Arial" w:hAnsi="Arial" w:cs="Arial"/>
          <w:bCs/>
          <w:i w:val="0"/>
          <w:iCs w:val="0"/>
          <w:sz w:val="20"/>
          <w:szCs w:val="20"/>
          <w:shd w:val="clear" w:color="auto" w:fill="FFFFFF"/>
          <w:lang w:val="en-GB"/>
        </w:rPr>
        <w:t>₹</w:t>
      </w:r>
      <w:r w:rsidRPr="000A6DB5">
        <w:rPr>
          <w:lang w:val="en-GB"/>
        </w:rPr>
        <w:t xml:space="preserve">10 billion (the norm being two to three times the sales in the fast-moving consumer goods sector). Prospective buyers found the valuation too high, given </w:t>
      </w:r>
      <w:r>
        <w:rPr>
          <w:lang w:val="en-GB"/>
        </w:rPr>
        <w:t xml:space="preserve">that </w:t>
      </w:r>
      <w:r w:rsidRPr="000A6DB5">
        <w:rPr>
          <w:lang w:val="en-GB"/>
        </w:rPr>
        <w:t xml:space="preserve">Balaji Wafers’ reach was restricted to </w:t>
      </w:r>
      <w:r w:rsidRPr="000A6DB5">
        <w:rPr>
          <w:lang w:val="en-GB"/>
        </w:rPr>
        <w:lastRenderedPageBreak/>
        <w:t xml:space="preserve">a few states. One </w:t>
      </w:r>
      <w:r>
        <w:rPr>
          <w:lang w:val="en-GB"/>
        </w:rPr>
        <w:t>private-equity</w:t>
      </w:r>
      <w:r w:rsidRPr="000A6DB5">
        <w:rPr>
          <w:lang w:val="en-GB"/>
        </w:rPr>
        <w:t xml:space="preserve"> fund stated that since Balaji Wafers had a strong balance sheet and was internally funded, it was not in need of funds and</w:t>
      </w:r>
      <w:r>
        <w:rPr>
          <w:lang w:val="en-GB"/>
        </w:rPr>
        <w:t xml:space="preserve">, </w:t>
      </w:r>
      <w:r w:rsidRPr="000A6DB5">
        <w:rPr>
          <w:lang w:val="en-GB"/>
        </w:rPr>
        <w:t>hence</w:t>
      </w:r>
      <w:r>
        <w:rPr>
          <w:lang w:val="en-GB"/>
        </w:rPr>
        <w:t>,</w:t>
      </w:r>
      <w:r w:rsidRPr="000A6DB5">
        <w:rPr>
          <w:lang w:val="en-GB"/>
        </w:rPr>
        <w:t xml:space="preserve"> could ask for a higher valuation.</w:t>
      </w:r>
      <w:r w:rsidRPr="000A6DB5">
        <w:rPr>
          <w:rStyle w:val="EndnoteReference"/>
          <w:spacing w:val="-2"/>
          <w:lang w:val="en-GB"/>
        </w:rPr>
        <w:endnoteReference w:id="48"/>
      </w:r>
    </w:p>
    <w:p w14:paraId="6AFEE7CF" w14:textId="77777777" w:rsidR="00E73AC6" w:rsidRPr="000A6DB5" w:rsidRDefault="00E73AC6" w:rsidP="00394F79">
      <w:pPr>
        <w:pStyle w:val="BodyTextMain"/>
        <w:rPr>
          <w:sz w:val="20"/>
          <w:lang w:val="en-GB"/>
        </w:rPr>
      </w:pPr>
    </w:p>
    <w:p w14:paraId="500FE46A" w14:textId="2163CD7C" w:rsidR="00E73AC6" w:rsidRPr="000A6DB5" w:rsidRDefault="00E73AC6" w:rsidP="00394F79">
      <w:pPr>
        <w:pStyle w:val="BodyTextMain"/>
        <w:rPr>
          <w:lang w:val="en-GB"/>
        </w:rPr>
      </w:pPr>
      <w:r w:rsidRPr="000A6DB5">
        <w:rPr>
          <w:lang w:val="en-GB"/>
        </w:rPr>
        <w:t>Balaji Wafers had stated that it was not open to selling large stakes to the private equity funds, which would loosen the family’s control over the company. The family maintained that the stake sale was intended to create better management for Balaji Wafers. Finally, in June 2014</w:t>
      </w:r>
      <w:r>
        <w:rPr>
          <w:lang w:val="en-GB"/>
        </w:rPr>
        <w:t>,</w:t>
      </w:r>
      <w:r w:rsidRPr="000A6DB5">
        <w:rPr>
          <w:lang w:val="en-GB"/>
        </w:rPr>
        <w:t xml:space="preserve"> Balaji Wafers, on finding that the valuations offered by the </w:t>
      </w:r>
      <w:r>
        <w:rPr>
          <w:lang w:val="en-GB"/>
        </w:rPr>
        <w:t>private-equity</w:t>
      </w:r>
      <w:r w:rsidRPr="000A6DB5">
        <w:rPr>
          <w:lang w:val="en-GB"/>
        </w:rPr>
        <w:t xml:space="preserve"> players were lower than expected, gave up its plans of a stake sale or an IPO that year. Chandubhai commented on this, stating, “MNCs do not have the experience in the snacks category in India, but we did not need the money. Now the matter is closed.”</w:t>
      </w:r>
      <w:r w:rsidRPr="000A6DB5">
        <w:rPr>
          <w:rStyle w:val="EndnoteReference"/>
          <w:lang w:val="en-GB"/>
        </w:rPr>
        <w:endnoteReference w:id="49"/>
      </w:r>
      <w:r w:rsidRPr="000A6DB5">
        <w:rPr>
          <w:lang w:val="en-GB"/>
        </w:rPr>
        <w:t xml:space="preserve"> </w:t>
      </w:r>
    </w:p>
    <w:p w14:paraId="0CBA85DC" w14:textId="77777777" w:rsidR="00E73AC6" w:rsidRPr="000A6DB5" w:rsidRDefault="00E73AC6" w:rsidP="00394F79">
      <w:pPr>
        <w:pStyle w:val="BodyTextMain"/>
        <w:rPr>
          <w:sz w:val="20"/>
          <w:lang w:val="en-GB"/>
        </w:rPr>
      </w:pPr>
    </w:p>
    <w:p w14:paraId="10C7BACE" w14:textId="77777777" w:rsidR="00E73AC6" w:rsidRPr="000A6DB5" w:rsidRDefault="00E73AC6" w:rsidP="00394F79">
      <w:pPr>
        <w:pStyle w:val="BodyTextMain"/>
        <w:rPr>
          <w:sz w:val="20"/>
          <w:lang w:val="en-GB"/>
        </w:rPr>
      </w:pPr>
    </w:p>
    <w:p w14:paraId="6AAE0A1B" w14:textId="5C36FAA4" w:rsidR="00E73AC6" w:rsidRPr="000A6DB5" w:rsidRDefault="00E73AC6" w:rsidP="00394F79">
      <w:pPr>
        <w:pStyle w:val="Casehead1"/>
        <w:rPr>
          <w:lang w:val="en-GB"/>
        </w:rPr>
      </w:pPr>
      <w:r w:rsidRPr="000A6DB5">
        <w:rPr>
          <w:lang w:val="en-GB"/>
        </w:rPr>
        <w:t>IPO Plans</w:t>
      </w:r>
    </w:p>
    <w:p w14:paraId="59563B8A" w14:textId="77777777" w:rsidR="00E73AC6" w:rsidRPr="000A6DB5" w:rsidRDefault="00E73AC6" w:rsidP="00394F79">
      <w:pPr>
        <w:pStyle w:val="BodyTextMain"/>
        <w:rPr>
          <w:sz w:val="20"/>
          <w:lang w:val="en-GB"/>
        </w:rPr>
      </w:pPr>
    </w:p>
    <w:p w14:paraId="31C6AF10" w14:textId="77C84AF6" w:rsidR="00E73AC6" w:rsidRPr="000A6DB5" w:rsidRDefault="00E73AC6" w:rsidP="00394F79">
      <w:pPr>
        <w:pStyle w:val="BodyTextMain"/>
        <w:rPr>
          <w:lang w:val="en-GB"/>
        </w:rPr>
      </w:pPr>
      <w:r w:rsidRPr="000A6DB5">
        <w:rPr>
          <w:lang w:val="en-GB"/>
        </w:rPr>
        <w:t xml:space="preserve">In late 2015, Balaji Wafers again decided to sell 10 per cent though an IPO, from which it expected to raise </w:t>
      </w:r>
      <w:r w:rsidRPr="000A6DB5">
        <w:rPr>
          <w:rStyle w:val="Emphasis"/>
          <w:rFonts w:ascii="Arial" w:hAnsi="Arial" w:cs="Arial"/>
          <w:bCs/>
          <w:i w:val="0"/>
          <w:iCs w:val="0"/>
          <w:sz w:val="20"/>
          <w:szCs w:val="20"/>
          <w:shd w:val="clear" w:color="auto" w:fill="FFFFFF"/>
          <w:lang w:val="en-GB"/>
        </w:rPr>
        <w:t>₹</w:t>
      </w:r>
      <w:r w:rsidRPr="000A6DB5">
        <w:rPr>
          <w:lang w:val="en-GB"/>
        </w:rPr>
        <w:t xml:space="preserve">3 billion, valuing the company at </w:t>
      </w:r>
      <w:r w:rsidRPr="000A6DB5">
        <w:rPr>
          <w:rStyle w:val="Emphasis"/>
          <w:rFonts w:ascii="Arial" w:hAnsi="Arial" w:cs="Arial"/>
          <w:bCs/>
          <w:i w:val="0"/>
          <w:iCs w:val="0"/>
          <w:sz w:val="20"/>
          <w:szCs w:val="20"/>
          <w:shd w:val="clear" w:color="auto" w:fill="FFFFFF"/>
          <w:lang w:val="en-GB"/>
        </w:rPr>
        <w:t>₹</w:t>
      </w:r>
      <w:r w:rsidRPr="000A6DB5">
        <w:rPr>
          <w:lang w:val="en-GB"/>
        </w:rPr>
        <w:t xml:space="preserve">30 billion. The company needed the funds to expand into new markets in </w:t>
      </w:r>
      <w:r>
        <w:rPr>
          <w:lang w:val="en-GB"/>
        </w:rPr>
        <w:t>central and north</w:t>
      </w:r>
      <w:r w:rsidRPr="000A6DB5">
        <w:rPr>
          <w:lang w:val="en-GB"/>
        </w:rPr>
        <w:t xml:space="preserve"> India, branching out from its traditional, limited stronghold areas of Gujarat, Goa, Madhya Pradesh, Rajasthan, and Maharashtra. However, Balaji Wafers subsequently delayed this by about a year </w:t>
      </w:r>
      <w:r>
        <w:rPr>
          <w:lang w:val="en-GB"/>
        </w:rPr>
        <w:t>because</w:t>
      </w:r>
      <w:r w:rsidRPr="000A6DB5">
        <w:rPr>
          <w:lang w:val="en-GB"/>
        </w:rPr>
        <w:t xml:space="preserve"> it wanted to focus on setting up its new plants in Indore.</w:t>
      </w:r>
      <w:r w:rsidRPr="000A6DB5">
        <w:rPr>
          <w:rStyle w:val="EndnoteReference"/>
          <w:lang w:val="en-GB"/>
        </w:rPr>
        <w:endnoteReference w:id="50"/>
      </w:r>
    </w:p>
    <w:p w14:paraId="2E36B8F4" w14:textId="77777777" w:rsidR="00E73AC6" w:rsidRPr="000A6DB5" w:rsidRDefault="00E73AC6" w:rsidP="00394F79">
      <w:pPr>
        <w:pStyle w:val="BodyTextMain"/>
        <w:rPr>
          <w:sz w:val="20"/>
          <w:lang w:val="en-GB"/>
        </w:rPr>
      </w:pPr>
    </w:p>
    <w:p w14:paraId="443A59CB" w14:textId="77777777" w:rsidR="00E73AC6" w:rsidRPr="000A6DB5" w:rsidRDefault="00E73AC6" w:rsidP="00394F79">
      <w:pPr>
        <w:pStyle w:val="BodyTextMain"/>
        <w:rPr>
          <w:sz w:val="20"/>
          <w:lang w:val="en-GB"/>
        </w:rPr>
      </w:pPr>
    </w:p>
    <w:p w14:paraId="04622EB4" w14:textId="7108F065" w:rsidR="00E73AC6" w:rsidRPr="000A6DB5" w:rsidRDefault="00E73AC6" w:rsidP="00394F79">
      <w:pPr>
        <w:pStyle w:val="Casehead1"/>
        <w:rPr>
          <w:lang w:val="en-GB"/>
        </w:rPr>
      </w:pPr>
      <w:r w:rsidRPr="000A6DB5">
        <w:rPr>
          <w:lang w:val="en-GB"/>
        </w:rPr>
        <w:t>INDORE PLANT</w:t>
      </w:r>
    </w:p>
    <w:p w14:paraId="0D939006" w14:textId="77777777" w:rsidR="00E73AC6" w:rsidRPr="000A6DB5" w:rsidRDefault="00E73AC6" w:rsidP="00394F79">
      <w:pPr>
        <w:pStyle w:val="BodyTextMain"/>
        <w:rPr>
          <w:sz w:val="20"/>
          <w:lang w:val="en-GB"/>
        </w:rPr>
      </w:pPr>
    </w:p>
    <w:p w14:paraId="45A65C7F" w14:textId="5E8261E0" w:rsidR="00E73AC6" w:rsidRPr="000A6DB5" w:rsidRDefault="00E73AC6" w:rsidP="00394F79">
      <w:pPr>
        <w:pStyle w:val="BodyTextMain"/>
        <w:rPr>
          <w:lang w:val="en-GB"/>
        </w:rPr>
      </w:pPr>
      <w:r w:rsidRPr="000A6DB5">
        <w:rPr>
          <w:lang w:val="en-GB"/>
        </w:rPr>
        <w:t xml:space="preserve">In March 2015, Balaji Wafers announced a </w:t>
      </w:r>
      <w:r w:rsidRPr="000A6DB5">
        <w:rPr>
          <w:rStyle w:val="Emphasis"/>
          <w:rFonts w:ascii="Arial" w:hAnsi="Arial" w:cs="Arial"/>
          <w:bCs/>
          <w:i w:val="0"/>
          <w:iCs w:val="0"/>
          <w:sz w:val="20"/>
          <w:szCs w:val="20"/>
          <w:shd w:val="clear" w:color="auto" w:fill="FFFFFF"/>
          <w:lang w:val="en-GB"/>
        </w:rPr>
        <w:t>₹</w:t>
      </w:r>
      <w:r>
        <w:rPr>
          <w:lang w:val="en-GB"/>
        </w:rPr>
        <w:t>4 billion</w:t>
      </w:r>
      <w:r w:rsidRPr="000A6DB5">
        <w:rPr>
          <w:lang w:val="en-GB"/>
        </w:rPr>
        <w:t xml:space="preserve"> investment in Indore, Madhya Pradesh, to tap into the </w:t>
      </w:r>
      <w:r>
        <w:rPr>
          <w:lang w:val="en-GB"/>
        </w:rPr>
        <w:t>north</w:t>
      </w:r>
      <w:r w:rsidRPr="000A6DB5">
        <w:rPr>
          <w:lang w:val="en-GB"/>
        </w:rPr>
        <w:t xml:space="preserve"> Indian market. Balaji Wafers had acquired land earlier, and construction had already started on a new production facility, which was expected to be completed in the next 18 months. This new factory was initially installed for the production of 1,500 kg of wafers and other salty snacks per hour. The output could be gradually doubled based on requirements. The factory was intended to manufacture all the products of Balaji Wafers and to cater to Madhya Pradesh, Rajasthan, Delhi, and surrounding areas in </w:t>
      </w:r>
      <w:r>
        <w:rPr>
          <w:lang w:val="en-GB"/>
        </w:rPr>
        <w:t>north</w:t>
      </w:r>
      <w:r w:rsidRPr="000A6DB5">
        <w:rPr>
          <w:lang w:val="en-GB"/>
        </w:rPr>
        <w:t xml:space="preserve"> India. Under the first phase of the project, the company invested </w:t>
      </w:r>
      <w:r w:rsidRPr="000A6DB5">
        <w:rPr>
          <w:rStyle w:val="Emphasis"/>
          <w:rFonts w:ascii="Arial" w:hAnsi="Arial" w:cs="Arial"/>
          <w:bCs/>
          <w:i w:val="0"/>
          <w:iCs w:val="0"/>
          <w:sz w:val="20"/>
          <w:szCs w:val="20"/>
          <w:shd w:val="clear" w:color="auto" w:fill="FFFFFF"/>
          <w:lang w:val="en-GB"/>
        </w:rPr>
        <w:t>₹</w:t>
      </w:r>
      <w:r w:rsidRPr="000A6DB5">
        <w:rPr>
          <w:lang w:val="en-GB"/>
        </w:rPr>
        <w:t xml:space="preserve">2 billion in the plant, with the balance of </w:t>
      </w:r>
      <w:r w:rsidRPr="000A6DB5">
        <w:rPr>
          <w:rStyle w:val="Emphasis"/>
          <w:rFonts w:ascii="Arial" w:hAnsi="Arial" w:cs="Arial"/>
          <w:bCs/>
          <w:i w:val="0"/>
          <w:iCs w:val="0"/>
          <w:sz w:val="20"/>
          <w:szCs w:val="20"/>
          <w:shd w:val="clear" w:color="auto" w:fill="FFFFFF"/>
          <w:lang w:val="en-GB"/>
        </w:rPr>
        <w:t>₹</w:t>
      </w:r>
      <w:r w:rsidRPr="000A6DB5">
        <w:rPr>
          <w:lang w:val="en-GB"/>
        </w:rPr>
        <w:t>2 billion to be spent in the second phase on other requirements.</w:t>
      </w:r>
      <w:r w:rsidRPr="000A6DB5">
        <w:rPr>
          <w:rStyle w:val="EndnoteReference"/>
          <w:lang w:val="en-GB"/>
        </w:rPr>
        <w:endnoteReference w:id="51"/>
      </w:r>
      <w:r w:rsidRPr="000A6DB5">
        <w:rPr>
          <w:lang w:val="en-GB"/>
        </w:rPr>
        <w:t xml:space="preserve"> The plant was finally commissioned on October 11, 2016, increasing the company’s total capacity to 86.4 tonnes per day, from 62.4 tonnes earlier.</w:t>
      </w:r>
      <w:r w:rsidRPr="000A6DB5">
        <w:rPr>
          <w:rStyle w:val="EndnoteReference"/>
          <w:lang w:val="en-GB"/>
        </w:rPr>
        <w:endnoteReference w:id="52"/>
      </w:r>
    </w:p>
    <w:p w14:paraId="1A375B51" w14:textId="77777777" w:rsidR="00E73AC6" w:rsidRPr="000A6DB5" w:rsidRDefault="00E73AC6" w:rsidP="00394F79">
      <w:pPr>
        <w:pStyle w:val="BodyTextMain"/>
        <w:rPr>
          <w:sz w:val="20"/>
          <w:lang w:val="en-GB"/>
        </w:rPr>
      </w:pPr>
    </w:p>
    <w:p w14:paraId="7EFB580F" w14:textId="77777777" w:rsidR="00E73AC6" w:rsidRPr="000A6DB5" w:rsidRDefault="00E73AC6" w:rsidP="00394F79">
      <w:pPr>
        <w:pStyle w:val="BodyTextMain"/>
        <w:rPr>
          <w:sz w:val="20"/>
          <w:lang w:val="en-GB"/>
        </w:rPr>
      </w:pPr>
    </w:p>
    <w:p w14:paraId="58B6EA79" w14:textId="1C2C3FF0" w:rsidR="00E73AC6" w:rsidRPr="000A6DB5" w:rsidRDefault="00E73AC6" w:rsidP="00394F79">
      <w:pPr>
        <w:pStyle w:val="Casehead2"/>
        <w:rPr>
          <w:lang w:val="en-GB"/>
        </w:rPr>
      </w:pPr>
      <w:r w:rsidRPr="000A6DB5">
        <w:rPr>
          <w:lang w:val="en-GB"/>
        </w:rPr>
        <w:t>Financing by Loans</w:t>
      </w:r>
    </w:p>
    <w:p w14:paraId="0B6E43F1" w14:textId="77777777" w:rsidR="00E73AC6" w:rsidRPr="000A6DB5" w:rsidRDefault="00E73AC6" w:rsidP="00394F79">
      <w:pPr>
        <w:pStyle w:val="BodyTextMain"/>
        <w:rPr>
          <w:sz w:val="20"/>
          <w:lang w:val="en-GB"/>
        </w:rPr>
      </w:pPr>
    </w:p>
    <w:p w14:paraId="7C4DF8B3" w14:textId="378F2C75" w:rsidR="00E73AC6" w:rsidRPr="000A6DB5" w:rsidRDefault="00E73AC6" w:rsidP="00394F79">
      <w:pPr>
        <w:pStyle w:val="BodyTextMain"/>
        <w:rPr>
          <w:lang w:val="en-GB"/>
        </w:rPr>
      </w:pPr>
      <w:r w:rsidRPr="008755C6">
        <w:t xml:space="preserve">The company had raised a loan of </w:t>
      </w:r>
      <w:r w:rsidRPr="008755C6">
        <w:rPr>
          <w:rFonts w:ascii="Tahoma" w:hAnsi="Tahoma" w:cs="Tahoma"/>
        </w:rPr>
        <w:t>₹</w:t>
      </w:r>
      <w:r w:rsidRPr="008755C6">
        <w:t>1 billion in late 2015 from creditors and banks to fund its expansion. It</w:t>
      </w:r>
      <w:r w:rsidRPr="000A6DB5">
        <w:rPr>
          <w:lang w:val="en-GB"/>
        </w:rPr>
        <w:t xml:space="preserve"> expected its financial requirements for 2017 to be about </w:t>
      </w:r>
      <w:r w:rsidRPr="000A6DB5">
        <w:rPr>
          <w:rStyle w:val="Emphasis"/>
          <w:rFonts w:ascii="Arial" w:hAnsi="Arial" w:cs="Arial"/>
          <w:bCs/>
          <w:i w:val="0"/>
          <w:iCs w:val="0"/>
          <w:sz w:val="20"/>
          <w:szCs w:val="20"/>
          <w:shd w:val="clear" w:color="auto" w:fill="FFFFFF"/>
          <w:lang w:val="en-GB"/>
        </w:rPr>
        <w:t>₹</w:t>
      </w:r>
      <w:r w:rsidRPr="000A6DB5">
        <w:rPr>
          <w:lang w:val="en-GB"/>
        </w:rPr>
        <w:t>2.25 billion, part of which it expected to fund from internal accruals.</w:t>
      </w:r>
      <w:r w:rsidRPr="000A6DB5">
        <w:rPr>
          <w:rStyle w:val="EndnoteReference"/>
          <w:lang w:val="en-GB"/>
        </w:rPr>
        <w:endnoteReference w:id="53"/>
      </w:r>
      <w:r w:rsidRPr="000A6DB5">
        <w:rPr>
          <w:lang w:val="en-GB"/>
        </w:rPr>
        <w:t xml:space="preserve"> Balaji Wafers, at the end of 2017, had three plants—in Rajkot, Valsad, and Indore. It had invested </w:t>
      </w:r>
      <w:r w:rsidRPr="000A6DB5">
        <w:rPr>
          <w:rStyle w:val="Emphasis"/>
          <w:rFonts w:ascii="Arial" w:hAnsi="Arial" w:cs="Arial"/>
          <w:bCs/>
          <w:i w:val="0"/>
          <w:iCs w:val="0"/>
          <w:sz w:val="20"/>
          <w:szCs w:val="20"/>
          <w:shd w:val="clear" w:color="auto" w:fill="FFFFFF"/>
          <w:lang w:val="en-GB"/>
        </w:rPr>
        <w:t>₹</w:t>
      </w:r>
      <w:r w:rsidRPr="000A6DB5">
        <w:rPr>
          <w:lang w:val="en-GB"/>
        </w:rPr>
        <w:t>7 billion in these plants by funding them through bank loans. Chandubhai was quoted as saying, “As long as banks are willing to lend, there is no need to go public. There is no IPO this year although we have been thinking about it in the past.”</w:t>
      </w:r>
      <w:r w:rsidRPr="000A6DB5">
        <w:rPr>
          <w:rStyle w:val="EndnoteReference"/>
          <w:lang w:val="en-GB"/>
        </w:rPr>
        <w:endnoteReference w:id="54"/>
      </w:r>
    </w:p>
    <w:p w14:paraId="564AD593" w14:textId="77777777" w:rsidR="00E73AC6" w:rsidRPr="000A6DB5" w:rsidRDefault="00E73AC6" w:rsidP="00394F79">
      <w:pPr>
        <w:pStyle w:val="BodyTextMain"/>
        <w:rPr>
          <w:sz w:val="20"/>
          <w:lang w:val="en-GB"/>
        </w:rPr>
      </w:pPr>
    </w:p>
    <w:p w14:paraId="2DEB6A7D" w14:textId="77777777" w:rsidR="00E73AC6" w:rsidRPr="000A6DB5" w:rsidRDefault="00E73AC6" w:rsidP="00394F79">
      <w:pPr>
        <w:pStyle w:val="BodyTextMain"/>
        <w:rPr>
          <w:sz w:val="20"/>
          <w:lang w:val="en-GB"/>
        </w:rPr>
      </w:pPr>
    </w:p>
    <w:p w14:paraId="0FF04DA2" w14:textId="40AAEAE4" w:rsidR="00E73AC6" w:rsidRPr="000A6DB5" w:rsidRDefault="00E73AC6" w:rsidP="00394F79">
      <w:pPr>
        <w:pStyle w:val="Casehead1"/>
        <w:rPr>
          <w:lang w:val="en-GB"/>
        </w:rPr>
      </w:pPr>
      <w:r w:rsidRPr="000A6DB5">
        <w:rPr>
          <w:rFonts w:eastAsia="Calibri"/>
          <w:lang w:val="en-GB"/>
        </w:rPr>
        <w:t>BALAJI wafers’ EXPANSION</w:t>
      </w:r>
    </w:p>
    <w:p w14:paraId="3B6111C8" w14:textId="77777777" w:rsidR="00E73AC6" w:rsidRPr="000A6DB5" w:rsidRDefault="00E73AC6" w:rsidP="00394F79">
      <w:pPr>
        <w:pStyle w:val="BodyTextMain"/>
        <w:rPr>
          <w:sz w:val="20"/>
          <w:lang w:val="en-GB"/>
        </w:rPr>
      </w:pPr>
    </w:p>
    <w:p w14:paraId="10DF028A" w14:textId="4249D726" w:rsidR="00E73AC6" w:rsidRPr="000A6DB5" w:rsidRDefault="00E73AC6" w:rsidP="00394F79">
      <w:pPr>
        <w:pStyle w:val="BodyTextMain"/>
        <w:rPr>
          <w:lang w:val="en-GB"/>
        </w:rPr>
      </w:pPr>
      <w:r w:rsidRPr="000A6DB5">
        <w:rPr>
          <w:lang w:val="en-GB"/>
        </w:rPr>
        <w:t xml:space="preserve">In 2014, Balaji Wafers had </w:t>
      </w:r>
      <w:r>
        <w:rPr>
          <w:lang w:val="en-GB"/>
        </w:rPr>
        <w:t>70 per cent</w:t>
      </w:r>
      <w:r w:rsidRPr="000A6DB5">
        <w:rPr>
          <w:lang w:val="en-GB"/>
        </w:rPr>
        <w:t xml:space="preserve"> market share in western India, with a presence in the states of Gujarat, Maharashtra, Goa, Rajasthan, and some parts of Madhya Pradesh. Management claimed that the company had over 85–</w:t>
      </w:r>
      <w:r>
        <w:rPr>
          <w:lang w:val="en-GB"/>
        </w:rPr>
        <w:t xml:space="preserve">90 per cent </w:t>
      </w:r>
      <w:r w:rsidRPr="000A6DB5">
        <w:rPr>
          <w:lang w:val="en-GB"/>
        </w:rPr>
        <w:t xml:space="preserve">market share of the potato wafer market in Gujarat. With the intention to expand beyond western India in the future, Balaji had invested </w:t>
      </w:r>
      <w:r w:rsidRPr="000A6DB5">
        <w:rPr>
          <w:rStyle w:val="Emphasis"/>
          <w:rFonts w:ascii="Arial" w:hAnsi="Arial" w:cs="Arial"/>
          <w:bCs/>
          <w:i w:val="0"/>
          <w:iCs w:val="0"/>
          <w:sz w:val="20"/>
          <w:szCs w:val="20"/>
          <w:shd w:val="clear" w:color="auto" w:fill="FFFFFF"/>
          <w:lang w:val="en-GB"/>
        </w:rPr>
        <w:t>₹</w:t>
      </w:r>
      <w:r w:rsidRPr="000A6DB5">
        <w:rPr>
          <w:lang w:val="en-GB"/>
        </w:rPr>
        <w:t>500 million in doubling its production capacity in Valsad, South Gujarat, raising its hourly production of potato wafers to 1,200 kg in Rajkot and 2,500 kg in Valsad.</w:t>
      </w:r>
      <w:r w:rsidRPr="000A6DB5">
        <w:rPr>
          <w:rStyle w:val="EndnoteReference"/>
          <w:lang w:val="en-GB"/>
        </w:rPr>
        <w:endnoteReference w:id="55"/>
      </w:r>
    </w:p>
    <w:p w14:paraId="500895A2" w14:textId="3DA24F67" w:rsidR="00E73AC6" w:rsidRPr="000A6DB5" w:rsidRDefault="00E73AC6" w:rsidP="00394F79">
      <w:pPr>
        <w:pStyle w:val="Casehead1"/>
        <w:rPr>
          <w:lang w:val="en-GB"/>
        </w:rPr>
      </w:pPr>
      <w:r w:rsidRPr="000A6DB5">
        <w:rPr>
          <w:lang w:val="en-GB"/>
        </w:rPr>
        <w:lastRenderedPageBreak/>
        <w:t xml:space="preserve">PRODUCT Diversification </w:t>
      </w:r>
    </w:p>
    <w:p w14:paraId="4F15A003" w14:textId="77777777" w:rsidR="00E73AC6" w:rsidRPr="000A6DB5" w:rsidRDefault="00E73AC6" w:rsidP="00394F79">
      <w:pPr>
        <w:pStyle w:val="BodyTextMain"/>
        <w:rPr>
          <w:sz w:val="20"/>
          <w:lang w:val="en-GB"/>
        </w:rPr>
      </w:pPr>
    </w:p>
    <w:p w14:paraId="74613566" w14:textId="15E00B6C" w:rsidR="00E73AC6" w:rsidRPr="000A6DB5" w:rsidRDefault="00E73AC6" w:rsidP="00394F79">
      <w:pPr>
        <w:pStyle w:val="BodyTextMain"/>
        <w:rPr>
          <w:lang w:val="en-GB"/>
        </w:rPr>
      </w:pPr>
      <w:r w:rsidRPr="000A6DB5">
        <w:rPr>
          <w:lang w:val="en-GB"/>
        </w:rPr>
        <w:t xml:space="preserve">In December 2014, Balaji Wafers announced that it would start manufacturing potato french fries by May 2015, taking on the largest seller of french fries in India, McCain Foods India. This project, costing </w:t>
      </w:r>
      <w:r w:rsidRPr="000A6DB5">
        <w:rPr>
          <w:rStyle w:val="Emphasis"/>
          <w:rFonts w:ascii="Arial" w:hAnsi="Arial" w:cs="Arial"/>
          <w:bCs/>
          <w:i w:val="0"/>
          <w:iCs w:val="0"/>
          <w:sz w:val="20"/>
          <w:szCs w:val="20"/>
          <w:shd w:val="clear" w:color="auto" w:fill="FFFFFF"/>
          <w:lang w:val="en-GB"/>
        </w:rPr>
        <w:t>₹</w:t>
      </w:r>
      <w:r w:rsidRPr="000A6DB5">
        <w:rPr>
          <w:lang w:val="en-GB"/>
        </w:rPr>
        <w:t xml:space="preserve">500 million, was to be set up through Iscon Balaji Foods Pvt. Ltd., who at that time manufactured ready-to-cook potato flakes. Chandubhai visited German machinery manufacturers for sourcing machines in late 2014. McCain Foods India was the market leader in the frozen potato specialty market with products like french fries, </w:t>
      </w:r>
      <w:r w:rsidRPr="000A6DB5">
        <w:rPr>
          <w:i/>
          <w:lang w:val="en-GB"/>
        </w:rPr>
        <w:t>Aloo Tikki</w:t>
      </w:r>
      <w:r w:rsidRPr="000A6DB5">
        <w:rPr>
          <w:lang w:val="en-GB"/>
        </w:rPr>
        <w:t>, McCain Smiles, and McCain Potato Cheese Shotz. The firm had a strong back end for sourcing potatoes and planned to start with french fries at its Ahmedabad plant before launching other products. The products would be sold directly to consumers at organized retail stores and would be made available for quick-service restaurants and institutional buyers.</w:t>
      </w:r>
      <w:r w:rsidRPr="000A6DB5">
        <w:rPr>
          <w:rStyle w:val="EndnoteReference"/>
          <w:lang w:val="en-GB"/>
        </w:rPr>
        <w:endnoteReference w:id="56"/>
      </w:r>
    </w:p>
    <w:p w14:paraId="504A8A2E" w14:textId="77777777" w:rsidR="00E73AC6" w:rsidRPr="000A6DB5" w:rsidRDefault="00E73AC6" w:rsidP="00394F79">
      <w:pPr>
        <w:pStyle w:val="BodyTextMain"/>
        <w:rPr>
          <w:sz w:val="20"/>
          <w:lang w:val="en-GB"/>
        </w:rPr>
      </w:pPr>
    </w:p>
    <w:p w14:paraId="61CBA3D8" w14:textId="77777777" w:rsidR="00E73AC6" w:rsidRPr="000A6DB5" w:rsidRDefault="00E73AC6" w:rsidP="00394F79">
      <w:pPr>
        <w:pStyle w:val="BodyTextMain"/>
        <w:rPr>
          <w:sz w:val="20"/>
          <w:lang w:val="en-GB"/>
        </w:rPr>
      </w:pPr>
    </w:p>
    <w:p w14:paraId="56A3F7ED" w14:textId="7065E078" w:rsidR="00E73AC6" w:rsidRPr="000A6DB5" w:rsidRDefault="00E73AC6" w:rsidP="00394F79">
      <w:pPr>
        <w:pStyle w:val="Casehead1"/>
        <w:rPr>
          <w:lang w:val="en-GB"/>
        </w:rPr>
      </w:pPr>
      <w:r w:rsidRPr="000A6DB5">
        <w:rPr>
          <w:lang w:val="en-GB"/>
        </w:rPr>
        <w:t>THE WAY AHEAD</w:t>
      </w:r>
    </w:p>
    <w:p w14:paraId="5C597EE4" w14:textId="77777777" w:rsidR="00E73AC6" w:rsidRPr="000A6DB5" w:rsidRDefault="00E73AC6" w:rsidP="00394F79">
      <w:pPr>
        <w:pStyle w:val="BodyTextMain"/>
        <w:rPr>
          <w:sz w:val="20"/>
          <w:lang w:val="en-GB"/>
        </w:rPr>
      </w:pPr>
    </w:p>
    <w:p w14:paraId="6B6B2A8B" w14:textId="201EA6E8" w:rsidR="007E3D82" w:rsidRPr="000A6DB5" w:rsidRDefault="00E73AC6" w:rsidP="00394F79">
      <w:pPr>
        <w:pStyle w:val="BodyTextMain"/>
        <w:rPr>
          <w:lang w:val="en-GB"/>
        </w:rPr>
      </w:pPr>
      <w:r w:rsidRPr="000A6DB5">
        <w:rPr>
          <w:lang w:val="en-GB"/>
        </w:rPr>
        <w:t>In 2017, Balaji Wafers had continued to make money, and its turnover was continuously increasing</w:t>
      </w:r>
      <w:r>
        <w:rPr>
          <w:lang w:val="en-GB"/>
        </w:rPr>
        <w:t>,</w:t>
      </w:r>
      <w:r w:rsidRPr="000A6DB5">
        <w:rPr>
          <w:lang w:val="en-GB"/>
        </w:rPr>
        <w:t xml:space="preserve"> compared to its competitors (see Exhibit </w:t>
      </w:r>
      <w:r>
        <w:rPr>
          <w:lang w:val="en-GB"/>
        </w:rPr>
        <w:t>8</w:t>
      </w:r>
      <w:r w:rsidRPr="000A6DB5">
        <w:rPr>
          <w:lang w:val="en-GB"/>
        </w:rPr>
        <w:t>). Chandubhai stated that his future plans were to go national and then</w:t>
      </w:r>
      <w:r>
        <w:rPr>
          <w:lang w:val="en-GB"/>
        </w:rPr>
        <w:t>,</w:t>
      </w:r>
      <w:r w:rsidRPr="000A6DB5">
        <w:rPr>
          <w:lang w:val="en-GB"/>
        </w:rPr>
        <w:t xml:space="preserve"> even</w:t>
      </w:r>
      <w:r>
        <w:rPr>
          <w:lang w:val="en-GB"/>
        </w:rPr>
        <w:t>,</w:t>
      </w:r>
      <w:r w:rsidRPr="000A6DB5">
        <w:rPr>
          <w:lang w:val="en-GB"/>
        </w:rPr>
        <w:t xml:space="preserve"> global. The company was planning a </w:t>
      </w:r>
      <w:r w:rsidRPr="000A6DB5">
        <w:rPr>
          <w:rStyle w:val="Emphasis"/>
          <w:rFonts w:ascii="Arial" w:hAnsi="Arial" w:cs="Arial"/>
          <w:bCs/>
          <w:i w:val="0"/>
          <w:iCs w:val="0"/>
          <w:sz w:val="20"/>
          <w:szCs w:val="20"/>
          <w:shd w:val="clear" w:color="auto" w:fill="FFFFFF"/>
          <w:lang w:val="en-GB"/>
        </w:rPr>
        <w:t>₹</w:t>
      </w:r>
      <w:r>
        <w:rPr>
          <w:lang w:val="en-GB"/>
        </w:rPr>
        <w:t>1 billion</w:t>
      </w:r>
      <w:r w:rsidRPr="000A6DB5">
        <w:rPr>
          <w:lang w:val="en-GB"/>
        </w:rPr>
        <w:t xml:space="preserve"> potato wafers unit in London, England, and was considering setting up a unit in Dubai in the United Arab Emirates. He wanted to grow the brand to double its current size in the global markets. Chandubhai also wanted to sell Balaji Wafers’ goods internationally under its own label and had rejected offers from superstores based in the United Kingdom and the Middle East that wanted him to co-brand his products for the large Gujarati diaspora there. Balaji Wafers also aspired to enter the fast-food restaurant business by setting up a chain, starting from Gujarat and then launching it nationally.</w:t>
      </w:r>
      <w:r w:rsidRPr="000A6DB5">
        <w:rPr>
          <w:rStyle w:val="EndnoteReference"/>
          <w:lang w:val="en-GB"/>
        </w:rPr>
        <w:endnoteReference w:id="57"/>
      </w:r>
      <w:r w:rsidRPr="000A6DB5">
        <w:rPr>
          <w:lang w:val="en-GB"/>
        </w:rPr>
        <w:t xml:space="preserve"> </w:t>
      </w:r>
    </w:p>
    <w:p w14:paraId="094C0279" w14:textId="77777777" w:rsidR="007E3D82" w:rsidRPr="000A6DB5" w:rsidRDefault="007E3D82" w:rsidP="00394F79">
      <w:pPr>
        <w:pStyle w:val="BodyTextMain"/>
        <w:rPr>
          <w:sz w:val="20"/>
          <w:lang w:val="en-GB"/>
        </w:rPr>
      </w:pPr>
    </w:p>
    <w:p w14:paraId="436141D4" w14:textId="034BAE63" w:rsidR="00B04519" w:rsidRPr="000A6DB5" w:rsidRDefault="00F939D0" w:rsidP="00394F79">
      <w:pPr>
        <w:pStyle w:val="BodyTextMain"/>
        <w:rPr>
          <w:lang w:val="en-GB"/>
        </w:rPr>
      </w:pPr>
      <w:r w:rsidRPr="000A6DB5">
        <w:rPr>
          <w:lang w:val="en-GB"/>
        </w:rPr>
        <w:t>T</w:t>
      </w:r>
      <w:r w:rsidR="007E3D82" w:rsidRPr="000A6DB5">
        <w:rPr>
          <w:lang w:val="en-GB"/>
        </w:rPr>
        <w:t>he concern</w:t>
      </w:r>
      <w:r w:rsidRPr="000A6DB5">
        <w:rPr>
          <w:lang w:val="en-GB"/>
        </w:rPr>
        <w:t>, however,</w:t>
      </w:r>
      <w:r w:rsidR="007E3D82" w:rsidRPr="000A6DB5">
        <w:rPr>
          <w:lang w:val="en-GB"/>
        </w:rPr>
        <w:t xml:space="preserve"> was about the future of the Balaji brand. </w:t>
      </w:r>
      <w:r w:rsidRPr="000A6DB5">
        <w:rPr>
          <w:lang w:val="en-GB"/>
        </w:rPr>
        <w:t>Balaji Wafers</w:t>
      </w:r>
      <w:r w:rsidR="007E3D82" w:rsidRPr="000A6DB5">
        <w:rPr>
          <w:lang w:val="en-GB"/>
        </w:rPr>
        <w:t xml:space="preserve"> had been a strong regional player </w:t>
      </w:r>
      <w:r w:rsidRPr="000A6DB5">
        <w:rPr>
          <w:lang w:val="en-GB"/>
        </w:rPr>
        <w:t>that</w:t>
      </w:r>
      <w:r w:rsidR="007E3D82" w:rsidRPr="000A6DB5">
        <w:rPr>
          <w:lang w:val="en-GB"/>
        </w:rPr>
        <w:t xml:space="preserve"> had defeated </w:t>
      </w:r>
      <w:r w:rsidRPr="000A6DB5">
        <w:rPr>
          <w:lang w:val="en-GB"/>
        </w:rPr>
        <w:t>an</w:t>
      </w:r>
      <w:r w:rsidR="007E3D82" w:rsidRPr="000A6DB5">
        <w:rPr>
          <w:lang w:val="en-GB"/>
        </w:rPr>
        <w:t xml:space="preserve"> MNC giant, PepsiCo</w:t>
      </w:r>
      <w:r w:rsidRPr="000A6DB5">
        <w:rPr>
          <w:lang w:val="en-GB"/>
        </w:rPr>
        <w:t>,</w:t>
      </w:r>
      <w:r w:rsidR="007E3D82" w:rsidRPr="000A6DB5">
        <w:rPr>
          <w:lang w:val="en-GB"/>
        </w:rPr>
        <w:t xml:space="preserve"> </w:t>
      </w:r>
      <w:r w:rsidRPr="000A6DB5">
        <w:rPr>
          <w:lang w:val="en-GB"/>
        </w:rPr>
        <w:t>o</w:t>
      </w:r>
      <w:r w:rsidR="007E3D82" w:rsidRPr="000A6DB5">
        <w:rPr>
          <w:lang w:val="en-GB"/>
        </w:rPr>
        <w:t xml:space="preserve">n </w:t>
      </w:r>
      <w:r w:rsidRPr="000A6DB5">
        <w:rPr>
          <w:lang w:val="en-GB"/>
        </w:rPr>
        <w:t>its</w:t>
      </w:r>
      <w:r w:rsidR="007E3D82" w:rsidRPr="000A6DB5">
        <w:rPr>
          <w:lang w:val="en-GB"/>
        </w:rPr>
        <w:t xml:space="preserve"> home turf and </w:t>
      </w:r>
      <w:r w:rsidRPr="000A6DB5">
        <w:rPr>
          <w:lang w:val="en-GB"/>
        </w:rPr>
        <w:t xml:space="preserve">had </w:t>
      </w:r>
      <w:r w:rsidR="007E3D82" w:rsidRPr="000A6DB5">
        <w:rPr>
          <w:lang w:val="en-GB"/>
        </w:rPr>
        <w:t xml:space="preserve">spurned offers from General Mills and Kellogg’s, </w:t>
      </w:r>
      <w:r w:rsidRPr="000A6DB5">
        <w:rPr>
          <w:lang w:val="en-GB"/>
        </w:rPr>
        <w:t>its</w:t>
      </w:r>
      <w:r w:rsidR="007E3D82" w:rsidRPr="000A6DB5">
        <w:rPr>
          <w:lang w:val="en-GB"/>
        </w:rPr>
        <w:t xml:space="preserve"> potential competitors in the national market. Additionally, it </w:t>
      </w:r>
      <w:r w:rsidRPr="000A6DB5">
        <w:rPr>
          <w:lang w:val="en-GB"/>
        </w:rPr>
        <w:t xml:space="preserve">had </w:t>
      </w:r>
      <w:r w:rsidR="007E3D82" w:rsidRPr="000A6DB5">
        <w:rPr>
          <w:lang w:val="en-GB"/>
        </w:rPr>
        <w:t xml:space="preserve">also faced the onslaught </w:t>
      </w:r>
      <w:r w:rsidRPr="000A6DB5">
        <w:rPr>
          <w:lang w:val="en-GB"/>
        </w:rPr>
        <w:t>of</w:t>
      </w:r>
      <w:r w:rsidR="007E3D82" w:rsidRPr="000A6DB5">
        <w:rPr>
          <w:lang w:val="en-GB"/>
        </w:rPr>
        <w:t xml:space="preserve"> local players like Hald</w:t>
      </w:r>
      <w:r w:rsidR="00B91E2B" w:rsidRPr="000A6DB5">
        <w:rPr>
          <w:lang w:val="en-GB"/>
        </w:rPr>
        <w:t>i</w:t>
      </w:r>
      <w:r w:rsidR="007E3D82" w:rsidRPr="000A6DB5">
        <w:rPr>
          <w:lang w:val="en-GB"/>
        </w:rPr>
        <w:t>ram</w:t>
      </w:r>
      <w:r w:rsidRPr="000A6DB5">
        <w:rPr>
          <w:lang w:val="en-GB"/>
        </w:rPr>
        <w:t>,</w:t>
      </w:r>
      <w:r w:rsidR="007E3D82" w:rsidRPr="000A6DB5">
        <w:rPr>
          <w:lang w:val="en-GB"/>
        </w:rPr>
        <w:t xml:space="preserve"> wh</w:t>
      </w:r>
      <w:r w:rsidRPr="000A6DB5">
        <w:rPr>
          <w:lang w:val="en-GB"/>
        </w:rPr>
        <w:t>ich</w:t>
      </w:r>
      <w:r w:rsidR="007E3D82" w:rsidRPr="000A6DB5">
        <w:rPr>
          <w:lang w:val="en-GB"/>
        </w:rPr>
        <w:t xml:space="preserve"> had grown from being a regional brand to </w:t>
      </w:r>
      <w:r w:rsidRPr="000A6DB5">
        <w:rPr>
          <w:lang w:val="en-GB"/>
        </w:rPr>
        <w:t xml:space="preserve">becoming </w:t>
      </w:r>
      <w:r w:rsidR="007E3D82" w:rsidRPr="000A6DB5">
        <w:rPr>
          <w:lang w:val="en-GB"/>
        </w:rPr>
        <w:t xml:space="preserve">the leading </w:t>
      </w:r>
      <w:r w:rsidRPr="000A6DB5">
        <w:rPr>
          <w:lang w:val="en-GB"/>
        </w:rPr>
        <w:t xml:space="preserve">national </w:t>
      </w:r>
      <w:r w:rsidR="007E3D82" w:rsidRPr="000A6DB5">
        <w:rPr>
          <w:lang w:val="en-GB"/>
        </w:rPr>
        <w:t xml:space="preserve">brand. </w:t>
      </w:r>
      <w:r w:rsidRPr="000A6DB5">
        <w:rPr>
          <w:lang w:val="en-GB"/>
        </w:rPr>
        <w:t>O</w:t>
      </w:r>
      <w:r w:rsidR="007E3D82" w:rsidRPr="000A6DB5">
        <w:rPr>
          <w:lang w:val="en-GB"/>
        </w:rPr>
        <w:t>ther regional brands</w:t>
      </w:r>
      <w:r w:rsidRPr="000A6DB5">
        <w:rPr>
          <w:lang w:val="en-GB"/>
        </w:rPr>
        <w:t>,</w:t>
      </w:r>
      <w:r w:rsidR="007E3D82" w:rsidRPr="000A6DB5">
        <w:rPr>
          <w:lang w:val="en-GB"/>
        </w:rPr>
        <w:t xml:space="preserve"> like Yellow Diamond, were also experiencing robust growth in their respective regions. </w:t>
      </w:r>
      <w:r w:rsidRPr="000A6DB5">
        <w:rPr>
          <w:lang w:val="en-GB"/>
        </w:rPr>
        <w:t>T</w:t>
      </w:r>
      <w:r w:rsidR="007E3D82" w:rsidRPr="000A6DB5">
        <w:rPr>
          <w:lang w:val="en-GB"/>
        </w:rPr>
        <w:t>he question before the Virani</w:t>
      </w:r>
      <w:r w:rsidR="00B91E2B" w:rsidRPr="000A6DB5">
        <w:rPr>
          <w:lang w:val="en-GB"/>
        </w:rPr>
        <w:t xml:space="preserve"> family</w:t>
      </w:r>
      <w:r w:rsidR="007E3D82" w:rsidRPr="000A6DB5">
        <w:rPr>
          <w:lang w:val="en-GB"/>
        </w:rPr>
        <w:t xml:space="preserve"> was whether they should expand the Balaji brand nationally</w:t>
      </w:r>
      <w:r w:rsidRPr="000A6DB5">
        <w:rPr>
          <w:lang w:val="en-GB"/>
        </w:rPr>
        <w:t>,</w:t>
      </w:r>
      <w:r w:rsidR="007E3D82" w:rsidRPr="000A6DB5">
        <w:rPr>
          <w:lang w:val="en-GB"/>
        </w:rPr>
        <w:t xml:space="preserve"> or stay regional </w:t>
      </w:r>
      <w:r w:rsidRPr="000A6DB5">
        <w:rPr>
          <w:lang w:val="en-GB"/>
        </w:rPr>
        <w:t>and</w:t>
      </w:r>
      <w:r w:rsidR="007E3D82" w:rsidRPr="000A6DB5">
        <w:rPr>
          <w:lang w:val="en-GB"/>
        </w:rPr>
        <w:t xml:space="preserve"> strengthen it further in Gujarat and Maharashtra</w:t>
      </w:r>
      <w:r w:rsidRPr="000A6DB5">
        <w:rPr>
          <w:lang w:val="en-GB"/>
        </w:rPr>
        <w:t>.</w:t>
      </w:r>
    </w:p>
    <w:p w14:paraId="52D531AA" w14:textId="77777777" w:rsidR="002C7D35" w:rsidRPr="000A6DB5" w:rsidRDefault="00B04519">
      <w:pPr>
        <w:spacing w:after="200" w:line="276" w:lineRule="auto"/>
        <w:rPr>
          <w:lang w:val="en-GB"/>
        </w:rPr>
      </w:pPr>
      <w:r w:rsidRPr="000A6DB5">
        <w:rPr>
          <w:lang w:val="en-GB"/>
        </w:rPr>
        <w:br w:type="page"/>
      </w:r>
    </w:p>
    <w:p w14:paraId="79148635" w14:textId="77777777" w:rsidR="002C7D35" w:rsidRPr="000A6DB5" w:rsidRDefault="002C7D35" w:rsidP="00F043D1">
      <w:pPr>
        <w:pStyle w:val="ExhibitHeading"/>
        <w:outlineLvl w:val="0"/>
        <w:rPr>
          <w:lang w:val="en-GB"/>
        </w:rPr>
      </w:pPr>
      <w:r w:rsidRPr="000A6DB5">
        <w:rPr>
          <w:lang w:val="en-GB"/>
        </w:rPr>
        <w:lastRenderedPageBreak/>
        <w:t>EXHIBIT 1: BRAND SHARE SALES</w:t>
      </w:r>
    </w:p>
    <w:p w14:paraId="69C92C2C" w14:textId="77777777" w:rsidR="00022163" w:rsidRPr="000A6DB5" w:rsidRDefault="00022163" w:rsidP="008A050F">
      <w:pPr>
        <w:pStyle w:val="Casehead2"/>
        <w:rPr>
          <w:lang w:val="en-GB"/>
        </w:rPr>
      </w:pPr>
    </w:p>
    <w:p w14:paraId="08A9A77A" w14:textId="6FEE824C" w:rsidR="008A050F" w:rsidRPr="000A6DB5" w:rsidRDefault="008A050F" w:rsidP="00F043D1">
      <w:pPr>
        <w:pStyle w:val="Casehead2"/>
        <w:outlineLvl w:val="0"/>
        <w:rPr>
          <w:lang w:val="en-GB"/>
        </w:rPr>
      </w:pPr>
      <w:r w:rsidRPr="000A6DB5">
        <w:rPr>
          <w:lang w:val="en-GB"/>
        </w:rPr>
        <w:t>Sales for the year ended September (</w:t>
      </w:r>
      <w:r w:rsidR="00C71BFC" w:rsidRPr="000A6DB5">
        <w:rPr>
          <w:rStyle w:val="Emphasis"/>
          <w:bCs/>
          <w:i w:val="0"/>
          <w:iCs w:val="0"/>
          <w:shd w:val="clear" w:color="auto" w:fill="FFFFFF"/>
          <w:lang w:val="en-GB"/>
        </w:rPr>
        <w:t>₹</w:t>
      </w:r>
      <w:r w:rsidRPr="000A6DB5">
        <w:rPr>
          <w:lang w:val="en-GB"/>
        </w:rPr>
        <w:t xml:space="preserve"> </w:t>
      </w:r>
      <w:r w:rsidR="00E73AC6">
        <w:rPr>
          <w:lang w:val="en-GB"/>
        </w:rPr>
        <w:t>b</w:t>
      </w:r>
      <w:r w:rsidR="00022163" w:rsidRPr="000A6DB5">
        <w:rPr>
          <w:lang w:val="en-GB"/>
        </w:rPr>
        <w:t>illion</w:t>
      </w:r>
      <w:r w:rsidRPr="000A6DB5">
        <w:rPr>
          <w:lang w:val="en-GB"/>
        </w:rPr>
        <w:t>)</w:t>
      </w:r>
    </w:p>
    <w:p w14:paraId="6F8A97F5" w14:textId="77777777" w:rsidR="008A050F" w:rsidRPr="000A6DB5" w:rsidRDefault="008A050F" w:rsidP="002C7D35">
      <w:pPr>
        <w:pStyle w:val="BodyTextMain"/>
        <w:rPr>
          <w:lang w:val="en-GB"/>
        </w:rPr>
      </w:pPr>
    </w:p>
    <w:tbl>
      <w:tblPr>
        <w:tblStyle w:val="TableGrid"/>
        <w:tblW w:w="0" w:type="auto"/>
        <w:jc w:val="center"/>
        <w:tblLook w:val="04A0" w:firstRow="1" w:lastRow="0" w:firstColumn="1" w:lastColumn="0" w:noHBand="0" w:noVBand="1"/>
      </w:tblPr>
      <w:tblGrid>
        <w:gridCol w:w="3330"/>
        <w:gridCol w:w="1080"/>
        <w:gridCol w:w="1080"/>
      </w:tblGrid>
      <w:tr w:rsidR="008A050F" w:rsidRPr="000A6DB5" w14:paraId="428E2182" w14:textId="77777777" w:rsidTr="008A050F">
        <w:trPr>
          <w:jc w:val="center"/>
        </w:trPr>
        <w:tc>
          <w:tcPr>
            <w:tcW w:w="3330" w:type="dxa"/>
          </w:tcPr>
          <w:p w14:paraId="79755E4C" w14:textId="45D57C29" w:rsidR="008A050F" w:rsidRPr="000A6DB5" w:rsidRDefault="008A050F" w:rsidP="0049647A">
            <w:pPr>
              <w:pStyle w:val="ExhibitText"/>
              <w:jc w:val="center"/>
              <w:rPr>
                <w:b/>
                <w:lang w:val="en-GB"/>
              </w:rPr>
            </w:pPr>
            <w:r w:rsidRPr="000A6DB5">
              <w:rPr>
                <w:b/>
                <w:lang w:val="en-GB"/>
              </w:rPr>
              <w:t>Brand</w:t>
            </w:r>
          </w:p>
        </w:tc>
        <w:tc>
          <w:tcPr>
            <w:tcW w:w="1080" w:type="dxa"/>
          </w:tcPr>
          <w:p w14:paraId="26AF7FFF" w14:textId="46F4368C" w:rsidR="008A050F" w:rsidRPr="000A6DB5" w:rsidRDefault="008A050F" w:rsidP="008A050F">
            <w:pPr>
              <w:pStyle w:val="ExhibitText"/>
              <w:tabs>
                <w:tab w:val="left" w:pos="826"/>
              </w:tabs>
              <w:jc w:val="center"/>
              <w:rPr>
                <w:b/>
                <w:lang w:val="en-GB"/>
              </w:rPr>
            </w:pPr>
            <w:r w:rsidRPr="000A6DB5">
              <w:rPr>
                <w:b/>
                <w:lang w:val="en-GB"/>
              </w:rPr>
              <w:t>2016</w:t>
            </w:r>
          </w:p>
        </w:tc>
        <w:tc>
          <w:tcPr>
            <w:tcW w:w="1080" w:type="dxa"/>
          </w:tcPr>
          <w:p w14:paraId="35CE332D" w14:textId="377D8503" w:rsidR="008A050F" w:rsidRPr="000A6DB5" w:rsidRDefault="008A050F" w:rsidP="008A050F">
            <w:pPr>
              <w:pStyle w:val="ExhibitText"/>
              <w:jc w:val="center"/>
              <w:rPr>
                <w:b/>
                <w:lang w:val="en-GB"/>
              </w:rPr>
            </w:pPr>
            <w:r w:rsidRPr="000A6DB5">
              <w:rPr>
                <w:b/>
                <w:lang w:val="en-GB"/>
              </w:rPr>
              <w:t>2017</w:t>
            </w:r>
          </w:p>
        </w:tc>
      </w:tr>
      <w:tr w:rsidR="008A050F" w:rsidRPr="000A6DB5" w14:paraId="70622952" w14:textId="77777777" w:rsidTr="008A050F">
        <w:trPr>
          <w:jc w:val="center"/>
        </w:trPr>
        <w:tc>
          <w:tcPr>
            <w:tcW w:w="3330" w:type="dxa"/>
          </w:tcPr>
          <w:p w14:paraId="61A86219" w14:textId="607425F9" w:rsidR="008A050F" w:rsidRPr="000A6DB5" w:rsidRDefault="008A050F" w:rsidP="008A050F">
            <w:pPr>
              <w:pStyle w:val="ExhibitText"/>
              <w:jc w:val="left"/>
              <w:rPr>
                <w:lang w:val="en-GB"/>
              </w:rPr>
            </w:pPr>
            <w:r w:rsidRPr="000A6DB5">
              <w:rPr>
                <w:lang w:val="en-GB"/>
              </w:rPr>
              <w:t>Hald</w:t>
            </w:r>
            <w:r w:rsidR="00A03090" w:rsidRPr="000A6DB5">
              <w:rPr>
                <w:lang w:val="en-GB"/>
              </w:rPr>
              <w:t>i</w:t>
            </w:r>
            <w:r w:rsidRPr="000A6DB5">
              <w:rPr>
                <w:lang w:val="en-GB"/>
              </w:rPr>
              <w:t xml:space="preserve">ram’s </w:t>
            </w:r>
          </w:p>
        </w:tc>
        <w:tc>
          <w:tcPr>
            <w:tcW w:w="1080" w:type="dxa"/>
          </w:tcPr>
          <w:p w14:paraId="13C84C2D" w14:textId="06EF9236" w:rsidR="008A050F" w:rsidRPr="000A6DB5" w:rsidRDefault="00022163" w:rsidP="00E73AC6">
            <w:pPr>
              <w:pStyle w:val="ExhibitText"/>
              <w:jc w:val="right"/>
              <w:rPr>
                <w:lang w:val="en-GB"/>
              </w:rPr>
            </w:pPr>
            <w:r w:rsidRPr="000A6DB5">
              <w:rPr>
                <w:lang w:val="en-GB"/>
              </w:rPr>
              <w:t>32</w:t>
            </w:r>
            <w:r w:rsidR="00E73AC6">
              <w:rPr>
                <w:lang w:val="en-GB"/>
              </w:rPr>
              <w:t>.</w:t>
            </w:r>
            <w:r w:rsidRPr="000A6DB5">
              <w:rPr>
                <w:lang w:val="en-GB"/>
              </w:rPr>
              <w:t>622</w:t>
            </w:r>
          </w:p>
        </w:tc>
        <w:tc>
          <w:tcPr>
            <w:tcW w:w="1080" w:type="dxa"/>
          </w:tcPr>
          <w:p w14:paraId="061F0DD4" w14:textId="3A7840DD" w:rsidR="008A050F" w:rsidRPr="000A6DB5" w:rsidRDefault="008A050F" w:rsidP="00E73AC6">
            <w:pPr>
              <w:pStyle w:val="ExhibitText"/>
              <w:jc w:val="right"/>
              <w:rPr>
                <w:lang w:val="en-GB"/>
              </w:rPr>
            </w:pPr>
            <w:r w:rsidRPr="000A6DB5">
              <w:rPr>
                <w:lang w:val="en-GB"/>
              </w:rPr>
              <w:t>42</w:t>
            </w:r>
            <w:r w:rsidR="00E73AC6">
              <w:rPr>
                <w:lang w:val="en-GB"/>
              </w:rPr>
              <w:t>.</w:t>
            </w:r>
            <w:r w:rsidRPr="000A6DB5">
              <w:rPr>
                <w:lang w:val="en-GB"/>
              </w:rPr>
              <w:t>248</w:t>
            </w:r>
          </w:p>
        </w:tc>
      </w:tr>
      <w:tr w:rsidR="008A050F" w:rsidRPr="000A6DB5" w14:paraId="3CF32ABC" w14:textId="77777777" w:rsidTr="008A050F">
        <w:trPr>
          <w:jc w:val="center"/>
        </w:trPr>
        <w:tc>
          <w:tcPr>
            <w:tcW w:w="3330" w:type="dxa"/>
          </w:tcPr>
          <w:p w14:paraId="00D82E8C" w14:textId="219ABAFB" w:rsidR="008A050F" w:rsidRPr="000A6DB5" w:rsidRDefault="008A050F" w:rsidP="008A050F">
            <w:pPr>
              <w:pStyle w:val="ExhibitText"/>
              <w:jc w:val="left"/>
              <w:rPr>
                <w:lang w:val="en-GB"/>
              </w:rPr>
            </w:pPr>
            <w:r w:rsidRPr="000A6DB5">
              <w:rPr>
                <w:lang w:val="en-GB"/>
              </w:rPr>
              <w:t>Balaji</w:t>
            </w:r>
          </w:p>
        </w:tc>
        <w:tc>
          <w:tcPr>
            <w:tcW w:w="1080" w:type="dxa"/>
          </w:tcPr>
          <w:p w14:paraId="007E58CD" w14:textId="46F167E6" w:rsidR="008A050F" w:rsidRPr="000A6DB5" w:rsidRDefault="008A050F" w:rsidP="00E73AC6">
            <w:pPr>
              <w:pStyle w:val="ExhibitText"/>
              <w:jc w:val="right"/>
              <w:rPr>
                <w:lang w:val="en-GB"/>
              </w:rPr>
            </w:pPr>
            <w:r w:rsidRPr="000A6DB5">
              <w:rPr>
                <w:lang w:val="en-GB"/>
              </w:rPr>
              <w:t>17</w:t>
            </w:r>
            <w:r w:rsidR="00E73AC6">
              <w:rPr>
                <w:lang w:val="en-GB"/>
              </w:rPr>
              <w:t>.</w:t>
            </w:r>
            <w:r w:rsidRPr="000A6DB5">
              <w:rPr>
                <w:lang w:val="en-GB"/>
              </w:rPr>
              <w:t>739</w:t>
            </w:r>
          </w:p>
        </w:tc>
        <w:tc>
          <w:tcPr>
            <w:tcW w:w="1080" w:type="dxa"/>
          </w:tcPr>
          <w:p w14:paraId="0A215CD6" w14:textId="679BDC7E" w:rsidR="008A050F" w:rsidRPr="000A6DB5" w:rsidRDefault="008A050F" w:rsidP="00E73AC6">
            <w:pPr>
              <w:pStyle w:val="ExhibitText"/>
              <w:jc w:val="right"/>
              <w:rPr>
                <w:lang w:val="en-GB"/>
              </w:rPr>
            </w:pPr>
            <w:r w:rsidRPr="000A6DB5">
              <w:rPr>
                <w:lang w:val="en-GB"/>
              </w:rPr>
              <w:t>21</w:t>
            </w:r>
            <w:r w:rsidR="00E73AC6">
              <w:rPr>
                <w:lang w:val="en-GB"/>
              </w:rPr>
              <w:t>.</w:t>
            </w:r>
            <w:r w:rsidRPr="000A6DB5">
              <w:rPr>
                <w:lang w:val="en-GB"/>
              </w:rPr>
              <w:t>218</w:t>
            </w:r>
          </w:p>
        </w:tc>
      </w:tr>
      <w:tr w:rsidR="008A050F" w:rsidRPr="000A6DB5" w14:paraId="4F70CE8A" w14:textId="77777777" w:rsidTr="008A050F">
        <w:trPr>
          <w:jc w:val="center"/>
        </w:trPr>
        <w:tc>
          <w:tcPr>
            <w:tcW w:w="3330" w:type="dxa"/>
          </w:tcPr>
          <w:p w14:paraId="57BB4735" w14:textId="1E3D8574" w:rsidR="008A050F" w:rsidRPr="000A6DB5" w:rsidRDefault="008A050F" w:rsidP="008A050F">
            <w:pPr>
              <w:pStyle w:val="ExhibitText"/>
              <w:jc w:val="left"/>
              <w:rPr>
                <w:lang w:val="en-GB"/>
              </w:rPr>
            </w:pPr>
            <w:r w:rsidRPr="000A6DB5">
              <w:rPr>
                <w:lang w:val="en-GB"/>
              </w:rPr>
              <w:t>Lay</w:t>
            </w:r>
            <w:r w:rsidR="00A03090" w:rsidRPr="000A6DB5">
              <w:rPr>
                <w:lang w:val="en-GB"/>
              </w:rPr>
              <w:t>’</w:t>
            </w:r>
            <w:r w:rsidRPr="000A6DB5">
              <w:rPr>
                <w:lang w:val="en-GB"/>
              </w:rPr>
              <w:t>s/PepsiCo</w:t>
            </w:r>
          </w:p>
        </w:tc>
        <w:tc>
          <w:tcPr>
            <w:tcW w:w="1080" w:type="dxa"/>
          </w:tcPr>
          <w:p w14:paraId="46A7A5FA" w14:textId="47689A8B" w:rsidR="008A050F" w:rsidRPr="000A6DB5" w:rsidRDefault="008A050F" w:rsidP="00E73AC6">
            <w:pPr>
              <w:pStyle w:val="ExhibitText"/>
              <w:jc w:val="right"/>
              <w:rPr>
                <w:lang w:val="en-GB"/>
              </w:rPr>
            </w:pPr>
            <w:r w:rsidRPr="000A6DB5">
              <w:rPr>
                <w:lang w:val="en-GB"/>
              </w:rPr>
              <w:t>17</w:t>
            </w:r>
            <w:r w:rsidR="00E73AC6">
              <w:rPr>
                <w:lang w:val="en-GB"/>
              </w:rPr>
              <w:t>.</w:t>
            </w:r>
            <w:r w:rsidRPr="000A6DB5">
              <w:rPr>
                <w:lang w:val="en-GB"/>
              </w:rPr>
              <w:t>614</w:t>
            </w:r>
          </w:p>
        </w:tc>
        <w:tc>
          <w:tcPr>
            <w:tcW w:w="1080" w:type="dxa"/>
          </w:tcPr>
          <w:p w14:paraId="28974CFA" w14:textId="697B186D" w:rsidR="008A050F" w:rsidRPr="000A6DB5" w:rsidRDefault="008A050F" w:rsidP="00E73AC6">
            <w:pPr>
              <w:pStyle w:val="ExhibitText"/>
              <w:jc w:val="right"/>
              <w:rPr>
                <w:lang w:val="en-GB"/>
              </w:rPr>
            </w:pPr>
            <w:r w:rsidRPr="000A6DB5">
              <w:rPr>
                <w:lang w:val="en-GB"/>
              </w:rPr>
              <w:t>19</w:t>
            </w:r>
            <w:r w:rsidR="00E73AC6">
              <w:rPr>
                <w:lang w:val="en-GB"/>
              </w:rPr>
              <w:t>.</w:t>
            </w:r>
            <w:r w:rsidRPr="000A6DB5">
              <w:rPr>
                <w:lang w:val="en-GB"/>
              </w:rPr>
              <w:t>964</w:t>
            </w:r>
          </w:p>
        </w:tc>
      </w:tr>
      <w:tr w:rsidR="008A050F" w:rsidRPr="000A6DB5" w14:paraId="43CB5156" w14:textId="77777777" w:rsidTr="008A050F">
        <w:trPr>
          <w:jc w:val="center"/>
        </w:trPr>
        <w:tc>
          <w:tcPr>
            <w:tcW w:w="3330" w:type="dxa"/>
          </w:tcPr>
          <w:p w14:paraId="35B0550E" w14:textId="580CDFB6" w:rsidR="008A050F" w:rsidRPr="000A6DB5" w:rsidRDefault="008A050F" w:rsidP="008A050F">
            <w:pPr>
              <w:pStyle w:val="ExhibitText"/>
              <w:jc w:val="left"/>
              <w:rPr>
                <w:lang w:val="en-GB"/>
              </w:rPr>
            </w:pPr>
            <w:r w:rsidRPr="000A6DB5">
              <w:rPr>
                <w:lang w:val="en-GB"/>
              </w:rPr>
              <w:t>Kurkure/PepsiCo</w:t>
            </w:r>
          </w:p>
        </w:tc>
        <w:tc>
          <w:tcPr>
            <w:tcW w:w="1080" w:type="dxa"/>
          </w:tcPr>
          <w:p w14:paraId="48BBDA85" w14:textId="27DFEAB3" w:rsidR="008A050F" w:rsidRPr="000A6DB5" w:rsidRDefault="008A050F" w:rsidP="00E73AC6">
            <w:pPr>
              <w:pStyle w:val="ExhibitText"/>
              <w:jc w:val="right"/>
              <w:rPr>
                <w:lang w:val="en-GB"/>
              </w:rPr>
            </w:pPr>
            <w:r w:rsidRPr="000A6DB5">
              <w:rPr>
                <w:lang w:val="en-GB"/>
              </w:rPr>
              <w:t>15</w:t>
            </w:r>
            <w:r w:rsidR="00E73AC6">
              <w:rPr>
                <w:lang w:val="en-GB"/>
              </w:rPr>
              <w:t>.</w:t>
            </w:r>
            <w:r w:rsidRPr="000A6DB5">
              <w:rPr>
                <w:lang w:val="en-GB"/>
              </w:rPr>
              <w:t>014</w:t>
            </w:r>
          </w:p>
        </w:tc>
        <w:tc>
          <w:tcPr>
            <w:tcW w:w="1080" w:type="dxa"/>
          </w:tcPr>
          <w:p w14:paraId="69BAF163" w14:textId="48121B42" w:rsidR="008A050F" w:rsidRPr="000A6DB5" w:rsidRDefault="008A050F" w:rsidP="00E73AC6">
            <w:pPr>
              <w:pStyle w:val="ExhibitText"/>
              <w:jc w:val="right"/>
              <w:rPr>
                <w:lang w:val="en-GB"/>
              </w:rPr>
            </w:pPr>
            <w:r w:rsidRPr="000A6DB5">
              <w:rPr>
                <w:lang w:val="en-GB"/>
              </w:rPr>
              <w:t>16</w:t>
            </w:r>
            <w:r w:rsidR="00E73AC6">
              <w:rPr>
                <w:lang w:val="en-GB"/>
              </w:rPr>
              <w:t>.</w:t>
            </w:r>
            <w:r w:rsidRPr="000A6DB5">
              <w:rPr>
                <w:lang w:val="en-GB"/>
              </w:rPr>
              <w:t>005</w:t>
            </w:r>
          </w:p>
        </w:tc>
      </w:tr>
      <w:tr w:rsidR="008A050F" w:rsidRPr="000A6DB5" w14:paraId="279E57FC" w14:textId="77777777" w:rsidTr="008A050F">
        <w:trPr>
          <w:jc w:val="center"/>
        </w:trPr>
        <w:tc>
          <w:tcPr>
            <w:tcW w:w="3330" w:type="dxa"/>
          </w:tcPr>
          <w:p w14:paraId="69FC1912" w14:textId="00EF371E" w:rsidR="008A050F" w:rsidRPr="000A6DB5" w:rsidRDefault="008A050F" w:rsidP="008A050F">
            <w:pPr>
              <w:pStyle w:val="ExhibitText"/>
              <w:jc w:val="left"/>
              <w:rPr>
                <w:lang w:val="en-GB"/>
              </w:rPr>
            </w:pPr>
            <w:r w:rsidRPr="000A6DB5">
              <w:rPr>
                <w:lang w:val="en-GB"/>
              </w:rPr>
              <w:t>Yellow Diamond/Prataap Snacks</w:t>
            </w:r>
          </w:p>
        </w:tc>
        <w:tc>
          <w:tcPr>
            <w:tcW w:w="1080" w:type="dxa"/>
          </w:tcPr>
          <w:p w14:paraId="075AB6A9" w14:textId="0DD34D4D" w:rsidR="008A050F" w:rsidRPr="000A6DB5" w:rsidRDefault="008A050F" w:rsidP="00E73AC6">
            <w:pPr>
              <w:pStyle w:val="ExhibitText"/>
              <w:jc w:val="right"/>
              <w:rPr>
                <w:lang w:val="en-GB"/>
              </w:rPr>
            </w:pPr>
            <w:r w:rsidRPr="000A6DB5">
              <w:rPr>
                <w:lang w:val="en-GB"/>
              </w:rPr>
              <w:t>7</w:t>
            </w:r>
            <w:r w:rsidR="00E73AC6">
              <w:rPr>
                <w:lang w:val="en-GB"/>
              </w:rPr>
              <w:t>.</w:t>
            </w:r>
            <w:r w:rsidRPr="000A6DB5">
              <w:rPr>
                <w:lang w:val="en-GB"/>
              </w:rPr>
              <w:t>893</w:t>
            </w:r>
          </w:p>
        </w:tc>
        <w:tc>
          <w:tcPr>
            <w:tcW w:w="1080" w:type="dxa"/>
          </w:tcPr>
          <w:p w14:paraId="3E1E332F" w14:textId="5BEB323B" w:rsidR="008A050F" w:rsidRPr="000A6DB5" w:rsidRDefault="008A050F" w:rsidP="00E73AC6">
            <w:pPr>
              <w:pStyle w:val="ExhibitText"/>
              <w:jc w:val="right"/>
              <w:rPr>
                <w:lang w:val="en-GB"/>
              </w:rPr>
            </w:pPr>
            <w:r w:rsidRPr="000A6DB5">
              <w:rPr>
                <w:lang w:val="en-GB"/>
              </w:rPr>
              <w:t>10</w:t>
            </w:r>
            <w:r w:rsidR="00E73AC6">
              <w:rPr>
                <w:lang w:val="en-GB"/>
              </w:rPr>
              <w:t>.</w:t>
            </w:r>
            <w:r w:rsidRPr="000A6DB5">
              <w:rPr>
                <w:lang w:val="en-GB"/>
              </w:rPr>
              <w:t>586</w:t>
            </w:r>
          </w:p>
        </w:tc>
      </w:tr>
    </w:tbl>
    <w:p w14:paraId="38BBFC2F" w14:textId="77777777" w:rsidR="008A050F" w:rsidRPr="000A6DB5" w:rsidRDefault="008A050F" w:rsidP="002C7D35">
      <w:pPr>
        <w:pStyle w:val="BodyTextMain"/>
        <w:rPr>
          <w:lang w:val="en-GB"/>
        </w:rPr>
      </w:pPr>
    </w:p>
    <w:p w14:paraId="376D7210" w14:textId="2452838B" w:rsidR="00C71BFC" w:rsidRPr="000A6DB5" w:rsidRDefault="00C71BFC" w:rsidP="00F043D1">
      <w:pPr>
        <w:pStyle w:val="Footnote"/>
        <w:outlineLvl w:val="0"/>
        <w:rPr>
          <w:lang w:val="en-GB"/>
        </w:rPr>
      </w:pPr>
      <w:r w:rsidRPr="000A6DB5">
        <w:rPr>
          <w:lang w:val="en-GB"/>
        </w:rPr>
        <w:t xml:space="preserve">Note: </w:t>
      </w:r>
      <w:r w:rsidRPr="000A6DB5">
        <w:rPr>
          <w:rStyle w:val="Emphasis"/>
          <w:bCs/>
          <w:i w:val="0"/>
          <w:iCs w:val="0"/>
          <w:shd w:val="clear" w:color="auto" w:fill="FFFFFF"/>
          <w:lang w:val="en-GB"/>
        </w:rPr>
        <w:t>₹ = INR = Indian rupee; US$1 = ₹63.8838 on September 1, 2017</w:t>
      </w:r>
      <w:r w:rsidR="00692CBE">
        <w:rPr>
          <w:rStyle w:val="Emphasis"/>
          <w:bCs/>
          <w:i w:val="0"/>
          <w:iCs w:val="0"/>
          <w:shd w:val="clear" w:color="auto" w:fill="FFFFFF"/>
          <w:lang w:val="en-GB"/>
        </w:rPr>
        <w:t>.</w:t>
      </w:r>
    </w:p>
    <w:p w14:paraId="4545BB39" w14:textId="52F5C7B3" w:rsidR="008018A5" w:rsidRPr="000A6DB5" w:rsidRDefault="008018A5" w:rsidP="008018A5">
      <w:pPr>
        <w:pStyle w:val="Footnote"/>
        <w:rPr>
          <w:lang w:val="en-GB"/>
        </w:rPr>
      </w:pPr>
      <w:r w:rsidRPr="000A6DB5">
        <w:rPr>
          <w:lang w:val="en-GB"/>
        </w:rPr>
        <w:t>S</w:t>
      </w:r>
      <w:r w:rsidR="00C71BFC" w:rsidRPr="000A6DB5">
        <w:rPr>
          <w:lang w:val="en-GB"/>
        </w:rPr>
        <w:t>ource</w:t>
      </w:r>
      <w:r w:rsidRPr="000A6DB5">
        <w:rPr>
          <w:lang w:val="en-GB"/>
        </w:rPr>
        <w:t xml:space="preserve">: Created by the authors based on data from </w:t>
      </w:r>
      <w:r w:rsidR="00A03090" w:rsidRPr="000A6DB5">
        <w:rPr>
          <w:lang w:val="en-GB"/>
        </w:rPr>
        <w:t xml:space="preserve">Sagar Malviya, “Haldiram Topples PepsiCo; Regains Top Spot as Country’s Largest Snack Company,” </w:t>
      </w:r>
      <w:r w:rsidRPr="000A6DB5">
        <w:rPr>
          <w:i/>
          <w:lang w:val="en-GB"/>
        </w:rPr>
        <w:t>Economic Times</w:t>
      </w:r>
      <w:r w:rsidRPr="000A6DB5">
        <w:rPr>
          <w:lang w:val="en-GB"/>
        </w:rPr>
        <w:t>, December 2</w:t>
      </w:r>
      <w:r w:rsidR="00A03090" w:rsidRPr="000A6DB5">
        <w:rPr>
          <w:lang w:val="en-GB"/>
        </w:rPr>
        <w:t>1</w:t>
      </w:r>
      <w:r w:rsidRPr="000A6DB5">
        <w:rPr>
          <w:lang w:val="en-GB"/>
        </w:rPr>
        <w:t xml:space="preserve">, 2017, accessed March 19, 2018, </w:t>
      </w:r>
      <w:hyperlink r:id="rId11" w:history="1">
        <w:r w:rsidRPr="000A6DB5">
          <w:rPr>
            <w:rStyle w:val="Hyperlink"/>
            <w:color w:val="auto"/>
            <w:u w:val="none"/>
            <w:lang w:val="en-GB"/>
          </w:rPr>
          <w:t>https://economictimes.indiatimes.com/industry/cons-products/food/haldiram-topples-pepsico-regains-top-spot-as-countrys-largest-snack-company/articleshow/62185925.cms</w:t>
        </w:r>
      </w:hyperlink>
      <w:r w:rsidRPr="000A6DB5">
        <w:rPr>
          <w:lang w:val="en-GB"/>
        </w:rPr>
        <w:t xml:space="preserve">. </w:t>
      </w:r>
    </w:p>
    <w:p w14:paraId="1F2C5E7D" w14:textId="77777777" w:rsidR="008018A5" w:rsidRPr="000A6DB5" w:rsidRDefault="008018A5" w:rsidP="008018A5">
      <w:pPr>
        <w:rPr>
          <w:rFonts w:ascii="Arial" w:hAnsi="Arial" w:cs="Arial"/>
          <w:sz w:val="18"/>
          <w:szCs w:val="16"/>
          <w:lang w:val="en-GB"/>
        </w:rPr>
      </w:pPr>
    </w:p>
    <w:p w14:paraId="1C74C15B" w14:textId="77777777" w:rsidR="002C7D35" w:rsidRPr="000A6DB5" w:rsidRDefault="002C7D35" w:rsidP="002C7D35">
      <w:pPr>
        <w:pStyle w:val="BodyTextMain"/>
        <w:rPr>
          <w:lang w:val="en-GB"/>
        </w:rPr>
      </w:pPr>
    </w:p>
    <w:p w14:paraId="462A8751" w14:textId="6351C4CE" w:rsidR="002C7D35" w:rsidRPr="000A6DB5" w:rsidRDefault="008018A5" w:rsidP="00F043D1">
      <w:pPr>
        <w:pStyle w:val="ExhibitHeading"/>
        <w:outlineLvl w:val="0"/>
        <w:rPr>
          <w:lang w:val="en-GB"/>
        </w:rPr>
      </w:pPr>
      <w:r w:rsidRPr="000A6DB5">
        <w:rPr>
          <w:lang w:val="en-GB"/>
        </w:rPr>
        <w:t>EXHIBIT 2: BALAJI WAFERS</w:t>
      </w:r>
      <w:r w:rsidR="00C71BFC" w:rsidRPr="000A6DB5">
        <w:rPr>
          <w:lang w:val="en-GB"/>
        </w:rPr>
        <w:t xml:space="preserve"> turnover</w:t>
      </w:r>
    </w:p>
    <w:p w14:paraId="6895FE4C" w14:textId="77777777" w:rsidR="002C7D35" w:rsidRPr="000A6DB5" w:rsidRDefault="002C7D35" w:rsidP="002C7D35">
      <w:pPr>
        <w:pStyle w:val="BodyTextMain"/>
        <w:rPr>
          <w:lang w:val="en-GB"/>
        </w:rPr>
      </w:pPr>
    </w:p>
    <w:tbl>
      <w:tblPr>
        <w:tblStyle w:val="TableGrid"/>
        <w:tblW w:w="0" w:type="auto"/>
        <w:jc w:val="center"/>
        <w:tblLook w:val="04A0" w:firstRow="1" w:lastRow="0" w:firstColumn="1" w:lastColumn="0" w:noHBand="0" w:noVBand="1"/>
      </w:tblPr>
      <w:tblGrid>
        <w:gridCol w:w="1458"/>
        <w:gridCol w:w="1350"/>
      </w:tblGrid>
      <w:tr w:rsidR="008018A5" w:rsidRPr="000A6DB5" w14:paraId="0152EDB4" w14:textId="77777777" w:rsidTr="008018A5">
        <w:trPr>
          <w:jc w:val="center"/>
        </w:trPr>
        <w:tc>
          <w:tcPr>
            <w:tcW w:w="1458" w:type="dxa"/>
          </w:tcPr>
          <w:p w14:paraId="7E42491B" w14:textId="7CD07572" w:rsidR="008018A5" w:rsidRPr="000A6DB5" w:rsidRDefault="008018A5" w:rsidP="008018A5">
            <w:pPr>
              <w:pStyle w:val="ExhibitText"/>
              <w:jc w:val="center"/>
              <w:rPr>
                <w:b/>
                <w:lang w:val="en-GB"/>
              </w:rPr>
            </w:pPr>
            <w:r w:rsidRPr="000A6DB5">
              <w:rPr>
                <w:b/>
                <w:lang w:val="en-GB"/>
              </w:rPr>
              <w:t>Year</w:t>
            </w:r>
          </w:p>
        </w:tc>
        <w:tc>
          <w:tcPr>
            <w:tcW w:w="1350" w:type="dxa"/>
          </w:tcPr>
          <w:p w14:paraId="4FFB9368" w14:textId="52F80327" w:rsidR="008018A5" w:rsidRPr="000A6DB5" w:rsidRDefault="00C71BFC" w:rsidP="008018A5">
            <w:pPr>
              <w:pStyle w:val="ExhibitText"/>
              <w:jc w:val="center"/>
              <w:rPr>
                <w:b/>
                <w:lang w:val="en-GB"/>
              </w:rPr>
            </w:pPr>
            <w:r w:rsidRPr="000A6DB5">
              <w:rPr>
                <w:rStyle w:val="Emphasis"/>
                <w:b/>
                <w:bCs/>
                <w:i w:val="0"/>
                <w:iCs w:val="0"/>
                <w:shd w:val="clear" w:color="auto" w:fill="FFFFFF"/>
                <w:lang w:val="en-GB"/>
              </w:rPr>
              <w:t>₹</w:t>
            </w:r>
          </w:p>
        </w:tc>
      </w:tr>
      <w:tr w:rsidR="008018A5" w:rsidRPr="000A6DB5" w14:paraId="65552E9F" w14:textId="77777777" w:rsidTr="008018A5">
        <w:trPr>
          <w:jc w:val="center"/>
        </w:trPr>
        <w:tc>
          <w:tcPr>
            <w:tcW w:w="1458" w:type="dxa"/>
          </w:tcPr>
          <w:p w14:paraId="6575BB99" w14:textId="0F9DD3BA" w:rsidR="008018A5" w:rsidRPr="000A6DB5" w:rsidRDefault="008018A5" w:rsidP="00A03090">
            <w:pPr>
              <w:pStyle w:val="ExhibitText"/>
              <w:rPr>
                <w:lang w:val="en-GB"/>
              </w:rPr>
            </w:pPr>
            <w:r w:rsidRPr="000A6DB5">
              <w:rPr>
                <w:lang w:val="en-GB"/>
              </w:rPr>
              <w:t>2012</w:t>
            </w:r>
            <w:r w:rsidR="00A03090" w:rsidRPr="000A6DB5">
              <w:rPr>
                <w:lang w:val="en-GB"/>
              </w:rPr>
              <w:t>–</w:t>
            </w:r>
            <w:r w:rsidRPr="000A6DB5">
              <w:rPr>
                <w:lang w:val="en-GB"/>
              </w:rPr>
              <w:t>13</w:t>
            </w:r>
          </w:p>
        </w:tc>
        <w:tc>
          <w:tcPr>
            <w:tcW w:w="1350" w:type="dxa"/>
          </w:tcPr>
          <w:p w14:paraId="70AAD909" w14:textId="02CC27C5" w:rsidR="008018A5" w:rsidRPr="000A6DB5" w:rsidRDefault="008018A5" w:rsidP="0049647A">
            <w:pPr>
              <w:pStyle w:val="ExhibitText"/>
              <w:jc w:val="right"/>
              <w:rPr>
                <w:lang w:val="en-GB"/>
              </w:rPr>
            </w:pPr>
            <w:r w:rsidRPr="000A6DB5">
              <w:rPr>
                <w:lang w:val="en-GB"/>
              </w:rPr>
              <w:t>10 billion</w:t>
            </w:r>
          </w:p>
        </w:tc>
      </w:tr>
      <w:tr w:rsidR="008018A5" w:rsidRPr="000A6DB5" w14:paraId="4BBFB642" w14:textId="77777777" w:rsidTr="008018A5">
        <w:trPr>
          <w:jc w:val="center"/>
        </w:trPr>
        <w:tc>
          <w:tcPr>
            <w:tcW w:w="1458" w:type="dxa"/>
          </w:tcPr>
          <w:p w14:paraId="0FEA6973" w14:textId="34D030E8" w:rsidR="008018A5" w:rsidRPr="000A6DB5" w:rsidRDefault="008018A5" w:rsidP="00A03090">
            <w:pPr>
              <w:pStyle w:val="ExhibitText"/>
              <w:rPr>
                <w:lang w:val="en-GB"/>
              </w:rPr>
            </w:pPr>
            <w:r w:rsidRPr="000A6DB5">
              <w:rPr>
                <w:lang w:val="en-GB"/>
              </w:rPr>
              <w:t>2013</w:t>
            </w:r>
            <w:r w:rsidR="00A03090" w:rsidRPr="000A6DB5">
              <w:rPr>
                <w:lang w:val="en-GB"/>
              </w:rPr>
              <w:t>–</w:t>
            </w:r>
            <w:r w:rsidRPr="000A6DB5">
              <w:rPr>
                <w:lang w:val="en-GB"/>
              </w:rPr>
              <w:t>14</w:t>
            </w:r>
          </w:p>
        </w:tc>
        <w:tc>
          <w:tcPr>
            <w:tcW w:w="1350" w:type="dxa"/>
          </w:tcPr>
          <w:p w14:paraId="2EDC1288" w14:textId="015DD7DC" w:rsidR="008018A5" w:rsidRPr="000A6DB5" w:rsidRDefault="008018A5" w:rsidP="0049647A">
            <w:pPr>
              <w:pStyle w:val="ExhibitText"/>
              <w:jc w:val="right"/>
              <w:rPr>
                <w:lang w:val="en-GB"/>
              </w:rPr>
            </w:pPr>
            <w:r w:rsidRPr="000A6DB5">
              <w:rPr>
                <w:lang w:val="en-GB"/>
              </w:rPr>
              <w:t>12 billion</w:t>
            </w:r>
          </w:p>
        </w:tc>
      </w:tr>
      <w:tr w:rsidR="008018A5" w:rsidRPr="000A6DB5" w14:paraId="1653A548" w14:textId="77777777" w:rsidTr="008018A5">
        <w:trPr>
          <w:jc w:val="center"/>
        </w:trPr>
        <w:tc>
          <w:tcPr>
            <w:tcW w:w="1458" w:type="dxa"/>
          </w:tcPr>
          <w:p w14:paraId="14BFED6D" w14:textId="31F0FFCF" w:rsidR="008018A5" w:rsidRPr="000A6DB5" w:rsidRDefault="008018A5" w:rsidP="00A03090">
            <w:pPr>
              <w:pStyle w:val="ExhibitText"/>
              <w:rPr>
                <w:lang w:val="en-GB"/>
              </w:rPr>
            </w:pPr>
            <w:r w:rsidRPr="000A6DB5">
              <w:rPr>
                <w:lang w:val="en-GB"/>
              </w:rPr>
              <w:t>2014</w:t>
            </w:r>
            <w:r w:rsidR="00A03090" w:rsidRPr="000A6DB5">
              <w:rPr>
                <w:lang w:val="en-GB"/>
              </w:rPr>
              <w:t>–</w:t>
            </w:r>
            <w:r w:rsidRPr="000A6DB5">
              <w:rPr>
                <w:lang w:val="en-GB"/>
              </w:rPr>
              <w:t>15</w:t>
            </w:r>
          </w:p>
        </w:tc>
        <w:tc>
          <w:tcPr>
            <w:tcW w:w="1350" w:type="dxa"/>
          </w:tcPr>
          <w:p w14:paraId="22043435" w14:textId="6D1E66B3" w:rsidR="008018A5" w:rsidRPr="000A6DB5" w:rsidRDefault="008018A5" w:rsidP="0049647A">
            <w:pPr>
              <w:pStyle w:val="ExhibitText"/>
              <w:jc w:val="right"/>
              <w:rPr>
                <w:lang w:val="en-GB"/>
              </w:rPr>
            </w:pPr>
            <w:r w:rsidRPr="000A6DB5">
              <w:rPr>
                <w:lang w:val="en-GB"/>
              </w:rPr>
              <w:t>12.67 billion</w:t>
            </w:r>
          </w:p>
        </w:tc>
      </w:tr>
      <w:tr w:rsidR="008018A5" w:rsidRPr="000A6DB5" w14:paraId="67555C81" w14:textId="77777777" w:rsidTr="008018A5">
        <w:trPr>
          <w:jc w:val="center"/>
        </w:trPr>
        <w:tc>
          <w:tcPr>
            <w:tcW w:w="1458" w:type="dxa"/>
          </w:tcPr>
          <w:p w14:paraId="21F86E56" w14:textId="059285A4" w:rsidR="008018A5" w:rsidRPr="000A6DB5" w:rsidRDefault="008018A5" w:rsidP="00A03090">
            <w:pPr>
              <w:pStyle w:val="ExhibitText"/>
              <w:rPr>
                <w:lang w:val="en-GB"/>
              </w:rPr>
            </w:pPr>
            <w:r w:rsidRPr="000A6DB5">
              <w:rPr>
                <w:lang w:val="en-GB"/>
              </w:rPr>
              <w:t>2015</w:t>
            </w:r>
            <w:r w:rsidR="00A03090" w:rsidRPr="000A6DB5">
              <w:rPr>
                <w:lang w:val="en-GB"/>
              </w:rPr>
              <w:t>–</w:t>
            </w:r>
            <w:r w:rsidRPr="000A6DB5">
              <w:rPr>
                <w:lang w:val="en-GB"/>
              </w:rPr>
              <w:t>16</w:t>
            </w:r>
          </w:p>
        </w:tc>
        <w:tc>
          <w:tcPr>
            <w:tcW w:w="1350" w:type="dxa"/>
          </w:tcPr>
          <w:p w14:paraId="52AD8F0A" w14:textId="4256D714" w:rsidR="008018A5" w:rsidRPr="000A6DB5" w:rsidRDefault="008018A5" w:rsidP="0049647A">
            <w:pPr>
              <w:pStyle w:val="ExhibitText"/>
              <w:jc w:val="right"/>
              <w:rPr>
                <w:lang w:val="en-GB"/>
              </w:rPr>
            </w:pPr>
            <w:r w:rsidRPr="000A6DB5">
              <w:rPr>
                <w:lang w:val="en-GB"/>
              </w:rPr>
              <w:t>14.4 billion</w:t>
            </w:r>
          </w:p>
        </w:tc>
      </w:tr>
      <w:tr w:rsidR="008018A5" w:rsidRPr="000A6DB5" w14:paraId="741C4D5A" w14:textId="77777777" w:rsidTr="008018A5">
        <w:trPr>
          <w:jc w:val="center"/>
        </w:trPr>
        <w:tc>
          <w:tcPr>
            <w:tcW w:w="1458" w:type="dxa"/>
          </w:tcPr>
          <w:p w14:paraId="50CAB3F4" w14:textId="611D8518" w:rsidR="008018A5" w:rsidRPr="000A6DB5" w:rsidRDefault="008018A5" w:rsidP="00A03090">
            <w:pPr>
              <w:pStyle w:val="ExhibitText"/>
              <w:rPr>
                <w:lang w:val="en-GB"/>
              </w:rPr>
            </w:pPr>
            <w:r w:rsidRPr="000A6DB5">
              <w:rPr>
                <w:lang w:val="en-GB"/>
              </w:rPr>
              <w:t>2016</w:t>
            </w:r>
            <w:r w:rsidR="00A03090" w:rsidRPr="000A6DB5">
              <w:rPr>
                <w:lang w:val="en-GB"/>
              </w:rPr>
              <w:t>–</w:t>
            </w:r>
            <w:r w:rsidRPr="000A6DB5">
              <w:rPr>
                <w:lang w:val="en-GB"/>
              </w:rPr>
              <w:t>17</w:t>
            </w:r>
          </w:p>
        </w:tc>
        <w:tc>
          <w:tcPr>
            <w:tcW w:w="1350" w:type="dxa"/>
          </w:tcPr>
          <w:p w14:paraId="0B66717C" w14:textId="1885FEBF" w:rsidR="008018A5" w:rsidRPr="000A6DB5" w:rsidRDefault="008018A5" w:rsidP="0049647A">
            <w:pPr>
              <w:pStyle w:val="ExhibitText"/>
              <w:jc w:val="right"/>
              <w:rPr>
                <w:lang w:val="en-GB"/>
              </w:rPr>
            </w:pPr>
            <w:r w:rsidRPr="000A6DB5">
              <w:rPr>
                <w:lang w:val="en-GB"/>
              </w:rPr>
              <w:t>21.22 billion</w:t>
            </w:r>
          </w:p>
        </w:tc>
      </w:tr>
    </w:tbl>
    <w:p w14:paraId="5D499B93" w14:textId="77777777" w:rsidR="002C7D35" w:rsidRDefault="002C7D35" w:rsidP="002C7D35">
      <w:pPr>
        <w:pStyle w:val="BodyTextMain"/>
        <w:rPr>
          <w:lang w:val="en-GB"/>
        </w:rPr>
      </w:pPr>
    </w:p>
    <w:p w14:paraId="29566B2E" w14:textId="77777777" w:rsidR="00E73AC6" w:rsidRPr="008755C6" w:rsidRDefault="00E73AC6" w:rsidP="008755C6">
      <w:pPr>
        <w:pStyle w:val="Footnote"/>
      </w:pPr>
      <w:r w:rsidRPr="008755C6">
        <w:t xml:space="preserve">Note: </w:t>
      </w:r>
      <w:r w:rsidRPr="008755C6">
        <w:rPr>
          <w:rStyle w:val="Emphasis"/>
          <w:i w:val="0"/>
          <w:iCs w:val="0"/>
        </w:rPr>
        <w:t>₹ = INR = Indian rupee; US$1 = ₹63.8838 on September 1, 2017.</w:t>
      </w:r>
    </w:p>
    <w:p w14:paraId="39DB0FA8" w14:textId="407286B7" w:rsidR="008755C6" w:rsidRDefault="008018A5" w:rsidP="008755C6">
      <w:pPr>
        <w:pStyle w:val="Footnote"/>
        <w:rPr>
          <w:spacing w:val="-4"/>
        </w:rPr>
      </w:pPr>
      <w:r w:rsidRPr="008755C6">
        <w:rPr>
          <w:spacing w:val="-4"/>
        </w:rPr>
        <w:t xml:space="preserve">Source: Ajita Shashidhar, </w:t>
      </w:r>
      <w:r w:rsidR="00AF3AAD" w:rsidRPr="008755C6">
        <w:rPr>
          <w:spacing w:val="-4"/>
        </w:rPr>
        <w:t>“</w:t>
      </w:r>
      <w:r w:rsidRPr="008755C6">
        <w:rPr>
          <w:spacing w:val="-4"/>
        </w:rPr>
        <w:t xml:space="preserve">Snacking </w:t>
      </w:r>
      <w:r w:rsidR="000D45AE" w:rsidRPr="008755C6">
        <w:rPr>
          <w:spacing w:val="-4"/>
        </w:rPr>
        <w:t xml:space="preserve">Its </w:t>
      </w:r>
      <w:r w:rsidR="00AF3AAD" w:rsidRPr="008755C6">
        <w:rPr>
          <w:spacing w:val="-4"/>
        </w:rPr>
        <w:t>W</w:t>
      </w:r>
      <w:r w:rsidRPr="008755C6">
        <w:rPr>
          <w:spacing w:val="-4"/>
        </w:rPr>
        <w:t xml:space="preserve">ay to </w:t>
      </w:r>
      <w:r w:rsidR="00AF3AAD" w:rsidRPr="008755C6">
        <w:rPr>
          <w:spacing w:val="-4"/>
        </w:rPr>
        <w:t>S</w:t>
      </w:r>
      <w:r w:rsidRPr="008755C6">
        <w:rPr>
          <w:spacing w:val="-4"/>
        </w:rPr>
        <w:t>uccess</w:t>
      </w:r>
      <w:r w:rsidR="00AF3AAD" w:rsidRPr="008755C6">
        <w:rPr>
          <w:spacing w:val="-4"/>
        </w:rPr>
        <w:t>,”</w:t>
      </w:r>
      <w:r w:rsidRPr="008755C6">
        <w:rPr>
          <w:spacing w:val="-4"/>
        </w:rPr>
        <w:t xml:space="preserve"> Business Today, November 23, 2014, accessed </w:t>
      </w:r>
      <w:r w:rsidRPr="008755C6">
        <w:rPr>
          <w:rStyle w:val="apple-converted-space"/>
          <w:spacing w:val="-4"/>
        </w:rPr>
        <w:t>March 19, 2018</w:t>
      </w:r>
      <w:r w:rsidRPr="008755C6">
        <w:rPr>
          <w:spacing w:val="-4"/>
        </w:rPr>
        <w:t xml:space="preserve">, </w:t>
      </w:r>
      <w:r w:rsidR="002023F8" w:rsidRPr="008755C6">
        <w:rPr>
          <w:spacing w:val="-4"/>
        </w:rPr>
        <w:t>www.businesstoday.in/magazine/special/balaji-wafers-best-emerging-indian-companies-2014-packed-food/story/</w:t>
      </w:r>
      <w:r w:rsidRPr="008755C6">
        <w:rPr>
          <w:spacing w:val="-4"/>
        </w:rPr>
        <w:t>211902.html</w:t>
      </w:r>
      <w:r w:rsidRPr="008755C6">
        <w:rPr>
          <w:rStyle w:val="Hyperlink"/>
          <w:color w:val="auto"/>
          <w:spacing w:val="-4"/>
          <w:u w:val="none"/>
        </w:rPr>
        <w:t xml:space="preserve">; </w:t>
      </w:r>
      <w:r w:rsidRPr="008755C6">
        <w:rPr>
          <w:spacing w:val="-4"/>
        </w:rPr>
        <w:t>Sagar Malviya,</w:t>
      </w:r>
      <w:r w:rsidR="007A2682" w:rsidRPr="008755C6">
        <w:rPr>
          <w:spacing w:val="-4"/>
        </w:rPr>
        <w:t xml:space="preserve"> </w:t>
      </w:r>
      <w:r w:rsidR="003513EC" w:rsidRPr="008755C6">
        <w:rPr>
          <w:spacing w:val="-4"/>
        </w:rPr>
        <w:t>“</w:t>
      </w:r>
      <w:r w:rsidRPr="008755C6">
        <w:rPr>
          <w:spacing w:val="-4"/>
        </w:rPr>
        <w:t xml:space="preserve">Haldiram </w:t>
      </w:r>
      <w:r w:rsidR="00AF3AAD" w:rsidRPr="008755C6">
        <w:rPr>
          <w:spacing w:val="-4"/>
        </w:rPr>
        <w:t>T</w:t>
      </w:r>
      <w:r w:rsidRPr="008755C6">
        <w:rPr>
          <w:spacing w:val="-4"/>
        </w:rPr>
        <w:t xml:space="preserve">opples PepsiCo; </w:t>
      </w:r>
      <w:r w:rsidR="00AF3AAD" w:rsidRPr="008755C6">
        <w:rPr>
          <w:spacing w:val="-4"/>
        </w:rPr>
        <w:t>R</w:t>
      </w:r>
      <w:r w:rsidRPr="008755C6">
        <w:rPr>
          <w:spacing w:val="-4"/>
        </w:rPr>
        <w:t xml:space="preserve">egains </w:t>
      </w:r>
      <w:r w:rsidR="00AF3AAD" w:rsidRPr="008755C6">
        <w:rPr>
          <w:spacing w:val="-4"/>
        </w:rPr>
        <w:t>T</w:t>
      </w:r>
      <w:r w:rsidRPr="008755C6">
        <w:rPr>
          <w:spacing w:val="-4"/>
        </w:rPr>
        <w:t xml:space="preserve">op </w:t>
      </w:r>
      <w:r w:rsidR="00AF3AAD" w:rsidRPr="008755C6">
        <w:rPr>
          <w:spacing w:val="-4"/>
        </w:rPr>
        <w:t>S</w:t>
      </w:r>
      <w:r w:rsidRPr="008755C6">
        <w:rPr>
          <w:spacing w:val="-4"/>
        </w:rPr>
        <w:t xml:space="preserve">pot as </w:t>
      </w:r>
      <w:r w:rsidR="00AF3AAD" w:rsidRPr="008755C6">
        <w:rPr>
          <w:spacing w:val="-4"/>
        </w:rPr>
        <w:t>C</w:t>
      </w:r>
      <w:r w:rsidRPr="008755C6">
        <w:rPr>
          <w:spacing w:val="-4"/>
        </w:rPr>
        <w:t>ountry</w:t>
      </w:r>
      <w:r w:rsidR="00AF3AAD" w:rsidRPr="008755C6">
        <w:rPr>
          <w:spacing w:val="-4"/>
        </w:rPr>
        <w:t>’</w:t>
      </w:r>
      <w:r w:rsidRPr="008755C6">
        <w:rPr>
          <w:spacing w:val="-4"/>
        </w:rPr>
        <w:t xml:space="preserve">s </w:t>
      </w:r>
      <w:r w:rsidR="00AF3AAD" w:rsidRPr="008755C6">
        <w:rPr>
          <w:spacing w:val="-4"/>
        </w:rPr>
        <w:t>L</w:t>
      </w:r>
      <w:r w:rsidRPr="008755C6">
        <w:rPr>
          <w:spacing w:val="-4"/>
        </w:rPr>
        <w:t xml:space="preserve">argest </w:t>
      </w:r>
      <w:r w:rsidR="00AF3AAD" w:rsidRPr="008755C6">
        <w:rPr>
          <w:spacing w:val="-4"/>
        </w:rPr>
        <w:t>S</w:t>
      </w:r>
      <w:r w:rsidRPr="008755C6">
        <w:rPr>
          <w:spacing w:val="-4"/>
        </w:rPr>
        <w:t xml:space="preserve">nack </w:t>
      </w:r>
      <w:r w:rsidR="00AF3AAD" w:rsidRPr="008755C6">
        <w:rPr>
          <w:spacing w:val="-4"/>
        </w:rPr>
        <w:t>C</w:t>
      </w:r>
      <w:r w:rsidRPr="008755C6">
        <w:rPr>
          <w:spacing w:val="-4"/>
        </w:rPr>
        <w:t>ompany</w:t>
      </w:r>
      <w:r w:rsidR="00AF3AAD" w:rsidRPr="008755C6">
        <w:rPr>
          <w:spacing w:val="-4"/>
        </w:rPr>
        <w:t>,”</w:t>
      </w:r>
      <w:r w:rsidRPr="008755C6">
        <w:rPr>
          <w:rStyle w:val="apple-converted-space"/>
          <w:spacing w:val="-4"/>
        </w:rPr>
        <w:t xml:space="preserve"> Economic Times, December 1,</w:t>
      </w:r>
      <w:r w:rsidR="00AF3AAD" w:rsidRPr="008755C6">
        <w:rPr>
          <w:rStyle w:val="apple-converted-space"/>
          <w:spacing w:val="-4"/>
        </w:rPr>
        <w:t xml:space="preserve"> </w:t>
      </w:r>
      <w:r w:rsidRPr="008755C6">
        <w:rPr>
          <w:rStyle w:val="apple-converted-space"/>
          <w:spacing w:val="-4"/>
        </w:rPr>
        <w:t xml:space="preserve">2017, accessed March 19, 2018, </w:t>
      </w:r>
      <w:hyperlink r:id="rId12" w:history="1">
        <w:r w:rsidRPr="008755C6">
          <w:rPr>
            <w:rStyle w:val="Hyperlink"/>
            <w:color w:val="auto"/>
            <w:spacing w:val="-4"/>
            <w:u w:val="none"/>
          </w:rPr>
          <w:t>https://economictimes.indiatimes.com/industry/cons-products/food/haldiram-topples-pepsico-regains-top-spot-as-countrys-largest-snack-company/articleshow/62185925.cms</w:t>
        </w:r>
      </w:hyperlink>
      <w:r w:rsidRPr="008755C6">
        <w:rPr>
          <w:spacing w:val="-4"/>
        </w:rPr>
        <w:t xml:space="preserve">; Sagar Malviya, </w:t>
      </w:r>
      <w:r w:rsidR="00AF3AAD" w:rsidRPr="008755C6">
        <w:rPr>
          <w:spacing w:val="-4"/>
        </w:rPr>
        <w:t>“</w:t>
      </w:r>
      <w:r w:rsidRPr="008755C6">
        <w:rPr>
          <w:spacing w:val="-4"/>
        </w:rPr>
        <w:t xml:space="preserve">Taste of India: Desi </w:t>
      </w:r>
      <w:r w:rsidR="00AF3AAD" w:rsidRPr="008755C6">
        <w:rPr>
          <w:spacing w:val="-4"/>
        </w:rPr>
        <w:t>C</w:t>
      </w:r>
      <w:r w:rsidRPr="008755C6">
        <w:rPr>
          <w:spacing w:val="-4"/>
        </w:rPr>
        <w:t xml:space="preserve">ompanies </w:t>
      </w:r>
      <w:r w:rsidR="00AF3AAD" w:rsidRPr="008755C6">
        <w:rPr>
          <w:spacing w:val="-4"/>
        </w:rPr>
        <w:t>F</w:t>
      </w:r>
      <w:r w:rsidRPr="008755C6">
        <w:rPr>
          <w:spacing w:val="-4"/>
        </w:rPr>
        <w:t xml:space="preserve">east on </w:t>
      </w:r>
      <w:r w:rsidR="00AF3AAD" w:rsidRPr="008755C6">
        <w:rPr>
          <w:spacing w:val="-4"/>
        </w:rPr>
        <w:t>S</w:t>
      </w:r>
      <w:r w:rsidRPr="008755C6">
        <w:rPr>
          <w:spacing w:val="-4"/>
        </w:rPr>
        <w:t xml:space="preserve">nack </w:t>
      </w:r>
      <w:r w:rsidR="00AF3AAD" w:rsidRPr="008755C6">
        <w:rPr>
          <w:spacing w:val="-4"/>
        </w:rPr>
        <w:t>M</w:t>
      </w:r>
      <w:r w:rsidRPr="008755C6">
        <w:rPr>
          <w:spacing w:val="-4"/>
        </w:rPr>
        <w:t>arket</w:t>
      </w:r>
      <w:r w:rsidR="00AF3AAD" w:rsidRPr="008755C6">
        <w:rPr>
          <w:spacing w:val="-4"/>
        </w:rPr>
        <w:t>,”</w:t>
      </w:r>
      <w:r w:rsidRPr="008755C6">
        <w:rPr>
          <w:spacing w:val="-4"/>
        </w:rPr>
        <w:t xml:space="preserve"> Economic Times, December 20, 2016, accessed March 19, 2018, </w:t>
      </w:r>
      <w:r w:rsidR="008755C6" w:rsidRPr="008755C6">
        <w:rPr>
          <w:spacing w:val="-4"/>
        </w:rPr>
        <w:t>https://economictimes.indiatimes.com/</w:t>
      </w:r>
    </w:p>
    <w:p w14:paraId="1F4B6B39" w14:textId="23F47FB7" w:rsidR="002C7D35" w:rsidRPr="008755C6" w:rsidRDefault="002023F8" w:rsidP="008755C6">
      <w:pPr>
        <w:pStyle w:val="Footnote"/>
        <w:rPr>
          <w:spacing w:val="-4"/>
        </w:rPr>
      </w:pPr>
      <w:r w:rsidRPr="008755C6">
        <w:rPr>
          <w:spacing w:val="-4"/>
        </w:rPr>
        <w:t>industry/cons-products/fmcg/taste-of-india-desi-companies-feast-on-snack-market/</w:t>
      </w:r>
      <w:r w:rsidR="008018A5" w:rsidRPr="008755C6">
        <w:rPr>
          <w:spacing w:val="-4"/>
        </w:rPr>
        <w:t xml:space="preserve">articleshow/56073962.cms; Duane D. Stanford, Adi Narayan, </w:t>
      </w:r>
      <w:r w:rsidR="00AF3AAD" w:rsidRPr="008755C6">
        <w:rPr>
          <w:spacing w:val="-4"/>
        </w:rPr>
        <w:t xml:space="preserve">and </w:t>
      </w:r>
      <w:r w:rsidR="008018A5" w:rsidRPr="008755C6">
        <w:rPr>
          <w:spacing w:val="-4"/>
        </w:rPr>
        <w:t xml:space="preserve">George Smith Alexander, </w:t>
      </w:r>
      <w:r w:rsidR="00AF3AAD" w:rsidRPr="008755C6">
        <w:rPr>
          <w:spacing w:val="-4"/>
        </w:rPr>
        <w:t>“</w:t>
      </w:r>
      <w:r w:rsidR="0008578F" w:rsidRPr="008755C6">
        <w:rPr>
          <w:spacing w:val="-4"/>
        </w:rPr>
        <w:t>PepsiC</w:t>
      </w:r>
      <w:r w:rsidR="003513EC" w:rsidRPr="008755C6">
        <w:rPr>
          <w:spacing w:val="-4"/>
        </w:rPr>
        <w:t>o Said to Be Exploring Offer for Balaji Wafers</w:t>
      </w:r>
      <w:r w:rsidR="00AF3AAD" w:rsidRPr="008755C6">
        <w:rPr>
          <w:spacing w:val="-4"/>
        </w:rPr>
        <w:t>,”</w:t>
      </w:r>
      <w:r w:rsidR="008018A5" w:rsidRPr="008755C6">
        <w:rPr>
          <w:spacing w:val="-4"/>
        </w:rPr>
        <w:t xml:space="preserve"> LiveMint, August 20, 2013, accessed March 19, 2018, </w:t>
      </w:r>
      <w:r w:rsidRPr="008755C6">
        <w:rPr>
          <w:spacing w:val="-4"/>
        </w:rPr>
        <w:t>www.livemint.com/</w:t>
      </w:r>
      <w:r w:rsidR="008018A5" w:rsidRPr="008755C6">
        <w:rPr>
          <w:spacing w:val="-4"/>
        </w:rPr>
        <w:t xml:space="preserve">Companies/LgsnnXzBYrV0F2nqtecwAN/PepsiCo-said-to-be-exploring-offer-for-Indias-Balaji-Wafers.html. </w:t>
      </w:r>
    </w:p>
    <w:p w14:paraId="61522CB1" w14:textId="77777777" w:rsidR="008018A5" w:rsidRPr="000A6DB5" w:rsidRDefault="008018A5">
      <w:pPr>
        <w:spacing w:after="200" w:line="276" w:lineRule="auto"/>
        <w:rPr>
          <w:rFonts w:ascii="Arial" w:hAnsi="Arial" w:cs="Arial"/>
          <w:b/>
          <w:caps/>
          <w:lang w:val="en-GB"/>
        </w:rPr>
      </w:pPr>
      <w:r w:rsidRPr="000A6DB5">
        <w:rPr>
          <w:lang w:val="en-GB"/>
        </w:rPr>
        <w:br w:type="page"/>
      </w:r>
    </w:p>
    <w:p w14:paraId="7EECE5D4" w14:textId="1DF6C0CB" w:rsidR="008018A5" w:rsidRPr="000A6DB5" w:rsidRDefault="008018A5" w:rsidP="00F043D1">
      <w:pPr>
        <w:pStyle w:val="ExhibitHeading"/>
        <w:outlineLvl w:val="0"/>
        <w:rPr>
          <w:lang w:val="en-GB"/>
        </w:rPr>
      </w:pPr>
      <w:r w:rsidRPr="000A6DB5">
        <w:rPr>
          <w:lang w:val="en-GB"/>
        </w:rPr>
        <w:lastRenderedPageBreak/>
        <w:t xml:space="preserve">EXHIBIT 3: FAMILY TREE </w:t>
      </w:r>
      <w:r w:rsidR="007B60C4" w:rsidRPr="000A6DB5">
        <w:rPr>
          <w:lang w:val="en-GB"/>
        </w:rPr>
        <w:t>and</w:t>
      </w:r>
      <w:r w:rsidRPr="000A6DB5">
        <w:rPr>
          <w:lang w:val="en-GB"/>
        </w:rPr>
        <w:t xml:space="preserve"> ORGANIZATION CHART</w:t>
      </w:r>
    </w:p>
    <w:p w14:paraId="28896342" w14:textId="77777777" w:rsidR="008018A5" w:rsidRPr="000A6DB5" w:rsidRDefault="008018A5" w:rsidP="008018A5">
      <w:pPr>
        <w:pStyle w:val="BodyTextMain"/>
        <w:rPr>
          <w:lang w:val="en-GB"/>
        </w:rPr>
      </w:pPr>
    </w:p>
    <w:p w14:paraId="39B1B677" w14:textId="669E6650" w:rsidR="008018A5" w:rsidRPr="000A6DB5" w:rsidRDefault="008018A5" w:rsidP="00293744">
      <w:pPr>
        <w:pStyle w:val="BodyTextMain"/>
        <w:jc w:val="center"/>
        <w:rPr>
          <w:lang w:val="en-GB"/>
        </w:rPr>
      </w:pPr>
      <w:r w:rsidRPr="000A6DB5">
        <w:rPr>
          <w:noProof/>
        </w:rPr>
        <w:drawing>
          <wp:inline distT="0" distB="0" distL="0" distR="0" wp14:anchorId="65C80053" wp14:editId="6541ACFB">
            <wp:extent cx="4746929" cy="2226365"/>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1B1C4C0" w14:textId="77777777" w:rsidR="008018A5" w:rsidRPr="000A6DB5" w:rsidRDefault="008018A5" w:rsidP="008018A5">
      <w:pPr>
        <w:pStyle w:val="BodyTextMain"/>
        <w:rPr>
          <w:lang w:val="en-GB"/>
        </w:rPr>
      </w:pPr>
    </w:p>
    <w:p w14:paraId="4BD5EB91" w14:textId="4BA181E2" w:rsidR="008018A5" w:rsidRPr="000A6DB5" w:rsidRDefault="00293744" w:rsidP="008018A5">
      <w:pPr>
        <w:pStyle w:val="BodyTextMain"/>
        <w:rPr>
          <w:rFonts w:ascii="Arial" w:hAnsi="Arial" w:cs="Arial"/>
          <w:i/>
          <w:sz w:val="18"/>
          <w:szCs w:val="18"/>
          <w:lang w:val="en-GB"/>
        </w:rPr>
      </w:pPr>
      <w:r w:rsidRPr="000A6DB5">
        <w:rPr>
          <w:rStyle w:val="FootnoteChar"/>
          <w:lang w:val="en-GB"/>
        </w:rPr>
        <w:t xml:space="preserve">Source: Created by the authors based on data from Ajita Shashidhar, </w:t>
      </w:r>
      <w:r w:rsidR="00B370B9" w:rsidRPr="000A6DB5">
        <w:rPr>
          <w:rStyle w:val="FootnoteChar"/>
          <w:lang w:val="en-GB"/>
        </w:rPr>
        <w:t>“</w:t>
      </w:r>
      <w:r w:rsidRPr="000A6DB5">
        <w:rPr>
          <w:rStyle w:val="FootnoteChar"/>
          <w:lang w:val="en-GB"/>
        </w:rPr>
        <w:t xml:space="preserve">Snacking </w:t>
      </w:r>
      <w:r w:rsidR="00E440B8">
        <w:rPr>
          <w:rStyle w:val="FootnoteChar"/>
          <w:lang w:val="en-GB"/>
        </w:rPr>
        <w:t>Its</w:t>
      </w:r>
      <w:r w:rsidR="00E440B8" w:rsidRPr="000A6DB5">
        <w:rPr>
          <w:rStyle w:val="FootnoteChar"/>
          <w:lang w:val="en-GB"/>
        </w:rPr>
        <w:t xml:space="preserve"> </w:t>
      </w:r>
      <w:r w:rsidR="00B370B9" w:rsidRPr="000A6DB5">
        <w:rPr>
          <w:rStyle w:val="FootnoteChar"/>
          <w:lang w:val="en-GB"/>
        </w:rPr>
        <w:t>W</w:t>
      </w:r>
      <w:r w:rsidRPr="000A6DB5">
        <w:rPr>
          <w:rStyle w:val="FootnoteChar"/>
          <w:lang w:val="en-GB"/>
        </w:rPr>
        <w:t xml:space="preserve">ay to </w:t>
      </w:r>
      <w:r w:rsidR="00B370B9" w:rsidRPr="000A6DB5">
        <w:rPr>
          <w:rStyle w:val="FootnoteChar"/>
          <w:lang w:val="en-GB"/>
        </w:rPr>
        <w:t>S</w:t>
      </w:r>
      <w:r w:rsidRPr="000A6DB5">
        <w:rPr>
          <w:rStyle w:val="FootnoteChar"/>
          <w:lang w:val="en-GB"/>
        </w:rPr>
        <w:t>uccess</w:t>
      </w:r>
      <w:r w:rsidR="00B370B9" w:rsidRPr="000A6DB5">
        <w:rPr>
          <w:rStyle w:val="FootnoteChar"/>
          <w:lang w:val="en-GB"/>
        </w:rPr>
        <w:t>,”</w:t>
      </w:r>
      <w:r w:rsidRPr="000A6DB5">
        <w:rPr>
          <w:rStyle w:val="FootnoteChar"/>
          <w:lang w:val="en-GB"/>
        </w:rPr>
        <w:t xml:space="preserve"> </w:t>
      </w:r>
      <w:r w:rsidRPr="000A6DB5">
        <w:rPr>
          <w:rStyle w:val="FootnoteChar"/>
          <w:i/>
          <w:lang w:val="en-GB"/>
        </w:rPr>
        <w:t>Business Today</w:t>
      </w:r>
      <w:r w:rsidRPr="000A6DB5">
        <w:rPr>
          <w:rStyle w:val="FootnoteChar"/>
          <w:lang w:val="en-GB"/>
        </w:rPr>
        <w:t xml:space="preserve">, November 23, 2014, accessed March 19, 2018, </w:t>
      </w:r>
      <w:hyperlink r:id="rId18" w:history="1">
        <w:r w:rsidR="00B370B9" w:rsidRPr="000A6DB5">
          <w:rPr>
            <w:rStyle w:val="FootnoteChar"/>
            <w:lang w:val="en-GB"/>
          </w:rPr>
          <w:t>www.businesstoday.in/magazine/special/balaji-wafers-best-emerging-indian-companies-2014-packed-food/story/211902.html</w:t>
        </w:r>
      </w:hyperlink>
      <w:r w:rsidRPr="000A6DB5">
        <w:rPr>
          <w:rStyle w:val="FootnoteChar"/>
          <w:lang w:val="en-GB"/>
        </w:rPr>
        <w:t>.</w:t>
      </w:r>
    </w:p>
    <w:p w14:paraId="73F33403" w14:textId="77777777" w:rsidR="00293744" w:rsidRPr="000A6DB5" w:rsidRDefault="00293744" w:rsidP="008018A5">
      <w:pPr>
        <w:pStyle w:val="BodyTextMain"/>
        <w:rPr>
          <w:rFonts w:ascii="Arial" w:hAnsi="Arial" w:cs="Arial"/>
          <w:i/>
          <w:sz w:val="18"/>
          <w:szCs w:val="18"/>
          <w:lang w:val="en-GB"/>
        </w:rPr>
      </w:pPr>
    </w:p>
    <w:p w14:paraId="541F5C03" w14:textId="77777777" w:rsidR="00293744" w:rsidRPr="000A6DB5" w:rsidRDefault="00293744" w:rsidP="008018A5">
      <w:pPr>
        <w:pStyle w:val="BodyTextMain"/>
        <w:rPr>
          <w:rFonts w:ascii="Arial" w:hAnsi="Arial" w:cs="Arial"/>
          <w:i/>
          <w:sz w:val="18"/>
          <w:szCs w:val="18"/>
          <w:lang w:val="en-GB"/>
        </w:rPr>
      </w:pPr>
    </w:p>
    <w:p w14:paraId="5219C1EB" w14:textId="29176095" w:rsidR="00293744" w:rsidRPr="000A6DB5" w:rsidRDefault="00293744" w:rsidP="00F043D1">
      <w:pPr>
        <w:pStyle w:val="ExhibitHeading"/>
        <w:outlineLvl w:val="0"/>
        <w:rPr>
          <w:lang w:val="en-GB"/>
        </w:rPr>
      </w:pPr>
      <w:r w:rsidRPr="000A6DB5">
        <w:rPr>
          <w:lang w:val="en-GB"/>
        </w:rPr>
        <w:t>EXHIBIT 4: BALAJI WAFERS ORGANIZATION CHART</w:t>
      </w:r>
    </w:p>
    <w:p w14:paraId="03F78A07" w14:textId="77777777" w:rsidR="00293744" w:rsidRPr="000A6DB5" w:rsidRDefault="00293744" w:rsidP="00293744">
      <w:pPr>
        <w:pStyle w:val="BodyTextMain"/>
        <w:rPr>
          <w:lang w:val="en-GB"/>
        </w:rPr>
      </w:pPr>
    </w:p>
    <w:p w14:paraId="4A76E52A" w14:textId="64521335" w:rsidR="00293744" w:rsidRPr="000A6DB5" w:rsidRDefault="00293744" w:rsidP="00293744">
      <w:pPr>
        <w:pStyle w:val="BodyTextMain"/>
        <w:rPr>
          <w:lang w:val="en-GB"/>
        </w:rPr>
      </w:pPr>
      <w:r w:rsidRPr="000A6DB5">
        <w:rPr>
          <w:noProof/>
        </w:rPr>
        <w:drawing>
          <wp:inline distT="0" distB="0" distL="0" distR="0" wp14:anchorId="3BB7B637" wp14:editId="0861EA4E">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8097ED" w14:textId="77777777" w:rsidR="00293744" w:rsidRPr="000A6DB5" w:rsidRDefault="00293744" w:rsidP="00293744">
      <w:pPr>
        <w:pStyle w:val="BodyTextMain"/>
        <w:rPr>
          <w:lang w:val="en-GB"/>
        </w:rPr>
      </w:pPr>
    </w:p>
    <w:p w14:paraId="1CF95089" w14:textId="23935FA1" w:rsidR="007B60C4" w:rsidRPr="000A6DB5" w:rsidRDefault="007B60C4" w:rsidP="00F043D1">
      <w:pPr>
        <w:pStyle w:val="Footnote"/>
        <w:outlineLvl w:val="0"/>
        <w:rPr>
          <w:lang w:val="en-GB"/>
        </w:rPr>
      </w:pPr>
      <w:r w:rsidRPr="000A6DB5">
        <w:rPr>
          <w:lang w:val="en-GB"/>
        </w:rPr>
        <w:t>Note: R&amp;D = research and development</w:t>
      </w:r>
    </w:p>
    <w:p w14:paraId="285147B3" w14:textId="0E008FC6" w:rsidR="00293744" w:rsidRPr="000A6DB5" w:rsidRDefault="00293744" w:rsidP="00293744">
      <w:pPr>
        <w:pStyle w:val="Footnote"/>
        <w:rPr>
          <w:lang w:val="en-GB"/>
        </w:rPr>
      </w:pPr>
      <w:r w:rsidRPr="000A6DB5">
        <w:rPr>
          <w:lang w:val="en-GB"/>
        </w:rPr>
        <w:t xml:space="preserve">Source: Created by the authors based on data from ET Bureau, </w:t>
      </w:r>
      <w:r w:rsidR="00B370B9" w:rsidRPr="000A6DB5">
        <w:rPr>
          <w:lang w:val="en-GB"/>
        </w:rPr>
        <w:t>“</w:t>
      </w:r>
      <w:r w:rsidRPr="000A6DB5">
        <w:rPr>
          <w:rFonts w:eastAsia="MS Gothic"/>
          <w:lang w:val="en-GB"/>
        </w:rPr>
        <w:t xml:space="preserve">MNC </w:t>
      </w:r>
      <w:r w:rsidR="00B370B9" w:rsidRPr="000A6DB5">
        <w:rPr>
          <w:rFonts w:eastAsia="MS Gothic"/>
          <w:lang w:val="en-GB"/>
        </w:rPr>
        <w:t>S</w:t>
      </w:r>
      <w:r w:rsidRPr="000A6DB5">
        <w:rPr>
          <w:rFonts w:eastAsia="MS Gothic"/>
          <w:lang w:val="en-GB"/>
        </w:rPr>
        <w:t xml:space="preserve">take in Balaji </w:t>
      </w:r>
      <w:r w:rsidR="00B370B9" w:rsidRPr="000A6DB5">
        <w:rPr>
          <w:rFonts w:eastAsia="MS Gothic"/>
          <w:lang w:val="en-GB"/>
        </w:rPr>
        <w:t>W</w:t>
      </w:r>
      <w:r w:rsidRPr="000A6DB5">
        <w:rPr>
          <w:rFonts w:eastAsia="MS Gothic"/>
          <w:lang w:val="en-GB"/>
        </w:rPr>
        <w:t xml:space="preserve">afers: Why </w:t>
      </w:r>
      <w:r w:rsidR="00B370B9" w:rsidRPr="000A6DB5">
        <w:rPr>
          <w:rFonts w:eastAsia="MS Gothic"/>
          <w:lang w:val="en-GB"/>
        </w:rPr>
        <w:t>P</w:t>
      </w:r>
      <w:r w:rsidRPr="000A6DB5">
        <w:rPr>
          <w:rFonts w:eastAsia="MS Gothic"/>
          <w:lang w:val="en-GB"/>
        </w:rPr>
        <w:t xml:space="preserve">atriarch Chandu Virani </w:t>
      </w:r>
      <w:r w:rsidR="00B370B9" w:rsidRPr="000A6DB5">
        <w:rPr>
          <w:rFonts w:eastAsia="MS Gothic"/>
          <w:lang w:val="en-GB"/>
        </w:rPr>
        <w:t>M</w:t>
      </w:r>
      <w:r w:rsidRPr="000A6DB5">
        <w:rPr>
          <w:rFonts w:eastAsia="MS Gothic"/>
          <w:lang w:val="en-GB"/>
        </w:rPr>
        <w:t xml:space="preserve">ay </w:t>
      </w:r>
      <w:r w:rsidR="00B370B9" w:rsidRPr="000A6DB5">
        <w:rPr>
          <w:rFonts w:eastAsia="MS Gothic"/>
          <w:lang w:val="en-GB"/>
        </w:rPr>
        <w:t>Y</w:t>
      </w:r>
      <w:r w:rsidRPr="000A6DB5">
        <w:rPr>
          <w:rFonts w:eastAsia="MS Gothic"/>
          <w:lang w:val="en-GB"/>
        </w:rPr>
        <w:t xml:space="preserve">ield to </w:t>
      </w:r>
      <w:r w:rsidR="00B370B9" w:rsidRPr="000A6DB5">
        <w:rPr>
          <w:rFonts w:eastAsia="MS Gothic"/>
          <w:lang w:val="en-GB"/>
        </w:rPr>
        <w:t>H</w:t>
      </w:r>
      <w:r w:rsidRPr="000A6DB5">
        <w:rPr>
          <w:rFonts w:eastAsia="MS Gothic"/>
          <w:lang w:val="en-GB"/>
        </w:rPr>
        <w:t xml:space="preserve">is Gen Next </w:t>
      </w:r>
      <w:r w:rsidR="00B370B9" w:rsidRPr="000A6DB5">
        <w:rPr>
          <w:rFonts w:eastAsia="MS Gothic"/>
          <w:lang w:val="en-GB"/>
        </w:rPr>
        <w:t>M</w:t>
      </w:r>
      <w:r w:rsidRPr="000A6DB5">
        <w:rPr>
          <w:rFonts w:eastAsia="MS Gothic"/>
          <w:lang w:val="en-GB"/>
        </w:rPr>
        <w:t>anagement</w:t>
      </w:r>
      <w:r w:rsidR="00B370B9" w:rsidRPr="000A6DB5">
        <w:rPr>
          <w:rFonts w:eastAsia="MS Gothic"/>
          <w:lang w:val="en-GB"/>
        </w:rPr>
        <w:t>,”</w:t>
      </w:r>
      <w:r w:rsidRPr="000A6DB5">
        <w:rPr>
          <w:lang w:val="en-GB"/>
        </w:rPr>
        <w:t xml:space="preserve"> ETRetail.com, August 26, 2013, accessed March 19, 2018, </w:t>
      </w:r>
      <w:hyperlink r:id="rId24" w:history="1">
        <w:r w:rsidRPr="000A6DB5">
          <w:rPr>
            <w:rStyle w:val="Hyperlink"/>
            <w:color w:val="auto"/>
            <w:u w:val="none"/>
            <w:lang w:val="en-GB"/>
          </w:rPr>
          <w:t>https://retail.economictimes.indiatimes.com/news/food-entertainment/personal-care-pet-supplies-liquor/mnc-stake-in-balaji-wafers-why-patriarch-chandu-virani-may-yield-to-his-gennext-management/22061449</w:t>
        </w:r>
      </w:hyperlink>
      <w:r w:rsidR="00B370B9" w:rsidRPr="000A6DB5">
        <w:rPr>
          <w:rStyle w:val="Hyperlink"/>
          <w:color w:val="auto"/>
          <w:u w:val="none"/>
          <w:lang w:val="en-GB"/>
        </w:rPr>
        <w:t>.</w:t>
      </w:r>
    </w:p>
    <w:p w14:paraId="085CAC06" w14:textId="77777777" w:rsidR="008018A5" w:rsidRPr="000A6DB5" w:rsidRDefault="008018A5">
      <w:pPr>
        <w:spacing w:after="200" w:line="276" w:lineRule="auto"/>
        <w:rPr>
          <w:lang w:val="en-GB"/>
        </w:rPr>
      </w:pPr>
      <w:r w:rsidRPr="000A6DB5">
        <w:rPr>
          <w:lang w:val="en-GB"/>
        </w:rPr>
        <w:br w:type="page"/>
      </w:r>
    </w:p>
    <w:p w14:paraId="73C8FA19" w14:textId="2FDABA1D" w:rsidR="00293744" w:rsidRPr="000A6DB5" w:rsidRDefault="00293744" w:rsidP="00293744">
      <w:pPr>
        <w:pStyle w:val="ExhibitHeading"/>
        <w:rPr>
          <w:lang w:val="en-GB"/>
        </w:rPr>
      </w:pPr>
      <w:r w:rsidRPr="000A6DB5">
        <w:rPr>
          <w:lang w:val="en-GB"/>
        </w:rPr>
        <w:lastRenderedPageBreak/>
        <w:t>EXHIBIT 5: SAVOURY SNACK MARKET</w:t>
      </w:r>
      <w:r w:rsidR="00C44D35" w:rsidRPr="000A6DB5">
        <w:rPr>
          <w:lang w:val="en-GB"/>
        </w:rPr>
        <w:t>—</w:t>
      </w:r>
      <w:r w:rsidR="007B60C4" w:rsidRPr="000A6DB5">
        <w:rPr>
          <w:lang w:val="en-GB"/>
        </w:rPr>
        <w:t>YEAR</w:t>
      </w:r>
      <w:r w:rsidR="00C44D35" w:rsidRPr="000A6DB5">
        <w:rPr>
          <w:lang w:val="en-GB"/>
        </w:rPr>
        <w:t>-</w:t>
      </w:r>
      <w:r w:rsidR="007B60C4" w:rsidRPr="000A6DB5">
        <w:rPr>
          <w:lang w:val="en-GB"/>
        </w:rPr>
        <w:t>ON</w:t>
      </w:r>
      <w:r w:rsidR="00C44D35" w:rsidRPr="000A6DB5">
        <w:rPr>
          <w:lang w:val="en-GB"/>
        </w:rPr>
        <w:t>-</w:t>
      </w:r>
      <w:r w:rsidR="007B60C4" w:rsidRPr="000A6DB5">
        <w:rPr>
          <w:lang w:val="en-GB"/>
        </w:rPr>
        <w:t xml:space="preserve">YEAR GROWTH </w:t>
      </w:r>
      <w:r w:rsidR="00C44D35" w:rsidRPr="000A6DB5">
        <w:rPr>
          <w:lang w:val="en-GB"/>
        </w:rPr>
        <w:t>(</w:t>
      </w:r>
      <w:r w:rsidR="007B60C4" w:rsidRPr="000A6DB5">
        <w:rPr>
          <w:lang w:val="en-GB"/>
        </w:rPr>
        <w:t>%</w:t>
      </w:r>
      <w:r w:rsidR="00C44D35" w:rsidRPr="000A6DB5">
        <w:rPr>
          <w:lang w:val="en-GB"/>
        </w:rPr>
        <w:t>)</w:t>
      </w:r>
      <w:r w:rsidR="007B60C4" w:rsidRPr="000A6DB5">
        <w:rPr>
          <w:lang w:val="en-GB"/>
        </w:rPr>
        <w:t xml:space="preserve"> </w:t>
      </w:r>
      <w:r w:rsidRPr="000A6DB5">
        <w:rPr>
          <w:lang w:val="en-GB"/>
        </w:rPr>
        <w:t>AND TOP THREE PLAYERS</w:t>
      </w:r>
    </w:p>
    <w:p w14:paraId="002F9842" w14:textId="77777777" w:rsidR="00293744" w:rsidRPr="000A6DB5" w:rsidRDefault="00293744" w:rsidP="00293744">
      <w:pPr>
        <w:jc w:val="both"/>
        <w:rPr>
          <w:rFonts w:ascii="Arial" w:hAnsi="Arial" w:cs="Arial"/>
          <w:b/>
          <w:sz w:val="22"/>
          <w:szCs w:val="22"/>
          <w:lang w:val="en-GB"/>
        </w:rPr>
      </w:pPr>
    </w:p>
    <w:tbl>
      <w:tblPr>
        <w:tblStyle w:val="TableGrid"/>
        <w:tblW w:w="0" w:type="auto"/>
        <w:jc w:val="center"/>
        <w:tblLook w:val="04A0" w:firstRow="1" w:lastRow="0" w:firstColumn="1" w:lastColumn="0" w:noHBand="0" w:noVBand="1"/>
      </w:tblPr>
      <w:tblGrid>
        <w:gridCol w:w="704"/>
        <w:gridCol w:w="1276"/>
        <w:gridCol w:w="1017"/>
        <w:gridCol w:w="1084"/>
        <w:gridCol w:w="1230"/>
      </w:tblGrid>
      <w:tr w:rsidR="00293744" w:rsidRPr="000A6DB5" w14:paraId="1B7CE790" w14:textId="77777777" w:rsidTr="002023F8">
        <w:trPr>
          <w:trHeight w:val="60"/>
          <w:jc w:val="center"/>
        </w:trPr>
        <w:tc>
          <w:tcPr>
            <w:tcW w:w="704" w:type="dxa"/>
          </w:tcPr>
          <w:p w14:paraId="3CF0C32A" w14:textId="77777777" w:rsidR="00293744" w:rsidRPr="000A6DB5" w:rsidRDefault="00293744" w:rsidP="00293744">
            <w:pPr>
              <w:pStyle w:val="ExhibitText"/>
              <w:rPr>
                <w:lang w:val="en-GB"/>
              </w:rPr>
            </w:pPr>
          </w:p>
        </w:tc>
        <w:tc>
          <w:tcPr>
            <w:tcW w:w="1276" w:type="dxa"/>
            <w:vAlign w:val="center"/>
          </w:tcPr>
          <w:p w14:paraId="7B7BFC05" w14:textId="77777777" w:rsidR="00293744" w:rsidRPr="000A6DB5" w:rsidRDefault="00293744" w:rsidP="00251202">
            <w:pPr>
              <w:pStyle w:val="ExhibitText"/>
              <w:jc w:val="center"/>
              <w:rPr>
                <w:b/>
                <w:lang w:val="en-GB"/>
              </w:rPr>
            </w:pPr>
            <w:r w:rsidRPr="000A6DB5">
              <w:rPr>
                <w:b/>
                <w:lang w:val="en-GB"/>
              </w:rPr>
              <w:t>Savoury Snacks</w:t>
            </w:r>
          </w:p>
        </w:tc>
        <w:tc>
          <w:tcPr>
            <w:tcW w:w="1017" w:type="dxa"/>
            <w:vAlign w:val="center"/>
          </w:tcPr>
          <w:p w14:paraId="5E804B45" w14:textId="7522B5D6" w:rsidR="00293744" w:rsidRPr="000A6DB5" w:rsidRDefault="00293744" w:rsidP="00251202">
            <w:pPr>
              <w:pStyle w:val="ExhibitText"/>
              <w:jc w:val="center"/>
              <w:rPr>
                <w:b/>
                <w:lang w:val="en-GB"/>
              </w:rPr>
            </w:pPr>
            <w:r w:rsidRPr="000A6DB5">
              <w:rPr>
                <w:b/>
                <w:lang w:val="en-GB"/>
              </w:rPr>
              <w:t>Pepsi</w:t>
            </w:r>
            <w:r w:rsidR="00C44D35" w:rsidRPr="000A6DB5">
              <w:rPr>
                <w:b/>
                <w:lang w:val="en-GB"/>
              </w:rPr>
              <w:t>C</w:t>
            </w:r>
            <w:r w:rsidRPr="000A6DB5">
              <w:rPr>
                <w:b/>
                <w:lang w:val="en-GB"/>
              </w:rPr>
              <w:t>o</w:t>
            </w:r>
          </w:p>
        </w:tc>
        <w:tc>
          <w:tcPr>
            <w:tcW w:w="1084" w:type="dxa"/>
            <w:vAlign w:val="center"/>
          </w:tcPr>
          <w:p w14:paraId="7AD46EDA" w14:textId="464033C0" w:rsidR="00293744" w:rsidRPr="000A6DB5" w:rsidRDefault="00293744">
            <w:pPr>
              <w:pStyle w:val="ExhibitText"/>
              <w:jc w:val="center"/>
              <w:rPr>
                <w:b/>
                <w:lang w:val="en-GB"/>
              </w:rPr>
            </w:pPr>
            <w:r w:rsidRPr="000A6DB5">
              <w:rPr>
                <w:b/>
                <w:lang w:val="en-GB"/>
              </w:rPr>
              <w:t>Balaji</w:t>
            </w:r>
            <w:r w:rsidR="00C44D35" w:rsidRPr="000A6DB5">
              <w:rPr>
                <w:b/>
                <w:lang w:val="en-GB"/>
              </w:rPr>
              <w:t xml:space="preserve"> Wafers</w:t>
            </w:r>
          </w:p>
        </w:tc>
        <w:tc>
          <w:tcPr>
            <w:tcW w:w="1230" w:type="dxa"/>
            <w:vAlign w:val="center"/>
          </w:tcPr>
          <w:p w14:paraId="42ADAAC4" w14:textId="4FA6C1A3" w:rsidR="00293744" w:rsidRPr="000A6DB5" w:rsidRDefault="00293744">
            <w:pPr>
              <w:pStyle w:val="ExhibitText"/>
              <w:jc w:val="center"/>
              <w:rPr>
                <w:b/>
                <w:lang w:val="en-GB"/>
              </w:rPr>
            </w:pPr>
            <w:r w:rsidRPr="000A6DB5">
              <w:rPr>
                <w:b/>
                <w:lang w:val="en-GB"/>
              </w:rPr>
              <w:t>Haldiram</w:t>
            </w:r>
          </w:p>
        </w:tc>
      </w:tr>
      <w:tr w:rsidR="00293744" w:rsidRPr="000A6DB5" w14:paraId="16A4542A" w14:textId="77777777" w:rsidTr="002023F8">
        <w:trPr>
          <w:jc w:val="center"/>
        </w:trPr>
        <w:tc>
          <w:tcPr>
            <w:tcW w:w="704" w:type="dxa"/>
          </w:tcPr>
          <w:p w14:paraId="21CC484B" w14:textId="77777777" w:rsidR="00293744" w:rsidRPr="000A6DB5" w:rsidRDefault="00293744" w:rsidP="00293744">
            <w:pPr>
              <w:pStyle w:val="ExhibitText"/>
              <w:rPr>
                <w:b/>
                <w:lang w:val="en-GB"/>
              </w:rPr>
            </w:pPr>
            <w:r w:rsidRPr="000A6DB5">
              <w:rPr>
                <w:b/>
                <w:lang w:val="en-GB"/>
              </w:rPr>
              <w:t>2009</w:t>
            </w:r>
          </w:p>
        </w:tc>
        <w:tc>
          <w:tcPr>
            <w:tcW w:w="1276" w:type="dxa"/>
            <w:vAlign w:val="center"/>
          </w:tcPr>
          <w:p w14:paraId="34FE3BF0" w14:textId="4D822743" w:rsidR="00293744" w:rsidRPr="000A6DB5" w:rsidRDefault="00293744" w:rsidP="002023F8">
            <w:pPr>
              <w:pStyle w:val="ExhibitText"/>
              <w:jc w:val="right"/>
              <w:rPr>
                <w:lang w:val="en-GB"/>
              </w:rPr>
            </w:pPr>
            <w:r w:rsidRPr="000A6DB5">
              <w:rPr>
                <w:lang w:val="en-GB"/>
              </w:rPr>
              <w:t>22</w:t>
            </w:r>
            <w:r w:rsidR="002023F8">
              <w:rPr>
                <w:lang w:val="en-GB"/>
              </w:rPr>
              <w:t>.0</w:t>
            </w:r>
          </w:p>
        </w:tc>
        <w:tc>
          <w:tcPr>
            <w:tcW w:w="1017" w:type="dxa"/>
            <w:vAlign w:val="center"/>
          </w:tcPr>
          <w:p w14:paraId="184E4619" w14:textId="77777777" w:rsidR="00293744" w:rsidRPr="000A6DB5" w:rsidRDefault="00293744" w:rsidP="002023F8">
            <w:pPr>
              <w:pStyle w:val="ExhibitText"/>
              <w:jc w:val="right"/>
              <w:rPr>
                <w:lang w:val="en-GB"/>
              </w:rPr>
            </w:pPr>
            <w:r w:rsidRPr="000A6DB5">
              <w:rPr>
                <w:lang w:val="en-GB"/>
              </w:rPr>
              <w:t>-</w:t>
            </w:r>
          </w:p>
        </w:tc>
        <w:tc>
          <w:tcPr>
            <w:tcW w:w="1084" w:type="dxa"/>
            <w:vAlign w:val="center"/>
          </w:tcPr>
          <w:p w14:paraId="0DE3F3BE" w14:textId="77777777" w:rsidR="00293744" w:rsidRPr="000A6DB5" w:rsidRDefault="00293744" w:rsidP="002023F8">
            <w:pPr>
              <w:pStyle w:val="ExhibitText"/>
              <w:jc w:val="right"/>
              <w:rPr>
                <w:lang w:val="en-GB"/>
              </w:rPr>
            </w:pPr>
            <w:r w:rsidRPr="000A6DB5">
              <w:rPr>
                <w:lang w:val="en-GB"/>
              </w:rPr>
              <w:t>2.6</w:t>
            </w:r>
          </w:p>
        </w:tc>
        <w:tc>
          <w:tcPr>
            <w:tcW w:w="1230" w:type="dxa"/>
            <w:vAlign w:val="center"/>
          </w:tcPr>
          <w:p w14:paraId="7D0A7E83" w14:textId="77777777" w:rsidR="00293744" w:rsidRPr="000A6DB5" w:rsidRDefault="00293744" w:rsidP="002023F8">
            <w:pPr>
              <w:pStyle w:val="ExhibitText"/>
              <w:jc w:val="right"/>
              <w:rPr>
                <w:lang w:val="en-GB"/>
              </w:rPr>
            </w:pPr>
            <w:r w:rsidRPr="000A6DB5">
              <w:rPr>
                <w:lang w:val="en-GB"/>
              </w:rPr>
              <w:t>45.6</w:t>
            </w:r>
          </w:p>
        </w:tc>
      </w:tr>
      <w:tr w:rsidR="00293744" w:rsidRPr="000A6DB5" w14:paraId="77D6B581" w14:textId="77777777" w:rsidTr="002023F8">
        <w:trPr>
          <w:jc w:val="center"/>
        </w:trPr>
        <w:tc>
          <w:tcPr>
            <w:tcW w:w="704" w:type="dxa"/>
          </w:tcPr>
          <w:p w14:paraId="393D8A61" w14:textId="77777777" w:rsidR="00293744" w:rsidRPr="000A6DB5" w:rsidRDefault="00293744" w:rsidP="00293744">
            <w:pPr>
              <w:pStyle w:val="ExhibitText"/>
              <w:rPr>
                <w:b/>
                <w:lang w:val="en-GB"/>
              </w:rPr>
            </w:pPr>
            <w:r w:rsidRPr="000A6DB5">
              <w:rPr>
                <w:b/>
                <w:lang w:val="en-GB"/>
              </w:rPr>
              <w:t>2010</w:t>
            </w:r>
          </w:p>
        </w:tc>
        <w:tc>
          <w:tcPr>
            <w:tcW w:w="1276" w:type="dxa"/>
            <w:vAlign w:val="center"/>
          </w:tcPr>
          <w:p w14:paraId="08F26AC8" w14:textId="76B3098C" w:rsidR="00293744" w:rsidRPr="000A6DB5" w:rsidRDefault="00293744" w:rsidP="002023F8">
            <w:pPr>
              <w:pStyle w:val="ExhibitText"/>
              <w:jc w:val="right"/>
              <w:rPr>
                <w:lang w:val="en-GB"/>
              </w:rPr>
            </w:pPr>
            <w:r w:rsidRPr="000A6DB5">
              <w:rPr>
                <w:lang w:val="en-GB"/>
              </w:rPr>
              <w:t>29</w:t>
            </w:r>
            <w:r w:rsidR="002023F8">
              <w:rPr>
                <w:lang w:val="en-GB"/>
              </w:rPr>
              <w:t>.0</w:t>
            </w:r>
          </w:p>
        </w:tc>
        <w:tc>
          <w:tcPr>
            <w:tcW w:w="1017" w:type="dxa"/>
            <w:vAlign w:val="center"/>
          </w:tcPr>
          <w:p w14:paraId="56F72F54" w14:textId="77777777" w:rsidR="00293744" w:rsidRPr="000A6DB5" w:rsidRDefault="00293744" w:rsidP="002023F8">
            <w:pPr>
              <w:pStyle w:val="ExhibitText"/>
              <w:jc w:val="right"/>
              <w:rPr>
                <w:lang w:val="en-GB"/>
              </w:rPr>
            </w:pPr>
            <w:r w:rsidRPr="000A6DB5">
              <w:rPr>
                <w:lang w:val="en-GB"/>
              </w:rPr>
              <w:t>-</w:t>
            </w:r>
          </w:p>
        </w:tc>
        <w:tc>
          <w:tcPr>
            <w:tcW w:w="1084" w:type="dxa"/>
            <w:vAlign w:val="center"/>
          </w:tcPr>
          <w:p w14:paraId="63DF9DF4" w14:textId="77777777" w:rsidR="00293744" w:rsidRPr="000A6DB5" w:rsidRDefault="00293744" w:rsidP="002023F8">
            <w:pPr>
              <w:pStyle w:val="ExhibitText"/>
              <w:jc w:val="right"/>
              <w:rPr>
                <w:lang w:val="en-GB"/>
              </w:rPr>
            </w:pPr>
            <w:r w:rsidRPr="000A6DB5">
              <w:rPr>
                <w:lang w:val="en-GB"/>
              </w:rPr>
              <w:t>35.1</w:t>
            </w:r>
          </w:p>
        </w:tc>
        <w:tc>
          <w:tcPr>
            <w:tcW w:w="1230" w:type="dxa"/>
            <w:vAlign w:val="center"/>
          </w:tcPr>
          <w:p w14:paraId="14BB7DD3" w14:textId="77777777" w:rsidR="00293744" w:rsidRPr="000A6DB5" w:rsidRDefault="00293744" w:rsidP="002023F8">
            <w:pPr>
              <w:pStyle w:val="ExhibitText"/>
              <w:jc w:val="right"/>
              <w:rPr>
                <w:lang w:val="en-GB"/>
              </w:rPr>
            </w:pPr>
            <w:r w:rsidRPr="000A6DB5">
              <w:rPr>
                <w:lang w:val="en-GB"/>
              </w:rPr>
              <w:t>31.3</w:t>
            </w:r>
          </w:p>
        </w:tc>
      </w:tr>
      <w:tr w:rsidR="00293744" w:rsidRPr="000A6DB5" w14:paraId="11F8A6B1" w14:textId="77777777" w:rsidTr="002023F8">
        <w:trPr>
          <w:jc w:val="center"/>
        </w:trPr>
        <w:tc>
          <w:tcPr>
            <w:tcW w:w="704" w:type="dxa"/>
          </w:tcPr>
          <w:p w14:paraId="02FE1C5D" w14:textId="77777777" w:rsidR="00293744" w:rsidRPr="000A6DB5" w:rsidRDefault="00293744" w:rsidP="00293744">
            <w:pPr>
              <w:pStyle w:val="ExhibitText"/>
              <w:rPr>
                <w:b/>
                <w:lang w:val="en-GB"/>
              </w:rPr>
            </w:pPr>
            <w:r w:rsidRPr="000A6DB5">
              <w:rPr>
                <w:b/>
                <w:lang w:val="en-GB"/>
              </w:rPr>
              <w:t>2011</w:t>
            </w:r>
          </w:p>
        </w:tc>
        <w:tc>
          <w:tcPr>
            <w:tcW w:w="1276" w:type="dxa"/>
            <w:vAlign w:val="center"/>
          </w:tcPr>
          <w:p w14:paraId="6992D10F" w14:textId="77777777" w:rsidR="00293744" w:rsidRPr="000A6DB5" w:rsidRDefault="00293744" w:rsidP="002023F8">
            <w:pPr>
              <w:pStyle w:val="ExhibitText"/>
              <w:jc w:val="right"/>
              <w:rPr>
                <w:lang w:val="en-GB"/>
              </w:rPr>
            </w:pPr>
            <w:r w:rsidRPr="000A6DB5">
              <w:rPr>
                <w:lang w:val="en-GB"/>
              </w:rPr>
              <w:t>29.3</w:t>
            </w:r>
          </w:p>
        </w:tc>
        <w:tc>
          <w:tcPr>
            <w:tcW w:w="1017" w:type="dxa"/>
            <w:vAlign w:val="center"/>
          </w:tcPr>
          <w:p w14:paraId="406B0BE9" w14:textId="77777777" w:rsidR="00293744" w:rsidRPr="000A6DB5" w:rsidRDefault="00293744" w:rsidP="002023F8">
            <w:pPr>
              <w:pStyle w:val="ExhibitText"/>
              <w:jc w:val="right"/>
              <w:rPr>
                <w:lang w:val="en-GB"/>
              </w:rPr>
            </w:pPr>
            <w:r w:rsidRPr="000A6DB5">
              <w:rPr>
                <w:lang w:val="en-GB"/>
              </w:rPr>
              <w:t>-</w:t>
            </w:r>
          </w:p>
        </w:tc>
        <w:tc>
          <w:tcPr>
            <w:tcW w:w="1084" w:type="dxa"/>
            <w:vAlign w:val="center"/>
          </w:tcPr>
          <w:p w14:paraId="65B4C3DB" w14:textId="77777777" w:rsidR="00293744" w:rsidRPr="000A6DB5" w:rsidRDefault="00293744" w:rsidP="002023F8">
            <w:pPr>
              <w:pStyle w:val="ExhibitText"/>
              <w:jc w:val="right"/>
              <w:rPr>
                <w:lang w:val="en-GB"/>
              </w:rPr>
            </w:pPr>
            <w:r w:rsidRPr="000A6DB5">
              <w:rPr>
                <w:lang w:val="en-GB"/>
              </w:rPr>
              <w:t>31.6</w:t>
            </w:r>
          </w:p>
        </w:tc>
        <w:tc>
          <w:tcPr>
            <w:tcW w:w="1230" w:type="dxa"/>
            <w:vAlign w:val="center"/>
          </w:tcPr>
          <w:p w14:paraId="62CA9D12" w14:textId="77777777" w:rsidR="00293744" w:rsidRPr="000A6DB5" w:rsidRDefault="00293744" w:rsidP="002023F8">
            <w:pPr>
              <w:pStyle w:val="ExhibitText"/>
              <w:jc w:val="right"/>
              <w:rPr>
                <w:lang w:val="en-GB"/>
              </w:rPr>
            </w:pPr>
            <w:r w:rsidRPr="000A6DB5">
              <w:rPr>
                <w:lang w:val="en-GB"/>
              </w:rPr>
              <w:t>23.8</w:t>
            </w:r>
          </w:p>
        </w:tc>
      </w:tr>
      <w:tr w:rsidR="00293744" w:rsidRPr="000A6DB5" w14:paraId="5D96D265" w14:textId="77777777" w:rsidTr="002023F8">
        <w:trPr>
          <w:jc w:val="center"/>
        </w:trPr>
        <w:tc>
          <w:tcPr>
            <w:tcW w:w="704" w:type="dxa"/>
          </w:tcPr>
          <w:p w14:paraId="0B1F7E0A" w14:textId="77777777" w:rsidR="00293744" w:rsidRPr="000A6DB5" w:rsidRDefault="00293744" w:rsidP="00293744">
            <w:pPr>
              <w:pStyle w:val="ExhibitText"/>
              <w:rPr>
                <w:b/>
                <w:lang w:val="en-GB"/>
              </w:rPr>
            </w:pPr>
            <w:r w:rsidRPr="000A6DB5">
              <w:rPr>
                <w:b/>
                <w:lang w:val="en-GB"/>
              </w:rPr>
              <w:t>2012</w:t>
            </w:r>
          </w:p>
        </w:tc>
        <w:tc>
          <w:tcPr>
            <w:tcW w:w="1276" w:type="dxa"/>
            <w:vAlign w:val="center"/>
          </w:tcPr>
          <w:p w14:paraId="5232FFC7" w14:textId="77777777" w:rsidR="00293744" w:rsidRPr="000A6DB5" w:rsidRDefault="00293744" w:rsidP="002023F8">
            <w:pPr>
              <w:pStyle w:val="ExhibitText"/>
              <w:jc w:val="right"/>
              <w:rPr>
                <w:lang w:val="en-GB"/>
              </w:rPr>
            </w:pPr>
            <w:r w:rsidRPr="000A6DB5">
              <w:rPr>
                <w:lang w:val="en-GB"/>
              </w:rPr>
              <w:t>24.9</w:t>
            </w:r>
          </w:p>
        </w:tc>
        <w:tc>
          <w:tcPr>
            <w:tcW w:w="1017" w:type="dxa"/>
            <w:vAlign w:val="center"/>
          </w:tcPr>
          <w:p w14:paraId="098B4D56" w14:textId="77777777" w:rsidR="00293744" w:rsidRPr="000A6DB5" w:rsidRDefault="00293744" w:rsidP="002023F8">
            <w:pPr>
              <w:pStyle w:val="ExhibitText"/>
              <w:jc w:val="right"/>
              <w:rPr>
                <w:lang w:val="en-GB"/>
              </w:rPr>
            </w:pPr>
            <w:r w:rsidRPr="000A6DB5">
              <w:rPr>
                <w:lang w:val="en-GB"/>
              </w:rPr>
              <w:t>15.9</w:t>
            </w:r>
          </w:p>
        </w:tc>
        <w:tc>
          <w:tcPr>
            <w:tcW w:w="1084" w:type="dxa"/>
            <w:vAlign w:val="center"/>
          </w:tcPr>
          <w:p w14:paraId="4022A021" w14:textId="2A84CB93" w:rsidR="00293744" w:rsidRPr="000A6DB5" w:rsidRDefault="00293744" w:rsidP="002023F8">
            <w:pPr>
              <w:pStyle w:val="ExhibitText"/>
              <w:jc w:val="right"/>
              <w:rPr>
                <w:lang w:val="en-GB"/>
              </w:rPr>
            </w:pPr>
            <w:r w:rsidRPr="000A6DB5">
              <w:rPr>
                <w:lang w:val="en-GB"/>
              </w:rPr>
              <w:t>24</w:t>
            </w:r>
            <w:r w:rsidR="002023F8">
              <w:rPr>
                <w:lang w:val="en-GB"/>
              </w:rPr>
              <w:t>.0</w:t>
            </w:r>
          </w:p>
        </w:tc>
        <w:tc>
          <w:tcPr>
            <w:tcW w:w="1230" w:type="dxa"/>
            <w:vAlign w:val="center"/>
          </w:tcPr>
          <w:p w14:paraId="0B65DB32" w14:textId="77777777" w:rsidR="00293744" w:rsidRPr="000A6DB5" w:rsidRDefault="00293744" w:rsidP="002023F8">
            <w:pPr>
              <w:pStyle w:val="ExhibitText"/>
              <w:jc w:val="right"/>
              <w:rPr>
                <w:lang w:val="en-GB"/>
              </w:rPr>
            </w:pPr>
            <w:r w:rsidRPr="000A6DB5">
              <w:rPr>
                <w:lang w:val="en-GB"/>
              </w:rPr>
              <w:t>19.3</w:t>
            </w:r>
          </w:p>
        </w:tc>
      </w:tr>
      <w:tr w:rsidR="00293744" w:rsidRPr="000A6DB5" w14:paraId="0A195D05" w14:textId="77777777" w:rsidTr="002023F8">
        <w:trPr>
          <w:jc w:val="center"/>
        </w:trPr>
        <w:tc>
          <w:tcPr>
            <w:tcW w:w="704" w:type="dxa"/>
          </w:tcPr>
          <w:p w14:paraId="7E126699" w14:textId="77777777" w:rsidR="00293744" w:rsidRPr="000A6DB5" w:rsidRDefault="00293744" w:rsidP="00293744">
            <w:pPr>
              <w:pStyle w:val="ExhibitText"/>
              <w:rPr>
                <w:b/>
                <w:lang w:val="en-GB"/>
              </w:rPr>
            </w:pPr>
            <w:r w:rsidRPr="000A6DB5">
              <w:rPr>
                <w:b/>
                <w:lang w:val="en-GB"/>
              </w:rPr>
              <w:t>2013</w:t>
            </w:r>
          </w:p>
        </w:tc>
        <w:tc>
          <w:tcPr>
            <w:tcW w:w="1276" w:type="dxa"/>
            <w:vAlign w:val="center"/>
          </w:tcPr>
          <w:p w14:paraId="22F6E9BB" w14:textId="77777777" w:rsidR="00293744" w:rsidRPr="000A6DB5" w:rsidRDefault="00293744" w:rsidP="002023F8">
            <w:pPr>
              <w:pStyle w:val="ExhibitText"/>
              <w:jc w:val="right"/>
              <w:rPr>
                <w:lang w:val="en-GB"/>
              </w:rPr>
            </w:pPr>
            <w:r w:rsidRPr="000A6DB5">
              <w:rPr>
                <w:lang w:val="en-GB"/>
              </w:rPr>
              <w:t>22.8</w:t>
            </w:r>
          </w:p>
        </w:tc>
        <w:tc>
          <w:tcPr>
            <w:tcW w:w="1017" w:type="dxa"/>
            <w:vAlign w:val="center"/>
          </w:tcPr>
          <w:p w14:paraId="75715F01" w14:textId="77777777" w:rsidR="00293744" w:rsidRPr="000A6DB5" w:rsidRDefault="00293744" w:rsidP="002023F8">
            <w:pPr>
              <w:pStyle w:val="ExhibitText"/>
              <w:jc w:val="right"/>
              <w:rPr>
                <w:lang w:val="en-GB"/>
              </w:rPr>
            </w:pPr>
            <w:r w:rsidRPr="000A6DB5">
              <w:rPr>
                <w:lang w:val="en-GB"/>
              </w:rPr>
              <w:t>17.1</w:t>
            </w:r>
          </w:p>
        </w:tc>
        <w:tc>
          <w:tcPr>
            <w:tcW w:w="1084" w:type="dxa"/>
            <w:vAlign w:val="center"/>
          </w:tcPr>
          <w:p w14:paraId="1956B2C9" w14:textId="43829920" w:rsidR="00293744" w:rsidRPr="000A6DB5" w:rsidRDefault="00293744" w:rsidP="002023F8">
            <w:pPr>
              <w:pStyle w:val="ExhibitText"/>
              <w:jc w:val="right"/>
              <w:rPr>
                <w:lang w:val="en-GB"/>
              </w:rPr>
            </w:pPr>
            <w:r w:rsidRPr="000A6DB5">
              <w:rPr>
                <w:lang w:val="en-GB"/>
              </w:rPr>
              <w:t>19</w:t>
            </w:r>
            <w:r w:rsidR="002023F8">
              <w:rPr>
                <w:lang w:val="en-GB"/>
              </w:rPr>
              <w:t>.0</w:t>
            </w:r>
          </w:p>
        </w:tc>
        <w:tc>
          <w:tcPr>
            <w:tcW w:w="1230" w:type="dxa"/>
            <w:vAlign w:val="center"/>
          </w:tcPr>
          <w:p w14:paraId="2E158198" w14:textId="77777777" w:rsidR="00293744" w:rsidRPr="000A6DB5" w:rsidRDefault="00293744" w:rsidP="002023F8">
            <w:pPr>
              <w:pStyle w:val="ExhibitText"/>
              <w:jc w:val="right"/>
              <w:rPr>
                <w:lang w:val="en-GB"/>
              </w:rPr>
            </w:pPr>
            <w:r w:rsidRPr="000A6DB5">
              <w:rPr>
                <w:lang w:val="en-GB"/>
              </w:rPr>
              <w:t>16.1</w:t>
            </w:r>
          </w:p>
        </w:tc>
      </w:tr>
      <w:tr w:rsidR="00293744" w:rsidRPr="000A6DB5" w14:paraId="380EED7C" w14:textId="77777777" w:rsidTr="002023F8">
        <w:trPr>
          <w:jc w:val="center"/>
        </w:trPr>
        <w:tc>
          <w:tcPr>
            <w:tcW w:w="704" w:type="dxa"/>
          </w:tcPr>
          <w:p w14:paraId="0A123028" w14:textId="77777777" w:rsidR="00293744" w:rsidRPr="000A6DB5" w:rsidRDefault="00293744" w:rsidP="00293744">
            <w:pPr>
              <w:pStyle w:val="ExhibitText"/>
              <w:rPr>
                <w:b/>
                <w:lang w:val="en-GB"/>
              </w:rPr>
            </w:pPr>
            <w:r w:rsidRPr="000A6DB5">
              <w:rPr>
                <w:b/>
                <w:lang w:val="en-GB"/>
              </w:rPr>
              <w:t>2014</w:t>
            </w:r>
          </w:p>
        </w:tc>
        <w:tc>
          <w:tcPr>
            <w:tcW w:w="1276" w:type="dxa"/>
            <w:vAlign w:val="center"/>
          </w:tcPr>
          <w:p w14:paraId="76CE2FDE" w14:textId="1FD2D7F1" w:rsidR="00293744" w:rsidRPr="000A6DB5" w:rsidRDefault="00293744" w:rsidP="002023F8">
            <w:pPr>
              <w:pStyle w:val="ExhibitText"/>
              <w:jc w:val="right"/>
              <w:rPr>
                <w:lang w:val="en-GB"/>
              </w:rPr>
            </w:pPr>
            <w:r w:rsidRPr="000A6DB5">
              <w:rPr>
                <w:lang w:val="en-GB"/>
              </w:rPr>
              <w:t>23</w:t>
            </w:r>
            <w:r w:rsidR="002023F8">
              <w:rPr>
                <w:lang w:val="en-GB"/>
              </w:rPr>
              <w:t>.0</w:t>
            </w:r>
          </w:p>
        </w:tc>
        <w:tc>
          <w:tcPr>
            <w:tcW w:w="1017" w:type="dxa"/>
            <w:vAlign w:val="center"/>
          </w:tcPr>
          <w:p w14:paraId="5F0F4079" w14:textId="77777777" w:rsidR="00293744" w:rsidRPr="000A6DB5" w:rsidRDefault="00293744" w:rsidP="002023F8">
            <w:pPr>
              <w:pStyle w:val="ExhibitText"/>
              <w:jc w:val="right"/>
              <w:rPr>
                <w:lang w:val="en-GB"/>
              </w:rPr>
            </w:pPr>
            <w:r w:rsidRPr="000A6DB5">
              <w:rPr>
                <w:lang w:val="en-GB"/>
              </w:rPr>
              <w:t>10.6</w:t>
            </w:r>
          </w:p>
        </w:tc>
        <w:tc>
          <w:tcPr>
            <w:tcW w:w="1084" w:type="dxa"/>
            <w:vAlign w:val="center"/>
          </w:tcPr>
          <w:p w14:paraId="6729404A" w14:textId="77777777" w:rsidR="00293744" w:rsidRPr="000A6DB5" w:rsidRDefault="00293744" w:rsidP="002023F8">
            <w:pPr>
              <w:pStyle w:val="ExhibitText"/>
              <w:jc w:val="right"/>
              <w:rPr>
                <w:lang w:val="en-GB"/>
              </w:rPr>
            </w:pPr>
            <w:r w:rsidRPr="000A6DB5">
              <w:rPr>
                <w:lang w:val="en-GB"/>
              </w:rPr>
              <w:t>18.1</w:t>
            </w:r>
          </w:p>
        </w:tc>
        <w:tc>
          <w:tcPr>
            <w:tcW w:w="1230" w:type="dxa"/>
            <w:vAlign w:val="center"/>
          </w:tcPr>
          <w:p w14:paraId="34944B06" w14:textId="77777777" w:rsidR="00293744" w:rsidRPr="000A6DB5" w:rsidRDefault="00293744" w:rsidP="002023F8">
            <w:pPr>
              <w:pStyle w:val="ExhibitText"/>
              <w:jc w:val="right"/>
              <w:rPr>
                <w:lang w:val="en-GB"/>
              </w:rPr>
            </w:pPr>
            <w:r w:rsidRPr="000A6DB5">
              <w:rPr>
                <w:lang w:val="en-GB"/>
              </w:rPr>
              <w:t>13.9</w:t>
            </w:r>
          </w:p>
        </w:tc>
      </w:tr>
      <w:tr w:rsidR="00293744" w:rsidRPr="000A6DB5" w14:paraId="29AC2F60" w14:textId="77777777" w:rsidTr="002023F8">
        <w:trPr>
          <w:jc w:val="center"/>
        </w:trPr>
        <w:tc>
          <w:tcPr>
            <w:tcW w:w="704" w:type="dxa"/>
          </w:tcPr>
          <w:p w14:paraId="2FB992C0" w14:textId="77777777" w:rsidR="00293744" w:rsidRPr="000A6DB5" w:rsidRDefault="00293744" w:rsidP="00293744">
            <w:pPr>
              <w:pStyle w:val="ExhibitText"/>
              <w:rPr>
                <w:b/>
                <w:lang w:val="en-GB"/>
              </w:rPr>
            </w:pPr>
            <w:r w:rsidRPr="000A6DB5">
              <w:rPr>
                <w:b/>
                <w:lang w:val="en-GB"/>
              </w:rPr>
              <w:t>2015</w:t>
            </w:r>
          </w:p>
        </w:tc>
        <w:tc>
          <w:tcPr>
            <w:tcW w:w="1276" w:type="dxa"/>
            <w:vAlign w:val="center"/>
          </w:tcPr>
          <w:p w14:paraId="7D3FAE62" w14:textId="77777777" w:rsidR="00293744" w:rsidRPr="000A6DB5" w:rsidRDefault="00293744" w:rsidP="002023F8">
            <w:pPr>
              <w:pStyle w:val="ExhibitText"/>
              <w:jc w:val="right"/>
              <w:rPr>
                <w:lang w:val="en-GB"/>
              </w:rPr>
            </w:pPr>
            <w:r w:rsidRPr="000A6DB5">
              <w:rPr>
                <w:lang w:val="en-GB"/>
              </w:rPr>
              <w:t>22.2</w:t>
            </w:r>
          </w:p>
        </w:tc>
        <w:tc>
          <w:tcPr>
            <w:tcW w:w="1017" w:type="dxa"/>
            <w:vAlign w:val="center"/>
          </w:tcPr>
          <w:p w14:paraId="0F11CF41" w14:textId="77777777" w:rsidR="00293744" w:rsidRPr="000A6DB5" w:rsidRDefault="00293744" w:rsidP="002023F8">
            <w:pPr>
              <w:pStyle w:val="ExhibitText"/>
              <w:jc w:val="right"/>
              <w:rPr>
                <w:lang w:val="en-GB"/>
              </w:rPr>
            </w:pPr>
            <w:r w:rsidRPr="000A6DB5">
              <w:rPr>
                <w:lang w:val="en-GB"/>
              </w:rPr>
              <w:t>7.9</w:t>
            </w:r>
          </w:p>
        </w:tc>
        <w:tc>
          <w:tcPr>
            <w:tcW w:w="1084" w:type="dxa"/>
            <w:vAlign w:val="center"/>
          </w:tcPr>
          <w:p w14:paraId="3948A896" w14:textId="77777777" w:rsidR="00293744" w:rsidRPr="000A6DB5" w:rsidRDefault="00293744" w:rsidP="002023F8">
            <w:pPr>
              <w:pStyle w:val="ExhibitText"/>
              <w:jc w:val="right"/>
              <w:rPr>
                <w:lang w:val="en-GB"/>
              </w:rPr>
            </w:pPr>
            <w:r w:rsidRPr="000A6DB5">
              <w:rPr>
                <w:lang w:val="en-GB"/>
              </w:rPr>
              <w:t>13.8</w:t>
            </w:r>
          </w:p>
        </w:tc>
        <w:tc>
          <w:tcPr>
            <w:tcW w:w="1230" w:type="dxa"/>
            <w:vAlign w:val="center"/>
          </w:tcPr>
          <w:p w14:paraId="33785045" w14:textId="77777777" w:rsidR="00293744" w:rsidRPr="000A6DB5" w:rsidRDefault="00293744" w:rsidP="002023F8">
            <w:pPr>
              <w:pStyle w:val="ExhibitText"/>
              <w:jc w:val="right"/>
              <w:rPr>
                <w:lang w:val="en-GB"/>
              </w:rPr>
            </w:pPr>
            <w:r w:rsidRPr="000A6DB5">
              <w:rPr>
                <w:lang w:val="en-GB"/>
              </w:rPr>
              <w:t>12.2</w:t>
            </w:r>
          </w:p>
        </w:tc>
      </w:tr>
      <w:tr w:rsidR="00293744" w:rsidRPr="000A6DB5" w14:paraId="49F23AC2" w14:textId="77777777" w:rsidTr="002023F8">
        <w:trPr>
          <w:jc w:val="center"/>
        </w:trPr>
        <w:tc>
          <w:tcPr>
            <w:tcW w:w="704" w:type="dxa"/>
          </w:tcPr>
          <w:p w14:paraId="4DA23437" w14:textId="77777777" w:rsidR="00293744" w:rsidRPr="000A6DB5" w:rsidRDefault="00293744" w:rsidP="00293744">
            <w:pPr>
              <w:pStyle w:val="ExhibitText"/>
              <w:rPr>
                <w:b/>
                <w:lang w:val="en-GB"/>
              </w:rPr>
            </w:pPr>
            <w:r w:rsidRPr="000A6DB5">
              <w:rPr>
                <w:b/>
                <w:lang w:val="en-GB"/>
              </w:rPr>
              <w:t>2016</w:t>
            </w:r>
          </w:p>
        </w:tc>
        <w:tc>
          <w:tcPr>
            <w:tcW w:w="1276" w:type="dxa"/>
            <w:vAlign w:val="center"/>
          </w:tcPr>
          <w:p w14:paraId="62BA009D" w14:textId="77777777" w:rsidR="00293744" w:rsidRPr="000A6DB5" w:rsidRDefault="00293744" w:rsidP="002023F8">
            <w:pPr>
              <w:pStyle w:val="ExhibitText"/>
              <w:jc w:val="right"/>
              <w:rPr>
                <w:lang w:val="en-GB"/>
              </w:rPr>
            </w:pPr>
            <w:r w:rsidRPr="000A6DB5">
              <w:rPr>
                <w:lang w:val="en-GB"/>
              </w:rPr>
              <w:t>21.9</w:t>
            </w:r>
          </w:p>
        </w:tc>
        <w:tc>
          <w:tcPr>
            <w:tcW w:w="1017" w:type="dxa"/>
            <w:vAlign w:val="center"/>
          </w:tcPr>
          <w:p w14:paraId="14B670B0" w14:textId="77777777" w:rsidR="00293744" w:rsidRPr="000A6DB5" w:rsidRDefault="00293744" w:rsidP="002023F8">
            <w:pPr>
              <w:pStyle w:val="ExhibitText"/>
              <w:jc w:val="right"/>
              <w:rPr>
                <w:lang w:val="en-GB"/>
              </w:rPr>
            </w:pPr>
            <w:r w:rsidRPr="000A6DB5">
              <w:rPr>
                <w:lang w:val="en-GB"/>
              </w:rPr>
              <w:t>3.2</w:t>
            </w:r>
          </w:p>
        </w:tc>
        <w:tc>
          <w:tcPr>
            <w:tcW w:w="1084" w:type="dxa"/>
            <w:vAlign w:val="center"/>
          </w:tcPr>
          <w:p w14:paraId="360DC7C3" w14:textId="77777777" w:rsidR="00293744" w:rsidRPr="000A6DB5" w:rsidRDefault="00293744" w:rsidP="002023F8">
            <w:pPr>
              <w:pStyle w:val="ExhibitText"/>
              <w:jc w:val="right"/>
              <w:rPr>
                <w:lang w:val="en-GB"/>
              </w:rPr>
            </w:pPr>
            <w:r w:rsidRPr="000A6DB5">
              <w:rPr>
                <w:lang w:val="en-GB"/>
              </w:rPr>
              <w:t>14.7</w:t>
            </w:r>
          </w:p>
        </w:tc>
        <w:tc>
          <w:tcPr>
            <w:tcW w:w="1230" w:type="dxa"/>
            <w:vAlign w:val="center"/>
          </w:tcPr>
          <w:p w14:paraId="49B543AE" w14:textId="3000D1FE" w:rsidR="00293744" w:rsidRPr="000A6DB5" w:rsidRDefault="00293744" w:rsidP="002023F8">
            <w:pPr>
              <w:pStyle w:val="ExhibitText"/>
              <w:jc w:val="right"/>
              <w:rPr>
                <w:lang w:val="en-GB"/>
              </w:rPr>
            </w:pPr>
            <w:r w:rsidRPr="000A6DB5">
              <w:rPr>
                <w:lang w:val="en-GB"/>
              </w:rPr>
              <w:t>13</w:t>
            </w:r>
            <w:r w:rsidR="002023F8">
              <w:rPr>
                <w:lang w:val="en-GB"/>
              </w:rPr>
              <w:t>.0</w:t>
            </w:r>
          </w:p>
        </w:tc>
      </w:tr>
      <w:tr w:rsidR="00293744" w:rsidRPr="000A6DB5" w14:paraId="57C67A91" w14:textId="77777777" w:rsidTr="002023F8">
        <w:trPr>
          <w:jc w:val="center"/>
        </w:trPr>
        <w:tc>
          <w:tcPr>
            <w:tcW w:w="704" w:type="dxa"/>
          </w:tcPr>
          <w:p w14:paraId="6CC5086E" w14:textId="77777777" w:rsidR="00293744" w:rsidRPr="000A6DB5" w:rsidRDefault="00293744" w:rsidP="00293744">
            <w:pPr>
              <w:pStyle w:val="ExhibitText"/>
              <w:rPr>
                <w:b/>
                <w:lang w:val="en-GB"/>
              </w:rPr>
            </w:pPr>
            <w:r w:rsidRPr="000A6DB5">
              <w:rPr>
                <w:b/>
                <w:lang w:val="en-GB"/>
              </w:rPr>
              <w:t>2017</w:t>
            </w:r>
          </w:p>
        </w:tc>
        <w:tc>
          <w:tcPr>
            <w:tcW w:w="1276" w:type="dxa"/>
            <w:vAlign w:val="center"/>
          </w:tcPr>
          <w:p w14:paraId="5DE149A3" w14:textId="77777777" w:rsidR="00293744" w:rsidRPr="000A6DB5" w:rsidRDefault="00293744" w:rsidP="002023F8">
            <w:pPr>
              <w:pStyle w:val="ExhibitText"/>
              <w:jc w:val="right"/>
              <w:rPr>
                <w:lang w:val="en-GB"/>
              </w:rPr>
            </w:pPr>
            <w:r w:rsidRPr="000A6DB5">
              <w:rPr>
                <w:lang w:val="en-GB"/>
              </w:rPr>
              <w:t>14.9</w:t>
            </w:r>
          </w:p>
        </w:tc>
        <w:tc>
          <w:tcPr>
            <w:tcW w:w="1017" w:type="dxa"/>
            <w:vAlign w:val="center"/>
          </w:tcPr>
          <w:p w14:paraId="26D2DECA" w14:textId="77777777" w:rsidR="00293744" w:rsidRPr="000A6DB5" w:rsidRDefault="00293744" w:rsidP="002023F8">
            <w:pPr>
              <w:pStyle w:val="ExhibitText"/>
              <w:jc w:val="right"/>
              <w:rPr>
                <w:lang w:val="en-GB"/>
              </w:rPr>
            </w:pPr>
            <w:r w:rsidRPr="000A6DB5">
              <w:rPr>
                <w:lang w:val="en-GB"/>
              </w:rPr>
              <w:t>-1.2</w:t>
            </w:r>
          </w:p>
        </w:tc>
        <w:tc>
          <w:tcPr>
            <w:tcW w:w="1084" w:type="dxa"/>
            <w:vAlign w:val="center"/>
          </w:tcPr>
          <w:p w14:paraId="02B9A66E" w14:textId="0439287C" w:rsidR="00293744" w:rsidRPr="000A6DB5" w:rsidRDefault="00293744" w:rsidP="002023F8">
            <w:pPr>
              <w:pStyle w:val="ExhibitText"/>
              <w:jc w:val="right"/>
              <w:rPr>
                <w:lang w:val="en-GB"/>
              </w:rPr>
            </w:pPr>
            <w:r w:rsidRPr="000A6DB5">
              <w:rPr>
                <w:lang w:val="en-GB"/>
              </w:rPr>
              <w:t>15</w:t>
            </w:r>
            <w:r w:rsidR="002023F8">
              <w:rPr>
                <w:lang w:val="en-GB"/>
              </w:rPr>
              <w:t>.0</w:t>
            </w:r>
          </w:p>
        </w:tc>
        <w:tc>
          <w:tcPr>
            <w:tcW w:w="1230" w:type="dxa"/>
            <w:vAlign w:val="center"/>
          </w:tcPr>
          <w:p w14:paraId="27328289" w14:textId="77777777" w:rsidR="00293744" w:rsidRPr="000A6DB5" w:rsidRDefault="00293744" w:rsidP="002023F8">
            <w:pPr>
              <w:pStyle w:val="ExhibitText"/>
              <w:jc w:val="right"/>
              <w:rPr>
                <w:lang w:val="en-GB"/>
              </w:rPr>
            </w:pPr>
            <w:r w:rsidRPr="000A6DB5">
              <w:rPr>
                <w:lang w:val="en-GB"/>
              </w:rPr>
              <w:t>13.5</w:t>
            </w:r>
          </w:p>
        </w:tc>
      </w:tr>
    </w:tbl>
    <w:p w14:paraId="53D7A5C9" w14:textId="77777777" w:rsidR="00293744" w:rsidRPr="000A6DB5" w:rsidRDefault="00293744" w:rsidP="00293744">
      <w:pPr>
        <w:jc w:val="both"/>
        <w:rPr>
          <w:rFonts w:ascii="Arial" w:hAnsi="Arial" w:cs="Arial"/>
          <w:sz w:val="18"/>
          <w:szCs w:val="18"/>
          <w:lang w:val="en-GB"/>
        </w:rPr>
      </w:pPr>
    </w:p>
    <w:p w14:paraId="280E2458" w14:textId="6C72BB9A" w:rsidR="00C44D35" w:rsidRPr="000A6DB5" w:rsidRDefault="00C44D35" w:rsidP="00F043D1">
      <w:pPr>
        <w:pStyle w:val="Footnote"/>
        <w:outlineLvl w:val="0"/>
        <w:rPr>
          <w:lang w:val="en-GB"/>
        </w:rPr>
      </w:pPr>
      <w:r w:rsidRPr="000A6DB5">
        <w:rPr>
          <w:lang w:val="en-GB"/>
        </w:rPr>
        <w:t>Note: Haldiram = Haldiram’s Food International Limited</w:t>
      </w:r>
    </w:p>
    <w:p w14:paraId="7458F160" w14:textId="7421E872" w:rsidR="00293744" w:rsidRPr="000A6DB5" w:rsidRDefault="00293744" w:rsidP="00293744">
      <w:pPr>
        <w:pStyle w:val="Footnote"/>
        <w:rPr>
          <w:lang w:val="en-GB"/>
        </w:rPr>
      </w:pPr>
      <w:r w:rsidRPr="000A6DB5">
        <w:rPr>
          <w:lang w:val="en-GB"/>
        </w:rPr>
        <w:t xml:space="preserve">Source: Euromonitor International, </w:t>
      </w:r>
      <w:r w:rsidR="0072085E" w:rsidRPr="000A6DB5">
        <w:rPr>
          <w:i/>
          <w:lang w:val="en-GB"/>
        </w:rPr>
        <w:t>Savoury</w:t>
      </w:r>
      <w:r w:rsidR="00755896" w:rsidRPr="000A6DB5">
        <w:rPr>
          <w:i/>
          <w:lang w:val="en-GB"/>
        </w:rPr>
        <w:t xml:space="preserve"> </w:t>
      </w:r>
      <w:r w:rsidRPr="000A6DB5">
        <w:rPr>
          <w:i/>
          <w:lang w:val="en-GB"/>
        </w:rPr>
        <w:t>Snack</w:t>
      </w:r>
      <w:r w:rsidR="0072085E" w:rsidRPr="000A6DB5">
        <w:rPr>
          <w:i/>
          <w:lang w:val="en-GB"/>
        </w:rPr>
        <w:t>s in</w:t>
      </w:r>
      <w:r w:rsidRPr="000A6DB5">
        <w:rPr>
          <w:i/>
          <w:lang w:val="en-GB"/>
        </w:rPr>
        <w:t xml:space="preserve"> India</w:t>
      </w:r>
      <w:r w:rsidR="00B370B9" w:rsidRPr="000A6DB5">
        <w:rPr>
          <w:lang w:val="en-GB"/>
        </w:rPr>
        <w:t>,</w:t>
      </w:r>
      <w:r w:rsidRPr="000A6DB5">
        <w:rPr>
          <w:lang w:val="en-GB"/>
        </w:rPr>
        <w:t xml:space="preserve"> 2017, accessed March 19, 2018.</w:t>
      </w:r>
    </w:p>
    <w:p w14:paraId="1330F4E0" w14:textId="77777777" w:rsidR="00293744" w:rsidRPr="000A6DB5" w:rsidRDefault="00293744" w:rsidP="00293744">
      <w:pPr>
        <w:pStyle w:val="BodyTextMain"/>
        <w:rPr>
          <w:lang w:val="en-GB"/>
        </w:rPr>
      </w:pPr>
    </w:p>
    <w:p w14:paraId="303E6DDA" w14:textId="77777777" w:rsidR="00293744" w:rsidRPr="000A6DB5" w:rsidRDefault="00293744" w:rsidP="00293744">
      <w:pPr>
        <w:pStyle w:val="BodyTextMain"/>
        <w:rPr>
          <w:lang w:val="en-GB"/>
        </w:rPr>
      </w:pPr>
    </w:p>
    <w:p w14:paraId="582EF8BC" w14:textId="74D60B7C" w:rsidR="00293744" w:rsidRPr="000A6DB5" w:rsidRDefault="00293744" w:rsidP="00F043D1">
      <w:pPr>
        <w:pStyle w:val="ExhibitHeading"/>
        <w:outlineLvl w:val="0"/>
        <w:rPr>
          <w:lang w:val="en-GB"/>
        </w:rPr>
      </w:pPr>
      <w:r w:rsidRPr="000A6DB5">
        <w:rPr>
          <w:lang w:val="en-GB"/>
        </w:rPr>
        <w:t>EXHIBIT 6: SALES OF SAVOURY SNACKS IN INDIA</w:t>
      </w:r>
    </w:p>
    <w:p w14:paraId="1D092974" w14:textId="77777777" w:rsidR="00293744" w:rsidRPr="000A6DB5" w:rsidRDefault="00293744" w:rsidP="00022163">
      <w:pPr>
        <w:pStyle w:val="BodyTextMain"/>
        <w:rPr>
          <w:lang w:val="en-GB"/>
        </w:rPr>
      </w:pPr>
    </w:p>
    <w:tbl>
      <w:tblPr>
        <w:tblStyle w:val="TableGrid"/>
        <w:tblW w:w="0" w:type="auto"/>
        <w:jc w:val="center"/>
        <w:tblLook w:val="04A0" w:firstRow="1" w:lastRow="0" w:firstColumn="1" w:lastColumn="0" w:noHBand="0" w:noVBand="1"/>
      </w:tblPr>
      <w:tblGrid>
        <w:gridCol w:w="1008"/>
        <w:gridCol w:w="1964"/>
        <w:gridCol w:w="1627"/>
      </w:tblGrid>
      <w:tr w:rsidR="00293744" w:rsidRPr="000A6DB5" w14:paraId="06A506FF" w14:textId="77777777" w:rsidTr="0049647A">
        <w:trPr>
          <w:trHeight w:val="60"/>
          <w:jc w:val="center"/>
        </w:trPr>
        <w:tc>
          <w:tcPr>
            <w:tcW w:w="1008" w:type="dxa"/>
          </w:tcPr>
          <w:p w14:paraId="038802DD" w14:textId="77777777" w:rsidR="00293744" w:rsidRPr="000A6DB5" w:rsidRDefault="00293744" w:rsidP="0049647A">
            <w:pPr>
              <w:pStyle w:val="ExhibitText"/>
              <w:jc w:val="center"/>
              <w:rPr>
                <w:b/>
                <w:lang w:val="en-GB"/>
              </w:rPr>
            </w:pPr>
            <w:r w:rsidRPr="000A6DB5">
              <w:rPr>
                <w:b/>
                <w:lang w:val="en-GB"/>
              </w:rPr>
              <w:t>Year</w:t>
            </w:r>
          </w:p>
        </w:tc>
        <w:tc>
          <w:tcPr>
            <w:tcW w:w="1964" w:type="dxa"/>
          </w:tcPr>
          <w:p w14:paraId="13E282D9" w14:textId="7BB3B31B" w:rsidR="00293744" w:rsidRPr="000A6DB5" w:rsidRDefault="00293744" w:rsidP="00394F79">
            <w:pPr>
              <w:pStyle w:val="ExhibitText"/>
              <w:jc w:val="center"/>
              <w:rPr>
                <w:b/>
                <w:lang w:val="en-GB"/>
              </w:rPr>
            </w:pPr>
            <w:r w:rsidRPr="000A6DB5">
              <w:rPr>
                <w:b/>
                <w:lang w:val="en-GB"/>
              </w:rPr>
              <w:t xml:space="preserve">Sales </w:t>
            </w:r>
            <w:r w:rsidR="00C44D35" w:rsidRPr="000A6DB5">
              <w:rPr>
                <w:b/>
                <w:lang w:val="en-GB"/>
              </w:rPr>
              <w:t>(</w:t>
            </w:r>
            <w:r w:rsidR="00C44D35" w:rsidRPr="000A6DB5">
              <w:rPr>
                <w:rStyle w:val="Emphasis"/>
                <w:b/>
                <w:bCs/>
                <w:i w:val="0"/>
                <w:iCs w:val="0"/>
                <w:shd w:val="clear" w:color="auto" w:fill="FFFFFF"/>
                <w:lang w:val="en-GB"/>
              </w:rPr>
              <w:t>₹</w:t>
            </w:r>
            <w:r w:rsidRPr="000A6DB5">
              <w:rPr>
                <w:b/>
                <w:lang w:val="en-GB"/>
              </w:rPr>
              <w:t xml:space="preserve"> </w:t>
            </w:r>
            <w:r w:rsidR="00C44D35" w:rsidRPr="000A6DB5">
              <w:rPr>
                <w:b/>
                <w:lang w:val="en-GB"/>
              </w:rPr>
              <w:t>Million)</w:t>
            </w:r>
          </w:p>
        </w:tc>
        <w:tc>
          <w:tcPr>
            <w:tcW w:w="1627" w:type="dxa"/>
          </w:tcPr>
          <w:p w14:paraId="73C278E6" w14:textId="70404352" w:rsidR="00293744" w:rsidRPr="000A6DB5" w:rsidRDefault="00293744" w:rsidP="0049647A">
            <w:pPr>
              <w:pStyle w:val="ExhibitText"/>
              <w:jc w:val="center"/>
              <w:rPr>
                <w:b/>
                <w:lang w:val="en-GB"/>
              </w:rPr>
            </w:pPr>
            <w:r w:rsidRPr="000A6DB5">
              <w:rPr>
                <w:b/>
                <w:lang w:val="en-GB"/>
              </w:rPr>
              <w:t xml:space="preserve">YOY </w:t>
            </w:r>
            <w:r w:rsidR="00C44D35" w:rsidRPr="000A6DB5">
              <w:rPr>
                <w:b/>
                <w:lang w:val="en-GB"/>
              </w:rPr>
              <w:t>G</w:t>
            </w:r>
            <w:r w:rsidRPr="000A6DB5">
              <w:rPr>
                <w:b/>
                <w:lang w:val="en-GB"/>
              </w:rPr>
              <w:t>rowth</w:t>
            </w:r>
          </w:p>
        </w:tc>
      </w:tr>
      <w:tr w:rsidR="00293744" w:rsidRPr="000A6DB5" w14:paraId="7EC36C4F" w14:textId="77777777" w:rsidTr="0049647A">
        <w:trPr>
          <w:jc w:val="center"/>
        </w:trPr>
        <w:tc>
          <w:tcPr>
            <w:tcW w:w="1008" w:type="dxa"/>
          </w:tcPr>
          <w:p w14:paraId="040A066F" w14:textId="77777777" w:rsidR="00293744" w:rsidRPr="000A6DB5" w:rsidRDefault="00293744" w:rsidP="00293744">
            <w:pPr>
              <w:pStyle w:val="ExhibitText"/>
              <w:rPr>
                <w:b/>
                <w:lang w:val="en-GB"/>
              </w:rPr>
            </w:pPr>
            <w:r w:rsidRPr="000A6DB5">
              <w:rPr>
                <w:b/>
                <w:lang w:val="en-GB"/>
              </w:rPr>
              <w:t>2014</w:t>
            </w:r>
          </w:p>
        </w:tc>
        <w:tc>
          <w:tcPr>
            <w:tcW w:w="1964" w:type="dxa"/>
          </w:tcPr>
          <w:p w14:paraId="0FA580BB" w14:textId="77777777" w:rsidR="00293744" w:rsidRPr="000A6DB5" w:rsidRDefault="00293744" w:rsidP="00293744">
            <w:pPr>
              <w:pStyle w:val="ExhibitText"/>
              <w:jc w:val="center"/>
              <w:rPr>
                <w:lang w:val="en-GB"/>
              </w:rPr>
            </w:pPr>
            <w:r w:rsidRPr="000A6DB5">
              <w:rPr>
                <w:lang w:val="en-GB"/>
              </w:rPr>
              <w:t>172,592.90</w:t>
            </w:r>
          </w:p>
        </w:tc>
        <w:tc>
          <w:tcPr>
            <w:tcW w:w="1627" w:type="dxa"/>
          </w:tcPr>
          <w:p w14:paraId="5B484672" w14:textId="77777777" w:rsidR="00293744" w:rsidRPr="000A6DB5" w:rsidRDefault="00293744" w:rsidP="00293744">
            <w:pPr>
              <w:pStyle w:val="ExhibitText"/>
              <w:jc w:val="center"/>
              <w:rPr>
                <w:lang w:val="en-GB"/>
              </w:rPr>
            </w:pPr>
            <w:r w:rsidRPr="000A6DB5">
              <w:rPr>
                <w:lang w:val="en-GB"/>
              </w:rPr>
              <w:t>23%</w:t>
            </w:r>
          </w:p>
        </w:tc>
      </w:tr>
      <w:tr w:rsidR="00293744" w:rsidRPr="000A6DB5" w14:paraId="3B881AD3" w14:textId="77777777" w:rsidTr="0049647A">
        <w:trPr>
          <w:jc w:val="center"/>
        </w:trPr>
        <w:tc>
          <w:tcPr>
            <w:tcW w:w="1008" w:type="dxa"/>
          </w:tcPr>
          <w:p w14:paraId="2A1F1E4B" w14:textId="77777777" w:rsidR="00293744" w:rsidRPr="000A6DB5" w:rsidRDefault="00293744" w:rsidP="00293744">
            <w:pPr>
              <w:pStyle w:val="ExhibitText"/>
              <w:rPr>
                <w:b/>
                <w:lang w:val="en-GB"/>
              </w:rPr>
            </w:pPr>
            <w:r w:rsidRPr="000A6DB5">
              <w:rPr>
                <w:b/>
                <w:lang w:val="en-GB"/>
              </w:rPr>
              <w:t>2015</w:t>
            </w:r>
          </w:p>
        </w:tc>
        <w:tc>
          <w:tcPr>
            <w:tcW w:w="1964" w:type="dxa"/>
          </w:tcPr>
          <w:p w14:paraId="06D9E603" w14:textId="00837220" w:rsidR="00293744" w:rsidRPr="000A6DB5" w:rsidRDefault="00293744" w:rsidP="00293744">
            <w:pPr>
              <w:pStyle w:val="ExhibitText"/>
              <w:jc w:val="center"/>
              <w:rPr>
                <w:lang w:val="en-GB"/>
              </w:rPr>
            </w:pPr>
            <w:r w:rsidRPr="000A6DB5">
              <w:rPr>
                <w:lang w:val="en-GB"/>
              </w:rPr>
              <w:t>210,891</w:t>
            </w:r>
            <w:r w:rsidR="00022163" w:rsidRPr="000A6DB5">
              <w:rPr>
                <w:lang w:val="en-GB"/>
              </w:rPr>
              <w:t>.</w:t>
            </w:r>
            <w:r w:rsidRPr="000A6DB5">
              <w:rPr>
                <w:lang w:val="en-GB"/>
              </w:rPr>
              <w:t>00</w:t>
            </w:r>
          </w:p>
        </w:tc>
        <w:tc>
          <w:tcPr>
            <w:tcW w:w="1627" w:type="dxa"/>
          </w:tcPr>
          <w:p w14:paraId="7059AE7E" w14:textId="77777777" w:rsidR="00293744" w:rsidRPr="000A6DB5" w:rsidRDefault="00293744" w:rsidP="00293744">
            <w:pPr>
              <w:pStyle w:val="ExhibitText"/>
              <w:jc w:val="center"/>
              <w:rPr>
                <w:lang w:val="en-GB"/>
              </w:rPr>
            </w:pPr>
            <w:r w:rsidRPr="000A6DB5">
              <w:rPr>
                <w:lang w:val="en-GB"/>
              </w:rPr>
              <w:t>22.2%</w:t>
            </w:r>
          </w:p>
        </w:tc>
      </w:tr>
      <w:tr w:rsidR="00293744" w:rsidRPr="000A6DB5" w14:paraId="6781C006" w14:textId="77777777" w:rsidTr="0049647A">
        <w:trPr>
          <w:jc w:val="center"/>
        </w:trPr>
        <w:tc>
          <w:tcPr>
            <w:tcW w:w="1008" w:type="dxa"/>
          </w:tcPr>
          <w:p w14:paraId="6F79DEA6" w14:textId="77777777" w:rsidR="00293744" w:rsidRPr="000A6DB5" w:rsidRDefault="00293744" w:rsidP="00293744">
            <w:pPr>
              <w:pStyle w:val="ExhibitText"/>
              <w:rPr>
                <w:b/>
                <w:lang w:val="en-GB"/>
              </w:rPr>
            </w:pPr>
            <w:r w:rsidRPr="000A6DB5">
              <w:rPr>
                <w:b/>
                <w:lang w:val="en-GB"/>
              </w:rPr>
              <w:t>2016</w:t>
            </w:r>
          </w:p>
        </w:tc>
        <w:tc>
          <w:tcPr>
            <w:tcW w:w="1964" w:type="dxa"/>
          </w:tcPr>
          <w:p w14:paraId="315F89E1" w14:textId="77777777" w:rsidR="00293744" w:rsidRPr="000A6DB5" w:rsidRDefault="00293744" w:rsidP="00293744">
            <w:pPr>
              <w:pStyle w:val="ExhibitText"/>
              <w:jc w:val="center"/>
              <w:rPr>
                <w:lang w:val="en-GB"/>
              </w:rPr>
            </w:pPr>
            <w:r w:rsidRPr="000A6DB5">
              <w:rPr>
                <w:lang w:val="en-GB"/>
              </w:rPr>
              <w:t>257,134.50</w:t>
            </w:r>
          </w:p>
        </w:tc>
        <w:tc>
          <w:tcPr>
            <w:tcW w:w="1627" w:type="dxa"/>
          </w:tcPr>
          <w:p w14:paraId="39395514" w14:textId="77777777" w:rsidR="00293744" w:rsidRPr="000A6DB5" w:rsidRDefault="00293744" w:rsidP="00293744">
            <w:pPr>
              <w:pStyle w:val="ExhibitText"/>
              <w:jc w:val="center"/>
              <w:rPr>
                <w:lang w:val="en-GB"/>
              </w:rPr>
            </w:pPr>
            <w:r w:rsidRPr="000A6DB5">
              <w:rPr>
                <w:lang w:val="en-GB"/>
              </w:rPr>
              <w:t>21.9%</w:t>
            </w:r>
          </w:p>
        </w:tc>
      </w:tr>
      <w:tr w:rsidR="00293744" w:rsidRPr="000A6DB5" w14:paraId="37A091E4" w14:textId="77777777" w:rsidTr="0049647A">
        <w:trPr>
          <w:jc w:val="center"/>
        </w:trPr>
        <w:tc>
          <w:tcPr>
            <w:tcW w:w="1008" w:type="dxa"/>
          </w:tcPr>
          <w:p w14:paraId="77B08543" w14:textId="77777777" w:rsidR="00293744" w:rsidRPr="000A6DB5" w:rsidRDefault="00293744" w:rsidP="00293744">
            <w:pPr>
              <w:pStyle w:val="ExhibitText"/>
              <w:rPr>
                <w:b/>
                <w:lang w:val="en-GB"/>
              </w:rPr>
            </w:pPr>
            <w:r w:rsidRPr="000A6DB5">
              <w:rPr>
                <w:b/>
                <w:lang w:val="en-GB"/>
              </w:rPr>
              <w:t>2017</w:t>
            </w:r>
          </w:p>
        </w:tc>
        <w:tc>
          <w:tcPr>
            <w:tcW w:w="1964" w:type="dxa"/>
          </w:tcPr>
          <w:p w14:paraId="49F5486F" w14:textId="77777777" w:rsidR="00293744" w:rsidRPr="000A6DB5" w:rsidRDefault="00293744" w:rsidP="00293744">
            <w:pPr>
              <w:pStyle w:val="ExhibitText"/>
              <w:jc w:val="center"/>
              <w:rPr>
                <w:lang w:val="en-GB"/>
              </w:rPr>
            </w:pPr>
            <w:r w:rsidRPr="000A6DB5">
              <w:rPr>
                <w:lang w:val="en-GB"/>
              </w:rPr>
              <w:t>295,464.60</w:t>
            </w:r>
          </w:p>
        </w:tc>
        <w:tc>
          <w:tcPr>
            <w:tcW w:w="1627" w:type="dxa"/>
          </w:tcPr>
          <w:p w14:paraId="61E8B625" w14:textId="77777777" w:rsidR="00293744" w:rsidRPr="000A6DB5" w:rsidRDefault="00293744" w:rsidP="00293744">
            <w:pPr>
              <w:pStyle w:val="ExhibitText"/>
              <w:jc w:val="center"/>
              <w:rPr>
                <w:lang w:val="en-GB"/>
              </w:rPr>
            </w:pPr>
            <w:r w:rsidRPr="000A6DB5">
              <w:rPr>
                <w:lang w:val="en-GB"/>
              </w:rPr>
              <w:t>14.9%</w:t>
            </w:r>
          </w:p>
        </w:tc>
      </w:tr>
    </w:tbl>
    <w:p w14:paraId="6609144B" w14:textId="77777777" w:rsidR="00293744" w:rsidRPr="000A6DB5" w:rsidRDefault="00293744" w:rsidP="008755C6">
      <w:pPr>
        <w:pStyle w:val="Footnote"/>
        <w:rPr>
          <w:lang w:val="en-GB"/>
        </w:rPr>
      </w:pPr>
    </w:p>
    <w:p w14:paraId="2FABAD2D" w14:textId="6D13A33F" w:rsidR="00C44D35" w:rsidRPr="000A6DB5" w:rsidRDefault="00C44D35" w:rsidP="008755C6">
      <w:pPr>
        <w:pStyle w:val="Footnote"/>
        <w:rPr>
          <w:lang w:val="en-GB"/>
        </w:rPr>
      </w:pPr>
      <w:r w:rsidRPr="000A6DB5">
        <w:rPr>
          <w:lang w:val="en-GB"/>
        </w:rPr>
        <w:t xml:space="preserve">Note: </w:t>
      </w:r>
      <w:r w:rsidRPr="000A6DB5">
        <w:rPr>
          <w:rStyle w:val="Emphasis"/>
          <w:bCs/>
          <w:i w:val="0"/>
          <w:iCs w:val="0"/>
          <w:shd w:val="clear" w:color="auto" w:fill="FFFFFF"/>
          <w:lang w:val="en-GB"/>
        </w:rPr>
        <w:t>₹ = INR = Indian rupee; US$1 = ₹63.8838 on September 1, 2017; YOY = year-on-year</w:t>
      </w:r>
    </w:p>
    <w:p w14:paraId="00E0FF49" w14:textId="53DF6376" w:rsidR="00293744" w:rsidRPr="000A6DB5" w:rsidRDefault="00293744" w:rsidP="008755C6">
      <w:pPr>
        <w:pStyle w:val="Footnote"/>
        <w:rPr>
          <w:lang w:val="en-GB"/>
        </w:rPr>
      </w:pPr>
      <w:r w:rsidRPr="000A6DB5">
        <w:rPr>
          <w:lang w:val="en-GB"/>
        </w:rPr>
        <w:t xml:space="preserve">Source: Euromonitor International, </w:t>
      </w:r>
      <w:r w:rsidR="0072085E" w:rsidRPr="000A6DB5">
        <w:rPr>
          <w:i/>
          <w:lang w:val="en-GB"/>
        </w:rPr>
        <w:t>Savoury</w:t>
      </w:r>
      <w:r w:rsidR="00755896" w:rsidRPr="000A6DB5">
        <w:rPr>
          <w:i/>
          <w:lang w:val="en-GB"/>
        </w:rPr>
        <w:t xml:space="preserve"> </w:t>
      </w:r>
      <w:r w:rsidR="0072085E" w:rsidRPr="000A6DB5">
        <w:rPr>
          <w:i/>
          <w:lang w:val="en-GB"/>
        </w:rPr>
        <w:t>Snacks in India</w:t>
      </w:r>
      <w:r w:rsidR="00B370B9" w:rsidRPr="000A6DB5">
        <w:rPr>
          <w:lang w:val="en-GB"/>
        </w:rPr>
        <w:t>,</w:t>
      </w:r>
      <w:r w:rsidRPr="000A6DB5">
        <w:rPr>
          <w:lang w:val="en-GB"/>
        </w:rPr>
        <w:t xml:space="preserve"> 2017, accessed March 19, 2018.</w:t>
      </w:r>
    </w:p>
    <w:p w14:paraId="52AE4E1D" w14:textId="5D8C330C" w:rsidR="00022163" w:rsidRPr="000A6DB5" w:rsidRDefault="00022163" w:rsidP="00022163">
      <w:pPr>
        <w:pStyle w:val="BodyTextMain"/>
        <w:rPr>
          <w:lang w:val="en-GB"/>
        </w:rPr>
      </w:pPr>
    </w:p>
    <w:p w14:paraId="668F3789" w14:textId="77777777" w:rsidR="00022163" w:rsidRPr="000A6DB5" w:rsidRDefault="00022163" w:rsidP="00022163">
      <w:pPr>
        <w:pStyle w:val="BodyTextMain"/>
        <w:rPr>
          <w:lang w:val="en-GB"/>
        </w:rPr>
      </w:pPr>
    </w:p>
    <w:p w14:paraId="0848DF04" w14:textId="24C79610" w:rsidR="00022163" w:rsidRPr="000A6DB5" w:rsidRDefault="00022163" w:rsidP="00F043D1">
      <w:pPr>
        <w:pStyle w:val="ExhibitHeading"/>
        <w:outlineLvl w:val="0"/>
        <w:rPr>
          <w:lang w:val="en-GB"/>
        </w:rPr>
      </w:pPr>
      <w:r w:rsidRPr="000A6DB5">
        <w:rPr>
          <w:lang w:val="en-GB"/>
        </w:rPr>
        <w:t>EXHIBIT 7: SALES OF SAVOURY SNACKS BY CATEGORY</w:t>
      </w:r>
      <w:r w:rsidR="00C44D35" w:rsidRPr="000A6DB5">
        <w:rPr>
          <w:lang w:val="en-GB"/>
        </w:rPr>
        <w:t>,</w:t>
      </w:r>
      <w:r w:rsidRPr="000A6DB5">
        <w:rPr>
          <w:lang w:val="en-GB"/>
        </w:rPr>
        <w:t xml:space="preserve"> RETAIL VALUE</w:t>
      </w:r>
      <w:r w:rsidR="00CE0C29" w:rsidRPr="000A6DB5">
        <w:rPr>
          <w:lang w:val="en-GB"/>
        </w:rPr>
        <w:t xml:space="preserve"> </w:t>
      </w:r>
      <w:r w:rsidR="00C44D35" w:rsidRPr="000A6DB5">
        <w:rPr>
          <w:lang w:val="en-GB"/>
        </w:rPr>
        <w:t>(</w:t>
      </w:r>
      <w:r w:rsidR="00CE0C29" w:rsidRPr="000A6DB5">
        <w:rPr>
          <w:lang w:val="en-GB"/>
        </w:rPr>
        <w:t>2017</w:t>
      </w:r>
      <w:r w:rsidR="00C44D35" w:rsidRPr="000A6DB5">
        <w:rPr>
          <w:lang w:val="en-GB"/>
        </w:rPr>
        <w:t>)</w:t>
      </w:r>
    </w:p>
    <w:p w14:paraId="6EA050FA" w14:textId="77777777" w:rsidR="00022163" w:rsidRPr="000A6DB5" w:rsidRDefault="00022163" w:rsidP="00022163">
      <w:pPr>
        <w:pStyle w:val="BodyTextMain"/>
        <w:rPr>
          <w:lang w:val="en-GB"/>
        </w:rPr>
      </w:pPr>
    </w:p>
    <w:tbl>
      <w:tblPr>
        <w:tblStyle w:val="TableGrid"/>
        <w:tblW w:w="0" w:type="auto"/>
        <w:jc w:val="center"/>
        <w:tblLook w:val="04A0" w:firstRow="1" w:lastRow="0" w:firstColumn="1" w:lastColumn="0" w:noHBand="0" w:noVBand="1"/>
      </w:tblPr>
      <w:tblGrid>
        <w:gridCol w:w="2830"/>
        <w:gridCol w:w="2158"/>
        <w:gridCol w:w="2165"/>
        <w:gridCol w:w="2076"/>
      </w:tblGrid>
      <w:tr w:rsidR="00022163" w:rsidRPr="000A6DB5" w14:paraId="24379886" w14:textId="77777777" w:rsidTr="002023F8">
        <w:trPr>
          <w:trHeight w:val="80"/>
          <w:jc w:val="center"/>
        </w:trPr>
        <w:tc>
          <w:tcPr>
            <w:tcW w:w="2830" w:type="dxa"/>
            <w:vAlign w:val="center"/>
          </w:tcPr>
          <w:p w14:paraId="174F6D53" w14:textId="77777777" w:rsidR="00022163" w:rsidRPr="000A6DB5" w:rsidRDefault="00022163" w:rsidP="00251202">
            <w:pPr>
              <w:pStyle w:val="ExhibitText"/>
              <w:jc w:val="center"/>
              <w:rPr>
                <w:b/>
                <w:lang w:val="en-GB"/>
              </w:rPr>
            </w:pPr>
            <w:r w:rsidRPr="000A6DB5">
              <w:rPr>
                <w:b/>
                <w:lang w:val="en-GB"/>
              </w:rPr>
              <w:t>Type</w:t>
            </w:r>
          </w:p>
        </w:tc>
        <w:tc>
          <w:tcPr>
            <w:tcW w:w="2158" w:type="dxa"/>
            <w:vAlign w:val="center"/>
          </w:tcPr>
          <w:p w14:paraId="58D1640C" w14:textId="03B33675" w:rsidR="00C44D35" w:rsidRPr="000A6DB5" w:rsidRDefault="00022163" w:rsidP="00251202">
            <w:pPr>
              <w:pStyle w:val="ExhibitText"/>
              <w:jc w:val="center"/>
              <w:rPr>
                <w:b/>
                <w:lang w:val="en-GB"/>
              </w:rPr>
            </w:pPr>
            <w:r w:rsidRPr="000A6DB5">
              <w:rPr>
                <w:b/>
                <w:lang w:val="en-GB"/>
              </w:rPr>
              <w:t>Retail Value</w:t>
            </w:r>
          </w:p>
          <w:p w14:paraId="5D21CF35" w14:textId="081F0CD6" w:rsidR="00022163" w:rsidRPr="000A6DB5" w:rsidRDefault="00C44D35">
            <w:pPr>
              <w:pStyle w:val="ExhibitText"/>
              <w:jc w:val="center"/>
              <w:rPr>
                <w:b/>
                <w:lang w:val="en-GB"/>
              </w:rPr>
            </w:pPr>
            <w:r w:rsidRPr="000A6DB5">
              <w:rPr>
                <w:b/>
                <w:lang w:val="en-GB"/>
              </w:rPr>
              <w:t>(</w:t>
            </w:r>
            <w:r w:rsidR="00CE0C29" w:rsidRPr="000A6DB5">
              <w:rPr>
                <w:rStyle w:val="Emphasis"/>
                <w:b/>
                <w:bCs/>
                <w:i w:val="0"/>
                <w:iCs w:val="0"/>
                <w:shd w:val="clear" w:color="auto" w:fill="FFFFFF"/>
                <w:lang w:val="en-GB"/>
              </w:rPr>
              <w:t>₹</w:t>
            </w:r>
            <w:r w:rsidR="00022163" w:rsidRPr="000A6DB5">
              <w:rPr>
                <w:b/>
                <w:lang w:val="en-GB"/>
              </w:rPr>
              <w:t xml:space="preserve"> </w:t>
            </w:r>
            <w:r w:rsidRPr="000A6DB5">
              <w:rPr>
                <w:b/>
                <w:lang w:val="en-GB"/>
              </w:rPr>
              <w:t>M</w:t>
            </w:r>
            <w:r w:rsidR="00CE0C29" w:rsidRPr="000A6DB5">
              <w:rPr>
                <w:b/>
                <w:lang w:val="en-GB"/>
              </w:rPr>
              <w:t>illio</w:t>
            </w:r>
            <w:r w:rsidR="00022163" w:rsidRPr="000A6DB5">
              <w:rPr>
                <w:b/>
                <w:lang w:val="en-GB"/>
              </w:rPr>
              <w:t>n</w:t>
            </w:r>
            <w:r w:rsidRPr="000A6DB5">
              <w:rPr>
                <w:b/>
                <w:lang w:val="en-GB"/>
              </w:rPr>
              <w:t>)</w:t>
            </w:r>
          </w:p>
        </w:tc>
        <w:tc>
          <w:tcPr>
            <w:tcW w:w="2165" w:type="dxa"/>
            <w:vAlign w:val="center"/>
          </w:tcPr>
          <w:p w14:paraId="75171E16" w14:textId="60EFC636" w:rsidR="00022163" w:rsidRPr="000A6DB5" w:rsidRDefault="00022163">
            <w:pPr>
              <w:pStyle w:val="ExhibitText"/>
              <w:jc w:val="center"/>
              <w:rPr>
                <w:b/>
                <w:lang w:val="en-GB"/>
              </w:rPr>
            </w:pPr>
            <w:r w:rsidRPr="000A6DB5">
              <w:rPr>
                <w:b/>
                <w:lang w:val="en-GB"/>
              </w:rPr>
              <w:t>CAGR 2012</w:t>
            </w:r>
            <w:r w:rsidR="00C44D35" w:rsidRPr="000A6DB5">
              <w:rPr>
                <w:b/>
                <w:lang w:val="en-GB"/>
              </w:rPr>
              <w:t>–</w:t>
            </w:r>
            <w:r w:rsidRPr="000A6DB5">
              <w:rPr>
                <w:b/>
                <w:lang w:val="en-GB"/>
              </w:rPr>
              <w:t>2017</w:t>
            </w:r>
            <w:r w:rsidR="00C44D35" w:rsidRPr="000A6DB5">
              <w:rPr>
                <w:b/>
                <w:lang w:val="en-GB"/>
              </w:rPr>
              <w:t xml:space="preserve"> (%)</w:t>
            </w:r>
          </w:p>
        </w:tc>
        <w:tc>
          <w:tcPr>
            <w:tcW w:w="2076" w:type="dxa"/>
            <w:vAlign w:val="center"/>
          </w:tcPr>
          <w:p w14:paraId="39D4651B" w14:textId="6AF8A5C4" w:rsidR="00022163" w:rsidRPr="000A6DB5" w:rsidRDefault="00022163">
            <w:pPr>
              <w:pStyle w:val="ExhibitText"/>
              <w:jc w:val="center"/>
              <w:rPr>
                <w:b/>
                <w:lang w:val="en-GB"/>
              </w:rPr>
            </w:pPr>
            <w:r w:rsidRPr="000A6DB5">
              <w:rPr>
                <w:b/>
                <w:lang w:val="en-GB"/>
              </w:rPr>
              <w:t>CAGR 2017</w:t>
            </w:r>
            <w:r w:rsidR="00C44D35" w:rsidRPr="000A6DB5">
              <w:rPr>
                <w:b/>
                <w:lang w:val="en-GB"/>
              </w:rPr>
              <w:t>–20</w:t>
            </w:r>
            <w:r w:rsidRPr="000A6DB5">
              <w:rPr>
                <w:b/>
                <w:lang w:val="en-GB"/>
              </w:rPr>
              <w:t>22</w:t>
            </w:r>
            <w:r w:rsidR="00C44D35" w:rsidRPr="000A6DB5">
              <w:rPr>
                <w:b/>
                <w:lang w:val="en-GB"/>
              </w:rPr>
              <w:t xml:space="preserve"> (%)</w:t>
            </w:r>
          </w:p>
        </w:tc>
      </w:tr>
      <w:tr w:rsidR="00022163" w:rsidRPr="000A6DB5" w14:paraId="5444DD58" w14:textId="77777777" w:rsidTr="002023F8">
        <w:trPr>
          <w:trHeight w:val="60"/>
          <w:jc w:val="center"/>
        </w:trPr>
        <w:tc>
          <w:tcPr>
            <w:tcW w:w="2830" w:type="dxa"/>
          </w:tcPr>
          <w:p w14:paraId="03E30CBF" w14:textId="5FFC3EF2" w:rsidR="00022163" w:rsidRPr="000A6DB5" w:rsidRDefault="00022163">
            <w:pPr>
              <w:pStyle w:val="ExhibitText"/>
              <w:rPr>
                <w:lang w:val="en-GB"/>
              </w:rPr>
            </w:pPr>
            <w:r w:rsidRPr="000A6DB5">
              <w:rPr>
                <w:lang w:val="en-GB"/>
              </w:rPr>
              <w:t>Nuts</w:t>
            </w:r>
            <w:r w:rsidR="00C44D35" w:rsidRPr="000A6DB5">
              <w:rPr>
                <w:lang w:val="en-GB"/>
              </w:rPr>
              <w:t>,</w:t>
            </w:r>
            <w:r w:rsidRPr="000A6DB5">
              <w:rPr>
                <w:lang w:val="en-GB"/>
              </w:rPr>
              <w:t xml:space="preserve"> Seeds</w:t>
            </w:r>
            <w:r w:rsidR="00C44D35" w:rsidRPr="000A6DB5">
              <w:rPr>
                <w:lang w:val="en-GB"/>
              </w:rPr>
              <w:t>,</w:t>
            </w:r>
            <w:r w:rsidRPr="000A6DB5">
              <w:rPr>
                <w:lang w:val="en-GB"/>
              </w:rPr>
              <w:t xml:space="preserve"> and Trail Mix</w:t>
            </w:r>
          </w:p>
        </w:tc>
        <w:tc>
          <w:tcPr>
            <w:tcW w:w="2158" w:type="dxa"/>
          </w:tcPr>
          <w:p w14:paraId="386CBA7A" w14:textId="77777777" w:rsidR="00022163" w:rsidRPr="000A6DB5" w:rsidRDefault="00022163" w:rsidP="0049647A">
            <w:pPr>
              <w:pStyle w:val="ExhibitText"/>
              <w:jc w:val="center"/>
              <w:rPr>
                <w:lang w:val="en-GB"/>
              </w:rPr>
            </w:pPr>
            <w:r w:rsidRPr="000A6DB5">
              <w:rPr>
                <w:lang w:val="en-GB"/>
              </w:rPr>
              <w:t>22,766.30</w:t>
            </w:r>
          </w:p>
        </w:tc>
        <w:tc>
          <w:tcPr>
            <w:tcW w:w="2165" w:type="dxa"/>
            <w:vAlign w:val="center"/>
          </w:tcPr>
          <w:p w14:paraId="3E3AB1E9" w14:textId="77777777" w:rsidR="00022163" w:rsidRPr="000A6DB5" w:rsidRDefault="00022163" w:rsidP="002023F8">
            <w:pPr>
              <w:pStyle w:val="ExhibitText"/>
              <w:jc w:val="right"/>
              <w:rPr>
                <w:lang w:val="en-GB"/>
              </w:rPr>
            </w:pPr>
            <w:r w:rsidRPr="000A6DB5">
              <w:rPr>
                <w:lang w:val="en-GB"/>
              </w:rPr>
              <w:t>16.8</w:t>
            </w:r>
          </w:p>
        </w:tc>
        <w:tc>
          <w:tcPr>
            <w:tcW w:w="2076" w:type="dxa"/>
            <w:vAlign w:val="center"/>
          </w:tcPr>
          <w:p w14:paraId="6CC81E72" w14:textId="77777777" w:rsidR="00022163" w:rsidRPr="000A6DB5" w:rsidRDefault="00022163" w:rsidP="002023F8">
            <w:pPr>
              <w:pStyle w:val="ExhibitText"/>
              <w:jc w:val="right"/>
              <w:rPr>
                <w:lang w:val="en-GB"/>
              </w:rPr>
            </w:pPr>
            <w:r w:rsidRPr="000A6DB5">
              <w:rPr>
                <w:lang w:val="en-GB"/>
              </w:rPr>
              <w:t>14.6</w:t>
            </w:r>
          </w:p>
        </w:tc>
      </w:tr>
      <w:tr w:rsidR="00022163" w:rsidRPr="000A6DB5" w14:paraId="4F31033A" w14:textId="77777777" w:rsidTr="002023F8">
        <w:trPr>
          <w:jc w:val="center"/>
        </w:trPr>
        <w:tc>
          <w:tcPr>
            <w:tcW w:w="2830" w:type="dxa"/>
          </w:tcPr>
          <w:p w14:paraId="70EC6264" w14:textId="77777777" w:rsidR="00022163" w:rsidRPr="000A6DB5" w:rsidRDefault="00022163" w:rsidP="00022163">
            <w:pPr>
              <w:pStyle w:val="ExhibitText"/>
              <w:rPr>
                <w:lang w:val="en-GB"/>
              </w:rPr>
            </w:pPr>
            <w:r w:rsidRPr="000A6DB5">
              <w:rPr>
                <w:lang w:val="en-GB"/>
              </w:rPr>
              <w:t>Salty Snacks</w:t>
            </w:r>
          </w:p>
        </w:tc>
        <w:tc>
          <w:tcPr>
            <w:tcW w:w="2158" w:type="dxa"/>
          </w:tcPr>
          <w:p w14:paraId="378785F9" w14:textId="77777777" w:rsidR="00022163" w:rsidRPr="000A6DB5" w:rsidRDefault="00022163" w:rsidP="0049647A">
            <w:pPr>
              <w:pStyle w:val="ExhibitText"/>
              <w:jc w:val="center"/>
              <w:rPr>
                <w:lang w:val="en-GB"/>
              </w:rPr>
            </w:pPr>
            <w:r w:rsidRPr="000A6DB5">
              <w:rPr>
                <w:lang w:val="en-GB"/>
              </w:rPr>
              <w:t>170,567.80</w:t>
            </w:r>
          </w:p>
        </w:tc>
        <w:tc>
          <w:tcPr>
            <w:tcW w:w="2165" w:type="dxa"/>
            <w:vAlign w:val="center"/>
          </w:tcPr>
          <w:p w14:paraId="652B6DCF" w14:textId="77777777" w:rsidR="00022163" w:rsidRPr="000A6DB5" w:rsidRDefault="00022163" w:rsidP="002023F8">
            <w:pPr>
              <w:pStyle w:val="ExhibitText"/>
              <w:jc w:val="right"/>
              <w:rPr>
                <w:lang w:val="en-GB"/>
              </w:rPr>
            </w:pPr>
            <w:r w:rsidRPr="000A6DB5">
              <w:rPr>
                <w:lang w:val="en-GB"/>
              </w:rPr>
              <w:t>22.8</w:t>
            </w:r>
          </w:p>
        </w:tc>
        <w:tc>
          <w:tcPr>
            <w:tcW w:w="2076" w:type="dxa"/>
            <w:vAlign w:val="center"/>
          </w:tcPr>
          <w:p w14:paraId="4E207B8F" w14:textId="77777777" w:rsidR="00022163" w:rsidRPr="000A6DB5" w:rsidRDefault="00022163" w:rsidP="002023F8">
            <w:pPr>
              <w:pStyle w:val="ExhibitText"/>
              <w:jc w:val="right"/>
              <w:rPr>
                <w:lang w:val="en-GB"/>
              </w:rPr>
            </w:pPr>
            <w:r w:rsidRPr="000A6DB5">
              <w:rPr>
                <w:lang w:val="en-GB"/>
              </w:rPr>
              <w:t>14.8</w:t>
            </w:r>
          </w:p>
        </w:tc>
      </w:tr>
      <w:tr w:rsidR="00022163" w:rsidRPr="000A6DB5" w14:paraId="1C88287C" w14:textId="77777777" w:rsidTr="002023F8">
        <w:trPr>
          <w:jc w:val="center"/>
        </w:trPr>
        <w:tc>
          <w:tcPr>
            <w:tcW w:w="2830" w:type="dxa"/>
          </w:tcPr>
          <w:p w14:paraId="26559F97" w14:textId="77777777" w:rsidR="00022163" w:rsidRPr="000A6DB5" w:rsidRDefault="00022163" w:rsidP="00022163">
            <w:pPr>
              <w:pStyle w:val="ExhibitText"/>
              <w:rPr>
                <w:lang w:val="en-GB"/>
              </w:rPr>
            </w:pPr>
            <w:r w:rsidRPr="000A6DB5">
              <w:rPr>
                <w:lang w:val="en-GB"/>
              </w:rPr>
              <w:t>Savoury Biscuits</w:t>
            </w:r>
          </w:p>
        </w:tc>
        <w:tc>
          <w:tcPr>
            <w:tcW w:w="2158" w:type="dxa"/>
          </w:tcPr>
          <w:p w14:paraId="3DD81D53" w14:textId="77777777" w:rsidR="00022163" w:rsidRPr="000A6DB5" w:rsidRDefault="00022163" w:rsidP="0049647A">
            <w:pPr>
              <w:pStyle w:val="ExhibitText"/>
              <w:jc w:val="center"/>
              <w:rPr>
                <w:lang w:val="en-GB"/>
              </w:rPr>
            </w:pPr>
            <w:r w:rsidRPr="000A6DB5">
              <w:rPr>
                <w:lang w:val="en-GB"/>
              </w:rPr>
              <w:t>44,385.20</w:t>
            </w:r>
          </w:p>
        </w:tc>
        <w:tc>
          <w:tcPr>
            <w:tcW w:w="2165" w:type="dxa"/>
            <w:vAlign w:val="center"/>
          </w:tcPr>
          <w:p w14:paraId="26E9DF35" w14:textId="77777777" w:rsidR="00022163" w:rsidRPr="000A6DB5" w:rsidRDefault="00022163" w:rsidP="002023F8">
            <w:pPr>
              <w:pStyle w:val="ExhibitText"/>
              <w:jc w:val="right"/>
              <w:rPr>
                <w:lang w:val="en-GB"/>
              </w:rPr>
            </w:pPr>
            <w:r w:rsidRPr="000A6DB5">
              <w:rPr>
                <w:lang w:val="en-GB"/>
              </w:rPr>
              <w:t>13.5</w:t>
            </w:r>
          </w:p>
        </w:tc>
        <w:tc>
          <w:tcPr>
            <w:tcW w:w="2076" w:type="dxa"/>
            <w:vAlign w:val="center"/>
          </w:tcPr>
          <w:p w14:paraId="7524B6DD" w14:textId="77777777" w:rsidR="00022163" w:rsidRPr="000A6DB5" w:rsidRDefault="00022163" w:rsidP="002023F8">
            <w:pPr>
              <w:pStyle w:val="ExhibitText"/>
              <w:jc w:val="right"/>
              <w:rPr>
                <w:lang w:val="en-GB"/>
              </w:rPr>
            </w:pPr>
            <w:r w:rsidRPr="000A6DB5">
              <w:rPr>
                <w:lang w:val="en-GB"/>
              </w:rPr>
              <w:t>10.8</w:t>
            </w:r>
          </w:p>
        </w:tc>
      </w:tr>
      <w:tr w:rsidR="00022163" w:rsidRPr="000A6DB5" w14:paraId="2B35F8B6" w14:textId="77777777" w:rsidTr="002023F8">
        <w:trPr>
          <w:jc w:val="center"/>
        </w:trPr>
        <w:tc>
          <w:tcPr>
            <w:tcW w:w="2830" w:type="dxa"/>
          </w:tcPr>
          <w:p w14:paraId="2E85DB9D" w14:textId="77777777" w:rsidR="00022163" w:rsidRPr="000A6DB5" w:rsidRDefault="00022163" w:rsidP="00022163">
            <w:pPr>
              <w:pStyle w:val="ExhibitText"/>
              <w:rPr>
                <w:lang w:val="en-GB"/>
              </w:rPr>
            </w:pPr>
            <w:r w:rsidRPr="000A6DB5">
              <w:rPr>
                <w:lang w:val="en-GB"/>
              </w:rPr>
              <w:t>Popcorn</w:t>
            </w:r>
          </w:p>
        </w:tc>
        <w:tc>
          <w:tcPr>
            <w:tcW w:w="2158" w:type="dxa"/>
          </w:tcPr>
          <w:p w14:paraId="6046E336" w14:textId="77777777" w:rsidR="00022163" w:rsidRPr="000A6DB5" w:rsidRDefault="00022163" w:rsidP="0049647A">
            <w:pPr>
              <w:pStyle w:val="ExhibitText"/>
              <w:jc w:val="center"/>
              <w:rPr>
                <w:lang w:val="en-GB"/>
              </w:rPr>
            </w:pPr>
            <w:r w:rsidRPr="000A6DB5">
              <w:rPr>
                <w:lang w:val="en-GB"/>
              </w:rPr>
              <w:t>2,799.50</w:t>
            </w:r>
          </w:p>
        </w:tc>
        <w:tc>
          <w:tcPr>
            <w:tcW w:w="2165" w:type="dxa"/>
            <w:vAlign w:val="center"/>
          </w:tcPr>
          <w:p w14:paraId="1A876BE8" w14:textId="77777777" w:rsidR="00022163" w:rsidRPr="000A6DB5" w:rsidRDefault="00022163" w:rsidP="002023F8">
            <w:pPr>
              <w:pStyle w:val="ExhibitText"/>
              <w:jc w:val="right"/>
              <w:rPr>
                <w:lang w:val="en-GB"/>
              </w:rPr>
            </w:pPr>
            <w:r w:rsidRPr="000A6DB5">
              <w:rPr>
                <w:lang w:val="en-GB"/>
              </w:rPr>
              <w:t>18.9</w:t>
            </w:r>
          </w:p>
        </w:tc>
        <w:tc>
          <w:tcPr>
            <w:tcW w:w="2076" w:type="dxa"/>
            <w:vAlign w:val="center"/>
          </w:tcPr>
          <w:p w14:paraId="58435C3A" w14:textId="77777777" w:rsidR="00022163" w:rsidRPr="000A6DB5" w:rsidRDefault="00022163" w:rsidP="002023F8">
            <w:pPr>
              <w:pStyle w:val="ExhibitText"/>
              <w:jc w:val="right"/>
              <w:rPr>
                <w:lang w:val="en-GB"/>
              </w:rPr>
            </w:pPr>
            <w:r w:rsidRPr="000A6DB5">
              <w:rPr>
                <w:lang w:val="en-GB"/>
              </w:rPr>
              <w:t>15.7</w:t>
            </w:r>
          </w:p>
        </w:tc>
      </w:tr>
      <w:tr w:rsidR="00022163" w:rsidRPr="000A6DB5" w14:paraId="4498EC77" w14:textId="77777777" w:rsidTr="002023F8">
        <w:trPr>
          <w:jc w:val="center"/>
        </w:trPr>
        <w:tc>
          <w:tcPr>
            <w:tcW w:w="2830" w:type="dxa"/>
          </w:tcPr>
          <w:p w14:paraId="50931736" w14:textId="77777777" w:rsidR="00022163" w:rsidRPr="000A6DB5" w:rsidRDefault="00022163" w:rsidP="00022163">
            <w:pPr>
              <w:pStyle w:val="ExhibitText"/>
              <w:rPr>
                <w:lang w:val="en-GB"/>
              </w:rPr>
            </w:pPr>
            <w:r w:rsidRPr="000A6DB5">
              <w:rPr>
                <w:lang w:val="en-GB"/>
              </w:rPr>
              <w:t>Other Savoury Snacks</w:t>
            </w:r>
          </w:p>
        </w:tc>
        <w:tc>
          <w:tcPr>
            <w:tcW w:w="2158" w:type="dxa"/>
          </w:tcPr>
          <w:p w14:paraId="35EE5C31" w14:textId="77777777" w:rsidR="00022163" w:rsidRPr="000A6DB5" w:rsidRDefault="00022163" w:rsidP="0049647A">
            <w:pPr>
              <w:pStyle w:val="ExhibitText"/>
              <w:jc w:val="center"/>
              <w:rPr>
                <w:lang w:val="en-GB"/>
              </w:rPr>
            </w:pPr>
            <w:r w:rsidRPr="000A6DB5">
              <w:rPr>
                <w:lang w:val="en-GB"/>
              </w:rPr>
              <w:t>54,925.80</w:t>
            </w:r>
          </w:p>
        </w:tc>
        <w:tc>
          <w:tcPr>
            <w:tcW w:w="2165" w:type="dxa"/>
            <w:vAlign w:val="center"/>
          </w:tcPr>
          <w:p w14:paraId="14539B05" w14:textId="77777777" w:rsidR="00022163" w:rsidRPr="000A6DB5" w:rsidRDefault="00022163" w:rsidP="002023F8">
            <w:pPr>
              <w:pStyle w:val="ExhibitText"/>
              <w:jc w:val="right"/>
              <w:rPr>
                <w:lang w:val="en-GB"/>
              </w:rPr>
            </w:pPr>
            <w:r w:rsidRPr="000A6DB5">
              <w:rPr>
                <w:lang w:val="en-GB"/>
              </w:rPr>
              <w:t>25.3</w:t>
            </w:r>
          </w:p>
        </w:tc>
        <w:tc>
          <w:tcPr>
            <w:tcW w:w="2076" w:type="dxa"/>
            <w:vAlign w:val="center"/>
          </w:tcPr>
          <w:p w14:paraId="666ED2C6" w14:textId="77777777" w:rsidR="00022163" w:rsidRPr="000A6DB5" w:rsidRDefault="00022163" w:rsidP="002023F8">
            <w:pPr>
              <w:pStyle w:val="ExhibitText"/>
              <w:jc w:val="right"/>
              <w:rPr>
                <w:lang w:val="en-GB"/>
              </w:rPr>
            </w:pPr>
            <w:r w:rsidRPr="000A6DB5">
              <w:rPr>
                <w:lang w:val="en-GB"/>
              </w:rPr>
              <w:t>13.8</w:t>
            </w:r>
          </w:p>
        </w:tc>
      </w:tr>
      <w:tr w:rsidR="00022163" w:rsidRPr="000A6DB5" w14:paraId="254D13B4" w14:textId="77777777" w:rsidTr="002023F8">
        <w:trPr>
          <w:jc w:val="center"/>
        </w:trPr>
        <w:tc>
          <w:tcPr>
            <w:tcW w:w="2830" w:type="dxa"/>
          </w:tcPr>
          <w:p w14:paraId="39B478B5" w14:textId="77777777" w:rsidR="00022163" w:rsidRPr="000A6DB5" w:rsidRDefault="00022163" w:rsidP="00022163">
            <w:pPr>
              <w:pStyle w:val="ExhibitText"/>
              <w:rPr>
                <w:b/>
                <w:lang w:val="en-GB"/>
              </w:rPr>
            </w:pPr>
            <w:r w:rsidRPr="000A6DB5">
              <w:rPr>
                <w:b/>
                <w:lang w:val="en-GB"/>
              </w:rPr>
              <w:t>Total Savoury Snacks</w:t>
            </w:r>
          </w:p>
        </w:tc>
        <w:tc>
          <w:tcPr>
            <w:tcW w:w="2158" w:type="dxa"/>
          </w:tcPr>
          <w:p w14:paraId="5B878BAC" w14:textId="77777777" w:rsidR="00022163" w:rsidRPr="000A6DB5" w:rsidRDefault="00022163" w:rsidP="0049647A">
            <w:pPr>
              <w:pStyle w:val="ExhibitText"/>
              <w:jc w:val="center"/>
              <w:rPr>
                <w:b/>
                <w:lang w:val="en-GB"/>
              </w:rPr>
            </w:pPr>
            <w:r w:rsidRPr="000A6DB5">
              <w:rPr>
                <w:b/>
                <w:lang w:val="en-GB"/>
              </w:rPr>
              <w:t>295,464.60</w:t>
            </w:r>
          </w:p>
        </w:tc>
        <w:tc>
          <w:tcPr>
            <w:tcW w:w="2165" w:type="dxa"/>
            <w:vAlign w:val="center"/>
          </w:tcPr>
          <w:p w14:paraId="7A06301B" w14:textId="77777777" w:rsidR="00022163" w:rsidRPr="000A6DB5" w:rsidRDefault="00022163" w:rsidP="00251202">
            <w:pPr>
              <w:pStyle w:val="ExhibitText"/>
              <w:jc w:val="right"/>
              <w:rPr>
                <w:b/>
                <w:lang w:val="en-GB"/>
              </w:rPr>
            </w:pPr>
          </w:p>
        </w:tc>
        <w:tc>
          <w:tcPr>
            <w:tcW w:w="2076" w:type="dxa"/>
            <w:vAlign w:val="center"/>
          </w:tcPr>
          <w:p w14:paraId="5A7067DB" w14:textId="77777777" w:rsidR="00022163" w:rsidRPr="000A6DB5" w:rsidRDefault="00022163" w:rsidP="00251202">
            <w:pPr>
              <w:pStyle w:val="ExhibitText"/>
              <w:jc w:val="right"/>
              <w:rPr>
                <w:b/>
                <w:lang w:val="en-GB"/>
              </w:rPr>
            </w:pPr>
          </w:p>
        </w:tc>
      </w:tr>
    </w:tbl>
    <w:p w14:paraId="06EB1368" w14:textId="77777777" w:rsidR="00022163" w:rsidRPr="000A6DB5" w:rsidRDefault="00022163" w:rsidP="00022163">
      <w:pPr>
        <w:jc w:val="both"/>
        <w:rPr>
          <w:rFonts w:ascii="Arial" w:hAnsi="Arial" w:cs="Arial"/>
          <w:sz w:val="18"/>
          <w:szCs w:val="18"/>
          <w:lang w:val="en-GB"/>
        </w:rPr>
      </w:pPr>
    </w:p>
    <w:p w14:paraId="49F89D73" w14:textId="3555725C" w:rsidR="00C44D35" w:rsidRPr="000A6DB5" w:rsidRDefault="00C44D35" w:rsidP="00022163">
      <w:pPr>
        <w:pStyle w:val="Footnote"/>
        <w:rPr>
          <w:lang w:val="en-GB"/>
        </w:rPr>
      </w:pPr>
      <w:r w:rsidRPr="000A6DB5">
        <w:rPr>
          <w:lang w:val="en-GB"/>
        </w:rPr>
        <w:t xml:space="preserve">Note: </w:t>
      </w:r>
      <w:r w:rsidRPr="000A6DB5">
        <w:rPr>
          <w:rStyle w:val="Emphasis"/>
          <w:bCs/>
          <w:i w:val="0"/>
          <w:iCs w:val="0"/>
          <w:shd w:val="clear" w:color="auto" w:fill="FFFFFF"/>
          <w:lang w:val="en-GB"/>
        </w:rPr>
        <w:t>₹ = INR = Indian rupee; US$1 = ₹63.8838 on September 1, 2017; CAGR = compound annual growth rate</w:t>
      </w:r>
    </w:p>
    <w:p w14:paraId="18F99D63" w14:textId="60A5DE64" w:rsidR="00022163" w:rsidRDefault="00022163" w:rsidP="00022163">
      <w:pPr>
        <w:pStyle w:val="Footnote"/>
        <w:rPr>
          <w:lang w:val="en-GB"/>
        </w:rPr>
      </w:pPr>
      <w:r w:rsidRPr="000A6DB5">
        <w:rPr>
          <w:lang w:val="en-GB"/>
        </w:rPr>
        <w:t xml:space="preserve">Source: Euromonitor International, </w:t>
      </w:r>
      <w:r w:rsidR="0072085E" w:rsidRPr="000A6DB5">
        <w:rPr>
          <w:i/>
          <w:lang w:val="en-GB"/>
        </w:rPr>
        <w:t>Savoury</w:t>
      </w:r>
      <w:r w:rsidR="00755896" w:rsidRPr="000A6DB5">
        <w:rPr>
          <w:i/>
          <w:lang w:val="en-GB"/>
        </w:rPr>
        <w:t xml:space="preserve"> </w:t>
      </w:r>
      <w:r w:rsidR="0072085E" w:rsidRPr="000A6DB5">
        <w:rPr>
          <w:i/>
          <w:lang w:val="en-GB"/>
        </w:rPr>
        <w:t>Snacks in India</w:t>
      </w:r>
      <w:r w:rsidR="00B370B9" w:rsidRPr="000A6DB5">
        <w:rPr>
          <w:lang w:val="en-GB"/>
        </w:rPr>
        <w:t>,</w:t>
      </w:r>
      <w:r w:rsidRPr="000A6DB5">
        <w:rPr>
          <w:lang w:val="en-GB"/>
        </w:rPr>
        <w:t xml:space="preserve"> 2017, accessed March 19, 2018.</w:t>
      </w:r>
    </w:p>
    <w:p w14:paraId="565196FE" w14:textId="131A60FF" w:rsidR="00081327" w:rsidRDefault="00081327" w:rsidP="00022163">
      <w:pPr>
        <w:pStyle w:val="Footnote"/>
        <w:rPr>
          <w:lang w:val="en-GB"/>
        </w:rPr>
      </w:pPr>
    </w:p>
    <w:p w14:paraId="7607DE7D" w14:textId="26EF6908" w:rsidR="00081327" w:rsidRDefault="00081327" w:rsidP="00022163">
      <w:pPr>
        <w:pStyle w:val="Footnote"/>
        <w:rPr>
          <w:lang w:val="en-GB"/>
        </w:rPr>
      </w:pPr>
    </w:p>
    <w:p w14:paraId="426070E9" w14:textId="77777777" w:rsidR="00081327" w:rsidRDefault="00081327">
      <w:pPr>
        <w:spacing w:after="200" w:line="276" w:lineRule="auto"/>
        <w:rPr>
          <w:rFonts w:ascii="Arial" w:hAnsi="Arial" w:cs="Arial"/>
          <w:b/>
          <w:caps/>
          <w:lang w:val="en-GB"/>
        </w:rPr>
      </w:pPr>
      <w:r>
        <w:rPr>
          <w:lang w:val="en-GB"/>
        </w:rPr>
        <w:br w:type="page"/>
      </w:r>
    </w:p>
    <w:p w14:paraId="2D3CCD10" w14:textId="4459C17B" w:rsidR="00081327" w:rsidRPr="000A6DB5" w:rsidRDefault="00081327" w:rsidP="00081327">
      <w:pPr>
        <w:pStyle w:val="ExhibitHeading"/>
        <w:outlineLvl w:val="0"/>
        <w:rPr>
          <w:lang w:val="en-GB"/>
        </w:rPr>
      </w:pPr>
      <w:r w:rsidRPr="000A6DB5">
        <w:rPr>
          <w:lang w:val="en-GB"/>
        </w:rPr>
        <w:lastRenderedPageBreak/>
        <w:t xml:space="preserve">EXHIBIT </w:t>
      </w:r>
      <w:r>
        <w:rPr>
          <w:lang w:val="en-GB"/>
        </w:rPr>
        <w:t>8</w:t>
      </w:r>
      <w:r w:rsidRPr="000A6DB5">
        <w:rPr>
          <w:lang w:val="en-GB"/>
        </w:rPr>
        <w:t>: COMPANY SHARE PERFORMANCE IN SAVOURY SNACKS (% SHARE RETAIL VALUE)</w:t>
      </w:r>
    </w:p>
    <w:p w14:paraId="1093A386" w14:textId="77777777" w:rsidR="00081327" w:rsidRPr="000A6DB5" w:rsidRDefault="00081327" w:rsidP="00081327">
      <w:pPr>
        <w:pStyle w:val="BodyTextMain"/>
        <w:rPr>
          <w:lang w:val="en-GB"/>
        </w:rPr>
      </w:pPr>
    </w:p>
    <w:tbl>
      <w:tblPr>
        <w:tblStyle w:val="TableGrid"/>
        <w:tblW w:w="9355" w:type="dxa"/>
        <w:jc w:val="center"/>
        <w:tblLook w:val="04A0" w:firstRow="1" w:lastRow="0" w:firstColumn="1" w:lastColumn="0" w:noHBand="0" w:noVBand="1"/>
      </w:tblPr>
      <w:tblGrid>
        <w:gridCol w:w="2665"/>
        <w:gridCol w:w="661"/>
        <w:gridCol w:w="719"/>
        <w:gridCol w:w="683"/>
        <w:gridCol w:w="661"/>
        <w:gridCol w:w="661"/>
        <w:gridCol w:w="661"/>
        <w:gridCol w:w="661"/>
        <w:gridCol w:w="661"/>
        <w:gridCol w:w="661"/>
        <w:gridCol w:w="661"/>
      </w:tblGrid>
      <w:tr w:rsidR="003776E7" w:rsidRPr="000A6DB5" w14:paraId="1F9BB16B" w14:textId="77777777" w:rsidTr="003776E7">
        <w:trPr>
          <w:jc w:val="center"/>
        </w:trPr>
        <w:tc>
          <w:tcPr>
            <w:tcW w:w="2695" w:type="dxa"/>
            <w:vAlign w:val="center"/>
          </w:tcPr>
          <w:p w14:paraId="0AF514D0" w14:textId="77777777" w:rsidR="00081327" w:rsidRPr="000A6DB5" w:rsidRDefault="00081327" w:rsidP="00081327">
            <w:pPr>
              <w:pStyle w:val="ExhibitText"/>
              <w:jc w:val="center"/>
              <w:rPr>
                <w:b/>
                <w:lang w:val="en-GB"/>
              </w:rPr>
            </w:pPr>
          </w:p>
        </w:tc>
        <w:tc>
          <w:tcPr>
            <w:tcW w:w="630" w:type="dxa"/>
            <w:vAlign w:val="center"/>
          </w:tcPr>
          <w:p w14:paraId="772C2DD3" w14:textId="77777777" w:rsidR="00081327" w:rsidRPr="000A6DB5" w:rsidRDefault="00081327" w:rsidP="00081327">
            <w:pPr>
              <w:pStyle w:val="ExhibitText"/>
              <w:jc w:val="center"/>
              <w:rPr>
                <w:b/>
                <w:lang w:val="en-GB"/>
              </w:rPr>
            </w:pPr>
            <w:r w:rsidRPr="000A6DB5">
              <w:rPr>
                <w:b/>
                <w:lang w:val="en-GB"/>
              </w:rPr>
              <w:t>2008</w:t>
            </w:r>
          </w:p>
        </w:tc>
        <w:tc>
          <w:tcPr>
            <w:tcW w:w="720" w:type="dxa"/>
            <w:vAlign w:val="center"/>
          </w:tcPr>
          <w:p w14:paraId="74E6F5AE" w14:textId="77777777" w:rsidR="00081327" w:rsidRPr="000A6DB5" w:rsidRDefault="00081327" w:rsidP="00081327">
            <w:pPr>
              <w:pStyle w:val="ExhibitText"/>
              <w:jc w:val="center"/>
              <w:rPr>
                <w:b/>
                <w:lang w:val="en-GB"/>
              </w:rPr>
            </w:pPr>
            <w:r w:rsidRPr="000A6DB5">
              <w:rPr>
                <w:b/>
                <w:lang w:val="en-GB"/>
              </w:rPr>
              <w:t>2009</w:t>
            </w:r>
          </w:p>
        </w:tc>
        <w:tc>
          <w:tcPr>
            <w:tcW w:w="683" w:type="dxa"/>
            <w:vAlign w:val="center"/>
          </w:tcPr>
          <w:p w14:paraId="5B6C0221" w14:textId="77777777" w:rsidR="00081327" w:rsidRPr="000A6DB5" w:rsidRDefault="00081327" w:rsidP="00081327">
            <w:pPr>
              <w:pStyle w:val="ExhibitText"/>
              <w:jc w:val="center"/>
              <w:rPr>
                <w:b/>
                <w:lang w:val="en-GB"/>
              </w:rPr>
            </w:pPr>
            <w:r w:rsidRPr="000A6DB5">
              <w:rPr>
                <w:b/>
                <w:lang w:val="en-GB"/>
              </w:rPr>
              <w:t>2010</w:t>
            </w:r>
          </w:p>
        </w:tc>
        <w:tc>
          <w:tcPr>
            <w:tcW w:w="661" w:type="dxa"/>
            <w:vAlign w:val="center"/>
          </w:tcPr>
          <w:p w14:paraId="599A97CF" w14:textId="77777777" w:rsidR="00081327" w:rsidRPr="000A6DB5" w:rsidRDefault="00081327" w:rsidP="00081327">
            <w:pPr>
              <w:pStyle w:val="ExhibitText"/>
              <w:jc w:val="center"/>
              <w:rPr>
                <w:b/>
                <w:lang w:val="en-GB"/>
              </w:rPr>
            </w:pPr>
            <w:r w:rsidRPr="000A6DB5">
              <w:rPr>
                <w:b/>
                <w:lang w:val="en-GB"/>
              </w:rPr>
              <w:t>2011</w:t>
            </w:r>
          </w:p>
        </w:tc>
        <w:tc>
          <w:tcPr>
            <w:tcW w:w="661" w:type="dxa"/>
            <w:vAlign w:val="center"/>
          </w:tcPr>
          <w:p w14:paraId="1ABEC8A7" w14:textId="77777777" w:rsidR="00081327" w:rsidRPr="000A6DB5" w:rsidRDefault="00081327" w:rsidP="00081327">
            <w:pPr>
              <w:pStyle w:val="ExhibitText"/>
              <w:jc w:val="center"/>
              <w:rPr>
                <w:b/>
                <w:lang w:val="en-GB"/>
              </w:rPr>
            </w:pPr>
            <w:r w:rsidRPr="000A6DB5">
              <w:rPr>
                <w:b/>
                <w:lang w:val="en-GB"/>
              </w:rPr>
              <w:t>2012</w:t>
            </w:r>
          </w:p>
        </w:tc>
        <w:tc>
          <w:tcPr>
            <w:tcW w:w="661" w:type="dxa"/>
            <w:vAlign w:val="center"/>
          </w:tcPr>
          <w:p w14:paraId="24246A17" w14:textId="77777777" w:rsidR="00081327" w:rsidRPr="000A6DB5" w:rsidRDefault="00081327" w:rsidP="00081327">
            <w:pPr>
              <w:pStyle w:val="ExhibitText"/>
              <w:jc w:val="center"/>
              <w:rPr>
                <w:b/>
                <w:lang w:val="en-GB"/>
              </w:rPr>
            </w:pPr>
            <w:r w:rsidRPr="000A6DB5">
              <w:rPr>
                <w:b/>
                <w:lang w:val="en-GB"/>
              </w:rPr>
              <w:t>2013</w:t>
            </w:r>
          </w:p>
        </w:tc>
        <w:tc>
          <w:tcPr>
            <w:tcW w:w="661" w:type="dxa"/>
            <w:vAlign w:val="center"/>
          </w:tcPr>
          <w:p w14:paraId="2406A968" w14:textId="77777777" w:rsidR="00081327" w:rsidRPr="000A6DB5" w:rsidRDefault="00081327" w:rsidP="00081327">
            <w:pPr>
              <w:pStyle w:val="ExhibitText"/>
              <w:jc w:val="center"/>
              <w:rPr>
                <w:b/>
                <w:lang w:val="en-GB"/>
              </w:rPr>
            </w:pPr>
            <w:r w:rsidRPr="000A6DB5">
              <w:rPr>
                <w:b/>
                <w:lang w:val="en-GB"/>
              </w:rPr>
              <w:t>2014</w:t>
            </w:r>
          </w:p>
        </w:tc>
        <w:tc>
          <w:tcPr>
            <w:tcW w:w="661" w:type="dxa"/>
            <w:vAlign w:val="center"/>
          </w:tcPr>
          <w:p w14:paraId="2E9DC556" w14:textId="77777777" w:rsidR="00081327" w:rsidRPr="000A6DB5" w:rsidRDefault="00081327" w:rsidP="00081327">
            <w:pPr>
              <w:pStyle w:val="ExhibitText"/>
              <w:jc w:val="center"/>
              <w:rPr>
                <w:b/>
                <w:lang w:val="en-GB"/>
              </w:rPr>
            </w:pPr>
            <w:r w:rsidRPr="000A6DB5">
              <w:rPr>
                <w:b/>
                <w:lang w:val="en-GB"/>
              </w:rPr>
              <w:t>2015</w:t>
            </w:r>
          </w:p>
        </w:tc>
        <w:tc>
          <w:tcPr>
            <w:tcW w:w="661" w:type="dxa"/>
            <w:vAlign w:val="center"/>
          </w:tcPr>
          <w:p w14:paraId="75A843D0" w14:textId="77777777" w:rsidR="00081327" w:rsidRPr="000A6DB5" w:rsidRDefault="00081327" w:rsidP="00081327">
            <w:pPr>
              <w:pStyle w:val="ExhibitText"/>
              <w:jc w:val="center"/>
              <w:rPr>
                <w:b/>
                <w:lang w:val="en-GB"/>
              </w:rPr>
            </w:pPr>
            <w:r w:rsidRPr="000A6DB5">
              <w:rPr>
                <w:b/>
                <w:lang w:val="en-GB"/>
              </w:rPr>
              <w:t>2016</w:t>
            </w:r>
          </w:p>
        </w:tc>
        <w:tc>
          <w:tcPr>
            <w:tcW w:w="661" w:type="dxa"/>
            <w:vAlign w:val="center"/>
          </w:tcPr>
          <w:p w14:paraId="533E7F04" w14:textId="77777777" w:rsidR="00081327" w:rsidRPr="000A6DB5" w:rsidRDefault="00081327" w:rsidP="00081327">
            <w:pPr>
              <w:pStyle w:val="ExhibitText"/>
              <w:jc w:val="center"/>
              <w:rPr>
                <w:b/>
                <w:lang w:val="en-GB"/>
              </w:rPr>
            </w:pPr>
            <w:r w:rsidRPr="000A6DB5">
              <w:rPr>
                <w:b/>
                <w:lang w:val="en-GB"/>
              </w:rPr>
              <w:t>2017</w:t>
            </w:r>
          </w:p>
        </w:tc>
      </w:tr>
      <w:tr w:rsidR="003776E7" w:rsidRPr="000A6DB5" w14:paraId="6C98CF01" w14:textId="77777777" w:rsidTr="003776E7">
        <w:trPr>
          <w:trHeight w:val="305"/>
          <w:jc w:val="center"/>
        </w:trPr>
        <w:tc>
          <w:tcPr>
            <w:tcW w:w="2695" w:type="dxa"/>
            <w:vAlign w:val="center"/>
          </w:tcPr>
          <w:p w14:paraId="32F21E1A" w14:textId="77777777" w:rsidR="00081327" w:rsidRPr="000A6DB5" w:rsidRDefault="00081327" w:rsidP="00394F79">
            <w:pPr>
              <w:pStyle w:val="ExhibitText"/>
              <w:jc w:val="left"/>
              <w:rPr>
                <w:lang w:val="en-GB"/>
              </w:rPr>
            </w:pPr>
            <w:r w:rsidRPr="000A6DB5">
              <w:rPr>
                <w:lang w:val="en-GB"/>
              </w:rPr>
              <w:t>Haldiram’s Food International Ltd.</w:t>
            </w:r>
          </w:p>
        </w:tc>
        <w:tc>
          <w:tcPr>
            <w:tcW w:w="630" w:type="dxa"/>
            <w:vAlign w:val="center"/>
          </w:tcPr>
          <w:p w14:paraId="0D79A92F" w14:textId="77777777" w:rsidR="00081327" w:rsidRPr="000A6DB5" w:rsidRDefault="00081327" w:rsidP="00081327">
            <w:pPr>
              <w:pStyle w:val="ExhibitText"/>
              <w:jc w:val="right"/>
              <w:rPr>
                <w:lang w:val="en-GB"/>
              </w:rPr>
            </w:pPr>
            <w:r w:rsidRPr="000A6DB5">
              <w:rPr>
                <w:lang w:val="en-GB"/>
              </w:rPr>
              <w:t>14.3</w:t>
            </w:r>
          </w:p>
        </w:tc>
        <w:tc>
          <w:tcPr>
            <w:tcW w:w="720" w:type="dxa"/>
            <w:vAlign w:val="center"/>
          </w:tcPr>
          <w:p w14:paraId="0F5C2C78" w14:textId="5C429B12" w:rsidR="00081327" w:rsidRPr="000A6DB5" w:rsidRDefault="00081327" w:rsidP="00081327">
            <w:pPr>
              <w:pStyle w:val="ExhibitText"/>
              <w:jc w:val="right"/>
              <w:rPr>
                <w:lang w:val="en-GB"/>
              </w:rPr>
            </w:pPr>
            <w:r w:rsidRPr="000A6DB5">
              <w:rPr>
                <w:lang w:val="en-GB"/>
              </w:rPr>
              <w:t>17</w:t>
            </w:r>
            <w:r w:rsidR="002023F8">
              <w:rPr>
                <w:lang w:val="en-GB"/>
              </w:rPr>
              <w:t>.0</w:t>
            </w:r>
          </w:p>
        </w:tc>
        <w:tc>
          <w:tcPr>
            <w:tcW w:w="683" w:type="dxa"/>
            <w:vAlign w:val="center"/>
          </w:tcPr>
          <w:p w14:paraId="5E22BA81" w14:textId="77777777" w:rsidR="00081327" w:rsidRPr="000A6DB5" w:rsidRDefault="00081327" w:rsidP="00081327">
            <w:pPr>
              <w:pStyle w:val="ExhibitText"/>
              <w:jc w:val="right"/>
              <w:rPr>
                <w:lang w:val="en-GB"/>
              </w:rPr>
            </w:pPr>
            <w:r w:rsidRPr="000A6DB5">
              <w:rPr>
                <w:lang w:val="en-GB"/>
              </w:rPr>
              <w:t>17.3</w:t>
            </w:r>
          </w:p>
        </w:tc>
        <w:tc>
          <w:tcPr>
            <w:tcW w:w="661" w:type="dxa"/>
            <w:vAlign w:val="center"/>
          </w:tcPr>
          <w:p w14:paraId="7559C891" w14:textId="77777777" w:rsidR="00081327" w:rsidRPr="000A6DB5" w:rsidRDefault="00081327" w:rsidP="00081327">
            <w:pPr>
              <w:pStyle w:val="ExhibitText"/>
              <w:jc w:val="right"/>
              <w:rPr>
                <w:lang w:val="en-GB"/>
              </w:rPr>
            </w:pPr>
            <w:r w:rsidRPr="000A6DB5">
              <w:rPr>
                <w:lang w:val="en-GB"/>
              </w:rPr>
              <w:t>16.6</w:t>
            </w:r>
          </w:p>
        </w:tc>
        <w:tc>
          <w:tcPr>
            <w:tcW w:w="661" w:type="dxa"/>
            <w:vAlign w:val="center"/>
          </w:tcPr>
          <w:p w14:paraId="10705D7D" w14:textId="77777777" w:rsidR="00081327" w:rsidRPr="000A6DB5" w:rsidRDefault="00081327" w:rsidP="00081327">
            <w:pPr>
              <w:pStyle w:val="ExhibitText"/>
              <w:jc w:val="right"/>
              <w:rPr>
                <w:lang w:val="en-GB"/>
              </w:rPr>
            </w:pPr>
            <w:r w:rsidRPr="000A6DB5">
              <w:rPr>
                <w:lang w:val="en-GB"/>
              </w:rPr>
              <w:t>15.9</w:t>
            </w:r>
          </w:p>
        </w:tc>
        <w:tc>
          <w:tcPr>
            <w:tcW w:w="661" w:type="dxa"/>
            <w:vAlign w:val="center"/>
          </w:tcPr>
          <w:p w14:paraId="41BF2CCC" w14:textId="77777777" w:rsidR="00081327" w:rsidRPr="000A6DB5" w:rsidRDefault="00081327" w:rsidP="00081327">
            <w:pPr>
              <w:pStyle w:val="ExhibitText"/>
              <w:jc w:val="right"/>
              <w:rPr>
                <w:lang w:val="en-GB"/>
              </w:rPr>
            </w:pPr>
            <w:r w:rsidRPr="000A6DB5">
              <w:rPr>
                <w:lang w:val="en-GB"/>
              </w:rPr>
              <w:t>15</w:t>
            </w:r>
          </w:p>
        </w:tc>
        <w:tc>
          <w:tcPr>
            <w:tcW w:w="661" w:type="dxa"/>
            <w:vAlign w:val="center"/>
          </w:tcPr>
          <w:p w14:paraId="5E266447" w14:textId="77777777" w:rsidR="00081327" w:rsidRPr="000A6DB5" w:rsidRDefault="00081327" w:rsidP="00081327">
            <w:pPr>
              <w:pStyle w:val="ExhibitText"/>
              <w:jc w:val="right"/>
              <w:rPr>
                <w:lang w:val="en-GB"/>
              </w:rPr>
            </w:pPr>
            <w:r w:rsidRPr="000A6DB5">
              <w:rPr>
                <w:lang w:val="en-GB"/>
              </w:rPr>
              <w:t>13.9</w:t>
            </w:r>
          </w:p>
        </w:tc>
        <w:tc>
          <w:tcPr>
            <w:tcW w:w="661" w:type="dxa"/>
            <w:vAlign w:val="center"/>
          </w:tcPr>
          <w:p w14:paraId="01E1CD4A" w14:textId="77777777" w:rsidR="00081327" w:rsidRPr="000A6DB5" w:rsidRDefault="00081327" w:rsidP="00081327">
            <w:pPr>
              <w:pStyle w:val="ExhibitText"/>
              <w:jc w:val="right"/>
              <w:rPr>
                <w:lang w:val="en-GB"/>
              </w:rPr>
            </w:pPr>
            <w:r w:rsidRPr="000A6DB5">
              <w:rPr>
                <w:lang w:val="en-GB"/>
              </w:rPr>
              <w:t>12.8</w:t>
            </w:r>
          </w:p>
        </w:tc>
        <w:tc>
          <w:tcPr>
            <w:tcW w:w="661" w:type="dxa"/>
            <w:vAlign w:val="center"/>
          </w:tcPr>
          <w:p w14:paraId="4E8D4D06" w14:textId="77777777" w:rsidR="00081327" w:rsidRPr="000A6DB5" w:rsidRDefault="00081327" w:rsidP="00081327">
            <w:pPr>
              <w:pStyle w:val="ExhibitText"/>
              <w:jc w:val="right"/>
              <w:rPr>
                <w:lang w:val="en-GB"/>
              </w:rPr>
            </w:pPr>
            <w:r w:rsidRPr="000A6DB5">
              <w:rPr>
                <w:lang w:val="en-GB"/>
              </w:rPr>
              <w:t>11.8</w:t>
            </w:r>
          </w:p>
        </w:tc>
        <w:tc>
          <w:tcPr>
            <w:tcW w:w="661" w:type="dxa"/>
            <w:vAlign w:val="center"/>
          </w:tcPr>
          <w:p w14:paraId="1DD0C16A" w14:textId="77777777" w:rsidR="00081327" w:rsidRPr="000A6DB5" w:rsidRDefault="00081327" w:rsidP="00081327">
            <w:pPr>
              <w:pStyle w:val="ExhibitText"/>
              <w:jc w:val="right"/>
              <w:rPr>
                <w:lang w:val="en-GB"/>
              </w:rPr>
            </w:pPr>
            <w:r w:rsidRPr="000A6DB5">
              <w:rPr>
                <w:lang w:val="en-GB"/>
              </w:rPr>
              <w:t>11.7</w:t>
            </w:r>
          </w:p>
        </w:tc>
      </w:tr>
      <w:tr w:rsidR="003776E7" w:rsidRPr="000A6DB5" w14:paraId="365B6637" w14:textId="77777777" w:rsidTr="003776E7">
        <w:trPr>
          <w:jc w:val="center"/>
        </w:trPr>
        <w:tc>
          <w:tcPr>
            <w:tcW w:w="2695" w:type="dxa"/>
            <w:vAlign w:val="center"/>
          </w:tcPr>
          <w:p w14:paraId="3D4A4EDA" w14:textId="77777777" w:rsidR="00081327" w:rsidRPr="000A6DB5" w:rsidRDefault="00081327" w:rsidP="00394F79">
            <w:pPr>
              <w:pStyle w:val="ExhibitText"/>
              <w:jc w:val="left"/>
              <w:rPr>
                <w:lang w:val="en-GB"/>
              </w:rPr>
            </w:pPr>
            <w:r w:rsidRPr="000A6DB5">
              <w:rPr>
                <w:lang w:val="en-GB"/>
              </w:rPr>
              <w:t>PepsiCo India Ltd.</w:t>
            </w:r>
          </w:p>
        </w:tc>
        <w:tc>
          <w:tcPr>
            <w:tcW w:w="630" w:type="dxa"/>
            <w:vAlign w:val="center"/>
          </w:tcPr>
          <w:p w14:paraId="66BFD3D7" w14:textId="77777777" w:rsidR="00081327" w:rsidRPr="000A6DB5" w:rsidRDefault="00081327" w:rsidP="00081327">
            <w:pPr>
              <w:pStyle w:val="ExhibitText"/>
              <w:jc w:val="right"/>
              <w:rPr>
                <w:lang w:val="en-GB"/>
              </w:rPr>
            </w:pPr>
            <w:r w:rsidRPr="000A6DB5">
              <w:rPr>
                <w:lang w:val="en-GB"/>
              </w:rPr>
              <w:t>-</w:t>
            </w:r>
          </w:p>
        </w:tc>
        <w:tc>
          <w:tcPr>
            <w:tcW w:w="720" w:type="dxa"/>
            <w:vAlign w:val="center"/>
          </w:tcPr>
          <w:p w14:paraId="682EC65B" w14:textId="77777777" w:rsidR="00081327" w:rsidRPr="000A6DB5" w:rsidRDefault="00081327" w:rsidP="00081327">
            <w:pPr>
              <w:pStyle w:val="ExhibitText"/>
              <w:jc w:val="right"/>
              <w:rPr>
                <w:lang w:val="en-GB"/>
              </w:rPr>
            </w:pPr>
            <w:r w:rsidRPr="000A6DB5">
              <w:rPr>
                <w:lang w:val="en-GB"/>
              </w:rPr>
              <w:t>-</w:t>
            </w:r>
          </w:p>
        </w:tc>
        <w:tc>
          <w:tcPr>
            <w:tcW w:w="683" w:type="dxa"/>
            <w:vAlign w:val="center"/>
          </w:tcPr>
          <w:p w14:paraId="657C766F" w14:textId="77777777" w:rsidR="00081327" w:rsidRPr="000A6DB5" w:rsidRDefault="00081327" w:rsidP="00081327">
            <w:pPr>
              <w:pStyle w:val="ExhibitText"/>
              <w:jc w:val="right"/>
              <w:rPr>
                <w:lang w:val="en-GB"/>
              </w:rPr>
            </w:pPr>
            <w:r w:rsidRPr="000A6DB5">
              <w:rPr>
                <w:lang w:val="en-GB"/>
              </w:rPr>
              <w:t>-</w:t>
            </w:r>
          </w:p>
        </w:tc>
        <w:tc>
          <w:tcPr>
            <w:tcW w:w="661" w:type="dxa"/>
            <w:vAlign w:val="center"/>
          </w:tcPr>
          <w:p w14:paraId="72D8774F" w14:textId="77777777" w:rsidR="00081327" w:rsidRPr="000A6DB5" w:rsidRDefault="00081327" w:rsidP="00081327">
            <w:pPr>
              <w:pStyle w:val="ExhibitText"/>
              <w:jc w:val="right"/>
              <w:rPr>
                <w:lang w:val="en-GB"/>
              </w:rPr>
            </w:pPr>
            <w:r w:rsidRPr="000A6DB5">
              <w:rPr>
                <w:lang w:val="en-GB"/>
              </w:rPr>
              <w:t>15.9</w:t>
            </w:r>
          </w:p>
        </w:tc>
        <w:tc>
          <w:tcPr>
            <w:tcW w:w="661" w:type="dxa"/>
            <w:vAlign w:val="center"/>
          </w:tcPr>
          <w:p w14:paraId="7565FC9E" w14:textId="77777777" w:rsidR="00081327" w:rsidRPr="000A6DB5" w:rsidRDefault="00081327" w:rsidP="00081327">
            <w:pPr>
              <w:pStyle w:val="ExhibitText"/>
              <w:jc w:val="right"/>
              <w:rPr>
                <w:lang w:val="en-GB"/>
              </w:rPr>
            </w:pPr>
            <w:r w:rsidRPr="000A6DB5">
              <w:rPr>
                <w:lang w:val="en-GB"/>
              </w:rPr>
              <w:t>14.8</w:t>
            </w:r>
          </w:p>
        </w:tc>
        <w:tc>
          <w:tcPr>
            <w:tcW w:w="661" w:type="dxa"/>
            <w:vAlign w:val="center"/>
          </w:tcPr>
          <w:p w14:paraId="64994164" w14:textId="77777777" w:rsidR="00081327" w:rsidRPr="000A6DB5" w:rsidRDefault="00081327" w:rsidP="00081327">
            <w:pPr>
              <w:pStyle w:val="ExhibitText"/>
              <w:jc w:val="right"/>
              <w:rPr>
                <w:lang w:val="en-GB"/>
              </w:rPr>
            </w:pPr>
            <w:r w:rsidRPr="000A6DB5">
              <w:rPr>
                <w:lang w:val="en-GB"/>
              </w:rPr>
              <w:t>14.1</w:t>
            </w:r>
          </w:p>
        </w:tc>
        <w:tc>
          <w:tcPr>
            <w:tcW w:w="661" w:type="dxa"/>
            <w:vAlign w:val="center"/>
          </w:tcPr>
          <w:p w14:paraId="666E8D3D" w14:textId="77777777" w:rsidR="00081327" w:rsidRPr="000A6DB5" w:rsidRDefault="00081327" w:rsidP="00081327">
            <w:pPr>
              <w:pStyle w:val="ExhibitText"/>
              <w:jc w:val="right"/>
              <w:rPr>
                <w:lang w:val="en-GB"/>
              </w:rPr>
            </w:pPr>
            <w:r w:rsidRPr="000A6DB5">
              <w:rPr>
                <w:lang w:val="en-GB"/>
              </w:rPr>
              <w:t>12.6</w:t>
            </w:r>
          </w:p>
        </w:tc>
        <w:tc>
          <w:tcPr>
            <w:tcW w:w="661" w:type="dxa"/>
            <w:vAlign w:val="center"/>
          </w:tcPr>
          <w:p w14:paraId="3A2D5D4A" w14:textId="77777777" w:rsidR="00081327" w:rsidRPr="000A6DB5" w:rsidRDefault="00081327" w:rsidP="00081327">
            <w:pPr>
              <w:pStyle w:val="ExhibitText"/>
              <w:jc w:val="right"/>
              <w:rPr>
                <w:lang w:val="en-GB"/>
              </w:rPr>
            </w:pPr>
            <w:r w:rsidRPr="000A6DB5">
              <w:rPr>
                <w:lang w:val="en-GB"/>
              </w:rPr>
              <w:t>11.2</w:t>
            </w:r>
          </w:p>
        </w:tc>
        <w:tc>
          <w:tcPr>
            <w:tcW w:w="661" w:type="dxa"/>
            <w:vAlign w:val="center"/>
          </w:tcPr>
          <w:p w14:paraId="7960AA95" w14:textId="77777777" w:rsidR="00081327" w:rsidRPr="000A6DB5" w:rsidRDefault="00081327" w:rsidP="00081327">
            <w:pPr>
              <w:pStyle w:val="ExhibitText"/>
              <w:jc w:val="right"/>
              <w:rPr>
                <w:lang w:val="en-GB"/>
              </w:rPr>
            </w:pPr>
            <w:r w:rsidRPr="000A6DB5">
              <w:rPr>
                <w:lang w:val="en-GB"/>
              </w:rPr>
              <w:t>9.5</w:t>
            </w:r>
          </w:p>
        </w:tc>
        <w:tc>
          <w:tcPr>
            <w:tcW w:w="661" w:type="dxa"/>
            <w:vAlign w:val="center"/>
          </w:tcPr>
          <w:p w14:paraId="0C7D1A02" w14:textId="77777777" w:rsidR="00081327" w:rsidRPr="000A6DB5" w:rsidRDefault="00081327" w:rsidP="00081327">
            <w:pPr>
              <w:pStyle w:val="ExhibitText"/>
              <w:jc w:val="right"/>
              <w:rPr>
                <w:lang w:val="en-GB"/>
              </w:rPr>
            </w:pPr>
            <w:r w:rsidRPr="000A6DB5">
              <w:rPr>
                <w:lang w:val="en-GB"/>
              </w:rPr>
              <w:t>8.1</w:t>
            </w:r>
          </w:p>
        </w:tc>
      </w:tr>
      <w:tr w:rsidR="003776E7" w:rsidRPr="000A6DB5" w14:paraId="43898371" w14:textId="77777777" w:rsidTr="003776E7">
        <w:trPr>
          <w:jc w:val="center"/>
        </w:trPr>
        <w:tc>
          <w:tcPr>
            <w:tcW w:w="2695" w:type="dxa"/>
            <w:vAlign w:val="center"/>
          </w:tcPr>
          <w:p w14:paraId="6B6D1B41" w14:textId="77777777" w:rsidR="00081327" w:rsidRPr="000A6DB5" w:rsidRDefault="00081327" w:rsidP="00394F79">
            <w:pPr>
              <w:pStyle w:val="ExhibitText"/>
              <w:jc w:val="left"/>
              <w:rPr>
                <w:lang w:val="en-GB"/>
              </w:rPr>
            </w:pPr>
            <w:r w:rsidRPr="000A6DB5">
              <w:rPr>
                <w:lang w:val="en-GB"/>
              </w:rPr>
              <w:t>Balaji Wafers Pvt. Ltd.</w:t>
            </w:r>
          </w:p>
        </w:tc>
        <w:tc>
          <w:tcPr>
            <w:tcW w:w="630" w:type="dxa"/>
            <w:vAlign w:val="center"/>
          </w:tcPr>
          <w:p w14:paraId="53BB6D32" w14:textId="3D5CE2F2" w:rsidR="00081327" w:rsidRPr="000A6DB5" w:rsidRDefault="00081327" w:rsidP="002023F8">
            <w:pPr>
              <w:pStyle w:val="ExhibitText"/>
              <w:jc w:val="right"/>
              <w:rPr>
                <w:lang w:val="en-GB"/>
              </w:rPr>
            </w:pPr>
            <w:r w:rsidRPr="000A6DB5">
              <w:rPr>
                <w:lang w:val="en-GB"/>
              </w:rPr>
              <w:t>8</w:t>
            </w:r>
            <w:r w:rsidR="002023F8">
              <w:rPr>
                <w:lang w:val="en-GB"/>
              </w:rPr>
              <w:t>.0</w:t>
            </w:r>
          </w:p>
        </w:tc>
        <w:tc>
          <w:tcPr>
            <w:tcW w:w="720" w:type="dxa"/>
            <w:vAlign w:val="center"/>
          </w:tcPr>
          <w:p w14:paraId="5858F63F" w14:textId="77777777" w:rsidR="00081327" w:rsidRPr="000A6DB5" w:rsidRDefault="00081327" w:rsidP="00081327">
            <w:pPr>
              <w:pStyle w:val="ExhibitText"/>
              <w:jc w:val="right"/>
              <w:rPr>
                <w:lang w:val="en-GB"/>
              </w:rPr>
            </w:pPr>
            <w:r w:rsidRPr="000A6DB5">
              <w:rPr>
                <w:lang w:val="en-GB"/>
              </w:rPr>
              <w:t>7.9</w:t>
            </w:r>
          </w:p>
        </w:tc>
        <w:tc>
          <w:tcPr>
            <w:tcW w:w="683" w:type="dxa"/>
            <w:vAlign w:val="center"/>
          </w:tcPr>
          <w:p w14:paraId="67EBBBFB" w14:textId="77777777" w:rsidR="00081327" w:rsidRPr="000A6DB5" w:rsidRDefault="00081327" w:rsidP="00081327">
            <w:pPr>
              <w:pStyle w:val="ExhibitText"/>
              <w:jc w:val="right"/>
              <w:rPr>
                <w:lang w:val="en-GB"/>
              </w:rPr>
            </w:pPr>
            <w:r w:rsidRPr="000A6DB5">
              <w:rPr>
                <w:lang w:val="en-GB"/>
              </w:rPr>
              <w:t>8.3</w:t>
            </w:r>
          </w:p>
        </w:tc>
        <w:tc>
          <w:tcPr>
            <w:tcW w:w="661" w:type="dxa"/>
            <w:vAlign w:val="center"/>
          </w:tcPr>
          <w:p w14:paraId="59977801" w14:textId="77777777" w:rsidR="00081327" w:rsidRPr="000A6DB5" w:rsidRDefault="00081327" w:rsidP="00081327">
            <w:pPr>
              <w:pStyle w:val="ExhibitText"/>
              <w:jc w:val="right"/>
              <w:rPr>
                <w:lang w:val="en-GB"/>
              </w:rPr>
            </w:pPr>
            <w:r w:rsidRPr="000A6DB5">
              <w:rPr>
                <w:lang w:val="en-GB"/>
              </w:rPr>
              <w:t>8.5</w:t>
            </w:r>
          </w:p>
        </w:tc>
        <w:tc>
          <w:tcPr>
            <w:tcW w:w="661" w:type="dxa"/>
            <w:vAlign w:val="center"/>
          </w:tcPr>
          <w:p w14:paraId="22E3A6D1" w14:textId="77777777" w:rsidR="00081327" w:rsidRPr="000A6DB5" w:rsidRDefault="00081327" w:rsidP="00081327">
            <w:pPr>
              <w:pStyle w:val="ExhibitText"/>
              <w:jc w:val="right"/>
              <w:rPr>
                <w:lang w:val="en-GB"/>
              </w:rPr>
            </w:pPr>
            <w:r w:rsidRPr="000A6DB5">
              <w:rPr>
                <w:lang w:val="en-GB"/>
              </w:rPr>
              <w:t>8.4</w:t>
            </w:r>
          </w:p>
        </w:tc>
        <w:tc>
          <w:tcPr>
            <w:tcW w:w="661" w:type="dxa"/>
            <w:vAlign w:val="center"/>
          </w:tcPr>
          <w:p w14:paraId="12835B59" w14:textId="77777777" w:rsidR="00081327" w:rsidRPr="000A6DB5" w:rsidRDefault="00081327" w:rsidP="00081327">
            <w:pPr>
              <w:pStyle w:val="ExhibitText"/>
              <w:jc w:val="right"/>
              <w:rPr>
                <w:lang w:val="en-GB"/>
              </w:rPr>
            </w:pPr>
            <w:r w:rsidRPr="000A6DB5">
              <w:rPr>
                <w:lang w:val="en-GB"/>
              </w:rPr>
              <w:t>8.1</w:t>
            </w:r>
          </w:p>
        </w:tc>
        <w:tc>
          <w:tcPr>
            <w:tcW w:w="661" w:type="dxa"/>
            <w:vAlign w:val="center"/>
          </w:tcPr>
          <w:p w14:paraId="54541A61" w14:textId="77777777" w:rsidR="00081327" w:rsidRPr="000A6DB5" w:rsidRDefault="00081327" w:rsidP="00081327">
            <w:pPr>
              <w:pStyle w:val="ExhibitText"/>
              <w:jc w:val="right"/>
              <w:rPr>
                <w:lang w:val="en-GB"/>
              </w:rPr>
            </w:pPr>
            <w:r w:rsidRPr="000A6DB5">
              <w:rPr>
                <w:lang w:val="en-GB"/>
              </w:rPr>
              <w:t>7.8</w:t>
            </w:r>
          </w:p>
        </w:tc>
        <w:tc>
          <w:tcPr>
            <w:tcW w:w="661" w:type="dxa"/>
            <w:vAlign w:val="center"/>
          </w:tcPr>
          <w:p w14:paraId="3984EC28" w14:textId="77777777" w:rsidR="00081327" w:rsidRPr="000A6DB5" w:rsidRDefault="00081327" w:rsidP="00081327">
            <w:pPr>
              <w:pStyle w:val="ExhibitText"/>
              <w:jc w:val="right"/>
              <w:rPr>
                <w:lang w:val="en-GB"/>
              </w:rPr>
            </w:pPr>
            <w:r w:rsidRPr="000A6DB5">
              <w:rPr>
                <w:lang w:val="en-GB"/>
              </w:rPr>
              <w:t>7.3</w:t>
            </w:r>
          </w:p>
        </w:tc>
        <w:tc>
          <w:tcPr>
            <w:tcW w:w="661" w:type="dxa"/>
            <w:vAlign w:val="center"/>
          </w:tcPr>
          <w:p w14:paraId="3B648A1B" w14:textId="77777777" w:rsidR="00081327" w:rsidRPr="000A6DB5" w:rsidRDefault="00081327" w:rsidP="00081327">
            <w:pPr>
              <w:pStyle w:val="ExhibitText"/>
              <w:jc w:val="right"/>
              <w:rPr>
                <w:lang w:val="en-GB"/>
              </w:rPr>
            </w:pPr>
            <w:r w:rsidRPr="000A6DB5">
              <w:rPr>
                <w:lang w:val="en-GB"/>
              </w:rPr>
              <w:t>6.8</w:t>
            </w:r>
          </w:p>
        </w:tc>
        <w:tc>
          <w:tcPr>
            <w:tcW w:w="661" w:type="dxa"/>
            <w:vAlign w:val="center"/>
          </w:tcPr>
          <w:p w14:paraId="1B1303E7" w14:textId="77777777" w:rsidR="00081327" w:rsidRPr="000A6DB5" w:rsidRDefault="00081327" w:rsidP="00081327">
            <w:pPr>
              <w:pStyle w:val="ExhibitText"/>
              <w:jc w:val="right"/>
              <w:rPr>
                <w:lang w:val="en-GB"/>
              </w:rPr>
            </w:pPr>
            <w:r w:rsidRPr="000A6DB5">
              <w:rPr>
                <w:lang w:val="en-GB"/>
              </w:rPr>
              <w:t>6.8</w:t>
            </w:r>
          </w:p>
        </w:tc>
      </w:tr>
      <w:tr w:rsidR="003776E7" w:rsidRPr="000A6DB5" w14:paraId="55515391" w14:textId="77777777" w:rsidTr="003776E7">
        <w:trPr>
          <w:jc w:val="center"/>
        </w:trPr>
        <w:tc>
          <w:tcPr>
            <w:tcW w:w="2695" w:type="dxa"/>
            <w:vAlign w:val="center"/>
          </w:tcPr>
          <w:p w14:paraId="0D846DAE" w14:textId="77777777" w:rsidR="00081327" w:rsidRPr="000A6DB5" w:rsidRDefault="00081327" w:rsidP="00394F79">
            <w:pPr>
              <w:pStyle w:val="ExhibitText"/>
              <w:jc w:val="left"/>
              <w:rPr>
                <w:lang w:val="en-GB"/>
              </w:rPr>
            </w:pPr>
            <w:r w:rsidRPr="000A6DB5">
              <w:rPr>
                <w:lang w:val="en-GB"/>
              </w:rPr>
              <w:t>ITC Ltd.</w:t>
            </w:r>
          </w:p>
        </w:tc>
        <w:tc>
          <w:tcPr>
            <w:tcW w:w="630" w:type="dxa"/>
            <w:vAlign w:val="center"/>
          </w:tcPr>
          <w:p w14:paraId="2C7067B5" w14:textId="77777777" w:rsidR="00081327" w:rsidRPr="000A6DB5" w:rsidRDefault="00081327" w:rsidP="00081327">
            <w:pPr>
              <w:pStyle w:val="ExhibitText"/>
              <w:jc w:val="right"/>
              <w:rPr>
                <w:lang w:val="en-GB"/>
              </w:rPr>
            </w:pPr>
            <w:r w:rsidRPr="000A6DB5">
              <w:rPr>
                <w:lang w:val="en-GB"/>
              </w:rPr>
              <w:t>5.5</w:t>
            </w:r>
          </w:p>
        </w:tc>
        <w:tc>
          <w:tcPr>
            <w:tcW w:w="720" w:type="dxa"/>
            <w:vAlign w:val="center"/>
          </w:tcPr>
          <w:p w14:paraId="6F4746C5" w14:textId="77777777" w:rsidR="00081327" w:rsidRPr="000A6DB5" w:rsidRDefault="00081327" w:rsidP="00081327">
            <w:pPr>
              <w:pStyle w:val="ExhibitText"/>
              <w:jc w:val="right"/>
              <w:rPr>
                <w:lang w:val="en-GB"/>
              </w:rPr>
            </w:pPr>
            <w:r w:rsidRPr="000A6DB5">
              <w:rPr>
                <w:lang w:val="en-GB"/>
              </w:rPr>
              <w:t>6.2</w:t>
            </w:r>
          </w:p>
        </w:tc>
        <w:tc>
          <w:tcPr>
            <w:tcW w:w="683" w:type="dxa"/>
            <w:vAlign w:val="center"/>
          </w:tcPr>
          <w:p w14:paraId="1C72E05D" w14:textId="77777777" w:rsidR="00081327" w:rsidRPr="000A6DB5" w:rsidRDefault="00081327" w:rsidP="00081327">
            <w:pPr>
              <w:pStyle w:val="ExhibitText"/>
              <w:jc w:val="right"/>
              <w:rPr>
                <w:lang w:val="en-GB"/>
              </w:rPr>
            </w:pPr>
            <w:r w:rsidRPr="000A6DB5">
              <w:rPr>
                <w:lang w:val="en-GB"/>
              </w:rPr>
              <w:t>6.2</w:t>
            </w:r>
          </w:p>
        </w:tc>
        <w:tc>
          <w:tcPr>
            <w:tcW w:w="661" w:type="dxa"/>
            <w:vAlign w:val="center"/>
          </w:tcPr>
          <w:p w14:paraId="7E161FBB" w14:textId="77777777" w:rsidR="00081327" w:rsidRPr="000A6DB5" w:rsidRDefault="00081327" w:rsidP="00081327">
            <w:pPr>
              <w:pStyle w:val="ExhibitText"/>
              <w:jc w:val="right"/>
              <w:rPr>
                <w:lang w:val="en-GB"/>
              </w:rPr>
            </w:pPr>
            <w:r w:rsidRPr="000A6DB5">
              <w:rPr>
                <w:lang w:val="en-GB"/>
              </w:rPr>
              <w:t>5.8</w:t>
            </w:r>
          </w:p>
        </w:tc>
        <w:tc>
          <w:tcPr>
            <w:tcW w:w="661" w:type="dxa"/>
            <w:vAlign w:val="center"/>
          </w:tcPr>
          <w:p w14:paraId="31CC41DE" w14:textId="77777777" w:rsidR="00081327" w:rsidRPr="000A6DB5" w:rsidRDefault="00081327" w:rsidP="00081327">
            <w:pPr>
              <w:pStyle w:val="ExhibitText"/>
              <w:jc w:val="right"/>
              <w:rPr>
                <w:lang w:val="en-GB"/>
              </w:rPr>
            </w:pPr>
            <w:r w:rsidRPr="000A6DB5">
              <w:rPr>
                <w:lang w:val="en-GB"/>
              </w:rPr>
              <w:t>6.2</w:t>
            </w:r>
          </w:p>
        </w:tc>
        <w:tc>
          <w:tcPr>
            <w:tcW w:w="661" w:type="dxa"/>
            <w:vAlign w:val="center"/>
          </w:tcPr>
          <w:p w14:paraId="0407C216" w14:textId="77777777" w:rsidR="00081327" w:rsidRPr="000A6DB5" w:rsidRDefault="00081327" w:rsidP="00081327">
            <w:pPr>
              <w:pStyle w:val="ExhibitText"/>
              <w:jc w:val="right"/>
              <w:rPr>
                <w:lang w:val="en-GB"/>
              </w:rPr>
            </w:pPr>
            <w:r w:rsidRPr="000A6DB5">
              <w:rPr>
                <w:lang w:val="en-GB"/>
              </w:rPr>
              <w:t>6.5</w:t>
            </w:r>
          </w:p>
        </w:tc>
        <w:tc>
          <w:tcPr>
            <w:tcW w:w="661" w:type="dxa"/>
            <w:vAlign w:val="center"/>
          </w:tcPr>
          <w:p w14:paraId="38AD70B4" w14:textId="77777777" w:rsidR="00081327" w:rsidRPr="000A6DB5" w:rsidRDefault="00081327" w:rsidP="00081327">
            <w:pPr>
              <w:pStyle w:val="ExhibitText"/>
              <w:jc w:val="right"/>
              <w:rPr>
                <w:lang w:val="en-GB"/>
              </w:rPr>
            </w:pPr>
            <w:r w:rsidRPr="000A6DB5">
              <w:rPr>
                <w:lang w:val="en-GB"/>
              </w:rPr>
              <w:t>6.7</w:t>
            </w:r>
          </w:p>
        </w:tc>
        <w:tc>
          <w:tcPr>
            <w:tcW w:w="661" w:type="dxa"/>
            <w:vAlign w:val="center"/>
          </w:tcPr>
          <w:p w14:paraId="70C97165" w14:textId="77777777" w:rsidR="00081327" w:rsidRPr="000A6DB5" w:rsidRDefault="00081327" w:rsidP="00081327">
            <w:pPr>
              <w:pStyle w:val="ExhibitText"/>
              <w:jc w:val="right"/>
              <w:rPr>
                <w:lang w:val="en-GB"/>
              </w:rPr>
            </w:pPr>
            <w:r w:rsidRPr="000A6DB5">
              <w:rPr>
                <w:lang w:val="en-GB"/>
              </w:rPr>
              <w:t>6.9</w:t>
            </w:r>
          </w:p>
        </w:tc>
        <w:tc>
          <w:tcPr>
            <w:tcW w:w="661" w:type="dxa"/>
            <w:vAlign w:val="center"/>
          </w:tcPr>
          <w:p w14:paraId="7B101EE2" w14:textId="61DA70FC" w:rsidR="00081327" w:rsidRPr="000A6DB5" w:rsidRDefault="00081327" w:rsidP="00081327">
            <w:pPr>
              <w:pStyle w:val="ExhibitText"/>
              <w:jc w:val="right"/>
              <w:rPr>
                <w:lang w:val="en-GB"/>
              </w:rPr>
            </w:pPr>
            <w:r w:rsidRPr="000A6DB5">
              <w:rPr>
                <w:lang w:val="en-GB"/>
              </w:rPr>
              <w:t>7</w:t>
            </w:r>
            <w:r w:rsidR="002023F8">
              <w:rPr>
                <w:lang w:val="en-GB"/>
              </w:rPr>
              <w:t>.0</w:t>
            </w:r>
          </w:p>
        </w:tc>
        <w:tc>
          <w:tcPr>
            <w:tcW w:w="661" w:type="dxa"/>
            <w:vAlign w:val="center"/>
          </w:tcPr>
          <w:p w14:paraId="347DB339" w14:textId="77777777" w:rsidR="00081327" w:rsidRPr="000A6DB5" w:rsidRDefault="00081327" w:rsidP="00081327">
            <w:pPr>
              <w:pStyle w:val="ExhibitText"/>
              <w:jc w:val="right"/>
              <w:rPr>
                <w:lang w:val="en-GB"/>
              </w:rPr>
            </w:pPr>
            <w:r w:rsidRPr="000A6DB5">
              <w:rPr>
                <w:lang w:val="en-GB"/>
              </w:rPr>
              <w:t>6.6</w:t>
            </w:r>
          </w:p>
        </w:tc>
      </w:tr>
      <w:tr w:rsidR="003776E7" w:rsidRPr="000A6DB5" w14:paraId="4DD2E7FB" w14:textId="77777777" w:rsidTr="003776E7">
        <w:trPr>
          <w:jc w:val="center"/>
        </w:trPr>
        <w:tc>
          <w:tcPr>
            <w:tcW w:w="2695" w:type="dxa"/>
            <w:vAlign w:val="center"/>
          </w:tcPr>
          <w:p w14:paraId="2BFFD4EB" w14:textId="77777777" w:rsidR="00081327" w:rsidRPr="000A6DB5" w:rsidRDefault="00081327" w:rsidP="00394F79">
            <w:pPr>
              <w:pStyle w:val="ExhibitText"/>
              <w:jc w:val="left"/>
              <w:rPr>
                <w:lang w:val="en-GB"/>
              </w:rPr>
            </w:pPr>
            <w:r w:rsidRPr="000A6DB5">
              <w:rPr>
                <w:lang w:val="en-GB"/>
              </w:rPr>
              <w:t xml:space="preserve">Prataap Snacks Pvt. Ltd. </w:t>
            </w:r>
          </w:p>
        </w:tc>
        <w:tc>
          <w:tcPr>
            <w:tcW w:w="630" w:type="dxa"/>
            <w:vAlign w:val="center"/>
          </w:tcPr>
          <w:p w14:paraId="1097FCC9" w14:textId="77777777" w:rsidR="00081327" w:rsidRPr="000A6DB5" w:rsidRDefault="00081327" w:rsidP="00081327">
            <w:pPr>
              <w:pStyle w:val="ExhibitText"/>
              <w:jc w:val="right"/>
              <w:rPr>
                <w:lang w:val="en-GB"/>
              </w:rPr>
            </w:pPr>
            <w:r w:rsidRPr="000A6DB5">
              <w:rPr>
                <w:lang w:val="en-GB"/>
              </w:rPr>
              <w:t>-</w:t>
            </w:r>
          </w:p>
        </w:tc>
        <w:tc>
          <w:tcPr>
            <w:tcW w:w="720" w:type="dxa"/>
            <w:vAlign w:val="center"/>
          </w:tcPr>
          <w:p w14:paraId="31C97473" w14:textId="77777777" w:rsidR="00081327" w:rsidRPr="000A6DB5" w:rsidRDefault="00081327" w:rsidP="00081327">
            <w:pPr>
              <w:pStyle w:val="ExhibitText"/>
              <w:jc w:val="right"/>
              <w:rPr>
                <w:lang w:val="en-GB"/>
              </w:rPr>
            </w:pPr>
            <w:r w:rsidRPr="000A6DB5">
              <w:rPr>
                <w:lang w:val="en-GB"/>
              </w:rPr>
              <w:t>-</w:t>
            </w:r>
          </w:p>
        </w:tc>
        <w:tc>
          <w:tcPr>
            <w:tcW w:w="683" w:type="dxa"/>
            <w:vAlign w:val="center"/>
          </w:tcPr>
          <w:p w14:paraId="188539EB" w14:textId="77777777" w:rsidR="00081327" w:rsidRPr="000A6DB5" w:rsidRDefault="00081327" w:rsidP="00081327">
            <w:pPr>
              <w:pStyle w:val="ExhibitText"/>
              <w:jc w:val="right"/>
              <w:rPr>
                <w:lang w:val="en-GB"/>
              </w:rPr>
            </w:pPr>
            <w:r w:rsidRPr="000A6DB5">
              <w:rPr>
                <w:lang w:val="en-GB"/>
              </w:rPr>
              <w:t>0.7</w:t>
            </w:r>
          </w:p>
        </w:tc>
        <w:tc>
          <w:tcPr>
            <w:tcW w:w="661" w:type="dxa"/>
            <w:vAlign w:val="center"/>
          </w:tcPr>
          <w:p w14:paraId="4A0BB38D" w14:textId="1F7CDE62" w:rsidR="00081327" w:rsidRPr="000A6DB5" w:rsidRDefault="00081327" w:rsidP="00081327">
            <w:pPr>
              <w:pStyle w:val="ExhibitText"/>
              <w:jc w:val="right"/>
              <w:rPr>
                <w:lang w:val="en-GB"/>
              </w:rPr>
            </w:pPr>
            <w:r w:rsidRPr="000A6DB5">
              <w:rPr>
                <w:lang w:val="en-GB"/>
              </w:rPr>
              <w:t>2</w:t>
            </w:r>
            <w:r w:rsidR="002023F8">
              <w:rPr>
                <w:lang w:val="en-GB"/>
              </w:rPr>
              <w:t>.0</w:t>
            </w:r>
          </w:p>
        </w:tc>
        <w:tc>
          <w:tcPr>
            <w:tcW w:w="661" w:type="dxa"/>
            <w:vAlign w:val="center"/>
          </w:tcPr>
          <w:p w14:paraId="3DF4177E" w14:textId="77777777" w:rsidR="00081327" w:rsidRPr="000A6DB5" w:rsidRDefault="00081327" w:rsidP="00081327">
            <w:pPr>
              <w:pStyle w:val="ExhibitText"/>
              <w:jc w:val="right"/>
              <w:rPr>
                <w:lang w:val="en-GB"/>
              </w:rPr>
            </w:pPr>
            <w:r w:rsidRPr="000A6DB5">
              <w:rPr>
                <w:lang w:val="en-GB"/>
              </w:rPr>
              <w:t>3.2</w:t>
            </w:r>
          </w:p>
        </w:tc>
        <w:tc>
          <w:tcPr>
            <w:tcW w:w="661" w:type="dxa"/>
            <w:vAlign w:val="center"/>
          </w:tcPr>
          <w:p w14:paraId="58360C7F" w14:textId="77777777" w:rsidR="00081327" w:rsidRPr="000A6DB5" w:rsidRDefault="00081327" w:rsidP="00081327">
            <w:pPr>
              <w:pStyle w:val="ExhibitText"/>
              <w:jc w:val="right"/>
              <w:rPr>
                <w:lang w:val="en-GB"/>
              </w:rPr>
            </w:pPr>
            <w:r w:rsidRPr="000A6DB5">
              <w:rPr>
                <w:lang w:val="en-GB"/>
              </w:rPr>
              <w:t>3.1</w:t>
            </w:r>
          </w:p>
        </w:tc>
        <w:tc>
          <w:tcPr>
            <w:tcW w:w="661" w:type="dxa"/>
            <w:vAlign w:val="center"/>
          </w:tcPr>
          <w:p w14:paraId="2C8A482B" w14:textId="142D64D7" w:rsidR="00081327" w:rsidRPr="000A6DB5" w:rsidRDefault="00081327" w:rsidP="00081327">
            <w:pPr>
              <w:pStyle w:val="ExhibitText"/>
              <w:jc w:val="right"/>
              <w:rPr>
                <w:lang w:val="en-GB"/>
              </w:rPr>
            </w:pPr>
            <w:r w:rsidRPr="000A6DB5">
              <w:rPr>
                <w:lang w:val="en-GB"/>
              </w:rPr>
              <w:t>4</w:t>
            </w:r>
            <w:r w:rsidR="002023F8">
              <w:rPr>
                <w:lang w:val="en-GB"/>
              </w:rPr>
              <w:t>.0</w:t>
            </w:r>
          </w:p>
        </w:tc>
        <w:tc>
          <w:tcPr>
            <w:tcW w:w="661" w:type="dxa"/>
            <w:vAlign w:val="center"/>
          </w:tcPr>
          <w:p w14:paraId="4FFF5FE7" w14:textId="77777777" w:rsidR="00081327" w:rsidRPr="000A6DB5" w:rsidRDefault="00081327" w:rsidP="00081327">
            <w:pPr>
              <w:pStyle w:val="ExhibitText"/>
              <w:jc w:val="right"/>
              <w:rPr>
                <w:lang w:val="en-GB"/>
              </w:rPr>
            </w:pPr>
            <w:r w:rsidRPr="000A6DB5">
              <w:rPr>
                <w:lang w:val="en-GB"/>
              </w:rPr>
              <w:t>4.3</w:t>
            </w:r>
          </w:p>
        </w:tc>
        <w:tc>
          <w:tcPr>
            <w:tcW w:w="661" w:type="dxa"/>
            <w:vAlign w:val="center"/>
          </w:tcPr>
          <w:p w14:paraId="130F094C" w14:textId="77777777" w:rsidR="00081327" w:rsidRPr="000A6DB5" w:rsidRDefault="00081327" w:rsidP="00081327">
            <w:pPr>
              <w:pStyle w:val="ExhibitText"/>
              <w:jc w:val="right"/>
              <w:rPr>
                <w:lang w:val="en-GB"/>
              </w:rPr>
            </w:pPr>
            <w:r w:rsidRPr="000A6DB5">
              <w:rPr>
                <w:lang w:val="en-GB"/>
              </w:rPr>
              <w:t>4.6</w:t>
            </w:r>
          </w:p>
        </w:tc>
        <w:tc>
          <w:tcPr>
            <w:tcW w:w="661" w:type="dxa"/>
            <w:vAlign w:val="center"/>
          </w:tcPr>
          <w:p w14:paraId="42E45D0F" w14:textId="77777777" w:rsidR="00081327" w:rsidRPr="000A6DB5" w:rsidRDefault="00081327" w:rsidP="00081327">
            <w:pPr>
              <w:pStyle w:val="ExhibitText"/>
              <w:jc w:val="right"/>
              <w:rPr>
                <w:lang w:val="en-GB"/>
              </w:rPr>
            </w:pPr>
            <w:r w:rsidRPr="000A6DB5">
              <w:rPr>
                <w:lang w:val="en-GB"/>
              </w:rPr>
              <w:t>5.2</w:t>
            </w:r>
          </w:p>
        </w:tc>
      </w:tr>
      <w:tr w:rsidR="003776E7" w:rsidRPr="000A6DB5" w14:paraId="13DEEF39" w14:textId="77777777" w:rsidTr="003776E7">
        <w:trPr>
          <w:jc w:val="center"/>
        </w:trPr>
        <w:tc>
          <w:tcPr>
            <w:tcW w:w="2695" w:type="dxa"/>
            <w:vAlign w:val="center"/>
          </w:tcPr>
          <w:p w14:paraId="2F1A78BA" w14:textId="77777777" w:rsidR="00081327" w:rsidRPr="000A6DB5" w:rsidRDefault="00081327" w:rsidP="00394F79">
            <w:pPr>
              <w:pStyle w:val="ExhibitText"/>
              <w:jc w:val="left"/>
              <w:rPr>
                <w:lang w:val="en-GB"/>
              </w:rPr>
            </w:pPr>
            <w:r w:rsidRPr="000A6DB5">
              <w:rPr>
                <w:lang w:val="en-GB"/>
              </w:rPr>
              <w:t>DFM Foods</w:t>
            </w:r>
          </w:p>
        </w:tc>
        <w:tc>
          <w:tcPr>
            <w:tcW w:w="630" w:type="dxa"/>
            <w:vAlign w:val="center"/>
          </w:tcPr>
          <w:p w14:paraId="25964AAB" w14:textId="77777777" w:rsidR="00081327" w:rsidRPr="000A6DB5" w:rsidRDefault="00081327" w:rsidP="00081327">
            <w:pPr>
              <w:pStyle w:val="ExhibitText"/>
              <w:jc w:val="right"/>
              <w:rPr>
                <w:lang w:val="en-GB"/>
              </w:rPr>
            </w:pPr>
            <w:r w:rsidRPr="000A6DB5">
              <w:rPr>
                <w:lang w:val="en-GB"/>
              </w:rPr>
              <w:t>0.9</w:t>
            </w:r>
          </w:p>
        </w:tc>
        <w:tc>
          <w:tcPr>
            <w:tcW w:w="720" w:type="dxa"/>
            <w:vAlign w:val="center"/>
          </w:tcPr>
          <w:p w14:paraId="11BB4675" w14:textId="77777777" w:rsidR="00081327" w:rsidRPr="000A6DB5" w:rsidRDefault="00081327" w:rsidP="00081327">
            <w:pPr>
              <w:pStyle w:val="ExhibitText"/>
              <w:jc w:val="right"/>
              <w:rPr>
                <w:lang w:val="en-GB"/>
              </w:rPr>
            </w:pPr>
            <w:r w:rsidRPr="000A6DB5">
              <w:rPr>
                <w:lang w:val="en-GB"/>
              </w:rPr>
              <w:t>1.4</w:t>
            </w:r>
          </w:p>
        </w:tc>
        <w:tc>
          <w:tcPr>
            <w:tcW w:w="683" w:type="dxa"/>
            <w:vAlign w:val="center"/>
          </w:tcPr>
          <w:p w14:paraId="588AC328" w14:textId="77777777" w:rsidR="00081327" w:rsidRPr="000A6DB5" w:rsidRDefault="00081327" w:rsidP="00081327">
            <w:pPr>
              <w:pStyle w:val="ExhibitText"/>
              <w:jc w:val="right"/>
              <w:rPr>
                <w:lang w:val="en-GB"/>
              </w:rPr>
            </w:pPr>
            <w:r w:rsidRPr="000A6DB5">
              <w:rPr>
                <w:lang w:val="en-GB"/>
              </w:rPr>
              <w:t>1.9</w:t>
            </w:r>
          </w:p>
        </w:tc>
        <w:tc>
          <w:tcPr>
            <w:tcW w:w="661" w:type="dxa"/>
            <w:vAlign w:val="center"/>
          </w:tcPr>
          <w:p w14:paraId="5E6DA867" w14:textId="77777777" w:rsidR="00081327" w:rsidRPr="000A6DB5" w:rsidRDefault="00081327" w:rsidP="00081327">
            <w:pPr>
              <w:pStyle w:val="ExhibitText"/>
              <w:jc w:val="right"/>
              <w:rPr>
                <w:lang w:val="en-GB"/>
              </w:rPr>
            </w:pPr>
            <w:r w:rsidRPr="000A6DB5">
              <w:rPr>
                <w:lang w:val="en-GB"/>
              </w:rPr>
              <w:t>2.1</w:t>
            </w:r>
          </w:p>
        </w:tc>
        <w:tc>
          <w:tcPr>
            <w:tcW w:w="661" w:type="dxa"/>
            <w:vAlign w:val="center"/>
          </w:tcPr>
          <w:p w14:paraId="2FE24D36" w14:textId="77777777" w:rsidR="00081327" w:rsidRPr="000A6DB5" w:rsidRDefault="00081327" w:rsidP="00081327">
            <w:pPr>
              <w:pStyle w:val="ExhibitText"/>
              <w:jc w:val="right"/>
              <w:rPr>
                <w:lang w:val="en-GB"/>
              </w:rPr>
            </w:pPr>
            <w:r w:rsidRPr="000A6DB5">
              <w:rPr>
                <w:lang w:val="en-GB"/>
              </w:rPr>
              <w:t>2.2</w:t>
            </w:r>
          </w:p>
        </w:tc>
        <w:tc>
          <w:tcPr>
            <w:tcW w:w="661" w:type="dxa"/>
            <w:vAlign w:val="center"/>
          </w:tcPr>
          <w:p w14:paraId="17B8E9A3" w14:textId="77777777" w:rsidR="00081327" w:rsidRPr="000A6DB5" w:rsidRDefault="00081327" w:rsidP="00081327">
            <w:pPr>
              <w:pStyle w:val="ExhibitText"/>
              <w:jc w:val="right"/>
              <w:rPr>
                <w:lang w:val="en-GB"/>
              </w:rPr>
            </w:pPr>
            <w:r w:rsidRPr="000A6DB5">
              <w:rPr>
                <w:lang w:val="en-GB"/>
              </w:rPr>
              <w:t>2.2</w:t>
            </w:r>
          </w:p>
        </w:tc>
        <w:tc>
          <w:tcPr>
            <w:tcW w:w="661" w:type="dxa"/>
            <w:vAlign w:val="center"/>
          </w:tcPr>
          <w:p w14:paraId="2BE7BD9A" w14:textId="2C825829" w:rsidR="00081327" w:rsidRPr="000A6DB5" w:rsidRDefault="00081327" w:rsidP="00081327">
            <w:pPr>
              <w:pStyle w:val="ExhibitText"/>
              <w:jc w:val="right"/>
              <w:rPr>
                <w:lang w:val="en-GB"/>
              </w:rPr>
            </w:pPr>
            <w:r w:rsidRPr="000A6DB5">
              <w:rPr>
                <w:lang w:val="en-GB"/>
              </w:rPr>
              <w:t>2</w:t>
            </w:r>
            <w:r w:rsidR="002023F8">
              <w:rPr>
                <w:lang w:val="en-GB"/>
              </w:rPr>
              <w:t>.0</w:t>
            </w:r>
          </w:p>
        </w:tc>
        <w:tc>
          <w:tcPr>
            <w:tcW w:w="661" w:type="dxa"/>
            <w:vAlign w:val="center"/>
          </w:tcPr>
          <w:p w14:paraId="746176F0" w14:textId="77777777" w:rsidR="00081327" w:rsidRPr="000A6DB5" w:rsidRDefault="00081327" w:rsidP="00081327">
            <w:pPr>
              <w:pStyle w:val="ExhibitText"/>
              <w:jc w:val="right"/>
              <w:rPr>
                <w:lang w:val="en-GB"/>
              </w:rPr>
            </w:pPr>
            <w:r w:rsidRPr="000A6DB5">
              <w:rPr>
                <w:lang w:val="en-GB"/>
              </w:rPr>
              <w:t>2.1</w:t>
            </w:r>
          </w:p>
        </w:tc>
        <w:tc>
          <w:tcPr>
            <w:tcW w:w="661" w:type="dxa"/>
            <w:vAlign w:val="center"/>
          </w:tcPr>
          <w:p w14:paraId="5A1CC5A7" w14:textId="77777777" w:rsidR="00081327" w:rsidRPr="000A6DB5" w:rsidRDefault="00081327" w:rsidP="00081327">
            <w:pPr>
              <w:pStyle w:val="ExhibitText"/>
              <w:jc w:val="right"/>
              <w:rPr>
                <w:lang w:val="en-GB"/>
              </w:rPr>
            </w:pPr>
            <w:r w:rsidRPr="000A6DB5">
              <w:rPr>
                <w:lang w:val="en-GB"/>
              </w:rPr>
              <w:t>2.3</w:t>
            </w:r>
          </w:p>
        </w:tc>
        <w:tc>
          <w:tcPr>
            <w:tcW w:w="661" w:type="dxa"/>
            <w:vAlign w:val="center"/>
          </w:tcPr>
          <w:p w14:paraId="1CD78A3C" w14:textId="77777777" w:rsidR="00081327" w:rsidRPr="000A6DB5" w:rsidRDefault="00081327" w:rsidP="00081327">
            <w:pPr>
              <w:pStyle w:val="ExhibitText"/>
              <w:jc w:val="right"/>
              <w:rPr>
                <w:lang w:val="en-GB"/>
              </w:rPr>
            </w:pPr>
            <w:r w:rsidRPr="000A6DB5">
              <w:rPr>
                <w:lang w:val="en-GB"/>
              </w:rPr>
              <w:t>2.7</w:t>
            </w:r>
          </w:p>
        </w:tc>
      </w:tr>
    </w:tbl>
    <w:p w14:paraId="6A8C25DC" w14:textId="77777777" w:rsidR="00081327" w:rsidRPr="000A6DB5" w:rsidRDefault="00081327" w:rsidP="00081327">
      <w:pPr>
        <w:jc w:val="both"/>
        <w:rPr>
          <w:rFonts w:ascii="Arial" w:hAnsi="Arial" w:cs="Arial"/>
          <w:sz w:val="18"/>
          <w:szCs w:val="18"/>
          <w:lang w:val="en-GB"/>
        </w:rPr>
      </w:pPr>
    </w:p>
    <w:p w14:paraId="499D290E" w14:textId="1D95660E" w:rsidR="00081327" w:rsidRPr="000A6DB5" w:rsidRDefault="00081327" w:rsidP="00081327">
      <w:pPr>
        <w:pStyle w:val="Footnote"/>
        <w:rPr>
          <w:lang w:val="en-GB"/>
        </w:rPr>
      </w:pPr>
      <w:r w:rsidRPr="000A6DB5">
        <w:rPr>
          <w:lang w:val="en-GB"/>
        </w:rPr>
        <w:t xml:space="preserve">Source: Euromonitor International, </w:t>
      </w:r>
      <w:r w:rsidRPr="000A6DB5">
        <w:rPr>
          <w:i/>
          <w:lang w:val="en-GB"/>
        </w:rPr>
        <w:t>Savoury Snacks in India</w:t>
      </w:r>
      <w:r w:rsidRPr="000A6DB5">
        <w:rPr>
          <w:lang w:val="en-GB"/>
        </w:rPr>
        <w:t>, 2017, accessed March 19, 2018.</w:t>
      </w:r>
    </w:p>
    <w:p w14:paraId="3B178CE6" w14:textId="77777777" w:rsidR="00022163" w:rsidRPr="000A6DB5" w:rsidRDefault="00022163" w:rsidP="003776E7">
      <w:pPr>
        <w:pStyle w:val="BodyTextMain"/>
        <w:rPr>
          <w:lang w:val="en-GB"/>
        </w:rPr>
      </w:pPr>
    </w:p>
    <w:p w14:paraId="1E897AF1" w14:textId="6149BFA0" w:rsidR="00022163" w:rsidRPr="000A6DB5" w:rsidRDefault="00022163" w:rsidP="003776E7">
      <w:pPr>
        <w:pStyle w:val="BodyTextMain"/>
        <w:rPr>
          <w:lang w:val="en-GB"/>
        </w:rPr>
      </w:pPr>
    </w:p>
    <w:p w14:paraId="1185144C" w14:textId="654948CC" w:rsidR="00022163" w:rsidRPr="000A6DB5" w:rsidRDefault="00022163" w:rsidP="00F043D1">
      <w:pPr>
        <w:pStyle w:val="ExhibitHeading"/>
        <w:outlineLvl w:val="0"/>
        <w:rPr>
          <w:lang w:val="en-GB"/>
        </w:rPr>
      </w:pPr>
      <w:r w:rsidRPr="000A6DB5">
        <w:rPr>
          <w:lang w:val="en-GB"/>
        </w:rPr>
        <w:t xml:space="preserve">EXHIBIT </w:t>
      </w:r>
      <w:r w:rsidR="00081327">
        <w:rPr>
          <w:lang w:val="en-GB"/>
        </w:rPr>
        <w:t>9</w:t>
      </w:r>
      <w:r w:rsidRPr="000A6DB5">
        <w:rPr>
          <w:lang w:val="en-GB"/>
        </w:rPr>
        <w:t>: BRAND SHARES VALUE 2014</w:t>
      </w:r>
      <w:r w:rsidR="00525D9E" w:rsidRPr="000A6DB5">
        <w:rPr>
          <w:lang w:val="en-GB"/>
        </w:rPr>
        <w:t>–</w:t>
      </w:r>
      <w:r w:rsidRPr="000A6DB5">
        <w:rPr>
          <w:lang w:val="en-GB"/>
        </w:rPr>
        <w:t>2017</w:t>
      </w:r>
      <w:r w:rsidR="00525D9E" w:rsidRPr="000A6DB5">
        <w:rPr>
          <w:lang w:val="en-GB"/>
        </w:rPr>
        <w:t xml:space="preserve"> (%)</w:t>
      </w:r>
    </w:p>
    <w:p w14:paraId="396858B0" w14:textId="77777777" w:rsidR="00022163" w:rsidRPr="000A6DB5" w:rsidRDefault="00022163" w:rsidP="00022163">
      <w:pPr>
        <w:pStyle w:val="BodyTextMain"/>
        <w:rPr>
          <w:lang w:val="en-GB"/>
        </w:rPr>
      </w:pPr>
    </w:p>
    <w:tbl>
      <w:tblPr>
        <w:tblStyle w:val="TableGrid"/>
        <w:tblW w:w="8926" w:type="dxa"/>
        <w:jc w:val="center"/>
        <w:tblLook w:val="04A0" w:firstRow="1" w:lastRow="0" w:firstColumn="1" w:lastColumn="0" w:noHBand="0" w:noVBand="1"/>
      </w:tblPr>
      <w:tblGrid>
        <w:gridCol w:w="1677"/>
        <w:gridCol w:w="3358"/>
        <w:gridCol w:w="1054"/>
        <w:gridCol w:w="873"/>
        <w:gridCol w:w="1009"/>
        <w:gridCol w:w="955"/>
      </w:tblGrid>
      <w:tr w:rsidR="00022163" w:rsidRPr="000A6DB5" w14:paraId="7946AA09" w14:textId="77777777" w:rsidTr="00022163">
        <w:trPr>
          <w:jc w:val="center"/>
        </w:trPr>
        <w:tc>
          <w:tcPr>
            <w:tcW w:w="1677" w:type="dxa"/>
          </w:tcPr>
          <w:p w14:paraId="731F30CD" w14:textId="77777777" w:rsidR="00022163" w:rsidRPr="000A6DB5" w:rsidRDefault="00022163" w:rsidP="0049647A">
            <w:pPr>
              <w:pStyle w:val="ExhibitText"/>
              <w:jc w:val="center"/>
              <w:rPr>
                <w:b/>
                <w:lang w:val="en-GB"/>
              </w:rPr>
            </w:pPr>
            <w:r w:rsidRPr="000A6DB5">
              <w:rPr>
                <w:b/>
                <w:lang w:val="en-GB"/>
              </w:rPr>
              <w:t>Brand</w:t>
            </w:r>
          </w:p>
        </w:tc>
        <w:tc>
          <w:tcPr>
            <w:tcW w:w="3358" w:type="dxa"/>
          </w:tcPr>
          <w:p w14:paraId="0EA012A6" w14:textId="77777777" w:rsidR="00022163" w:rsidRPr="000A6DB5" w:rsidRDefault="00022163" w:rsidP="0049647A">
            <w:pPr>
              <w:pStyle w:val="ExhibitText"/>
              <w:jc w:val="center"/>
              <w:rPr>
                <w:b/>
                <w:lang w:val="en-GB"/>
              </w:rPr>
            </w:pPr>
            <w:r w:rsidRPr="000A6DB5">
              <w:rPr>
                <w:b/>
                <w:lang w:val="en-GB"/>
              </w:rPr>
              <w:t>Company</w:t>
            </w:r>
          </w:p>
        </w:tc>
        <w:tc>
          <w:tcPr>
            <w:tcW w:w="1054" w:type="dxa"/>
          </w:tcPr>
          <w:p w14:paraId="2DF82C9E" w14:textId="77777777" w:rsidR="00022163" w:rsidRPr="000A6DB5" w:rsidRDefault="00022163" w:rsidP="00022163">
            <w:pPr>
              <w:pStyle w:val="ExhibitText"/>
              <w:jc w:val="center"/>
              <w:rPr>
                <w:b/>
                <w:lang w:val="en-GB"/>
              </w:rPr>
            </w:pPr>
            <w:r w:rsidRPr="000A6DB5">
              <w:rPr>
                <w:b/>
                <w:lang w:val="en-GB"/>
              </w:rPr>
              <w:t>2014</w:t>
            </w:r>
          </w:p>
        </w:tc>
        <w:tc>
          <w:tcPr>
            <w:tcW w:w="873" w:type="dxa"/>
          </w:tcPr>
          <w:p w14:paraId="24D479B9" w14:textId="77777777" w:rsidR="00022163" w:rsidRPr="000A6DB5" w:rsidRDefault="00022163" w:rsidP="00022163">
            <w:pPr>
              <w:pStyle w:val="ExhibitText"/>
              <w:jc w:val="center"/>
              <w:rPr>
                <w:b/>
                <w:lang w:val="en-GB"/>
              </w:rPr>
            </w:pPr>
            <w:r w:rsidRPr="000A6DB5">
              <w:rPr>
                <w:b/>
                <w:lang w:val="en-GB"/>
              </w:rPr>
              <w:t>2015</w:t>
            </w:r>
          </w:p>
        </w:tc>
        <w:tc>
          <w:tcPr>
            <w:tcW w:w="1009" w:type="dxa"/>
          </w:tcPr>
          <w:p w14:paraId="064E7D43" w14:textId="77777777" w:rsidR="00022163" w:rsidRPr="000A6DB5" w:rsidRDefault="00022163" w:rsidP="00022163">
            <w:pPr>
              <w:pStyle w:val="ExhibitText"/>
              <w:jc w:val="center"/>
              <w:rPr>
                <w:b/>
                <w:lang w:val="en-GB"/>
              </w:rPr>
            </w:pPr>
            <w:r w:rsidRPr="000A6DB5">
              <w:rPr>
                <w:b/>
                <w:lang w:val="en-GB"/>
              </w:rPr>
              <w:t>2016</w:t>
            </w:r>
          </w:p>
        </w:tc>
        <w:tc>
          <w:tcPr>
            <w:tcW w:w="955" w:type="dxa"/>
          </w:tcPr>
          <w:p w14:paraId="0C2818A8" w14:textId="77777777" w:rsidR="00022163" w:rsidRPr="000A6DB5" w:rsidRDefault="00022163" w:rsidP="00022163">
            <w:pPr>
              <w:pStyle w:val="ExhibitText"/>
              <w:jc w:val="center"/>
              <w:rPr>
                <w:b/>
                <w:lang w:val="en-GB"/>
              </w:rPr>
            </w:pPr>
            <w:r w:rsidRPr="000A6DB5">
              <w:rPr>
                <w:b/>
                <w:lang w:val="en-GB"/>
              </w:rPr>
              <w:t>2017</w:t>
            </w:r>
          </w:p>
        </w:tc>
      </w:tr>
      <w:tr w:rsidR="00022163" w:rsidRPr="000A6DB5" w14:paraId="451EDE13" w14:textId="77777777" w:rsidTr="002023F8">
        <w:trPr>
          <w:jc w:val="center"/>
        </w:trPr>
        <w:tc>
          <w:tcPr>
            <w:tcW w:w="1677" w:type="dxa"/>
          </w:tcPr>
          <w:p w14:paraId="26F626A3" w14:textId="77777777" w:rsidR="00022163" w:rsidRPr="000A6DB5" w:rsidRDefault="00022163" w:rsidP="00022163">
            <w:pPr>
              <w:pStyle w:val="ExhibitText"/>
              <w:rPr>
                <w:lang w:val="en-GB"/>
              </w:rPr>
            </w:pPr>
            <w:r w:rsidRPr="000A6DB5">
              <w:rPr>
                <w:lang w:val="en-GB"/>
              </w:rPr>
              <w:t>Haldiram</w:t>
            </w:r>
          </w:p>
        </w:tc>
        <w:tc>
          <w:tcPr>
            <w:tcW w:w="3358" w:type="dxa"/>
          </w:tcPr>
          <w:p w14:paraId="4C350F5C" w14:textId="24CF2A7D" w:rsidR="00022163" w:rsidRPr="000A6DB5" w:rsidRDefault="00022163" w:rsidP="00022163">
            <w:pPr>
              <w:pStyle w:val="ExhibitText"/>
              <w:rPr>
                <w:lang w:val="en-GB"/>
              </w:rPr>
            </w:pPr>
            <w:r w:rsidRPr="000A6DB5">
              <w:rPr>
                <w:lang w:val="en-GB"/>
              </w:rPr>
              <w:t>Haldiram</w:t>
            </w:r>
            <w:r w:rsidR="00525D9E" w:rsidRPr="000A6DB5">
              <w:rPr>
                <w:lang w:val="en-GB"/>
              </w:rPr>
              <w:t>’s</w:t>
            </w:r>
            <w:r w:rsidRPr="000A6DB5">
              <w:rPr>
                <w:lang w:val="en-GB"/>
              </w:rPr>
              <w:t xml:space="preserve"> Foods</w:t>
            </w:r>
            <w:r w:rsidR="00525D9E" w:rsidRPr="000A6DB5">
              <w:rPr>
                <w:lang w:val="en-GB"/>
              </w:rPr>
              <w:t xml:space="preserve"> International Ltd.</w:t>
            </w:r>
          </w:p>
        </w:tc>
        <w:tc>
          <w:tcPr>
            <w:tcW w:w="1054" w:type="dxa"/>
            <w:vAlign w:val="center"/>
          </w:tcPr>
          <w:p w14:paraId="2A9B1597" w14:textId="77777777" w:rsidR="00022163" w:rsidRPr="000A6DB5" w:rsidRDefault="00022163" w:rsidP="002023F8">
            <w:pPr>
              <w:pStyle w:val="ExhibitText"/>
              <w:jc w:val="right"/>
              <w:rPr>
                <w:lang w:val="en-GB"/>
              </w:rPr>
            </w:pPr>
            <w:r w:rsidRPr="000A6DB5">
              <w:rPr>
                <w:lang w:val="en-GB"/>
              </w:rPr>
              <w:t>11.99</w:t>
            </w:r>
          </w:p>
        </w:tc>
        <w:tc>
          <w:tcPr>
            <w:tcW w:w="873" w:type="dxa"/>
            <w:vAlign w:val="center"/>
          </w:tcPr>
          <w:p w14:paraId="1A97FB2E" w14:textId="77777777" w:rsidR="00022163" w:rsidRPr="000A6DB5" w:rsidRDefault="00022163" w:rsidP="002023F8">
            <w:pPr>
              <w:pStyle w:val="ExhibitText"/>
              <w:jc w:val="right"/>
              <w:rPr>
                <w:lang w:val="en-GB"/>
              </w:rPr>
            </w:pPr>
            <w:r w:rsidRPr="000A6DB5">
              <w:rPr>
                <w:lang w:val="en-GB"/>
              </w:rPr>
              <w:t>10.99</w:t>
            </w:r>
          </w:p>
        </w:tc>
        <w:tc>
          <w:tcPr>
            <w:tcW w:w="1009" w:type="dxa"/>
            <w:vAlign w:val="center"/>
          </w:tcPr>
          <w:p w14:paraId="538BC576" w14:textId="77777777" w:rsidR="00022163" w:rsidRPr="000A6DB5" w:rsidRDefault="00022163" w:rsidP="002023F8">
            <w:pPr>
              <w:pStyle w:val="ExhibitText"/>
              <w:jc w:val="right"/>
              <w:rPr>
                <w:lang w:val="en-GB"/>
              </w:rPr>
            </w:pPr>
            <w:r w:rsidRPr="000A6DB5">
              <w:rPr>
                <w:lang w:val="en-GB"/>
              </w:rPr>
              <w:t>10.09</w:t>
            </w:r>
          </w:p>
        </w:tc>
        <w:tc>
          <w:tcPr>
            <w:tcW w:w="955" w:type="dxa"/>
            <w:vAlign w:val="center"/>
          </w:tcPr>
          <w:p w14:paraId="34233116" w14:textId="77777777" w:rsidR="00022163" w:rsidRPr="000A6DB5" w:rsidRDefault="00022163" w:rsidP="002023F8">
            <w:pPr>
              <w:pStyle w:val="ExhibitText"/>
              <w:jc w:val="right"/>
              <w:rPr>
                <w:lang w:val="en-GB"/>
              </w:rPr>
            </w:pPr>
            <w:r w:rsidRPr="000A6DB5">
              <w:rPr>
                <w:lang w:val="en-GB"/>
              </w:rPr>
              <w:t>9.97</w:t>
            </w:r>
          </w:p>
        </w:tc>
      </w:tr>
      <w:tr w:rsidR="00022163" w:rsidRPr="000A6DB5" w14:paraId="53867245" w14:textId="77777777" w:rsidTr="002023F8">
        <w:trPr>
          <w:jc w:val="center"/>
        </w:trPr>
        <w:tc>
          <w:tcPr>
            <w:tcW w:w="1677" w:type="dxa"/>
          </w:tcPr>
          <w:p w14:paraId="4C3A6AE0" w14:textId="77777777" w:rsidR="00022163" w:rsidRPr="000A6DB5" w:rsidRDefault="00022163" w:rsidP="00022163">
            <w:pPr>
              <w:pStyle w:val="ExhibitText"/>
              <w:rPr>
                <w:b/>
                <w:lang w:val="en-GB"/>
              </w:rPr>
            </w:pPr>
            <w:r w:rsidRPr="000A6DB5">
              <w:rPr>
                <w:b/>
                <w:lang w:val="en-GB"/>
              </w:rPr>
              <w:t>Balaji</w:t>
            </w:r>
          </w:p>
        </w:tc>
        <w:tc>
          <w:tcPr>
            <w:tcW w:w="3358" w:type="dxa"/>
          </w:tcPr>
          <w:p w14:paraId="7822E365" w14:textId="77777777" w:rsidR="00022163" w:rsidRPr="000A6DB5" w:rsidRDefault="00022163" w:rsidP="00022163">
            <w:pPr>
              <w:pStyle w:val="ExhibitText"/>
              <w:rPr>
                <w:b/>
                <w:lang w:val="en-GB"/>
              </w:rPr>
            </w:pPr>
            <w:r w:rsidRPr="000A6DB5">
              <w:rPr>
                <w:b/>
                <w:lang w:val="en-GB"/>
              </w:rPr>
              <w:t>Balaji Wafers Pvt. Ltd.</w:t>
            </w:r>
          </w:p>
        </w:tc>
        <w:tc>
          <w:tcPr>
            <w:tcW w:w="1054" w:type="dxa"/>
            <w:vAlign w:val="center"/>
          </w:tcPr>
          <w:p w14:paraId="6D7A9997" w14:textId="77777777" w:rsidR="00022163" w:rsidRPr="000A6DB5" w:rsidRDefault="00022163" w:rsidP="002023F8">
            <w:pPr>
              <w:pStyle w:val="ExhibitText"/>
              <w:jc w:val="right"/>
              <w:rPr>
                <w:b/>
                <w:lang w:val="en-GB"/>
              </w:rPr>
            </w:pPr>
            <w:r w:rsidRPr="000A6DB5">
              <w:rPr>
                <w:b/>
                <w:lang w:val="en-GB"/>
              </w:rPr>
              <w:t>7.81</w:t>
            </w:r>
          </w:p>
        </w:tc>
        <w:tc>
          <w:tcPr>
            <w:tcW w:w="873" w:type="dxa"/>
            <w:vAlign w:val="center"/>
          </w:tcPr>
          <w:p w14:paraId="13633875" w14:textId="77777777" w:rsidR="00022163" w:rsidRPr="000A6DB5" w:rsidRDefault="00022163" w:rsidP="002023F8">
            <w:pPr>
              <w:pStyle w:val="ExhibitText"/>
              <w:jc w:val="right"/>
              <w:rPr>
                <w:b/>
                <w:lang w:val="en-GB"/>
              </w:rPr>
            </w:pPr>
            <w:r w:rsidRPr="000A6DB5">
              <w:rPr>
                <w:b/>
                <w:lang w:val="en-GB"/>
              </w:rPr>
              <w:t>7.27</w:t>
            </w:r>
          </w:p>
        </w:tc>
        <w:tc>
          <w:tcPr>
            <w:tcW w:w="1009" w:type="dxa"/>
            <w:vAlign w:val="center"/>
          </w:tcPr>
          <w:p w14:paraId="6079AB0E" w14:textId="77777777" w:rsidR="00022163" w:rsidRPr="000A6DB5" w:rsidRDefault="00022163" w:rsidP="002023F8">
            <w:pPr>
              <w:pStyle w:val="ExhibitText"/>
              <w:jc w:val="right"/>
              <w:rPr>
                <w:b/>
                <w:lang w:val="en-GB"/>
              </w:rPr>
            </w:pPr>
            <w:r w:rsidRPr="000A6DB5">
              <w:rPr>
                <w:b/>
                <w:lang w:val="en-GB"/>
              </w:rPr>
              <w:t>6.84</w:t>
            </w:r>
          </w:p>
        </w:tc>
        <w:tc>
          <w:tcPr>
            <w:tcW w:w="955" w:type="dxa"/>
            <w:vAlign w:val="center"/>
          </w:tcPr>
          <w:p w14:paraId="36A42E06" w14:textId="77777777" w:rsidR="00022163" w:rsidRPr="000A6DB5" w:rsidRDefault="00022163" w:rsidP="002023F8">
            <w:pPr>
              <w:pStyle w:val="ExhibitText"/>
              <w:jc w:val="right"/>
              <w:rPr>
                <w:b/>
                <w:lang w:val="en-GB"/>
              </w:rPr>
            </w:pPr>
            <w:r w:rsidRPr="000A6DB5">
              <w:rPr>
                <w:b/>
                <w:lang w:val="en-GB"/>
              </w:rPr>
              <w:t>6.85</w:t>
            </w:r>
          </w:p>
        </w:tc>
      </w:tr>
      <w:tr w:rsidR="00022163" w:rsidRPr="000A6DB5" w14:paraId="58D3A0A9" w14:textId="77777777" w:rsidTr="002023F8">
        <w:trPr>
          <w:jc w:val="center"/>
        </w:trPr>
        <w:tc>
          <w:tcPr>
            <w:tcW w:w="1677" w:type="dxa"/>
          </w:tcPr>
          <w:p w14:paraId="67DAB5F4" w14:textId="3A9DB2C2" w:rsidR="00022163" w:rsidRPr="000A6DB5" w:rsidRDefault="00022163" w:rsidP="00022163">
            <w:pPr>
              <w:pStyle w:val="ExhibitText"/>
              <w:rPr>
                <w:lang w:val="en-GB"/>
              </w:rPr>
            </w:pPr>
            <w:r w:rsidRPr="000A6DB5">
              <w:rPr>
                <w:lang w:val="en-GB"/>
              </w:rPr>
              <w:t>Bingo</w:t>
            </w:r>
            <w:r w:rsidR="00525D9E" w:rsidRPr="000A6DB5">
              <w:rPr>
                <w:lang w:val="en-GB"/>
              </w:rPr>
              <w:t>!</w:t>
            </w:r>
          </w:p>
        </w:tc>
        <w:tc>
          <w:tcPr>
            <w:tcW w:w="3358" w:type="dxa"/>
          </w:tcPr>
          <w:p w14:paraId="4C833944" w14:textId="77777777" w:rsidR="00022163" w:rsidRPr="000A6DB5" w:rsidRDefault="00022163" w:rsidP="00022163">
            <w:pPr>
              <w:pStyle w:val="ExhibitText"/>
              <w:rPr>
                <w:lang w:val="en-GB"/>
              </w:rPr>
            </w:pPr>
            <w:r w:rsidRPr="000A6DB5">
              <w:rPr>
                <w:lang w:val="en-GB"/>
              </w:rPr>
              <w:t>ITC Ltd.</w:t>
            </w:r>
          </w:p>
        </w:tc>
        <w:tc>
          <w:tcPr>
            <w:tcW w:w="1054" w:type="dxa"/>
            <w:vAlign w:val="center"/>
          </w:tcPr>
          <w:p w14:paraId="6138C78F" w14:textId="77777777" w:rsidR="00022163" w:rsidRPr="000A6DB5" w:rsidRDefault="00022163" w:rsidP="002023F8">
            <w:pPr>
              <w:pStyle w:val="ExhibitText"/>
              <w:jc w:val="right"/>
              <w:rPr>
                <w:lang w:val="en-GB"/>
              </w:rPr>
            </w:pPr>
            <w:r w:rsidRPr="000A6DB5">
              <w:rPr>
                <w:lang w:val="en-GB"/>
              </w:rPr>
              <w:t>5.60</w:t>
            </w:r>
          </w:p>
        </w:tc>
        <w:tc>
          <w:tcPr>
            <w:tcW w:w="873" w:type="dxa"/>
            <w:vAlign w:val="center"/>
          </w:tcPr>
          <w:p w14:paraId="5A4C9B54" w14:textId="77777777" w:rsidR="00022163" w:rsidRPr="000A6DB5" w:rsidRDefault="00022163" w:rsidP="002023F8">
            <w:pPr>
              <w:pStyle w:val="ExhibitText"/>
              <w:jc w:val="right"/>
              <w:rPr>
                <w:lang w:val="en-GB"/>
              </w:rPr>
            </w:pPr>
            <w:r w:rsidRPr="000A6DB5">
              <w:rPr>
                <w:lang w:val="en-GB"/>
              </w:rPr>
              <w:t>5.96</w:t>
            </w:r>
          </w:p>
        </w:tc>
        <w:tc>
          <w:tcPr>
            <w:tcW w:w="1009" w:type="dxa"/>
            <w:vAlign w:val="center"/>
          </w:tcPr>
          <w:p w14:paraId="47EFD250" w14:textId="77777777" w:rsidR="00022163" w:rsidRPr="000A6DB5" w:rsidRDefault="00022163" w:rsidP="002023F8">
            <w:pPr>
              <w:pStyle w:val="ExhibitText"/>
              <w:jc w:val="right"/>
              <w:rPr>
                <w:lang w:val="en-GB"/>
              </w:rPr>
            </w:pPr>
            <w:r w:rsidRPr="000A6DB5">
              <w:rPr>
                <w:lang w:val="en-GB"/>
              </w:rPr>
              <w:t>6.08</w:t>
            </w:r>
          </w:p>
        </w:tc>
        <w:tc>
          <w:tcPr>
            <w:tcW w:w="955" w:type="dxa"/>
            <w:vAlign w:val="center"/>
          </w:tcPr>
          <w:p w14:paraId="56641703" w14:textId="77777777" w:rsidR="00022163" w:rsidRPr="000A6DB5" w:rsidRDefault="00022163" w:rsidP="002023F8">
            <w:pPr>
              <w:pStyle w:val="ExhibitText"/>
              <w:jc w:val="right"/>
              <w:rPr>
                <w:lang w:val="en-GB"/>
              </w:rPr>
            </w:pPr>
            <w:r w:rsidRPr="000A6DB5">
              <w:rPr>
                <w:lang w:val="en-GB"/>
              </w:rPr>
              <w:t>5.78</w:t>
            </w:r>
          </w:p>
        </w:tc>
      </w:tr>
      <w:tr w:rsidR="00022163" w:rsidRPr="000A6DB5" w14:paraId="1B7B3098" w14:textId="77777777" w:rsidTr="002023F8">
        <w:trPr>
          <w:jc w:val="center"/>
        </w:trPr>
        <w:tc>
          <w:tcPr>
            <w:tcW w:w="1677" w:type="dxa"/>
          </w:tcPr>
          <w:p w14:paraId="49C753AD" w14:textId="77777777" w:rsidR="00022163" w:rsidRPr="000A6DB5" w:rsidRDefault="00022163" w:rsidP="00022163">
            <w:pPr>
              <w:pStyle w:val="ExhibitText"/>
              <w:rPr>
                <w:lang w:val="en-GB"/>
              </w:rPr>
            </w:pPr>
            <w:r w:rsidRPr="000A6DB5">
              <w:rPr>
                <w:lang w:val="en-GB"/>
              </w:rPr>
              <w:t>Yellow Diamond</w:t>
            </w:r>
          </w:p>
        </w:tc>
        <w:tc>
          <w:tcPr>
            <w:tcW w:w="3358" w:type="dxa"/>
          </w:tcPr>
          <w:p w14:paraId="7EE1FD58" w14:textId="77777777" w:rsidR="00022163" w:rsidRPr="000A6DB5" w:rsidRDefault="00022163" w:rsidP="00022163">
            <w:pPr>
              <w:pStyle w:val="ExhibitText"/>
              <w:rPr>
                <w:lang w:val="en-GB"/>
              </w:rPr>
            </w:pPr>
            <w:r w:rsidRPr="000A6DB5">
              <w:rPr>
                <w:lang w:val="en-GB"/>
              </w:rPr>
              <w:t>Prataap Snacks Pvt. Ltd.</w:t>
            </w:r>
          </w:p>
        </w:tc>
        <w:tc>
          <w:tcPr>
            <w:tcW w:w="1054" w:type="dxa"/>
            <w:vAlign w:val="center"/>
          </w:tcPr>
          <w:p w14:paraId="3EC10F95" w14:textId="77777777" w:rsidR="00022163" w:rsidRPr="000A6DB5" w:rsidRDefault="00022163" w:rsidP="002023F8">
            <w:pPr>
              <w:pStyle w:val="ExhibitText"/>
              <w:jc w:val="right"/>
              <w:rPr>
                <w:lang w:val="en-GB"/>
              </w:rPr>
            </w:pPr>
            <w:r w:rsidRPr="000A6DB5">
              <w:rPr>
                <w:lang w:val="en-GB"/>
              </w:rPr>
              <w:t>4.02</w:t>
            </w:r>
          </w:p>
        </w:tc>
        <w:tc>
          <w:tcPr>
            <w:tcW w:w="873" w:type="dxa"/>
            <w:vAlign w:val="center"/>
          </w:tcPr>
          <w:p w14:paraId="0F7F8F4A" w14:textId="77777777" w:rsidR="00022163" w:rsidRPr="000A6DB5" w:rsidRDefault="00022163" w:rsidP="002023F8">
            <w:pPr>
              <w:pStyle w:val="ExhibitText"/>
              <w:jc w:val="right"/>
              <w:rPr>
                <w:lang w:val="en-GB"/>
              </w:rPr>
            </w:pPr>
            <w:r w:rsidRPr="000A6DB5">
              <w:rPr>
                <w:lang w:val="en-GB"/>
              </w:rPr>
              <w:t>4.33</w:t>
            </w:r>
          </w:p>
        </w:tc>
        <w:tc>
          <w:tcPr>
            <w:tcW w:w="1009" w:type="dxa"/>
            <w:vAlign w:val="center"/>
          </w:tcPr>
          <w:p w14:paraId="2BA8BA4A" w14:textId="77777777" w:rsidR="00022163" w:rsidRPr="000A6DB5" w:rsidRDefault="00022163" w:rsidP="002023F8">
            <w:pPr>
              <w:pStyle w:val="ExhibitText"/>
              <w:jc w:val="right"/>
              <w:rPr>
                <w:lang w:val="en-GB"/>
              </w:rPr>
            </w:pPr>
            <w:r w:rsidRPr="000A6DB5">
              <w:rPr>
                <w:lang w:val="en-GB"/>
              </w:rPr>
              <w:t>4.64</w:t>
            </w:r>
          </w:p>
        </w:tc>
        <w:tc>
          <w:tcPr>
            <w:tcW w:w="955" w:type="dxa"/>
            <w:vAlign w:val="center"/>
          </w:tcPr>
          <w:p w14:paraId="02FF6966" w14:textId="77777777" w:rsidR="00022163" w:rsidRPr="000A6DB5" w:rsidRDefault="00022163" w:rsidP="002023F8">
            <w:pPr>
              <w:pStyle w:val="ExhibitText"/>
              <w:jc w:val="right"/>
              <w:rPr>
                <w:lang w:val="en-GB"/>
              </w:rPr>
            </w:pPr>
            <w:r w:rsidRPr="000A6DB5">
              <w:rPr>
                <w:lang w:val="en-GB"/>
              </w:rPr>
              <w:t>5.25</w:t>
            </w:r>
          </w:p>
        </w:tc>
      </w:tr>
      <w:tr w:rsidR="00022163" w:rsidRPr="000A6DB5" w14:paraId="6853E762" w14:textId="77777777" w:rsidTr="002023F8">
        <w:trPr>
          <w:jc w:val="center"/>
        </w:trPr>
        <w:tc>
          <w:tcPr>
            <w:tcW w:w="1677" w:type="dxa"/>
          </w:tcPr>
          <w:p w14:paraId="6003F616" w14:textId="77777777" w:rsidR="00022163" w:rsidRPr="000A6DB5" w:rsidRDefault="00022163" w:rsidP="00022163">
            <w:pPr>
              <w:pStyle w:val="ExhibitText"/>
              <w:rPr>
                <w:lang w:val="en-GB"/>
              </w:rPr>
            </w:pPr>
            <w:r w:rsidRPr="000A6DB5">
              <w:rPr>
                <w:lang w:val="en-GB"/>
              </w:rPr>
              <w:t>Britannia</w:t>
            </w:r>
          </w:p>
        </w:tc>
        <w:tc>
          <w:tcPr>
            <w:tcW w:w="3358" w:type="dxa"/>
          </w:tcPr>
          <w:p w14:paraId="130483AF" w14:textId="77777777" w:rsidR="00022163" w:rsidRPr="000A6DB5" w:rsidRDefault="00022163" w:rsidP="00022163">
            <w:pPr>
              <w:pStyle w:val="ExhibitText"/>
              <w:rPr>
                <w:lang w:val="en-GB"/>
              </w:rPr>
            </w:pPr>
            <w:r w:rsidRPr="000A6DB5">
              <w:rPr>
                <w:lang w:val="en-GB"/>
              </w:rPr>
              <w:t>Britannia Industries Ltd.</w:t>
            </w:r>
          </w:p>
        </w:tc>
        <w:tc>
          <w:tcPr>
            <w:tcW w:w="1054" w:type="dxa"/>
            <w:vAlign w:val="center"/>
          </w:tcPr>
          <w:p w14:paraId="2F3C9450" w14:textId="77777777" w:rsidR="00022163" w:rsidRPr="000A6DB5" w:rsidRDefault="00022163" w:rsidP="002023F8">
            <w:pPr>
              <w:pStyle w:val="ExhibitText"/>
              <w:jc w:val="right"/>
              <w:rPr>
                <w:lang w:val="en-GB"/>
              </w:rPr>
            </w:pPr>
            <w:r w:rsidRPr="000A6DB5">
              <w:rPr>
                <w:lang w:val="en-GB"/>
              </w:rPr>
              <w:t>5.57</w:t>
            </w:r>
          </w:p>
        </w:tc>
        <w:tc>
          <w:tcPr>
            <w:tcW w:w="873" w:type="dxa"/>
            <w:vAlign w:val="center"/>
          </w:tcPr>
          <w:p w14:paraId="42127C55" w14:textId="77777777" w:rsidR="00022163" w:rsidRPr="000A6DB5" w:rsidRDefault="00022163" w:rsidP="002023F8">
            <w:pPr>
              <w:pStyle w:val="ExhibitText"/>
              <w:jc w:val="right"/>
              <w:rPr>
                <w:lang w:val="en-GB"/>
              </w:rPr>
            </w:pPr>
            <w:r w:rsidRPr="000A6DB5">
              <w:rPr>
                <w:lang w:val="en-GB"/>
              </w:rPr>
              <w:t>5.22</w:t>
            </w:r>
          </w:p>
        </w:tc>
        <w:tc>
          <w:tcPr>
            <w:tcW w:w="1009" w:type="dxa"/>
            <w:vAlign w:val="center"/>
          </w:tcPr>
          <w:p w14:paraId="5A38965A" w14:textId="77777777" w:rsidR="00022163" w:rsidRPr="000A6DB5" w:rsidRDefault="00022163" w:rsidP="002023F8">
            <w:pPr>
              <w:pStyle w:val="ExhibitText"/>
              <w:jc w:val="right"/>
              <w:rPr>
                <w:lang w:val="en-GB"/>
              </w:rPr>
            </w:pPr>
            <w:r w:rsidRPr="000A6DB5">
              <w:rPr>
                <w:lang w:val="en-GB"/>
              </w:rPr>
              <w:t>5.05</w:t>
            </w:r>
          </w:p>
        </w:tc>
        <w:tc>
          <w:tcPr>
            <w:tcW w:w="955" w:type="dxa"/>
            <w:vAlign w:val="center"/>
          </w:tcPr>
          <w:p w14:paraId="47ECF3DB" w14:textId="77777777" w:rsidR="00022163" w:rsidRPr="000A6DB5" w:rsidRDefault="00022163" w:rsidP="002023F8">
            <w:pPr>
              <w:pStyle w:val="ExhibitText"/>
              <w:jc w:val="right"/>
              <w:rPr>
                <w:lang w:val="en-GB"/>
              </w:rPr>
            </w:pPr>
            <w:r w:rsidRPr="000A6DB5">
              <w:rPr>
                <w:lang w:val="en-GB"/>
              </w:rPr>
              <w:t>5.11</w:t>
            </w:r>
          </w:p>
        </w:tc>
      </w:tr>
      <w:tr w:rsidR="00022163" w:rsidRPr="000A6DB5" w14:paraId="4CE1ECD0" w14:textId="77777777" w:rsidTr="002023F8">
        <w:trPr>
          <w:jc w:val="center"/>
        </w:trPr>
        <w:tc>
          <w:tcPr>
            <w:tcW w:w="1677" w:type="dxa"/>
          </w:tcPr>
          <w:p w14:paraId="75E077BC" w14:textId="77777777" w:rsidR="00022163" w:rsidRPr="000A6DB5" w:rsidRDefault="00022163" w:rsidP="00022163">
            <w:pPr>
              <w:pStyle w:val="ExhibitText"/>
              <w:rPr>
                <w:lang w:val="en-GB"/>
              </w:rPr>
            </w:pPr>
            <w:r w:rsidRPr="000A6DB5">
              <w:rPr>
                <w:lang w:val="en-GB"/>
              </w:rPr>
              <w:t>Parle</w:t>
            </w:r>
          </w:p>
        </w:tc>
        <w:tc>
          <w:tcPr>
            <w:tcW w:w="3358" w:type="dxa"/>
          </w:tcPr>
          <w:p w14:paraId="3F5E5F08" w14:textId="77777777" w:rsidR="00022163" w:rsidRPr="000A6DB5" w:rsidRDefault="00022163" w:rsidP="00022163">
            <w:pPr>
              <w:pStyle w:val="ExhibitText"/>
              <w:rPr>
                <w:lang w:val="en-GB"/>
              </w:rPr>
            </w:pPr>
            <w:r w:rsidRPr="000A6DB5">
              <w:rPr>
                <w:lang w:val="en-GB"/>
              </w:rPr>
              <w:t>Parle Products Pvt. Ltd.</w:t>
            </w:r>
          </w:p>
        </w:tc>
        <w:tc>
          <w:tcPr>
            <w:tcW w:w="1054" w:type="dxa"/>
            <w:vAlign w:val="center"/>
          </w:tcPr>
          <w:p w14:paraId="227099F0" w14:textId="77777777" w:rsidR="00022163" w:rsidRPr="000A6DB5" w:rsidRDefault="00022163" w:rsidP="002023F8">
            <w:pPr>
              <w:pStyle w:val="ExhibitText"/>
              <w:jc w:val="right"/>
              <w:rPr>
                <w:lang w:val="en-GB"/>
              </w:rPr>
            </w:pPr>
            <w:r w:rsidRPr="000A6DB5">
              <w:rPr>
                <w:lang w:val="en-GB"/>
              </w:rPr>
              <w:t>5.54</w:t>
            </w:r>
          </w:p>
        </w:tc>
        <w:tc>
          <w:tcPr>
            <w:tcW w:w="873" w:type="dxa"/>
            <w:vAlign w:val="center"/>
          </w:tcPr>
          <w:p w14:paraId="54CE5278" w14:textId="77777777" w:rsidR="00022163" w:rsidRPr="000A6DB5" w:rsidRDefault="00022163" w:rsidP="002023F8">
            <w:pPr>
              <w:pStyle w:val="ExhibitText"/>
              <w:jc w:val="right"/>
              <w:rPr>
                <w:lang w:val="en-GB"/>
              </w:rPr>
            </w:pPr>
            <w:r w:rsidRPr="000A6DB5">
              <w:rPr>
                <w:lang w:val="en-GB"/>
              </w:rPr>
              <w:t>5.47</w:t>
            </w:r>
          </w:p>
        </w:tc>
        <w:tc>
          <w:tcPr>
            <w:tcW w:w="1009" w:type="dxa"/>
            <w:vAlign w:val="center"/>
          </w:tcPr>
          <w:p w14:paraId="0A3EADF9" w14:textId="77777777" w:rsidR="00022163" w:rsidRPr="000A6DB5" w:rsidRDefault="00022163" w:rsidP="002023F8">
            <w:pPr>
              <w:pStyle w:val="ExhibitText"/>
              <w:jc w:val="right"/>
              <w:rPr>
                <w:lang w:val="en-GB"/>
              </w:rPr>
            </w:pPr>
            <w:r w:rsidRPr="000A6DB5">
              <w:rPr>
                <w:lang w:val="en-GB"/>
              </w:rPr>
              <w:t>5.12</w:t>
            </w:r>
          </w:p>
        </w:tc>
        <w:tc>
          <w:tcPr>
            <w:tcW w:w="955" w:type="dxa"/>
            <w:vAlign w:val="center"/>
          </w:tcPr>
          <w:p w14:paraId="21A4DDE9" w14:textId="77777777" w:rsidR="00022163" w:rsidRPr="000A6DB5" w:rsidRDefault="00022163" w:rsidP="002023F8">
            <w:pPr>
              <w:pStyle w:val="ExhibitText"/>
              <w:jc w:val="right"/>
              <w:rPr>
                <w:lang w:val="en-GB"/>
              </w:rPr>
            </w:pPr>
            <w:r w:rsidRPr="000A6DB5">
              <w:rPr>
                <w:lang w:val="en-GB"/>
              </w:rPr>
              <w:t>5.02</w:t>
            </w:r>
          </w:p>
        </w:tc>
      </w:tr>
      <w:tr w:rsidR="00022163" w:rsidRPr="000A6DB5" w14:paraId="2DF20A1B" w14:textId="77777777" w:rsidTr="002023F8">
        <w:trPr>
          <w:jc w:val="center"/>
        </w:trPr>
        <w:tc>
          <w:tcPr>
            <w:tcW w:w="1677" w:type="dxa"/>
          </w:tcPr>
          <w:p w14:paraId="1246D81C" w14:textId="6EFFDD1A" w:rsidR="00022163" w:rsidRPr="000A6DB5" w:rsidRDefault="00022163" w:rsidP="00022163">
            <w:pPr>
              <w:pStyle w:val="ExhibitText"/>
              <w:rPr>
                <w:lang w:val="en-GB"/>
              </w:rPr>
            </w:pPr>
            <w:r w:rsidRPr="000A6DB5">
              <w:rPr>
                <w:lang w:val="en-GB"/>
              </w:rPr>
              <w:t>Lay</w:t>
            </w:r>
            <w:r w:rsidR="00525D9E" w:rsidRPr="000A6DB5">
              <w:rPr>
                <w:lang w:val="en-GB"/>
              </w:rPr>
              <w:t>’</w:t>
            </w:r>
            <w:r w:rsidRPr="000A6DB5">
              <w:rPr>
                <w:lang w:val="en-GB"/>
              </w:rPr>
              <w:t>s</w:t>
            </w:r>
          </w:p>
        </w:tc>
        <w:tc>
          <w:tcPr>
            <w:tcW w:w="3358" w:type="dxa"/>
          </w:tcPr>
          <w:p w14:paraId="42DD56E7" w14:textId="20ABD746" w:rsidR="00022163" w:rsidRPr="000A6DB5" w:rsidRDefault="00022163">
            <w:pPr>
              <w:pStyle w:val="ExhibitText"/>
              <w:rPr>
                <w:lang w:val="en-GB"/>
              </w:rPr>
            </w:pPr>
            <w:r w:rsidRPr="000A6DB5">
              <w:rPr>
                <w:lang w:val="en-GB"/>
              </w:rPr>
              <w:t>Pepsi</w:t>
            </w:r>
            <w:r w:rsidR="00525D9E" w:rsidRPr="000A6DB5">
              <w:rPr>
                <w:lang w:val="en-GB"/>
              </w:rPr>
              <w:t>C</w:t>
            </w:r>
            <w:r w:rsidRPr="000A6DB5">
              <w:rPr>
                <w:lang w:val="en-GB"/>
              </w:rPr>
              <w:t>o India Ltd.</w:t>
            </w:r>
          </w:p>
        </w:tc>
        <w:tc>
          <w:tcPr>
            <w:tcW w:w="1054" w:type="dxa"/>
            <w:vAlign w:val="center"/>
          </w:tcPr>
          <w:p w14:paraId="405BC69E" w14:textId="77777777" w:rsidR="00022163" w:rsidRPr="000A6DB5" w:rsidRDefault="00022163" w:rsidP="002023F8">
            <w:pPr>
              <w:pStyle w:val="ExhibitText"/>
              <w:jc w:val="right"/>
              <w:rPr>
                <w:lang w:val="en-GB"/>
              </w:rPr>
            </w:pPr>
            <w:r w:rsidRPr="000A6DB5">
              <w:rPr>
                <w:lang w:val="en-GB"/>
              </w:rPr>
              <w:t>7.14</w:t>
            </w:r>
          </w:p>
        </w:tc>
        <w:tc>
          <w:tcPr>
            <w:tcW w:w="873" w:type="dxa"/>
            <w:vAlign w:val="center"/>
          </w:tcPr>
          <w:p w14:paraId="1BDF680D" w14:textId="77777777" w:rsidR="00022163" w:rsidRPr="000A6DB5" w:rsidRDefault="00022163" w:rsidP="002023F8">
            <w:pPr>
              <w:pStyle w:val="ExhibitText"/>
              <w:jc w:val="right"/>
              <w:rPr>
                <w:lang w:val="en-GB"/>
              </w:rPr>
            </w:pPr>
            <w:r w:rsidRPr="000A6DB5">
              <w:rPr>
                <w:lang w:val="en-GB"/>
              </w:rPr>
              <w:t>6.02</w:t>
            </w:r>
          </w:p>
        </w:tc>
        <w:tc>
          <w:tcPr>
            <w:tcW w:w="1009" w:type="dxa"/>
            <w:vAlign w:val="center"/>
          </w:tcPr>
          <w:p w14:paraId="64A78D97" w14:textId="77777777" w:rsidR="00022163" w:rsidRPr="000A6DB5" w:rsidRDefault="00022163" w:rsidP="002023F8">
            <w:pPr>
              <w:pStyle w:val="ExhibitText"/>
              <w:jc w:val="right"/>
              <w:rPr>
                <w:lang w:val="en-GB"/>
              </w:rPr>
            </w:pPr>
            <w:r w:rsidRPr="000A6DB5">
              <w:rPr>
                <w:lang w:val="en-GB"/>
              </w:rPr>
              <w:t>5.01</w:t>
            </w:r>
          </w:p>
        </w:tc>
        <w:tc>
          <w:tcPr>
            <w:tcW w:w="955" w:type="dxa"/>
            <w:vAlign w:val="center"/>
          </w:tcPr>
          <w:p w14:paraId="0AEFD604" w14:textId="77777777" w:rsidR="00022163" w:rsidRPr="000A6DB5" w:rsidRDefault="00022163" w:rsidP="002023F8">
            <w:pPr>
              <w:pStyle w:val="ExhibitText"/>
              <w:jc w:val="right"/>
              <w:rPr>
                <w:lang w:val="en-GB"/>
              </w:rPr>
            </w:pPr>
            <w:r w:rsidRPr="000A6DB5">
              <w:rPr>
                <w:lang w:val="en-GB"/>
              </w:rPr>
              <w:t>4.37</w:t>
            </w:r>
          </w:p>
        </w:tc>
      </w:tr>
      <w:tr w:rsidR="00022163" w:rsidRPr="000A6DB5" w14:paraId="2B7E16C7" w14:textId="77777777" w:rsidTr="002023F8">
        <w:trPr>
          <w:jc w:val="center"/>
        </w:trPr>
        <w:tc>
          <w:tcPr>
            <w:tcW w:w="1677" w:type="dxa"/>
          </w:tcPr>
          <w:p w14:paraId="397A7F8E" w14:textId="77777777" w:rsidR="00022163" w:rsidRPr="000A6DB5" w:rsidRDefault="00022163" w:rsidP="00022163">
            <w:pPr>
              <w:pStyle w:val="ExhibitText"/>
              <w:rPr>
                <w:lang w:val="en-GB"/>
              </w:rPr>
            </w:pPr>
            <w:r w:rsidRPr="000A6DB5">
              <w:rPr>
                <w:lang w:val="en-GB"/>
              </w:rPr>
              <w:t>Kurkure</w:t>
            </w:r>
          </w:p>
        </w:tc>
        <w:tc>
          <w:tcPr>
            <w:tcW w:w="3358" w:type="dxa"/>
          </w:tcPr>
          <w:p w14:paraId="2B7C4AF2" w14:textId="53683DAC" w:rsidR="00022163" w:rsidRPr="000A6DB5" w:rsidRDefault="00022163">
            <w:pPr>
              <w:pStyle w:val="ExhibitText"/>
              <w:rPr>
                <w:lang w:val="en-GB"/>
              </w:rPr>
            </w:pPr>
            <w:r w:rsidRPr="000A6DB5">
              <w:rPr>
                <w:lang w:val="en-GB"/>
              </w:rPr>
              <w:t>Pepsi</w:t>
            </w:r>
            <w:r w:rsidR="00525D9E" w:rsidRPr="000A6DB5">
              <w:rPr>
                <w:lang w:val="en-GB"/>
              </w:rPr>
              <w:t>C</w:t>
            </w:r>
            <w:r w:rsidRPr="000A6DB5">
              <w:rPr>
                <w:lang w:val="en-GB"/>
              </w:rPr>
              <w:t>o India Ltd.</w:t>
            </w:r>
          </w:p>
        </w:tc>
        <w:tc>
          <w:tcPr>
            <w:tcW w:w="1054" w:type="dxa"/>
            <w:vAlign w:val="center"/>
          </w:tcPr>
          <w:p w14:paraId="5A53F004" w14:textId="77777777" w:rsidR="00022163" w:rsidRPr="000A6DB5" w:rsidRDefault="00022163" w:rsidP="002023F8">
            <w:pPr>
              <w:pStyle w:val="ExhibitText"/>
              <w:jc w:val="right"/>
              <w:rPr>
                <w:lang w:val="en-GB"/>
              </w:rPr>
            </w:pPr>
            <w:r w:rsidRPr="000A6DB5">
              <w:rPr>
                <w:lang w:val="en-GB"/>
              </w:rPr>
              <w:t>4.13</w:t>
            </w:r>
          </w:p>
        </w:tc>
        <w:tc>
          <w:tcPr>
            <w:tcW w:w="873" w:type="dxa"/>
            <w:vAlign w:val="center"/>
          </w:tcPr>
          <w:p w14:paraId="612BBBF1" w14:textId="77777777" w:rsidR="00022163" w:rsidRPr="000A6DB5" w:rsidRDefault="00022163" w:rsidP="002023F8">
            <w:pPr>
              <w:pStyle w:val="ExhibitText"/>
              <w:jc w:val="right"/>
              <w:rPr>
                <w:lang w:val="en-GB"/>
              </w:rPr>
            </w:pPr>
            <w:r w:rsidRPr="000A6DB5">
              <w:rPr>
                <w:lang w:val="en-GB"/>
              </w:rPr>
              <w:t>3.98</w:t>
            </w:r>
          </w:p>
        </w:tc>
        <w:tc>
          <w:tcPr>
            <w:tcW w:w="1009" w:type="dxa"/>
            <w:vAlign w:val="center"/>
          </w:tcPr>
          <w:p w14:paraId="65D5FB5E" w14:textId="77777777" w:rsidR="00022163" w:rsidRPr="000A6DB5" w:rsidRDefault="00022163" w:rsidP="002023F8">
            <w:pPr>
              <w:pStyle w:val="ExhibitText"/>
              <w:jc w:val="right"/>
              <w:rPr>
                <w:lang w:val="en-GB"/>
              </w:rPr>
            </w:pPr>
            <w:r w:rsidRPr="000A6DB5">
              <w:rPr>
                <w:lang w:val="en-GB"/>
              </w:rPr>
              <w:t>3.65</w:t>
            </w:r>
          </w:p>
        </w:tc>
        <w:tc>
          <w:tcPr>
            <w:tcW w:w="955" w:type="dxa"/>
            <w:vAlign w:val="center"/>
          </w:tcPr>
          <w:p w14:paraId="5D1937CA" w14:textId="77777777" w:rsidR="00022163" w:rsidRPr="000A6DB5" w:rsidRDefault="00022163" w:rsidP="002023F8">
            <w:pPr>
              <w:pStyle w:val="ExhibitText"/>
              <w:jc w:val="right"/>
              <w:rPr>
                <w:lang w:val="en-GB"/>
              </w:rPr>
            </w:pPr>
            <w:r w:rsidRPr="000A6DB5">
              <w:rPr>
                <w:lang w:val="en-GB"/>
              </w:rPr>
              <w:t>3.08</w:t>
            </w:r>
          </w:p>
        </w:tc>
      </w:tr>
      <w:tr w:rsidR="00022163" w:rsidRPr="000A6DB5" w14:paraId="1CA77907" w14:textId="77777777" w:rsidTr="002023F8">
        <w:trPr>
          <w:jc w:val="center"/>
        </w:trPr>
        <w:tc>
          <w:tcPr>
            <w:tcW w:w="1677" w:type="dxa"/>
          </w:tcPr>
          <w:p w14:paraId="1F3C9455" w14:textId="77777777" w:rsidR="00022163" w:rsidRPr="000A6DB5" w:rsidRDefault="00022163" w:rsidP="00022163">
            <w:pPr>
              <w:pStyle w:val="ExhibitText"/>
              <w:rPr>
                <w:lang w:val="en-GB"/>
              </w:rPr>
            </w:pPr>
            <w:r w:rsidRPr="000A6DB5">
              <w:rPr>
                <w:lang w:val="en-GB"/>
              </w:rPr>
              <w:t>Crax</w:t>
            </w:r>
          </w:p>
        </w:tc>
        <w:tc>
          <w:tcPr>
            <w:tcW w:w="3358" w:type="dxa"/>
          </w:tcPr>
          <w:p w14:paraId="721331A8" w14:textId="77777777" w:rsidR="00022163" w:rsidRPr="000A6DB5" w:rsidRDefault="00022163" w:rsidP="00022163">
            <w:pPr>
              <w:pStyle w:val="ExhibitText"/>
              <w:rPr>
                <w:lang w:val="en-GB"/>
              </w:rPr>
            </w:pPr>
            <w:r w:rsidRPr="000A6DB5">
              <w:rPr>
                <w:lang w:val="en-GB"/>
              </w:rPr>
              <w:t>DFM Foods</w:t>
            </w:r>
          </w:p>
        </w:tc>
        <w:tc>
          <w:tcPr>
            <w:tcW w:w="1054" w:type="dxa"/>
            <w:vAlign w:val="center"/>
          </w:tcPr>
          <w:p w14:paraId="6564DD62" w14:textId="77777777" w:rsidR="00022163" w:rsidRPr="000A6DB5" w:rsidRDefault="00022163" w:rsidP="002023F8">
            <w:pPr>
              <w:pStyle w:val="ExhibitText"/>
              <w:jc w:val="right"/>
              <w:rPr>
                <w:lang w:val="en-GB"/>
              </w:rPr>
            </w:pPr>
            <w:r w:rsidRPr="000A6DB5">
              <w:rPr>
                <w:lang w:val="en-GB"/>
              </w:rPr>
              <w:t>1.99</w:t>
            </w:r>
          </w:p>
        </w:tc>
        <w:tc>
          <w:tcPr>
            <w:tcW w:w="873" w:type="dxa"/>
            <w:vAlign w:val="center"/>
          </w:tcPr>
          <w:p w14:paraId="698DF368" w14:textId="77777777" w:rsidR="00022163" w:rsidRPr="000A6DB5" w:rsidRDefault="00022163" w:rsidP="002023F8">
            <w:pPr>
              <w:pStyle w:val="ExhibitText"/>
              <w:jc w:val="right"/>
              <w:rPr>
                <w:lang w:val="en-GB"/>
              </w:rPr>
            </w:pPr>
            <w:r w:rsidRPr="000A6DB5">
              <w:rPr>
                <w:lang w:val="en-GB"/>
              </w:rPr>
              <w:t>2.10</w:t>
            </w:r>
          </w:p>
        </w:tc>
        <w:tc>
          <w:tcPr>
            <w:tcW w:w="1009" w:type="dxa"/>
            <w:vAlign w:val="center"/>
          </w:tcPr>
          <w:p w14:paraId="05BFD1D3" w14:textId="77777777" w:rsidR="00022163" w:rsidRPr="000A6DB5" w:rsidRDefault="00022163" w:rsidP="002023F8">
            <w:pPr>
              <w:pStyle w:val="ExhibitText"/>
              <w:jc w:val="right"/>
              <w:rPr>
                <w:lang w:val="en-GB"/>
              </w:rPr>
            </w:pPr>
            <w:r w:rsidRPr="000A6DB5">
              <w:rPr>
                <w:lang w:val="en-GB"/>
              </w:rPr>
              <w:t>2.32</w:t>
            </w:r>
          </w:p>
        </w:tc>
        <w:tc>
          <w:tcPr>
            <w:tcW w:w="955" w:type="dxa"/>
            <w:vAlign w:val="center"/>
          </w:tcPr>
          <w:p w14:paraId="2AE1347D" w14:textId="77777777" w:rsidR="00022163" w:rsidRPr="000A6DB5" w:rsidRDefault="00022163" w:rsidP="002023F8">
            <w:pPr>
              <w:pStyle w:val="ExhibitText"/>
              <w:jc w:val="right"/>
              <w:rPr>
                <w:lang w:val="en-GB"/>
              </w:rPr>
            </w:pPr>
            <w:r w:rsidRPr="000A6DB5">
              <w:rPr>
                <w:lang w:val="en-GB"/>
              </w:rPr>
              <w:t>2.72</w:t>
            </w:r>
          </w:p>
        </w:tc>
      </w:tr>
      <w:tr w:rsidR="00022163" w:rsidRPr="000A6DB5" w14:paraId="60E8D8E3" w14:textId="77777777" w:rsidTr="002023F8">
        <w:trPr>
          <w:jc w:val="center"/>
        </w:trPr>
        <w:tc>
          <w:tcPr>
            <w:tcW w:w="1677" w:type="dxa"/>
          </w:tcPr>
          <w:p w14:paraId="5FDABE4F" w14:textId="77777777" w:rsidR="00022163" w:rsidRPr="000A6DB5" w:rsidRDefault="00022163" w:rsidP="00022163">
            <w:pPr>
              <w:pStyle w:val="ExhibitText"/>
              <w:rPr>
                <w:lang w:val="en-GB"/>
              </w:rPr>
            </w:pPr>
            <w:r w:rsidRPr="000A6DB5">
              <w:rPr>
                <w:lang w:val="en-GB"/>
              </w:rPr>
              <w:t>Bikaji</w:t>
            </w:r>
          </w:p>
        </w:tc>
        <w:tc>
          <w:tcPr>
            <w:tcW w:w="3358" w:type="dxa"/>
          </w:tcPr>
          <w:p w14:paraId="65C3C273" w14:textId="77777777" w:rsidR="00022163" w:rsidRPr="000A6DB5" w:rsidRDefault="00022163" w:rsidP="00022163">
            <w:pPr>
              <w:pStyle w:val="ExhibitText"/>
              <w:rPr>
                <w:lang w:val="en-GB"/>
              </w:rPr>
            </w:pPr>
            <w:r w:rsidRPr="000A6DB5">
              <w:rPr>
                <w:lang w:val="en-GB"/>
              </w:rPr>
              <w:t>Bikaji Foods International Ltd.</w:t>
            </w:r>
          </w:p>
        </w:tc>
        <w:tc>
          <w:tcPr>
            <w:tcW w:w="1054" w:type="dxa"/>
            <w:vAlign w:val="center"/>
          </w:tcPr>
          <w:p w14:paraId="2207A93E" w14:textId="77777777" w:rsidR="00022163" w:rsidRPr="000A6DB5" w:rsidRDefault="00022163" w:rsidP="002023F8">
            <w:pPr>
              <w:pStyle w:val="ExhibitText"/>
              <w:jc w:val="right"/>
              <w:rPr>
                <w:lang w:val="en-GB"/>
              </w:rPr>
            </w:pPr>
            <w:r w:rsidRPr="000A6DB5">
              <w:rPr>
                <w:lang w:val="en-GB"/>
              </w:rPr>
              <w:t>2.61</w:t>
            </w:r>
          </w:p>
        </w:tc>
        <w:tc>
          <w:tcPr>
            <w:tcW w:w="873" w:type="dxa"/>
            <w:vAlign w:val="center"/>
          </w:tcPr>
          <w:p w14:paraId="1AF485D8" w14:textId="77777777" w:rsidR="00022163" w:rsidRPr="000A6DB5" w:rsidRDefault="00022163" w:rsidP="002023F8">
            <w:pPr>
              <w:pStyle w:val="ExhibitText"/>
              <w:jc w:val="right"/>
              <w:rPr>
                <w:lang w:val="en-GB"/>
              </w:rPr>
            </w:pPr>
            <w:r w:rsidRPr="000A6DB5">
              <w:rPr>
                <w:lang w:val="en-GB"/>
              </w:rPr>
              <w:t>2.46</w:t>
            </w:r>
          </w:p>
        </w:tc>
        <w:tc>
          <w:tcPr>
            <w:tcW w:w="1009" w:type="dxa"/>
            <w:vAlign w:val="center"/>
          </w:tcPr>
          <w:p w14:paraId="31BF6C89" w14:textId="77777777" w:rsidR="00022163" w:rsidRPr="000A6DB5" w:rsidRDefault="00022163" w:rsidP="002023F8">
            <w:pPr>
              <w:pStyle w:val="ExhibitText"/>
              <w:jc w:val="right"/>
              <w:rPr>
                <w:lang w:val="en-GB"/>
              </w:rPr>
            </w:pPr>
            <w:r w:rsidRPr="000A6DB5">
              <w:rPr>
                <w:lang w:val="en-GB"/>
              </w:rPr>
              <w:t>2.37</w:t>
            </w:r>
          </w:p>
        </w:tc>
        <w:tc>
          <w:tcPr>
            <w:tcW w:w="955" w:type="dxa"/>
            <w:vAlign w:val="center"/>
          </w:tcPr>
          <w:p w14:paraId="17B39F09" w14:textId="77777777" w:rsidR="00022163" w:rsidRPr="000A6DB5" w:rsidRDefault="00022163" w:rsidP="002023F8">
            <w:pPr>
              <w:pStyle w:val="ExhibitText"/>
              <w:jc w:val="right"/>
              <w:rPr>
                <w:lang w:val="en-GB"/>
              </w:rPr>
            </w:pPr>
            <w:r w:rsidRPr="000A6DB5">
              <w:rPr>
                <w:lang w:val="en-GB"/>
              </w:rPr>
              <w:t>2.43</w:t>
            </w:r>
          </w:p>
        </w:tc>
      </w:tr>
      <w:tr w:rsidR="00022163" w:rsidRPr="000A6DB5" w14:paraId="611D91B1" w14:textId="77777777" w:rsidTr="002023F8">
        <w:trPr>
          <w:jc w:val="center"/>
        </w:trPr>
        <w:tc>
          <w:tcPr>
            <w:tcW w:w="1677" w:type="dxa"/>
          </w:tcPr>
          <w:p w14:paraId="5FD55447" w14:textId="77777777" w:rsidR="00022163" w:rsidRPr="000A6DB5" w:rsidRDefault="00022163" w:rsidP="00022163">
            <w:pPr>
              <w:pStyle w:val="ExhibitText"/>
              <w:rPr>
                <w:lang w:val="en-GB"/>
              </w:rPr>
            </w:pPr>
            <w:r w:rsidRPr="000A6DB5">
              <w:rPr>
                <w:lang w:val="en-GB"/>
              </w:rPr>
              <w:t>Bikano</w:t>
            </w:r>
          </w:p>
        </w:tc>
        <w:tc>
          <w:tcPr>
            <w:tcW w:w="3358" w:type="dxa"/>
          </w:tcPr>
          <w:p w14:paraId="160F2381" w14:textId="77777777" w:rsidR="00022163" w:rsidRPr="000A6DB5" w:rsidRDefault="00022163" w:rsidP="00022163">
            <w:pPr>
              <w:pStyle w:val="ExhibitText"/>
              <w:rPr>
                <w:lang w:val="en-GB"/>
              </w:rPr>
            </w:pPr>
            <w:r w:rsidRPr="000A6DB5">
              <w:rPr>
                <w:lang w:val="en-GB"/>
              </w:rPr>
              <w:t xml:space="preserve">Bikanervala Foods Pvt. Ltd. </w:t>
            </w:r>
          </w:p>
        </w:tc>
        <w:tc>
          <w:tcPr>
            <w:tcW w:w="1054" w:type="dxa"/>
            <w:vAlign w:val="center"/>
          </w:tcPr>
          <w:p w14:paraId="5DD1BB11" w14:textId="77777777" w:rsidR="00022163" w:rsidRPr="000A6DB5" w:rsidRDefault="00022163" w:rsidP="002023F8">
            <w:pPr>
              <w:pStyle w:val="ExhibitText"/>
              <w:jc w:val="right"/>
              <w:rPr>
                <w:lang w:val="en-GB"/>
              </w:rPr>
            </w:pPr>
            <w:r w:rsidRPr="000A6DB5">
              <w:rPr>
                <w:lang w:val="en-GB"/>
              </w:rPr>
              <w:t>2.21</w:t>
            </w:r>
          </w:p>
        </w:tc>
        <w:tc>
          <w:tcPr>
            <w:tcW w:w="873" w:type="dxa"/>
            <w:vAlign w:val="center"/>
          </w:tcPr>
          <w:p w14:paraId="520265A6" w14:textId="77777777" w:rsidR="00022163" w:rsidRPr="000A6DB5" w:rsidRDefault="00022163" w:rsidP="002023F8">
            <w:pPr>
              <w:pStyle w:val="ExhibitText"/>
              <w:jc w:val="right"/>
              <w:rPr>
                <w:lang w:val="en-GB"/>
              </w:rPr>
            </w:pPr>
            <w:r w:rsidRPr="000A6DB5">
              <w:rPr>
                <w:lang w:val="en-GB"/>
              </w:rPr>
              <w:t>2.11</w:t>
            </w:r>
          </w:p>
        </w:tc>
        <w:tc>
          <w:tcPr>
            <w:tcW w:w="1009" w:type="dxa"/>
            <w:vAlign w:val="center"/>
          </w:tcPr>
          <w:p w14:paraId="41026F6A" w14:textId="77777777" w:rsidR="00022163" w:rsidRPr="000A6DB5" w:rsidRDefault="00022163" w:rsidP="002023F8">
            <w:pPr>
              <w:pStyle w:val="ExhibitText"/>
              <w:jc w:val="right"/>
              <w:rPr>
                <w:lang w:val="en-GB"/>
              </w:rPr>
            </w:pPr>
            <w:r w:rsidRPr="000A6DB5">
              <w:rPr>
                <w:lang w:val="en-GB"/>
              </w:rPr>
              <w:t>2.02</w:t>
            </w:r>
          </w:p>
        </w:tc>
        <w:tc>
          <w:tcPr>
            <w:tcW w:w="955" w:type="dxa"/>
            <w:vAlign w:val="center"/>
          </w:tcPr>
          <w:p w14:paraId="157914BF" w14:textId="77777777" w:rsidR="00022163" w:rsidRPr="000A6DB5" w:rsidRDefault="00022163" w:rsidP="002023F8">
            <w:pPr>
              <w:pStyle w:val="ExhibitText"/>
              <w:jc w:val="right"/>
              <w:rPr>
                <w:lang w:val="en-GB"/>
              </w:rPr>
            </w:pPr>
            <w:r w:rsidRPr="000A6DB5">
              <w:rPr>
                <w:lang w:val="en-GB"/>
              </w:rPr>
              <w:t>2.09</w:t>
            </w:r>
          </w:p>
        </w:tc>
      </w:tr>
    </w:tbl>
    <w:p w14:paraId="5A8818EC" w14:textId="77777777" w:rsidR="00022163" w:rsidRPr="000A6DB5" w:rsidRDefault="00022163" w:rsidP="00022163">
      <w:pPr>
        <w:pStyle w:val="BodyTextMain"/>
        <w:rPr>
          <w:lang w:val="en-GB"/>
        </w:rPr>
      </w:pPr>
    </w:p>
    <w:p w14:paraId="466B16E1" w14:textId="6112E27F" w:rsidR="00022163" w:rsidRPr="000A6DB5" w:rsidRDefault="00022163" w:rsidP="00F043D1">
      <w:pPr>
        <w:pStyle w:val="Footnote"/>
        <w:outlineLvl w:val="0"/>
        <w:rPr>
          <w:lang w:val="en-GB"/>
        </w:rPr>
      </w:pPr>
      <w:r w:rsidRPr="000A6DB5">
        <w:rPr>
          <w:lang w:val="en-GB"/>
        </w:rPr>
        <w:t xml:space="preserve">Source: Euromonitor International, </w:t>
      </w:r>
      <w:r w:rsidR="0072085E" w:rsidRPr="000A6DB5">
        <w:rPr>
          <w:i/>
          <w:lang w:val="en-GB"/>
        </w:rPr>
        <w:t>Savoury</w:t>
      </w:r>
      <w:r w:rsidR="00755896" w:rsidRPr="000A6DB5">
        <w:rPr>
          <w:i/>
          <w:lang w:val="en-GB"/>
        </w:rPr>
        <w:t xml:space="preserve"> </w:t>
      </w:r>
      <w:r w:rsidR="0072085E" w:rsidRPr="000A6DB5">
        <w:rPr>
          <w:i/>
          <w:lang w:val="en-GB"/>
        </w:rPr>
        <w:t>Snacks in India</w:t>
      </w:r>
      <w:r w:rsidR="00B370B9" w:rsidRPr="000A6DB5">
        <w:rPr>
          <w:lang w:val="en-GB"/>
        </w:rPr>
        <w:t>,</w:t>
      </w:r>
      <w:r w:rsidRPr="000A6DB5">
        <w:rPr>
          <w:lang w:val="en-GB"/>
        </w:rPr>
        <w:t xml:space="preserve"> 2017, accessed March 19, 2018.</w:t>
      </w:r>
    </w:p>
    <w:p w14:paraId="15599EF1" w14:textId="77777777" w:rsidR="00022163" w:rsidRPr="000A6DB5" w:rsidRDefault="00022163" w:rsidP="00022163">
      <w:pPr>
        <w:pStyle w:val="BodyTextMain"/>
        <w:rPr>
          <w:lang w:val="en-GB"/>
        </w:rPr>
      </w:pPr>
    </w:p>
    <w:p w14:paraId="359C4D9B" w14:textId="77777777" w:rsidR="00022163" w:rsidRPr="000A6DB5" w:rsidRDefault="00022163" w:rsidP="00022163">
      <w:pPr>
        <w:pStyle w:val="BodyTextMain"/>
        <w:rPr>
          <w:lang w:val="en-GB"/>
        </w:rPr>
      </w:pPr>
    </w:p>
    <w:p w14:paraId="6C90C0FF" w14:textId="2B3AD902" w:rsidR="00293744" w:rsidRPr="000A6DB5" w:rsidRDefault="00293744" w:rsidP="00022163">
      <w:pPr>
        <w:pStyle w:val="Footnote"/>
        <w:rPr>
          <w:b/>
          <w:caps/>
          <w:lang w:val="en-GB"/>
        </w:rPr>
      </w:pPr>
    </w:p>
    <w:p w14:paraId="6B65BBAC" w14:textId="77777777" w:rsidR="00D84076" w:rsidRPr="000A6DB5" w:rsidRDefault="00D84076">
      <w:pPr>
        <w:spacing w:after="200" w:line="276" w:lineRule="auto"/>
        <w:rPr>
          <w:rFonts w:ascii="Arial" w:hAnsi="Arial" w:cs="Arial"/>
          <w:b/>
          <w:caps/>
          <w:lang w:val="en-GB"/>
        </w:rPr>
      </w:pPr>
      <w:r w:rsidRPr="000A6DB5">
        <w:rPr>
          <w:lang w:val="en-GB"/>
        </w:rPr>
        <w:br w:type="page"/>
      </w:r>
    </w:p>
    <w:p w14:paraId="06414563" w14:textId="50EB3BE6" w:rsidR="007E3D82" w:rsidRPr="000A6DB5" w:rsidRDefault="00B04519" w:rsidP="00F043D1">
      <w:pPr>
        <w:pStyle w:val="Casehead1"/>
        <w:outlineLvl w:val="0"/>
        <w:rPr>
          <w:lang w:val="en-GB"/>
        </w:rPr>
      </w:pPr>
      <w:r w:rsidRPr="000A6DB5">
        <w:rPr>
          <w:lang w:val="en-GB"/>
        </w:rPr>
        <w:lastRenderedPageBreak/>
        <w:t>endnotes</w:t>
      </w:r>
    </w:p>
    <w:sectPr w:rsidR="007E3D82" w:rsidRPr="000A6DB5" w:rsidSect="00751E0B">
      <w:headerReference w:type="default" r:id="rId2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15ADED" w16cid:durableId="1F4A256A"/>
  <w16cid:commentId w16cid:paraId="44C06CF2" w16cid:durableId="1F4B9FD5"/>
  <w16cid:commentId w16cid:paraId="0C21A1E3" w16cid:durableId="1F4BA421"/>
  <w16cid:commentId w16cid:paraId="18EA21FA" w16cid:durableId="1F4BA433"/>
  <w16cid:commentId w16cid:paraId="5478F72F" w16cid:durableId="1F4B4306"/>
  <w16cid:commentId w16cid:paraId="77A19E84" w16cid:durableId="1F4BA37B"/>
  <w16cid:commentId w16cid:paraId="0778E79A" w16cid:durableId="1F4BA46A"/>
  <w16cid:commentId w16cid:paraId="4BCF7ACB" w16cid:durableId="1F4B43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7706F" w14:textId="77777777" w:rsidR="00394F79" w:rsidRDefault="00394F79" w:rsidP="00D75295">
      <w:r>
        <w:separator/>
      </w:r>
    </w:p>
  </w:endnote>
  <w:endnote w:type="continuationSeparator" w:id="0">
    <w:p w14:paraId="45048CEC" w14:textId="77777777" w:rsidR="00394F79" w:rsidRDefault="00394F79" w:rsidP="00D75295">
      <w:r>
        <w:continuationSeparator/>
      </w:r>
    </w:p>
  </w:endnote>
  <w:endnote w:id="1">
    <w:p w14:paraId="3B170E21" w14:textId="24DF55B6" w:rsidR="00394F79" w:rsidRPr="00E73AC6" w:rsidRDefault="00394F79" w:rsidP="00E73AC6">
      <w:pPr>
        <w:pStyle w:val="Footnote"/>
      </w:pPr>
      <w:r>
        <w:rPr>
          <w:rStyle w:val="EndnoteReference"/>
        </w:rPr>
        <w:endnoteRef/>
      </w:r>
      <w:r>
        <w:t xml:space="preserve"> </w:t>
      </w:r>
      <w:r w:rsidRPr="00C74511">
        <w:rPr>
          <w:lang w:val="en-GB"/>
        </w:rPr>
        <w:t xml:space="preserve">This case has been written on the basis of published sources only. Consequently, the interpretation and perspectives presented in this case are not necessarily those of </w:t>
      </w:r>
      <w:r w:rsidRPr="000A6DB5">
        <w:rPr>
          <w:spacing w:val="-2"/>
          <w:lang w:val="en-GB"/>
        </w:rPr>
        <w:t xml:space="preserve">Balaji Wafers Pvt. Ltd. </w:t>
      </w:r>
      <w:r w:rsidRPr="00C74511">
        <w:rPr>
          <w:lang w:val="en-GB"/>
        </w:rPr>
        <w:t>or any of its employees.</w:t>
      </w:r>
    </w:p>
  </w:endnote>
  <w:endnote w:id="2">
    <w:p w14:paraId="2DC40A07" w14:textId="5494F994" w:rsidR="00394F79" w:rsidRPr="0008578F" w:rsidRDefault="00394F79" w:rsidP="0049647A">
      <w:pPr>
        <w:pStyle w:val="Footnote"/>
        <w:rPr>
          <w:lang w:val="en-GB"/>
        </w:rPr>
      </w:pPr>
      <w:r w:rsidRPr="0008578F">
        <w:rPr>
          <w:rStyle w:val="EndnoteReference"/>
          <w:lang w:val="en-GB"/>
        </w:rPr>
        <w:endnoteRef/>
      </w:r>
      <w:r w:rsidRPr="0008578F">
        <w:rPr>
          <w:lang w:val="en-GB"/>
        </w:rPr>
        <w:t xml:space="preserve"> </w:t>
      </w:r>
      <w:r w:rsidRPr="0008578F">
        <w:rPr>
          <w:rStyle w:val="Emphasis"/>
          <w:bCs/>
          <w:i w:val="0"/>
          <w:iCs w:val="0"/>
          <w:shd w:val="clear" w:color="auto" w:fill="FFFFFF"/>
          <w:lang w:val="en-GB"/>
        </w:rPr>
        <w:t>₹ = INR = Indian rupee; US$1 = ₹63.8838 on September 1, 2017.</w:t>
      </w:r>
    </w:p>
  </w:endnote>
  <w:endnote w:id="3">
    <w:p w14:paraId="6FA0B7CE" w14:textId="0BA3FDBE" w:rsidR="00394F79" w:rsidRPr="002023F8" w:rsidRDefault="00394F79" w:rsidP="00B04519">
      <w:pPr>
        <w:pStyle w:val="Footnote"/>
        <w:rPr>
          <w:rStyle w:val="apple-converted-space"/>
          <w:color w:val="000000"/>
          <w:shd w:val="clear" w:color="auto" w:fill="FFFFFF"/>
          <w:lang w:val="en-GB"/>
        </w:rPr>
      </w:pPr>
      <w:r w:rsidRPr="0008578F">
        <w:rPr>
          <w:rStyle w:val="EndnoteReference"/>
          <w:sz w:val="16"/>
          <w:szCs w:val="16"/>
          <w:lang w:val="en-GB"/>
        </w:rPr>
        <w:endnoteRef/>
      </w:r>
      <w:r w:rsidRPr="0008578F">
        <w:rPr>
          <w:lang w:val="en-GB"/>
        </w:rPr>
        <w:t xml:space="preserve"> </w:t>
      </w:r>
      <w:r w:rsidRPr="002023F8">
        <w:rPr>
          <w:lang w:val="en-GB"/>
        </w:rPr>
        <w:t>Sagar</w:t>
      </w:r>
      <w:r w:rsidRPr="0008578F">
        <w:rPr>
          <w:lang w:val="en-GB"/>
        </w:rPr>
        <w:t xml:space="preserve"> Malviya, “</w:t>
      </w:r>
      <w:r w:rsidRPr="002023F8">
        <w:rPr>
          <w:shd w:val="clear" w:color="auto" w:fill="FFFFFF"/>
          <w:lang w:val="en-GB"/>
        </w:rPr>
        <w:t>Haldiram</w:t>
      </w:r>
      <w:r w:rsidRPr="0008578F">
        <w:rPr>
          <w:shd w:val="clear" w:color="auto" w:fill="FFFFFF"/>
          <w:lang w:val="en-GB"/>
        </w:rPr>
        <w:t xml:space="preserve"> Topples PepsiCo; Regains Top Spot as Country’s Largest Snack Company,”</w:t>
      </w:r>
      <w:r w:rsidRPr="002023F8">
        <w:rPr>
          <w:rStyle w:val="apple-converted-space"/>
          <w:color w:val="000000"/>
          <w:shd w:val="clear" w:color="auto" w:fill="FFFFFF"/>
          <w:lang w:val="en-GB"/>
        </w:rPr>
        <w:t xml:space="preserve"> </w:t>
      </w:r>
      <w:r w:rsidRPr="002023F8">
        <w:rPr>
          <w:rStyle w:val="apple-converted-space"/>
          <w:i/>
          <w:color w:val="000000"/>
          <w:shd w:val="clear" w:color="auto" w:fill="FFFFFF"/>
          <w:lang w:val="en-GB"/>
        </w:rPr>
        <w:t>Economic Times</w:t>
      </w:r>
      <w:r w:rsidRPr="002023F8">
        <w:rPr>
          <w:rStyle w:val="apple-converted-space"/>
          <w:color w:val="000000"/>
          <w:shd w:val="clear" w:color="auto" w:fill="FFFFFF"/>
          <w:lang w:val="en-GB"/>
        </w:rPr>
        <w:t>,</w:t>
      </w:r>
    </w:p>
    <w:p w14:paraId="03B8583E" w14:textId="07B116D9" w:rsidR="00394F79" w:rsidRPr="002023F8" w:rsidRDefault="00394F79" w:rsidP="00B04519">
      <w:pPr>
        <w:pStyle w:val="Footnote"/>
        <w:rPr>
          <w:lang w:val="en-GB"/>
        </w:rPr>
      </w:pPr>
      <w:r w:rsidRPr="002023F8">
        <w:rPr>
          <w:rStyle w:val="apple-converted-space"/>
          <w:color w:val="000000"/>
          <w:shd w:val="clear" w:color="auto" w:fill="FFFFFF"/>
          <w:lang w:val="en-GB"/>
        </w:rPr>
        <w:t xml:space="preserve">December 1, 2017, accessed March 19, 2018, </w:t>
      </w:r>
      <w:r w:rsidRPr="0008578F">
        <w:rPr>
          <w:lang w:val="en-GB"/>
        </w:rPr>
        <w:t>https://economictimes.indiatimes.com/industry/cons-products/food/haldiram-topples-pepsico-regains-top-spot-as-countrys-largest-snack-company/articleshow/62185925.cms</w:t>
      </w:r>
      <w:r w:rsidRPr="002023F8">
        <w:rPr>
          <w:lang w:val="en-GB"/>
        </w:rPr>
        <w:t>.</w:t>
      </w:r>
    </w:p>
  </w:endnote>
  <w:endnote w:id="4">
    <w:p w14:paraId="521E067C" w14:textId="449DADF9" w:rsidR="00394F79" w:rsidRPr="0008578F" w:rsidRDefault="00394F79" w:rsidP="00EE486E">
      <w:pPr>
        <w:pStyle w:val="Footnote"/>
        <w:rPr>
          <w:spacing w:val="-2"/>
          <w:lang w:val="en-GB"/>
        </w:rPr>
      </w:pPr>
      <w:r w:rsidRPr="0008578F">
        <w:rPr>
          <w:rStyle w:val="EndnoteReference"/>
          <w:lang w:val="en-GB"/>
        </w:rPr>
        <w:endnoteRef/>
      </w:r>
      <w:r w:rsidRPr="0008578F">
        <w:rPr>
          <w:lang w:val="en-GB"/>
        </w:rPr>
        <w:t xml:space="preserve"> </w:t>
      </w:r>
      <w:r w:rsidRPr="0008578F">
        <w:rPr>
          <w:spacing w:val="-2"/>
          <w:lang w:val="en-GB"/>
        </w:rPr>
        <w:t xml:space="preserve">Ajita Shashidhar, “Snacking Its Way to Success,” </w:t>
      </w:r>
      <w:r w:rsidRPr="0008578F">
        <w:rPr>
          <w:i/>
          <w:spacing w:val="-2"/>
          <w:lang w:val="en-GB"/>
        </w:rPr>
        <w:t>Business Today</w:t>
      </w:r>
      <w:r w:rsidRPr="0008578F">
        <w:rPr>
          <w:spacing w:val="-2"/>
          <w:lang w:val="en-GB"/>
        </w:rPr>
        <w:t xml:space="preserve">, November 23, 2014, accessed </w:t>
      </w:r>
      <w:r w:rsidRPr="0008578F">
        <w:rPr>
          <w:rStyle w:val="apple-converted-space"/>
          <w:spacing w:val="-2"/>
          <w:lang w:val="en-GB"/>
        </w:rPr>
        <w:t>March 19, 2018</w:t>
      </w:r>
      <w:r w:rsidRPr="0008578F">
        <w:rPr>
          <w:spacing w:val="-2"/>
          <w:lang w:val="en-GB"/>
        </w:rPr>
        <w:t xml:space="preserve">, </w:t>
      </w:r>
      <w:r w:rsidRPr="0008578F">
        <w:rPr>
          <w:rStyle w:val="Hyperlink"/>
          <w:color w:val="auto"/>
          <w:spacing w:val="-2"/>
          <w:u w:val="none"/>
          <w:lang w:val="en-GB"/>
        </w:rPr>
        <w:t>www.businesstoday.in/magazine/special/balaji-wafers-best-emerging-indian-companies-2014-packed-food/story/211902.html.</w:t>
      </w:r>
    </w:p>
  </w:endnote>
  <w:endnote w:id="5">
    <w:p w14:paraId="3C7BB2D2" w14:textId="2D4A1799" w:rsidR="00394F79" w:rsidRPr="0008578F" w:rsidRDefault="00394F79" w:rsidP="005C6D3D">
      <w:pPr>
        <w:pStyle w:val="Footnote"/>
        <w:rPr>
          <w:lang w:val="en-GB"/>
        </w:rPr>
      </w:pPr>
      <w:r w:rsidRPr="0008578F">
        <w:rPr>
          <w:rStyle w:val="EndnoteReference"/>
          <w:lang w:val="en-GB"/>
        </w:rPr>
        <w:endnoteRef/>
      </w:r>
      <w:r w:rsidRPr="0008578F">
        <w:rPr>
          <w:lang w:val="en-GB"/>
        </w:rPr>
        <w:t xml:space="preserve"> Duane D. Stanford, Adi Narayan, and George Smith Alexander, “PepsiCo Said to Be Exploring Offer for Balaji Wafers,” </w:t>
      </w:r>
      <w:r w:rsidRPr="002023F8">
        <w:rPr>
          <w:i/>
          <w:lang w:val="en-GB"/>
        </w:rPr>
        <w:t>LiveMint</w:t>
      </w:r>
      <w:r w:rsidRPr="0008578F">
        <w:rPr>
          <w:lang w:val="en-GB"/>
        </w:rPr>
        <w:t xml:space="preserve">, August 20, 2013, accessed </w:t>
      </w:r>
      <w:r w:rsidRPr="0008578F">
        <w:rPr>
          <w:rStyle w:val="apple-converted-space"/>
          <w:lang w:val="en-GB"/>
        </w:rPr>
        <w:t>March 19, 2018</w:t>
      </w:r>
      <w:r w:rsidRPr="0008578F">
        <w:rPr>
          <w:lang w:val="en-GB"/>
        </w:rPr>
        <w:t xml:space="preserve">, </w:t>
      </w:r>
      <w:r w:rsidRPr="0008578F">
        <w:rPr>
          <w:rStyle w:val="Hyperlink"/>
          <w:color w:val="auto"/>
          <w:u w:val="none"/>
          <w:lang w:val="en-GB"/>
        </w:rPr>
        <w:t>www.livemint.com/Companies/LgsnnXzBYrV0F2nqtecwAN/PepsiCo-said-to-be-exploring-offer-for-Indias-Balaji-Wafers.html.</w:t>
      </w:r>
    </w:p>
  </w:endnote>
  <w:endnote w:id="6">
    <w:p w14:paraId="7087F635" w14:textId="0E781D8E"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Shashidhar, op. cit.</w:t>
      </w:r>
    </w:p>
  </w:endnote>
  <w:endnote w:id="7">
    <w:p w14:paraId="2AFD39E1" w14:textId="31128350" w:rsidR="00394F79" w:rsidRPr="0008578F" w:rsidRDefault="00394F79" w:rsidP="005C6D3D">
      <w:pPr>
        <w:pStyle w:val="Footnote"/>
        <w:rPr>
          <w:lang w:val="en-GB"/>
        </w:rPr>
      </w:pPr>
      <w:r w:rsidRPr="0008578F">
        <w:rPr>
          <w:rStyle w:val="EndnoteReference"/>
          <w:lang w:val="en-GB"/>
        </w:rPr>
        <w:endnoteRef/>
      </w:r>
      <w:r w:rsidRPr="0008578F">
        <w:rPr>
          <w:lang w:val="en-GB"/>
        </w:rPr>
        <w:t xml:space="preserve"> Shramana Ganguly Mehta, “Balaji Wafers a Name to Reckon with in Gujarat Snacks Market,”</w:t>
      </w:r>
      <w:r w:rsidRPr="0008578F">
        <w:rPr>
          <w:rStyle w:val="apple-converted-space"/>
          <w:lang w:val="en-GB"/>
        </w:rPr>
        <w:t xml:space="preserve"> </w:t>
      </w:r>
      <w:r w:rsidRPr="0008578F">
        <w:rPr>
          <w:rStyle w:val="apple-converted-space"/>
          <w:i/>
          <w:lang w:val="en-GB"/>
        </w:rPr>
        <w:t>Economic Times</w:t>
      </w:r>
      <w:r w:rsidRPr="0008578F">
        <w:rPr>
          <w:rStyle w:val="apple-converted-space"/>
          <w:lang w:val="en-GB"/>
        </w:rPr>
        <w:t xml:space="preserve">, December 23, 2009, accessed March 19, 2018, </w:t>
      </w:r>
      <w:r w:rsidRPr="0008578F">
        <w:rPr>
          <w:rStyle w:val="Hyperlink"/>
          <w:color w:val="auto"/>
          <w:u w:val="none"/>
          <w:lang w:val="en-GB"/>
        </w:rPr>
        <w:t>https://economictimes.indiatimes.com/industry/cons-products/food/balaji-wafers-a-name-to-reckon-with-in-gujarat-snacks-market/articleshow/5367599.cms.</w:t>
      </w:r>
    </w:p>
  </w:endnote>
  <w:endnote w:id="8">
    <w:p w14:paraId="1C781019" w14:textId="53C3DD61"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Parthiv Vora, FT Foundation, </w:t>
      </w:r>
      <w:r w:rsidRPr="0008578F">
        <w:rPr>
          <w:i/>
          <w:lang w:val="en-GB"/>
        </w:rPr>
        <w:t>Jewels of India: Virani Brothers</w:t>
      </w:r>
      <w:r w:rsidRPr="0008578F">
        <w:rPr>
          <w:lang w:val="en-GB"/>
        </w:rPr>
        <w:t xml:space="preserve">, The Chitralekha, accessed September 14, 2017, </w:t>
      </w:r>
      <w:r w:rsidRPr="0008578F">
        <w:rPr>
          <w:shd w:val="clear" w:color="auto" w:fill="FFFFFF"/>
          <w:lang w:val="en-GB"/>
        </w:rPr>
        <w:t>www.chitralekha.com/JewelsofIndia/English/viraniBrothers.pdf.</w:t>
      </w:r>
    </w:p>
  </w:endnote>
  <w:endnote w:id="9">
    <w:p w14:paraId="450E6061" w14:textId="1C10BB97"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Shashidhar, op. cit.</w:t>
      </w:r>
    </w:p>
  </w:endnote>
  <w:endnote w:id="10">
    <w:p w14:paraId="53944626" w14:textId="2E446CC7"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“Meet the 6 Darling Small Town Heroes,” FranchiseIndia.com, October 14, 2010, accessed March 19, 2018, www.franchiseindia.com/entrepreneur/article/starting-up/business-opportunity/Meet-the-6-daring-small-town-heroes-523.</w:t>
      </w:r>
    </w:p>
  </w:endnote>
  <w:endnote w:id="11">
    <w:p w14:paraId="7A5402A2" w14:textId="516F762C" w:rsidR="00394F79" w:rsidRPr="0008578F" w:rsidRDefault="00394F79" w:rsidP="00B04519">
      <w:pPr>
        <w:pStyle w:val="Footnote"/>
        <w:rPr>
          <w:color w:val="000000" w:themeColor="text1"/>
          <w:lang w:val="en-GB"/>
        </w:rPr>
      </w:pPr>
      <w:r w:rsidRPr="0008578F">
        <w:rPr>
          <w:rStyle w:val="EndnoteReference"/>
          <w:color w:val="000000" w:themeColor="text1"/>
          <w:sz w:val="16"/>
          <w:szCs w:val="16"/>
          <w:lang w:val="en-GB"/>
        </w:rPr>
        <w:endnoteRef/>
      </w:r>
      <w:r w:rsidRPr="0008578F">
        <w:rPr>
          <w:color w:val="000000" w:themeColor="text1"/>
          <w:lang w:val="en-GB"/>
        </w:rPr>
        <w:t xml:space="preserve"> Nayan Dave, “Leicester-Rajkot Sister Cities: Origin of Crisp Brands,” Asian Voice, April 20, 2013, accessed March 19, 2018, https://issuu.com/abpl/docs/av_20thapril2013.</w:t>
      </w:r>
    </w:p>
  </w:endnote>
  <w:endnote w:id="12">
    <w:p w14:paraId="03F5F119" w14:textId="120DEA88" w:rsidR="00394F79" w:rsidRPr="0008578F" w:rsidRDefault="00394F79" w:rsidP="005C6D3D">
      <w:pPr>
        <w:pStyle w:val="Footnote"/>
        <w:rPr>
          <w:lang w:val="en-GB"/>
        </w:rPr>
      </w:pPr>
      <w:r w:rsidRPr="0008578F">
        <w:rPr>
          <w:rStyle w:val="EndnoteReference"/>
          <w:lang w:val="en-GB"/>
        </w:rPr>
        <w:endnoteRef/>
      </w:r>
      <w:r w:rsidRPr="0008578F">
        <w:rPr>
          <w:lang w:val="en-GB"/>
        </w:rPr>
        <w:t xml:space="preserve"> Masuma Bharmal Jariwala, “His Success Story That Reads like a Film Script Began at a Cinema Hall,” </w:t>
      </w:r>
      <w:r w:rsidRPr="002023F8">
        <w:rPr>
          <w:lang w:val="en-GB"/>
        </w:rPr>
        <w:t>The Weekend Leader</w:t>
      </w:r>
      <w:r w:rsidRPr="0008578F">
        <w:rPr>
          <w:lang w:val="en-GB"/>
        </w:rPr>
        <w:t xml:space="preserve">, April 19, 2017, accessed March 19, 2018, </w:t>
      </w:r>
      <w:r w:rsidRPr="0008578F">
        <w:rPr>
          <w:rStyle w:val="Hyperlink"/>
          <w:color w:val="auto"/>
          <w:u w:val="none"/>
          <w:lang w:val="en-GB"/>
        </w:rPr>
        <w:t>www.theweekendleader.com/Success/2608/a-humble-billionaire.html.</w:t>
      </w:r>
    </w:p>
  </w:endnote>
  <w:endnote w:id="13">
    <w:p w14:paraId="0D2F0375" w14:textId="3AEB2DE3"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ET Bureau, “MNC Stake in Balaji Wafers: Why Patriarch Chandu Virani May Yield to His Gen Next Management,” ETRetail.com, August 26, 2013, accessed March 19, 2018, https://retail.economictimes.indiatimes.com/news/food-entertainment/personal-care-pet-supplies-liquor/mnc-stake-in-balaji-wafers-why-patriarch-chandu-virani-may-yield-to-his-gennext-management/22061449.</w:t>
      </w:r>
    </w:p>
  </w:endnote>
  <w:endnote w:id="14">
    <w:p w14:paraId="5FA45BE5" w14:textId="7144944B"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Shashidhar, op. cit.</w:t>
      </w:r>
    </w:p>
  </w:endnote>
  <w:endnote w:id="15">
    <w:p w14:paraId="4E58BA0E" w14:textId="2C027D85" w:rsidR="00394F79" w:rsidRPr="0008578F" w:rsidRDefault="00394F79">
      <w:pPr>
        <w:pStyle w:val="EndnoteText"/>
        <w:rPr>
          <w:rFonts w:ascii="Arial" w:hAnsi="Arial" w:cs="Arial"/>
          <w:sz w:val="17"/>
          <w:szCs w:val="17"/>
          <w:lang w:val="en-GB"/>
        </w:rPr>
      </w:pPr>
      <w:r w:rsidRPr="0008578F">
        <w:rPr>
          <w:rFonts w:ascii="Arial" w:hAnsi="Arial" w:cs="Arial"/>
          <w:sz w:val="17"/>
          <w:szCs w:val="17"/>
          <w:vertAlign w:val="superscript"/>
          <w:lang w:val="en-GB"/>
        </w:rPr>
        <w:endnoteRef/>
      </w:r>
      <w:r w:rsidRPr="0008578F">
        <w:rPr>
          <w:rFonts w:ascii="Arial" w:hAnsi="Arial" w:cs="Arial"/>
          <w:sz w:val="17"/>
          <w:szCs w:val="17"/>
          <w:vertAlign w:val="superscript"/>
          <w:lang w:val="en-GB"/>
        </w:rPr>
        <w:t xml:space="preserve"> </w:t>
      </w:r>
      <w:r w:rsidRPr="0008578F">
        <w:rPr>
          <w:rFonts w:ascii="Arial" w:hAnsi="Arial" w:cs="Arial"/>
          <w:sz w:val="17"/>
          <w:szCs w:val="17"/>
          <w:lang w:val="en-GB"/>
        </w:rPr>
        <w:t>“Values,” Balaji Wafers Private Limited, accessed July 18, 2018, www.balajiwafers.com/company/values.html.</w:t>
      </w:r>
    </w:p>
  </w:endnote>
  <w:endnote w:id="16">
    <w:p w14:paraId="3F664977" w14:textId="1AC8CC07"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Sapna Agarwal and Swaraj Singh Dhanjal, “Balaji Wafers to Sell 10% Stake via IPO,” </w:t>
      </w:r>
      <w:r w:rsidRPr="002023F8">
        <w:rPr>
          <w:i/>
          <w:lang w:val="en-GB"/>
        </w:rPr>
        <w:t>LiveMint</w:t>
      </w:r>
      <w:r w:rsidRPr="0008578F">
        <w:rPr>
          <w:lang w:val="en-GB"/>
        </w:rPr>
        <w:t>, January 19, 2016, accessed March 19, 2018, www.livemint.com/Companies/GCkwWp9hvZeEARKHYHoJ0N/Balaji-Wafers-to-sell-10-stake-via-IPO.html.</w:t>
      </w:r>
    </w:p>
  </w:endnote>
  <w:endnote w:id="17">
    <w:p w14:paraId="521D3BF0" w14:textId="6B4C2611" w:rsidR="00394F79" w:rsidRPr="0008578F" w:rsidRDefault="00394F79" w:rsidP="00B04519">
      <w:pPr>
        <w:pStyle w:val="Footnote"/>
        <w:rPr>
          <w:lang w:val="en-GB"/>
        </w:rPr>
      </w:pPr>
      <w:r w:rsidRPr="008755C6">
        <w:rPr>
          <w:rStyle w:val="EndnoteReference"/>
          <w:lang w:val="en-GB"/>
        </w:rPr>
        <w:endnoteRef/>
      </w:r>
      <w:r w:rsidRPr="0008578F">
        <w:rPr>
          <w:lang w:val="en-GB"/>
        </w:rPr>
        <w:t xml:space="preserve"> Jariwala, op. cit.</w:t>
      </w:r>
    </w:p>
  </w:endnote>
  <w:endnote w:id="18">
    <w:p w14:paraId="46913AA2" w14:textId="635D5AC0" w:rsidR="00394F79" w:rsidRPr="008755C6" w:rsidRDefault="00394F79" w:rsidP="008755C6">
      <w:pPr>
        <w:pStyle w:val="Footnote"/>
      </w:pPr>
      <w:r w:rsidRPr="008755C6">
        <w:rPr>
          <w:rStyle w:val="EndnoteReference"/>
        </w:rPr>
        <w:endnoteRef/>
      </w:r>
      <w:r w:rsidRPr="008755C6">
        <w:t xml:space="preserve"> Sagar Malviya, “Taste of India: Desi Companies Feast on Snack Market,” Economic Times, December 20, 2016, accessed March 19, 2018, https://economictimes.indiatimes.com/industry/cons-products/fmcg/taste-of-india-desi-companies-feast-on-snack-market/articleshow/56073962.cms.</w:t>
      </w:r>
    </w:p>
  </w:endnote>
  <w:endnote w:id="19">
    <w:p w14:paraId="4C832787" w14:textId="6DA24AD9" w:rsidR="00394F79" w:rsidRPr="0008578F" w:rsidRDefault="00394F79" w:rsidP="00B04519">
      <w:pPr>
        <w:pStyle w:val="Footnote"/>
        <w:rPr>
          <w:color w:val="000000" w:themeColor="text1"/>
          <w:lang w:val="en-GB"/>
        </w:rPr>
      </w:pPr>
      <w:r w:rsidRPr="0008578F">
        <w:rPr>
          <w:rStyle w:val="EndnoteReference"/>
          <w:color w:val="000000" w:themeColor="text1"/>
          <w:sz w:val="16"/>
          <w:szCs w:val="16"/>
          <w:lang w:val="en-GB"/>
        </w:rPr>
        <w:endnoteRef/>
      </w:r>
      <w:r w:rsidRPr="0008578F">
        <w:rPr>
          <w:color w:val="000000" w:themeColor="text1"/>
          <w:lang w:val="en-GB"/>
        </w:rPr>
        <w:t xml:space="preserve"> Ibid. </w:t>
      </w:r>
    </w:p>
  </w:endnote>
  <w:endnote w:id="20">
    <w:p w14:paraId="5E90353E" w14:textId="3DCA992C"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Vinay Umarji, “Local Brands Balaji Wafers, Yellow Diamond Crack the Taste Test in India,” </w:t>
      </w:r>
      <w:r w:rsidRPr="0008578F">
        <w:rPr>
          <w:i/>
          <w:lang w:val="en-GB"/>
        </w:rPr>
        <w:t>Business Standard</w:t>
      </w:r>
      <w:r w:rsidRPr="0008578F">
        <w:rPr>
          <w:lang w:val="en-GB"/>
        </w:rPr>
        <w:t>, December 7, 2016, accessed March 19, 2018, www.business-standard.com/article/specials/balaji-yellow-diamond-crack-the-taste-test-116120601353_1.html.</w:t>
      </w:r>
    </w:p>
  </w:endnote>
  <w:endnote w:id="21">
    <w:p w14:paraId="7CCFD2D7" w14:textId="04AC53BD" w:rsidR="00394F79" w:rsidRPr="008755C6" w:rsidRDefault="00394F79" w:rsidP="008755C6">
      <w:pPr>
        <w:pStyle w:val="Footnote"/>
      </w:pPr>
      <w:r w:rsidRPr="008755C6">
        <w:rPr>
          <w:rStyle w:val="EndnoteReference"/>
        </w:rPr>
        <w:endnoteRef/>
      </w:r>
      <w:r w:rsidRPr="008755C6">
        <w:rPr>
          <w:vertAlign w:val="superscript"/>
        </w:rPr>
        <w:t xml:space="preserve"> </w:t>
      </w:r>
      <w:r w:rsidRPr="008755C6">
        <w:t>Malviya, “Haldiram Topples PepsiCo,” op. cit.</w:t>
      </w:r>
    </w:p>
  </w:endnote>
  <w:endnote w:id="22">
    <w:p w14:paraId="4BD88E39" w14:textId="6F70F207" w:rsidR="00394F79" w:rsidRPr="008755C6" w:rsidRDefault="00394F79" w:rsidP="008755C6">
      <w:pPr>
        <w:pStyle w:val="Footnote"/>
        <w:rPr>
          <w:spacing w:val="-4"/>
        </w:rPr>
      </w:pPr>
      <w:r w:rsidRPr="008755C6">
        <w:rPr>
          <w:rStyle w:val="EndnoteReference"/>
          <w:spacing w:val="-4"/>
        </w:rPr>
        <w:endnoteRef/>
      </w:r>
      <w:r w:rsidRPr="008755C6">
        <w:rPr>
          <w:spacing w:val="-4"/>
          <w:vertAlign w:val="superscript"/>
        </w:rPr>
        <w:t xml:space="preserve"> </w:t>
      </w:r>
      <w:r w:rsidRPr="008755C6">
        <w:rPr>
          <w:spacing w:val="-4"/>
        </w:rPr>
        <w:t xml:space="preserve">Writankar Mukherjee, “PepsiCo and ITC Lay Pitch for New Marketing War, Aims to Launch Healthier Packaged Snacks,” Economic Times, March 6, 2015, accessed January 14, 2018, </w:t>
      </w:r>
      <w:r w:rsidR="008755C6" w:rsidRPr="008755C6">
        <w:rPr>
          <w:spacing w:val="-4"/>
        </w:rPr>
        <w:t>https://economictimes.indiatimes.com/industry/cons-products/food/pepsico-and-itc-lay-pitch-for-new-marketing-war-aims-to-launch-healthier-packaged-snacks/articleshow/</w:t>
      </w:r>
      <w:r w:rsidRPr="008755C6">
        <w:rPr>
          <w:spacing w:val="-4"/>
        </w:rPr>
        <w:t>46472374.cms?intenttarget=no.</w:t>
      </w:r>
    </w:p>
  </w:endnote>
  <w:endnote w:id="23">
    <w:p w14:paraId="4DD4EDF5" w14:textId="47C6747D"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Lalitha Sriivasan, “New Price Points, Unique Flavours: Snack Makers Keeping it Crisp,” </w:t>
      </w:r>
      <w:r w:rsidRPr="0008578F">
        <w:rPr>
          <w:i/>
          <w:lang w:val="en-GB"/>
        </w:rPr>
        <w:t>Financial Express</w:t>
      </w:r>
      <w:r w:rsidRPr="0008578F">
        <w:rPr>
          <w:lang w:val="en-GB"/>
        </w:rPr>
        <w:t>, September 6, 2014, accessed March 19, 2018, www.financialexpress.com/archive/new-price-points-unique-flavours-snack-makers-keeping-it-crisp/1286086.</w:t>
      </w:r>
    </w:p>
  </w:endnote>
  <w:endnote w:id="24">
    <w:p w14:paraId="7CB9B441" w14:textId="612C6C7D"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Mukherjee, op. cit.</w:t>
      </w:r>
    </w:p>
  </w:endnote>
  <w:endnote w:id="25">
    <w:p w14:paraId="7B452329" w14:textId="004AE6FC"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Sriivasan, op. cit.</w:t>
      </w:r>
    </w:p>
  </w:endnote>
  <w:endnote w:id="26">
    <w:p w14:paraId="39F8B8F3" w14:textId="548BF06B" w:rsidR="00394F79" w:rsidRPr="008755C6" w:rsidRDefault="00394F79" w:rsidP="008755C6">
      <w:pPr>
        <w:pStyle w:val="Footnote"/>
      </w:pPr>
      <w:r w:rsidRPr="008755C6">
        <w:rPr>
          <w:rStyle w:val="EndnoteReference"/>
        </w:rPr>
        <w:endnoteRef/>
      </w:r>
      <w:r w:rsidRPr="008755C6">
        <w:t xml:space="preserve"> Malviya, “Haldiram Topples PepsiCo,” op. cit.</w:t>
      </w:r>
    </w:p>
  </w:endnote>
  <w:endnote w:id="27">
    <w:p w14:paraId="15DC1A19" w14:textId="17930C6C"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Swaraj Singh Dhanjal, “Sequoia-Backed Prataap Snacks Raises Rs50 Crore in Pre-IPO Round,” </w:t>
      </w:r>
      <w:r w:rsidRPr="002023F8">
        <w:rPr>
          <w:i/>
          <w:lang w:val="en-GB"/>
        </w:rPr>
        <w:t>LiveMint</w:t>
      </w:r>
      <w:r w:rsidRPr="0008578F">
        <w:rPr>
          <w:lang w:val="en-GB"/>
        </w:rPr>
        <w:t>, September 7, 2017, accessed March 19, 2018, www.livemint.com/Companies/wJ1n1w7k2yBDH0xzfdWOoL/Sequoiabacked-Prataap-Snacks-raises-Rs50-crore-in-preIPO-r.html.</w:t>
      </w:r>
    </w:p>
  </w:endnote>
  <w:endnote w:id="28">
    <w:p w14:paraId="37E1E010" w14:textId="43F5C420"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Malviya, “Taste of India,” op. cit.</w:t>
      </w:r>
    </w:p>
  </w:endnote>
  <w:endnote w:id="29">
    <w:p w14:paraId="6F5D9B61" w14:textId="061E4864"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Ibid. </w:t>
      </w:r>
    </w:p>
  </w:endnote>
  <w:endnote w:id="30">
    <w:p w14:paraId="751EC2B5" w14:textId="4671E334"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TOI Bureau, “Innovation Rewarded,” </w:t>
      </w:r>
      <w:r w:rsidRPr="0008578F">
        <w:rPr>
          <w:i/>
          <w:lang w:val="en-GB"/>
        </w:rPr>
        <w:t>Times of India</w:t>
      </w:r>
      <w:r w:rsidRPr="0008578F">
        <w:rPr>
          <w:lang w:val="en-GB"/>
        </w:rPr>
        <w:t xml:space="preserve">, February 8, 2017, accessed March 19, 2018, </w:t>
      </w:r>
      <w:hyperlink r:id="rId1" w:history="1">
        <w:r w:rsidRPr="0008578F">
          <w:rPr>
            <w:lang w:val="en-GB"/>
          </w:rPr>
          <w:t>http://epaperbeta.timesofindia.com/Article.aspx?eid=31818&amp;articlexml=Innovation-Rewarded-08022017017020</w:t>
        </w:r>
      </w:hyperlink>
      <w:r w:rsidRPr="0008578F">
        <w:rPr>
          <w:lang w:val="en-GB"/>
        </w:rPr>
        <w:t>.</w:t>
      </w:r>
    </w:p>
  </w:endnote>
  <w:endnote w:id="31">
    <w:p w14:paraId="38209E4E" w14:textId="1A262B18"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Umarji, op. cit.</w:t>
      </w:r>
    </w:p>
  </w:endnote>
  <w:endnote w:id="32">
    <w:p w14:paraId="5665D640" w14:textId="68094E9B"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TOI Bureau, op. cit.</w:t>
      </w:r>
    </w:p>
  </w:endnote>
  <w:endnote w:id="33">
    <w:p w14:paraId="1BD92CC5" w14:textId="0FEA6829"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Umarji, op. cit.</w:t>
      </w:r>
    </w:p>
  </w:endnote>
  <w:endnote w:id="34">
    <w:p w14:paraId="45C0AE52" w14:textId="454FEC18"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Malviya, “</w:t>
      </w:r>
      <w:r w:rsidRPr="0008578F">
        <w:rPr>
          <w:shd w:val="clear" w:color="auto" w:fill="FFFFFF"/>
          <w:lang w:val="en-GB"/>
        </w:rPr>
        <w:t>Haldiram Topples PepsiCo,” op. cit.</w:t>
      </w:r>
    </w:p>
  </w:endnote>
  <w:endnote w:id="35">
    <w:p w14:paraId="0781ACC8" w14:textId="26212D49"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Mehta, op. cit.</w:t>
      </w:r>
    </w:p>
  </w:endnote>
  <w:endnote w:id="36">
    <w:p w14:paraId="14CE2AFB" w14:textId="61D317D1"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ET Bureau, “PepsiCo Ropes in Ranbir Kapoor to Endorse Lay’s Potato Chips,” </w:t>
      </w:r>
      <w:r w:rsidRPr="0008578F">
        <w:rPr>
          <w:i/>
          <w:lang w:val="en-GB"/>
        </w:rPr>
        <w:t>Economic Times</w:t>
      </w:r>
      <w:r w:rsidRPr="0008578F">
        <w:rPr>
          <w:lang w:val="en-GB"/>
        </w:rPr>
        <w:t xml:space="preserve">, December 29, 2013, accessed March 19, 2018, </w:t>
      </w:r>
      <w:hyperlink r:id="rId2" w:history="1">
        <w:r w:rsidRPr="0008578F">
          <w:rPr>
            <w:lang w:val="en-GB"/>
          </w:rPr>
          <w:t>https://economictimes.indiatimes.com/industry/services/advertising/pepsico-ropes-in-ranbir-kapoor-to-endorse-lays-potato-chips/articleshow/28041953.cms</w:t>
        </w:r>
      </w:hyperlink>
      <w:r w:rsidRPr="0008578F">
        <w:rPr>
          <w:lang w:val="en-GB"/>
        </w:rPr>
        <w:t>.</w:t>
      </w:r>
    </w:p>
  </w:endnote>
  <w:endnote w:id="37">
    <w:p w14:paraId="4453AD1C" w14:textId="15DCC3E2"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Umarji, op. cit.</w:t>
      </w:r>
    </w:p>
  </w:endnote>
  <w:endnote w:id="38">
    <w:p w14:paraId="2F39E2C8" w14:textId="7A45A602" w:rsidR="00394F79" w:rsidRPr="0008578F" w:rsidRDefault="00394F79" w:rsidP="00EE486E">
      <w:pPr>
        <w:pStyle w:val="Footnote"/>
        <w:rPr>
          <w:spacing w:val="-4"/>
          <w:lang w:val="en-GB"/>
        </w:rPr>
      </w:pPr>
      <w:r w:rsidRPr="0008578F">
        <w:rPr>
          <w:rStyle w:val="EndnoteReference"/>
          <w:spacing w:val="-4"/>
          <w:lang w:val="en-GB"/>
        </w:rPr>
        <w:endnoteRef/>
      </w:r>
      <w:r w:rsidRPr="0008578F">
        <w:rPr>
          <w:spacing w:val="-4"/>
          <w:lang w:val="en-GB"/>
        </w:rPr>
        <w:t xml:space="preserve"> Purvita Chatterjee, “Balaji Wafers to Stay Away from IPO This Year,” </w:t>
      </w:r>
      <w:r w:rsidRPr="0008578F">
        <w:rPr>
          <w:i/>
          <w:spacing w:val="-4"/>
          <w:lang w:val="en-GB"/>
        </w:rPr>
        <w:t>Hindu Business Line</w:t>
      </w:r>
      <w:r w:rsidRPr="0008578F">
        <w:rPr>
          <w:spacing w:val="-4"/>
          <w:lang w:val="en-GB"/>
        </w:rPr>
        <w:t>, June 26, 2017, accessed March 19, 2018, www.thehindubusinessline.com/companies/balaji-wafers-to-stay-away-from-ipo-this-year/article9737629.ece; Mehta, op. cit.; Shashidhar, op. cit.</w:t>
      </w:r>
    </w:p>
  </w:endnote>
  <w:endnote w:id="39">
    <w:p w14:paraId="3A26FF05" w14:textId="60DCD910" w:rsidR="00394F79" w:rsidRPr="0008578F" w:rsidRDefault="00394F79" w:rsidP="00EE486E">
      <w:pPr>
        <w:pStyle w:val="Footnote"/>
        <w:rPr>
          <w:lang w:val="en-GB"/>
        </w:rPr>
      </w:pPr>
      <w:r w:rsidRPr="0008578F">
        <w:rPr>
          <w:rStyle w:val="EndnoteReference"/>
          <w:sz w:val="16"/>
          <w:szCs w:val="16"/>
          <w:lang w:val="en-GB"/>
        </w:rPr>
        <w:endnoteRef/>
      </w:r>
      <w:r w:rsidRPr="0008578F">
        <w:rPr>
          <w:lang w:val="en-GB"/>
        </w:rPr>
        <w:t xml:space="preserve"> C. Gopalakrishnan, </w:t>
      </w:r>
      <w:r w:rsidRPr="0008578F">
        <w:rPr>
          <w:i/>
          <w:lang w:val="en-GB"/>
        </w:rPr>
        <w:t>The Entrepreneur’s Choice: Cases on Family Business in India</w:t>
      </w:r>
      <w:r w:rsidRPr="0008578F">
        <w:rPr>
          <w:lang w:val="en-GB"/>
        </w:rPr>
        <w:t>, (New Delhi: Routledge India, 2014); Shashidhar, op. cit</w:t>
      </w:r>
      <w:r>
        <w:rPr>
          <w:lang w:val="en-GB"/>
        </w:rPr>
        <w:t>.</w:t>
      </w:r>
      <w:r w:rsidRPr="0008578F">
        <w:rPr>
          <w:lang w:val="en-GB"/>
        </w:rPr>
        <w:t>; Mehta, op. cit.</w:t>
      </w:r>
    </w:p>
  </w:endnote>
  <w:endnote w:id="40">
    <w:p w14:paraId="34F3796B" w14:textId="5CFE88F2" w:rsidR="00394F79" w:rsidRPr="0008578F" w:rsidRDefault="00394F79" w:rsidP="00EE486E">
      <w:pPr>
        <w:pStyle w:val="Footnote"/>
        <w:rPr>
          <w:lang w:val="en-GB"/>
        </w:rPr>
      </w:pPr>
      <w:r w:rsidRPr="0008578F">
        <w:rPr>
          <w:rStyle w:val="EndnoteReference"/>
          <w:sz w:val="16"/>
          <w:szCs w:val="16"/>
          <w:lang w:val="en-GB"/>
        </w:rPr>
        <w:endnoteRef/>
      </w:r>
      <w:r w:rsidRPr="0008578F">
        <w:rPr>
          <w:lang w:val="en-GB"/>
        </w:rPr>
        <w:t xml:space="preserve"> Shashidhar, op. cit.; Vimukt Dave, “Balaji Wafers Eyes Pan-India Presence, Commissions Indore Plant,” </w:t>
      </w:r>
      <w:r w:rsidRPr="0008578F">
        <w:rPr>
          <w:i/>
          <w:lang w:val="en-GB"/>
        </w:rPr>
        <w:t>Business Standard</w:t>
      </w:r>
      <w:r w:rsidRPr="0008578F">
        <w:rPr>
          <w:lang w:val="en-GB"/>
        </w:rPr>
        <w:t>, October 12, 2016, accessed March 19, 2018, www.business-standard.com/article/companies/balaji-wafers-eyes-pan-india-presence-commissions-indore-plant-116101200464_1.html.</w:t>
      </w:r>
    </w:p>
  </w:endnote>
  <w:endnote w:id="41">
    <w:p w14:paraId="269FFE4A" w14:textId="056EBC11" w:rsidR="008755C6" w:rsidRPr="008755C6" w:rsidRDefault="008755C6" w:rsidP="008755C6">
      <w:pPr>
        <w:pStyle w:val="Footnote"/>
      </w:pPr>
      <w:r>
        <w:rPr>
          <w:rStyle w:val="EndnoteReference"/>
        </w:rPr>
        <w:endnoteRef/>
      </w:r>
      <w:r>
        <w:t xml:space="preserve"> </w:t>
      </w:r>
      <w:r w:rsidRPr="0008578F">
        <w:rPr>
          <w:lang w:val="en-GB"/>
        </w:rPr>
        <w:t>Reuters Staff, “India's Balaji Wafers in Talks with PEs to Raise $100-125 mln-Sources,” Reuters, August 16, 2013, accessed March 19, 2018, https://in.reuters.com/article/balaji-funds/indias-balaji-wafers-in-talks-with-pes-to-raise-100-125-mln-sources-idINL4N0GH1VU20130816.</w:t>
      </w:r>
    </w:p>
  </w:endnote>
  <w:endnote w:id="42">
    <w:p w14:paraId="07F09A6C" w14:textId="4B182FEA" w:rsidR="00394F79" w:rsidRPr="0008578F" w:rsidRDefault="00394F79" w:rsidP="00B04519">
      <w:pPr>
        <w:pStyle w:val="Footnote"/>
        <w:rPr>
          <w:spacing w:val="-2"/>
          <w:lang w:val="en-GB"/>
        </w:rPr>
      </w:pPr>
      <w:r w:rsidRPr="0008578F">
        <w:rPr>
          <w:rStyle w:val="EndnoteReference"/>
          <w:spacing w:val="-2"/>
          <w:sz w:val="16"/>
          <w:szCs w:val="16"/>
          <w:lang w:val="en-GB"/>
        </w:rPr>
        <w:endnoteRef/>
      </w:r>
      <w:r w:rsidRPr="0008578F">
        <w:rPr>
          <w:spacing w:val="-2"/>
          <w:lang w:val="en-GB"/>
        </w:rPr>
        <w:t xml:space="preserve"> Vimukt Dave, “Balaji Wafers Not to Sell More than 15-20% Stake,” </w:t>
      </w:r>
      <w:r w:rsidRPr="0008578F">
        <w:rPr>
          <w:i/>
          <w:spacing w:val="-2"/>
          <w:lang w:val="en-GB"/>
        </w:rPr>
        <w:t>Business Standard</w:t>
      </w:r>
      <w:r w:rsidRPr="0008578F">
        <w:rPr>
          <w:spacing w:val="-2"/>
          <w:lang w:val="en-GB"/>
        </w:rPr>
        <w:t>, August 30, 2013, accessed March 19, 2018, www.business-standard.com/article/companies/balaji-wafers-not-to-sell-more-than-15-20-stake-113083001154_1.html.</w:t>
      </w:r>
    </w:p>
  </w:endnote>
  <w:endnote w:id="43">
    <w:p w14:paraId="3460D8E8" w14:textId="2BD88D3F"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Chatterjee, op. cit.</w:t>
      </w:r>
    </w:p>
  </w:endnote>
  <w:endnote w:id="44">
    <w:p w14:paraId="026E148D" w14:textId="0A66896B"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Reghu Balakrishnan and Viveat Susan Pinto, “Kellogg's Joins Race for Balaji Wafers,” </w:t>
      </w:r>
      <w:r w:rsidRPr="0008578F">
        <w:rPr>
          <w:i/>
          <w:lang w:val="en-GB"/>
        </w:rPr>
        <w:t>Business Standard</w:t>
      </w:r>
      <w:r w:rsidRPr="0008578F">
        <w:rPr>
          <w:lang w:val="en-GB"/>
        </w:rPr>
        <w:t>, December 23, 2013, accessed March 19, 2018, www.business-standard.com/article/companies/kellogg-s-joins-race-for-balaji-wafers-113122300052_1.html.</w:t>
      </w:r>
    </w:p>
  </w:endnote>
  <w:endnote w:id="45">
    <w:p w14:paraId="541717A6" w14:textId="59FEE7D9"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Ibid. </w:t>
      </w:r>
    </w:p>
  </w:endnote>
  <w:endnote w:id="46">
    <w:p w14:paraId="14F31E84" w14:textId="47C189F6"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Sapna Agarwal, “PepsiCo India to Streamline Snacks Brands,” </w:t>
      </w:r>
      <w:r w:rsidRPr="002023F8">
        <w:rPr>
          <w:i/>
          <w:lang w:val="en-GB"/>
        </w:rPr>
        <w:t>LiveMint</w:t>
      </w:r>
      <w:r w:rsidRPr="0008578F">
        <w:rPr>
          <w:lang w:val="en-GB"/>
        </w:rPr>
        <w:t>, January 14, 2016, accessed March 19, 2018, www.livemint.com/Companies/Ra5VE5oLlQszTkuiJViZ7I/PepsiCo-India-to-streamline-snacks-brands.html.</w:t>
      </w:r>
    </w:p>
  </w:endnote>
  <w:endnote w:id="47">
    <w:p w14:paraId="4DE664F3" w14:textId="6DC8F4A5" w:rsidR="00394F79" w:rsidRPr="0008578F" w:rsidRDefault="00394F79" w:rsidP="00B04519">
      <w:pPr>
        <w:pStyle w:val="Footnote"/>
        <w:rPr>
          <w:color w:val="000000" w:themeColor="text1"/>
          <w:lang w:val="en-GB"/>
        </w:rPr>
      </w:pPr>
      <w:r w:rsidRPr="0008578F">
        <w:rPr>
          <w:rStyle w:val="EndnoteReference"/>
          <w:color w:val="000000" w:themeColor="text1"/>
          <w:sz w:val="16"/>
          <w:szCs w:val="16"/>
          <w:lang w:val="en-GB"/>
        </w:rPr>
        <w:endnoteRef/>
      </w:r>
      <w:r w:rsidRPr="0008578F">
        <w:rPr>
          <w:color w:val="000000" w:themeColor="text1"/>
          <w:lang w:val="en-GB"/>
        </w:rPr>
        <w:t xml:space="preserve"> Shramana Ganguly Mehta, “Its Knack for Snacks Gives It Chataka Taste: Balaji Wafers Is a Name to Reckon with in the Rs 600-Cr Gujarat Snacks Market,” </w:t>
      </w:r>
      <w:r w:rsidRPr="0008578F">
        <w:rPr>
          <w:i/>
          <w:color w:val="000000" w:themeColor="text1"/>
          <w:lang w:val="en-GB"/>
        </w:rPr>
        <w:t>Economic Times</w:t>
      </w:r>
      <w:r w:rsidRPr="0008578F">
        <w:rPr>
          <w:color w:val="000000" w:themeColor="text1"/>
          <w:lang w:val="en-GB"/>
        </w:rPr>
        <w:t>, December 23, 2009, accessed March 19, 2018, http://epaper.timesofindia.com/Repository/getFiles.asp?Style=OliveXLib:LowLevelEntityToPrint_ET&amp;Type=text/html&amp;Locale=english-skin-custom&amp;Path=ETM/2009/12/23&amp;ID=Ar00400.</w:t>
      </w:r>
    </w:p>
  </w:endnote>
  <w:endnote w:id="48">
    <w:p w14:paraId="1ABBA48F" w14:textId="20C54D83" w:rsidR="00394F79" w:rsidRPr="0008578F" w:rsidRDefault="00394F79" w:rsidP="00B04519">
      <w:pPr>
        <w:pStyle w:val="Footnote"/>
        <w:rPr>
          <w:color w:val="000000" w:themeColor="text1"/>
          <w:lang w:val="en-GB"/>
        </w:rPr>
      </w:pPr>
      <w:r w:rsidRPr="0008578F">
        <w:rPr>
          <w:rStyle w:val="EndnoteReference"/>
          <w:color w:val="000000" w:themeColor="text1"/>
          <w:sz w:val="16"/>
          <w:szCs w:val="16"/>
          <w:lang w:val="en-GB"/>
        </w:rPr>
        <w:endnoteRef/>
      </w:r>
      <w:r w:rsidRPr="0008578F">
        <w:rPr>
          <w:color w:val="000000" w:themeColor="text1"/>
          <w:lang w:val="en-GB"/>
        </w:rPr>
        <w:t xml:space="preserve"> Viveat Susan Pinto and Reghu Balakrishnan, “PepsiCo Loses Taste for a Piece of Balaji Wafers,” </w:t>
      </w:r>
      <w:r w:rsidRPr="0008578F">
        <w:rPr>
          <w:i/>
          <w:color w:val="000000" w:themeColor="text1"/>
          <w:lang w:val="en-GB"/>
        </w:rPr>
        <w:t>Business Standard</w:t>
      </w:r>
      <w:r w:rsidRPr="0008578F">
        <w:rPr>
          <w:color w:val="000000" w:themeColor="text1"/>
          <w:lang w:val="en-GB"/>
        </w:rPr>
        <w:t>, October 12, 2013, accessed March 19, 2018, www.business-standard.com/article/companies/pepsico-loses-taste-for-a-piece-of-balaji-wafers-113100800015_1.html.</w:t>
      </w:r>
      <w:r w:rsidRPr="0008578F" w:rsidDel="002356C0">
        <w:rPr>
          <w:color w:val="000000" w:themeColor="text1"/>
          <w:lang w:val="en-GB"/>
        </w:rPr>
        <w:t xml:space="preserve"> </w:t>
      </w:r>
    </w:p>
  </w:endnote>
  <w:endnote w:id="49">
    <w:p w14:paraId="2BA4B31B" w14:textId="1A3FF313"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Chatterjee, op. cit.</w:t>
      </w:r>
    </w:p>
  </w:endnote>
  <w:endnote w:id="50">
    <w:p w14:paraId="6877CC47" w14:textId="2929A767"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Agarwal and Dhanjal, op. cit.</w:t>
      </w:r>
    </w:p>
  </w:endnote>
  <w:endnote w:id="51">
    <w:p w14:paraId="56E4A5D8" w14:textId="585F68B7"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Vimukt Dave, “Balaji Wafers to Set up New Production Facility in Indore,” </w:t>
      </w:r>
      <w:r w:rsidRPr="0008578F">
        <w:rPr>
          <w:i/>
          <w:lang w:val="en-GB"/>
        </w:rPr>
        <w:t>Business Standard</w:t>
      </w:r>
      <w:r w:rsidRPr="0008578F">
        <w:rPr>
          <w:lang w:val="en-GB"/>
        </w:rPr>
        <w:t>, March 10, 2015, accessed March 19, 2018, www.business-standard.com/article/companies/balaji-wafers-to-set-up-new-production-facility-in-indore-115031001182_1.html.</w:t>
      </w:r>
    </w:p>
  </w:endnote>
  <w:endnote w:id="52">
    <w:p w14:paraId="1CBB3872" w14:textId="231166D2"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Ibid. </w:t>
      </w:r>
    </w:p>
  </w:endnote>
  <w:endnote w:id="53">
    <w:p w14:paraId="5571333F" w14:textId="7FA3397D"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India Infoline Service, “Balaji Wafers to Sell 10% Stake via IPO,” January 19, 2016, accessed March 19, 2018, www.indiainfoline.com/article/print/news-top-story/balaji-wafers-to-sell-10-stake-via-ipo-116011900265_1.html.</w:t>
      </w:r>
    </w:p>
  </w:endnote>
  <w:endnote w:id="54">
    <w:p w14:paraId="72C7DCD0" w14:textId="1BE7E6B8"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Chatterjee, op. cit.</w:t>
      </w:r>
    </w:p>
  </w:endnote>
  <w:endnote w:id="55">
    <w:p w14:paraId="786F0B19" w14:textId="5A46E7A6"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Khyati Joshi, “Balaji Wafers Aims to Invest Rs 50cr to Expand Capacity,” </w:t>
      </w:r>
      <w:r w:rsidRPr="0008578F">
        <w:rPr>
          <w:i/>
          <w:lang w:val="en-GB"/>
        </w:rPr>
        <w:t>Business Standard</w:t>
      </w:r>
      <w:r w:rsidRPr="0008578F">
        <w:rPr>
          <w:lang w:val="en-GB"/>
        </w:rPr>
        <w:t>, January 29 2013, accessed March 19, 2018, www.business-standard.com/article/companies/balaji-wafers-aims-to-invest-rs-50cr-to-expand-capacity-108091601068_1.html.</w:t>
      </w:r>
    </w:p>
  </w:endnote>
  <w:endnote w:id="56">
    <w:p w14:paraId="5709C1E1" w14:textId="37C9F2D3" w:rsidR="00394F79" w:rsidRPr="0008578F" w:rsidRDefault="00394F79" w:rsidP="00B04519">
      <w:pPr>
        <w:pStyle w:val="Footnote"/>
        <w:rPr>
          <w:lang w:val="en-GB"/>
        </w:rPr>
      </w:pPr>
      <w:r w:rsidRPr="0008578F">
        <w:rPr>
          <w:rStyle w:val="EndnoteReference"/>
          <w:sz w:val="16"/>
          <w:szCs w:val="16"/>
          <w:lang w:val="en-GB"/>
        </w:rPr>
        <w:endnoteRef/>
      </w:r>
      <w:r w:rsidRPr="0008578F">
        <w:rPr>
          <w:lang w:val="en-GB"/>
        </w:rPr>
        <w:t xml:space="preserve"> ET Bureau, </w:t>
      </w:r>
      <w:r w:rsidRPr="0008578F">
        <w:rPr>
          <w:i/>
          <w:lang w:val="en-GB"/>
        </w:rPr>
        <w:t>Economic Times</w:t>
      </w:r>
      <w:r w:rsidRPr="0008578F">
        <w:rPr>
          <w:lang w:val="en-GB"/>
        </w:rPr>
        <w:t>, “Balaji Wafers to Start Production of French Fries and Frozen Specialties,” potatopro.com, December 3, 2014, accessed July 24, 2015, www.potatopro.com/news/2014/balaji-wafers-start-production-french-fries-and-frozen-specialties; Shr</w:t>
      </w:r>
      <w:r>
        <w:rPr>
          <w:lang w:val="en-GB"/>
        </w:rPr>
        <w:t>a</w:t>
      </w:r>
      <w:r w:rsidRPr="0008578F">
        <w:rPr>
          <w:lang w:val="en-GB"/>
        </w:rPr>
        <w:t xml:space="preserve">mana Ganguly, “After PepsiCo’s Lays and ITC’s Bingo, Balaji Wafers to Now Challenge McCain India in the Potato Snack Segment,” </w:t>
      </w:r>
      <w:r w:rsidRPr="0008578F">
        <w:rPr>
          <w:i/>
          <w:lang w:val="en-GB"/>
        </w:rPr>
        <w:t>Economic Times</w:t>
      </w:r>
      <w:r w:rsidRPr="0008578F">
        <w:rPr>
          <w:lang w:val="en-GB"/>
        </w:rPr>
        <w:t>, December 4, 2014, accessed July 25, 2015, http://articles.economictimes.indiatimes.com/2014-12-04/news/56723248_1_french-fries-balaji-wafers-chandu-virani.</w:t>
      </w:r>
    </w:p>
  </w:endnote>
  <w:endnote w:id="57">
    <w:p w14:paraId="2C5FC20F" w14:textId="59756184" w:rsidR="00394F79" w:rsidRPr="0008578F" w:rsidRDefault="00394F79" w:rsidP="005C6D3D">
      <w:pPr>
        <w:pStyle w:val="Footnote"/>
        <w:rPr>
          <w:lang w:val="en-GB"/>
        </w:rPr>
      </w:pPr>
      <w:r w:rsidRPr="0008578F">
        <w:rPr>
          <w:rStyle w:val="EndnoteReference"/>
          <w:lang w:val="en-GB"/>
        </w:rPr>
        <w:endnoteRef/>
      </w:r>
      <w:r w:rsidRPr="0008578F">
        <w:rPr>
          <w:lang w:val="en-GB"/>
        </w:rPr>
        <w:t xml:space="preserve"> Tapash Talukdar, “Balaji Gives Jitters to Competition,” </w:t>
      </w:r>
      <w:r w:rsidRPr="0008578F">
        <w:rPr>
          <w:i/>
          <w:lang w:val="en-GB"/>
        </w:rPr>
        <w:t>Economic Times</w:t>
      </w:r>
      <w:r w:rsidRPr="0008578F">
        <w:rPr>
          <w:lang w:val="en-GB"/>
        </w:rPr>
        <w:t xml:space="preserve">, July 30, 2007, accessed March 19, 2018, </w:t>
      </w:r>
      <w:hyperlink r:id="rId3" w:history="1">
        <w:r w:rsidRPr="0008578F">
          <w:rPr>
            <w:rStyle w:val="Hyperlink"/>
            <w:color w:val="auto"/>
            <w:u w:val="none"/>
            <w:lang w:val="en-GB"/>
          </w:rPr>
          <w:t>https://economictimes.indiatimes.com/industry/cons-products/food/balaji-gives-jitters-to-competition/articleshow/2242806.cms</w:t>
        </w:r>
      </w:hyperlink>
      <w:r w:rsidRPr="0008578F">
        <w:rPr>
          <w:rStyle w:val="Hyperlink"/>
          <w:color w:val="auto"/>
          <w:u w:val="none"/>
          <w:lang w:val="en-GB"/>
        </w:rPr>
        <w:t xml:space="preserve">; Archana Mohan, “Buoyed by Global Gujaratis, Balaji Wafers Mulls Exports,” </w:t>
      </w:r>
      <w:r w:rsidRPr="0008578F">
        <w:rPr>
          <w:rStyle w:val="Hyperlink"/>
          <w:i/>
          <w:color w:val="auto"/>
          <w:u w:val="none"/>
          <w:lang w:val="en-GB"/>
        </w:rPr>
        <w:t>Business Standard</w:t>
      </w:r>
      <w:r w:rsidRPr="0008578F">
        <w:rPr>
          <w:rStyle w:val="Hyperlink"/>
          <w:color w:val="auto"/>
          <w:u w:val="none"/>
          <w:lang w:val="en-GB"/>
        </w:rPr>
        <w:t>, February 5, 2013, accessed March 19, 2018, www.business-standard.com/article/companies/buoyed-by-global-gujaratis-balaji-wafers-mulls-exports-107120701063_1.html.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B8769" w14:textId="77777777" w:rsidR="00394F79" w:rsidRDefault="00394F79" w:rsidP="00D75295">
      <w:r>
        <w:separator/>
      </w:r>
    </w:p>
  </w:footnote>
  <w:footnote w:type="continuationSeparator" w:id="0">
    <w:p w14:paraId="58BA580C" w14:textId="77777777" w:rsidR="00394F79" w:rsidRDefault="00394F7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23FCBCBE" w:rsidR="00394F79" w:rsidRPr="00C92CC4" w:rsidRDefault="00394F7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A5AA7">
      <w:rPr>
        <w:rFonts w:ascii="Arial" w:hAnsi="Arial"/>
        <w:b/>
        <w:noProof/>
      </w:rPr>
      <w:t>15</w:t>
    </w:r>
    <w:r>
      <w:rPr>
        <w:rFonts w:ascii="Arial" w:hAnsi="Arial"/>
        <w:b/>
      </w:rPr>
      <w:fldChar w:fldCharType="end"/>
    </w:r>
    <w:r>
      <w:rPr>
        <w:rFonts w:ascii="Arial" w:hAnsi="Arial"/>
        <w:b/>
      </w:rPr>
      <w:tab/>
      <w:t>9B18M145</w:t>
    </w:r>
  </w:p>
  <w:p w14:paraId="2B53C0A0" w14:textId="77777777" w:rsidR="00394F79" w:rsidRDefault="00394F79" w:rsidP="00D13667">
    <w:pPr>
      <w:pStyle w:val="Header"/>
      <w:tabs>
        <w:tab w:val="clear" w:pos="4680"/>
      </w:tabs>
      <w:rPr>
        <w:sz w:val="18"/>
        <w:szCs w:val="18"/>
      </w:rPr>
    </w:pPr>
  </w:p>
  <w:p w14:paraId="47119730" w14:textId="77777777" w:rsidR="00394F79" w:rsidRPr="00C92CC4" w:rsidRDefault="00394F7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EB6B99"/>
    <w:multiLevelType w:val="hybridMultilevel"/>
    <w:tmpl w:val="CEA883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E04EBF"/>
    <w:multiLevelType w:val="hybridMultilevel"/>
    <w:tmpl w:val="59988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145049"/>
    <w:multiLevelType w:val="hybridMultilevel"/>
    <w:tmpl w:val="7A580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B85296"/>
    <w:multiLevelType w:val="hybridMultilevel"/>
    <w:tmpl w:val="DF0C5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FD3741"/>
    <w:multiLevelType w:val="hybridMultilevel"/>
    <w:tmpl w:val="1434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A1726"/>
    <w:multiLevelType w:val="hybridMultilevel"/>
    <w:tmpl w:val="87E4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E1034"/>
    <w:multiLevelType w:val="hybridMultilevel"/>
    <w:tmpl w:val="86C6C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42F31"/>
    <w:multiLevelType w:val="hybridMultilevel"/>
    <w:tmpl w:val="5E7AC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5"/>
  </w:num>
  <w:num w:numId="4">
    <w:abstractNumId w:val="13"/>
  </w:num>
  <w:num w:numId="5">
    <w:abstractNumId w:val="6"/>
  </w:num>
  <w:num w:numId="6">
    <w:abstractNumId w:val="11"/>
  </w:num>
  <w:num w:numId="7">
    <w:abstractNumId w:val="0"/>
  </w:num>
  <w:num w:numId="8">
    <w:abstractNumId w:val="1"/>
  </w:num>
  <w:num w:numId="9">
    <w:abstractNumId w:val="9"/>
  </w:num>
  <w:num w:numId="10">
    <w:abstractNumId w:val="12"/>
  </w:num>
  <w:num w:numId="11">
    <w:abstractNumId w:val="3"/>
  </w:num>
  <w:num w:numId="12">
    <w:abstractNumId w:val="7"/>
  </w:num>
  <w:num w:numId="13">
    <w:abstractNumId w:val="2"/>
  </w:num>
  <w:num w:numId="14">
    <w:abstractNumId w:val="8"/>
  </w:num>
  <w:num w:numId="1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2163"/>
    <w:rsid w:val="000222F0"/>
    <w:rsid w:val="00024ED4"/>
    <w:rsid w:val="00025DC7"/>
    <w:rsid w:val="00033EB2"/>
    <w:rsid w:val="00035F09"/>
    <w:rsid w:val="00036E70"/>
    <w:rsid w:val="00044ECC"/>
    <w:rsid w:val="000531D3"/>
    <w:rsid w:val="0005646B"/>
    <w:rsid w:val="0007530B"/>
    <w:rsid w:val="0008102D"/>
    <w:rsid w:val="00081327"/>
    <w:rsid w:val="0008578F"/>
    <w:rsid w:val="00086B26"/>
    <w:rsid w:val="00093F81"/>
    <w:rsid w:val="00094C0E"/>
    <w:rsid w:val="000A146D"/>
    <w:rsid w:val="000A6C5B"/>
    <w:rsid w:val="000A6DB5"/>
    <w:rsid w:val="000B1E02"/>
    <w:rsid w:val="000D1619"/>
    <w:rsid w:val="000D45AE"/>
    <w:rsid w:val="000D7091"/>
    <w:rsid w:val="000E04CA"/>
    <w:rsid w:val="000E6970"/>
    <w:rsid w:val="000F0C22"/>
    <w:rsid w:val="000F60E6"/>
    <w:rsid w:val="000F6B09"/>
    <w:rsid w:val="000F6FDC"/>
    <w:rsid w:val="00104567"/>
    <w:rsid w:val="00104916"/>
    <w:rsid w:val="00104AA7"/>
    <w:rsid w:val="001204A8"/>
    <w:rsid w:val="0012732D"/>
    <w:rsid w:val="0013043E"/>
    <w:rsid w:val="00133187"/>
    <w:rsid w:val="0013416C"/>
    <w:rsid w:val="00143F25"/>
    <w:rsid w:val="00152682"/>
    <w:rsid w:val="00154FC9"/>
    <w:rsid w:val="001627E6"/>
    <w:rsid w:val="0019241A"/>
    <w:rsid w:val="00192A18"/>
    <w:rsid w:val="00194634"/>
    <w:rsid w:val="00196488"/>
    <w:rsid w:val="00196D21"/>
    <w:rsid w:val="001A07F5"/>
    <w:rsid w:val="001A22D1"/>
    <w:rsid w:val="001A4BCA"/>
    <w:rsid w:val="001A752D"/>
    <w:rsid w:val="001A757E"/>
    <w:rsid w:val="001B5032"/>
    <w:rsid w:val="001C7777"/>
    <w:rsid w:val="001C7DB4"/>
    <w:rsid w:val="001D344B"/>
    <w:rsid w:val="001E2C5E"/>
    <w:rsid w:val="001E364F"/>
    <w:rsid w:val="001E5E8A"/>
    <w:rsid w:val="001E774A"/>
    <w:rsid w:val="001F1EF3"/>
    <w:rsid w:val="001F4222"/>
    <w:rsid w:val="001F5BB1"/>
    <w:rsid w:val="00200F07"/>
    <w:rsid w:val="002023F8"/>
    <w:rsid w:val="00203AA1"/>
    <w:rsid w:val="00204A8C"/>
    <w:rsid w:val="00204AC4"/>
    <w:rsid w:val="00213E98"/>
    <w:rsid w:val="00217F06"/>
    <w:rsid w:val="00221F92"/>
    <w:rsid w:val="0023081A"/>
    <w:rsid w:val="0023449A"/>
    <w:rsid w:val="00236FEA"/>
    <w:rsid w:val="00251202"/>
    <w:rsid w:val="0025399E"/>
    <w:rsid w:val="00264EE1"/>
    <w:rsid w:val="00265FA8"/>
    <w:rsid w:val="0027777D"/>
    <w:rsid w:val="00282D98"/>
    <w:rsid w:val="00284CEE"/>
    <w:rsid w:val="00293744"/>
    <w:rsid w:val="002A3595"/>
    <w:rsid w:val="002B2631"/>
    <w:rsid w:val="002C7D35"/>
    <w:rsid w:val="002D379B"/>
    <w:rsid w:val="002D3ACE"/>
    <w:rsid w:val="002D3CCC"/>
    <w:rsid w:val="002E1E2A"/>
    <w:rsid w:val="002F460C"/>
    <w:rsid w:val="002F48D6"/>
    <w:rsid w:val="003121E5"/>
    <w:rsid w:val="00317391"/>
    <w:rsid w:val="00322EB9"/>
    <w:rsid w:val="00326216"/>
    <w:rsid w:val="003311E1"/>
    <w:rsid w:val="003341EC"/>
    <w:rsid w:val="00336580"/>
    <w:rsid w:val="00342725"/>
    <w:rsid w:val="00345FEB"/>
    <w:rsid w:val="003513EC"/>
    <w:rsid w:val="003534E0"/>
    <w:rsid w:val="00354899"/>
    <w:rsid w:val="00355A88"/>
    <w:rsid w:val="00355FD6"/>
    <w:rsid w:val="00364684"/>
    <w:rsid w:val="00364A5C"/>
    <w:rsid w:val="00373FB1"/>
    <w:rsid w:val="00376F5F"/>
    <w:rsid w:val="003776E7"/>
    <w:rsid w:val="003778A5"/>
    <w:rsid w:val="00377BD9"/>
    <w:rsid w:val="003925DA"/>
    <w:rsid w:val="00394F79"/>
    <w:rsid w:val="00396C76"/>
    <w:rsid w:val="003A1BDE"/>
    <w:rsid w:val="003A4EB4"/>
    <w:rsid w:val="003B2689"/>
    <w:rsid w:val="003B30D8"/>
    <w:rsid w:val="003B7EF2"/>
    <w:rsid w:val="003C26CB"/>
    <w:rsid w:val="003C3FA4"/>
    <w:rsid w:val="003D0BA1"/>
    <w:rsid w:val="003D364A"/>
    <w:rsid w:val="003E0B3E"/>
    <w:rsid w:val="003F2B0C"/>
    <w:rsid w:val="00401F49"/>
    <w:rsid w:val="0040608B"/>
    <w:rsid w:val="004105B2"/>
    <w:rsid w:val="00412900"/>
    <w:rsid w:val="00414D63"/>
    <w:rsid w:val="00420AF5"/>
    <w:rsid w:val="00421873"/>
    <w:rsid w:val="004221E4"/>
    <w:rsid w:val="00422D6E"/>
    <w:rsid w:val="00427320"/>
    <w:rsid w:val="004273F8"/>
    <w:rsid w:val="004355A3"/>
    <w:rsid w:val="00446546"/>
    <w:rsid w:val="00452769"/>
    <w:rsid w:val="00454FA7"/>
    <w:rsid w:val="00455EF8"/>
    <w:rsid w:val="00460DA4"/>
    <w:rsid w:val="00465348"/>
    <w:rsid w:val="00465705"/>
    <w:rsid w:val="0046769E"/>
    <w:rsid w:val="004816A0"/>
    <w:rsid w:val="0049647A"/>
    <w:rsid w:val="004979A5"/>
    <w:rsid w:val="004B1CCB"/>
    <w:rsid w:val="004B632F"/>
    <w:rsid w:val="004C449A"/>
    <w:rsid w:val="004D3FB1"/>
    <w:rsid w:val="004D6F21"/>
    <w:rsid w:val="004D73A5"/>
    <w:rsid w:val="004E5869"/>
    <w:rsid w:val="005160F1"/>
    <w:rsid w:val="00516EE0"/>
    <w:rsid w:val="005226A6"/>
    <w:rsid w:val="00524F2F"/>
    <w:rsid w:val="00525D9E"/>
    <w:rsid w:val="00527E5C"/>
    <w:rsid w:val="00532CF5"/>
    <w:rsid w:val="00544CC6"/>
    <w:rsid w:val="00545BA4"/>
    <w:rsid w:val="005528CB"/>
    <w:rsid w:val="005633BA"/>
    <w:rsid w:val="00566771"/>
    <w:rsid w:val="00566C1F"/>
    <w:rsid w:val="00570DA8"/>
    <w:rsid w:val="00581E2E"/>
    <w:rsid w:val="00584F15"/>
    <w:rsid w:val="00585F89"/>
    <w:rsid w:val="00592CA5"/>
    <w:rsid w:val="0059514B"/>
    <w:rsid w:val="005A1B0F"/>
    <w:rsid w:val="005A5AA7"/>
    <w:rsid w:val="005B51E5"/>
    <w:rsid w:val="005C6D3D"/>
    <w:rsid w:val="005D038D"/>
    <w:rsid w:val="005E7048"/>
    <w:rsid w:val="006114AF"/>
    <w:rsid w:val="00612C9B"/>
    <w:rsid w:val="006163F7"/>
    <w:rsid w:val="006218CF"/>
    <w:rsid w:val="00621B20"/>
    <w:rsid w:val="00625C74"/>
    <w:rsid w:val="00626E6C"/>
    <w:rsid w:val="00627C63"/>
    <w:rsid w:val="0063276B"/>
    <w:rsid w:val="0063350B"/>
    <w:rsid w:val="00634056"/>
    <w:rsid w:val="00634B13"/>
    <w:rsid w:val="00652606"/>
    <w:rsid w:val="006534C6"/>
    <w:rsid w:val="00663FA5"/>
    <w:rsid w:val="00665C10"/>
    <w:rsid w:val="00665EBB"/>
    <w:rsid w:val="0069288A"/>
    <w:rsid w:val="0069292F"/>
    <w:rsid w:val="00692CBE"/>
    <w:rsid w:val="00693E51"/>
    <w:rsid w:val="006946EE"/>
    <w:rsid w:val="006A58A9"/>
    <w:rsid w:val="006A606D"/>
    <w:rsid w:val="006B655A"/>
    <w:rsid w:val="006C0371"/>
    <w:rsid w:val="006C08B6"/>
    <w:rsid w:val="006C0B1A"/>
    <w:rsid w:val="006C3AB8"/>
    <w:rsid w:val="006C6065"/>
    <w:rsid w:val="006C7D32"/>
    <w:rsid w:val="006C7F53"/>
    <w:rsid w:val="006C7F9F"/>
    <w:rsid w:val="006E1E25"/>
    <w:rsid w:val="006E2F6D"/>
    <w:rsid w:val="006E58F6"/>
    <w:rsid w:val="006E77E1"/>
    <w:rsid w:val="006F131D"/>
    <w:rsid w:val="00707CB2"/>
    <w:rsid w:val="00711642"/>
    <w:rsid w:val="0072010A"/>
    <w:rsid w:val="0072059D"/>
    <w:rsid w:val="0072085E"/>
    <w:rsid w:val="00720D3A"/>
    <w:rsid w:val="007343AA"/>
    <w:rsid w:val="0073653A"/>
    <w:rsid w:val="00746758"/>
    <w:rsid w:val="007507C6"/>
    <w:rsid w:val="00751E0B"/>
    <w:rsid w:val="00752BCD"/>
    <w:rsid w:val="00755896"/>
    <w:rsid w:val="00756F9F"/>
    <w:rsid w:val="00762B25"/>
    <w:rsid w:val="007632F1"/>
    <w:rsid w:val="00766CBB"/>
    <w:rsid w:val="00766DA1"/>
    <w:rsid w:val="00780D94"/>
    <w:rsid w:val="00782F6C"/>
    <w:rsid w:val="007866A6"/>
    <w:rsid w:val="007A130D"/>
    <w:rsid w:val="007A2682"/>
    <w:rsid w:val="007B60C4"/>
    <w:rsid w:val="007D1A2D"/>
    <w:rsid w:val="007D4102"/>
    <w:rsid w:val="007D5869"/>
    <w:rsid w:val="007D7139"/>
    <w:rsid w:val="007E3D82"/>
    <w:rsid w:val="007E54A7"/>
    <w:rsid w:val="007F43B7"/>
    <w:rsid w:val="007F57DD"/>
    <w:rsid w:val="007F7AEF"/>
    <w:rsid w:val="008018A5"/>
    <w:rsid w:val="0080485D"/>
    <w:rsid w:val="00812AD0"/>
    <w:rsid w:val="00812B34"/>
    <w:rsid w:val="00821FFC"/>
    <w:rsid w:val="00824715"/>
    <w:rsid w:val="00825B6E"/>
    <w:rsid w:val="008270FC"/>
    <w:rsid w:val="008271CA"/>
    <w:rsid w:val="00834E1A"/>
    <w:rsid w:val="008467D5"/>
    <w:rsid w:val="00850BC2"/>
    <w:rsid w:val="00851FEA"/>
    <w:rsid w:val="008722A5"/>
    <w:rsid w:val="00873B10"/>
    <w:rsid w:val="00874C8E"/>
    <w:rsid w:val="00875391"/>
    <w:rsid w:val="008755C6"/>
    <w:rsid w:val="00887E70"/>
    <w:rsid w:val="008907AB"/>
    <w:rsid w:val="008A0499"/>
    <w:rsid w:val="008A050F"/>
    <w:rsid w:val="008A4DC4"/>
    <w:rsid w:val="008B438C"/>
    <w:rsid w:val="008B6B10"/>
    <w:rsid w:val="008B7809"/>
    <w:rsid w:val="008C2EC7"/>
    <w:rsid w:val="008D06CA"/>
    <w:rsid w:val="008D3A46"/>
    <w:rsid w:val="008D4F86"/>
    <w:rsid w:val="008D6DC1"/>
    <w:rsid w:val="008E7161"/>
    <w:rsid w:val="008F2385"/>
    <w:rsid w:val="009067A4"/>
    <w:rsid w:val="00906B06"/>
    <w:rsid w:val="00907FBA"/>
    <w:rsid w:val="00912A71"/>
    <w:rsid w:val="00916A31"/>
    <w:rsid w:val="009200AB"/>
    <w:rsid w:val="00930885"/>
    <w:rsid w:val="00933D68"/>
    <w:rsid w:val="009340DB"/>
    <w:rsid w:val="0093527D"/>
    <w:rsid w:val="00943496"/>
    <w:rsid w:val="009435E7"/>
    <w:rsid w:val="0094618C"/>
    <w:rsid w:val="00947624"/>
    <w:rsid w:val="0095684B"/>
    <w:rsid w:val="0097069F"/>
    <w:rsid w:val="00972498"/>
    <w:rsid w:val="0097481F"/>
    <w:rsid w:val="00974CC6"/>
    <w:rsid w:val="00976AD4"/>
    <w:rsid w:val="00980605"/>
    <w:rsid w:val="0098171B"/>
    <w:rsid w:val="00983CBB"/>
    <w:rsid w:val="00995547"/>
    <w:rsid w:val="009A312F"/>
    <w:rsid w:val="009A5348"/>
    <w:rsid w:val="009B0AB7"/>
    <w:rsid w:val="009B4E85"/>
    <w:rsid w:val="009C76D5"/>
    <w:rsid w:val="009D5B72"/>
    <w:rsid w:val="009E145F"/>
    <w:rsid w:val="009F26D3"/>
    <w:rsid w:val="009F7AA4"/>
    <w:rsid w:val="00A0149E"/>
    <w:rsid w:val="00A03090"/>
    <w:rsid w:val="00A10AD7"/>
    <w:rsid w:val="00A11597"/>
    <w:rsid w:val="00A22E8A"/>
    <w:rsid w:val="00A27C48"/>
    <w:rsid w:val="00A4064C"/>
    <w:rsid w:val="00A43A25"/>
    <w:rsid w:val="00A4612F"/>
    <w:rsid w:val="00A559DB"/>
    <w:rsid w:val="00A569EA"/>
    <w:rsid w:val="00A676A0"/>
    <w:rsid w:val="00A857A3"/>
    <w:rsid w:val="00A969D7"/>
    <w:rsid w:val="00AA21DE"/>
    <w:rsid w:val="00AB2A2B"/>
    <w:rsid w:val="00AD4EA5"/>
    <w:rsid w:val="00AD6131"/>
    <w:rsid w:val="00AE29C8"/>
    <w:rsid w:val="00AF35FC"/>
    <w:rsid w:val="00AF3AAD"/>
    <w:rsid w:val="00AF5556"/>
    <w:rsid w:val="00B03639"/>
    <w:rsid w:val="00B04519"/>
    <w:rsid w:val="00B0652A"/>
    <w:rsid w:val="00B06831"/>
    <w:rsid w:val="00B370B9"/>
    <w:rsid w:val="00B374BF"/>
    <w:rsid w:val="00B40937"/>
    <w:rsid w:val="00B423EF"/>
    <w:rsid w:val="00B453DE"/>
    <w:rsid w:val="00B57A31"/>
    <w:rsid w:val="00B60C16"/>
    <w:rsid w:val="00B720AA"/>
    <w:rsid w:val="00B72597"/>
    <w:rsid w:val="00B901F9"/>
    <w:rsid w:val="00B91E2B"/>
    <w:rsid w:val="00BB61C7"/>
    <w:rsid w:val="00BC3CF4"/>
    <w:rsid w:val="00BC4D98"/>
    <w:rsid w:val="00BC7A5E"/>
    <w:rsid w:val="00BD21DB"/>
    <w:rsid w:val="00BD281A"/>
    <w:rsid w:val="00BD2AC7"/>
    <w:rsid w:val="00BD6EFB"/>
    <w:rsid w:val="00BE7515"/>
    <w:rsid w:val="00BF1460"/>
    <w:rsid w:val="00BF5EAB"/>
    <w:rsid w:val="00C02410"/>
    <w:rsid w:val="00C02F2B"/>
    <w:rsid w:val="00C1584D"/>
    <w:rsid w:val="00C15BE2"/>
    <w:rsid w:val="00C3447F"/>
    <w:rsid w:val="00C44D35"/>
    <w:rsid w:val="00C523C8"/>
    <w:rsid w:val="00C6467C"/>
    <w:rsid w:val="00C658FE"/>
    <w:rsid w:val="00C67102"/>
    <w:rsid w:val="00C71BFC"/>
    <w:rsid w:val="00C81491"/>
    <w:rsid w:val="00C81676"/>
    <w:rsid w:val="00C85C5D"/>
    <w:rsid w:val="00C90451"/>
    <w:rsid w:val="00C92CC4"/>
    <w:rsid w:val="00CA0AFB"/>
    <w:rsid w:val="00CA2CE1"/>
    <w:rsid w:val="00CA3976"/>
    <w:rsid w:val="00CA50E3"/>
    <w:rsid w:val="00CA757B"/>
    <w:rsid w:val="00CB3A7B"/>
    <w:rsid w:val="00CB7F62"/>
    <w:rsid w:val="00CC13E3"/>
    <w:rsid w:val="00CC1787"/>
    <w:rsid w:val="00CC182C"/>
    <w:rsid w:val="00CD0824"/>
    <w:rsid w:val="00CD127C"/>
    <w:rsid w:val="00CD2908"/>
    <w:rsid w:val="00CE0C29"/>
    <w:rsid w:val="00CF3A0E"/>
    <w:rsid w:val="00CF64C2"/>
    <w:rsid w:val="00D027AC"/>
    <w:rsid w:val="00D03613"/>
    <w:rsid w:val="00D03A82"/>
    <w:rsid w:val="00D10CDC"/>
    <w:rsid w:val="00D13667"/>
    <w:rsid w:val="00D15344"/>
    <w:rsid w:val="00D23F57"/>
    <w:rsid w:val="00D267CD"/>
    <w:rsid w:val="00D31BEC"/>
    <w:rsid w:val="00D3771D"/>
    <w:rsid w:val="00D63150"/>
    <w:rsid w:val="00D636BA"/>
    <w:rsid w:val="00D64A32"/>
    <w:rsid w:val="00D64EFC"/>
    <w:rsid w:val="00D654F2"/>
    <w:rsid w:val="00D658FC"/>
    <w:rsid w:val="00D745FC"/>
    <w:rsid w:val="00D75295"/>
    <w:rsid w:val="00D76CE9"/>
    <w:rsid w:val="00D84076"/>
    <w:rsid w:val="00D90E29"/>
    <w:rsid w:val="00D97818"/>
    <w:rsid w:val="00D97F12"/>
    <w:rsid w:val="00DA6095"/>
    <w:rsid w:val="00DA670F"/>
    <w:rsid w:val="00DB020D"/>
    <w:rsid w:val="00DB42E7"/>
    <w:rsid w:val="00DB6BEB"/>
    <w:rsid w:val="00DB7793"/>
    <w:rsid w:val="00DC09D8"/>
    <w:rsid w:val="00DC0E11"/>
    <w:rsid w:val="00DE01A6"/>
    <w:rsid w:val="00DE7A98"/>
    <w:rsid w:val="00DF32C2"/>
    <w:rsid w:val="00E077B5"/>
    <w:rsid w:val="00E132B9"/>
    <w:rsid w:val="00E17058"/>
    <w:rsid w:val="00E20ED7"/>
    <w:rsid w:val="00E278B2"/>
    <w:rsid w:val="00E31D93"/>
    <w:rsid w:val="00E431A2"/>
    <w:rsid w:val="00E440B8"/>
    <w:rsid w:val="00E471A7"/>
    <w:rsid w:val="00E635CF"/>
    <w:rsid w:val="00E73A48"/>
    <w:rsid w:val="00E73AC6"/>
    <w:rsid w:val="00E84BDA"/>
    <w:rsid w:val="00E9655A"/>
    <w:rsid w:val="00EA4180"/>
    <w:rsid w:val="00EC1499"/>
    <w:rsid w:val="00EC42DD"/>
    <w:rsid w:val="00EC69C4"/>
    <w:rsid w:val="00EC6E0A"/>
    <w:rsid w:val="00ED4E18"/>
    <w:rsid w:val="00ED7922"/>
    <w:rsid w:val="00EE02C4"/>
    <w:rsid w:val="00EE0F14"/>
    <w:rsid w:val="00EE1F37"/>
    <w:rsid w:val="00EE486E"/>
    <w:rsid w:val="00EE7958"/>
    <w:rsid w:val="00F0159C"/>
    <w:rsid w:val="00F043D1"/>
    <w:rsid w:val="00F05439"/>
    <w:rsid w:val="00F105B7"/>
    <w:rsid w:val="00F13220"/>
    <w:rsid w:val="00F137D1"/>
    <w:rsid w:val="00F17A21"/>
    <w:rsid w:val="00F31315"/>
    <w:rsid w:val="00F3300F"/>
    <w:rsid w:val="00F34260"/>
    <w:rsid w:val="00F37B27"/>
    <w:rsid w:val="00F46556"/>
    <w:rsid w:val="00F50E91"/>
    <w:rsid w:val="00F57D29"/>
    <w:rsid w:val="00F60786"/>
    <w:rsid w:val="00F91BC7"/>
    <w:rsid w:val="00F939D0"/>
    <w:rsid w:val="00F956A3"/>
    <w:rsid w:val="00F96201"/>
    <w:rsid w:val="00FC1E4A"/>
    <w:rsid w:val="00FC3018"/>
    <w:rsid w:val="00FD0B18"/>
    <w:rsid w:val="00FD2FAD"/>
    <w:rsid w:val="00FD4434"/>
    <w:rsid w:val="00FD7B5B"/>
    <w:rsid w:val="00FE714F"/>
    <w:rsid w:val="00FF2CBE"/>
    <w:rsid w:val="00FF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81665598-8701-49AD-A75C-3EA2FAA2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TableofFigures">
    <w:name w:val="table of figures"/>
    <w:basedOn w:val="Normal"/>
    <w:next w:val="Normal"/>
    <w:uiPriority w:val="99"/>
    <w:unhideWhenUsed/>
    <w:rsid w:val="007E3D82"/>
    <w:pPr>
      <w:widowControl w:val="0"/>
      <w:ind w:left="480" w:hanging="480"/>
      <w:outlineLvl w:val="1"/>
    </w:pPr>
    <w:rPr>
      <w:rFonts w:ascii="Cambria" w:eastAsia="MS Mincho" w:hAnsi="Cambria"/>
      <w:b/>
      <w:sz w:val="24"/>
      <w:szCs w:val="24"/>
    </w:rPr>
  </w:style>
  <w:style w:type="paragraph" w:styleId="BodyText2">
    <w:name w:val="Body Text 2"/>
    <w:basedOn w:val="Normal"/>
    <w:link w:val="BodyText2Char"/>
    <w:rsid w:val="007E3D82"/>
    <w:pPr>
      <w:spacing w:before="100" w:beforeAutospacing="1" w:after="100" w:afterAutospacing="1"/>
    </w:pPr>
    <w:rPr>
      <w:rFonts w:ascii="Arial Unicode MS" w:eastAsia="Arial Unicode MS" w:hAnsi="Arial Unicode MS" w:cs="Arial Unicode MS"/>
      <w:sz w:val="24"/>
      <w:szCs w:val="24"/>
    </w:rPr>
  </w:style>
  <w:style w:type="character" w:customStyle="1" w:styleId="BodyText2Char">
    <w:name w:val="Body Text 2 Char"/>
    <w:basedOn w:val="DefaultParagraphFont"/>
    <w:link w:val="BodyText2"/>
    <w:rsid w:val="007E3D82"/>
    <w:rPr>
      <w:rFonts w:ascii="Arial Unicode MS" w:eastAsia="Arial Unicode MS" w:hAnsi="Arial Unicode MS" w:cs="Arial Unicode MS"/>
      <w:sz w:val="24"/>
      <w:szCs w:val="24"/>
    </w:rPr>
  </w:style>
  <w:style w:type="paragraph" w:styleId="DocumentMap">
    <w:name w:val="Document Map"/>
    <w:basedOn w:val="Normal"/>
    <w:link w:val="DocumentMapChar"/>
    <w:uiPriority w:val="99"/>
    <w:semiHidden/>
    <w:unhideWhenUsed/>
    <w:rsid w:val="007E3D82"/>
    <w:rPr>
      <w:rFonts w:eastAsiaTheme="minorEastAsia"/>
      <w:sz w:val="24"/>
      <w:szCs w:val="24"/>
    </w:rPr>
  </w:style>
  <w:style w:type="character" w:customStyle="1" w:styleId="DocumentMapChar">
    <w:name w:val="Document Map Char"/>
    <w:basedOn w:val="DefaultParagraphFont"/>
    <w:link w:val="DocumentMap"/>
    <w:uiPriority w:val="99"/>
    <w:semiHidden/>
    <w:rsid w:val="007E3D82"/>
    <w:rPr>
      <w:rFonts w:ascii="Times New Roman" w:eastAsiaTheme="minorEastAsia" w:hAnsi="Times New Roman" w:cs="Times New Roman"/>
      <w:sz w:val="24"/>
      <w:szCs w:val="24"/>
    </w:rPr>
  </w:style>
  <w:style w:type="character" w:customStyle="1" w:styleId="UnresolvedMention1">
    <w:name w:val="Unresolved Mention1"/>
    <w:basedOn w:val="DefaultParagraphFont"/>
    <w:uiPriority w:val="99"/>
    <w:rsid w:val="007E3D82"/>
    <w:rPr>
      <w:color w:val="808080"/>
      <w:shd w:val="clear" w:color="auto" w:fill="E6E6E6"/>
    </w:rPr>
  </w:style>
  <w:style w:type="character" w:customStyle="1" w:styleId="UnresolvedMention2">
    <w:name w:val="Unresolved Mention2"/>
    <w:basedOn w:val="DefaultParagraphFont"/>
    <w:uiPriority w:val="99"/>
    <w:rsid w:val="007E3D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yperlink" Target="http://www.businesstoday.in/magazine/special/balaji-wafers-best-emerging-indian-companies-2014-packed-food/story/211902.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hyperlink" Target="https://economictimes.indiatimes.com/industry/cons-products/food/haldiram-topples-pepsico-regains-top-spot-as-countrys-largest-snack-company/articleshow/62185925.cms" TargetMode="External"/><Relationship Id="rId17" Type="http://schemas.microsoft.com/office/2007/relationships/diagramDrawing" Target="diagrams/drawing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times.indiatimes.com/industry/cons-products/food/haldiram-topples-pepsico-regains-top-spot-as-countrys-largest-snack-company/articleshow/62185925.cms" TargetMode="External"/><Relationship Id="rId24" Type="http://schemas.openxmlformats.org/officeDocument/2006/relationships/hyperlink" Target="https://retail.economictimes.indiatimes.com/news/food-entertainment/personal-care-pet-supplies-liquor/mnc-stake-in-balaji-wafers-why-patriarch-chandu-virani-may-yield-to-his-gennext-management/22061449"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microsoft.com/office/2016/09/relationships/commentsIds" Target="commentsIds.xml"/><Relationship Id="rId10" Type="http://schemas.openxmlformats.org/officeDocument/2006/relationships/hyperlink" Target="http://www.iveycases.com" TargetMode="Externa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conomictimes.indiatimes.com/industry/cons-products/food/balaji-gives-jitters-to-competition/articleshow/2242806.cms" TargetMode="External"/><Relationship Id="rId2" Type="http://schemas.openxmlformats.org/officeDocument/2006/relationships/hyperlink" Target="https://economictimes.indiatimes.com/industry/services/advertising/pepsico-ropes-in-ranbir-kapoor-to-endorse-lays-potato-chips/articleshow/28041953.cms" TargetMode="External"/><Relationship Id="rId1" Type="http://schemas.openxmlformats.org/officeDocument/2006/relationships/hyperlink" Target="http://epaperbeta.timesofindia.com/Article.aspx?eid=31818&amp;articlexml=Innovation-Rewarded-08022017017020"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BFA9B3-58D3-418C-906C-D3C9E9B73CE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65CAEDC-8CBF-40D6-B9D9-5D0FD2754DCC}">
      <dgm:prSet phldrT="[Text]" custT="1"/>
      <dgm:spPr/>
      <dgm:t>
        <a:bodyPr/>
        <a:lstStyle/>
        <a:p>
          <a:r>
            <a:rPr lang="en-US" sz="1100">
              <a:latin typeface="Arial" panose="020B0604020202020204" pitchFamily="34" charset="0"/>
              <a:cs typeface="Arial" panose="020B0604020202020204" pitchFamily="34" charset="0"/>
            </a:rPr>
            <a:t>Popatbhai</a:t>
          </a:r>
        </a:p>
      </dgm:t>
    </dgm:pt>
    <dgm:pt modelId="{CC006764-9EF2-4715-A69E-49648D1C9A2C}" type="parTrans" cxnId="{0B711CEC-3BE4-49E7-B13F-B5543743A250}">
      <dgm:prSet/>
      <dgm:spPr/>
      <dgm:t>
        <a:bodyPr/>
        <a:lstStyle/>
        <a:p>
          <a:endParaRPr lang="en-US"/>
        </a:p>
      </dgm:t>
    </dgm:pt>
    <dgm:pt modelId="{1B242D11-296B-4BD4-A680-809CAD59B656}" type="sibTrans" cxnId="{0B711CEC-3BE4-49E7-B13F-B5543743A250}">
      <dgm:prSet/>
      <dgm:spPr/>
      <dgm:t>
        <a:bodyPr/>
        <a:lstStyle/>
        <a:p>
          <a:endParaRPr lang="en-US"/>
        </a:p>
      </dgm:t>
    </dgm:pt>
    <dgm:pt modelId="{CAD35BE5-2F4A-40CD-A0BF-32279073A2B4}">
      <dgm:prSet phldrT="[Text]" custT="1"/>
      <dgm:spPr/>
      <dgm:t>
        <a:bodyPr/>
        <a:lstStyle/>
        <a:p>
          <a:r>
            <a:rPr lang="en-US" sz="1100">
              <a:latin typeface="Arial" panose="020B0604020202020204" pitchFamily="34" charset="0"/>
              <a:cs typeface="Arial" panose="020B0604020202020204" pitchFamily="34" charset="0"/>
            </a:rPr>
            <a:t>Bhikhubhai</a:t>
          </a:r>
        </a:p>
      </dgm:t>
    </dgm:pt>
    <dgm:pt modelId="{A303C82A-DFAD-4962-8F56-A7D64ABD7A74}" type="parTrans" cxnId="{CE574B83-6896-40F9-A969-FFAD11730303}">
      <dgm:prSet/>
      <dgm:spPr/>
      <dgm:t>
        <a:bodyPr/>
        <a:lstStyle/>
        <a:p>
          <a:endParaRPr lang="en-US"/>
        </a:p>
      </dgm:t>
    </dgm:pt>
    <dgm:pt modelId="{1F9E58A1-5CCB-40BF-9812-3207B9472797}" type="sibTrans" cxnId="{CE574B83-6896-40F9-A969-FFAD11730303}">
      <dgm:prSet/>
      <dgm:spPr/>
      <dgm:t>
        <a:bodyPr/>
        <a:lstStyle/>
        <a:p>
          <a:endParaRPr lang="en-US"/>
        </a:p>
      </dgm:t>
    </dgm:pt>
    <dgm:pt modelId="{7FAEAFEF-4E5F-42D0-9D62-358B3AA132A5}">
      <dgm:prSet phldrT="[Text]" custT="1"/>
      <dgm:spPr/>
      <dgm:t>
        <a:bodyPr/>
        <a:lstStyle/>
        <a:p>
          <a:r>
            <a:rPr lang="en-US" sz="1100">
              <a:latin typeface="Arial" panose="020B0604020202020204" pitchFamily="34" charset="0"/>
              <a:cs typeface="Arial" panose="020B0604020202020204" pitchFamily="34" charset="0"/>
            </a:rPr>
            <a:t>Chandubhai</a:t>
          </a:r>
        </a:p>
      </dgm:t>
    </dgm:pt>
    <dgm:pt modelId="{0DAF82CD-9351-44C7-AC2F-9A3E8296F5B1}" type="parTrans" cxnId="{69659615-8EDD-4784-A926-AC675F7B2F29}">
      <dgm:prSet/>
      <dgm:spPr/>
      <dgm:t>
        <a:bodyPr/>
        <a:lstStyle/>
        <a:p>
          <a:endParaRPr lang="en-US"/>
        </a:p>
      </dgm:t>
    </dgm:pt>
    <dgm:pt modelId="{7DC88716-49C2-4704-B4C1-585DFF75D66F}" type="sibTrans" cxnId="{69659615-8EDD-4784-A926-AC675F7B2F29}">
      <dgm:prSet/>
      <dgm:spPr/>
      <dgm:t>
        <a:bodyPr/>
        <a:lstStyle/>
        <a:p>
          <a:endParaRPr lang="en-US"/>
        </a:p>
      </dgm:t>
    </dgm:pt>
    <dgm:pt modelId="{F949E65B-8449-4771-B89F-8C6490D989AA}">
      <dgm:prSet phldrT="[Text]" custT="1"/>
      <dgm:spPr/>
      <dgm:t>
        <a:bodyPr/>
        <a:lstStyle/>
        <a:p>
          <a:r>
            <a:rPr lang="en-US" sz="1100">
              <a:latin typeface="Arial" panose="020B0604020202020204" pitchFamily="34" charset="0"/>
              <a:cs typeface="Arial" panose="020B0604020202020204" pitchFamily="34" charset="0"/>
            </a:rPr>
            <a:t>Kanubhai</a:t>
          </a:r>
        </a:p>
      </dgm:t>
    </dgm:pt>
    <dgm:pt modelId="{3F745FB0-DF14-4AE6-87D2-5EBBDF65F3E3}" type="parTrans" cxnId="{6C974141-F5E6-4895-822A-9E71E52822C2}">
      <dgm:prSet/>
      <dgm:spPr/>
      <dgm:t>
        <a:bodyPr/>
        <a:lstStyle/>
        <a:p>
          <a:endParaRPr lang="en-US"/>
        </a:p>
      </dgm:t>
    </dgm:pt>
    <dgm:pt modelId="{B00C42DB-82BD-4722-8524-2DF9247A4AF8}" type="sibTrans" cxnId="{6C974141-F5E6-4895-822A-9E71E52822C2}">
      <dgm:prSet/>
      <dgm:spPr/>
      <dgm:t>
        <a:bodyPr/>
        <a:lstStyle/>
        <a:p>
          <a:endParaRPr lang="en-US"/>
        </a:p>
      </dgm:t>
    </dgm:pt>
    <dgm:pt modelId="{36D7F976-4BCF-4CAE-84D5-A149B536FB0C}">
      <dgm:prSet custT="1"/>
      <dgm:spPr/>
      <dgm:t>
        <a:bodyPr/>
        <a:lstStyle/>
        <a:p>
          <a:r>
            <a:rPr lang="en-US" sz="1100">
              <a:latin typeface="Arial" panose="020B0604020202020204" pitchFamily="34" charset="0"/>
              <a:cs typeface="Arial" panose="020B0604020202020204" pitchFamily="34" charset="0"/>
            </a:rPr>
            <a:t>Meghjibhai</a:t>
          </a:r>
        </a:p>
      </dgm:t>
    </dgm:pt>
    <dgm:pt modelId="{82D4D5F7-CC56-4D46-934E-EB6DF0A9C44C}" type="parTrans" cxnId="{D2B3BA06-9BAD-44DE-B917-D8F7C371EEC9}">
      <dgm:prSet/>
      <dgm:spPr/>
      <dgm:t>
        <a:bodyPr/>
        <a:lstStyle/>
        <a:p>
          <a:endParaRPr lang="en-US"/>
        </a:p>
      </dgm:t>
    </dgm:pt>
    <dgm:pt modelId="{36F7ECCD-B1E0-44CA-B2B0-C5CA9B331653}" type="sibTrans" cxnId="{D2B3BA06-9BAD-44DE-B917-D8F7C371EEC9}">
      <dgm:prSet/>
      <dgm:spPr/>
      <dgm:t>
        <a:bodyPr/>
        <a:lstStyle/>
        <a:p>
          <a:endParaRPr lang="en-US"/>
        </a:p>
      </dgm:t>
    </dgm:pt>
    <dgm:pt modelId="{CDD670FF-7665-4B1E-9874-93A068C427D1}">
      <dgm:prSet custT="1"/>
      <dgm:spPr/>
      <dgm:t>
        <a:bodyPr/>
        <a:lstStyle/>
        <a:p>
          <a:r>
            <a:rPr lang="en-US" sz="1100">
              <a:latin typeface="Arial" panose="020B0604020202020204" pitchFamily="34" charset="0"/>
              <a:cs typeface="Arial" panose="020B0604020202020204" pitchFamily="34" charset="0"/>
            </a:rPr>
            <a:t>Keyur</a:t>
          </a:r>
        </a:p>
      </dgm:t>
    </dgm:pt>
    <dgm:pt modelId="{A103629B-E499-4051-B3A0-F4C5F1377E15}" type="parTrans" cxnId="{C84F30DD-BC5D-4D21-971D-77504EA134BB}">
      <dgm:prSet/>
      <dgm:spPr/>
      <dgm:t>
        <a:bodyPr/>
        <a:lstStyle/>
        <a:p>
          <a:endParaRPr lang="en-US"/>
        </a:p>
      </dgm:t>
    </dgm:pt>
    <dgm:pt modelId="{BCA83128-A153-4613-8708-04A8C42B6853}" type="sibTrans" cxnId="{C84F30DD-BC5D-4D21-971D-77504EA134BB}">
      <dgm:prSet/>
      <dgm:spPr/>
      <dgm:t>
        <a:bodyPr/>
        <a:lstStyle/>
        <a:p>
          <a:endParaRPr lang="en-US"/>
        </a:p>
      </dgm:t>
    </dgm:pt>
    <dgm:pt modelId="{DB4574E4-4ED3-4F8A-BB3D-C57BB0EBE175}">
      <dgm:prSet custT="1"/>
      <dgm:spPr/>
      <dgm:t>
        <a:bodyPr/>
        <a:lstStyle/>
        <a:p>
          <a:r>
            <a:rPr lang="en-US" sz="1100">
              <a:latin typeface="Arial" panose="020B0604020202020204" pitchFamily="34" charset="0"/>
              <a:cs typeface="Arial" panose="020B0604020202020204" pitchFamily="34" charset="0"/>
            </a:rPr>
            <a:t>Mihir</a:t>
          </a:r>
        </a:p>
      </dgm:t>
    </dgm:pt>
    <dgm:pt modelId="{4EA012E4-DC1F-4C1B-B8AE-482493FD6775}" type="parTrans" cxnId="{DA8CECBC-BC2B-41A8-954B-D22BA604E381}">
      <dgm:prSet/>
      <dgm:spPr/>
      <dgm:t>
        <a:bodyPr/>
        <a:lstStyle/>
        <a:p>
          <a:endParaRPr lang="en-US"/>
        </a:p>
      </dgm:t>
    </dgm:pt>
    <dgm:pt modelId="{87C96C5E-8D6F-4BFF-A986-D659D249BC0D}" type="sibTrans" cxnId="{DA8CECBC-BC2B-41A8-954B-D22BA604E381}">
      <dgm:prSet/>
      <dgm:spPr/>
      <dgm:t>
        <a:bodyPr/>
        <a:lstStyle/>
        <a:p>
          <a:endParaRPr lang="en-US"/>
        </a:p>
      </dgm:t>
    </dgm:pt>
    <dgm:pt modelId="{49B12CD9-92AD-4369-8A34-D7CB669BFF6C}">
      <dgm:prSet custT="1"/>
      <dgm:spPr/>
      <dgm:t>
        <a:bodyPr/>
        <a:lstStyle/>
        <a:p>
          <a:r>
            <a:rPr lang="en-US" sz="1100">
              <a:latin typeface="Arial" panose="020B0604020202020204" pitchFamily="34" charset="0"/>
              <a:cs typeface="Arial" panose="020B0604020202020204" pitchFamily="34" charset="0"/>
            </a:rPr>
            <a:t>Pranay</a:t>
          </a:r>
        </a:p>
      </dgm:t>
    </dgm:pt>
    <dgm:pt modelId="{54961EA7-0B30-47AF-9FDD-1868B32EAAAF}" type="parTrans" cxnId="{8FC082F1-9C59-42D1-8299-CAEA0CA73594}">
      <dgm:prSet/>
      <dgm:spPr/>
      <dgm:t>
        <a:bodyPr/>
        <a:lstStyle/>
        <a:p>
          <a:endParaRPr lang="en-US"/>
        </a:p>
      </dgm:t>
    </dgm:pt>
    <dgm:pt modelId="{26E4A6A1-FBB8-4379-B67F-BB2C8D70F7FD}" type="sibTrans" cxnId="{8FC082F1-9C59-42D1-8299-CAEA0CA73594}">
      <dgm:prSet/>
      <dgm:spPr/>
      <dgm:t>
        <a:bodyPr/>
        <a:lstStyle/>
        <a:p>
          <a:endParaRPr lang="en-US"/>
        </a:p>
      </dgm:t>
    </dgm:pt>
    <dgm:pt modelId="{52142C2E-6EF3-4832-BDDC-2145281CCBDA}" type="pres">
      <dgm:prSet presAssocID="{2FBFA9B3-58D3-418C-906C-D3C9E9B73CEA}" presName="hierChild1" presStyleCnt="0">
        <dgm:presLayoutVars>
          <dgm:orgChart val="1"/>
          <dgm:chPref val="1"/>
          <dgm:dir/>
          <dgm:animOne val="branch"/>
          <dgm:animLvl val="lvl"/>
          <dgm:resizeHandles/>
        </dgm:presLayoutVars>
      </dgm:prSet>
      <dgm:spPr/>
      <dgm:t>
        <a:bodyPr/>
        <a:lstStyle/>
        <a:p>
          <a:endParaRPr lang="en-US"/>
        </a:p>
      </dgm:t>
    </dgm:pt>
    <dgm:pt modelId="{DDCB735A-24C7-4DF5-A98A-AEC2323AA531}" type="pres">
      <dgm:prSet presAssocID="{C65CAEDC-8CBF-40D6-B9D9-5D0FD2754DCC}" presName="hierRoot1" presStyleCnt="0">
        <dgm:presLayoutVars>
          <dgm:hierBranch val="init"/>
        </dgm:presLayoutVars>
      </dgm:prSet>
      <dgm:spPr/>
    </dgm:pt>
    <dgm:pt modelId="{E0696AD6-EF1E-4B33-AF90-0EC42078AFDA}" type="pres">
      <dgm:prSet presAssocID="{C65CAEDC-8CBF-40D6-B9D9-5D0FD2754DCC}" presName="rootComposite1" presStyleCnt="0"/>
      <dgm:spPr/>
    </dgm:pt>
    <dgm:pt modelId="{55D0FBE4-AC56-4C18-AFC3-E9CAC85DF6CB}" type="pres">
      <dgm:prSet presAssocID="{C65CAEDC-8CBF-40D6-B9D9-5D0FD2754DCC}" presName="rootText1" presStyleLbl="node0" presStyleIdx="0" presStyleCnt="1">
        <dgm:presLayoutVars>
          <dgm:chPref val="3"/>
        </dgm:presLayoutVars>
      </dgm:prSet>
      <dgm:spPr/>
      <dgm:t>
        <a:bodyPr/>
        <a:lstStyle/>
        <a:p>
          <a:endParaRPr lang="en-US"/>
        </a:p>
      </dgm:t>
    </dgm:pt>
    <dgm:pt modelId="{69731CBF-683D-4593-B08A-C9EC6FAE3936}" type="pres">
      <dgm:prSet presAssocID="{C65CAEDC-8CBF-40D6-B9D9-5D0FD2754DCC}" presName="rootConnector1" presStyleLbl="node1" presStyleIdx="0" presStyleCnt="0"/>
      <dgm:spPr/>
      <dgm:t>
        <a:bodyPr/>
        <a:lstStyle/>
        <a:p>
          <a:endParaRPr lang="en-US"/>
        </a:p>
      </dgm:t>
    </dgm:pt>
    <dgm:pt modelId="{FAEBABD9-77EF-4526-9A9D-E072094B0EAA}" type="pres">
      <dgm:prSet presAssocID="{C65CAEDC-8CBF-40D6-B9D9-5D0FD2754DCC}" presName="hierChild2" presStyleCnt="0"/>
      <dgm:spPr/>
    </dgm:pt>
    <dgm:pt modelId="{7328B1FF-48C9-4A6E-ADE3-3AE5A1120A76}" type="pres">
      <dgm:prSet presAssocID="{A303C82A-DFAD-4962-8F56-A7D64ABD7A74}" presName="Name37" presStyleLbl="parChTrans1D2" presStyleIdx="0" presStyleCnt="4"/>
      <dgm:spPr/>
      <dgm:t>
        <a:bodyPr/>
        <a:lstStyle/>
        <a:p>
          <a:endParaRPr lang="en-US"/>
        </a:p>
      </dgm:t>
    </dgm:pt>
    <dgm:pt modelId="{BE191A5B-4D6F-42BE-A616-57DBE1236AFA}" type="pres">
      <dgm:prSet presAssocID="{CAD35BE5-2F4A-40CD-A0BF-32279073A2B4}" presName="hierRoot2" presStyleCnt="0">
        <dgm:presLayoutVars>
          <dgm:hierBranch val="init"/>
        </dgm:presLayoutVars>
      </dgm:prSet>
      <dgm:spPr/>
    </dgm:pt>
    <dgm:pt modelId="{CCE99B85-F3CC-44BC-A242-607EEAC67A93}" type="pres">
      <dgm:prSet presAssocID="{CAD35BE5-2F4A-40CD-A0BF-32279073A2B4}" presName="rootComposite" presStyleCnt="0"/>
      <dgm:spPr/>
    </dgm:pt>
    <dgm:pt modelId="{C7698B78-9FBC-463B-8A08-0DF67FC46426}" type="pres">
      <dgm:prSet presAssocID="{CAD35BE5-2F4A-40CD-A0BF-32279073A2B4}" presName="rootText" presStyleLbl="node2" presStyleIdx="0" presStyleCnt="4">
        <dgm:presLayoutVars>
          <dgm:chPref val="3"/>
        </dgm:presLayoutVars>
      </dgm:prSet>
      <dgm:spPr/>
      <dgm:t>
        <a:bodyPr/>
        <a:lstStyle/>
        <a:p>
          <a:endParaRPr lang="en-US"/>
        </a:p>
      </dgm:t>
    </dgm:pt>
    <dgm:pt modelId="{B8D66439-CD9D-4728-8757-E647C07C6B0C}" type="pres">
      <dgm:prSet presAssocID="{CAD35BE5-2F4A-40CD-A0BF-32279073A2B4}" presName="rootConnector" presStyleLbl="node2" presStyleIdx="0" presStyleCnt="4"/>
      <dgm:spPr/>
      <dgm:t>
        <a:bodyPr/>
        <a:lstStyle/>
        <a:p>
          <a:endParaRPr lang="en-US"/>
        </a:p>
      </dgm:t>
    </dgm:pt>
    <dgm:pt modelId="{BBB7B83E-15FA-44DF-964F-55C770307579}" type="pres">
      <dgm:prSet presAssocID="{CAD35BE5-2F4A-40CD-A0BF-32279073A2B4}" presName="hierChild4" presStyleCnt="0"/>
      <dgm:spPr/>
    </dgm:pt>
    <dgm:pt modelId="{9B13AC58-3325-4163-BA84-6763712949BF}" type="pres">
      <dgm:prSet presAssocID="{A103629B-E499-4051-B3A0-F4C5F1377E15}" presName="Name37" presStyleLbl="parChTrans1D3" presStyleIdx="0" presStyleCnt="3"/>
      <dgm:spPr/>
      <dgm:t>
        <a:bodyPr/>
        <a:lstStyle/>
        <a:p>
          <a:endParaRPr lang="en-US"/>
        </a:p>
      </dgm:t>
    </dgm:pt>
    <dgm:pt modelId="{8875E7D4-8D74-43D5-9AE8-B4A2F250CD75}" type="pres">
      <dgm:prSet presAssocID="{CDD670FF-7665-4B1E-9874-93A068C427D1}" presName="hierRoot2" presStyleCnt="0">
        <dgm:presLayoutVars>
          <dgm:hierBranch val="init"/>
        </dgm:presLayoutVars>
      </dgm:prSet>
      <dgm:spPr/>
    </dgm:pt>
    <dgm:pt modelId="{6D89044F-1574-49D5-AF64-023FA9AFA7DE}" type="pres">
      <dgm:prSet presAssocID="{CDD670FF-7665-4B1E-9874-93A068C427D1}" presName="rootComposite" presStyleCnt="0"/>
      <dgm:spPr/>
    </dgm:pt>
    <dgm:pt modelId="{5DD2F532-421A-4BA4-845A-EDC4AC5E8A89}" type="pres">
      <dgm:prSet presAssocID="{CDD670FF-7665-4B1E-9874-93A068C427D1}" presName="rootText" presStyleLbl="node3" presStyleIdx="0" presStyleCnt="3">
        <dgm:presLayoutVars>
          <dgm:chPref val="3"/>
        </dgm:presLayoutVars>
      </dgm:prSet>
      <dgm:spPr/>
      <dgm:t>
        <a:bodyPr/>
        <a:lstStyle/>
        <a:p>
          <a:endParaRPr lang="en-US"/>
        </a:p>
      </dgm:t>
    </dgm:pt>
    <dgm:pt modelId="{9FE9DF98-5B4D-4AA4-9A39-88E78E8B1952}" type="pres">
      <dgm:prSet presAssocID="{CDD670FF-7665-4B1E-9874-93A068C427D1}" presName="rootConnector" presStyleLbl="node3" presStyleIdx="0" presStyleCnt="3"/>
      <dgm:spPr/>
      <dgm:t>
        <a:bodyPr/>
        <a:lstStyle/>
        <a:p>
          <a:endParaRPr lang="en-US"/>
        </a:p>
      </dgm:t>
    </dgm:pt>
    <dgm:pt modelId="{DC0A6EC8-A615-4579-A942-C449023D44B7}" type="pres">
      <dgm:prSet presAssocID="{CDD670FF-7665-4B1E-9874-93A068C427D1}" presName="hierChild4" presStyleCnt="0"/>
      <dgm:spPr/>
    </dgm:pt>
    <dgm:pt modelId="{58859DC7-F6DA-4151-A4F9-9152683C6A63}" type="pres">
      <dgm:prSet presAssocID="{CDD670FF-7665-4B1E-9874-93A068C427D1}" presName="hierChild5" presStyleCnt="0"/>
      <dgm:spPr/>
    </dgm:pt>
    <dgm:pt modelId="{75A392F1-E0AA-4FF5-95C0-B8B72CD60819}" type="pres">
      <dgm:prSet presAssocID="{4EA012E4-DC1F-4C1B-B8AE-482493FD6775}" presName="Name37" presStyleLbl="parChTrans1D3" presStyleIdx="1" presStyleCnt="3"/>
      <dgm:spPr/>
      <dgm:t>
        <a:bodyPr/>
        <a:lstStyle/>
        <a:p>
          <a:endParaRPr lang="en-US"/>
        </a:p>
      </dgm:t>
    </dgm:pt>
    <dgm:pt modelId="{595A32C8-9D90-4431-98A8-9D48586B3508}" type="pres">
      <dgm:prSet presAssocID="{DB4574E4-4ED3-4F8A-BB3D-C57BB0EBE175}" presName="hierRoot2" presStyleCnt="0">
        <dgm:presLayoutVars>
          <dgm:hierBranch val="init"/>
        </dgm:presLayoutVars>
      </dgm:prSet>
      <dgm:spPr/>
    </dgm:pt>
    <dgm:pt modelId="{2215532E-A3D4-4868-A10F-8AB44163CE10}" type="pres">
      <dgm:prSet presAssocID="{DB4574E4-4ED3-4F8A-BB3D-C57BB0EBE175}" presName="rootComposite" presStyleCnt="0"/>
      <dgm:spPr/>
    </dgm:pt>
    <dgm:pt modelId="{F397092B-1FC0-4B09-91B9-084AFFA4345E}" type="pres">
      <dgm:prSet presAssocID="{DB4574E4-4ED3-4F8A-BB3D-C57BB0EBE175}" presName="rootText" presStyleLbl="node3" presStyleIdx="1" presStyleCnt="3">
        <dgm:presLayoutVars>
          <dgm:chPref val="3"/>
        </dgm:presLayoutVars>
      </dgm:prSet>
      <dgm:spPr/>
      <dgm:t>
        <a:bodyPr/>
        <a:lstStyle/>
        <a:p>
          <a:endParaRPr lang="en-US"/>
        </a:p>
      </dgm:t>
    </dgm:pt>
    <dgm:pt modelId="{486B3950-635E-4100-85BF-60FA3C455770}" type="pres">
      <dgm:prSet presAssocID="{DB4574E4-4ED3-4F8A-BB3D-C57BB0EBE175}" presName="rootConnector" presStyleLbl="node3" presStyleIdx="1" presStyleCnt="3"/>
      <dgm:spPr/>
      <dgm:t>
        <a:bodyPr/>
        <a:lstStyle/>
        <a:p>
          <a:endParaRPr lang="en-US"/>
        </a:p>
      </dgm:t>
    </dgm:pt>
    <dgm:pt modelId="{68D5A791-7481-4D44-97AB-DAC58D2AAA18}" type="pres">
      <dgm:prSet presAssocID="{DB4574E4-4ED3-4F8A-BB3D-C57BB0EBE175}" presName="hierChild4" presStyleCnt="0"/>
      <dgm:spPr/>
    </dgm:pt>
    <dgm:pt modelId="{F2383654-9A45-45F1-A2B1-7479838FFC65}" type="pres">
      <dgm:prSet presAssocID="{DB4574E4-4ED3-4F8A-BB3D-C57BB0EBE175}" presName="hierChild5" presStyleCnt="0"/>
      <dgm:spPr/>
    </dgm:pt>
    <dgm:pt modelId="{B8A2D426-2368-4B1E-8DF6-8CDF955C1649}" type="pres">
      <dgm:prSet presAssocID="{CAD35BE5-2F4A-40CD-A0BF-32279073A2B4}" presName="hierChild5" presStyleCnt="0"/>
      <dgm:spPr/>
    </dgm:pt>
    <dgm:pt modelId="{93462D66-4F24-4BD2-8449-43709B507FAB}" type="pres">
      <dgm:prSet presAssocID="{0DAF82CD-9351-44C7-AC2F-9A3E8296F5B1}" presName="Name37" presStyleLbl="parChTrans1D2" presStyleIdx="1" presStyleCnt="4"/>
      <dgm:spPr/>
      <dgm:t>
        <a:bodyPr/>
        <a:lstStyle/>
        <a:p>
          <a:endParaRPr lang="en-US"/>
        </a:p>
      </dgm:t>
    </dgm:pt>
    <dgm:pt modelId="{67FDE780-A448-49DB-A484-D284421E6A7D}" type="pres">
      <dgm:prSet presAssocID="{7FAEAFEF-4E5F-42D0-9D62-358B3AA132A5}" presName="hierRoot2" presStyleCnt="0">
        <dgm:presLayoutVars>
          <dgm:hierBranch val="init"/>
        </dgm:presLayoutVars>
      </dgm:prSet>
      <dgm:spPr/>
    </dgm:pt>
    <dgm:pt modelId="{DAED2EB6-0F38-4855-BE12-30A5011B11B7}" type="pres">
      <dgm:prSet presAssocID="{7FAEAFEF-4E5F-42D0-9D62-358B3AA132A5}" presName="rootComposite" presStyleCnt="0"/>
      <dgm:spPr/>
    </dgm:pt>
    <dgm:pt modelId="{E27DA322-EF24-4EDF-AD1C-4D20B0E254A6}" type="pres">
      <dgm:prSet presAssocID="{7FAEAFEF-4E5F-42D0-9D62-358B3AA132A5}" presName="rootText" presStyleLbl="node2" presStyleIdx="1" presStyleCnt="4">
        <dgm:presLayoutVars>
          <dgm:chPref val="3"/>
        </dgm:presLayoutVars>
      </dgm:prSet>
      <dgm:spPr/>
      <dgm:t>
        <a:bodyPr/>
        <a:lstStyle/>
        <a:p>
          <a:endParaRPr lang="en-US"/>
        </a:p>
      </dgm:t>
    </dgm:pt>
    <dgm:pt modelId="{B1AD47AD-D5F9-4ABB-A510-960026053EEA}" type="pres">
      <dgm:prSet presAssocID="{7FAEAFEF-4E5F-42D0-9D62-358B3AA132A5}" presName="rootConnector" presStyleLbl="node2" presStyleIdx="1" presStyleCnt="4"/>
      <dgm:spPr/>
      <dgm:t>
        <a:bodyPr/>
        <a:lstStyle/>
        <a:p>
          <a:endParaRPr lang="en-US"/>
        </a:p>
      </dgm:t>
    </dgm:pt>
    <dgm:pt modelId="{5A6E8518-DE40-4AD1-82B5-232FBE41ED3E}" type="pres">
      <dgm:prSet presAssocID="{7FAEAFEF-4E5F-42D0-9D62-358B3AA132A5}" presName="hierChild4" presStyleCnt="0"/>
      <dgm:spPr/>
    </dgm:pt>
    <dgm:pt modelId="{93C0852C-0E00-4CD2-9C35-1B60427357A1}" type="pres">
      <dgm:prSet presAssocID="{54961EA7-0B30-47AF-9FDD-1868B32EAAAF}" presName="Name37" presStyleLbl="parChTrans1D3" presStyleIdx="2" presStyleCnt="3"/>
      <dgm:spPr/>
      <dgm:t>
        <a:bodyPr/>
        <a:lstStyle/>
        <a:p>
          <a:endParaRPr lang="en-US"/>
        </a:p>
      </dgm:t>
    </dgm:pt>
    <dgm:pt modelId="{DA81D502-4E49-49A1-A05C-C87692BAF80B}" type="pres">
      <dgm:prSet presAssocID="{49B12CD9-92AD-4369-8A34-D7CB669BFF6C}" presName="hierRoot2" presStyleCnt="0">
        <dgm:presLayoutVars>
          <dgm:hierBranch val="init"/>
        </dgm:presLayoutVars>
      </dgm:prSet>
      <dgm:spPr/>
    </dgm:pt>
    <dgm:pt modelId="{AACC8D4B-5549-4B6C-9DCC-5B0B3B938B08}" type="pres">
      <dgm:prSet presAssocID="{49B12CD9-92AD-4369-8A34-D7CB669BFF6C}" presName="rootComposite" presStyleCnt="0"/>
      <dgm:spPr/>
    </dgm:pt>
    <dgm:pt modelId="{C35C8F7B-09E8-48AB-B176-2920352EF3DF}" type="pres">
      <dgm:prSet presAssocID="{49B12CD9-92AD-4369-8A34-D7CB669BFF6C}" presName="rootText" presStyleLbl="node3" presStyleIdx="2" presStyleCnt="3" custFlipHor="1" custScaleX="137822">
        <dgm:presLayoutVars>
          <dgm:chPref val="3"/>
        </dgm:presLayoutVars>
      </dgm:prSet>
      <dgm:spPr/>
      <dgm:t>
        <a:bodyPr/>
        <a:lstStyle/>
        <a:p>
          <a:endParaRPr lang="en-US"/>
        </a:p>
      </dgm:t>
    </dgm:pt>
    <dgm:pt modelId="{F789C3A2-11D0-4C40-ABCF-A032DD998119}" type="pres">
      <dgm:prSet presAssocID="{49B12CD9-92AD-4369-8A34-D7CB669BFF6C}" presName="rootConnector" presStyleLbl="node3" presStyleIdx="2" presStyleCnt="3"/>
      <dgm:spPr/>
      <dgm:t>
        <a:bodyPr/>
        <a:lstStyle/>
        <a:p>
          <a:endParaRPr lang="en-US"/>
        </a:p>
      </dgm:t>
    </dgm:pt>
    <dgm:pt modelId="{6493399B-E0AA-44BB-BACE-335826C784C8}" type="pres">
      <dgm:prSet presAssocID="{49B12CD9-92AD-4369-8A34-D7CB669BFF6C}" presName="hierChild4" presStyleCnt="0"/>
      <dgm:spPr/>
    </dgm:pt>
    <dgm:pt modelId="{5A5A9C98-2D2A-417A-952B-FC4624DA96E1}" type="pres">
      <dgm:prSet presAssocID="{49B12CD9-92AD-4369-8A34-D7CB669BFF6C}" presName="hierChild5" presStyleCnt="0"/>
      <dgm:spPr/>
    </dgm:pt>
    <dgm:pt modelId="{621A5916-E1D9-4939-8496-7461B90AE353}" type="pres">
      <dgm:prSet presAssocID="{7FAEAFEF-4E5F-42D0-9D62-358B3AA132A5}" presName="hierChild5" presStyleCnt="0"/>
      <dgm:spPr/>
    </dgm:pt>
    <dgm:pt modelId="{320D66A6-D502-4AD3-94B0-410AA3048017}" type="pres">
      <dgm:prSet presAssocID="{3F745FB0-DF14-4AE6-87D2-5EBBDF65F3E3}" presName="Name37" presStyleLbl="parChTrans1D2" presStyleIdx="2" presStyleCnt="4"/>
      <dgm:spPr/>
      <dgm:t>
        <a:bodyPr/>
        <a:lstStyle/>
        <a:p>
          <a:endParaRPr lang="en-US"/>
        </a:p>
      </dgm:t>
    </dgm:pt>
    <dgm:pt modelId="{552AD499-259E-44E6-9C77-BAD025A01987}" type="pres">
      <dgm:prSet presAssocID="{F949E65B-8449-4771-B89F-8C6490D989AA}" presName="hierRoot2" presStyleCnt="0">
        <dgm:presLayoutVars>
          <dgm:hierBranch val="init"/>
        </dgm:presLayoutVars>
      </dgm:prSet>
      <dgm:spPr/>
    </dgm:pt>
    <dgm:pt modelId="{347FD9E4-F891-4CEE-9D31-D36C866503AC}" type="pres">
      <dgm:prSet presAssocID="{F949E65B-8449-4771-B89F-8C6490D989AA}" presName="rootComposite" presStyleCnt="0"/>
      <dgm:spPr/>
    </dgm:pt>
    <dgm:pt modelId="{18A95867-0C2B-4DC9-A387-8FCFD7315101}" type="pres">
      <dgm:prSet presAssocID="{F949E65B-8449-4771-B89F-8C6490D989AA}" presName="rootText" presStyleLbl="node2" presStyleIdx="2" presStyleCnt="4">
        <dgm:presLayoutVars>
          <dgm:chPref val="3"/>
        </dgm:presLayoutVars>
      </dgm:prSet>
      <dgm:spPr/>
      <dgm:t>
        <a:bodyPr/>
        <a:lstStyle/>
        <a:p>
          <a:endParaRPr lang="en-US"/>
        </a:p>
      </dgm:t>
    </dgm:pt>
    <dgm:pt modelId="{59BDBE19-5A22-4EF9-A8E8-6A2DB78B46A5}" type="pres">
      <dgm:prSet presAssocID="{F949E65B-8449-4771-B89F-8C6490D989AA}" presName="rootConnector" presStyleLbl="node2" presStyleIdx="2" presStyleCnt="4"/>
      <dgm:spPr/>
      <dgm:t>
        <a:bodyPr/>
        <a:lstStyle/>
        <a:p>
          <a:endParaRPr lang="en-US"/>
        </a:p>
      </dgm:t>
    </dgm:pt>
    <dgm:pt modelId="{FB2DABC3-9267-4264-BC05-7D8A87B14F9A}" type="pres">
      <dgm:prSet presAssocID="{F949E65B-8449-4771-B89F-8C6490D989AA}" presName="hierChild4" presStyleCnt="0"/>
      <dgm:spPr/>
    </dgm:pt>
    <dgm:pt modelId="{395DCEBF-F03C-4193-9770-40351F7B9A48}" type="pres">
      <dgm:prSet presAssocID="{F949E65B-8449-4771-B89F-8C6490D989AA}" presName="hierChild5" presStyleCnt="0"/>
      <dgm:spPr/>
    </dgm:pt>
    <dgm:pt modelId="{79D5D50C-8234-4D69-9502-8BDC09550E04}" type="pres">
      <dgm:prSet presAssocID="{82D4D5F7-CC56-4D46-934E-EB6DF0A9C44C}" presName="Name37" presStyleLbl="parChTrans1D2" presStyleIdx="3" presStyleCnt="4"/>
      <dgm:spPr/>
      <dgm:t>
        <a:bodyPr/>
        <a:lstStyle/>
        <a:p>
          <a:endParaRPr lang="en-US"/>
        </a:p>
      </dgm:t>
    </dgm:pt>
    <dgm:pt modelId="{F875B723-CF21-4DE4-9363-7DFB05981D5E}" type="pres">
      <dgm:prSet presAssocID="{36D7F976-4BCF-4CAE-84D5-A149B536FB0C}" presName="hierRoot2" presStyleCnt="0">
        <dgm:presLayoutVars>
          <dgm:hierBranch val="init"/>
        </dgm:presLayoutVars>
      </dgm:prSet>
      <dgm:spPr/>
    </dgm:pt>
    <dgm:pt modelId="{CB2B120F-2327-4988-9AAC-6AE8FEAF38AA}" type="pres">
      <dgm:prSet presAssocID="{36D7F976-4BCF-4CAE-84D5-A149B536FB0C}" presName="rootComposite" presStyleCnt="0"/>
      <dgm:spPr/>
    </dgm:pt>
    <dgm:pt modelId="{2C15AE02-0239-431D-B4D4-76EF2B9D5F8B}" type="pres">
      <dgm:prSet presAssocID="{36D7F976-4BCF-4CAE-84D5-A149B536FB0C}" presName="rootText" presStyleLbl="node2" presStyleIdx="3" presStyleCnt="4" custFlipHor="1" custScaleX="100346">
        <dgm:presLayoutVars>
          <dgm:chPref val="3"/>
        </dgm:presLayoutVars>
      </dgm:prSet>
      <dgm:spPr/>
      <dgm:t>
        <a:bodyPr/>
        <a:lstStyle/>
        <a:p>
          <a:endParaRPr lang="en-US"/>
        </a:p>
      </dgm:t>
    </dgm:pt>
    <dgm:pt modelId="{DC0F3104-89ED-4E3F-B08A-F17860683497}" type="pres">
      <dgm:prSet presAssocID="{36D7F976-4BCF-4CAE-84D5-A149B536FB0C}" presName="rootConnector" presStyleLbl="node2" presStyleIdx="3" presStyleCnt="4"/>
      <dgm:spPr/>
      <dgm:t>
        <a:bodyPr/>
        <a:lstStyle/>
        <a:p>
          <a:endParaRPr lang="en-US"/>
        </a:p>
      </dgm:t>
    </dgm:pt>
    <dgm:pt modelId="{F59BB0FB-768C-4413-8DDA-60DFB7EE4050}" type="pres">
      <dgm:prSet presAssocID="{36D7F976-4BCF-4CAE-84D5-A149B536FB0C}" presName="hierChild4" presStyleCnt="0"/>
      <dgm:spPr/>
    </dgm:pt>
    <dgm:pt modelId="{3005D325-9C07-4B51-8A51-F0DB9E1E6E92}" type="pres">
      <dgm:prSet presAssocID="{36D7F976-4BCF-4CAE-84D5-A149B536FB0C}" presName="hierChild5" presStyleCnt="0"/>
      <dgm:spPr/>
    </dgm:pt>
    <dgm:pt modelId="{B5B345F8-CF6B-4ACA-A9E1-6F8860136A2D}" type="pres">
      <dgm:prSet presAssocID="{C65CAEDC-8CBF-40D6-B9D9-5D0FD2754DCC}" presName="hierChild3" presStyleCnt="0"/>
      <dgm:spPr/>
    </dgm:pt>
  </dgm:ptLst>
  <dgm:cxnLst>
    <dgm:cxn modelId="{D1C5DEEE-697D-0D46-A40C-2B2ABD490355}" type="presOf" srcId="{36D7F976-4BCF-4CAE-84D5-A149B536FB0C}" destId="{DC0F3104-89ED-4E3F-B08A-F17860683497}" srcOrd="1" destOrd="0" presId="urn:microsoft.com/office/officeart/2005/8/layout/orgChart1"/>
    <dgm:cxn modelId="{769B41B5-23C2-1D4E-A826-06FE1FBE3FD9}" type="presOf" srcId="{CDD670FF-7665-4B1E-9874-93A068C427D1}" destId="{9FE9DF98-5B4D-4AA4-9A39-88E78E8B1952}" srcOrd="1" destOrd="0" presId="urn:microsoft.com/office/officeart/2005/8/layout/orgChart1"/>
    <dgm:cxn modelId="{DA8CECBC-BC2B-41A8-954B-D22BA604E381}" srcId="{CAD35BE5-2F4A-40CD-A0BF-32279073A2B4}" destId="{DB4574E4-4ED3-4F8A-BB3D-C57BB0EBE175}" srcOrd="1" destOrd="0" parTransId="{4EA012E4-DC1F-4C1B-B8AE-482493FD6775}" sibTransId="{87C96C5E-8D6F-4BFF-A986-D659D249BC0D}"/>
    <dgm:cxn modelId="{30506ACF-1533-674C-8833-E92550510D1B}" type="presOf" srcId="{49B12CD9-92AD-4369-8A34-D7CB669BFF6C}" destId="{C35C8F7B-09E8-48AB-B176-2920352EF3DF}" srcOrd="0" destOrd="0" presId="urn:microsoft.com/office/officeart/2005/8/layout/orgChart1"/>
    <dgm:cxn modelId="{4FF446AF-7C5F-BA40-8479-46F984935056}" type="presOf" srcId="{DB4574E4-4ED3-4F8A-BB3D-C57BB0EBE175}" destId="{F397092B-1FC0-4B09-91B9-084AFFA4345E}" srcOrd="0" destOrd="0" presId="urn:microsoft.com/office/officeart/2005/8/layout/orgChart1"/>
    <dgm:cxn modelId="{CDF9D29B-03C8-4F4F-B83F-02119ED8A9EB}" type="presOf" srcId="{82D4D5F7-CC56-4D46-934E-EB6DF0A9C44C}" destId="{79D5D50C-8234-4D69-9502-8BDC09550E04}" srcOrd="0" destOrd="0" presId="urn:microsoft.com/office/officeart/2005/8/layout/orgChart1"/>
    <dgm:cxn modelId="{11C3ADA8-BDF4-AA47-B64D-D00DEE7B7098}" type="presOf" srcId="{49B12CD9-92AD-4369-8A34-D7CB669BFF6C}" destId="{F789C3A2-11D0-4C40-ABCF-A032DD998119}" srcOrd="1" destOrd="0" presId="urn:microsoft.com/office/officeart/2005/8/layout/orgChart1"/>
    <dgm:cxn modelId="{D33EC939-7EBF-5241-AEB7-1F2B924886EF}" type="presOf" srcId="{A103629B-E499-4051-B3A0-F4C5F1377E15}" destId="{9B13AC58-3325-4163-BA84-6763712949BF}" srcOrd="0" destOrd="0" presId="urn:microsoft.com/office/officeart/2005/8/layout/orgChart1"/>
    <dgm:cxn modelId="{69659615-8EDD-4784-A926-AC675F7B2F29}" srcId="{C65CAEDC-8CBF-40D6-B9D9-5D0FD2754DCC}" destId="{7FAEAFEF-4E5F-42D0-9D62-358B3AA132A5}" srcOrd="1" destOrd="0" parTransId="{0DAF82CD-9351-44C7-AC2F-9A3E8296F5B1}" sibTransId="{7DC88716-49C2-4704-B4C1-585DFF75D66F}"/>
    <dgm:cxn modelId="{BDA860F7-B7CB-1E41-AF4E-08A7F0945F53}" type="presOf" srcId="{0DAF82CD-9351-44C7-AC2F-9A3E8296F5B1}" destId="{93462D66-4F24-4BD2-8449-43709B507FAB}" srcOrd="0" destOrd="0" presId="urn:microsoft.com/office/officeart/2005/8/layout/orgChart1"/>
    <dgm:cxn modelId="{8FC082F1-9C59-42D1-8299-CAEA0CA73594}" srcId="{7FAEAFEF-4E5F-42D0-9D62-358B3AA132A5}" destId="{49B12CD9-92AD-4369-8A34-D7CB669BFF6C}" srcOrd="0" destOrd="0" parTransId="{54961EA7-0B30-47AF-9FDD-1868B32EAAAF}" sibTransId="{26E4A6A1-FBB8-4379-B67F-BB2C8D70F7FD}"/>
    <dgm:cxn modelId="{4848AFE2-9F32-004A-94BF-BE48602025B1}" type="presOf" srcId="{2FBFA9B3-58D3-418C-906C-D3C9E9B73CEA}" destId="{52142C2E-6EF3-4832-BDDC-2145281CCBDA}" srcOrd="0" destOrd="0" presId="urn:microsoft.com/office/officeart/2005/8/layout/orgChart1"/>
    <dgm:cxn modelId="{D2B3BA06-9BAD-44DE-B917-D8F7C371EEC9}" srcId="{C65CAEDC-8CBF-40D6-B9D9-5D0FD2754DCC}" destId="{36D7F976-4BCF-4CAE-84D5-A149B536FB0C}" srcOrd="3" destOrd="0" parTransId="{82D4D5F7-CC56-4D46-934E-EB6DF0A9C44C}" sibTransId="{36F7ECCD-B1E0-44CA-B2B0-C5CA9B331653}"/>
    <dgm:cxn modelId="{80F9C45E-C43A-C541-A51A-7B2B15D2E288}" type="presOf" srcId="{A303C82A-DFAD-4962-8F56-A7D64ABD7A74}" destId="{7328B1FF-48C9-4A6E-ADE3-3AE5A1120A76}" srcOrd="0" destOrd="0" presId="urn:microsoft.com/office/officeart/2005/8/layout/orgChart1"/>
    <dgm:cxn modelId="{9B12E3CC-4CCD-EA45-8062-F56DA6C36BBA}" type="presOf" srcId="{CDD670FF-7665-4B1E-9874-93A068C427D1}" destId="{5DD2F532-421A-4BA4-845A-EDC4AC5E8A89}" srcOrd="0" destOrd="0" presId="urn:microsoft.com/office/officeart/2005/8/layout/orgChart1"/>
    <dgm:cxn modelId="{96027639-8469-8248-B732-F607C49E1449}" type="presOf" srcId="{F949E65B-8449-4771-B89F-8C6490D989AA}" destId="{18A95867-0C2B-4DC9-A387-8FCFD7315101}" srcOrd="0" destOrd="0" presId="urn:microsoft.com/office/officeart/2005/8/layout/orgChart1"/>
    <dgm:cxn modelId="{903A6DFA-B3AA-9D47-AC8B-32947F2F7D6D}" type="presOf" srcId="{36D7F976-4BCF-4CAE-84D5-A149B536FB0C}" destId="{2C15AE02-0239-431D-B4D4-76EF2B9D5F8B}" srcOrd="0" destOrd="0" presId="urn:microsoft.com/office/officeart/2005/8/layout/orgChart1"/>
    <dgm:cxn modelId="{C84F30DD-BC5D-4D21-971D-77504EA134BB}" srcId="{CAD35BE5-2F4A-40CD-A0BF-32279073A2B4}" destId="{CDD670FF-7665-4B1E-9874-93A068C427D1}" srcOrd="0" destOrd="0" parTransId="{A103629B-E499-4051-B3A0-F4C5F1377E15}" sibTransId="{BCA83128-A153-4613-8708-04A8C42B6853}"/>
    <dgm:cxn modelId="{87AA599F-6442-264B-AC62-D62B61C46D03}" type="presOf" srcId="{C65CAEDC-8CBF-40D6-B9D9-5D0FD2754DCC}" destId="{55D0FBE4-AC56-4C18-AFC3-E9CAC85DF6CB}" srcOrd="0" destOrd="0" presId="urn:microsoft.com/office/officeart/2005/8/layout/orgChart1"/>
    <dgm:cxn modelId="{DF596994-EA99-1242-9B19-C78DAB1585C0}" type="presOf" srcId="{7FAEAFEF-4E5F-42D0-9D62-358B3AA132A5}" destId="{E27DA322-EF24-4EDF-AD1C-4D20B0E254A6}" srcOrd="0" destOrd="0" presId="urn:microsoft.com/office/officeart/2005/8/layout/orgChart1"/>
    <dgm:cxn modelId="{0B711CEC-3BE4-49E7-B13F-B5543743A250}" srcId="{2FBFA9B3-58D3-418C-906C-D3C9E9B73CEA}" destId="{C65CAEDC-8CBF-40D6-B9D9-5D0FD2754DCC}" srcOrd="0" destOrd="0" parTransId="{CC006764-9EF2-4715-A69E-49648D1C9A2C}" sibTransId="{1B242D11-296B-4BD4-A680-809CAD59B656}"/>
    <dgm:cxn modelId="{FDDEB4DE-25D9-D64E-9B72-C126B873FE27}" type="presOf" srcId="{3F745FB0-DF14-4AE6-87D2-5EBBDF65F3E3}" destId="{320D66A6-D502-4AD3-94B0-410AA3048017}" srcOrd="0" destOrd="0" presId="urn:microsoft.com/office/officeart/2005/8/layout/orgChart1"/>
    <dgm:cxn modelId="{CE574B83-6896-40F9-A969-FFAD11730303}" srcId="{C65CAEDC-8CBF-40D6-B9D9-5D0FD2754DCC}" destId="{CAD35BE5-2F4A-40CD-A0BF-32279073A2B4}" srcOrd="0" destOrd="0" parTransId="{A303C82A-DFAD-4962-8F56-A7D64ABD7A74}" sibTransId="{1F9E58A1-5CCB-40BF-9812-3207B9472797}"/>
    <dgm:cxn modelId="{A9B55272-F43A-B445-820E-2DE081A55134}" type="presOf" srcId="{CAD35BE5-2F4A-40CD-A0BF-32279073A2B4}" destId="{B8D66439-CD9D-4728-8757-E647C07C6B0C}" srcOrd="1" destOrd="0" presId="urn:microsoft.com/office/officeart/2005/8/layout/orgChart1"/>
    <dgm:cxn modelId="{DD3DEE5C-2F41-994E-B80D-E8E06113F647}" type="presOf" srcId="{4EA012E4-DC1F-4C1B-B8AE-482493FD6775}" destId="{75A392F1-E0AA-4FF5-95C0-B8B72CD60819}" srcOrd="0" destOrd="0" presId="urn:microsoft.com/office/officeart/2005/8/layout/orgChart1"/>
    <dgm:cxn modelId="{6C974141-F5E6-4895-822A-9E71E52822C2}" srcId="{C65CAEDC-8CBF-40D6-B9D9-5D0FD2754DCC}" destId="{F949E65B-8449-4771-B89F-8C6490D989AA}" srcOrd="2" destOrd="0" parTransId="{3F745FB0-DF14-4AE6-87D2-5EBBDF65F3E3}" sibTransId="{B00C42DB-82BD-4722-8524-2DF9247A4AF8}"/>
    <dgm:cxn modelId="{B80401CD-4E77-604F-896B-7EF712184A3A}" type="presOf" srcId="{DB4574E4-4ED3-4F8A-BB3D-C57BB0EBE175}" destId="{486B3950-635E-4100-85BF-60FA3C455770}" srcOrd="1" destOrd="0" presId="urn:microsoft.com/office/officeart/2005/8/layout/orgChart1"/>
    <dgm:cxn modelId="{4C1F0042-33CF-F040-A39D-BC334C8287DB}" type="presOf" srcId="{F949E65B-8449-4771-B89F-8C6490D989AA}" destId="{59BDBE19-5A22-4EF9-A8E8-6A2DB78B46A5}" srcOrd="1" destOrd="0" presId="urn:microsoft.com/office/officeart/2005/8/layout/orgChart1"/>
    <dgm:cxn modelId="{9B22A19E-0391-464B-99F8-1C4515B8311F}" type="presOf" srcId="{7FAEAFEF-4E5F-42D0-9D62-358B3AA132A5}" destId="{B1AD47AD-D5F9-4ABB-A510-960026053EEA}" srcOrd="1" destOrd="0" presId="urn:microsoft.com/office/officeart/2005/8/layout/orgChart1"/>
    <dgm:cxn modelId="{5D9F774D-539F-A64A-B4C0-1BFDA6F541A3}" type="presOf" srcId="{54961EA7-0B30-47AF-9FDD-1868B32EAAAF}" destId="{93C0852C-0E00-4CD2-9C35-1B60427357A1}" srcOrd="0" destOrd="0" presId="urn:microsoft.com/office/officeart/2005/8/layout/orgChart1"/>
    <dgm:cxn modelId="{6A218DD7-BB2E-EF43-BAC5-295AEFF0535D}" type="presOf" srcId="{CAD35BE5-2F4A-40CD-A0BF-32279073A2B4}" destId="{C7698B78-9FBC-463B-8A08-0DF67FC46426}" srcOrd="0" destOrd="0" presId="urn:microsoft.com/office/officeart/2005/8/layout/orgChart1"/>
    <dgm:cxn modelId="{1787629C-D46B-4A4C-A27E-65044DE4DF0E}" type="presOf" srcId="{C65CAEDC-8CBF-40D6-B9D9-5D0FD2754DCC}" destId="{69731CBF-683D-4593-B08A-C9EC6FAE3936}" srcOrd="1" destOrd="0" presId="urn:microsoft.com/office/officeart/2005/8/layout/orgChart1"/>
    <dgm:cxn modelId="{5DDC0FA4-48DE-1144-A3D8-92C735F10BCB}" type="presParOf" srcId="{52142C2E-6EF3-4832-BDDC-2145281CCBDA}" destId="{DDCB735A-24C7-4DF5-A98A-AEC2323AA531}" srcOrd="0" destOrd="0" presId="urn:microsoft.com/office/officeart/2005/8/layout/orgChart1"/>
    <dgm:cxn modelId="{4300C20B-C0DD-E847-8D0D-CB6F4B4A3111}" type="presParOf" srcId="{DDCB735A-24C7-4DF5-A98A-AEC2323AA531}" destId="{E0696AD6-EF1E-4B33-AF90-0EC42078AFDA}" srcOrd="0" destOrd="0" presId="urn:microsoft.com/office/officeart/2005/8/layout/orgChart1"/>
    <dgm:cxn modelId="{28438290-73B3-CB44-BD8D-20ABAED4500C}" type="presParOf" srcId="{E0696AD6-EF1E-4B33-AF90-0EC42078AFDA}" destId="{55D0FBE4-AC56-4C18-AFC3-E9CAC85DF6CB}" srcOrd="0" destOrd="0" presId="urn:microsoft.com/office/officeart/2005/8/layout/orgChart1"/>
    <dgm:cxn modelId="{E6DD57CC-3641-EB47-AAAB-63936EE793F6}" type="presParOf" srcId="{E0696AD6-EF1E-4B33-AF90-0EC42078AFDA}" destId="{69731CBF-683D-4593-B08A-C9EC6FAE3936}" srcOrd="1" destOrd="0" presId="urn:microsoft.com/office/officeart/2005/8/layout/orgChart1"/>
    <dgm:cxn modelId="{BA94FBE1-6DB8-744E-A4A2-B5E66EF54F7A}" type="presParOf" srcId="{DDCB735A-24C7-4DF5-A98A-AEC2323AA531}" destId="{FAEBABD9-77EF-4526-9A9D-E072094B0EAA}" srcOrd="1" destOrd="0" presId="urn:microsoft.com/office/officeart/2005/8/layout/orgChart1"/>
    <dgm:cxn modelId="{43C61DCC-5CE0-E04E-A060-23ECE2E02A89}" type="presParOf" srcId="{FAEBABD9-77EF-4526-9A9D-E072094B0EAA}" destId="{7328B1FF-48C9-4A6E-ADE3-3AE5A1120A76}" srcOrd="0" destOrd="0" presId="urn:microsoft.com/office/officeart/2005/8/layout/orgChart1"/>
    <dgm:cxn modelId="{FC49A3FD-F52C-3D4B-AC2D-96E9252D07C9}" type="presParOf" srcId="{FAEBABD9-77EF-4526-9A9D-E072094B0EAA}" destId="{BE191A5B-4D6F-42BE-A616-57DBE1236AFA}" srcOrd="1" destOrd="0" presId="urn:microsoft.com/office/officeart/2005/8/layout/orgChart1"/>
    <dgm:cxn modelId="{EB6C4105-7035-7C4C-A2D1-0F1C4C7EFE36}" type="presParOf" srcId="{BE191A5B-4D6F-42BE-A616-57DBE1236AFA}" destId="{CCE99B85-F3CC-44BC-A242-607EEAC67A93}" srcOrd="0" destOrd="0" presId="urn:microsoft.com/office/officeart/2005/8/layout/orgChart1"/>
    <dgm:cxn modelId="{7BDFE443-3759-184E-9E65-3348A1B92CC1}" type="presParOf" srcId="{CCE99B85-F3CC-44BC-A242-607EEAC67A93}" destId="{C7698B78-9FBC-463B-8A08-0DF67FC46426}" srcOrd="0" destOrd="0" presId="urn:microsoft.com/office/officeart/2005/8/layout/orgChart1"/>
    <dgm:cxn modelId="{1B118BD5-F8F7-514E-AFED-63C2575FEC64}" type="presParOf" srcId="{CCE99B85-F3CC-44BC-A242-607EEAC67A93}" destId="{B8D66439-CD9D-4728-8757-E647C07C6B0C}" srcOrd="1" destOrd="0" presId="urn:microsoft.com/office/officeart/2005/8/layout/orgChart1"/>
    <dgm:cxn modelId="{FFE81739-F3ED-E349-97DB-3A4AB8EC56F6}" type="presParOf" srcId="{BE191A5B-4D6F-42BE-A616-57DBE1236AFA}" destId="{BBB7B83E-15FA-44DF-964F-55C770307579}" srcOrd="1" destOrd="0" presId="urn:microsoft.com/office/officeart/2005/8/layout/orgChart1"/>
    <dgm:cxn modelId="{BAAE494C-AF19-2E41-84B6-2A9C84F8A6EE}" type="presParOf" srcId="{BBB7B83E-15FA-44DF-964F-55C770307579}" destId="{9B13AC58-3325-4163-BA84-6763712949BF}" srcOrd="0" destOrd="0" presId="urn:microsoft.com/office/officeart/2005/8/layout/orgChart1"/>
    <dgm:cxn modelId="{12146CE6-2B22-5148-88D1-B4D94447EA9B}" type="presParOf" srcId="{BBB7B83E-15FA-44DF-964F-55C770307579}" destId="{8875E7D4-8D74-43D5-9AE8-B4A2F250CD75}" srcOrd="1" destOrd="0" presId="urn:microsoft.com/office/officeart/2005/8/layout/orgChart1"/>
    <dgm:cxn modelId="{EF753036-F224-9247-B97D-0D32D55E39CF}" type="presParOf" srcId="{8875E7D4-8D74-43D5-9AE8-B4A2F250CD75}" destId="{6D89044F-1574-49D5-AF64-023FA9AFA7DE}" srcOrd="0" destOrd="0" presId="urn:microsoft.com/office/officeart/2005/8/layout/orgChart1"/>
    <dgm:cxn modelId="{5542A9B9-B115-A048-BCDF-1A13390F13B1}" type="presParOf" srcId="{6D89044F-1574-49D5-AF64-023FA9AFA7DE}" destId="{5DD2F532-421A-4BA4-845A-EDC4AC5E8A89}" srcOrd="0" destOrd="0" presId="urn:microsoft.com/office/officeart/2005/8/layout/orgChart1"/>
    <dgm:cxn modelId="{CDB3AC60-B433-2C43-ACA9-5AE370163727}" type="presParOf" srcId="{6D89044F-1574-49D5-AF64-023FA9AFA7DE}" destId="{9FE9DF98-5B4D-4AA4-9A39-88E78E8B1952}" srcOrd="1" destOrd="0" presId="urn:microsoft.com/office/officeart/2005/8/layout/orgChart1"/>
    <dgm:cxn modelId="{CE0B4AF9-5E79-8249-988D-D10D1B798B73}" type="presParOf" srcId="{8875E7D4-8D74-43D5-9AE8-B4A2F250CD75}" destId="{DC0A6EC8-A615-4579-A942-C449023D44B7}" srcOrd="1" destOrd="0" presId="urn:microsoft.com/office/officeart/2005/8/layout/orgChart1"/>
    <dgm:cxn modelId="{7A571BB9-8EC4-A34F-B32E-E602F584ACC4}" type="presParOf" srcId="{8875E7D4-8D74-43D5-9AE8-B4A2F250CD75}" destId="{58859DC7-F6DA-4151-A4F9-9152683C6A63}" srcOrd="2" destOrd="0" presId="urn:microsoft.com/office/officeart/2005/8/layout/orgChart1"/>
    <dgm:cxn modelId="{E01E904A-B075-634D-BB74-96EDC757FC94}" type="presParOf" srcId="{BBB7B83E-15FA-44DF-964F-55C770307579}" destId="{75A392F1-E0AA-4FF5-95C0-B8B72CD60819}" srcOrd="2" destOrd="0" presId="urn:microsoft.com/office/officeart/2005/8/layout/orgChart1"/>
    <dgm:cxn modelId="{C8EDC1CF-23BF-774D-B5AC-EDBD0F0E0FC7}" type="presParOf" srcId="{BBB7B83E-15FA-44DF-964F-55C770307579}" destId="{595A32C8-9D90-4431-98A8-9D48586B3508}" srcOrd="3" destOrd="0" presId="urn:microsoft.com/office/officeart/2005/8/layout/orgChart1"/>
    <dgm:cxn modelId="{B8793BE6-3A03-B74C-9950-E451B738679A}" type="presParOf" srcId="{595A32C8-9D90-4431-98A8-9D48586B3508}" destId="{2215532E-A3D4-4868-A10F-8AB44163CE10}" srcOrd="0" destOrd="0" presId="urn:microsoft.com/office/officeart/2005/8/layout/orgChart1"/>
    <dgm:cxn modelId="{13D5F23A-2806-E14C-9B49-66F6ADF1C0B4}" type="presParOf" srcId="{2215532E-A3D4-4868-A10F-8AB44163CE10}" destId="{F397092B-1FC0-4B09-91B9-084AFFA4345E}" srcOrd="0" destOrd="0" presId="urn:microsoft.com/office/officeart/2005/8/layout/orgChart1"/>
    <dgm:cxn modelId="{C6BAC8B9-68DF-8344-9E3D-9D7D966A81CA}" type="presParOf" srcId="{2215532E-A3D4-4868-A10F-8AB44163CE10}" destId="{486B3950-635E-4100-85BF-60FA3C455770}" srcOrd="1" destOrd="0" presId="urn:microsoft.com/office/officeart/2005/8/layout/orgChart1"/>
    <dgm:cxn modelId="{73329512-E1AB-724B-AC54-622FA0553541}" type="presParOf" srcId="{595A32C8-9D90-4431-98A8-9D48586B3508}" destId="{68D5A791-7481-4D44-97AB-DAC58D2AAA18}" srcOrd="1" destOrd="0" presId="urn:microsoft.com/office/officeart/2005/8/layout/orgChart1"/>
    <dgm:cxn modelId="{7859B0A8-15E8-644E-8EBF-B1A7B5E3BD5C}" type="presParOf" srcId="{595A32C8-9D90-4431-98A8-9D48586B3508}" destId="{F2383654-9A45-45F1-A2B1-7479838FFC65}" srcOrd="2" destOrd="0" presId="urn:microsoft.com/office/officeart/2005/8/layout/orgChart1"/>
    <dgm:cxn modelId="{D0B922EA-C9B6-F746-8094-ED13527C64F6}" type="presParOf" srcId="{BE191A5B-4D6F-42BE-A616-57DBE1236AFA}" destId="{B8A2D426-2368-4B1E-8DF6-8CDF955C1649}" srcOrd="2" destOrd="0" presId="urn:microsoft.com/office/officeart/2005/8/layout/orgChart1"/>
    <dgm:cxn modelId="{91ACC787-5C9E-784A-AD9C-E649EA13C6BA}" type="presParOf" srcId="{FAEBABD9-77EF-4526-9A9D-E072094B0EAA}" destId="{93462D66-4F24-4BD2-8449-43709B507FAB}" srcOrd="2" destOrd="0" presId="urn:microsoft.com/office/officeart/2005/8/layout/orgChart1"/>
    <dgm:cxn modelId="{89481547-DF70-7B46-9AE7-AB4E12E248CD}" type="presParOf" srcId="{FAEBABD9-77EF-4526-9A9D-E072094B0EAA}" destId="{67FDE780-A448-49DB-A484-D284421E6A7D}" srcOrd="3" destOrd="0" presId="urn:microsoft.com/office/officeart/2005/8/layout/orgChart1"/>
    <dgm:cxn modelId="{75E51D16-CAAC-E446-9E82-7C471B89986E}" type="presParOf" srcId="{67FDE780-A448-49DB-A484-D284421E6A7D}" destId="{DAED2EB6-0F38-4855-BE12-30A5011B11B7}" srcOrd="0" destOrd="0" presId="urn:microsoft.com/office/officeart/2005/8/layout/orgChart1"/>
    <dgm:cxn modelId="{F7160CB4-2371-1E4F-8249-8138AD50B6A8}" type="presParOf" srcId="{DAED2EB6-0F38-4855-BE12-30A5011B11B7}" destId="{E27DA322-EF24-4EDF-AD1C-4D20B0E254A6}" srcOrd="0" destOrd="0" presId="urn:microsoft.com/office/officeart/2005/8/layout/orgChart1"/>
    <dgm:cxn modelId="{E3433328-0E3E-0846-BFBF-CAA544D31C79}" type="presParOf" srcId="{DAED2EB6-0F38-4855-BE12-30A5011B11B7}" destId="{B1AD47AD-D5F9-4ABB-A510-960026053EEA}" srcOrd="1" destOrd="0" presId="urn:microsoft.com/office/officeart/2005/8/layout/orgChart1"/>
    <dgm:cxn modelId="{632663BC-78E8-9F4C-BAF3-51F6D170A0E4}" type="presParOf" srcId="{67FDE780-A448-49DB-A484-D284421E6A7D}" destId="{5A6E8518-DE40-4AD1-82B5-232FBE41ED3E}" srcOrd="1" destOrd="0" presId="urn:microsoft.com/office/officeart/2005/8/layout/orgChart1"/>
    <dgm:cxn modelId="{ECFEAAD0-5016-974D-8AE5-0C3E7D1B381C}" type="presParOf" srcId="{5A6E8518-DE40-4AD1-82B5-232FBE41ED3E}" destId="{93C0852C-0E00-4CD2-9C35-1B60427357A1}" srcOrd="0" destOrd="0" presId="urn:microsoft.com/office/officeart/2005/8/layout/orgChart1"/>
    <dgm:cxn modelId="{7011A78C-34B2-AA45-8AC2-CB801237D2E8}" type="presParOf" srcId="{5A6E8518-DE40-4AD1-82B5-232FBE41ED3E}" destId="{DA81D502-4E49-49A1-A05C-C87692BAF80B}" srcOrd="1" destOrd="0" presId="urn:microsoft.com/office/officeart/2005/8/layout/orgChart1"/>
    <dgm:cxn modelId="{068FE575-7937-E24C-8F49-BF36915A42BA}" type="presParOf" srcId="{DA81D502-4E49-49A1-A05C-C87692BAF80B}" destId="{AACC8D4B-5549-4B6C-9DCC-5B0B3B938B08}" srcOrd="0" destOrd="0" presId="urn:microsoft.com/office/officeart/2005/8/layout/orgChart1"/>
    <dgm:cxn modelId="{721E66B7-6DFF-6E43-9A16-854286F74B92}" type="presParOf" srcId="{AACC8D4B-5549-4B6C-9DCC-5B0B3B938B08}" destId="{C35C8F7B-09E8-48AB-B176-2920352EF3DF}" srcOrd="0" destOrd="0" presId="urn:microsoft.com/office/officeart/2005/8/layout/orgChart1"/>
    <dgm:cxn modelId="{9B1F73A4-CF5C-BC41-B646-34C7165BBE6E}" type="presParOf" srcId="{AACC8D4B-5549-4B6C-9DCC-5B0B3B938B08}" destId="{F789C3A2-11D0-4C40-ABCF-A032DD998119}" srcOrd="1" destOrd="0" presId="urn:microsoft.com/office/officeart/2005/8/layout/orgChart1"/>
    <dgm:cxn modelId="{EF2B0C5C-C300-484B-81AE-57267146B34D}" type="presParOf" srcId="{DA81D502-4E49-49A1-A05C-C87692BAF80B}" destId="{6493399B-E0AA-44BB-BACE-335826C784C8}" srcOrd="1" destOrd="0" presId="urn:microsoft.com/office/officeart/2005/8/layout/orgChart1"/>
    <dgm:cxn modelId="{B4CACD67-3339-624C-8313-EAB74ED51E64}" type="presParOf" srcId="{DA81D502-4E49-49A1-A05C-C87692BAF80B}" destId="{5A5A9C98-2D2A-417A-952B-FC4624DA96E1}" srcOrd="2" destOrd="0" presId="urn:microsoft.com/office/officeart/2005/8/layout/orgChart1"/>
    <dgm:cxn modelId="{167B8B05-81E0-0446-AB29-DC7D1D7E7EE6}" type="presParOf" srcId="{67FDE780-A448-49DB-A484-D284421E6A7D}" destId="{621A5916-E1D9-4939-8496-7461B90AE353}" srcOrd="2" destOrd="0" presId="urn:microsoft.com/office/officeart/2005/8/layout/orgChart1"/>
    <dgm:cxn modelId="{B213F3A7-4CB5-E34E-AD6F-4F73401FA0EE}" type="presParOf" srcId="{FAEBABD9-77EF-4526-9A9D-E072094B0EAA}" destId="{320D66A6-D502-4AD3-94B0-410AA3048017}" srcOrd="4" destOrd="0" presId="urn:microsoft.com/office/officeart/2005/8/layout/orgChart1"/>
    <dgm:cxn modelId="{A1CCB7DB-6960-7C4E-8D9C-4C4049C4FF6C}" type="presParOf" srcId="{FAEBABD9-77EF-4526-9A9D-E072094B0EAA}" destId="{552AD499-259E-44E6-9C77-BAD025A01987}" srcOrd="5" destOrd="0" presId="urn:microsoft.com/office/officeart/2005/8/layout/orgChart1"/>
    <dgm:cxn modelId="{4D5AB3D5-1F29-9E4A-82CB-A3A08872B335}" type="presParOf" srcId="{552AD499-259E-44E6-9C77-BAD025A01987}" destId="{347FD9E4-F891-4CEE-9D31-D36C866503AC}" srcOrd="0" destOrd="0" presId="urn:microsoft.com/office/officeart/2005/8/layout/orgChart1"/>
    <dgm:cxn modelId="{4EF2688E-19A4-BE4F-BBD8-85447CD59B5C}" type="presParOf" srcId="{347FD9E4-F891-4CEE-9D31-D36C866503AC}" destId="{18A95867-0C2B-4DC9-A387-8FCFD7315101}" srcOrd="0" destOrd="0" presId="urn:microsoft.com/office/officeart/2005/8/layout/orgChart1"/>
    <dgm:cxn modelId="{326F04B9-FD2D-064C-8906-2C9610EB7503}" type="presParOf" srcId="{347FD9E4-F891-4CEE-9D31-D36C866503AC}" destId="{59BDBE19-5A22-4EF9-A8E8-6A2DB78B46A5}" srcOrd="1" destOrd="0" presId="urn:microsoft.com/office/officeart/2005/8/layout/orgChart1"/>
    <dgm:cxn modelId="{E18A0729-2228-FE4F-97D4-5B59C2B0EFC3}" type="presParOf" srcId="{552AD499-259E-44E6-9C77-BAD025A01987}" destId="{FB2DABC3-9267-4264-BC05-7D8A87B14F9A}" srcOrd="1" destOrd="0" presId="urn:microsoft.com/office/officeart/2005/8/layout/orgChart1"/>
    <dgm:cxn modelId="{EBA9CD36-06D1-E949-8CAD-D5B73482C48A}" type="presParOf" srcId="{552AD499-259E-44E6-9C77-BAD025A01987}" destId="{395DCEBF-F03C-4193-9770-40351F7B9A48}" srcOrd="2" destOrd="0" presId="urn:microsoft.com/office/officeart/2005/8/layout/orgChart1"/>
    <dgm:cxn modelId="{5AFA0FEB-E8E4-3447-904D-A5E22E7428CE}" type="presParOf" srcId="{FAEBABD9-77EF-4526-9A9D-E072094B0EAA}" destId="{79D5D50C-8234-4D69-9502-8BDC09550E04}" srcOrd="6" destOrd="0" presId="urn:microsoft.com/office/officeart/2005/8/layout/orgChart1"/>
    <dgm:cxn modelId="{8D46AFB3-5342-4544-B57E-2F1AAFCB8F74}" type="presParOf" srcId="{FAEBABD9-77EF-4526-9A9D-E072094B0EAA}" destId="{F875B723-CF21-4DE4-9363-7DFB05981D5E}" srcOrd="7" destOrd="0" presId="urn:microsoft.com/office/officeart/2005/8/layout/orgChart1"/>
    <dgm:cxn modelId="{230FDC62-D22B-284F-B9AF-DAF61AC4D6D3}" type="presParOf" srcId="{F875B723-CF21-4DE4-9363-7DFB05981D5E}" destId="{CB2B120F-2327-4988-9AAC-6AE8FEAF38AA}" srcOrd="0" destOrd="0" presId="urn:microsoft.com/office/officeart/2005/8/layout/orgChart1"/>
    <dgm:cxn modelId="{3B6C8D42-2DA9-8F4E-A590-086BBDF5F9B8}" type="presParOf" srcId="{CB2B120F-2327-4988-9AAC-6AE8FEAF38AA}" destId="{2C15AE02-0239-431D-B4D4-76EF2B9D5F8B}" srcOrd="0" destOrd="0" presId="urn:microsoft.com/office/officeart/2005/8/layout/orgChart1"/>
    <dgm:cxn modelId="{177A33AB-0949-124E-83EC-8CA1DB7E9F03}" type="presParOf" srcId="{CB2B120F-2327-4988-9AAC-6AE8FEAF38AA}" destId="{DC0F3104-89ED-4E3F-B08A-F17860683497}" srcOrd="1" destOrd="0" presId="urn:microsoft.com/office/officeart/2005/8/layout/orgChart1"/>
    <dgm:cxn modelId="{EDA92D6A-373A-EB47-AEE0-E92CBDCD901E}" type="presParOf" srcId="{F875B723-CF21-4DE4-9363-7DFB05981D5E}" destId="{F59BB0FB-768C-4413-8DDA-60DFB7EE4050}" srcOrd="1" destOrd="0" presId="urn:microsoft.com/office/officeart/2005/8/layout/orgChart1"/>
    <dgm:cxn modelId="{6605C767-0BDF-DC4C-9421-5138A5FBF861}" type="presParOf" srcId="{F875B723-CF21-4DE4-9363-7DFB05981D5E}" destId="{3005D325-9C07-4B51-8A51-F0DB9E1E6E92}" srcOrd="2" destOrd="0" presId="urn:microsoft.com/office/officeart/2005/8/layout/orgChart1"/>
    <dgm:cxn modelId="{6D70A253-5394-6441-9A8C-94BA5073621E}" type="presParOf" srcId="{DDCB735A-24C7-4DF5-A98A-AEC2323AA531}" destId="{B5B345F8-CF6B-4ACA-A9E1-6F8860136A2D}"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EFD49E-C3B2-40D1-9F67-C758BE5DF3A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3ED510E-27BF-4241-923B-FA1FBAF7B04C}">
      <dgm:prSet phldrT="[Text]"/>
      <dgm:spPr/>
      <dgm:t>
        <a:bodyPr/>
        <a:lstStyle/>
        <a:p>
          <a:r>
            <a:rPr lang="en-US">
              <a:latin typeface="Arial" panose="020B0604020202020204" pitchFamily="34" charset="0"/>
              <a:cs typeface="Arial" panose="020B0604020202020204" pitchFamily="34" charset="0"/>
            </a:rPr>
            <a:t>Bhikubhai,</a:t>
          </a:r>
        </a:p>
        <a:p>
          <a:r>
            <a:rPr lang="en-US">
              <a:latin typeface="Arial" panose="020B0604020202020204" pitchFamily="34" charset="0"/>
              <a:cs typeface="Arial" panose="020B0604020202020204" pitchFamily="34" charset="0"/>
            </a:rPr>
            <a:t>Chairman</a:t>
          </a:r>
        </a:p>
      </dgm:t>
    </dgm:pt>
    <dgm:pt modelId="{65705526-500D-400B-8B0B-7DA46D197A04}" type="parTrans" cxnId="{5516A5BB-3EAB-4142-9103-43CBF57FD71E}">
      <dgm:prSet/>
      <dgm:spPr/>
      <dgm:t>
        <a:bodyPr/>
        <a:lstStyle/>
        <a:p>
          <a:endParaRPr lang="en-US"/>
        </a:p>
      </dgm:t>
    </dgm:pt>
    <dgm:pt modelId="{21CED4F8-9124-456C-B5F1-4A26EA84870C}" type="sibTrans" cxnId="{5516A5BB-3EAB-4142-9103-43CBF57FD71E}">
      <dgm:prSet/>
      <dgm:spPr/>
      <dgm:t>
        <a:bodyPr/>
        <a:lstStyle/>
        <a:p>
          <a:endParaRPr lang="en-US"/>
        </a:p>
      </dgm:t>
    </dgm:pt>
    <dgm:pt modelId="{651BCEF1-DD21-461A-9847-B4EB6B50293C}">
      <dgm:prSet phldrT="[Text]"/>
      <dgm:spPr/>
      <dgm:t>
        <a:bodyPr/>
        <a:lstStyle/>
        <a:p>
          <a:r>
            <a:rPr lang="en-US">
              <a:latin typeface="Arial" panose="020B0604020202020204" pitchFamily="34" charset="0"/>
              <a:cs typeface="Arial" panose="020B0604020202020204" pitchFamily="34" charset="0"/>
            </a:rPr>
            <a:t>Chandubhai,</a:t>
          </a:r>
        </a:p>
        <a:p>
          <a:r>
            <a:rPr lang="en-US">
              <a:latin typeface="Arial" panose="020B0604020202020204" pitchFamily="34" charset="0"/>
              <a:cs typeface="Arial" panose="020B0604020202020204" pitchFamily="34" charset="0"/>
            </a:rPr>
            <a:t>Managing Director</a:t>
          </a:r>
        </a:p>
      </dgm:t>
    </dgm:pt>
    <dgm:pt modelId="{A811238C-ADB3-46EC-B1BF-C6C228DABA0C}" type="parTrans" cxnId="{C8D97557-9F2F-4584-9589-964577E883FE}">
      <dgm:prSet/>
      <dgm:spPr/>
      <dgm:t>
        <a:bodyPr/>
        <a:lstStyle/>
        <a:p>
          <a:endParaRPr lang="en-US"/>
        </a:p>
      </dgm:t>
    </dgm:pt>
    <dgm:pt modelId="{49A33BE1-CCC3-4086-AA61-C7DB67CDC651}" type="sibTrans" cxnId="{C8D97557-9F2F-4584-9589-964577E883FE}">
      <dgm:prSet/>
      <dgm:spPr/>
      <dgm:t>
        <a:bodyPr/>
        <a:lstStyle/>
        <a:p>
          <a:endParaRPr lang="en-US"/>
        </a:p>
      </dgm:t>
    </dgm:pt>
    <dgm:pt modelId="{974F9472-1801-40FF-91C8-283510F49F04}">
      <dgm:prSet/>
      <dgm:spPr/>
      <dgm:t>
        <a:bodyPr/>
        <a:lstStyle/>
        <a:p>
          <a:r>
            <a:rPr lang="en-US">
              <a:latin typeface="Arial" panose="020B0604020202020204" pitchFamily="34" charset="0"/>
              <a:cs typeface="Arial" panose="020B0604020202020204" pitchFamily="34" charset="0"/>
            </a:rPr>
            <a:t>Kanubhai,</a:t>
          </a:r>
        </a:p>
        <a:p>
          <a:r>
            <a:rPr lang="en-US">
              <a:latin typeface="Arial" panose="020B0604020202020204" pitchFamily="34" charset="0"/>
              <a:cs typeface="Arial" panose="020B0604020202020204" pitchFamily="34" charset="0"/>
            </a:rPr>
            <a:t>Technical Director</a:t>
          </a:r>
        </a:p>
      </dgm:t>
    </dgm:pt>
    <dgm:pt modelId="{3F2AAD95-7A73-4305-9144-B0646944DD43}" type="parTrans" cxnId="{D0755BF5-852F-4587-8AEB-0B64E3EE25CA}">
      <dgm:prSet/>
      <dgm:spPr/>
      <dgm:t>
        <a:bodyPr/>
        <a:lstStyle/>
        <a:p>
          <a:endParaRPr lang="en-US"/>
        </a:p>
      </dgm:t>
    </dgm:pt>
    <dgm:pt modelId="{A2D5A7AE-2A91-42A8-94F0-413C769202AF}" type="sibTrans" cxnId="{D0755BF5-852F-4587-8AEB-0B64E3EE25CA}">
      <dgm:prSet/>
      <dgm:spPr/>
      <dgm:t>
        <a:bodyPr/>
        <a:lstStyle/>
        <a:p>
          <a:endParaRPr lang="en-US"/>
        </a:p>
      </dgm:t>
    </dgm:pt>
    <dgm:pt modelId="{FE17594E-24CB-4320-BB22-121F24C89C85}">
      <dgm:prSet/>
      <dgm:spPr/>
      <dgm:t>
        <a:bodyPr/>
        <a:lstStyle/>
        <a:p>
          <a:r>
            <a:rPr lang="en-US">
              <a:latin typeface="Arial" panose="020B0604020202020204" pitchFamily="34" charset="0"/>
              <a:cs typeface="Arial" panose="020B0604020202020204" pitchFamily="34" charset="0"/>
            </a:rPr>
            <a:t>Mihir,</a:t>
          </a:r>
        </a:p>
        <a:p>
          <a:r>
            <a:rPr lang="en-US">
              <a:latin typeface="Arial" panose="020B0604020202020204" pitchFamily="34" charset="0"/>
              <a:cs typeface="Arial" panose="020B0604020202020204" pitchFamily="34" charset="0"/>
            </a:rPr>
            <a:t>Marketing Director</a:t>
          </a:r>
        </a:p>
      </dgm:t>
    </dgm:pt>
    <dgm:pt modelId="{6C62C1FE-B151-4B0E-A53F-2CD6F12D0236}" type="parTrans" cxnId="{5FD2C6DB-C331-4682-864B-9C8603848CE7}">
      <dgm:prSet/>
      <dgm:spPr/>
      <dgm:t>
        <a:bodyPr/>
        <a:lstStyle/>
        <a:p>
          <a:endParaRPr lang="en-US"/>
        </a:p>
      </dgm:t>
    </dgm:pt>
    <dgm:pt modelId="{E2AEC1D3-7719-47EA-A759-11DC2118B3A1}" type="sibTrans" cxnId="{5FD2C6DB-C331-4682-864B-9C8603848CE7}">
      <dgm:prSet/>
      <dgm:spPr/>
      <dgm:t>
        <a:bodyPr/>
        <a:lstStyle/>
        <a:p>
          <a:endParaRPr lang="en-US"/>
        </a:p>
      </dgm:t>
    </dgm:pt>
    <dgm:pt modelId="{C329D4E0-DBD0-47AA-9C7D-AF9C063E14FD}">
      <dgm:prSet/>
      <dgm:spPr/>
      <dgm:t>
        <a:bodyPr/>
        <a:lstStyle/>
        <a:p>
          <a:r>
            <a:rPr lang="en-US">
              <a:latin typeface="Arial" panose="020B0604020202020204" pitchFamily="34" charset="0"/>
              <a:cs typeface="Arial" panose="020B0604020202020204" pitchFamily="34" charset="0"/>
            </a:rPr>
            <a:t>Pranay,</a:t>
          </a:r>
        </a:p>
        <a:p>
          <a:r>
            <a:rPr lang="en-US">
              <a:latin typeface="Arial" panose="020B0604020202020204" pitchFamily="34" charset="0"/>
              <a:cs typeface="Arial" panose="020B0604020202020204" pitchFamily="34" charset="0"/>
            </a:rPr>
            <a:t>Events Director</a:t>
          </a:r>
        </a:p>
      </dgm:t>
    </dgm:pt>
    <dgm:pt modelId="{EDD0CE3E-BC29-4CAE-AB56-33778313C2D0}" type="parTrans" cxnId="{701AEB30-1E15-46B6-972C-B4B13C47F8AC}">
      <dgm:prSet/>
      <dgm:spPr/>
      <dgm:t>
        <a:bodyPr/>
        <a:lstStyle/>
        <a:p>
          <a:endParaRPr lang="en-US"/>
        </a:p>
      </dgm:t>
    </dgm:pt>
    <dgm:pt modelId="{FFD528F9-423E-4E72-AC10-EF016EEB2F42}" type="sibTrans" cxnId="{701AEB30-1E15-46B6-972C-B4B13C47F8AC}">
      <dgm:prSet/>
      <dgm:spPr/>
      <dgm:t>
        <a:bodyPr/>
        <a:lstStyle/>
        <a:p>
          <a:endParaRPr lang="en-US"/>
        </a:p>
      </dgm:t>
    </dgm:pt>
    <dgm:pt modelId="{66F2C976-0BA6-4AA0-9FF5-6994C77B680B}">
      <dgm:prSet/>
      <dgm:spPr/>
      <dgm:t>
        <a:bodyPr/>
        <a:lstStyle/>
        <a:p>
          <a:r>
            <a:rPr lang="en-US">
              <a:latin typeface="Arial" panose="020B0604020202020204" pitchFamily="34" charset="0"/>
              <a:cs typeface="Arial" panose="020B0604020202020204" pitchFamily="34" charset="0"/>
            </a:rPr>
            <a:t>Keyur,</a:t>
          </a:r>
        </a:p>
        <a:p>
          <a:r>
            <a:rPr lang="en-US">
              <a:latin typeface="Arial" panose="020B0604020202020204" pitchFamily="34" charset="0"/>
              <a:cs typeface="Arial" panose="020B0604020202020204" pitchFamily="34" charset="0"/>
            </a:rPr>
            <a:t>R&amp;D Director</a:t>
          </a:r>
        </a:p>
      </dgm:t>
    </dgm:pt>
    <dgm:pt modelId="{3371FE0C-6C23-4D91-A822-C7FE7547B4CC}" type="parTrans" cxnId="{2AF7547C-4626-41F4-86F0-D69CC332027D}">
      <dgm:prSet/>
      <dgm:spPr/>
      <dgm:t>
        <a:bodyPr/>
        <a:lstStyle/>
        <a:p>
          <a:endParaRPr lang="en-US"/>
        </a:p>
      </dgm:t>
    </dgm:pt>
    <dgm:pt modelId="{049FAD76-4B05-4F17-877F-58111D9FE749}" type="sibTrans" cxnId="{2AF7547C-4626-41F4-86F0-D69CC332027D}">
      <dgm:prSet/>
      <dgm:spPr/>
      <dgm:t>
        <a:bodyPr/>
        <a:lstStyle/>
        <a:p>
          <a:endParaRPr lang="en-US"/>
        </a:p>
      </dgm:t>
    </dgm:pt>
    <dgm:pt modelId="{095425D4-EEFE-4C3B-B683-1AAB1C1F507C}" type="pres">
      <dgm:prSet presAssocID="{68EFD49E-C3B2-40D1-9F67-C758BE5DF3A9}" presName="hierChild1" presStyleCnt="0">
        <dgm:presLayoutVars>
          <dgm:orgChart val="1"/>
          <dgm:chPref val="1"/>
          <dgm:dir/>
          <dgm:animOne val="branch"/>
          <dgm:animLvl val="lvl"/>
          <dgm:resizeHandles/>
        </dgm:presLayoutVars>
      </dgm:prSet>
      <dgm:spPr/>
      <dgm:t>
        <a:bodyPr/>
        <a:lstStyle/>
        <a:p>
          <a:endParaRPr lang="en-US"/>
        </a:p>
      </dgm:t>
    </dgm:pt>
    <dgm:pt modelId="{1EC8B831-2E76-45BD-AE0C-3ED3236D8668}" type="pres">
      <dgm:prSet presAssocID="{23ED510E-27BF-4241-923B-FA1FBAF7B04C}" presName="hierRoot1" presStyleCnt="0">
        <dgm:presLayoutVars>
          <dgm:hierBranch val="init"/>
        </dgm:presLayoutVars>
      </dgm:prSet>
      <dgm:spPr/>
    </dgm:pt>
    <dgm:pt modelId="{FE9AFAA3-399E-47DB-A387-025F36095C33}" type="pres">
      <dgm:prSet presAssocID="{23ED510E-27BF-4241-923B-FA1FBAF7B04C}" presName="rootComposite1" presStyleCnt="0"/>
      <dgm:spPr/>
    </dgm:pt>
    <dgm:pt modelId="{42E4C700-99FB-4763-B224-8782A812E755}" type="pres">
      <dgm:prSet presAssocID="{23ED510E-27BF-4241-923B-FA1FBAF7B04C}" presName="rootText1" presStyleLbl="node0" presStyleIdx="0" presStyleCnt="1">
        <dgm:presLayoutVars>
          <dgm:chPref val="3"/>
        </dgm:presLayoutVars>
      </dgm:prSet>
      <dgm:spPr/>
      <dgm:t>
        <a:bodyPr/>
        <a:lstStyle/>
        <a:p>
          <a:endParaRPr lang="en-US"/>
        </a:p>
      </dgm:t>
    </dgm:pt>
    <dgm:pt modelId="{41A0AF20-2703-4B2C-B6C5-B60BF6DD7A57}" type="pres">
      <dgm:prSet presAssocID="{23ED510E-27BF-4241-923B-FA1FBAF7B04C}" presName="rootConnector1" presStyleLbl="node1" presStyleIdx="0" presStyleCnt="0"/>
      <dgm:spPr/>
      <dgm:t>
        <a:bodyPr/>
        <a:lstStyle/>
        <a:p>
          <a:endParaRPr lang="en-US"/>
        </a:p>
      </dgm:t>
    </dgm:pt>
    <dgm:pt modelId="{77ED22B2-9253-4691-A8DE-6B514A5FA6F4}" type="pres">
      <dgm:prSet presAssocID="{23ED510E-27BF-4241-923B-FA1FBAF7B04C}" presName="hierChild2" presStyleCnt="0"/>
      <dgm:spPr/>
    </dgm:pt>
    <dgm:pt modelId="{06C6E642-1A5B-42DE-9FD8-E5A6D68D17CB}" type="pres">
      <dgm:prSet presAssocID="{A811238C-ADB3-46EC-B1BF-C6C228DABA0C}" presName="Name37" presStyleLbl="parChTrans1D2" presStyleIdx="0" presStyleCnt="1"/>
      <dgm:spPr/>
      <dgm:t>
        <a:bodyPr/>
        <a:lstStyle/>
        <a:p>
          <a:endParaRPr lang="en-US"/>
        </a:p>
      </dgm:t>
    </dgm:pt>
    <dgm:pt modelId="{64A0F270-5712-4E72-88E6-310B3C4D53E2}" type="pres">
      <dgm:prSet presAssocID="{651BCEF1-DD21-461A-9847-B4EB6B50293C}" presName="hierRoot2" presStyleCnt="0">
        <dgm:presLayoutVars>
          <dgm:hierBranch val="init"/>
        </dgm:presLayoutVars>
      </dgm:prSet>
      <dgm:spPr/>
    </dgm:pt>
    <dgm:pt modelId="{A6B25FF8-232F-4EBE-BD7C-1D9FCF990CD1}" type="pres">
      <dgm:prSet presAssocID="{651BCEF1-DD21-461A-9847-B4EB6B50293C}" presName="rootComposite" presStyleCnt="0"/>
      <dgm:spPr/>
    </dgm:pt>
    <dgm:pt modelId="{B1FF0964-9CC4-4C5D-A5D7-6BA2F23D002D}" type="pres">
      <dgm:prSet presAssocID="{651BCEF1-DD21-461A-9847-B4EB6B50293C}" presName="rootText" presStyleLbl="node2" presStyleIdx="0" presStyleCnt="1">
        <dgm:presLayoutVars>
          <dgm:chPref val="3"/>
        </dgm:presLayoutVars>
      </dgm:prSet>
      <dgm:spPr/>
      <dgm:t>
        <a:bodyPr/>
        <a:lstStyle/>
        <a:p>
          <a:endParaRPr lang="en-US"/>
        </a:p>
      </dgm:t>
    </dgm:pt>
    <dgm:pt modelId="{53836088-5A1D-47B6-AE34-153A766400EA}" type="pres">
      <dgm:prSet presAssocID="{651BCEF1-DD21-461A-9847-B4EB6B50293C}" presName="rootConnector" presStyleLbl="node2" presStyleIdx="0" presStyleCnt="1"/>
      <dgm:spPr/>
      <dgm:t>
        <a:bodyPr/>
        <a:lstStyle/>
        <a:p>
          <a:endParaRPr lang="en-US"/>
        </a:p>
      </dgm:t>
    </dgm:pt>
    <dgm:pt modelId="{BE6D3A0C-EBE3-4403-99C6-66CA8FA632F1}" type="pres">
      <dgm:prSet presAssocID="{651BCEF1-DD21-461A-9847-B4EB6B50293C}" presName="hierChild4" presStyleCnt="0"/>
      <dgm:spPr/>
    </dgm:pt>
    <dgm:pt modelId="{08C14F95-9227-4D96-9351-D6271890F67C}" type="pres">
      <dgm:prSet presAssocID="{3F2AAD95-7A73-4305-9144-B0646944DD43}" presName="Name37" presStyleLbl="parChTrans1D3" presStyleIdx="0" presStyleCnt="4"/>
      <dgm:spPr/>
      <dgm:t>
        <a:bodyPr/>
        <a:lstStyle/>
        <a:p>
          <a:endParaRPr lang="en-US"/>
        </a:p>
      </dgm:t>
    </dgm:pt>
    <dgm:pt modelId="{ABB03AFD-8502-4311-8E25-3A4BC80D9AAF}" type="pres">
      <dgm:prSet presAssocID="{974F9472-1801-40FF-91C8-283510F49F04}" presName="hierRoot2" presStyleCnt="0">
        <dgm:presLayoutVars>
          <dgm:hierBranch val="init"/>
        </dgm:presLayoutVars>
      </dgm:prSet>
      <dgm:spPr/>
    </dgm:pt>
    <dgm:pt modelId="{047447AC-7B2D-45CE-8AC5-A48A5CF13E78}" type="pres">
      <dgm:prSet presAssocID="{974F9472-1801-40FF-91C8-283510F49F04}" presName="rootComposite" presStyleCnt="0"/>
      <dgm:spPr/>
    </dgm:pt>
    <dgm:pt modelId="{55173EFD-E4B9-463A-8208-650BD092E776}" type="pres">
      <dgm:prSet presAssocID="{974F9472-1801-40FF-91C8-283510F49F04}" presName="rootText" presStyleLbl="node3" presStyleIdx="0" presStyleCnt="4">
        <dgm:presLayoutVars>
          <dgm:chPref val="3"/>
        </dgm:presLayoutVars>
      </dgm:prSet>
      <dgm:spPr/>
      <dgm:t>
        <a:bodyPr/>
        <a:lstStyle/>
        <a:p>
          <a:endParaRPr lang="en-US"/>
        </a:p>
      </dgm:t>
    </dgm:pt>
    <dgm:pt modelId="{2C57ED7C-ADA3-41A0-B933-8C8038D7193F}" type="pres">
      <dgm:prSet presAssocID="{974F9472-1801-40FF-91C8-283510F49F04}" presName="rootConnector" presStyleLbl="node3" presStyleIdx="0" presStyleCnt="4"/>
      <dgm:spPr/>
      <dgm:t>
        <a:bodyPr/>
        <a:lstStyle/>
        <a:p>
          <a:endParaRPr lang="en-US"/>
        </a:p>
      </dgm:t>
    </dgm:pt>
    <dgm:pt modelId="{6ED1FD12-23BC-4916-A69B-76A3428857F7}" type="pres">
      <dgm:prSet presAssocID="{974F9472-1801-40FF-91C8-283510F49F04}" presName="hierChild4" presStyleCnt="0"/>
      <dgm:spPr/>
    </dgm:pt>
    <dgm:pt modelId="{C57A5C37-93F4-48C6-91C1-E1648030A556}" type="pres">
      <dgm:prSet presAssocID="{974F9472-1801-40FF-91C8-283510F49F04}" presName="hierChild5" presStyleCnt="0"/>
      <dgm:spPr/>
    </dgm:pt>
    <dgm:pt modelId="{D2692686-57A7-41A4-A353-FD7B9D033CBF}" type="pres">
      <dgm:prSet presAssocID="{6C62C1FE-B151-4B0E-A53F-2CD6F12D0236}" presName="Name37" presStyleLbl="parChTrans1D3" presStyleIdx="1" presStyleCnt="4"/>
      <dgm:spPr/>
      <dgm:t>
        <a:bodyPr/>
        <a:lstStyle/>
        <a:p>
          <a:endParaRPr lang="en-US"/>
        </a:p>
      </dgm:t>
    </dgm:pt>
    <dgm:pt modelId="{F14358D1-EC93-4132-9F5F-48E31A6ED701}" type="pres">
      <dgm:prSet presAssocID="{FE17594E-24CB-4320-BB22-121F24C89C85}" presName="hierRoot2" presStyleCnt="0">
        <dgm:presLayoutVars>
          <dgm:hierBranch val="init"/>
        </dgm:presLayoutVars>
      </dgm:prSet>
      <dgm:spPr/>
    </dgm:pt>
    <dgm:pt modelId="{4CA97D71-6CC9-49F9-9E4E-DA3CE131E757}" type="pres">
      <dgm:prSet presAssocID="{FE17594E-24CB-4320-BB22-121F24C89C85}" presName="rootComposite" presStyleCnt="0"/>
      <dgm:spPr/>
    </dgm:pt>
    <dgm:pt modelId="{EC07A95C-CEED-4837-820A-02C6C6D0125D}" type="pres">
      <dgm:prSet presAssocID="{FE17594E-24CB-4320-BB22-121F24C89C85}" presName="rootText" presStyleLbl="node3" presStyleIdx="1" presStyleCnt="4">
        <dgm:presLayoutVars>
          <dgm:chPref val="3"/>
        </dgm:presLayoutVars>
      </dgm:prSet>
      <dgm:spPr/>
      <dgm:t>
        <a:bodyPr/>
        <a:lstStyle/>
        <a:p>
          <a:endParaRPr lang="en-US"/>
        </a:p>
      </dgm:t>
    </dgm:pt>
    <dgm:pt modelId="{638A79A6-E0BF-4B08-909C-9F185231C568}" type="pres">
      <dgm:prSet presAssocID="{FE17594E-24CB-4320-BB22-121F24C89C85}" presName="rootConnector" presStyleLbl="node3" presStyleIdx="1" presStyleCnt="4"/>
      <dgm:spPr/>
      <dgm:t>
        <a:bodyPr/>
        <a:lstStyle/>
        <a:p>
          <a:endParaRPr lang="en-US"/>
        </a:p>
      </dgm:t>
    </dgm:pt>
    <dgm:pt modelId="{592E84CB-35C4-445A-ABBA-6077EF2EEF87}" type="pres">
      <dgm:prSet presAssocID="{FE17594E-24CB-4320-BB22-121F24C89C85}" presName="hierChild4" presStyleCnt="0"/>
      <dgm:spPr/>
    </dgm:pt>
    <dgm:pt modelId="{AD23E2E6-73DC-43CE-AE92-6F46F197FCC7}" type="pres">
      <dgm:prSet presAssocID="{FE17594E-24CB-4320-BB22-121F24C89C85}" presName="hierChild5" presStyleCnt="0"/>
      <dgm:spPr/>
    </dgm:pt>
    <dgm:pt modelId="{7E4E1356-FAD7-407F-BB7A-21D22968EB8D}" type="pres">
      <dgm:prSet presAssocID="{EDD0CE3E-BC29-4CAE-AB56-33778313C2D0}" presName="Name37" presStyleLbl="parChTrans1D3" presStyleIdx="2" presStyleCnt="4"/>
      <dgm:spPr/>
      <dgm:t>
        <a:bodyPr/>
        <a:lstStyle/>
        <a:p>
          <a:endParaRPr lang="en-US"/>
        </a:p>
      </dgm:t>
    </dgm:pt>
    <dgm:pt modelId="{8DAEE54A-2D00-4D6A-9FE1-4E7D62CD4404}" type="pres">
      <dgm:prSet presAssocID="{C329D4E0-DBD0-47AA-9C7D-AF9C063E14FD}" presName="hierRoot2" presStyleCnt="0">
        <dgm:presLayoutVars>
          <dgm:hierBranch val="init"/>
        </dgm:presLayoutVars>
      </dgm:prSet>
      <dgm:spPr/>
    </dgm:pt>
    <dgm:pt modelId="{0D285DEB-5591-4202-A2A0-8C01ABE85657}" type="pres">
      <dgm:prSet presAssocID="{C329D4E0-DBD0-47AA-9C7D-AF9C063E14FD}" presName="rootComposite" presStyleCnt="0"/>
      <dgm:spPr/>
    </dgm:pt>
    <dgm:pt modelId="{B29ABC3F-9D09-4F7A-965A-BBC347165215}" type="pres">
      <dgm:prSet presAssocID="{C329D4E0-DBD0-47AA-9C7D-AF9C063E14FD}" presName="rootText" presStyleLbl="node3" presStyleIdx="2" presStyleCnt="4">
        <dgm:presLayoutVars>
          <dgm:chPref val="3"/>
        </dgm:presLayoutVars>
      </dgm:prSet>
      <dgm:spPr/>
      <dgm:t>
        <a:bodyPr/>
        <a:lstStyle/>
        <a:p>
          <a:endParaRPr lang="en-US"/>
        </a:p>
      </dgm:t>
    </dgm:pt>
    <dgm:pt modelId="{9A166FEC-3BF4-4287-A243-4036A31A5DD8}" type="pres">
      <dgm:prSet presAssocID="{C329D4E0-DBD0-47AA-9C7D-AF9C063E14FD}" presName="rootConnector" presStyleLbl="node3" presStyleIdx="2" presStyleCnt="4"/>
      <dgm:spPr/>
      <dgm:t>
        <a:bodyPr/>
        <a:lstStyle/>
        <a:p>
          <a:endParaRPr lang="en-US"/>
        </a:p>
      </dgm:t>
    </dgm:pt>
    <dgm:pt modelId="{12AF8E93-53D1-44B4-B746-C1506B695D4F}" type="pres">
      <dgm:prSet presAssocID="{C329D4E0-DBD0-47AA-9C7D-AF9C063E14FD}" presName="hierChild4" presStyleCnt="0"/>
      <dgm:spPr/>
    </dgm:pt>
    <dgm:pt modelId="{43162A0E-1AF1-467F-BD6D-654A364C35EF}" type="pres">
      <dgm:prSet presAssocID="{C329D4E0-DBD0-47AA-9C7D-AF9C063E14FD}" presName="hierChild5" presStyleCnt="0"/>
      <dgm:spPr/>
    </dgm:pt>
    <dgm:pt modelId="{C7871E8F-466E-485E-82C9-56A96B192587}" type="pres">
      <dgm:prSet presAssocID="{3371FE0C-6C23-4D91-A822-C7FE7547B4CC}" presName="Name37" presStyleLbl="parChTrans1D3" presStyleIdx="3" presStyleCnt="4"/>
      <dgm:spPr/>
      <dgm:t>
        <a:bodyPr/>
        <a:lstStyle/>
        <a:p>
          <a:endParaRPr lang="en-US"/>
        </a:p>
      </dgm:t>
    </dgm:pt>
    <dgm:pt modelId="{5F320F37-E4D5-47CD-8567-DC687CF735DA}" type="pres">
      <dgm:prSet presAssocID="{66F2C976-0BA6-4AA0-9FF5-6994C77B680B}" presName="hierRoot2" presStyleCnt="0">
        <dgm:presLayoutVars>
          <dgm:hierBranch val="init"/>
        </dgm:presLayoutVars>
      </dgm:prSet>
      <dgm:spPr/>
    </dgm:pt>
    <dgm:pt modelId="{7A8F38A3-B09A-406B-BBC1-0E3E75DB002A}" type="pres">
      <dgm:prSet presAssocID="{66F2C976-0BA6-4AA0-9FF5-6994C77B680B}" presName="rootComposite" presStyleCnt="0"/>
      <dgm:spPr/>
    </dgm:pt>
    <dgm:pt modelId="{D9CB6D4F-17E1-41A7-BAF5-180BFA4F0535}" type="pres">
      <dgm:prSet presAssocID="{66F2C976-0BA6-4AA0-9FF5-6994C77B680B}" presName="rootText" presStyleLbl="node3" presStyleIdx="3" presStyleCnt="4">
        <dgm:presLayoutVars>
          <dgm:chPref val="3"/>
        </dgm:presLayoutVars>
      </dgm:prSet>
      <dgm:spPr/>
      <dgm:t>
        <a:bodyPr/>
        <a:lstStyle/>
        <a:p>
          <a:endParaRPr lang="en-US"/>
        </a:p>
      </dgm:t>
    </dgm:pt>
    <dgm:pt modelId="{BECF2C1A-97E1-4525-B960-6C12376F1633}" type="pres">
      <dgm:prSet presAssocID="{66F2C976-0BA6-4AA0-9FF5-6994C77B680B}" presName="rootConnector" presStyleLbl="node3" presStyleIdx="3" presStyleCnt="4"/>
      <dgm:spPr/>
      <dgm:t>
        <a:bodyPr/>
        <a:lstStyle/>
        <a:p>
          <a:endParaRPr lang="en-US"/>
        </a:p>
      </dgm:t>
    </dgm:pt>
    <dgm:pt modelId="{AB678AC1-18C7-414E-B124-C51991CD62FC}" type="pres">
      <dgm:prSet presAssocID="{66F2C976-0BA6-4AA0-9FF5-6994C77B680B}" presName="hierChild4" presStyleCnt="0"/>
      <dgm:spPr/>
    </dgm:pt>
    <dgm:pt modelId="{B1B5AD81-E914-4802-9E5B-53DA31A40001}" type="pres">
      <dgm:prSet presAssocID="{66F2C976-0BA6-4AA0-9FF5-6994C77B680B}" presName="hierChild5" presStyleCnt="0"/>
      <dgm:spPr/>
    </dgm:pt>
    <dgm:pt modelId="{A13E9FDF-2DC3-4014-A3D0-6C344A89CD43}" type="pres">
      <dgm:prSet presAssocID="{651BCEF1-DD21-461A-9847-B4EB6B50293C}" presName="hierChild5" presStyleCnt="0"/>
      <dgm:spPr/>
    </dgm:pt>
    <dgm:pt modelId="{37BE2829-C16E-4719-9510-631B55BFCFAC}" type="pres">
      <dgm:prSet presAssocID="{23ED510E-27BF-4241-923B-FA1FBAF7B04C}" presName="hierChild3" presStyleCnt="0"/>
      <dgm:spPr/>
    </dgm:pt>
  </dgm:ptLst>
  <dgm:cxnLst>
    <dgm:cxn modelId="{6A11D70C-58EE-C045-AC0A-8CE17F9AC176}" type="presOf" srcId="{23ED510E-27BF-4241-923B-FA1FBAF7B04C}" destId="{42E4C700-99FB-4763-B224-8782A812E755}" srcOrd="0" destOrd="0" presId="urn:microsoft.com/office/officeart/2005/8/layout/orgChart1"/>
    <dgm:cxn modelId="{C1E994DB-E2F9-224B-B867-9B7EC0F9962B}" type="presOf" srcId="{FE17594E-24CB-4320-BB22-121F24C89C85}" destId="{638A79A6-E0BF-4B08-909C-9F185231C568}" srcOrd="1" destOrd="0" presId="urn:microsoft.com/office/officeart/2005/8/layout/orgChart1"/>
    <dgm:cxn modelId="{2AF7547C-4626-41F4-86F0-D69CC332027D}" srcId="{651BCEF1-DD21-461A-9847-B4EB6B50293C}" destId="{66F2C976-0BA6-4AA0-9FF5-6994C77B680B}" srcOrd="3" destOrd="0" parTransId="{3371FE0C-6C23-4D91-A822-C7FE7547B4CC}" sibTransId="{049FAD76-4B05-4F17-877F-58111D9FE749}"/>
    <dgm:cxn modelId="{1722CCAC-1953-6844-A2CA-9690E47A2BAA}" type="presOf" srcId="{C329D4E0-DBD0-47AA-9C7D-AF9C063E14FD}" destId="{9A166FEC-3BF4-4287-A243-4036A31A5DD8}" srcOrd="1" destOrd="0" presId="urn:microsoft.com/office/officeart/2005/8/layout/orgChart1"/>
    <dgm:cxn modelId="{D1FD3F9A-81E6-ED41-AD49-82261CF73171}" type="presOf" srcId="{974F9472-1801-40FF-91C8-283510F49F04}" destId="{55173EFD-E4B9-463A-8208-650BD092E776}" srcOrd="0" destOrd="0" presId="urn:microsoft.com/office/officeart/2005/8/layout/orgChart1"/>
    <dgm:cxn modelId="{5FD2C6DB-C331-4682-864B-9C8603848CE7}" srcId="{651BCEF1-DD21-461A-9847-B4EB6B50293C}" destId="{FE17594E-24CB-4320-BB22-121F24C89C85}" srcOrd="1" destOrd="0" parTransId="{6C62C1FE-B151-4B0E-A53F-2CD6F12D0236}" sibTransId="{E2AEC1D3-7719-47EA-A759-11DC2118B3A1}"/>
    <dgm:cxn modelId="{5D56C7FB-5FEB-6040-9376-5D8B3EC774C5}" type="presOf" srcId="{EDD0CE3E-BC29-4CAE-AB56-33778313C2D0}" destId="{7E4E1356-FAD7-407F-BB7A-21D22968EB8D}" srcOrd="0" destOrd="0" presId="urn:microsoft.com/office/officeart/2005/8/layout/orgChart1"/>
    <dgm:cxn modelId="{9B67A868-2F92-B94B-A9E7-AA7B76CCD321}" type="presOf" srcId="{3F2AAD95-7A73-4305-9144-B0646944DD43}" destId="{08C14F95-9227-4D96-9351-D6271890F67C}" srcOrd="0" destOrd="0" presId="urn:microsoft.com/office/officeart/2005/8/layout/orgChart1"/>
    <dgm:cxn modelId="{D0755BF5-852F-4587-8AEB-0B64E3EE25CA}" srcId="{651BCEF1-DD21-461A-9847-B4EB6B50293C}" destId="{974F9472-1801-40FF-91C8-283510F49F04}" srcOrd="0" destOrd="0" parTransId="{3F2AAD95-7A73-4305-9144-B0646944DD43}" sibTransId="{A2D5A7AE-2A91-42A8-94F0-413C769202AF}"/>
    <dgm:cxn modelId="{E7A14DD5-D99B-8B43-87E9-C2A2C57EB781}" type="presOf" srcId="{651BCEF1-DD21-461A-9847-B4EB6B50293C}" destId="{53836088-5A1D-47B6-AE34-153A766400EA}" srcOrd="1" destOrd="0" presId="urn:microsoft.com/office/officeart/2005/8/layout/orgChart1"/>
    <dgm:cxn modelId="{9392E409-9355-6245-880A-2EC0A1BABCC1}" type="presOf" srcId="{23ED510E-27BF-4241-923B-FA1FBAF7B04C}" destId="{41A0AF20-2703-4B2C-B6C5-B60BF6DD7A57}" srcOrd="1" destOrd="0" presId="urn:microsoft.com/office/officeart/2005/8/layout/orgChart1"/>
    <dgm:cxn modelId="{8645BCF6-5A3B-184E-86B8-D57268544239}" type="presOf" srcId="{66F2C976-0BA6-4AA0-9FF5-6994C77B680B}" destId="{D9CB6D4F-17E1-41A7-BAF5-180BFA4F0535}" srcOrd="0" destOrd="0" presId="urn:microsoft.com/office/officeart/2005/8/layout/orgChart1"/>
    <dgm:cxn modelId="{5516A5BB-3EAB-4142-9103-43CBF57FD71E}" srcId="{68EFD49E-C3B2-40D1-9F67-C758BE5DF3A9}" destId="{23ED510E-27BF-4241-923B-FA1FBAF7B04C}" srcOrd="0" destOrd="0" parTransId="{65705526-500D-400B-8B0B-7DA46D197A04}" sibTransId="{21CED4F8-9124-456C-B5F1-4A26EA84870C}"/>
    <dgm:cxn modelId="{E71E16DF-9844-0C43-834C-32052694E0CE}" type="presOf" srcId="{A811238C-ADB3-46EC-B1BF-C6C228DABA0C}" destId="{06C6E642-1A5B-42DE-9FD8-E5A6D68D17CB}" srcOrd="0" destOrd="0" presId="urn:microsoft.com/office/officeart/2005/8/layout/orgChart1"/>
    <dgm:cxn modelId="{2E52F124-5BD2-B94E-927F-64BD5B92800E}" type="presOf" srcId="{68EFD49E-C3B2-40D1-9F67-C758BE5DF3A9}" destId="{095425D4-EEFE-4C3B-B683-1AAB1C1F507C}" srcOrd="0" destOrd="0" presId="urn:microsoft.com/office/officeart/2005/8/layout/orgChart1"/>
    <dgm:cxn modelId="{15DDC4BF-4369-9D4D-80BE-7579293196BE}" type="presOf" srcId="{C329D4E0-DBD0-47AA-9C7D-AF9C063E14FD}" destId="{B29ABC3F-9D09-4F7A-965A-BBC347165215}" srcOrd="0" destOrd="0" presId="urn:microsoft.com/office/officeart/2005/8/layout/orgChart1"/>
    <dgm:cxn modelId="{E523145A-9B29-6B47-BCE1-F064F311F494}" type="presOf" srcId="{FE17594E-24CB-4320-BB22-121F24C89C85}" destId="{EC07A95C-CEED-4837-820A-02C6C6D0125D}" srcOrd="0" destOrd="0" presId="urn:microsoft.com/office/officeart/2005/8/layout/orgChart1"/>
    <dgm:cxn modelId="{C8D97557-9F2F-4584-9589-964577E883FE}" srcId="{23ED510E-27BF-4241-923B-FA1FBAF7B04C}" destId="{651BCEF1-DD21-461A-9847-B4EB6B50293C}" srcOrd="0" destOrd="0" parTransId="{A811238C-ADB3-46EC-B1BF-C6C228DABA0C}" sibTransId="{49A33BE1-CCC3-4086-AA61-C7DB67CDC651}"/>
    <dgm:cxn modelId="{886EFF9D-CD6D-E746-A3C2-7A23A0DAB43E}" type="presOf" srcId="{651BCEF1-DD21-461A-9847-B4EB6B50293C}" destId="{B1FF0964-9CC4-4C5D-A5D7-6BA2F23D002D}" srcOrd="0" destOrd="0" presId="urn:microsoft.com/office/officeart/2005/8/layout/orgChart1"/>
    <dgm:cxn modelId="{E670308D-4628-AC4E-BDA1-69C7467B41AC}" type="presOf" srcId="{974F9472-1801-40FF-91C8-283510F49F04}" destId="{2C57ED7C-ADA3-41A0-B933-8C8038D7193F}" srcOrd="1" destOrd="0" presId="urn:microsoft.com/office/officeart/2005/8/layout/orgChart1"/>
    <dgm:cxn modelId="{EC0A0EE8-56B8-C647-A193-BA9E80D9DB44}" type="presOf" srcId="{6C62C1FE-B151-4B0E-A53F-2CD6F12D0236}" destId="{D2692686-57A7-41A4-A353-FD7B9D033CBF}" srcOrd="0" destOrd="0" presId="urn:microsoft.com/office/officeart/2005/8/layout/orgChart1"/>
    <dgm:cxn modelId="{9A8BAAF5-BEE5-1445-ACAE-FAE04ED6BC5A}" type="presOf" srcId="{3371FE0C-6C23-4D91-A822-C7FE7547B4CC}" destId="{C7871E8F-466E-485E-82C9-56A96B192587}" srcOrd="0" destOrd="0" presId="urn:microsoft.com/office/officeart/2005/8/layout/orgChart1"/>
    <dgm:cxn modelId="{2589274C-604A-5B4E-AE93-8EABC8C5FAB1}" type="presOf" srcId="{66F2C976-0BA6-4AA0-9FF5-6994C77B680B}" destId="{BECF2C1A-97E1-4525-B960-6C12376F1633}" srcOrd="1" destOrd="0" presId="urn:microsoft.com/office/officeart/2005/8/layout/orgChart1"/>
    <dgm:cxn modelId="{701AEB30-1E15-46B6-972C-B4B13C47F8AC}" srcId="{651BCEF1-DD21-461A-9847-B4EB6B50293C}" destId="{C329D4E0-DBD0-47AA-9C7D-AF9C063E14FD}" srcOrd="2" destOrd="0" parTransId="{EDD0CE3E-BC29-4CAE-AB56-33778313C2D0}" sibTransId="{FFD528F9-423E-4E72-AC10-EF016EEB2F42}"/>
    <dgm:cxn modelId="{5CC03790-2B5F-7444-83B4-787AD287FAA5}" type="presParOf" srcId="{095425D4-EEFE-4C3B-B683-1AAB1C1F507C}" destId="{1EC8B831-2E76-45BD-AE0C-3ED3236D8668}" srcOrd="0" destOrd="0" presId="urn:microsoft.com/office/officeart/2005/8/layout/orgChart1"/>
    <dgm:cxn modelId="{573C0137-5A7B-CE49-A2A3-5131711361E2}" type="presParOf" srcId="{1EC8B831-2E76-45BD-AE0C-3ED3236D8668}" destId="{FE9AFAA3-399E-47DB-A387-025F36095C33}" srcOrd="0" destOrd="0" presId="urn:microsoft.com/office/officeart/2005/8/layout/orgChart1"/>
    <dgm:cxn modelId="{6990DB82-3E24-6B4C-B71C-A6FEC29C2A2B}" type="presParOf" srcId="{FE9AFAA3-399E-47DB-A387-025F36095C33}" destId="{42E4C700-99FB-4763-B224-8782A812E755}" srcOrd="0" destOrd="0" presId="urn:microsoft.com/office/officeart/2005/8/layout/orgChart1"/>
    <dgm:cxn modelId="{49A6F8C7-B890-D74C-9DE5-947AEF17379C}" type="presParOf" srcId="{FE9AFAA3-399E-47DB-A387-025F36095C33}" destId="{41A0AF20-2703-4B2C-B6C5-B60BF6DD7A57}" srcOrd="1" destOrd="0" presId="urn:microsoft.com/office/officeart/2005/8/layout/orgChart1"/>
    <dgm:cxn modelId="{4D9E8BD6-C0A4-2B48-B7A7-53EBA3CF45C9}" type="presParOf" srcId="{1EC8B831-2E76-45BD-AE0C-3ED3236D8668}" destId="{77ED22B2-9253-4691-A8DE-6B514A5FA6F4}" srcOrd="1" destOrd="0" presId="urn:microsoft.com/office/officeart/2005/8/layout/orgChart1"/>
    <dgm:cxn modelId="{51091787-27FB-0948-9A71-2D72F996DA86}" type="presParOf" srcId="{77ED22B2-9253-4691-A8DE-6B514A5FA6F4}" destId="{06C6E642-1A5B-42DE-9FD8-E5A6D68D17CB}" srcOrd="0" destOrd="0" presId="urn:microsoft.com/office/officeart/2005/8/layout/orgChart1"/>
    <dgm:cxn modelId="{5E09F49C-5A21-0F45-9439-CF0DE4C89603}" type="presParOf" srcId="{77ED22B2-9253-4691-A8DE-6B514A5FA6F4}" destId="{64A0F270-5712-4E72-88E6-310B3C4D53E2}" srcOrd="1" destOrd="0" presId="urn:microsoft.com/office/officeart/2005/8/layout/orgChart1"/>
    <dgm:cxn modelId="{AADCCCE9-ADB1-E344-950D-EDFDC9C652B3}" type="presParOf" srcId="{64A0F270-5712-4E72-88E6-310B3C4D53E2}" destId="{A6B25FF8-232F-4EBE-BD7C-1D9FCF990CD1}" srcOrd="0" destOrd="0" presId="urn:microsoft.com/office/officeart/2005/8/layout/orgChart1"/>
    <dgm:cxn modelId="{9F99931C-FCD9-E44D-8A2E-ED202A3CCD45}" type="presParOf" srcId="{A6B25FF8-232F-4EBE-BD7C-1D9FCF990CD1}" destId="{B1FF0964-9CC4-4C5D-A5D7-6BA2F23D002D}" srcOrd="0" destOrd="0" presId="urn:microsoft.com/office/officeart/2005/8/layout/orgChart1"/>
    <dgm:cxn modelId="{7A66D1BD-6162-EF40-9C45-DEBF6C0A85E3}" type="presParOf" srcId="{A6B25FF8-232F-4EBE-BD7C-1D9FCF990CD1}" destId="{53836088-5A1D-47B6-AE34-153A766400EA}" srcOrd="1" destOrd="0" presId="urn:microsoft.com/office/officeart/2005/8/layout/orgChart1"/>
    <dgm:cxn modelId="{051EE0BD-265C-F047-BAAD-23CC2C1607B8}" type="presParOf" srcId="{64A0F270-5712-4E72-88E6-310B3C4D53E2}" destId="{BE6D3A0C-EBE3-4403-99C6-66CA8FA632F1}" srcOrd="1" destOrd="0" presId="urn:microsoft.com/office/officeart/2005/8/layout/orgChart1"/>
    <dgm:cxn modelId="{4727E7E1-70D7-9640-A641-0FE7F6DD66F4}" type="presParOf" srcId="{BE6D3A0C-EBE3-4403-99C6-66CA8FA632F1}" destId="{08C14F95-9227-4D96-9351-D6271890F67C}" srcOrd="0" destOrd="0" presId="urn:microsoft.com/office/officeart/2005/8/layout/orgChart1"/>
    <dgm:cxn modelId="{169A3CD7-F114-4B4E-A067-90F6C8D2BCD9}" type="presParOf" srcId="{BE6D3A0C-EBE3-4403-99C6-66CA8FA632F1}" destId="{ABB03AFD-8502-4311-8E25-3A4BC80D9AAF}" srcOrd="1" destOrd="0" presId="urn:microsoft.com/office/officeart/2005/8/layout/orgChart1"/>
    <dgm:cxn modelId="{3392554B-43E4-654E-978D-6E437DCC6836}" type="presParOf" srcId="{ABB03AFD-8502-4311-8E25-3A4BC80D9AAF}" destId="{047447AC-7B2D-45CE-8AC5-A48A5CF13E78}" srcOrd="0" destOrd="0" presId="urn:microsoft.com/office/officeart/2005/8/layout/orgChart1"/>
    <dgm:cxn modelId="{BA70DCD5-4CD9-1343-9186-BBA09559C59E}" type="presParOf" srcId="{047447AC-7B2D-45CE-8AC5-A48A5CF13E78}" destId="{55173EFD-E4B9-463A-8208-650BD092E776}" srcOrd="0" destOrd="0" presId="urn:microsoft.com/office/officeart/2005/8/layout/orgChart1"/>
    <dgm:cxn modelId="{6508119D-DEC4-A74E-8A77-BE7283E945AC}" type="presParOf" srcId="{047447AC-7B2D-45CE-8AC5-A48A5CF13E78}" destId="{2C57ED7C-ADA3-41A0-B933-8C8038D7193F}" srcOrd="1" destOrd="0" presId="urn:microsoft.com/office/officeart/2005/8/layout/orgChart1"/>
    <dgm:cxn modelId="{E07775F6-0900-774E-89FF-65D17DDD6598}" type="presParOf" srcId="{ABB03AFD-8502-4311-8E25-3A4BC80D9AAF}" destId="{6ED1FD12-23BC-4916-A69B-76A3428857F7}" srcOrd="1" destOrd="0" presId="urn:microsoft.com/office/officeart/2005/8/layout/orgChart1"/>
    <dgm:cxn modelId="{E6EAB096-3BAB-8744-81CC-AB73C3C5107F}" type="presParOf" srcId="{ABB03AFD-8502-4311-8E25-3A4BC80D9AAF}" destId="{C57A5C37-93F4-48C6-91C1-E1648030A556}" srcOrd="2" destOrd="0" presId="urn:microsoft.com/office/officeart/2005/8/layout/orgChart1"/>
    <dgm:cxn modelId="{2129C316-FAE5-6545-9E38-A9061602A850}" type="presParOf" srcId="{BE6D3A0C-EBE3-4403-99C6-66CA8FA632F1}" destId="{D2692686-57A7-41A4-A353-FD7B9D033CBF}" srcOrd="2" destOrd="0" presId="urn:microsoft.com/office/officeart/2005/8/layout/orgChart1"/>
    <dgm:cxn modelId="{A97BF407-1D9D-F04A-9B19-CA3F24B2DA54}" type="presParOf" srcId="{BE6D3A0C-EBE3-4403-99C6-66CA8FA632F1}" destId="{F14358D1-EC93-4132-9F5F-48E31A6ED701}" srcOrd="3" destOrd="0" presId="urn:microsoft.com/office/officeart/2005/8/layout/orgChart1"/>
    <dgm:cxn modelId="{810539D6-64D2-6047-9CB7-EF75B99D2A49}" type="presParOf" srcId="{F14358D1-EC93-4132-9F5F-48E31A6ED701}" destId="{4CA97D71-6CC9-49F9-9E4E-DA3CE131E757}" srcOrd="0" destOrd="0" presId="urn:microsoft.com/office/officeart/2005/8/layout/orgChart1"/>
    <dgm:cxn modelId="{826E461D-8F02-F044-ABAD-D704A24E9F20}" type="presParOf" srcId="{4CA97D71-6CC9-49F9-9E4E-DA3CE131E757}" destId="{EC07A95C-CEED-4837-820A-02C6C6D0125D}" srcOrd="0" destOrd="0" presId="urn:microsoft.com/office/officeart/2005/8/layout/orgChart1"/>
    <dgm:cxn modelId="{7A85B688-3418-6A41-8D52-B7A88E8A4AEA}" type="presParOf" srcId="{4CA97D71-6CC9-49F9-9E4E-DA3CE131E757}" destId="{638A79A6-E0BF-4B08-909C-9F185231C568}" srcOrd="1" destOrd="0" presId="urn:microsoft.com/office/officeart/2005/8/layout/orgChart1"/>
    <dgm:cxn modelId="{CA7153CC-EEE8-9C4E-9788-D3C37CEC5DB6}" type="presParOf" srcId="{F14358D1-EC93-4132-9F5F-48E31A6ED701}" destId="{592E84CB-35C4-445A-ABBA-6077EF2EEF87}" srcOrd="1" destOrd="0" presId="urn:microsoft.com/office/officeart/2005/8/layout/orgChart1"/>
    <dgm:cxn modelId="{B84A8566-2642-5B4B-A96B-CADEFDCB6678}" type="presParOf" srcId="{F14358D1-EC93-4132-9F5F-48E31A6ED701}" destId="{AD23E2E6-73DC-43CE-AE92-6F46F197FCC7}" srcOrd="2" destOrd="0" presId="urn:microsoft.com/office/officeart/2005/8/layout/orgChart1"/>
    <dgm:cxn modelId="{9DE477FD-F97E-254B-AC04-638A42FAFB8C}" type="presParOf" srcId="{BE6D3A0C-EBE3-4403-99C6-66CA8FA632F1}" destId="{7E4E1356-FAD7-407F-BB7A-21D22968EB8D}" srcOrd="4" destOrd="0" presId="urn:microsoft.com/office/officeart/2005/8/layout/orgChart1"/>
    <dgm:cxn modelId="{72B9B5EF-22CD-104D-9EF3-95CC8F3986DB}" type="presParOf" srcId="{BE6D3A0C-EBE3-4403-99C6-66CA8FA632F1}" destId="{8DAEE54A-2D00-4D6A-9FE1-4E7D62CD4404}" srcOrd="5" destOrd="0" presId="urn:microsoft.com/office/officeart/2005/8/layout/orgChart1"/>
    <dgm:cxn modelId="{FD52BAA5-0E1F-6D47-A840-DB2E98890CA4}" type="presParOf" srcId="{8DAEE54A-2D00-4D6A-9FE1-4E7D62CD4404}" destId="{0D285DEB-5591-4202-A2A0-8C01ABE85657}" srcOrd="0" destOrd="0" presId="urn:microsoft.com/office/officeart/2005/8/layout/orgChart1"/>
    <dgm:cxn modelId="{BAD2D250-B611-744F-8938-45331C6ED555}" type="presParOf" srcId="{0D285DEB-5591-4202-A2A0-8C01ABE85657}" destId="{B29ABC3F-9D09-4F7A-965A-BBC347165215}" srcOrd="0" destOrd="0" presId="urn:microsoft.com/office/officeart/2005/8/layout/orgChart1"/>
    <dgm:cxn modelId="{A2D6D068-3E1D-4F42-88FA-0504923AEC6A}" type="presParOf" srcId="{0D285DEB-5591-4202-A2A0-8C01ABE85657}" destId="{9A166FEC-3BF4-4287-A243-4036A31A5DD8}" srcOrd="1" destOrd="0" presId="urn:microsoft.com/office/officeart/2005/8/layout/orgChart1"/>
    <dgm:cxn modelId="{9D5115E5-1D29-6640-9AE4-B50D7659540A}" type="presParOf" srcId="{8DAEE54A-2D00-4D6A-9FE1-4E7D62CD4404}" destId="{12AF8E93-53D1-44B4-B746-C1506B695D4F}" srcOrd="1" destOrd="0" presId="urn:microsoft.com/office/officeart/2005/8/layout/orgChart1"/>
    <dgm:cxn modelId="{7ECD1DCE-6BDA-E54C-B27E-A820B023BAFC}" type="presParOf" srcId="{8DAEE54A-2D00-4D6A-9FE1-4E7D62CD4404}" destId="{43162A0E-1AF1-467F-BD6D-654A364C35EF}" srcOrd="2" destOrd="0" presId="urn:microsoft.com/office/officeart/2005/8/layout/orgChart1"/>
    <dgm:cxn modelId="{89AC6B41-6F05-924E-9534-D3616B973538}" type="presParOf" srcId="{BE6D3A0C-EBE3-4403-99C6-66CA8FA632F1}" destId="{C7871E8F-466E-485E-82C9-56A96B192587}" srcOrd="6" destOrd="0" presId="urn:microsoft.com/office/officeart/2005/8/layout/orgChart1"/>
    <dgm:cxn modelId="{8595A825-C74C-9648-AFED-266DB7465F75}" type="presParOf" srcId="{BE6D3A0C-EBE3-4403-99C6-66CA8FA632F1}" destId="{5F320F37-E4D5-47CD-8567-DC687CF735DA}" srcOrd="7" destOrd="0" presId="urn:microsoft.com/office/officeart/2005/8/layout/orgChart1"/>
    <dgm:cxn modelId="{C65E7711-BF26-864F-97A1-A2C44BC7EA4D}" type="presParOf" srcId="{5F320F37-E4D5-47CD-8567-DC687CF735DA}" destId="{7A8F38A3-B09A-406B-BBC1-0E3E75DB002A}" srcOrd="0" destOrd="0" presId="urn:microsoft.com/office/officeart/2005/8/layout/orgChart1"/>
    <dgm:cxn modelId="{325A99E2-1E4B-424B-9E32-40D0D529C289}" type="presParOf" srcId="{7A8F38A3-B09A-406B-BBC1-0E3E75DB002A}" destId="{D9CB6D4F-17E1-41A7-BAF5-180BFA4F0535}" srcOrd="0" destOrd="0" presId="urn:microsoft.com/office/officeart/2005/8/layout/orgChart1"/>
    <dgm:cxn modelId="{5EE2EF0B-2FBE-CE4B-8973-5EF778D1D8C6}" type="presParOf" srcId="{7A8F38A3-B09A-406B-BBC1-0E3E75DB002A}" destId="{BECF2C1A-97E1-4525-B960-6C12376F1633}" srcOrd="1" destOrd="0" presId="urn:microsoft.com/office/officeart/2005/8/layout/orgChart1"/>
    <dgm:cxn modelId="{225F90C3-1C7A-8440-9B6D-0D17B208870E}" type="presParOf" srcId="{5F320F37-E4D5-47CD-8567-DC687CF735DA}" destId="{AB678AC1-18C7-414E-B124-C51991CD62FC}" srcOrd="1" destOrd="0" presId="urn:microsoft.com/office/officeart/2005/8/layout/orgChart1"/>
    <dgm:cxn modelId="{C5E4092A-3D65-F145-A1A3-029A5FD62397}" type="presParOf" srcId="{5F320F37-E4D5-47CD-8567-DC687CF735DA}" destId="{B1B5AD81-E914-4802-9E5B-53DA31A40001}" srcOrd="2" destOrd="0" presId="urn:microsoft.com/office/officeart/2005/8/layout/orgChart1"/>
    <dgm:cxn modelId="{1F592F2D-DBD8-E645-A0A7-76113977CE4D}" type="presParOf" srcId="{64A0F270-5712-4E72-88E6-310B3C4D53E2}" destId="{A13E9FDF-2DC3-4014-A3D0-6C344A89CD43}" srcOrd="2" destOrd="0" presId="urn:microsoft.com/office/officeart/2005/8/layout/orgChart1"/>
    <dgm:cxn modelId="{4D89C6B7-833F-C64D-8AB0-C69C04452D69}" type="presParOf" srcId="{1EC8B831-2E76-45BD-AE0C-3ED3236D8668}" destId="{37BE2829-C16E-4719-9510-631B55BFCFA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5D50C-8234-4D69-9502-8BDC09550E04}">
      <dsp:nvSpPr>
        <dsp:cNvPr id="0" name=""/>
        <dsp:cNvSpPr/>
      </dsp:nvSpPr>
      <dsp:spPr>
        <a:xfrm>
          <a:off x="2373464" y="423684"/>
          <a:ext cx="1535508" cy="177662"/>
        </a:xfrm>
        <a:custGeom>
          <a:avLst/>
          <a:gdLst/>
          <a:ahLst/>
          <a:cxnLst/>
          <a:rect l="0" t="0" r="0" b="0"/>
          <a:pathLst>
            <a:path>
              <a:moveTo>
                <a:pt x="0" y="0"/>
              </a:moveTo>
              <a:lnTo>
                <a:pt x="0" y="88831"/>
              </a:lnTo>
              <a:lnTo>
                <a:pt x="1535508" y="88831"/>
              </a:lnTo>
              <a:lnTo>
                <a:pt x="1535508" y="17766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66A6-D502-4AD3-94B0-410AA3048017}">
      <dsp:nvSpPr>
        <dsp:cNvPr id="0" name=""/>
        <dsp:cNvSpPr/>
      </dsp:nvSpPr>
      <dsp:spPr>
        <a:xfrm>
          <a:off x="2373464" y="423684"/>
          <a:ext cx="510372" cy="177662"/>
        </a:xfrm>
        <a:custGeom>
          <a:avLst/>
          <a:gdLst/>
          <a:ahLst/>
          <a:cxnLst/>
          <a:rect l="0" t="0" r="0" b="0"/>
          <a:pathLst>
            <a:path>
              <a:moveTo>
                <a:pt x="0" y="0"/>
              </a:moveTo>
              <a:lnTo>
                <a:pt x="0" y="88831"/>
              </a:lnTo>
              <a:lnTo>
                <a:pt x="510372" y="88831"/>
              </a:lnTo>
              <a:lnTo>
                <a:pt x="510372" y="17766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0852C-0E00-4CD2-9C35-1B60427357A1}">
      <dsp:nvSpPr>
        <dsp:cNvPr id="0" name=""/>
        <dsp:cNvSpPr/>
      </dsp:nvSpPr>
      <dsp:spPr>
        <a:xfrm>
          <a:off x="1521760" y="1024351"/>
          <a:ext cx="126901" cy="389164"/>
        </a:xfrm>
        <a:custGeom>
          <a:avLst/>
          <a:gdLst/>
          <a:ahLst/>
          <a:cxnLst/>
          <a:rect l="0" t="0" r="0" b="0"/>
          <a:pathLst>
            <a:path>
              <a:moveTo>
                <a:pt x="0" y="0"/>
              </a:moveTo>
              <a:lnTo>
                <a:pt x="0" y="389164"/>
              </a:lnTo>
              <a:lnTo>
                <a:pt x="126901" y="38916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62D66-4F24-4BD2-8449-43709B507FAB}">
      <dsp:nvSpPr>
        <dsp:cNvPr id="0" name=""/>
        <dsp:cNvSpPr/>
      </dsp:nvSpPr>
      <dsp:spPr>
        <a:xfrm>
          <a:off x="1860164" y="423684"/>
          <a:ext cx="513299" cy="177662"/>
        </a:xfrm>
        <a:custGeom>
          <a:avLst/>
          <a:gdLst/>
          <a:ahLst/>
          <a:cxnLst/>
          <a:rect l="0" t="0" r="0" b="0"/>
          <a:pathLst>
            <a:path>
              <a:moveTo>
                <a:pt x="513299" y="0"/>
              </a:moveTo>
              <a:lnTo>
                <a:pt x="513299" y="88831"/>
              </a:lnTo>
              <a:lnTo>
                <a:pt x="0" y="88831"/>
              </a:lnTo>
              <a:lnTo>
                <a:pt x="0" y="17766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A392F1-E0AA-4FF5-95C0-B8B72CD60819}">
      <dsp:nvSpPr>
        <dsp:cNvPr id="0" name=""/>
        <dsp:cNvSpPr/>
      </dsp:nvSpPr>
      <dsp:spPr>
        <a:xfrm>
          <a:off x="498088" y="1024351"/>
          <a:ext cx="126901" cy="989832"/>
        </a:xfrm>
        <a:custGeom>
          <a:avLst/>
          <a:gdLst/>
          <a:ahLst/>
          <a:cxnLst/>
          <a:rect l="0" t="0" r="0" b="0"/>
          <a:pathLst>
            <a:path>
              <a:moveTo>
                <a:pt x="0" y="0"/>
              </a:moveTo>
              <a:lnTo>
                <a:pt x="0" y="989832"/>
              </a:lnTo>
              <a:lnTo>
                <a:pt x="126901" y="9898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3AC58-3325-4163-BA84-6763712949BF}">
      <dsp:nvSpPr>
        <dsp:cNvPr id="0" name=""/>
        <dsp:cNvSpPr/>
      </dsp:nvSpPr>
      <dsp:spPr>
        <a:xfrm>
          <a:off x="498088" y="1024351"/>
          <a:ext cx="126901" cy="389164"/>
        </a:xfrm>
        <a:custGeom>
          <a:avLst/>
          <a:gdLst/>
          <a:ahLst/>
          <a:cxnLst/>
          <a:rect l="0" t="0" r="0" b="0"/>
          <a:pathLst>
            <a:path>
              <a:moveTo>
                <a:pt x="0" y="0"/>
              </a:moveTo>
              <a:lnTo>
                <a:pt x="0" y="389164"/>
              </a:lnTo>
              <a:lnTo>
                <a:pt x="126901" y="38916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28B1FF-48C9-4A6E-ADE3-3AE5A1120A76}">
      <dsp:nvSpPr>
        <dsp:cNvPr id="0" name=""/>
        <dsp:cNvSpPr/>
      </dsp:nvSpPr>
      <dsp:spPr>
        <a:xfrm>
          <a:off x="836492" y="423684"/>
          <a:ext cx="1536972" cy="177662"/>
        </a:xfrm>
        <a:custGeom>
          <a:avLst/>
          <a:gdLst/>
          <a:ahLst/>
          <a:cxnLst/>
          <a:rect l="0" t="0" r="0" b="0"/>
          <a:pathLst>
            <a:path>
              <a:moveTo>
                <a:pt x="1536972" y="0"/>
              </a:moveTo>
              <a:lnTo>
                <a:pt x="1536972" y="88831"/>
              </a:lnTo>
              <a:lnTo>
                <a:pt x="0" y="88831"/>
              </a:lnTo>
              <a:lnTo>
                <a:pt x="0" y="17766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D0FBE4-AC56-4C18-AFC3-E9CAC85DF6CB}">
      <dsp:nvSpPr>
        <dsp:cNvPr id="0" name=""/>
        <dsp:cNvSpPr/>
      </dsp:nvSpPr>
      <dsp:spPr>
        <a:xfrm>
          <a:off x="1950459" y="678"/>
          <a:ext cx="846010"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Popatbhai</a:t>
          </a:r>
        </a:p>
      </dsp:txBody>
      <dsp:txXfrm>
        <a:off x="1950459" y="678"/>
        <a:ext cx="846010" cy="423005"/>
      </dsp:txXfrm>
    </dsp:sp>
    <dsp:sp modelId="{C7698B78-9FBC-463B-8A08-0DF67FC46426}">
      <dsp:nvSpPr>
        <dsp:cNvPr id="0" name=""/>
        <dsp:cNvSpPr/>
      </dsp:nvSpPr>
      <dsp:spPr>
        <a:xfrm>
          <a:off x="413487" y="601346"/>
          <a:ext cx="846010"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Bhikhubhai</a:t>
          </a:r>
        </a:p>
      </dsp:txBody>
      <dsp:txXfrm>
        <a:off x="413487" y="601346"/>
        <a:ext cx="846010" cy="423005"/>
      </dsp:txXfrm>
    </dsp:sp>
    <dsp:sp modelId="{5DD2F532-421A-4BA4-845A-EDC4AC5E8A89}">
      <dsp:nvSpPr>
        <dsp:cNvPr id="0" name=""/>
        <dsp:cNvSpPr/>
      </dsp:nvSpPr>
      <dsp:spPr>
        <a:xfrm>
          <a:off x="624989" y="1202013"/>
          <a:ext cx="846010"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Keyur</a:t>
          </a:r>
        </a:p>
      </dsp:txBody>
      <dsp:txXfrm>
        <a:off x="624989" y="1202013"/>
        <a:ext cx="846010" cy="423005"/>
      </dsp:txXfrm>
    </dsp:sp>
    <dsp:sp modelId="{F397092B-1FC0-4B09-91B9-084AFFA4345E}">
      <dsp:nvSpPr>
        <dsp:cNvPr id="0" name=""/>
        <dsp:cNvSpPr/>
      </dsp:nvSpPr>
      <dsp:spPr>
        <a:xfrm>
          <a:off x="624989" y="1802680"/>
          <a:ext cx="846010"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Mihir</a:t>
          </a:r>
        </a:p>
      </dsp:txBody>
      <dsp:txXfrm>
        <a:off x="624989" y="1802680"/>
        <a:ext cx="846010" cy="423005"/>
      </dsp:txXfrm>
    </dsp:sp>
    <dsp:sp modelId="{E27DA322-EF24-4EDF-AD1C-4D20B0E254A6}">
      <dsp:nvSpPr>
        <dsp:cNvPr id="0" name=""/>
        <dsp:cNvSpPr/>
      </dsp:nvSpPr>
      <dsp:spPr>
        <a:xfrm>
          <a:off x="1437159" y="601346"/>
          <a:ext cx="846010"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Chandubhai</a:t>
          </a:r>
        </a:p>
      </dsp:txBody>
      <dsp:txXfrm>
        <a:off x="1437159" y="601346"/>
        <a:ext cx="846010" cy="423005"/>
      </dsp:txXfrm>
    </dsp:sp>
    <dsp:sp modelId="{C35C8F7B-09E8-48AB-B176-2920352EF3DF}">
      <dsp:nvSpPr>
        <dsp:cNvPr id="0" name=""/>
        <dsp:cNvSpPr/>
      </dsp:nvSpPr>
      <dsp:spPr>
        <a:xfrm flipH="1">
          <a:off x="1648662" y="1202013"/>
          <a:ext cx="1165988"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Pranay</a:t>
          </a:r>
        </a:p>
      </dsp:txBody>
      <dsp:txXfrm>
        <a:off x="1648662" y="1202013"/>
        <a:ext cx="1165988" cy="423005"/>
      </dsp:txXfrm>
    </dsp:sp>
    <dsp:sp modelId="{18A95867-0C2B-4DC9-A387-8FCFD7315101}">
      <dsp:nvSpPr>
        <dsp:cNvPr id="0" name=""/>
        <dsp:cNvSpPr/>
      </dsp:nvSpPr>
      <dsp:spPr>
        <a:xfrm>
          <a:off x="2460831" y="601346"/>
          <a:ext cx="846010"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Kanubhai</a:t>
          </a:r>
        </a:p>
      </dsp:txBody>
      <dsp:txXfrm>
        <a:off x="2460831" y="601346"/>
        <a:ext cx="846010" cy="423005"/>
      </dsp:txXfrm>
    </dsp:sp>
    <dsp:sp modelId="{2C15AE02-0239-431D-B4D4-76EF2B9D5F8B}">
      <dsp:nvSpPr>
        <dsp:cNvPr id="0" name=""/>
        <dsp:cNvSpPr/>
      </dsp:nvSpPr>
      <dsp:spPr>
        <a:xfrm flipH="1">
          <a:off x="3484504" y="601346"/>
          <a:ext cx="848937" cy="4230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Arial" panose="020B0604020202020204" pitchFamily="34" charset="0"/>
              <a:cs typeface="Arial" panose="020B0604020202020204" pitchFamily="34" charset="0"/>
            </a:rPr>
            <a:t>Meghjibhai</a:t>
          </a:r>
        </a:p>
      </dsp:txBody>
      <dsp:txXfrm>
        <a:off x="3484504" y="601346"/>
        <a:ext cx="848937" cy="4230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71E8F-466E-485E-82C9-56A96B192587}">
      <dsp:nvSpPr>
        <dsp:cNvPr id="0" name=""/>
        <dsp:cNvSpPr/>
      </dsp:nvSpPr>
      <dsp:spPr>
        <a:xfrm>
          <a:off x="2328743" y="956806"/>
          <a:ext cx="118416" cy="2044650"/>
        </a:xfrm>
        <a:custGeom>
          <a:avLst/>
          <a:gdLst/>
          <a:ahLst/>
          <a:cxnLst/>
          <a:rect l="0" t="0" r="0" b="0"/>
          <a:pathLst>
            <a:path>
              <a:moveTo>
                <a:pt x="0" y="0"/>
              </a:moveTo>
              <a:lnTo>
                <a:pt x="0" y="2044650"/>
              </a:lnTo>
              <a:lnTo>
                <a:pt x="118416" y="204465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4E1356-FAD7-407F-BB7A-21D22968EB8D}">
      <dsp:nvSpPr>
        <dsp:cNvPr id="0" name=""/>
        <dsp:cNvSpPr/>
      </dsp:nvSpPr>
      <dsp:spPr>
        <a:xfrm>
          <a:off x="2328743" y="956806"/>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92686-57A7-41A4-A353-FD7B9D033CBF}">
      <dsp:nvSpPr>
        <dsp:cNvPr id="0" name=""/>
        <dsp:cNvSpPr/>
      </dsp:nvSpPr>
      <dsp:spPr>
        <a:xfrm>
          <a:off x="2328743"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C14F95-9227-4D96-9351-D6271890F67C}">
      <dsp:nvSpPr>
        <dsp:cNvPr id="0" name=""/>
        <dsp:cNvSpPr/>
      </dsp:nvSpPr>
      <dsp:spPr>
        <a:xfrm>
          <a:off x="2328743"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C6E642-1A5B-42DE-9FD8-E5A6D68D17CB}">
      <dsp:nvSpPr>
        <dsp:cNvPr id="0" name=""/>
        <dsp:cNvSpPr/>
      </dsp:nvSpPr>
      <dsp:spPr>
        <a:xfrm>
          <a:off x="2598799" y="396303"/>
          <a:ext cx="91440" cy="165782"/>
        </a:xfrm>
        <a:custGeom>
          <a:avLst/>
          <a:gdLst/>
          <a:ahLst/>
          <a:cxnLst/>
          <a:rect l="0" t="0" r="0" b="0"/>
          <a:pathLst>
            <a:path>
              <a:moveTo>
                <a:pt x="45720" y="0"/>
              </a:moveTo>
              <a:lnTo>
                <a:pt x="45720" y="16578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E4C700-99FB-4763-B224-8782A812E755}">
      <dsp:nvSpPr>
        <dsp:cNvPr id="0" name=""/>
        <dsp:cNvSpPr/>
      </dsp:nvSpPr>
      <dsp:spPr>
        <a:xfrm>
          <a:off x="2249799" y="1583"/>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Bhikubhai,</a:t>
          </a:r>
        </a:p>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Chairman</a:t>
          </a:r>
        </a:p>
      </dsp:txBody>
      <dsp:txXfrm>
        <a:off x="2249799" y="1583"/>
        <a:ext cx="789440" cy="394720"/>
      </dsp:txXfrm>
    </dsp:sp>
    <dsp:sp modelId="{B1FF0964-9CC4-4C5D-A5D7-6BA2F23D002D}">
      <dsp:nvSpPr>
        <dsp:cNvPr id="0" name=""/>
        <dsp:cNvSpPr/>
      </dsp:nvSpPr>
      <dsp:spPr>
        <a:xfrm>
          <a:off x="2249799" y="562086"/>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Chandubhai,</a:t>
          </a:r>
        </a:p>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Managing Director</a:t>
          </a:r>
        </a:p>
      </dsp:txBody>
      <dsp:txXfrm>
        <a:off x="2249799" y="562086"/>
        <a:ext cx="789440" cy="394720"/>
      </dsp:txXfrm>
    </dsp:sp>
    <dsp:sp modelId="{55173EFD-E4B9-463A-8208-650BD092E776}">
      <dsp:nvSpPr>
        <dsp:cNvPr id="0" name=""/>
        <dsp:cNvSpPr/>
      </dsp:nvSpPr>
      <dsp:spPr>
        <a:xfrm>
          <a:off x="2447159" y="1122588"/>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Kanubhai,</a:t>
          </a:r>
        </a:p>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Technical Director</a:t>
          </a:r>
        </a:p>
      </dsp:txBody>
      <dsp:txXfrm>
        <a:off x="2447159" y="1122588"/>
        <a:ext cx="789440" cy="394720"/>
      </dsp:txXfrm>
    </dsp:sp>
    <dsp:sp modelId="{EC07A95C-CEED-4837-820A-02C6C6D0125D}">
      <dsp:nvSpPr>
        <dsp:cNvPr id="0" name=""/>
        <dsp:cNvSpPr/>
      </dsp:nvSpPr>
      <dsp:spPr>
        <a:xfrm>
          <a:off x="2447159" y="1683091"/>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Mihir,</a:t>
          </a:r>
        </a:p>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Marketing Director</a:t>
          </a:r>
        </a:p>
      </dsp:txBody>
      <dsp:txXfrm>
        <a:off x="2447159" y="1683091"/>
        <a:ext cx="789440" cy="394720"/>
      </dsp:txXfrm>
    </dsp:sp>
    <dsp:sp modelId="{B29ABC3F-9D09-4F7A-965A-BBC347165215}">
      <dsp:nvSpPr>
        <dsp:cNvPr id="0" name=""/>
        <dsp:cNvSpPr/>
      </dsp:nvSpPr>
      <dsp:spPr>
        <a:xfrm>
          <a:off x="2447159" y="2243593"/>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Pranay,</a:t>
          </a:r>
        </a:p>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Events Director</a:t>
          </a:r>
        </a:p>
      </dsp:txBody>
      <dsp:txXfrm>
        <a:off x="2447159" y="2243593"/>
        <a:ext cx="789440" cy="394720"/>
      </dsp:txXfrm>
    </dsp:sp>
    <dsp:sp modelId="{D9CB6D4F-17E1-41A7-BAF5-180BFA4F0535}">
      <dsp:nvSpPr>
        <dsp:cNvPr id="0" name=""/>
        <dsp:cNvSpPr/>
      </dsp:nvSpPr>
      <dsp:spPr>
        <a:xfrm>
          <a:off x="2447159" y="2804096"/>
          <a:ext cx="789440" cy="39472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Keyur,</a:t>
          </a:r>
        </a:p>
        <a:p>
          <a:pPr lvl="0" algn="ctr" defTabSz="355600">
            <a:lnSpc>
              <a:spcPct val="90000"/>
            </a:lnSpc>
            <a:spcBef>
              <a:spcPct val="0"/>
            </a:spcBef>
            <a:spcAft>
              <a:spcPct val="35000"/>
            </a:spcAft>
          </a:pPr>
          <a:r>
            <a:rPr lang="en-US" sz="800" kern="1200">
              <a:latin typeface="Arial" panose="020B0604020202020204" pitchFamily="34" charset="0"/>
              <a:cs typeface="Arial" panose="020B0604020202020204" pitchFamily="34" charset="0"/>
            </a:rPr>
            <a:t>R&amp;D Director</a:t>
          </a:r>
        </a:p>
      </dsp:txBody>
      <dsp:txXfrm>
        <a:off x="2447159"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A7ABF-1DDD-45D1-ACFD-7FA92CF8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5917</Words>
  <Characters>33730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2018-10-01T20:37:00Z</cp:lastPrinted>
  <dcterms:created xsi:type="dcterms:W3CDTF">2018-09-20T20:54:00Z</dcterms:created>
  <dcterms:modified xsi:type="dcterms:W3CDTF">2018-10-01T20:38:00Z</dcterms:modified>
</cp:coreProperties>
</file>