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0B6B07" w:rsidRPr="00D53084" w14:paraId="221CB918" w14:textId="77777777" w:rsidTr="00D53084">
        <w:tc>
          <w:tcPr>
            <w:tcW w:w="4320" w:type="dxa"/>
            <w:tcBorders>
              <w:top w:val="nil"/>
              <w:left w:val="nil"/>
              <w:bottom w:val="nil"/>
              <w:right w:val="nil"/>
            </w:tcBorders>
            <w:vAlign w:val="center"/>
          </w:tcPr>
          <w:p w14:paraId="46D0BEFE" w14:textId="5A4C0F94" w:rsidR="000B6B07" w:rsidRPr="00D53084" w:rsidRDefault="000B6B07" w:rsidP="00D53084">
            <w:pPr>
              <w:tabs>
                <w:tab w:val="left" w:pos="0"/>
                <w:tab w:val="right" w:pos="9360"/>
              </w:tabs>
              <w:rPr>
                <w:rFonts w:ascii="IveyVHWLogos" w:eastAsia="SimSun" w:hAnsi="IveyVHWLogos" w:cs="Vrinda"/>
                <w:sz w:val="44"/>
                <w:szCs w:val="44"/>
                <w:lang w:val="en-GB" w:eastAsia="ja-JP"/>
              </w:rPr>
            </w:pPr>
            <w:r w:rsidRPr="00D53084">
              <w:rPr>
                <w:rFonts w:ascii="Arial" w:eastAsia="SimSun" w:hAnsi="Arial" w:cs="Vrinda"/>
                <w:b/>
                <w:noProof/>
                <w:sz w:val="24"/>
              </w:rPr>
              <w:drawing>
                <wp:inline distT="0" distB="0" distL="0" distR="0" wp14:anchorId="7C55B1B1" wp14:editId="63DAC1DC">
                  <wp:extent cx="261620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513C02FE" w14:textId="77777777" w:rsidR="000B6B07" w:rsidRPr="00D53084" w:rsidRDefault="000B6B07" w:rsidP="00D53084">
            <w:pPr>
              <w:tabs>
                <w:tab w:val="left" w:pos="0"/>
                <w:tab w:val="right" w:pos="9360"/>
              </w:tabs>
              <w:rPr>
                <w:rFonts w:ascii="IveyVHWLogos" w:eastAsia="SimSun" w:hAnsi="IveyVHWLogos" w:cs="Vrinda"/>
                <w:sz w:val="16"/>
                <w:szCs w:val="16"/>
                <w:lang w:val="en-GB" w:eastAsia="ja-JP"/>
              </w:rPr>
            </w:pPr>
          </w:p>
        </w:tc>
        <w:tc>
          <w:tcPr>
            <w:tcW w:w="4878" w:type="dxa"/>
            <w:tcBorders>
              <w:top w:val="nil"/>
              <w:left w:val="nil"/>
              <w:bottom w:val="nil"/>
              <w:right w:val="nil"/>
            </w:tcBorders>
            <w:vAlign w:val="center"/>
          </w:tcPr>
          <w:p w14:paraId="064BB99F" w14:textId="19E20B7C" w:rsidR="000B6B07" w:rsidRPr="00D53084" w:rsidRDefault="000B6B07" w:rsidP="00D53084">
            <w:pPr>
              <w:tabs>
                <w:tab w:val="left" w:pos="0"/>
                <w:tab w:val="right" w:pos="9360"/>
              </w:tabs>
              <w:jc w:val="right"/>
              <w:rPr>
                <w:rFonts w:ascii="IveyVHWLogos" w:eastAsia="SimSun" w:hAnsi="IveyVHWLogos" w:cs="Vrinda"/>
                <w:sz w:val="44"/>
                <w:szCs w:val="44"/>
                <w:lang w:val="en-GB" w:eastAsia="ja-JP"/>
              </w:rPr>
            </w:pPr>
            <w:r w:rsidRPr="00D53084">
              <w:rPr>
                <w:noProof/>
              </w:rPr>
              <w:drawing>
                <wp:inline distT="0" distB="0" distL="0" distR="0" wp14:anchorId="7E8EC962" wp14:editId="51433200">
                  <wp:extent cx="1605915" cy="668020"/>
                  <wp:effectExtent l="0" t="0" r="0" b="0"/>
                  <wp:docPr id="4" name="Picture 4"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23472B52" w14:textId="77777777" w:rsidR="000B6B07" w:rsidRPr="00D53084" w:rsidRDefault="000B6B07" w:rsidP="006B1FF2">
      <w:pPr>
        <w:pBdr>
          <w:bottom w:val="single" w:sz="18" w:space="1" w:color="auto"/>
        </w:pBdr>
        <w:tabs>
          <w:tab w:val="left" w:pos="-1440"/>
          <w:tab w:val="left" w:pos="-720"/>
          <w:tab w:val="left" w:pos="1"/>
        </w:tabs>
        <w:jc w:val="both"/>
        <w:rPr>
          <w:rFonts w:ascii="Arial" w:hAnsi="Arial"/>
          <w:b/>
          <w:sz w:val="2"/>
          <w:szCs w:val="2"/>
          <w:lang w:val="en-GB"/>
        </w:rPr>
      </w:pPr>
    </w:p>
    <w:p w14:paraId="33B6D93B" w14:textId="029E1CAD" w:rsidR="006B1FF2" w:rsidRPr="00D53084" w:rsidRDefault="00BE6496" w:rsidP="006B1FF2">
      <w:pPr>
        <w:pStyle w:val="ProductNumber"/>
        <w:rPr>
          <w:lang w:val="en-GB"/>
        </w:rPr>
      </w:pPr>
      <w:r>
        <w:rPr>
          <w:lang w:val="en-GB"/>
        </w:rPr>
        <w:t>9B18M147</w:t>
      </w:r>
    </w:p>
    <w:p w14:paraId="4E057522" w14:textId="77777777" w:rsidR="00D75295" w:rsidRPr="00D53084" w:rsidRDefault="00D75295" w:rsidP="00D75295">
      <w:pPr>
        <w:jc w:val="right"/>
        <w:rPr>
          <w:rFonts w:ascii="Arial" w:hAnsi="Arial"/>
          <w:b/>
          <w:sz w:val="28"/>
          <w:szCs w:val="28"/>
          <w:lang w:val="en-GB"/>
        </w:rPr>
      </w:pPr>
    </w:p>
    <w:p w14:paraId="426B7211" w14:textId="77777777" w:rsidR="00013360" w:rsidRPr="00D53084" w:rsidRDefault="00013360" w:rsidP="00D75295">
      <w:pPr>
        <w:jc w:val="right"/>
        <w:rPr>
          <w:rFonts w:ascii="Arial" w:hAnsi="Arial"/>
          <w:b/>
          <w:sz w:val="28"/>
          <w:szCs w:val="28"/>
          <w:lang w:val="en-GB"/>
        </w:rPr>
      </w:pPr>
    </w:p>
    <w:p w14:paraId="2F03D26A" w14:textId="5FD83D80" w:rsidR="00215AEA" w:rsidRPr="00D53084" w:rsidRDefault="009C1954" w:rsidP="00013360">
      <w:pPr>
        <w:pStyle w:val="CaseTitle"/>
        <w:spacing w:after="0" w:line="240" w:lineRule="auto"/>
        <w:rPr>
          <w:sz w:val="20"/>
          <w:szCs w:val="20"/>
          <w:lang w:val="en-GB"/>
        </w:rPr>
      </w:pPr>
      <w:r w:rsidRPr="00D53084">
        <w:rPr>
          <w:lang w:val="en-GB"/>
        </w:rPr>
        <w:t>SHENZHOU INTERNATIONAL GROUP</w:t>
      </w:r>
      <w:r w:rsidR="002122E5" w:rsidRPr="00D53084">
        <w:rPr>
          <w:lang w:val="en-GB"/>
        </w:rPr>
        <w:t>: sustaining success</w:t>
      </w:r>
      <w:r w:rsidR="00215AEA">
        <w:rPr>
          <w:rStyle w:val="EndnoteReference"/>
          <w:lang w:val="en-GB"/>
        </w:rPr>
        <w:endnoteReference w:id="1"/>
      </w:r>
    </w:p>
    <w:p w14:paraId="40ABF6FD" w14:textId="77777777" w:rsidR="00CA3976" w:rsidRPr="00D53084" w:rsidRDefault="00CA3976" w:rsidP="00013360">
      <w:pPr>
        <w:pStyle w:val="CaseTitle"/>
        <w:spacing w:after="0" w:line="240" w:lineRule="auto"/>
        <w:rPr>
          <w:sz w:val="20"/>
          <w:szCs w:val="20"/>
          <w:lang w:val="en-GB"/>
        </w:rPr>
      </w:pPr>
    </w:p>
    <w:p w14:paraId="202F1085" w14:textId="77777777" w:rsidR="00013360" w:rsidRPr="00D53084" w:rsidRDefault="00013360" w:rsidP="00013360">
      <w:pPr>
        <w:pStyle w:val="CaseTitle"/>
        <w:spacing w:after="0" w:line="240" w:lineRule="auto"/>
        <w:rPr>
          <w:sz w:val="20"/>
          <w:szCs w:val="20"/>
          <w:lang w:val="en-GB"/>
        </w:rPr>
      </w:pPr>
    </w:p>
    <w:p w14:paraId="58B0C73F" w14:textId="5E6564E0" w:rsidR="00086B26" w:rsidRPr="00D53084" w:rsidRDefault="009C1954" w:rsidP="00086B26">
      <w:pPr>
        <w:pStyle w:val="StyleCopyrightStatementAfter0ptBottomSinglesolidline1"/>
        <w:rPr>
          <w:lang w:val="en-GB"/>
        </w:rPr>
      </w:pPr>
      <w:proofErr w:type="spellStart"/>
      <w:r w:rsidRPr="00D53084">
        <w:rPr>
          <w:rFonts w:cs="Arial"/>
          <w:szCs w:val="16"/>
          <w:lang w:val="en-GB"/>
        </w:rPr>
        <w:t>Weijiong</w:t>
      </w:r>
      <w:proofErr w:type="spellEnd"/>
      <w:r w:rsidRPr="00D53084">
        <w:rPr>
          <w:rFonts w:cs="Arial"/>
          <w:szCs w:val="16"/>
          <w:lang w:val="en-GB"/>
        </w:rPr>
        <w:t xml:space="preserve"> Zhang, Liman Zhao, and </w:t>
      </w:r>
      <w:proofErr w:type="spellStart"/>
      <w:r w:rsidRPr="00D53084">
        <w:rPr>
          <w:rFonts w:cs="Arial"/>
          <w:szCs w:val="16"/>
          <w:lang w:val="en-GB"/>
        </w:rPr>
        <w:t>Dimeng</w:t>
      </w:r>
      <w:proofErr w:type="spellEnd"/>
      <w:r w:rsidRPr="00D53084">
        <w:rPr>
          <w:rFonts w:cs="Arial"/>
          <w:szCs w:val="16"/>
          <w:lang w:val="en-GB"/>
        </w:rPr>
        <w:t xml:space="preserve"> (Vicky) </w:t>
      </w:r>
      <w:proofErr w:type="spellStart"/>
      <w:r w:rsidRPr="00D53084">
        <w:rPr>
          <w:rFonts w:cs="Arial"/>
          <w:szCs w:val="16"/>
          <w:lang w:val="en-GB"/>
        </w:rPr>
        <w:t>Kuai</w:t>
      </w:r>
      <w:proofErr w:type="spellEnd"/>
      <w:r w:rsidRPr="00D53084">
        <w:rPr>
          <w:rFonts w:cs="Arial"/>
          <w:szCs w:val="16"/>
          <w:lang w:val="en-GB"/>
        </w:rPr>
        <w:t xml:space="preserve"> </w:t>
      </w:r>
      <w:r w:rsidR="00086B26" w:rsidRPr="00D5308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53084" w:rsidRDefault="00086B26" w:rsidP="00086B26">
      <w:pPr>
        <w:pStyle w:val="StyleCopyrightStatementAfter0ptBottomSinglesolidline1"/>
        <w:rPr>
          <w:lang w:val="en-GB"/>
        </w:rPr>
      </w:pPr>
    </w:p>
    <w:p w14:paraId="7356CD16" w14:textId="77777777" w:rsidR="006B1FF2" w:rsidRPr="00D53084" w:rsidRDefault="006B1FF2" w:rsidP="006B1FF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D53084">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D53084">
          <w:rPr>
            <w:rFonts w:ascii="Arial" w:hAnsi="Arial"/>
            <w:i/>
            <w:iCs/>
            <w:color w:val="000000"/>
            <w:sz w:val="16"/>
            <w:lang w:val="en-GB"/>
          </w:rPr>
          <w:t>cases@ivey.ca</w:t>
        </w:r>
      </w:hyperlink>
      <w:r w:rsidRPr="00D53084">
        <w:rPr>
          <w:rFonts w:ascii="Arial" w:hAnsi="Arial"/>
          <w:i/>
          <w:iCs/>
          <w:color w:val="000000"/>
          <w:sz w:val="16"/>
          <w:lang w:val="en-GB"/>
        </w:rPr>
        <w:t xml:space="preserve">; </w:t>
      </w:r>
      <w:hyperlink r:id="rId11" w:history="1">
        <w:r w:rsidRPr="00D53084">
          <w:rPr>
            <w:rFonts w:ascii="Arial" w:hAnsi="Arial"/>
            <w:i/>
            <w:iCs/>
            <w:color w:val="000000"/>
            <w:sz w:val="16"/>
            <w:lang w:val="en-GB"/>
          </w:rPr>
          <w:t>www.iveycases.com</w:t>
        </w:r>
      </w:hyperlink>
      <w:r w:rsidRPr="00D53084">
        <w:rPr>
          <w:rFonts w:ascii="Arial" w:hAnsi="Arial"/>
          <w:i/>
          <w:iCs/>
          <w:color w:val="000000"/>
          <w:sz w:val="16"/>
          <w:lang w:val="en-GB"/>
        </w:rPr>
        <w:t>.</w:t>
      </w:r>
    </w:p>
    <w:p w14:paraId="6406C079" w14:textId="77777777" w:rsidR="006B1FF2" w:rsidRPr="00D53084" w:rsidRDefault="006B1FF2" w:rsidP="006B1FF2">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227DD247" w14:textId="71AAD801" w:rsidR="000B6B07" w:rsidRPr="00D53084" w:rsidRDefault="000B6B07" w:rsidP="000B6B07">
      <w:pPr>
        <w:pBdr>
          <w:bottom w:val="single" w:sz="8" w:space="1" w:color="auto"/>
        </w:pBdr>
        <w:tabs>
          <w:tab w:val="left" w:pos="-1440"/>
          <w:tab w:val="left" w:pos="-720"/>
          <w:tab w:val="left" w:pos="1"/>
          <w:tab w:val="right" w:pos="9360"/>
        </w:tabs>
        <w:jc w:val="both"/>
        <w:rPr>
          <w:rFonts w:ascii="Arial" w:hAnsi="Arial" w:cs="Arial"/>
          <w:i/>
          <w:sz w:val="16"/>
          <w:szCs w:val="16"/>
          <w:lang w:val="en-GB"/>
        </w:rPr>
      </w:pPr>
      <w:r w:rsidRPr="00D53084">
        <w:rPr>
          <w:rFonts w:ascii="Arial" w:hAnsi="Arial" w:cs="Arial"/>
          <w:i/>
          <w:sz w:val="16"/>
          <w:szCs w:val="16"/>
          <w:lang w:val="en-GB"/>
        </w:rPr>
        <w:t>Copyright © 2018, CEIBS (China Europe International Business School)</w:t>
      </w:r>
      <w:r w:rsidRPr="00D53084">
        <w:rPr>
          <w:rFonts w:ascii="Arial" w:hAnsi="Arial" w:cs="Arial"/>
          <w:i/>
          <w:sz w:val="16"/>
          <w:szCs w:val="16"/>
          <w:lang w:val="en-GB"/>
        </w:rPr>
        <w:tab/>
        <w:t xml:space="preserve">Version: </w:t>
      </w:r>
      <w:r w:rsidR="00933504" w:rsidRPr="00D53084">
        <w:rPr>
          <w:rFonts w:ascii="Arial" w:hAnsi="Arial" w:cs="Arial"/>
          <w:i/>
          <w:sz w:val="16"/>
          <w:szCs w:val="16"/>
          <w:lang w:val="en-GB"/>
        </w:rPr>
        <w:t>2018-</w:t>
      </w:r>
      <w:r w:rsidR="00BE6496">
        <w:rPr>
          <w:rFonts w:ascii="Arial" w:hAnsi="Arial" w:cs="Arial"/>
          <w:i/>
          <w:sz w:val="16"/>
          <w:szCs w:val="16"/>
          <w:lang w:val="en-GB"/>
        </w:rPr>
        <w:t>10-02</w:t>
      </w:r>
    </w:p>
    <w:p w14:paraId="4FF8BE7D" w14:textId="77777777" w:rsidR="000B6B07" w:rsidRPr="00D53084" w:rsidRDefault="000B6B07" w:rsidP="000B6B07">
      <w:pPr>
        <w:tabs>
          <w:tab w:val="left" w:pos="-1440"/>
          <w:tab w:val="left" w:pos="-720"/>
          <w:tab w:val="left" w:pos="1"/>
          <w:tab w:val="right" w:pos="7920"/>
        </w:tabs>
        <w:jc w:val="both"/>
        <w:rPr>
          <w:rFonts w:ascii="Arial" w:hAnsi="Arial" w:cs="Arial"/>
          <w:i/>
          <w:sz w:val="16"/>
          <w:szCs w:val="16"/>
          <w:lang w:val="en-GB"/>
        </w:rPr>
      </w:pPr>
    </w:p>
    <w:p w14:paraId="14B0B34E" w14:textId="77777777" w:rsidR="000B6B07" w:rsidRPr="00D53084" w:rsidRDefault="000B6B07" w:rsidP="000B6B07">
      <w:pPr>
        <w:tabs>
          <w:tab w:val="left" w:pos="-1440"/>
          <w:tab w:val="left" w:pos="-720"/>
          <w:tab w:val="left" w:pos="1"/>
        </w:tabs>
        <w:jc w:val="both"/>
        <w:rPr>
          <w:rFonts w:ascii="Arial" w:hAnsi="Arial"/>
          <w:sz w:val="16"/>
          <w:lang w:val="en-GB"/>
        </w:rPr>
      </w:pPr>
    </w:p>
    <w:p w14:paraId="114DADC7" w14:textId="7D72DBE8" w:rsidR="009C1954" w:rsidRPr="00D53084" w:rsidRDefault="00D53084" w:rsidP="009C1954">
      <w:pPr>
        <w:pStyle w:val="BodyTextMain"/>
        <w:rPr>
          <w:lang w:val="en-GB"/>
        </w:rPr>
      </w:pPr>
      <w:r>
        <w:rPr>
          <w:lang w:val="en-GB"/>
        </w:rPr>
        <w:t>I</w:t>
      </w:r>
      <w:r w:rsidR="009C1954" w:rsidRPr="00D53084">
        <w:rPr>
          <w:lang w:val="en-GB"/>
        </w:rPr>
        <w:t xml:space="preserve">n early April 2017, </w:t>
      </w:r>
      <w:r w:rsidRPr="00D53084">
        <w:rPr>
          <w:lang w:val="en-GB"/>
        </w:rPr>
        <w:t xml:space="preserve">Shenzhou International Group Holdings Limited (Shenzhou International) </w:t>
      </w:r>
      <w:r w:rsidR="00446A73">
        <w:rPr>
          <w:lang w:val="en-GB"/>
        </w:rPr>
        <w:t xml:space="preserve">was </w:t>
      </w:r>
      <w:r w:rsidRPr="00D53084">
        <w:rPr>
          <w:lang w:val="en-GB"/>
        </w:rPr>
        <w:t xml:space="preserve">ranked first </w:t>
      </w:r>
      <w:r w:rsidR="009C1954" w:rsidRPr="00D53084">
        <w:rPr>
          <w:lang w:val="en-GB"/>
        </w:rPr>
        <w:t xml:space="preserve">among </w:t>
      </w:r>
      <w:r w:rsidR="005173E7" w:rsidRPr="00D53084">
        <w:rPr>
          <w:lang w:val="en-GB"/>
        </w:rPr>
        <w:t>10</w:t>
      </w:r>
      <w:r w:rsidR="009C1954" w:rsidRPr="00D53084">
        <w:rPr>
          <w:lang w:val="en-GB"/>
        </w:rPr>
        <w:t xml:space="preserve"> listed Chinese textile, apparel</w:t>
      </w:r>
      <w:r w:rsidR="005173E7" w:rsidRPr="00D53084">
        <w:rPr>
          <w:lang w:val="en-GB"/>
        </w:rPr>
        <w:t>,</w:t>
      </w:r>
      <w:r w:rsidR="009C1954" w:rsidRPr="00D53084">
        <w:rPr>
          <w:lang w:val="en-GB"/>
        </w:rPr>
        <w:t xml:space="preserve"> and chemical fib</w:t>
      </w:r>
      <w:r w:rsidR="005173E7" w:rsidRPr="00D53084">
        <w:rPr>
          <w:lang w:val="en-GB"/>
        </w:rPr>
        <w:t>r</w:t>
      </w:r>
      <w:r w:rsidR="009C1954" w:rsidRPr="00D53084">
        <w:rPr>
          <w:lang w:val="en-GB"/>
        </w:rPr>
        <w:t xml:space="preserve">e companies, </w:t>
      </w:r>
      <w:r w:rsidR="00B52443">
        <w:rPr>
          <w:lang w:val="en-GB"/>
        </w:rPr>
        <w:t>a</w:t>
      </w:r>
      <w:r w:rsidR="00B52443" w:rsidRPr="00D53084">
        <w:rPr>
          <w:lang w:val="en-GB"/>
        </w:rPr>
        <w:t>ccording to the Chinese website business.sohu.com</w:t>
      </w:r>
      <w:r w:rsidR="00B52443">
        <w:rPr>
          <w:lang w:val="en-GB"/>
        </w:rPr>
        <w:t>. E</w:t>
      </w:r>
      <w:r w:rsidR="009C1954" w:rsidRPr="00D53084">
        <w:rPr>
          <w:lang w:val="en-GB"/>
        </w:rPr>
        <w:t>ach</w:t>
      </w:r>
      <w:r w:rsidR="00446A73">
        <w:rPr>
          <w:lang w:val="en-GB"/>
        </w:rPr>
        <w:t xml:space="preserve"> of the 10</w:t>
      </w:r>
      <w:r w:rsidR="009C1954" w:rsidRPr="00D53084">
        <w:rPr>
          <w:lang w:val="en-GB"/>
        </w:rPr>
        <w:t xml:space="preserve"> </w:t>
      </w:r>
      <w:r w:rsidR="00B52443">
        <w:rPr>
          <w:lang w:val="en-GB"/>
        </w:rPr>
        <w:t>compan</w:t>
      </w:r>
      <w:r w:rsidR="00446A73">
        <w:rPr>
          <w:lang w:val="en-GB"/>
        </w:rPr>
        <w:t>ies</w:t>
      </w:r>
      <w:r w:rsidR="00B52443">
        <w:rPr>
          <w:lang w:val="en-GB"/>
        </w:rPr>
        <w:t xml:space="preserve"> had</w:t>
      </w:r>
      <w:r w:rsidR="009C1954" w:rsidRPr="00D53084">
        <w:rPr>
          <w:lang w:val="en-GB"/>
        </w:rPr>
        <w:t xml:space="preserve"> a market capitalization of over ¥30</w:t>
      </w:r>
      <w:r w:rsidR="009C1954" w:rsidRPr="00D53084">
        <w:rPr>
          <w:rStyle w:val="EndnoteReference"/>
          <w:lang w:val="en-GB"/>
        </w:rPr>
        <w:endnoteReference w:id="2"/>
      </w:r>
      <w:r w:rsidR="009C1954" w:rsidRPr="00D53084">
        <w:rPr>
          <w:lang w:val="en-GB"/>
        </w:rPr>
        <w:t xml:space="preserve"> billion in </w:t>
      </w:r>
      <w:r w:rsidR="005173E7" w:rsidRPr="00D53084">
        <w:rPr>
          <w:lang w:val="en-GB"/>
        </w:rPr>
        <w:t xml:space="preserve">the first quarter of </w:t>
      </w:r>
      <w:r w:rsidR="009C1954" w:rsidRPr="00D53084">
        <w:rPr>
          <w:lang w:val="en-GB"/>
        </w:rPr>
        <w:t>2017</w:t>
      </w:r>
      <w:r w:rsidR="00B52443">
        <w:rPr>
          <w:lang w:val="en-GB"/>
        </w:rPr>
        <w:t xml:space="preserve">. </w:t>
      </w:r>
      <w:r w:rsidR="005173E7" w:rsidRPr="00D53084">
        <w:rPr>
          <w:lang w:val="en-GB"/>
        </w:rPr>
        <w:t>Shenzhou International</w:t>
      </w:r>
      <w:r w:rsidR="00B52443">
        <w:rPr>
          <w:lang w:val="en-GB"/>
        </w:rPr>
        <w:t>’s</w:t>
      </w:r>
      <w:r w:rsidR="009C1954" w:rsidRPr="00D53084">
        <w:rPr>
          <w:lang w:val="en-GB"/>
        </w:rPr>
        <w:t xml:space="preserve"> market capitalization </w:t>
      </w:r>
      <w:r w:rsidR="00B52443">
        <w:rPr>
          <w:lang w:val="en-GB"/>
        </w:rPr>
        <w:t>was</w:t>
      </w:r>
      <w:r w:rsidR="009C1954" w:rsidRPr="00D53084">
        <w:rPr>
          <w:lang w:val="en-GB"/>
        </w:rPr>
        <w:t xml:space="preserve"> ¥60.9 billion.</w:t>
      </w:r>
      <w:r w:rsidR="009C1954" w:rsidRPr="00D53084">
        <w:rPr>
          <w:rStyle w:val="EndnoteReference"/>
          <w:lang w:val="en-GB"/>
        </w:rPr>
        <w:endnoteReference w:id="3"/>
      </w:r>
      <w:r w:rsidR="009C1954" w:rsidRPr="00D53084">
        <w:rPr>
          <w:lang w:val="en-GB"/>
        </w:rPr>
        <w:t xml:space="preserve"> Financial experts </w:t>
      </w:r>
      <w:r w:rsidR="005173E7" w:rsidRPr="00D53084">
        <w:rPr>
          <w:lang w:val="en-GB"/>
        </w:rPr>
        <w:t>believed</w:t>
      </w:r>
      <w:r w:rsidR="009C1954" w:rsidRPr="00D53084">
        <w:rPr>
          <w:lang w:val="en-GB"/>
        </w:rPr>
        <w:t xml:space="preserve"> that along with increasingly stringent environmental requirements and rising labo</w:t>
      </w:r>
      <w:r w:rsidR="005173E7" w:rsidRPr="00D53084">
        <w:rPr>
          <w:lang w:val="en-GB"/>
        </w:rPr>
        <w:t>u</w:t>
      </w:r>
      <w:r w:rsidR="009C1954" w:rsidRPr="00D53084">
        <w:rPr>
          <w:lang w:val="en-GB"/>
        </w:rPr>
        <w:t>r costs, small</w:t>
      </w:r>
      <w:r w:rsidR="005173E7" w:rsidRPr="00D53084">
        <w:rPr>
          <w:lang w:val="en-GB"/>
        </w:rPr>
        <w:t xml:space="preserve"> </w:t>
      </w:r>
      <w:r w:rsidR="009C1954" w:rsidRPr="00D53084">
        <w:rPr>
          <w:lang w:val="en-GB"/>
        </w:rPr>
        <w:t>and</w:t>
      </w:r>
      <w:r w:rsidR="005173E7" w:rsidRPr="00D53084">
        <w:rPr>
          <w:lang w:val="en-GB"/>
        </w:rPr>
        <w:t xml:space="preserve"> </w:t>
      </w:r>
      <w:r w:rsidR="009C1954" w:rsidRPr="00D53084">
        <w:rPr>
          <w:lang w:val="en-GB"/>
        </w:rPr>
        <w:t xml:space="preserve">mid-sized enterprises in the printing and dyeing, spinning, and apparel sectors were facing a shakeout. However, as a market leader, Shenzhou International had seen a huge uptick in sales volumes, market share, and profit margin. </w:t>
      </w:r>
    </w:p>
    <w:p w14:paraId="6C106BBB" w14:textId="77777777" w:rsidR="009C1954" w:rsidRPr="00D53084" w:rsidRDefault="009C1954" w:rsidP="009C1954">
      <w:pPr>
        <w:pStyle w:val="BodyTextMain"/>
        <w:rPr>
          <w:sz w:val="20"/>
          <w:lang w:val="en-GB"/>
        </w:rPr>
      </w:pPr>
    </w:p>
    <w:p w14:paraId="4D01C6DD" w14:textId="3A6B5A3A" w:rsidR="009C1954" w:rsidRPr="00D53084" w:rsidRDefault="009C1954" w:rsidP="009C1954">
      <w:pPr>
        <w:pStyle w:val="BodyTextMain"/>
        <w:rPr>
          <w:lang w:val="en-GB"/>
        </w:rPr>
      </w:pPr>
      <w:r w:rsidRPr="00D53084">
        <w:rPr>
          <w:lang w:val="en-GB"/>
        </w:rPr>
        <w:t>Since its listing on the Main Board of</w:t>
      </w:r>
      <w:r w:rsidR="00BF2E2F" w:rsidRPr="00D53084">
        <w:rPr>
          <w:lang w:val="en-GB"/>
        </w:rPr>
        <w:t xml:space="preserve"> the</w:t>
      </w:r>
      <w:r w:rsidRPr="00D53084">
        <w:rPr>
          <w:lang w:val="en-GB"/>
        </w:rPr>
        <w:t xml:space="preserve"> Hong Kong Stock Exchange in November 2005, Shenzhou International had evolved into the world’s largest knitwear manufacturer, with clients including </w:t>
      </w:r>
      <w:proofErr w:type="spellStart"/>
      <w:r w:rsidRPr="00D53084">
        <w:rPr>
          <w:lang w:val="en-GB"/>
        </w:rPr>
        <w:t>Uniqlo</w:t>
      </w:r>
      <w:proofErr w:type="spellEnd"/>
      <w:r w:rsidR="00BF2E2F" w:rsidRPr="00D53084">
        <w:rPr>
          <w:lang w:val="en-GB"/>
        </w:rPr>
        <w:t xml:space="preserve"> Co., Ltd</w:t>
      </w:r>
      <w:r w:rsidR="00846389" w:rsidRPr="00D53084">
        <w:rPr>
          <w:lang w:val="en-GB"/>
        </w:rPr>
        <w:t>.</w:t>
      </w:r>
      <w:r w:rsidR="00BF2E2F" w:rsidRPr="00D53084">
        <w:rPr>
          <w:lang w:val="en-GB"/>
        </w:rPr>
        <w:t xml:space="preserve"> (</w:t>
      </w:r>
      <w:proofErr w:type="spellStart"/>
      <w:r w:rsidR="00BF2E2F" w:rsidRPr="00D53084">
        <w:rPr>
          <w:lang w:val="en-GB"/>
        </w:rPr>
        <w:t>Uniqlo</w:t>
      </w:r>
      <w:proofErr w:type="spellEnd"/>
      <w:r w:rsidR="00BF2E2F" w:rsidRPr="00D53084">
        <w:rPr>
          <w:lang w:val="en-GB"/>
        </w:rPr>
        <w:t>);</w:t>
      </w:r>
      <w:r w:rsidRPr="00D53084">
        <w:rPr>
          <w:lang w:val="en-GB"/>
        </w:rPr>
        <w:t xml:space="preserve"> Nike</w:t>
      </w:r>
      <w:r w:rsidR="00BF2E2F" w:rsidRPr="00D53084">
        <w:rPr>
          <w:lang w:val="en-GB"/>
        </w:rPr>
        <w:t>, Inc. (Nike);</w:t>
      </w:r>
      <w:r w:rsidRPr="00D53084">
        <w:rPr>
          <w:lang w:val="en-GB"/>
        </w:rPr>
        <w:t xml:space="preserve"> Adidas</w:t>
      </w:r>
      <w:r w:rsidR="00BF2E2F" w:rsidRPr="00D53084">
        <w:rPr>
          <w:lang w:val="en-GB"/>
        </w:rPr>
        <w:t xml:space="preserve"> AG (Adidas);</w:t>
      </w:r>
      <w:r w:rsidRPr="00D53084">
        <w:rPr>
          <w:lang w:val="en-GB"/>
        </w:rPr>
        <w:t xml:space="preserve"> and Puma</w:t>
      </w:r>
      <w:r w:rsidR="00BF2E2F" w:rsidRPr="00D53084">
        <w:rPr>
          <w:lang w:val="en-GB"/>
        </w:rPr>
        <w:t xml:space="preserve"> </w:t>
      </w:r>
      <w:r w:rsidR="0060258B" w:rsidRPr="00D53084">
        <w:rPr>
          <w:lang w:val="en-GB"/>
        </w:rPr>
        <w:t>SE</w:t>
      </w:r>
      <w:r w:rsidR="00BF2E2F" w:rsidRPr="00D53084">
        <w:rPr>
          <w:lang w:val="en-GB"/>
        </w:rPr>
        <w:t xml:space="preserve"> (Puma)</w:t>
      </w:r>
      <w:r w:rsidRPr="00D53084">
        <w:rPr>
          <w:lang w:val="en-GB"/>
        </w:rPr>
        <w:t xml:space="preserve">. The group had set up factories in Ningbo, </w:t>
      </w:r>
      <w:proofErr w:type="spellStart"/>
      <w:r w:rsidRPr="00D53084">
        <w:rPr>
          <w:lang w:val="en-GB"/>
        </w:rPr>
        <w:t>Quzhou</w:t>
      </w:r>
      <w:proofErr w:type="spellEnd"/>
      <w:r w:rsidR="00BF2E2F" w:rsidRPr="00D53084">
        <w:rPr>
          <w:lang w:val="en-GB"/>
        </w:rPr>
        <w:t>,</w:t>
      </w:r>
      <w:r w:rsidRPr="00D53084">
        <w:rPr>
          <w:lang w:val="en-GB"/>
        </w:rPr>
        <w:t xml:space="preserve"> and </w:t>
      </w:r>
      <w:proofErr w:type="spellStart"/>
      <w:r w:rsidRPr="00D53084">
        <w:rPr>
          <w:lang w:val="en-GB"/>
        </w:rPr>
        <w:t>Anqing</w:t>
      </w:r>
      <w:proofErr w:type="spellEnd"/>
      <w:r w:rsidR="00BF2E2F" w:rsidRPr="00D53084">
        <w:rPr>
          <w:lang w:val="en-GB"/>
        </w:rPr>
        <w:t xml:space="preserve"> in China</w:t>
      </w:r>
      <w:r w:rsidRPr="00D53084">
        <w:rPr>
          <w:lang w:val="en-GB"/>
        </w:rPr>
        <w:t xml:space="preserve">, as well as </w:t>
      </w:r>
      <w:r w:rsidR="00BF2E2F" w:rsidRPr="00D53084">
        <w:rPr>
          <w:lang w:val="en-GB"/>
        </w:rPr>
        <w:t xml:space="preserve">in </w:t>
      </w:r>
      <w:r w:rsidRPr="00D53084">
        <w:rPr>
          <w:lang w:val="en-GB"/>
        </w:rPr>
        <w:t xml:space="preserve">Phnom Penh (Cambodia) and </w:t>
      </w:r>
      <w:proofErr w:type="spellStart"/>
      <w:r w:rsidRPr="00D53084">
        <w:rPr>
          <w:lang w:val="en-GB"/>
        </w:rPr>
        <w:t>Ho</w:t>
      </w:r>
      <w:proofErr w:type="spellEnd"/>
      <w:r w:rsidRPr="00D53084">
        <w:rPr>
          <w:lang w:val="en-GB"/>
        </w:rPr>
        <w:t xml:space="preserve"> Chi Minh City (Vietnam), and representative offices in Shanghai, Hong Kong</w:t>
      </w:r>
      <w:r w:rsidR="00846389" w:rsidRPr="00D53084">
        <w:rPr>
          <w:lang w:val="en-GB"/>
        </w:rPr>
        <w:t>,</w:t>
      </w:r>
      <w:r w:rsidRPr="00D53084">
        <w:rPr>
          <w:lang w:val="en-GB"/>
        </w:rPr>
        <w:t xml:space="preserve"> and Osaka </w:t>
      </w:r>
      <w:r w:rsidR="00846389" w:rsidRPr="00D53084">
        <w:rPr>
          <w:lang w:val="en-GB"/>
        </w:rPr>
        <w:t>(</w:t>
      </w:r>
      <w:r w:rsidRPr="00D53084">
        <w:rPr>
          <w:lang w:val="en-GB"/>
        </w:rPr>
        <w:t>Japan</w:t>
      </w:r>
      <w:r w:rsidR="00846389" w:rsidRPr="00D53084">
        <w:rPr>
          <w:lang w:val="en-GB"/>
        </w:rPr>
        <w:t>)</w:t>
      </w:r>
      <w:r w:rsidRPr="00D53084">
        <w:rPr>
          <w:lang w:val="en-GB"/>
        </w:rPr>
        <w:t>, with 76,000 employees on its payroll. In 2016, the group turned out over 300 million pieces of apparel, which generated ¥15.1</w:t>
      </w:r>
      <w:r w:rsidR="00BF2E2F" w:rsidRPr="00D53084">
        <w:rPr>
          <w:lang w:val="en-GB"/>
        </w:rPr>
        <w:t xml:space="preserve"> billion</w:t>
      </w:r>
      <w:r w:rsidRPr="00D53084">
        <w:rPr>
          <w:rStyle w:val="EndnoteReference"/>
          <w:lang w:val="en-GB"/>
        </w:rPr>
        <w:endnoteReference w:id="4"/>
      </w:r>
      <w:r w:rsidRPr="00D53084">
        <w:rPr>
          <w:lang w:val="en-GB"/>
        </w:rPr>
        <w:t xml:space="preserve"> in sales revenue and ¥2,950 million in net profit, up 19.5</w:t>
      </w:r>
      <w:r w:rsidR="00BF2E2F" w:rsidRPr="00D53084">
        <w:rPr>
          <w:lang w:val="en-GB"/>
        </w:rPr>
        <w:t xml:space="preserve"> per cent</w:t>
      </w:r>
      <w:r w:rsidRPr="00D53084">
        <w:rPr>
          <w:lang w:val="en-GB"/>
        </w:rPr>
        <w:t xml:space="preserve"> and 25.2</w:t>
      </w:r>
      <w:r w:rsidR="00BF2E2F" w:rsidRPr="00D53084">
        <w:rPr>
          <w:lang w:val="en-GB"/>
        </w:rPr>
        <w:t xml:space="preserve"> per cent,</w:t>
      </w:r>
      <w:r w:rsidRPr="00D53084">
        <w:rPr>
          <w:lang w:val="en-GB"/>
        </w:rPr>
        <w:t xml:space="preserve"> respectively</w:t>
      </w:r>
      <w:r w:rsidR="00BF2E2F" w:rsidRPr="00D53084">
        <w:rPr>
          <w:lang w:val="en-GB"/>
        </w:rPr>
        <w:t>,</w:t>
      </w:r>
      <w:r w:rsidRPr="00D53084">
        <w:rPr>
          <w:lang w:val="en-GB"/>
        </w:rPr>
        <w:t xml:space="preserve"> </w:t>
      </w:r>
      <w:proofErr w:type="gramStart"/>
      <w:r w:rsidRPr="00D53084">
        <w:rPr>
          <w:lang w:val="en-GB"/>
        </w:rPr>
        <w:t>year</w:t>
      </w:r>
      <w:proofErr w:type="gramEnd"/>
      <w:r w:rsidR="005772FD" w:rsidRPr="00D53084">
        <w:rPr>
          <w:lang w:val="en-GB"/>
        </w:rPr>
        <w:t xml:space="preserve"> </w:t>
      </w:r>
      <w:r w:rsidRPr="00D53084">
        <w:rPr>
          <w:lang w:val="en-GB"/>
        </w:rPr>
        <w:t>on</w:t>
      </w:r>
      <w:r w:rsidR="005772FD" w:rsidRPr="00D53084">
        <w:rPr>
          <w:lang w:val="en-GB"/>
        </w:rPr>
        <w:t xml:space="preserve"> </w:t>
      </w:r>
      <w:r w:rsidRPr="00D53084">
        <w:rPr>
          <w:lang w:val="en-GB"/>
        </w:rPr>
        <w:t>year. Over the p</w:t>
      </w:r>
      <w:r w:rsidR="00B52443">
        <w:rPr>
          <w:lang w:val="en-GB"/>
        </w:rPr>
        <w:t>revious</w:t>
      </w:r>
      <w:r w:rsidRPr="00D53084">
        <w:rPr>
          <w:lang w:val="en-GB"/>
        </w:rPr>
        <w:t xml:space="preserve"> five years, the group’s gross margin had hovered at 30</w:t>
      </w:r>
      <w:r w:rsidR="00BF2E2F" w:rsidRPr="00D53084">
        <w:rPr>
          <w:lang w:val="en-GB"/>
        </w:rPr>
        <w:t xml:space="preserve"> per cent</w:t>
      </w:r>
      <w:r w:rsidRPr="00D53084">
        <w:rPr>
          <w:lang w:val="en-GB"/>
        </w:rPr>
        <w:t xml:space="preserve"> and </w:t>
      </w:r>
      <w:r w:rsidR="00BF2E2F" w:rsidRPr="00D53084">
        <w:rPr>
          <w:lang w:val="en-GB"/>
        </w:rPr>
        <w:t xml:space="preserve">its </w:t>
      </w:r>
      <w:r w:rsidRPr="00D53084">
        <w:rPr>
          <w:lang w:val="en-GB"/>
        </w:rPr>
        <w:t>net margin at 18</w:t>
      </w:r>
      <w:r w:rsidR="00BF2E2F" w:rsidRPr="00D53084">
        <w:rPr>
          <w:lang w:val="en-GB"/>
        </w:rPr>
        <w:t xml:space="preserve"> per cent</w:t>
      </w:r>
      <w:r w:rsidRPr="00D53084">
        <w:rPr>
          <w:lang w:val="en-GB"/>
        </w:rPr>
        <w:t>.</w:t>
      </w:r>
      <w:r w:rsidRPr="00D53084">
        <w:rPr>
          <w:rStyle w:val="EndnoteReference"/>
          <w:lang w:val="en-GB"/>
        </w:rPr>
        <w:endnoteReference w:id="5"/>
      </w:r>
    </w:p>
    <w:p w14:paraId="5836F5B5" w14:textId="77777777" w:rsidR="009C1954" w:rsidRPr="00D53084" w:rsidRDefault="009C1954" w:rsidP="009C1954">
      <w:pPr>
        <w:pStyle w:val="BodyTextMain"/>
        <w:rPr>
          <w:sz w:val="20"/>
          <w:lang w:val="en-GB"/>
        </w:rPr>
      </w:pPr>
    </w:p>
    <w:p w14:paraId="4F7D1065" w14:textId="33A74E57" w:rsidR="009C1954" w:rsidRPr="00D53084" w:rsidRDefault="00955467" w:rsidP="009C1954">
      <w:pPr>
        <w:pStyle w:val="BodyTextMain"/>
        <w:rPr>
          <w:lang w:val="en-GB"/>
        </w:rPr>
      </w:pPr>
      <w:r w:rsidRPr="00D53084">
        <w:rPr>
          <w:lang w:val="en-GB"/>
        </w:rPr>
        <w:t xml:space="preserve">At the end of 2016, </w:t>
      </w:r>
      <w:proofErr w:type="spellStart"/>
      <w:r w:rsidRPr="00D53084">
        <w:rPr>
          <w:lang w:val="en-GB"/>
        </w:rPr>
        <w:t>Fuyao</w:t>
      </w:r>
      <w:proofErr w:type="spellEnd"/>
      <w:r w:rsidRPr="00D53084">
        <w:rPr>
          <w:lang w:val="en-GB"/>
        </w:rPr>
        <w:t xml:space="preserve"> Glass Industry Group Co., Ltd. (</w:t>
      </w:r>
      <w:proofErr w:type="spellStart"/>
      <w:r w:rsidRPr="00D53084">
        <w:rPr>
          <w:lang w:val="en-GB"/>
        </w:rPr>
        <w:t>Fuyao</w:t>
      </w:r>
      <w:proofErr w:type="spellEnd"/>
      <w:r w:rsidRPr="00D53084">
        <w:rPr>
          <w:lang w:val="en-GB"/>
        </w:rPr>
        <w:t>) stepped into the media spotlight, causing quite a stir in the business community, when it opened a factory in the United States.</w:t>
      </w:r>
      <w:r w:rsidR="009C1954" w:rsidRPr="00D53084">
        <w:rPr>
          <w:lang w:val="en-GB"/>
        </w:rPr>
        <w:t xml:space="preserve"> Except for the labo</w:t>
      </w:r>
      <w:r w:rsidR="00BF2E2F" w:rsidRPr="00D53084">
        <w:rPr>
          <w:lang w:val="en-GB"/>
        </w:rPr>
        <w:t>u</w:t>
      </w:r>
      <w:r w:rsidR="009C1954" w:rsidRPr="00D53084">
        <w:rPr>
          <w:lang w:val="en-GB"/>
        </w:rPr>
        <w:t>r cost, the U</w:t>
      </w:r>
      <w:r w:rsidR="00BF2E2F" w:rsidRPr="00D53084">
        <w:rPr>
          <w:lang w:val="en-GB"/>
        </w:rPr>
        <w:t xml:space="preserve">nited </w:t>
      </w:r>
      <w:r w:rsidR="009C1954" w:rsidRPr="00D53084">
        <w:rPr>
          <w:lang w:val="en-GB"/>
        </w:rPr>
        <w:t>S</w:t>
      </w:r>
      <w:r w:rsidR="00BF2E2F" w:rsidRPr="00D53084">
        <w:rPr>
          <w:lang w:val="en-GB"/>
        </w:rPr>
        <w:t>tates</w:t>
      </w:r>
      <w:r w:rsidR="009C1954" w:rsidRPr="00D53084">
        <w:rPr>
          <w:lang w:val="en-GB"/>
        </w:rPr>
        <w:t xml:space="preserve"> held a considerable edge in terms of taxation, energy, land, market size, and Certificate of Origin. It was widely believed that </w:t>
      </w:r>
      <w:r w:rsidR="00631C91">
        <w:rPr>
          <w:lang w:val="en-GB"/>
        </w:rPr>
        <w:t>US</w:t>
      </w:r>
      <w:r w:rsidR="009C1954" w:rsidRPr="00D53084">
        <w:rPr>
          <w:lang w:val="en-GB"/>
        </w:rPr>
        <w:t xml:space="preserve"> President Donald Trump’s comments about commerce and trade</w:t>
      </w:r>
      <w:r w:rsidR="00BF2E2F" w:rsidRPr="00D53084">
        <w:rPr>
          <w:lang w:val="en-GB"/>
        </w:rPr>
        <w:t>,</w:t>
      </w:r>
      <w:r w:rsidR="009C1954" w:rsidRPr="00D53084">
        <w:rPr>
          <w:lang w:val="en-GB"/>
        </w:rPr>
        <w:t xml:space="preserve"> and </w:t>
      </w:r>
      <w:r w:rsidR="00BF2E2F" w:rsidRPr="00D53084">
        <w:rPr>
          <w:lang w:val="en-GB"/>
        </w:rPr>
        <w:t xml:space="preserve">his </w:t>
      </w:r>
      <w:r w:rsidR="009C1954" w:rsidRPr="00D53084">
        <w:rPr>
          <w:lang w:val="en-GB"/>
        </w:rPr>
        <w:t xml:space="preserve">speeches on reviving </w:t>
      </w:r>
      <w:r w:rsidR="00631C91">
        <w:rPr>
          <w:lang w:val="en-GB"/>
        </w:rPr>
        <w:t>US</w:t>
      </w:r>
      <w:r w:rsidR="009C1954" w:rsidRPr="00D53084">
        <w:rPr>
          <w:lang w:val="en-GB"/>
        </w:rPr>
        <w:t xml:space="preserve"> manufacturing would carry considerable weight with </w:t>
      </w:r>
      <w:r w:rsidR="00631C91">
        <w:rPr>
          <w:lang w:val="en-GB"/>
        </w:rPr>
        <w:t>US</w:t>
      </w:r>
      <w:r w:rsidR="009C1954" w:rsidRPr="00D53084">
        <w:rPr>
          <w:lang w:val="en-GB"/>
        </w:rPr>
        <w:t xml:space="preserve"> economic and business communities.</w:t>
      </w:r>
    </w:p>
    <w:p w14:paraId="0BEAE543" w14:textId="77777777" w:rsidR="009C1954" w:rsidRPr="00D53084" w:rsidRDefault="009C1954" w:rsidP="009C1954">
      <w:pPr>
        <w:pStyle w:val="BodyTextMain"/>
        <w:rPr>
          <w:sz w:val="20"/>
          <w:lang w:val="en-GB"/>
        </w:rPr>
      </w:pPr>
    </w:p>
    <w:p w14:paraId="4D69E466" w14:textId="5EEC7E4A" w:rsidR="009C1954" w:rsidRPr="00BE6496" w:rsidRDefault="009C1954" w:rsidP="009C1954">
      <w:pPr>
        <w:pStyle w:val="BodyTextMain"/>
        <w:rPr>
          <w:lang w:val="en-GB"/>
        </w:rPr>
      </w:pPr>
      <w:r w:rsidRPr="00BE6496">
        <w:rPr>
          <w:lang w:val="en-GB"/>
        </w:rPr>
        <w:t xml:space="preserve">The </w:t>
      </w:r>
      <w:r w:rsidR="00631C91" w:rsidRPr="00BE6496">
        <w:rPr>
          <w:lang w:val="en-GB"/>
        </w:rPr>
        <w:t>US</w:t>
      </w:r>
      <w:r w:rsidRPr="00BE6496">
        <w:rPr>
          <w:lang w:val="en-GB"/>
        </w:rPr>
        <w:t xml:space="preserve"> market had long been a crucial battleground for world-class brands. History had proven </w:t>
      </w:r>
      <w:r w:rsidR="000B156B" w:rsidRPr="00BE6496">
        <w:rPr>
          <w:lang w:val="en-GB"/>
        </w:rPr>
        <w:t xml:space="preserve">that </w:t>
      </w:r>
      <w:r w:rsidRPr="00BE6496">
        <w:rPr>
          <w:lang w:val="en-GB"/>
        </w:rPr>
        <w:t xml:space="preserve">with </w:t>
      </w:r>
      <w:r w:rsidR="000B156B" w:rsidRPr="00BE6496">
        <w:rPr>
          <w:lang w:val="en-GB"/>
        </w:rPr>
        <w:t xml:space="preserve">their </w:t>
      </w:r>
      <w:r w:rsidRPr="00BE6496">
        <w:rPr>
          <w:lang w:val="en-GB"/>
        </w:rPr>
        <w:t xml:space="preserve">sufficient resources and strong capabilities, leading brand operators were in a position to boost the enterprise value in a certain political climate. </w:t>
      </w:r>
      <w:r w:rsidR="00167578" w:rsidRPr="00BE6496">
        <w:rPr>
          <w:lang w:val="en-GB"/>
        </w:rPr>
        <w:t>Chinese e</w:t>
      </w:r>
      <w:r w:rsidRPr="00BE6496">
        <w:rPr>
          <w:lang w:val="en-GB"/>
        </w:rPr>
        <w:t xml:space="preserve">ntrepreneurs </w:t>
      </w:r>
      <w:r w:rsidR="00BF6DAE" w:rsidRPr="00BE6496">
        <w:rPr>
          <w:lang w:val="en-GB"/>
        </w:rPr>
        <w:t xml:space="preserve">were </w:t>
      </w:r>
      <w:r w:rsidR="00851B7D" w:rsidRPr="00BE6496">
        <w:rPr>
          <w:lang w:val="en-GB"/>
        </w:rPr>
        <w:t>enthusiastic</w:t>
      </w:r>
      <w:r w:rsidRPr="00BE6496">
        <w:rPr>
          <w:lang w:val="en-GB"/>
        </w:rPr>
        <w:t xml:space="preserve"> about the prospects of opening a factory in the U</w:t>
      </w:r>
      <w:r w:rsidR="000B156B" w:rsidRPr="00BE6496">
        <w:rPr>
          <w:lang w:val="en-GB"/>
        </w:rPr>
        <w:t xml:space="preserve">nited </w:t>
      </w:r>
      <w:r w:rsidRPr="00BE6496">
        <w:rPr>
          <w:lang w:val="en-GB"/>
        </w:rPr>
        <w:t>S</w:t>
      </w:r>
      <w:r w:rsidR="000B156B" w:rsidRPr="00BE6496">
        <w:rPr>
          <w:lang w:val="en-GB"/>
        </w:rPr>
        <w:t>tates</w:t>
      </w:r>
      <w:r w:rsidRPr="00BE6496">
        <w:rPr>
          <w:lang w:val="en-GB"/>
        </w:rPr>
        <w:t xml:space="preserve"> to meet the needs of top brand operators like Nike. Executives of </w:t>
      </w:r>
      <w:r w:rsidR="00631C91" w:rsidRPr="00BE6496">
        <w:rPr>
          <w:lang w:val="en-GB"/>
        </w:rPr>
        <w:t>US</w:t>
      </w:r>
      <w:r w:rsidRPr="00BE6496">
        <w:rPr>
          <w:lang w:val="en-GB"/>
        </w:rPr>
        <w:t xml:space="preserve"> key accounts even approached some Chinese companies and inquired whether they </w:t>
      </w:r>
      <w:r w:rsidR="000B156B" w:rsidRPr="00BE6496">
        <w:rPr>
          <w:lang w:val="en-GB"/>
        </w:rPr>
        <w:t xml:space="preserve">would </w:t>
      </w:r>
      <w:r w:rsidRPr="00BE6496">
        <w:rPr>
          <w:lang w:val="en-GB"/>
        </w:rPr>
        <w:t>consider building a plant in the U</w:t>
      </w:r>
      <w:r w:rsidR="000B156B" w:rsidRPr="00BE6496">
        <w:rPr>
          <w:lang w:val="en-GB"/>
        </w:rPr>
        <w:t xml:space="preserve">nited </w:t>
      </w:r>
      <w:r w:rsidRPr="00BE6496">
        <w:rPr>
          <w:lang w:val="en-GB"/>
        </w:rPr>
        <w:t>S</w:t>
      </w:r>
      <w:r w:rsidR="000B156B" w:rsidRPr="00BE6496">
        <w:rPr>
          <w:lang w:val="en-GB"/>
        </w:rPr>
        <w:t>tates</w:t>
      </w:r>
      <w:r w:rsidRPr="00BE6496">
        <w:rPr>
          <w:lang w:val="en-GB"/>
        </w:rPr>
        <w:t>.</w:t>
      </w:r>
    </w:p>
    <w:p w14:paraId="3604DD2C" w14:textId="27E70991" w:rsidR="009C1954" w:rsidRPr="00D53084" w:rsidRDefault="000B156B" w:rsidP="009C1954">
      <w:pPr>
        <w:pStyle w:val="BodyTextMain"/>
        <w:rPr>
          <w:lang w:val="en-GB"/>
        </w:rPr>
      </w:pPr>
      <w:r w:rsidRPr="00D53084">
        <w:rPr>
          <w:lang w:val="en-GB"/>
        </w:rPr>
        <w:lastRenderedPageBreak/>
        <w:t>Shenzhou International’s</w:t>
      </w:r>
      <w:r w:rsidR="009C1954" w:rsidRPr="00D53084">
        <w:rPr>
          <w:lang w:val="en-GB"/>
        </w:rPr>
        <w:t xml:space="preserve"> factories in Vietnam and Cambodia </w:t>
      </w:r>
      <w:r w:rsidRPr="00D53084">
        <w:rPr>
          <w:lang w:val="en-GB"/>
        </w:rPr>
        <w:t xml:space="preserve">had </w:t>
      </w:r>
      <w:r w:rsidR="009C1954" w:rsidRPr="00D53084">
        <w:rPr>
          <w:lang w:val="en-GB"/>
        </w:rPr>
        <w:t>delivered a remarkable financial performance, contributing to the group’s responsiveness and competence. If Shenzhou International built a factory in the U</w:t>
      </w:r>
      <w:r w:rsidRPr="00D53084">
        <w:rPr>
          <w:lang w:val="en-GB"/>
        </w:rPr>
        <w:t xml:space="preserve">nited </w:t>
      </w:r>
      <w:r w:rsidR="009C1954" w:rsidRPr="00D53084">
        <w:rPr>
          <w:lang w:val="en-GB"/>
        </w:rPr>
        <w:t>S</w:t>
      </w:r>
      <w:r w:rsidRPr="00D53084">
        <w:rPr>
          <w:lang w:val="en-GB"/>
        </w:rPr>
        <w:t>tates</w:t>
      </w:r>
      <w:r w:rsidR="009C1954" w:rsidRPr="00D53084">
        <w:rPr>
          <w:lang w:val="en-GB"/>
        </w:rPr>
        <w:t xml:space="preserve">, the vast market and enormous reputation of </w:t>
      </w:r>
      <w:r w:rsidR="00631C91">
        <w:rPr>
          <w:lang w:val="en-GB"/>
        </w:rPr>
        <w:t>US</w:t>
      </w:r>
      <w:r w:rsidR="009C1954" w:rsidRPr="00D53084">
        <w:rPr>
          <w:lang w:val="en-GB"/>
        </w:rPr>
        <w:t xml:space="preserve"> manufacturing brands </w:t>
      </w:r>
      <w:r w:rsidR="00167578" w:rsidRPr="00D53084">
        <w:rPr>
          <w:lang w:val="en-GB"/>
        </w:rPr>
        <w:t>c</w:t>
      </w:r>
      <w:r w:rsidR="009C1954" w:rsidRPr="00D53084">
        <w:rPr>
          <w:lang w:val="en-GB"/>
        </w:rPr>
        <w:t xml:space="preserve">ould bring the group immeasurable opportunities. </w:t>
      </w:r>
      <w:r w:rsidR="001039B3" w:rsidRPr="00D53084">
        <w:rPr>
          <w:lang w:val="en-GB"/>
        </w:rPr>
        <w:t>T</w:t>
      </w:r>
      <w:r w:rsidR="009C1954" w:rsidRPr="00D53084">
        <w:rPr>
          <w:lang w:val="en-GB"/>
        </w:rPr>
        <w:t>he group</w:t>
      </w:r>
      <w:r w:rsidR="001039B3" w:rsidRPr="00D53084">
        <w:rPr>
          <w:lang w:val="en-GB"/>
        </w:rPr>
        <w:t xml:space="preserve"> had to determine</w:t>
      </w:r>
      <w:r w:rsidR="009C1954" w:rsidRPr="00D53084">
        <w:rPr>
          <w:lang w:val="en-GB"/>
        </w:rPr>
        <w:t xml:space="preserve"> whether to establish a factory</w:t>
      </w:r>
      <w:r w:rsidR="00167578" w:rsidRPr="00D53084">
        <w:rPr>
          <w:lang w:val="en-GB"/>
        </w:rPr>
        <w:t xml:space="preserve"> in the United States</w:t>
      </w:r>
      <w:r w:rsidR="009C1954" w:rsidRPr="00D53084">
        <w:rPr>
          <w:lang w:val="en-GB"/>
        </w:rPr>
        <w:t xml:space="preserve"> as part of its strategic map and how to position </w:t>
      </w:r>
      <w:r w:rsidR="00167578" w:rsidRPr="00D53084">
        <w:rPr>
          <w:lang w:val="en-GB"/>
        </w:rPr>
        <w:t>it</w:t>
      </w:r>
      <w:r w:rsidR="009C1954" w:rsidRPr="00D53084">
        <w:rPr>
          <w:lang w:val="en-GB"/>
        </w:rPr>
        <w:t>.</w:t>
      </w:r>
    </w:p>
    <w:p w14:paraId="73A5A1A5" w14:textId="77777777" w:rsidR="009C1954" w:rsidRPr="00D53084" w:rsidRDefault="009C1954" w:rsidP="009C1954">
      <w:pPr>
        <w:pStyle w:val="BodyTextMain"/>
        <w:rPr>
          <w:sz w:val="20"/>
          <w:lang w:val="en-GB"/>
        </w:rPr>
      </w:pPr>
    </w:p>
    <w:p w14:paraId="34372DC7" w14:textId="77777777" w:rsidR="009C1954" w:rsidRPr="00D53084" w:rsidRDefault="009C1954" w:rsidP="009C1954">
      <w:pPr>
        <w:pStyle w:val="BodyTextMain"/>
        <w:rPr>
          <w:sz w:val="20"/>
          <w:lang w:val="en-GB"/>
        </w:rPr>
      </w:pPr>
    </w:p>
    <w:p w14:paraId="43E4086E" w14:textId="71C3AADA" w:rsidR="009C1954" w:rsidRPr="00D53084" w:rsidRDefault="009C1954" w:rsidP="009C1954">
      <w:pPr>
        <w:pStyle w:val="Casehead1"/>
        <w:rPr>
          <w:lang w:val="en-GB"/>
        </w:rPr>
      </w:pPr>
      <w:r w:rsidRPr="00D53084">
        <w:rPr>
          <w:lang w:val="en-GB"/>
        </w:rPr>
        <w:t>Shenzhou International</w:t>
      </w:r>
      <w:r w:rsidR="000E5D1D" w:rsidRPr="00D53084">
        <w:rPr>
          <w:lang w:val="en-GB"/>
        </w:rPr>
        <w:t xml:space="preserve"> early development</w:t>
      </w:r>
    </w:p>
    <w:p w14:paraId="1E243556" w14:textId="77777777" w:rsidR="009C1954" w:rsidRPr="00D53084" w:rsidRDefault="009C1954" w:rsidP="009C1954">
      <w:pPr>
        <w:pStyle w:val="BodyTextMain"/>
        <w:rPr>
          <w:sz w:val="20"/>
          <w:lang w:val="en-GB"/>
        </w:rPr>
      </w:pPr>
    </w:p>
    <w:p w14:paraId="6E1EE1C1" w14:textId="3399E6CF" w:rsidR="009C1954" w:rsidRPr="00D53084" w:rsidRDefault="009C1954" w:rsidP="009C1954">
      <w:pPr>
        <w:pStyle w:val="BodyTextMain"/>
        <w:rPr>
          <w:spacing w:val="-2"/>
          <w:lang w:val="en-GB"/>
        </w:rPr>
      </w:pPr>
      <w:r w:rsidRPr="00D53084">
        <w:rPr>
          <w:spacing w:val="-2"/>
          <w:lang w:val="en-GB"/>
        </w:rPr>
        <w:t>Shenzhou International</w:t>
      </w:r>
      <w:r w:rsidR="001039B3" w:rsidRPr="00D53084">
        <w:rPr>
          <w:spacing w:val="-2"/>
          <w:lang w:val="en-GB"/>
        </w:rPr>
        <w:t>’s predecessor</w:t>
      </w:r>
      <w:r w:rsidRPr="00D53084">
        <w:rPr>
          <w:spacing w:val="-2"/>
          <w:lang w:val="en-GB"/>
        </w:rPr>
        <w:t xml:space="preserve"> was Shenzhou Knitting Co., Ltd</w:t>
      </w:r>
      <w:r w:rsidR="001039B3" w:rsidRPr="00D53084">
        <w:rPr>
          <w:spacing w:val="-2"/>
          <w:lang w:val="en-GB"/>
        </w:rPr>
        <w:t>. (Shenzhou Knitting)</w:t>
      </w:r>
      <w:r w:rsidRPr="00D53084">
        <w:rPr>
          <w:spacing w:val="-2"/>
          <w:lang w:val="en-GB"/>
        </w:rPr>
        <w:t xml:space="preserve">, founded by </w:t>
      </w:r>
      <w:proofErr w:type="spellStart"/>
      <w:r w:rsidRPr="00D53084">
        <w:rPr>
          <w:spacing w:val="-2"/>
          <w:lang w:val="en-GB"/>
        </w:rPr>
        <w:t>Baoxing</w:t>
      </w:r>
      <w:proofErr w:type="spellEnd"/>
      <w:r w:rsidRPr="00D53084">
        <w:rPr>
          <w:spacing w:val="-2"/>
          <w:lang w:val="en-GB"/>
        </w:rPr>
        <w:t xml:space="preserve"> Ma, who had acted as </w:t>
      </w:r>
      <w:r w:rsidR="001039B3" w:rsidRPr="00D53084">
        <w:rPr>
          <w:spacing w:val="-2"/>
          <w:lang w:val="en-GB"/>
        </w:rPr>
        <w:t>d</w:t>
      </w:r>
      <w:r w:rsidRPr="00D53084">
        <w:rPr>
          <w:spacing w:val="-2"/>
          <w:lang w:val="en-GB"/>
        </w:rPr>
        <w:t xml:space="preserve">eputy </w:t>
      </w:r>
      <w:r w:rsidR="001039B3" w:rsidRPr="00D53084">
        <w:rPr>
          <w:spacing w:val="-2"/>
          <w:lang w:val="en-GB"/>
        </w:rPr>
        <w:t>m</w:t>
      </w:r>
      <w:r w:rsidRPr="00D53084">
        <w:rPr>
          <w:spacing w:val="-2"/>
          <w:lang w:val="en-GB"/>
        </w:rPr>
        <w:t xml:space="preserve">anager of Technology at Shanghai No.20 Knitting Factory, the largest knitting mill in Shanghai in the 1970s. On March 28, 1990, </w:t>
      </w:r>
      <w:proofErr w:type="spellStart"/>
      <w:r w:rsidRPr="00D53084">
        <w:rPr>
          <w:spacing w:val="-2"/>
          <w:lang w:val="en-GB"/>
        </w:rPr>
        <w:t>Baoxing</w:t>
      </w:r>
      <w:proofErr w:type="spellEnd"/>
      <w:r w:rsidRPr="00D53084">
        <w:rPr>
          <w:spacing w:val="-2"/>
          <w:lang w:val="en-GB"/>
        </w:rPr>
        <w:t xml:space="preserve"> Ma was brought as a top management talent into Shenzhou Knitting, a joint</w:t>
      </w:r>
      <w:r w:rsidR="001039B3" w:rsidRPr="00D53084">
        <w:rPr>
          <w:spacing w:val="-2"/>
          <w:lang w:val="en-GB"/>
        </w:rPr>
        <w:t xml:space="preserve"> </w:t>
      </w:r>
      <w:r w:rsidRPr="00D53084">
        <w:rPr>
          <w:spacing w:val="-2"/>
          <w:lang w:val="en-GB"/>
        </w:rPr>
        <w:t xml:space="preserve">venture set up by Shanghai No.20 Knitting Factory, Ningbo </w:t>
      </w:r>
      <w:proofErr w:type="spellStart"/>
      <w:r w:rsidRPr="00D53084">
        <w:rPr>
          <w:spacing w:val="-2"/>
          <w:lang w:val="en-GB"/>
        </w:rPr>
        <w:t>Beilun</w:t>
      </w:r>
      <w:proofErr w:type="spellEnd"/>
      <w:r w:rsidRPr="00D53084">
        <w:rPr>
          <w:spacing w:val="-2"/>
          <w:lang w:val="en-GB"/>
        </w:rPr>
        <w:t xml:space="preserve"> Foreign Economic Services Co., Ltd., and a </w:t>
      </w:r>
      <w:r w:rsidR="00631C91">
        <w:rPr>
          <w:spacing w:val="-2"/>
          <w:lang w:val="en-GB"/>
        </w:rPr>
        <w:t>US</w:t>
      </w:r>
      <w:r w:rsidRPr="00D53084">
        <w:rPr>
          <w:spacing w:val="-2"/>
          <w:lang w:val="en-GB"/>
        </w:rPr>
        <w:t xml:space="preserve"> investment company. While concentrating on workshop construction and equipment purchas</w:t>
      </w:r>
      <w:r w:rsidR="001039B3" w:rsidRPr="00D53084">
        <w:rPr>
          <w:spacing w:val="-2"/>
          <w:lang w:val="en-GB"/>
        </w:rPr>
        <w:t>ing</w:t>
      </w:r>
      <w:r w:rsidRPr="00D53084">
        <w:rPr>
          <w:spacing w:val="-2"/>
          <w:lang w:val="en-GB"/>
        </w:rPr>
        <w:t xml:space="preserve">, </w:t>
      </w:r>
      <w:proofErr w:type="spellStart"/>
      <w:r w:rsidRPr="00D53084">
        <w:rPr>
          <w:spacing w:val="-2"/>
          <w:lang w:val="en-GB"/>
        </w:rPr>
        <w:t>Baoxing</w:t>
      </w:r>
      <w:proofErr w:type="spellEnd"/>
      <w:r w:rsidRPr="00D53084">
        <w:rPr>
          <w:spacing w:val="-2"/>
          <w:lang w:val="en-GB"/>
        </w:rPr>
        <w:t xml:space="preserve"> Ma set his sights on the Japanese baby clothes market. Shenzhou Knitting received </w:t>
      </w:r>
      <w:r w:rsidR="001039B3" w:rsidRPr="00D53084">
        <w:rPr>
          <w:spacing w:val="-2"/>
          <w:lang w:val="en-GB"/>
        </w:rPr>
        <w:t>its</w:t>
      </w:r>
      <w:r w:rsidRPr="00D53084">
        <w:rPr>
          <w:spacing w:val="-2"/>
          <w:lang w:val="en-GB"/>
        </w:rPr>
        <w:t xml:space="preserve"> first order </w:t>
      </w:r>
      <w:r w:rsidR="00290D08" w:rsidRPr="00D53084">
        <w:rPr>
          <w:spacing w:val="-2"/>
          <w:lang w:val="en-GB"/>
        </w:rPr>
        <w:t xml:space="preserve">for baby clothes </w:t>
      </w:r>
      <w:r w:rsidRPr="00D53084">
        <w:rPr>
          <w:spacing w:val="-2"/>
          <w:lang w:val="en-GB"/>
        </w:rPr>
        <w:t>from Japan-based Yagi Tsusho, which w</w:t>
      </w:r>
      <w:r w:rsidR="001039B3" w:rsidRPr="00D53084">
        <w:rPr>
          <w:spacing w:val="-2"/>
          <w:lang w:val="en-GB"/>
        </w:rPr>
        <w:t>as</w:t>
      </w:r>
      <w:r w:rsidRPr="00D53084">
        <w:rPr>
          <w:spacing w:val="-2"/>
          <w:lang w:val="en-GB"/>
        </w:rPr>
        <w:t xml:space="preserve"> demanding in terms of fabrics, processing, and </w:t>
      </w:r>
      <w:r w:rsidR="00290D08" w:rsidRPr="00D53084">
        <w:rPr>
          <w:spacing w:val="-2"/>
          <w:lang w:val="en-GB"/>
        </w:rPr>
        <w:t xml:space="preserve">the </w:t>
      </w:r>
      <w:r w:rsidRPr="00D53084">
        <w:rPr>
          <w:spacing w:val="-2"/>
          <w:lang w:val="en-GB"/>
        </w:rPr>
        <w:t xml:space="preserve">production cycle. With a never-say-die attitude, </w:t>
      </w:r>
      <w:proofErr w:type="spellStart"/>
      <w:r w:rsidRPr="00D53084">
        <w:rPr>
          <w:spacing w:val="-2"/>
          <w:lang w:val="en-GB"/>
        </w:rPr>
        <w:t>Baoxing</w:t>
      </w:r>
      <w:proofErr w:type="spellEnd"/>
      <w:r w:rsidRPr="00D53084">
        <w:rPr>
          <w:spacing w:val="-2"/>
          <w:lang w:val="en-GB"/>
        </w:rPr>
        <w:t xml:space="preserve"> Ma stepped up employee training and internal management</w:t>
      </w:r>
      <w:r w:rsidR="00290D08" w:rsidRPr="00D53084">
        <w:rPr>
          <w:spacing w:val="-2"/>
          <w:lang w:val="en-GB"/>
        </w:rPr>
        <w:t>, and</w:t>
      </w:r>
      <w:r w:rsidRPr="00D53084">
        <w:rPr>
          <w:spacing w:val="-2"/>
          <w:lang w:val="en-GB"/>
        </w:rPr>
        <w:t xml:space="preserve"> </w:t>
      </w:r>
      <w:r w:rsidR="00290D08" w:rsidRPr="00D53084">
        <w:rPr>
          <w:spacing w:val="-2"/>
          <w:lang w:val="en-GB"/>
        </w:rPr>
        <w:t>i</w:t>
      </w:r>
      <w:r w:rsidRPr="00D53084">
        <w:rPr>
          <w:spacing w:val="-2"/>
          <w:lang w:val="en-GB"/>
        </w:rPr>
        <w:t xml:space="preserve">n the end, the company filled the order on schedule. In </w:t>
      </w:r>
      <w:r w:rsidR="00290D08" w:rsidRPr="00D53084">
        <w:rPr>
          <w:spacing w:val="-2"/>
          <w:lang w:val="en-GB"/>
        </w:rPr>
        <w:t>its</w:t>
      </w:r>
      <w:r w:rsidRPr="00D53084">
        <w:rPr>
          <w:spacing w:val="-2"/>
          <w:lang w:val="en-GB"/>
        </w:rPr>
        <w:t xml:space="preserve"> very </w:t>
      </w:r>
      <w:r w:rsidR="00290D08" w:rsidRPr="00D53084">
        <w:rPr>
          <w:spacing w:val="-2"/>
          <w:lang w:val="en-GB"/>
        </w:rPr>
        <w:t xml:space="preserve">first </w:t>
      </w:r>
      <w:r w:rsidRPr="00D53084">
        <w:rPr>
          <w:spacing w:val="-2"/>
          <w:lang w:val="en-GB"/>
        </w:rPr>
        <w:t xml:space="preserve">year, </w:t>
      </w:r>
      <w:r w:rsidR="00290D08" w:rsidRPr="00D53084">
        <w:rPr>
          <w:spacing w:val="-2"/>
          <w:lang w:val="en-GB"/>
        </w:rPr>
        <w:t>Shenzhou Knitting made</w:t>
      </w:r>
      <w:r w:rsidRPr="00D53084">
        <w:rPr>
          <w:spacing w:val="-2"/>
          <w:lang w:val="en-GB"/>
        </w:rPr>
        <w:t xml:space="preserve"> ¥15.06</w:t>
      </w:r>
      <w:r w:rsidR="00290D08" w:rsidRPr="00D53084">
        <w:rPr>
          <w:spacing w:val="-2"/>
          <w:lang w:val="en-GB"/>
        </w:rPr>
        <w:t xml:space="preserve"> million</w:t>
      </w:r>
      <w:r w:rsidRPr="00D53084">
        <w:rPr>
          <w:rStyle w:val="EndnoteReference"/>
          <w:spacing w:val="-2"/>
          <w:lang w:val="en-GB"/>
        </w:rPr>
        <w:endnoteReference w:id="6"/>
      </w:r>
      <w:r w:rsidRPr="00D53084">
        <w:rPr>
          <w:spacing w:val="-2"/>
          <w:lang w:val="en-GB"/>
        </w:rPr>
        <w:t xml:space="preserve"> in sales and ¥100,000 in profit.</w:t>
      </w:r>
    </w:p>
    <w:p w14:paraId="31C7AE30" w14:textId="77777777" w:rsidR="009C1954" w:rsidRPr="00D53084" w:rsidRDefault="009C1954" w:rsidP="009C1954">
      <w:pPr>
        <w:pStyle w:val="BodyTextMain"/>
        <w:rPr>
          <w:sz w:val="20"/>
          <w:lang w:val="en-GB"/>
        </w:rPr>
      </w:pPr>
    </w:p>
    <w:p w14:paraId="547231B1" w14:textId="6B03BF43" w:rsidR="009C1954" w:rsidRPr="00D53084" w:rsidRDefault="009C1954" w:rsidP="009C1954">
      <w:pPr>
        <w:pStyle w:val="BodyTextMain"/>
        <w:rPr>
          <w:lang w:val="en-GB"/>
        </w:rPr>
      </w:pPr>
      <w:r w:rsidRPr="00D53084">
        <w:rPr>
          <w:lang w:val="en-GB"/>
        </w:rPr>
        <w:t>As a nascent small Chinese company, Shenzhou Knitting delivered products that measured up to Japanese standards for prices, quality</w:t>
      </w:r>
      <w:r w:rsidR="00290D08" w:rsidRPr="00D53084">
        <w:rPr>
          <w:lang w:val="en-GB"/>
        </w:rPr>
        <w:t>,</w:t>
      </w:r>
      <w:r w:rsidRPr="00D53084">
        <w:rPr>
          <w:lang w:val="en-GB"/>
        </w:rPr>
        <w:t xml:space="preserve"> and lead time, </w:t>
      </w:r>
      <w:r w:rsidR="00290D08" w:rsidRPr="00D53084">
        <w:rPr>
          <w:lang w:val="en-GB"/>
        </w:rPr>
        <w:t>causing</w:t>
      </w:r>
      <w:r w:rsidRPr="00D53084">
        <w:rPr>
          <w:lang w:val="en-GB"/>
        </w:rPr>
        <w:t xml:space="preserve"> quite a stir in the local market. Local media coverage provided a springboard for Shenzhou Knitting to receive more client orders. Soon, Shenzhou Knitting established partnerships with a dozen large corporate clients </w:t>
      </w:r>
      <w:r w:rsidR="00770F99" w:rsidRPr="00D53084">
        <w:rPr>
          <w:lang w:val="en-GB"/>
        </w:rPr>
        <w:t>including</w:t>
      </w:r>
      <w:r w:rsidRPr="00D53084">
        <w:rPr>
          <w:lang w:val="en-GB"/>
        </w:rPr>
        <w:t xml:space="preserve"> Mitsubishi</w:t>
      </w:r>
      <w:r w:rsidR="00290D08" w:rsidRPr="00D53084">
        <w:rPr>
          <w:lang w:val="en-GB"/>
        </w:rPr>
        <w:t xml:space="preserve"> Corporation;</w:t>
      </w:r>
      <w:r w:rsidRPr="00D53084">
        <w:rPr>
          <w:lang w:val="en-GB"/>
        </w:rPr>
        <w:t xml:space="preserve"> Mitsui</w:t>
      </w:r>
      <w:r w:rsidR="00290D08" w:rsidRPr="00D53084">
        <w:rPr>
          <w:lang w:val="en-GB"/>
        </w:rPr>
        <w:t xml:space="preserve"> &amp; Co., Ltd.;</w:t>
      </w:r>
      <w:r w:rsidRPr="00D53084">
        <w:rPr>
          <w:lang w:val="en-GB"/>
        </w:rPr>
        <w:t xml:space="preserve"> and Cecile</w:t>
      </w:r>
      <w:r w:rsidR="00290D08" w:rsidRPr="00D53084">
        <w:rPr>
          <w:lang w:val="en-GB"/>
        </w:rPr>
        <w:t xml:space="preserve"> Co., Ltd</w:t>
      </w:r>
      <w:r w:rsidRPr="00D53084">
        <w:rPr>
          <w:lang w:val="en-GB"/>
        </w:rPr>
        <w:t>. By 1996, the company had earned ¥250</w:t>
      </w:r>
      <w:r w:rsidR="00290D08" w:rsidRPr="00D53084">
        <w:rPr>
          <w:lang w:val="en-GB"/>
        </w:rPr>
        <w:t xml:space="preserve"> million</w:t>
      </w:r>
      <w:r w:rsidRPr="00D53084">
        <w:rPr>
          <w:rStyle w:val="EndnoteReference"/>
          <w:lang w:val="en-GB"/>
        </w:rPr>
        <w:endnoteReference w:id="7"/>
      </w:r>
      <w:r w:rsidRPr="00D53084">
        <w:rPr>
          <w:lang w:val="en-GB"/>
        </w:rPr>
        <w:t xml:space="preserve"> in annual sales and ¥10.29 million in profit, with 2,300</w:t>
      </w:r>
      <w:r w:rsidR="009545D5">
        <w:rPr>
          <w:lang w:val="en-GB"/>
        </w:rPr>
        <w:t xml:space="preserve"> employees</w:t>
      </w:r>
      <w:r w:rsidRPr="00D53084">
        <w:rPr>
          <w:lang w:val="en-GB"/>
        </w:rPr>
        <w:t xml:space="preserve">. In the same year, </w:t>
      </w:r>
      <w:proofErr w:type="spellStart"/>
      <w:r w:rsidRPr="00D53084">
        <w:rPr>
          <w:lang w:val="en-GB"/>
        </w:rPr>
        <w:t>Baoxing</w:t>
      </w:r>
      <w:proofErr w:type="spellEnd"/>
      <w:r w:rsidRPr="00D53084">
        <w:rPr>
          <w:lang w:val="en-GB"/>
        </w:rPr>
        <w:t xml:space="preserve"> Ma handed over the company to his son, </w:t>
      </w:r>
      <w:proofErr w:type="spellStart"/>
      <w:r w:rsidRPr="00D53084">
        <w:rPr>
          <w:lang w:val="en-GB"/>
        </w:rPr>
        <w:t>Jianrong</w:t>
      </w:r>
      <w:proofErr w:type="spellEnd"/>
      <w:r w:rsidRPr="00D53084">
        <w:rPr>
          <w:lang w:val="en-GB"/>
        </w:rPr>
        <w:t xml:space="preserve"> Ma (hereafter referred to as Ma), </w:t>
      </w:r>
      <w:r w:rsidR="00290D08" w:rsidRPr="00D53084">
        <w:rPr>
          <w:lang w:val="en-GB"/>
        </w:rPr>
        <w:t>who was</w:t>
      </w:r>
      <w:r w:rsidRPr="00D53084">
        <w:rPr>
          <w:lang w:val="en-GB"/>
        </w:rPr>
        <w:t xml:space="preserve"> 33.</w:t>
      </w:r>
      <w:r w:rsidRPr="00D53084">
        <w:rPr>
          <w:rStyle w:val="EndnoteReference"/>
          <w:lang w:val="en-GB"/>
        </w:rPr>
        <w:endnoteReference w:id="8"/>
      </w:r>
    </w:p>
    <w:p w14:paraId="3BE92D5D" w14:textId="77777777" w:rsidR="009C1954" w:rsidRPr="00D53084" w:rsidRDefault="009C1954" w:rsidP="009C1954">
      <w:pPr>
        <w:pStyle w:val="BodyTextMain"/>
        <w:rPr>
          <w:sz w:val="20"/>
          <w:lang w:val="en-GB"/>
        </w:rPr>
      </w:pPr>
    </w:p>
    <w:p w14:paraId="7B7E2F5C" w14:textId="0C2F6011" w:rsidR="009C1954" w:rsidRPr="00D53084" w:rsidRDefault="009C1954" w:rsidP="009C1954">
      <w:pPr>
        <w:pStyle w:val="BodyTextMain"/>
        <w:rPr>
          <w:spacing w:val="-4"/>
          <w:lang w:val="en-GB"/>
        </w:rPr>
      </w:pPr>
      <w:r w:rsidRPr="00D53084">
        <w:rPr>
          <w:spacing w:val="-4"/>
          <w:lang w:val="en-GB"/>
        </w:rPr>
        <w:t xml:space="preserve">After </w:t>
      </w:r>
      <w:r w:rsidR="00290D08" w:rsidRPr="00D53084">
        <w:rPr>
          <w:spacing w:val="-4"/>
          <w:lang w:val="en-GB"/>
        </w:rPr>
        <w:t xml:space="preserve">his </w:t>
      </w:r>
      <w:r w:rsidRPr="00D53084">
        <w:rPr>
          <w:spacing w:val="-4"/>
          <w:lang w:val="en-GB"/>
        </w:rPr>
        <w:t>succession, Ma came up with the slogan “</w:t>
      </w:r>
      <w:r w:rsidR="00E7170C" w:rsidRPr="00D53084">
        <w:rPr>
          <w:spacing w:val="-4"/>
          <w:lang w:val="en-GB"/>
        </w:rPr>
        <w:t>D</w:t>
      </w:r>
      <w:r w:rsidRPr="00D53084">
        <w:rPr>
          <w:spacing w:val="-4"/>
          <w:lang w:val="en-GB"/>
        </w:rPr>
        <w:t>eveloping and manufacturing cutting-edge products</w:t>
      </w:r>
      <w:r w:rsidR="00290D08" w:rsidRPr="00D53084">
        <w:rPr>
          <w:spacing w:val="-4"/>
          <w:lang w:val="en-GB"/>
        </w:rPr>
        <w:t>.</w:t>
      </w:r>
      <w:r w:rsidRPr="00D53084">
        <w:rPr>
          <w:spacing w:val="-4"/>
          <w:lang w:val="en-GB"/>
        </w:rPr>
        <w:t xml:space="preserve">” Shenzhou </w:t>
      </w:r>
      <w:r w:rsidR="00A2574A" w:rsidRPr="00D53084">
        <w:rPr>
          <w:spacing w:val="-4"/>
          <w:lang w:val="en-GB"/>
        </w:rPr>
        <w:t>Knitting</w:t>
      </w:r>
      <w:r w:rsidRPr="00D53084">
        <w:rPr>
          <w:spacing w:val="-4"/>
          <w:lang w:val="en-GB"/>
        </w:rPr>
        <w:t xml:space="preserve"> spent ¥100</w:t>
      </w:r>
      <w:r w:rsidR="00BE6496">
        <w:rPr>
          <w:spacing w:val="-4"/>
          <w:lang w:val="en-GB"/>
        </w:rPr>
        <w:t xml:space="preserve"> million</w:t>
      </w:r>
      <w:r w:rsidR="00290D08" w:rsidRPr="00D53084">
        <w:rPr>
          <w:spacing w:val="-4"/>
          <w:lang w:val="en-GB"/>
        </w:rPr>
        <w:t>–</w:t>
      </w:r>
      <w:r w:rsidR="00BE6496" w:rsidRPr="00D53084">
        <w:rPr>
          <w:spacing w:val="-4"/>
          <w:lang w:val="en-GB"/>
        </w:rPr>
        <w:t>¥</w:t>
      </w:r>
      <w:r w:rsidRPr="00D53084">
        <w:rPr>
          <w:spacing w:val="-4"/>
          <w:lang w:val="en-GB"/>
        </w:rPr>
        <w:t xml:space="preserve">200 million purchasing pieces of </w:t>
      </w:r>
      <w:r w:rsidR="00290D08" w:rsidRPr="00D53084">
        <w:rPr>
          <w:spacing w:val="-4"/>
          <w:lang w:val="en-GB"/>
        </w:rPr>
        <w:t xml:space="preserve">advanced </w:t>
      </w:r>
      <w:r w:rsidRPr="00D53084">
        <w:rPr>
          <w:spacing w:val="-4"/>
          <w:lang w:val="en-GB"/>
        </w:rPr>
        <w:t>equipment from Germany, Italy</w:t>
      </w:r>
      <w:r w:rsidR="00290D08" w:rsidRPr="00D53084">
        <w:rPr>
          <w:spacing w:val="-4"/>
          <w:lang w:val="en-GB"/>
        </w:rPr>
        <w:t>,</w:t>
      </w:r>
      <w:r w:rsidRPr="00D53084">
        <w:rPr>
          <w:spacing w:val="-4"/>
          <w:lang w:val="en-GB"/>
        </w:rPr>
        <w:t xml:space="preserve"> and Japan </w:t>
      </w:r>
      <w:r w:rsidR="00770F99" w:rsidRPr="00D53084">
        <w:rPr>
          <w:spacing w:val="-4"/>
          <w:lang w:val="en-GB"/>
        </w:rPr>
        <w:t>every year</w:t>
      </w:r>
      <w:r w:rsidRPr="00D53084">
        <w:rPr>
          <w:spacing w:val="-4"/>
          <w:lang w:val="en-GB"/>
        </w:rPr>
        <w:t xml:space="preserve"> to phase out backward </w:t>
      </w:r>
      <w:r w:rsidR="00770F99" w:rsidRPr="00D53084">
        <w:rPr>
          <w:spacing w:val="-4"/>
          <w:lang w:val="en-GB"/>
        </w:rPr>
        <w:t>equipment</w:t>
      </w:r>
      <w:r w:rsidRPr="00D53084">
        <w:rPr>
          <w:spacing w:val="-4"/>
          <w:lang w:val="en-GB"/>
        </w:rPr>
        <w:t>, re</w:t>
      </w:r>
      <w:r w:rsidR="00770F99" w:rsidRPr="00D53084">
        <w:rPr>
          <w:spacing w:val="-4"/>
          <w:lang w:val="en-GB"/>
        </w:rPr>
        <w:t>-</w:t>
      </w:r>
      <w:r w:rsidRPr="00D53084">
        <w:rPr>
          <w:spacing w:val="-4"/>
          <w:lang w:val="en-GB"/>
        </w:rPr>
        <w:t>mo</w:t>
      </w:r>
      <w:r w:rsidR="00770F99" w:rsidRPr="00D53084">
        <w:rPr>
          <w:spacing w:val="-4"/>
          <w:lang w:val="en-GB"/>
        </w:rPr>
        <w:t>u</w:t>
      </w:r>
      <w:r w:rsidRPr="00D53084">
        <w:rPr>
          <w:spacing w:val="-4"/>
          <w:lang w:val="en-GB"/>
        </w:rPr>
        <w:t xml:space="preserve">lding the technical processes. </w:t>
      </w:r>
      <w:r w:rsidR="008F27FC" w:rsidRPr="00D53084">
        <w:rPr>
          <w:rFonts w:eastAsiaTheme="minorEastAsia"/>
          <w:spacing w:val="-4"/>
          <w:lang w:val="en-GB" w:eastAsia="zh-CN"/>
        </w:rPr>
        <w:t xml:space="preserve"> By 1998, </w:t>
      </w:r>
      <w:r w:rsidRPr="00D53084">
        <w:rPr>
          <w:spacing w:val="-4"/>
          <w:lang w:val="en-GB"/>
        </w:rPr>
        <w:t>the company put in place a complete set of efficient and flexible operations mechanisms, which was applauded by clients for reducing the lead time</w:t>
      </w:r>
      <w:r w:rsidR="0048217A" w:rsidRPr="00D53084">
        <w:rPr>
          <w:spacing w:val="-4"/>
          <w:lang w:val="en-GB"/>
        </w:rPr>
        <w:t>—</w:t>
      </w:r>
      <w:r w:rsidRPr="00D53084">
        <w:rPr>
          <w:spacing w:val="-4"/>
          <w:lang w:val="en-GB"/>
        </w:rPr>
        <w:t xml:space="preserve">from placing an order to purchasing raw materials </w:t>
      </w:r>
      <w:r w:rsidR="00770F99" w:rsidRPr="00D53084">
        <w:rPr>
          <w:spacing w:val="-4"/>
          <w:lang w:val="en-GB"/>
        </w:rPr>
        <w:t>to</w:t>
      </w:r>
      <w:r w:rsidRPr="00D53084">
        <w:rPr>
          <w:spacing w:val="-4"/>
          <w:lang w:val="en-GB"/>
        </w:rPr>
        <w:t xml:space="preserve"> dyeing and knitting. </w:t>
      </w:r>
    </w:p>
    <w:p w14:paraId="32EBCFD0" w14:textId="77777777" w:rsidR="009C1954" w:rsidRPr="00D53084" w:rsidRDefault="009C1954" w:rsidP="009C1954">
      <w:pPr>
        <w:pStyle w:val="BodyTextMain"/>
        <w:rPr>
          <w:sz w:val="20"/>
          <w:lang w:val="en-GB"/>
        </w:rPr>
      </w:pPr>
    </w:p>
    <w:p w14:paraId="1B902DEA" w14:textId="3F872A0E" w:rsidR="009C1954" w:rsidRPr="00D53084" w:rsidRDefault="00735630" w:rsidP="009C1954">
      <w:pPr>
        <w:pStyle w:val="BodyTextMain"/>
        <w:rPr>
          <w:lang w:val="en-GB"/>
        </w:rPr>
      </w:pPr>
      <w:r>
        <w:rPr>
          <w:lang w:val="en-GB"/>
        </w:rPr>
        <w:t>By</w:t>
      </w:r>
      <w:r w:rsidR="0048217A" w:rsidRPr="00D53084">
        <w:rPr>
          <w:lang w:val="en-GB"/>
        </w:rPr>
        <w:t xml:space="preserve"> h</w:t>
      </w:r>
      <w:r w:rsidR="009C1954" w:rsidRPr="00D53084">
        <w:rPr>
          <w:lang w:val="en-GB"/>
        </w:rPr>
        <w:t>ono</w:t>
      </w:r>
      <w:r w:rsidR="0048217A" w:rsidRPr="00D53084">
        <w:rPr>
          <w:lang w:val="en-GB"/>
        </w:rPr>
        <w:t>u</w:t>
      </w:r>
      <w:r w:rsidR="009C1954" w:rsidRPr="00D53084">
        <w:rPr>
          <w:lang w:val="en-GB"/>
        </w:rPr>
        <w:t xml:space="preserve">ring its promise of fulfilling orders well and on time, Shenzhou </w:t>
      </w:r>
      <w:r w:rsidR="00A2574A" w:rsidRPr="00D53084">
        <w:rPr>
          <w:lang w:val="en-GB"/>
        </w:rPr>
        <w:t>Knitting</w:t>
      </w:r>
      <w:r w:rsidR="009C1954" w:rsidRPr="00D53084">
        <w:rPr>
          <w:lang w:val="en-GB"/>
        </w:rPr>
        <w:t xml:space="preserve"> attracted </w:t>
      </w:r>
      <w:r>
        <w:rPr>
          <w:lang w:val="en-GB"/>
        </w:rPr>
        <w:t>many</w:t>
      </w:r>
      <w:r w:rsidR="009C1954" w:rsidRPr="00D53084">
        <w:rPr>
          <w:lang w:val="en-GB"/>
        </w:rPr>
        <w:t xml:space="preserve"> Japanese clients. In 1999, </w:t>
      </w:r>
      <w:r>
        <w:rPr>
          <w:lang w:val="en-GB"/>
        </w:rPr>
        <w:t>i</w:t>
      </w:r>
      <w:r w:rsidR="009C1954" w:rsidRPr="00D53084">
        <w:rPr>
          <w:lang w:val="en-GB"/>
        </w:rPr>
        <w:t>t</w:t>
      </w:r>
      <w:r>
        <w:rPr>
          <w:lang w:val="en-GB"/>
        </w:rPr>
        <w:t>s</w:t>
      </w:r>
      <w:r w:rsidR="0048217A" w:rsidRPr="00D53084">
        <w:rPr>
          <w:lang w:val="en-GB"/>
        </w:rPr>
        <w:t xml:space="preserve"> </w:t>
      </w:r>
      <w:r w:rsidR="009C1954" w:rsidRPr="00D53084">
        <w:rPr>
          <w:lang w:val="en-GB"/>
        </w:rPr>
        <w:t xml:space="preserve">exports brought </w:t>
      </w:r>
      <w:r w:rsidR="0048217A" w:rsidRPr="00D53084">
        <w:rPr>
          <w:lang w:val="en-GB"/>
        </w:rPr>
        <w:t>in</w:t>
      </w:r>
      <w:r w:rsidR="009C1954" w:rsidRPr="00D53084">
        <w:rPr>
          <w:lang w:val="en-GB"/>
        </w:rPr>
        <w:t xml:space="preserve"> annual sales of US$76</w:t>
      </w:r>
      <w:r w:rsidR="0048217A" w:rsidRPr="00D53084">
        <w:rPr>
          <w:lang w:val="en-GB"/>
        </w:rPr>
        <w:t xml:space="preserve"> million</w:t>
      </w:r>
      <w:r w:rsidR="009C1954" w:rsidRPr="00D53084">
        <w:rPr>
          <w:rStyle w:val="EndnoteReference"/>
          <w:lang w:val="en-GB"/>
        </w:rPr>
        <w:endnoteReference w:id="9"/>
      </w:r>
      <w:r w:rsidR="009C1954" w:rsidRPr="00D53084">
        <w:rPr>
          <w:lang w:val="en-GB"/>
        </w:rPr>
        <w:t xml:space="preserve"> and total profits of ¥40.72 million.</w:t>
      </w:r>
      <w:r w:rsidR="009C1954" w:rsidRPr="00D53084">
        <w:rPr>
          <w:rStyle w:val="EndnoteReference"/>
          <w:lang w:val="en-GB"/>
        </w:rPr>
        <w:endnoteReference w:id="10"/>
      </w:r>
    </w:p>
    <w:p w14:paraId="053E2B33" w14:textId="77777777" w:rsidR="009C1954" w:rsidRPr="00D53084" w:rsidRDefault="009C1954" w:rsidP="009C1954">
      <w:pPr>
        <w:pStyle w:val="BodyTextMain"/>
        <w:rPr>
          <w:sz w:val="20"/>
          <w:lang w:val="en-GB"/>
        </w:rPr>
      </w:pPr>
    </w:p>
    <w:p w14:paraId="3D0BF80D" w14:textId="77777777" w:rsidR="009C1954" w:rsidRPr="00D53084" w:rsidRDefault="009C1954" w:rsidP="009C1954">
      <w:pPr>
        <w:pStyle w:val="BodyTextMain"/>
        <w:rPr>
          <w:sz w:val="20"/>
          <w:lang w:val="en-GB"/>
        </w:rPr>
      </w:pPr>
    </w:p>
    <w:p w14:paraId="0F37F13A" w14:textId="1FF3EC40" w:rsidR="009C1954" w:rsidRPr="00D53084" w:rsidRDefault="009C1954" w:rsidP="009C1954">
      <w:pPr>
        <w:pStyle w:val="Casehead1"/>
        <w:rPr>
          <w:lang w:val="en-GB"/>
        </w:rPr>
      </w:pPr>
      <w:r w:rsidRPr="00D53084">
        <w:rPr>
          <w:lang w:val="en-GB"/>
        </w:rPr>
        <w:t xml:space="preserve">“Riding </w:t>
      </w:r>
      <w:r w:rsidR="00764077">
        <w:rPr>
          <w:lang w:val="en-GB"/>
        </w:rPr>
        <w:t xml:space="preserve">on </w:t>
      </w:r>
      <w:r w:rsidR="006D01CF" w:rsidRPr="00D53084">
        <w:rPr>
          <w:lang w:val="en-GB"/>
        </w:rPr>
        <w:t xml:space="preserve">the </w:t>
      </w:r>
      <w:r w:rsidRPr="00D53084">
        <w:rPr>
          <w:lang w:val="en-GB"/>
        </w:rPr>
        <w:t>Coat</w:t>
      </w:r>
      <w:r w:rsidR="00764077">
        <w:rPr>
          <w:lang w:val="en-GB"/>
        </w:rPr>
        <w:t>-</w:t>
      </w:r>
      <w:r w:rsidRPr="00D53084">
        <w:rPr>
          <w:lang w:val="en-GB"/>
        </w:rPr>
        <w:t>tails”</w:t>
      </w:r>
    </w:p>
    <w:p w14:paraId="702E0420" w14:textId="77777777" w:rsidR="009C1954" w:rsidRPr="00D53084" w:rsidRDefault="009C1954" w:rsidP="009C1954">
      <w:pPr>
        <w:pStyle w:val="BodyTextMain"/>
        <w:rPr>
          <w:sz w:val="20"/>
          <w:lang w:val="en-GB"/>
        </w:rPr>
      </w:pPr>
    </w:p>
    <w:p w14:paraId="30613976" w14:textId="0684B607" w:rsidR="009C1954" w:rsidRPr="00D53084" w:rsidRDefault="009C1954" w:rsidP="009C1954">
      <w:pPr>
        <w:pStyle w:val="BodyTextMain"/>
        <w:rPr>
          <w:spacing w:val="-2"/>
          <w:lang w:val="en-GB"/>
        </w:rPr>
      </w:pPr>
      <w:r w:rsidRPr="00D53084">
        <w:rPr>
          <w:spacing w:val="-2"/>
          <w:lang w:val="en-GB"/>
        </w:rPr>
        <w:t>Ma regarded the</w:t>
      </w:r>
      <w:r w:rsidR="006D01CF" w:rsidRPr="00D53084">
        <w:rPr>
          <w:spacing w:val="-2"/>
          <w:lang w:val="en-GB"/>
        </w:rPr>
        <w:t xml:space="preserve"> company’s</w:t>
      </w:r>
      <w:r w:rsidRPr="00D53084">
        <w:rPr>
          <w:spacing w:val="-2"/>
          <w:lang w:val="en-GB"/>
        </w:rPr>
        <w:t xml:space="preserve"> co</w:t>
      </w:r>
      <w:r w:rsidR="006D01CF" w:rsidRPr="00D53084">
        <w:rPr>
          <w:spacing w:val="-2"/>
          <w:lang w:val="en-GB"/>
        </w:rPr>
        <w:t>-</w:t>
      </w:r>
      <w:r w:rsidRPr="00D53084">
        <w:rPr>
          <w:spacing w:val="-2"/>
          <w:lang w:val="en-GB"/>
        </w:rPr>
        <w:t xml:space="preserve">operation with clients as </w:t>
      </w:r>
      <w:r w:rsidR="00BA52D0" w:rsidRPr="00D53084">
        <w:rPr>
          <w:spacing w:val="-2"/>
          <w:lang w:val="en-GB"/>
        </w:rPr>
        <w:t xml:space="preserve">an approach to </w:t>
      </w:r>
      <w:r w:rsidR="00BA52D0">
        <w:rPr>
          <w:spacing w:val="-2"/>
          <w:lang w:val="en-GB"/>
        </w:rPr>
        <w:t>“</w:t>
      </w:r>
      <w:r w:rsidR="00BA52D0" w:rsidRPr="00D53084">
        <w:rPr>
          <w:spacing w:val="-2"/>
          <w:lang w:val="en-GB"/>
        </w:rPr>
        <w:t xml:space="preserve">riding </w:t>
      </w:r>
      <w:r w:rsidR="00BA52D0">
        <w:rPr>
          <w:spacing w:val="-2"/>
          <w:lang w:val="en-GB"/>
        </w:rPr>
        <w:t xml:space="preserve">on </w:t>
      </w:r>
      <w:r w:rsidR="00BA52D0" w:rsidRPr="00D53084">
        <w:rPr>
          <w:spacing w:val="-2"/>
          <w:lang w:val="en-GB"/>
        </w:rPr>
        <w:t>the</w:t>
      </w:r>
      <w:r w:rsidR="00BA52D0">
        <w:rPr>
          <w:spacing w:val="-2"/>
          <w:lang w:val="en-GB"/>
        </w:rPr>
        <w:t>ir</w:t>
      </w:r>
      <w:r w:rsidR="00BA52D0" w:rsidRPr="00D53084">
        <w:rPr>
          <w:spacing w:val="-2"/>
          <w:lang w:val="en-GB"/>
        </w:rPr>
        <w:t xml:space="preserve"> coat</w:t>
      </w:r>
      <w:r w:rsidR="00BA52D0">
        <w:rPr>
          <w:spacing w:val="-2"/>
          <w:lang w:val="en-GB"/>
        </w:rPr>
        <w:t>-</w:t>
      </w:r>
      <w:r w:rsidR="00BA52D0" w:rsidRPr="00D53084">
        <w:rPr>
          <w:spacing w:val="-2"/>
          <w:lang w:val="en-GB"/>
        </w:rPr>
        <w:t>tails</w:t>
      </w:r>
      <w:r w:rsidR="00BA52D0">
        <w:rPr>
          <w:spacing w:val="-2"/>
          <w:lang w:val="en-GB"/>
        </w:rPr>
        <w:t>,” or benefitting from the success of others</w:t>
      </w:r>
      <w:r w:rsidRPr="00D53084">
        <w:rPr>
          <w:spacing w:val="-2"/>
          <w:lang w:val="en-GB"/>
        </w:rPr>
        <w:t>. He made a point of establishing partnerships with world-class companies. “In the very beginning, these top brand operators tend to impose onerous requirements according to their standards,” Ma said</w:t>
      </w:r>
      <w:r w:rsidR="006D01CF" w:rsidRPr="00D53084">
        <w:rPr>
          <w:spacing w:val="-2"/>
          <w:lang w:val="en-GB"/>
        </w:rPr>
        <w:t xml:space="preserve">. </w:t>
      </w:r>
      <w:r w:rsidRPr="00D53084">
        <w:rPr>
          <w:spacing w:val="-2"/>
          <w:lang w:val="en-GB"/>
        </w:rPr>
        <w:t>“But as long as you conform to their standards and conduct a strategic co</w:t>
      </w:r>
      <w:r w:rsidR="00EF7230" w:rsidRPr="00D53084">
        <w:rPr>
          <w:spacing w:val="-2"/>
          <w:lang w:val="en-GB"/>
        </w:rPr>
        <w:t>-</w:t>
      </w:r>
      <w:r w:rsidRPr="00D53084">
        <w:rPr>
          <w:spacing w:val="-2"/>
          <w:lang w:val="en-GB"/>
        </w:rPr>
        <w:t>operation with them in procurement, production</w:t>
      </w:r>
      <w:r w:rsidR="00EF7230" w:rsidRPr="00D53084">
        <w:rPr>
          <w:spacing w:val="-2"/>
          <w:lang w:val="en-GB"/>
        </w:rPr>
        <w:t>,</w:t>
      </w:r>
      <w:r w:rsidRPr="00D53084">
        <w:rPr>
          <w:spacing w:val="-2"/>
          <w:lang w:val="en-GB"/>
        </w:rPr>
        <w:t xml:space="preserve"> and logistics to build a community of common destiny, you’ll likely emerge as their long-term supplier.”</w:t>
      </w:r>
      <w:r w:rsidRPr="00D53084">
        <w:rPr>
          <w:rStyle w:val="EndnoteReference"/>
          <w:spacing w:val="-2"/>
          <w:lang w:val="en-GB"/>
        </w:rPr>
        <w:endnoteReference w:id="11"/>
      </w:r>
    </w:p>
    <w:p w14:paraId="1CE624D5" w14:textId="77777777" w:rsidR="009C1954" w:rsidRPr="00D53084" w:rsidRDefault="009C1954" w:rsidP="009C1954">
      <w:pPr>
        <w:pStyle w:val="BodyTextMain"/>
        <w:rPr>
          <w:sz w:val="20"/>
          <w:lang w:val="en-GB"/>
        </w:rPr>
      </w:pPr>
    </w:p>
    <w:p w14:paraId="441FC55D" w14:textId="2C47CF09" w:rsidR="009C1954" w:rsidRPr="00D53084" w:rsidRDefault="009C1954" w:rsidP="009C1954">
      <w:pPr>
        <w:pStyle w:val="BodyTextMain"/>
        <w:rPr>
          <w:lang w:val="en-GB"/>
        </w:rPr>
      </w:pPr>
      <w:r w:rsidRPr="00D53084">
        <w:rPr>
          <w:lang w:val="en-GB"/>
        </w:rPr>
        <w:t xml:space="preserve">The year 1997 marked a watershed for Shenzhou </w:t>
      </w:r>
      <w:r w:rsidR="00A2574A" w:rsidRPr="00D53084">
        <w:rPr>
          <w:lang w:val="en-GB"/>
        </w:rPr>
        <w:t>Knitting</w:t>
      </w:r>
      <w:r w:rsidRPr="00D53084">
        <w:rPr>
          <w:lang w:val="en-GB"/>
        </w:rPr>
        <w:t xml:space="preserve">. Ma remembered, “When I was doing business in Shanghai, a salesman called me and said a Japanese client inquired whether our circular looms were capable of producing 300,000 sweaters in one month. Yet considering that it was such a great challenge to </w:t>
      </w:r>
      <w:r w:rsidRPr="00D53084">
        <w:rPr>
          <w:lang w:val="en-GB"/>
        </w:rPr>
        <w:lastRenderedPageBreak/>
        <w:t xml:space="preserve">the company, the salesman gave him a flat refusal. Seeing a potential opportunity, however, I went back to Ningbo that evening to meet that client.” As a matter of fact, the client was seeking an apparel manufacturer for </w:t>
      </w:r>
      <w:proofErr w:type="spellStart"/>
      <w:r w:rsidRPr="00D53084">
        <w:rPr>
          <w:lang w:val="en-GB"/>
        </w:rPr>
        <w:t>Uniqlo</w:t>
      </w:r>
      <w:proofErr w:type="spellEnd"/>
      <w:r w:rsidRPr="00D53084">
        <w:rPr>
          <w:lang w:val="en-GB"/>
        </w:rPr>
        <w:t>, which</w:t>
      </w:r>
      <w:r w:rsidR="00EF7230" w:rsidRPr="00D53084">
        <w:rPr>
          <w:lang w:val="en-GB"/>
        </w:rPr>
        <w:t xml:space="preserve"> </w:t>
      </w:r>
      <w:r w:rsidRPr="00D53084">
        <w:rPr>
          <w:lang w:val="en-GB"/>
        </w:rPr>
        <w:t xml:space="preserve">used to place orders in Guangdong Province. </w:t>
      </w:r>
      <w:proofErr w:type="spellStart"/>
      <w:r w:rsidRPr="00D53084">
        <w:rPr>
          <w:lang w:val="en-GB"/>
        </w:rPr>
        <w:t>Uniqlo</w:t>
      </w:r>
      <w:proofErr w:type="spellEnd"/>
      <w:r w:rsidRPr="00D53084">
        <w:rPr>
          <w:lang w:val="en-GB"/>
        </w:rPr>
        <w:t xml:space="preserve"> had placed such </w:t>
      </w:r>
      <w:r w:rsidR="00EF7230" w:rsidRPr="00D53084">
        <w:rPr>
          <w:lang w:val="en-GB"/>
        </w:rPr>
        <w:t xml:space="preserve">an </w:t>
      </w:r>
      <w:r w:rsidRPr="00D53084">
        <w:rPr>
          <w:lang w:val="en-GB"/>
        </w:rPr>
        <w:t xml:space="preserve">order with a company in Ningbo through a </w:t>
      </w:r>
      <w:proofErr w:type="spellStart"/>
      <w:r w:rsidRPr="00D53084">
        <w:rPr>
          <w:lang w:val="en-GB"/>
        </w:rPr>
        <w:t>Ningbonese</w:t>
      </w:r>
      <w:proofErr w:type="spellEnd"/>
      <w:r w:rsidRPr="00D53084">
        <w:rPr>
          <w:lang w:val="en-GB"/>
        </w:rPr>
        <w:t xml:space="preserve"> merchant based in Hong Kong. The two sides </w:t>
      </w:r>
      <w:r w:rsidR="00EF7230" w:rsidRPr="00D53084">
        <w:rPr>
          <w:lang w:val="en-GB"/>
        </w:rPr>
        <w:t xml:space="preserve">had </w:t>
      </w:r>
      <w:r w:rsidRPr="00D53084">
        <w:rPr>
          <w:lang w:val="en-GB"/>
        </w:rPr>
        <w:t xml:space="preserve">agreed on </w:t>
      </w:r>
      <w:r w:rsidR="00EF7230" w:rsidRPr="00D53084">
        <w:rPr>
          <w:lang w:val="en-GB"/>
        </w:rPr>
        <w:t>a</w:t>
      </w:r>
      <w:r w:rsidRPr="00D53084">
        <w:rPr>
          <w:lang w:val="en-GB"/>
        </w:rPr>
        <w:t xml:space="preserve"> 90-day delivery. After 50 days, during his site inspection, the client found the products </w:t>
      </w:r>
      <w:r w:rsidR="00764077">
        <w:rPr>
          <w:lang w:val="en-GB"/>
        </w:rPr>
        <w:t>did not meet the required standard</w:t>
      </w:r>
      <w:r w:rsidRPr="00D53084">
        <w:rPr>
          <w:lang w:val="en-GB"/>
        </w:rPr>
        <w:t xml:space="preserve">. He had no choice but to </w:t>
      </w:r>
      <w:r w:rsidR="00735630">
        <w:rPr>
          <w:lang w:val="en-GB"/>
        </w:rPr>
        <w:t>look</w:t>
      </w:r>
      <w:r w:rsidRPr="00D53084">
        <w:rPr>
          <w:lang w:val="en-GB"/>
        </w:rPr>
        <w:t xml:space="preserve"> for another supplier, with limited time </w:t>
      </w:r>
      <w:r w:rsidR="00A60F22" w:rsidRPr="00D53084">
        <w:rPr>
          <w:lang w:val="en-GB"/>
        </w:rPr>
        <w:t>remaining</w:t>
      </w:r>
      <w:r w:rsidRPr="00D53084">
        <w:rPr>
          <w:lang w:val="en-GB"/>
        </w:rPr>
        <w:t xml:space="preserve">. He made a tentative inquiry to Shenzhen </w:t>
      </w:r>
      <w:r w:rsidR="00A2574A" w:rsidRPr="00D53084">
        <w:rPr>
          <w:lang w:val="en-GB"/>
        </w:rPr>
        <w:t>Knitting</w:t>
      </w:r>
      <w:r w:rsidRPr="00D53084">
        <w:rPr>
          <w:lang w:val="en-GB"/>
        </w:rPr>
        <w:t xml:space="preserve"> just to try his luck.</w:t>
      </w:r>
      <w:r w:rsidRPr="00D53084">
        <w:rPr>
          <w:rStyle w:val="EndnoteReference"/>
          <w:lang w:val="en-GB"/>
        </w:rPr>
        <w:endnoteReference w:id="12"/>
      </w:r>
      <w:r w:rsidRPr="00D53084">
        <w:rPr>
          <w:lang w:val="en-GB"/>
        </w:rPr>
        <w:t xml:space="preserve"> </w:t>
      </w:r>
    </w:p>
    <w:p w14:paraId="11E34D4A" w14:textId="77777777" w:rsidR="009C1954" w:rsidRPr="00D53084" w:rsidRDefault="009C1954" w:rsidP="009C1954">
      <w:pPr>
        <w:pStyle w:val="BodyTextMain"/>
        <w:rPr>
          <w:sz w:val="20"/>
          <w:lang w:val="en-GB"/>
        </w:rPr>
      </w:pPr>
    </w:p>
    <w:p w14:paraId="5818D4D1" w14:textId="00FCA88F" w:rsidR="009C1954" w:rsidRPr="00D53084" w:rsidRDefault="009C1954" w:rsidP="009C1954">
      <w:pPr>
        <w:pStyle w:val="BodyTextMain"/>
        <w:rPr>
          <w:lang w:val="en-GB"/>
        </w:rPr>
      </w:pPr>
      <w:r w:rsidRPr="00D53084">
        <w:rPr>
          <w:lang w:val="en-GB"/>
        </w:rPr>
        <w:t xml:space="preserve">Ma’s negotiations with </w:t>
      </w:r>
      <w:proofErr w:type="spellStart"/>
      <w:r w:rsidRPr="00D53084">
        <w:rPr>
          <w:lang w:val="en-GB"/>
        </w:rPr>
        <w:t>Uniqlo</w:t>
      </w:r>
      <w:proofErr w:type="spellEnd"/>
      <w:r w:rsidRPr="00D53084">
        <w:rPr>
          <w:lang w:val="en-GB"/>
        </w:rPr>
        <w:t xml:space="preserve"> on the co</w:t>
      </w:r>
      <w:r w:rsidR="00A60F22" w:rsidRPr="00D53084">
        <w:rPr>
          <w:lang w:val="en-GB"/>
        </w:rPr>
        <w:t>-</w:t>
      </w:r>
      <w:r w:rsidRPr="00D53084">
        <w:rPr>
          <w:lang w:val="en-GB"/>
        </w:rPr>
        <w:t xml:space="preserve">operation program ended at 2:30 a.m. the next day. At 5:00 a.m., </w:t>
      </w:r>
      <w:r w:rsidR="00A60F22" w:rsidRPr="00D53084">
        <w:rPr>
          <w:lang w:val="en-GB"/>
        </w:rPr>
        <w:t>Ma</w:t>
      </w:r>
      <w:r w:rsidRPr="00D53084">
        <w:rPr>
          <w:lang w:val="en-GB"/>
        </w:rPr>
        <w:t xml:space="preserve"> arrived at the hotel where the client</w:t>
      </w:r>
      <w:r w:rsidR="00A60F22" w:rsidRPr="00D53084">
        <w:rPr>
          <w:lang w:val="en-GB"/>
        </w:rPr>
        <w:t xml:space="preserve"> had</w:t>
      </w:r>
      <w:r w:rsidRPr="00D53084">
        <w:rPr>
          <w:lang w:val="en-GB"/>
        </w:rPr>
        <w:t xml:space="preserve"> stayed, and brought </w:t>
      </w:r>
      <w:r w:rsidR="00A60F22" w:rsidRPr="00D53084">
        <w:rPr>
          <w:lang w:val="en-GB"/>
        </w:rPr>
        <w:t>the client</w:t>
      </w:r>
      <w:r w:rsidRPr="00D53084">
        <w:rPr>
          <w:lang w:val="en-GB"/>
        </w:rPr>
        <w:t xml:space="preserve"> to the factory to show him around. Though a bit </w:t>
      </w:r>
      <w:proofErr w:type="spellStart"/>
      <w:r w:rsidRPr="00D53084">
        <w:rPr>
          <w:lang w:val="en-GB"/>
        </w:rPr>
        <w:t>skeptical</w:t>
      </w:r>
      <w:proofErr w:type="spellEnd"/>
      <w:r w:rsidRPr="00D53084">
        <w:rPr>
          <w:lang w:val="en-GB"/>
        </w:rPr>
        <w:t xml:space="preserve">, the client had no choice but to give the order to Ma. </w:t>
      </w:r>
      <w:r w:rsidR="00735630">
        <w:rPr>
          <w:lang w:val="en-GB"/>
        </w:rPr>
        <w:t>T</w:t>
      </w:r>
      <w:r w:rsidRPr="00D53084">
        <w:rPr>
          <w:lang w:val="en-GB"/>
        </w:rPr>
        <w:t xml:space="preserve">he following month, </w:t>
      </w:r>
      <w:r w:rsidR="00735630">
        <w:rPr>
          <w:lang w:val="en-GB"/>
        </w:rPr>
        <w:t xml:space="preserve">Ma’s workload was overwhelming, </w:t>
      </w:r>
      <w:r w:rsidR="00236F79" w:rsidRPr="00D53084">
        <w:rPr>
          <w:lang w:val="en-GB"/>
        </w:rPr>
        <w:t>but</w:t>
      </w:r>
      <w:r w:rsidRPr="00D53084">
        <w:rPr>
          <w:lang w:val="en-GB"/>
        </w:rPr>
        <w:t xml:space="preserve"> he finally </w:t>
      </w:r>
      <w:r w:rsidR="00236F79" w:rsidRPr="00D53084">
        <w:rPr>
          <w:lang w:val="en-GB"/>
        </w:rPr>
        <w:t>completed the order</w:t>
      </w:r>
      <w:r w:rsidRPr="00D53084">
        <w:rPr>
          <w:lang w:val="en-GB"/>
        </w:rPr>
        <w:t xml:space="preserve">. </w:t>
      </w:r>
      <w:r w:rsidR="00236F79" w:rsidRPr="00D53084">
        <w:rPr>
          <w:lang w:val="en-GB"/>
        </w:rPr>
        <w:t>Very</w:t>
      </w:r>
      <w:r w:rsidRPr="00D53084">
        <w:rPr>
          <w:lang w:val="en-GB"/>
        </w:rPr>
        <w:t xml:space="preserve"> satisfied with </w:t>
      </w:r>
      <w:r w:rsidR="00236F79" w:rsidRPr="00D53084">
        <w:rPr>
          <w:lang w:val="en-GB"/>
        </w:rPr>
        <w:t xml:space="preserve">the </w:t>
      </w:r>
      <w:r w:rsidRPr="00D53084">
        <w:rPr>
          <w:lang w:val="en-GB"/>
        </w:rPr>
        <w:t xml:space="preserve">order </w:t>
      </w:r>
      <w:proofErr w:type="spellStart"/>
      <w:r w:rsidRPr="00D53084">
        <w:rPr>
          <w:lang w:val="en-GB"/>
        </w:rPr>
        <w:t>fulfillment</w:t>
      </w:r>
      <w:proofErr w:type="spellEnd"/>
      <w:r w:rsidRPr="00D53084">
        <w:rPr>
          <w:lang w:val="en-GB"/>
        </w:rPr>
        <w:t xml:space="preserve">, </w:t>
      </w:r>
      <w:proofErr w:type="spellStart"/>
      <w:r w:rsidRPr="00D53084">
        <w:rPr>
          <w:lang w:val="en-GB"/>
        </w:rPr>
        <w:t>Uniqlo’s</w:t>
      </w:r>
      <w:proofErr w:type="spellEnd"/>
      <w:r w:rsidRPr="00D53084">
        <w:rPr>
          <w:lang w:val="en-GB"/>
        </w:rPr>
        <w:t xml:space="preserve"> </w:t>
      </w:r>
      <w:r w:rsidR="00BE6496">
        <w:rPr>
          <w:lang w:val="en-GB"/>
        </w:rPr>
        <w:t>p</w:t>
      </w:r>
      <w:r w:rsidRPr="00D53084">
        <w:rPr>
          <w:lang w:val="en-GB"/>
        </w:rPr>
        <w:t xml:space="preserve">roduction </w:t>
      </w:r>
      <w:r w:rsidR="00A60F22" w:rsidRPr="00D53084">
        <w:rPr>
          <w:lang w:val="en-GB"/>
        </w:rPr>
        <w:t>d</w:t>
      </w:r>
      <w:r w:rsidRPr="00D53084">
        <w:rPr>
          <w:lang w:val="en-GB"/>
        </w:rPr>
        <w:t>irector fl</w:t>
      </w:r>
      <w:r w:rsidR="00A60F22" w:rsidRPr="00D53084">
        <w:rPr>
          <w:lang w:val="en-GB"/>
        </w:rPr>
        <w:t>ew</w:t>
      </w:r>
      <w:r w:rsidRPr="00D53084">
        <w:rPr>
          <w:lang w:val="en-GB"/>
        </w:rPr>
        <w:t xml:space="preserve"> to China to invite Ma for </w:t>
      </w:r>
      <w:r w:rsidR="006559C0" w:rsidRPr="00D53084">
        <w:rPr>
          <w:lang w:val="en-GB"/>
        </w:rPr>
        <w:t xml:space="preserve">further </w:t>
      </w:r>
      <w:r w:rsidRPr="00D53084">
        <w:rPr>
          <w:lang w:val="en-GB"/>
        </w:rPr>
        <w:t>negotiations on co</w:t>
      </w:r>
      <w:r w:rsidR="00A60F22" w:rsidRPr="00D53084">
        <w:rPr>
          <w:lang w:val="en-GB"/>
        </w:rPr>
        <w:t>-</w:t>
      </w:r>
      <w:r w:rsidRPr="00D53084">
        <w:rPr>
          <w:lang w:val="en-GB"/>
        </w:rPr>
        <w:t>operation.</w:t>
      </w:r>
    </w:p>
    <w:p w14:paraId="4BA933F6" w14:textId="77777777" w:rsidR="009C1954" w:rsidRPr="00D53084" w:rsidRDefault="009C1954" w:rsidP="009C1954">
      <w:pPr>
        <w:pStyle w:val="BodyTextMain"/>
        <w:rPr>
          <w:sz w:val="20"/>
          <w:lang w:val="en-GB"/>
        </w:rPr>
      </w:pPr>
    </w:p>
    <w:p w14:paraId="353B3CA2" w14:textId="362050EF" w:rsidR="009C1954" w:rsidRPr="00D53084" w:rsidRDefault="009C1954" w:rsidP="009C1954">
      <w:pPr>
        <w:pStyle w:val="BodyTextMain"/>
        <w:rPr>
          <w:lang w:val="en-GB"/>
        </w:rPr>
      </w:pPr>
      <w:r w:rsidRPr="00D53084">
        <w:rPr>
          <w:lang w:val="en-GB"/>
        </w:rPr>
        <w:t xml:space="preserve">This was just a starting point for Shenzhou </w:t>
      </w:r>
      <w:r w:rsidR="00A2574A" w:rsidRPr="00D53084">
        <w:rPr>
          <w:lang w:val="en-GB"/>
        </w:rPr>
        <w:t>Knitting</w:t>
      </w:r>
      <w:r w:rsidRPr="00D53084">
        <w:rPr>
          <w:lang w:val="en-GB"/>
        </w:rPr>
        <w:t xml:space="preserve"> </w:t>
      </w:r>
      <w:r w:rsidR="003D1835" w:rsidRPr="00D53084">
        <w:rPr>
          <w:lang w:val="en-GB"/>
        </w:rPr>
        <w:t>in</w:t>
      </w:r>
      <w:r w:rsidRPr="00D53084">
        <w:rPr>
          <w:lang w:val="en-GB"/>
        </w:rPr>
        <w:t xml:space="preserve"> build</w:t>
      </w:r>
      <w:r w:rsidR="003D1835" w:rsidRPr="00D53084">
        <w:rPr>
          <w:lang w:val="en-GB"/>
        </w:rPr>
        <w:t>ing</w:t>
      </w:r>
      <w:r w:rsidRPr="00D53084">
        <w:rPr>
          <w:lang w:val="en-GB"/>
        </w:rPr>
        <w:t xml:space="preserve"> a long-term formal partnership with </w:t>
      </w:r>
      <w:proofErr w:type="spellStart"/>
      <w:r w:rsidRPr="00D53084">
        <w:rPr>
          <w:lang w:val="en-GB"/>
        </w:rPr>
        <w:t>Uniqlo</w:t>
      </w:r>
      <w:proofErr w:type="spellEnd"/>
      <w:r w:rsidRPr="00D53084">
        <w:rPr>
          <w:lang w:val="en-GB"/>
        </w:rPr>
        <w:t xml:space="preserve"> and other international brands such as Nike and Adidas. </w:t>
      </w:r>
      <w:r w:rsidR="003D1835" w:rsidRPr="00D53084">
        <w:rPr>
          <w:lang w:val="en-GB"/>
        </w:rPr>
        <w:t>T</w:t>
      </w:r>
      <w:r w:rsidRPr="00D53084">
        <w:rPr>
          <w:lang w:val="en-GB"/>
        </w:rPr>
        <w:t xml:space="preserve">o do so, Shenzhou </w:t>
      </w:r>
      <w:r w:rsidR="00A2574A" w:rsidRPr="00D53084">
        <w:rPr>
          <w:lang w:val="en-GB"/>
        </w:rPr>
        <w:t>Knitting</w:t>
      </w:r>
      <w:r w:rsidRPr="00D53084">
        <w:rPr>
          <w:lang w:val="en-GB"/>
        </w:rPr>
        <w:t xml:space="preserve"> had improved the management process, transformed its factory, and expand</w:t>
      </w:r>
      <w:r w:rsidR="003D1835" w:rsidRPr="00D53084">
        <w:rPr>
          <w:lang w:val="en-GB"/>
        </w:rPr>
        <w:t>ed</w:t>
      </w:r>
      <w:r w:rsidRPr="00D53084">
        <w:rPr>
          <w:lang w:val="en-GB"/>
        </w:rPr>
        <w:t xml:space="preserve"> its production capacity, </w:t>
      </w:r>
      <w:r w:rsidR="003D1835" w:rsidRPr="00D53084">
        <w:rPr>
          <w:lang w:val="en-GB"/>
        </w:rPr>
        <w:t xml:space="preserve">among </w:t>
      </w:r>
      <w:r w:rsidR="00846389" w:rsidRPr="00D53084">
        <w:rPr>
          <w:lang w:val="en-GB"/>
        </w:rPr>
        <w:t xml:space="preserve">taking </w:t>
      </w:r>
      <w:r w:rsidR="003D1835" w:rsidRPr="00D53084">
        <w:rPr>
          <w:lang w:val="en-GB"/>
        </w:rPr>
        <w:t>other measures</w:t>
      </w:r>
      <w:r w:rsidRPr="00D53084">
        <w:rPr>
          <w:lang w:val="en-GB"/>
        </w:rPr>
        <w:t xml:space="preserve"> (see Exhibit 1).</w:t>
      </w:r>
    </w:p>
    <w:p w14:paraId="3C91EBA4" w14:textId="77777777" w:rsidR="009C1954" w:rsidRPr="00D53084" w:rsidRDefault="009C1954" w:rsidP="009C1954">
      <w:pPr>
        <w:pStyle w:val="BodyTextMain"/>
        <w:rPr>
          <w:sz w:val="20"/>
          <w:lang w:val="en-GB"/>
        </w:rPr>
      </w:pPr>
    </w:p>
    <w:p w14:paraId="4509D5C8" w14:textId="77777777" w:rsidR="009C1954" w:rsidRPr="00D53084" w:rsidRDefault="009C1954" w:rsidP="009C1954">
      <w:pPr>
        <w:pStyle w:val="BodyTextMain"/>
        <w:rPr>
          <w:sz w:val="20"/>
          <w:lang w:val="en-GB"/>
        </w:rPr>
      </w:pPr>
    </w:p>
    <w:p w14:paraId="255B4661" w14:textId="156C4CF9" w:rsidR="009C1954" w:rsidRPr="00D53084" w:rsidRDefault="00572706" w:rsidP="009C1954">
      <w:pPr>
        <w:pStyle w:val="Casehead1"/>
        <w:rPr>
          <w:lang w:val="en-GB"/>
        </w:rPr>
      </w:pPr>
      <w:r w:rsidRPr="00D53084">
        <w:rPr>
          <w:lang w:val="en-GB"/>
        </w:rPr>
        <w:t xml:space="preserve">full </w:t>
      </w:r>
      <w:r w:rsidR="009C1954" w:rsidRPr="00D53084">
        <w:rPr>
          <w:lang w:val="en-GB"/>
        </w:rPr>
        <w:t>Steam Ahead</w:t>
      </w:r>
    </w:p>
    <w:p w14:paraId="39A7C038" w14:textId="77777777" w:rsidR="009C1954" w:rsidRPr="00D53084" w:rsidRDefault="009C1954" w:rsidP="009C1954">
      <w:pPr>
        <w:pStyle w:val="BodyTextMain"/>
        <w:rPr>
          <w:sz w:val="20"/>
          <w:lang w:val="en-GB"/>
        </w:rPr>
      </w:pPr>
    </w:p>
    <w:p w14:paraId="7385FB08" w14:textId="10CDBDF7" w:rsidR="009C1954" w:rsidRPr="00D53084" w:rsidRDefault="009C1954" w:rsidP="009C1954">
      <w:pPr>
        <w:pStyle w:val="BodyTextMain"/>
        <w:rPr>
          <w:lang w:val="en-GB"/>
        </w:rPr>
      </w:pPr>
      <w:r w:rsidRPr="00D53084">
        <w:rPr>
          <w:lang w:val="en-GB"/>
        </w:rPr>
        <w:t xml:space="preserve">In 2002, with the support of </w:t>
      </w:r>
      <w:proofErr w:type="spellStart"/>
      <w:r w:rsidRPr="00D53084">
        <w:rPr>
          <w:lang w:val="en-GB"/>
        </w:rPr>
        <w:t>Beilun</w:t>
      </w:r>
      <w:proofErr w:type="spellEnd"/>
      <w:r w:rsidRPr="00D53084">
        <w:rPr>
          <w:lang w:val="en-GB"/>
        </w:rPr>
        <w:t xml:space="preserve"> District </w:t>
      </w:r>
      <w:r w:rsidR="00572706" w:rsidRPr="00D53084">
        <w:rPr>
          <w:lang w:val="en-GB"/>
        </w:rPr>
        <w:t>g</w:t>
      </w:r>
      <w:r w:rsidRPr="00D53084">
        <w:rPr>
          <w:lang w:val="en-GB"/>
        </w:rPr>
        <w:t xml:space="preserve">overnment, Shenzhou </w:t>
      </w:r>
      <w:r w:rsidR="00A2574A" w:rsidRPr="00D53084">
        <w:rPr>
          <w:lang w:val="en-GB"/>
        </w:rPr>
        <w:t>Knitting</w:t>
      </w:r>
      <w:r w:rsidRPr="00D53084">
        <w:rPr>
          <w:lang w:val="en-GB"/>
        </w:rPr>
        <w:t xml:space="preserve"> purchased a 500-</w:t>
      </w:r>
      <w:r w:rsidRPr="00D53084">
        <w:rPr>
          <w:i/>
          <w:lang w:val="en-GB"/>
        </w:rPr>
        <w:t>mu</w:t>
      </w:r>
      <w:r w:rsidRPr="00D53084">
        <w:rPr>
          <w:lang w:val="en-GB"/>
        </w:rPr>
        <w:t xml:space="preserve"> (333,333</w:t>
      </w:r>
      <w:r w:rsidR="00572706" w:rsidRPr="00D53084">
        <w:rPr>
          <w:lang w:val="en-GB"/>
        </w:rPr>
        <w:t>-</w:t>
      </w:r>
      <w:r w:rsidRPr="00D53084">
        <w:rPr>
          <w:lang w:val="en-GB"/>
        </w:rPr>
        <w:t>square</w:t>
      </w:r>
      <w:r w:rsidR="00572706" w:rsidRPr="00D53084">
        <w:rPr>
          <w:lang w:val="en-GB"/>
        </w:rPr>
        <w:t>-</w:t>
      </w:r>
      <w:r w:rsidRPr="00D53084">
        <w:rPr>
          <w:lang w:val="en-GB"/>
        </w:rPr>
        <w:t>met</w:t>
      </w:r>
      <w:r w:rsidR="00572706" w:rsidRPr="00D53084">
        <w:rPr>
          <w:lang w:val="en-GB"/>
        </w:rPr>
        <w:t>r</w:t>
      </w:r>
      <w:r w:rsidRPr="00D53084">
        <w:rPr>
          <w:lang w:val="en-GB"/>
        </w:rPr>
        <w:t>e) plot, which laid</w:t>
      </w:r>
      <w:r w:rsidR="00572706" w:rsidRPr="00D53084">
        <w:rPr>
          <w:lang w:val="en-GB"/>
        </w:rPr>
        <w:t xml:space="preserve"> the</w:t>
      </w:r>
      <w:r w:rsidRPr="00D53084">
        <w:rPr>
          <w:lang w:val="en-GB"/>
        </w:rPr>
        <w:t xml:space="preserve"> groundwork for its sustainable development. The first thing Ma did after acquiring the plot was spend ¥48</w:t>
      </w:r>
      <w:r w:rsidR="00572706" w:rsidRPr="00D53084">
        <w:rPr>
          <w:lang w:val="en-GB"/>
        </w:rPr>
        <w:t xml:space="preserve"> million</w:t>
      </w:r>
      <w:r w:rsidRPr="00D53084">
        <w:rPr>
          <w:rStyle w:val="EndnoteReference"/>
          <w:lang w:val="en-GB"/>
        </w:rPr>
        <w:endnoteReference w:id="13"/>
      </w:r>
      <w:r w:rsidRPr="00D53084">
        <w:rPr>
          <w:lang w:val="en-GB"/>
        </w:rPr>
        <w:t xml:space="preserve"> building a 60,000-ton sewage treatment pond.</w:t>
      </w:r>
    </w:p>
    <w:p w14:paraId="75FC682D" w14:textId="77777777" w:rsidR="009C1954" w:rsidRPr="00D53084" w:rsidRDefault="009C1954" w:rsidP="009C1954">
      <w:pPr>
        <w:pStyle w:val="BodyTextMain"/>
        <w:rPr>
          <w:sz w:val="20"/>
          <w:lang w:val="en-GB"/>
        </w:rPr>
      </w:pPr>
    </w:p>
    <w:p w14:paraId="6F35735E" w14:textId="40E3D5AB" w:rsidR="009C1954" w:rsidRPr="00D53084" w:rsidRDefault="009C1954" w:rsidP="009C1954">
      <w:pPr>
        <w:pStyle w:val="BodyTextMain"/>
        <w:rPr>
          <w:lang w:val="en-GB"/>
        </w:rPr>
      </w:pPr>
      <w:r w:rsidRPr="00D53084">
        <w:rPr>
          <w:lang w:val="en-GB"/>
        </w:rPr>
        <w:t xml:space="preserve">Many people thought Ma had made </w:t>
      </w:r>
      <w:r w:rsidR="00851B7D">
        <w:rPr>
          <w:lang w:val="en-GB"/>
        </w:rPr>
        <w:t>the</w:t>
      </w:r>
      <w:r w:rsidRPr="00D53084">
        <w:rPr>
          <w:lang w:val="en-GB"/>
        </w:rPr>
        <w:t xml:space="preserve"> wrong decision</w:t>
      </w:r>
      <w:r w:rsidR="00572706" w:rsidRPr="00D53084">
        <w:rPr>
          <w:lang w:val="en-GB"/>
        </w:rPr>
        <w:t xml:space="preserve"> in building the pond</w:t>
      </w:r>
      <w:r w:rsidRPr="00D53084">
        <w:rPr>
          <w:lang w:val="en-GB"/>
        </w:rPr>
        <w:t xml:space="preserve">, but he </w:t>
      </w:r>
      <w:r w:rsidR="00572706" w:rsidRPr="00D53084">
        <w:rPr>
          <w:lang w:val="en-GB"/>
        </w:rPr>
        <w:t>argued</w:t>
      </w:r>
      <w:r w:rsidRPr="00D53084">
        <w:rPr>
          <w:lang w:val="en-GB"/>
        </w:rPr>
        <w:t xml:space="preserve"> his case. The printing and dyeing technique for apparel fabrics not only consumed </w:t>
      </w:r>
      <w:r w:rsidR="00572706" w:rsidRPr="00D53084">
        <w:rPr>
          <w:lang w:val="en-GB"/>
        </w:rPr>
        <w:t>a great deal of</w:t>
      </w:r>
      <w:r w:rsidRPr="00D53084">
        <w:rPr>
          <w:lang w:val="en-GB"/>
        </w:rPr>
        <w:t xml:space="preserve"> water and electricity, </w:t>
      </w:r>
      <w:r w:rsidR="00572706" w:rsidRPr="00D53084">
        <w:rPr>
          <w:lang w:val="en-GB"/>
        </w:rPr>
        <w:t>it</w:t>
      </w:r>
      <w:r w:rsidRPr="00D53084">
        <w:rPr>
          <w:lang w:val="en-GB"/>
        </w:rPr>
        <w:t xml:space="preserve"> also discharged large amounts of sewage. Thanks to </w:t>
      </w:r>
      <w:r w:rsidR="00572706" w:rsidRPr="00D53084">
        <w:rPr>
          <w:lang w:val="en-GB"/>
        </w:rPr>
        <w:t>the</w:t>
      </w:r>
      <w:r w:rsidRPr="00D53084">
        <w:rPr>
          <w:lang w:val="en-GB"/>
        </w:rPr>
        <w:t xml:space="preserve"> far-sighted measure </w:t>
      </w:r>
      <w:r w:rsidR="00572706" w:rsidRPr="00D53084">
        <w:rPr>
          <w:lang w:val="en-GB"/>
        </w:rPr>
        <w:t>of</w:t>
      </w:r>
      <w:r w:rsidRPr="00D53084">
        <w:rPr>
          <w:lang w:val="en-GB"/>
        </w:rPr>
        <w:t xml:space="preserve"> build</w:t>
      </w:r>
      <w:r w:rsidR="00572706" w:rsidRPr="00D53084">
        <w:rPr>
          <w:lang w:val="en-GB"/>
        </w:rPr>
        <w:t>ing</w:t>
      </w:r>
      <w:r w:rsidRPr="00D53084">
        <w:rPr>
          <w:lang w:val="en-GB"/>
        </w:rPr>
        <w:t xml:space="preserve"> large sewage treatment facilities and purchas</w:t>
      </w:r>
      <w:r w:rsidR="00572706" w:rsidRPr="00D53084">
        <w:rPr>
          <w:lang w:val="en-GB"/>
        </w:rPr>
        <w:t>ing</w:t>
      </w:r>
      <w:r w:rsidRPr="00D53084">
        <w:rPr>
          <w:lang w:val="en-GB"/>
        </w:rPr>
        <w:t xml:space="preserve"> energy-saving and emission-reducing dyeing machines, Shenzhou </w:t>
      </w:r>
      <w:r w:rsidR="00A2574A" w:rsidRPr="00D53084">
        <w:rPr>
          <w:lang w:val="en-GB"/>
        </w:rPr>
        <w:t>Knitting</w:t>
      </w:r>
      <w:r w:rsidRPr="00D53084">
        <w:rPr>
          <w:lang w:val="en-GB"/>
        </w:rPr>
        <w:t xml:space="preserve"> </w:t>
      </w:r>
      <w:r w:rsidR="00572706" w:rsidRPr="00D53084">
        <w:rPr>
          <w:lang w:val="en-GB"/>
        </w:rPr>
        <w:t xml:space="preserve">was able to </w:t>
      </w:r>
      <w:r w:rsidRPr="00D53084">
        <w:rPr>
          <w:lang w:val="en-GB"/>
        </w:rPr>
        <w:t>conform to the increasingly stringent national environmental standards</w:t>
      </w:r>
      <w:r w:rsidR="007B4D7C" w:rsidRPr="00D53084">
        <w:rPr>
          <w:lang w:val="en-GB"/>
        </w:rPr>
        <w:t>, proving</w:t>
      </w:r>
      <w:r w:rsidRPr="00D53084">
        <w:rPr>
          <w:lang w:val="en-GB"/>
        </w:rPr>
        <w:t xml:space="preserve"> that Ma’s decision made great sense. Some ill-prepared apparel fabric manufacturers were facing the options of sewage treatment at higher costs, relocation</w:t>
      </w:r>
      <w:r w:rsidR="00572706" w:rsidRPr="00D53084">
        <w:rPr>
          <w:lang w:val="en-GB"/>
        </w:rPr>
        <w:t>,</w:t>
      </w:r>
      <w:r w:rsidRPr="00D53084">
        <w:rPr>
          <w:lang w:val="en-GB"/>
        </w:rPr>
        <w:t xml:space="preserve"> or even bankruptcy.</w:t>
      </w:r>
    </w:p>
    <w:p w14:paraId="7097C213" w14:textId="77777777" w:rsidR="009C1954" w:rsidRPr="00D53084" w:rsidRDefault="009C1954" w:rsidP="009C1954">
      <w:pPr>
        <w:pStyle w:val="BodyTextMain"/>
        <w:rPr>
          <w:sz w:val="20"/>
          <w:lang w:val="en-GB"/>
        </w:rPr>
      </w:pPr>
    </w:p>
    <w:p w14:paraId="08FD4685" w14:textId="751BD189" w:rsidR="009C1954" w:rsidRPr="00D53084" w:rsidRDefault="009C1954" w:rsidP="009C1954">
      <w:pPr>
        <w:pStyle w:val="BodyTextMain"/>
        <w:rPr>
          <w:spacing w:val="-2"/>
          <w:lang w:val="en-GB"/>
        </w:rPr>
      </w:pPr>
      <w:r w:rsidRPr="00D53084">
        <w:rPr>
          <w:spacing w:val="-2"/>
          <w:lang w:val="en-GB"/>
        </w:rPr>
        <w:t xml:space="preserve">In 2005, Shenzhou </w:t>
      </w:r>
      <w:r w:rsidR="00A2574A" w:rsidRPr="00D53084">
        <w:rPr>
          <w:spacing w:val="-2"/>
          <w:lang w:val="en-GB"/>
        </w:rPr>
        <w:t xml:space="preserve">Knitting </w:t>
      </w:r>
      <w:r w:rsidRPr="00D53084">
        <w:rPr>
          <w:spacing w:val="-2"/>
          <w:lang w:val="en-GB"/>
        </w:rPr>
        <w:t xml:space="preserve">was listed on the Main Board of </w:t>
      </w:r>
      <w:r w:rsidR="007B4D7C" w:rsidRPr="00D53084">
        <w:rPr>
          <w:spacing w:val="-2"/>
          <w:lang w:val="en-GB"/>
        </w:rPr>
        <w:t xml:space="preserve">the </w:t>
      </w:r>
      <w:r w:rsidRPr="00D53084">
        <w:rPr>
          <w:spacing w:val="-2"/>
          <w:lang w:val="en-GB"/>
        </w:rPr>
        <w:t xml:space="preserve">Hong Kong Stock Exchange as </w:t>
      </w:r>
      <w:r w:rsidR="00B24453" w:rsidRPr="00D53084">
        <w:rPr>
          <w:rFonts w:eastAsiaTheme="minorEastAsia"/>
          <w:spacing w:val="-2"/>
          <w:lang w:val="en-GB" w:eastAsia="zh-CN"/>
        </w:rPr>
        <w:t xml:space="preserve">Shenzhou </w:t>
      </w:r>
      <w:r w:rsidR="00B24453" w:rsidRPr="00D53084">
        <w:rPr>
          <w:spacing w:val="-2"/>
          <w:lang w:val="en-GB"/>
        </w:rPr>
        <w:t>International</w:t>
      </w:r>
      <w:r w:rsidR="00B24453" w:rsidRPr="00D53084">
        <w:rPr>
          <w:rFonts w:eastAsiaTheme="minorEastAsia"/>
          <w:spacing w:val="-2"/>
          <w:lang w:val="en-GB" w:eastAsia="zh-CN"/>
        </w:rPr>
        <w:t>, by then he was</w:t>
      </w:r>
      <w:r w:rsidR="00B24453" w:rsidRPr="00D53084">
        <w:rPr>
          <w:spacing w:val="-2"/>
          <w:lang w:val="en-GB"/>
        </w:rPr>
        <w:t xml:space="preserve"> </w:t>
      </w:r>
      <w:r w:rsidRPr="00D53084">
        <w:rPr>
          <w:spacing w:val="-2"/>
          <w:lang w:val="en-GB"/>
        </w:rPr>
        <w:t>China’s largest</w:t>
      </w:r>
      <w:r w:rsidR="007B4D7C" w:rsidRPr="00D53084">
        <w:rPr>
          <w:spacing w:val="-2"/>
          <w:lang w:val="en-GB"/>
        </w:rPr>
        <w:t>,</w:t>
      </w:r>
      <w:r w:rsidRPr="00D53084">
        <w:rPr>
          <w:spacing w:val="-2"/>
          <w:lang w:val="en-GB"/>
        </w:rPr>
        <w:t xml:space="preserve"> vertically</w:t>
      </w:r>
      <w:r w:rsidR="007B4D7C" w:rsidRPr="00D53084">
        <w:rPr>
          <w:spacing w:val="-2"/>
          <w:lang w:val="en-GB"/>
        </w:rPr>
        <w:t>-</w:t>
      </w:r>
      <w:r w:rsidRPr="00D53084">
        <w:rPr>
          <w:spacing w:val="-2"/>
          <w:lang w:val="en-GB"/>
        </w:rPr>
        <w:t xml:space="preserve">integrated knitwear </w:t>
      </w:r>
      <w:r w:rsidR="007B4D7C" w:rsidRPr="00D53084">
        <w:rPr>
          <w:spacing w:val="-2"/>
          <w:lang w:val="en-GB"/>
        </w:rPr>
        <w:t>original equipment manufacturer (</w:t>
      </w:r>
      <w:r w:rsidRPr="00D53084">
        <w:rPr>
          <w:spacing w:val="-2"/>
          <w:lang w:val="en-GB"/>
        </w:rPr>
        <w:t>OEM</w:t>
      </w:r>
      <w:r w:rsidR="007B4D7C" w:rsidRPr="00D53084">
        <w:rPr>
          <w:spacing w:val="-2"/>
          <w:lang w:val="en-GB"/>
        </w:rPr>
        <w:t>)</w:t>
      </w:r>
      <w:r w:rsidRPr="00D53084">
        <w:rPr>
          <w:spacing w:val="-2"/>
          <w:lang w:val="en-GB"/>
        </w:rPr>
        <w:t>, combin</w:t>
      </w:r>
      <w:r w:rsidR="007B4D7C" w:rsidRPr="00D53084">
        <w:rPr>
          <w:spacing w:val="-2"/>
          <w:lang w:val="en-GB"/>
        </w:rPr>
        <w:t>ing</w:t>
      </w:r>
      <w:r w:rsidRPr="00D53084">
        <w:rPr>
          <w:spacing w:val="-2"/>
          <w:lang w:val="en-GB"/>
        </w:rPr>
        <w:t xml:space="preserve"> weaving, dyeing and finishing, printing and embroidering, cutting</w:t>
      </w:r>
      <w:r w:rsidR="007B4D7C" w:rsidRPr="00D53084">
        <w:rPr>
          <w:spacing w:val="-2"/>
          <w:lang w:val="en-GB"/>
        </w:rPr>
        <w:t>,</w:t>
      </w:r>
      <w:r w:rsidRPr="00D53084">
        <w:rPr>
          <w:spacing w:val="-2"/>
          <w:lang w:val="en-GB"/>
        </w:rPr>
        <w:t xml:space="preserve"> and sewing techniques through expansion. Before the listing, Shenzhou International </w:t>
      </w:r>
      <w:r w:rsidR="007B4D7C" w:rsidRPr="00D53084">
        <w:rPr>
          <w:spacing w:val="-2"/>
          <w:lang w:val="en-GB"/>
        </w:rPr>
        <w:t>had</w:t>
      </w:r>
      <w:r w:rsidRPr="00D53084">
        <w:rPr>
          <w:spacing w:val="-2"/>
          <w:lang w:val="en-GB"/>
        </w:rPr>
        <w:t xml:space="preserve"> co</w:t>
      </w:r>
      <w:r w:rsidR="007B4D7C" w:rsidRPr="00D53084">
        <w:rPr>
          <w:spacing w:val="-2"/>
          <w:lang w:val="en-GB"/>
        </w:rPr>
        <w:t>-</w:t>
      </w:r>
      <w:r w:rsidRPr="00D53084">
        <w:rPr>
          <w:spacing w:val="-2"/>
          <w:lang w:val="en-GB"/>
        </w:rPr>
        <w:t>operate</w:t>
      </w:r>
      <w:r w:rsidR="007B4D7C" w:rsidRPr="00D53084">
        <w:rPr>
          <w:spacing w:val="-2"/>
          <w:lang w:val="en-GB"/>
        </w:rPr>
        <w:t>d</w:t>
      </w:r>
      <w:r w:rsidRPr="00D53084">
        <w:rPr>
          <w:spacing w:val="-2"/>
          <w:lang w:val="en-GB"/>
        </w:rPr>
        <w:t xml:space="preserve"> more with Japanese clients; </w:t>
      </w:r>
      <w:proofErr w:type="spellStart"/>
      <w:r w:rsidRPr="00D53084">
        <w:rPr>
          <w:spacing w:val="-2"/>
          <w:lang w:val="en-GB"/>
        </w:rPr>
        <w:t>Uniqlo</w:t>
      </w:r>
      <w:proofErr w:type="spellEnd"/>
      <w:r w:rsidRPr="00D53084">
        <w:rPr>
          <w:spacing w:val="-2"/>
          <w:lang w:val="en-GB"/>
        </w:rPr>
        <w:t xml:space="preserve"> accounted for more than one half of its operating revenue. The listing delivered a significant boost to its brand influence and financial performance. By virtue of funding, the company sped up technical upgrad</w:t>
      </w:r>
      <w:r w:rsidR="007B4D7C" w:rsidRPr="00D53084">
        <w:rPr>
          <w:spacing w:val="-2"/>
          <w:lang w:val="en-GB"/>
        </w:rPr>
        <w:t>ing</w:t>
      </w:r>
      <w:r w:rsidRPr="00D53084">
        <w:rPr>
          <w:spacing w:val="-2"/>
          <w:lang w:val="en-GB"/>
        </w:rPr>
        <w:t xml:space="preserve"> and scaled up capacity, winning over top brands like Nike, Adidas</w:t>
      </w:r>
      <w:r w:rsidR="007B4D7C" w:rsidRPr="00D53084">
        <w:rPr>
          <w:spacing w:val="-2"/>
          <w:lang w:val="en-GB"/>
        </w:rPr>
        <w:t>,</w:t>
      </w:r>
      <w:r w:rsidRPr="00D53084">
        <w:rPr>
          <w:spacing w:val="-2"/>
          <w:lang w:val="en-GB"/>
        </w:rPr>
        <w:t xml:space="preserve"> and Puma.</w:t>
      </w:r>
    </w:p>
    <w:p w14:paraId="77871A47" w14:textId="77777777" w:rsidR="009C1954" w:rsidRPr="00D53084" w:rsidRDefault="009C1954" w:rsidP="009C1954">
      <w:pPr>
        <w:pStyle w:val="BodyTextMain"/>
        <w:rPr>
          <w:sz w:val="20"/>
          <w:lang w:val="en-GB"/>
        </w:rPr>
      </w:pPr>
    </w:p>
    <w:p w14:paraId="15081E51" w14:textId="2C563F42" w:rsidR="009C1954" w:rsidRPr="00D53084" w:rsidRDefault="009C1954" w:rsidP="009C1954">
      <w:pPr>
        <w:pStyle w:val="BodyTextMain"/>
        <w:rPr>
          <w:lang w:val="en-GB"/>
        </w:rPr>
      </w:pPr>
      <w:proofErr w:type="spellStart"/>
      <w:r w:rsidRPr="00D53084">
        <w:rPr>
          <w:lang w:val="en-GB"/>
        </w:rPr>
        <w:t>Cunbo</w:t>
      </w:r>
      <w:proofErr w:type="spellEnd"/>
      <w:r w:rsidRPr="00D53084">
        <w:rPr>
          <w:lang w:val="en-GB"/>
        </w:rPr>
        <w:t xml:space="preserve"> Wang, </w:t>
      </w:r>
      <w:r w:rsidR="000D48FA" w:rsidRPr="00D53084">
        <w:rPr>
          <w:lang w:val="en-GB"/>
        </w:rPr>
        <w:t>m</w:t>
      </w:r>
      <w:r w:rsidRPr="00D53084">
        <w:rPr>
          <w:lang w:val="en-GB"/>
        </w:rPr>
        <w:t xml:space="preserve">anaging </w:t>
      </w:r>
      <w:r w:rsidR="000D48FA" w:rsidRPr="00D53084">
        <w:rPr>
          <w:lang w:val="en-GB"/>
        </w:rPr>
        <w:t>d</w:t>
      </w:r>
      <w:r w:rsidRPr="00D53084">
        <w:rPr>
          <w:lang w:val="en-GB"/>
        </w:rPr>
        <w:t xml:space="preserve">irector of Shenzhou International, </w:t>
      </w:r>
      <w:r w:rsidR="00607639" w:rsidRPr="00D53084">
        <w:rPr>
          <w:lang w:val="en-GB"/>
        </w:rPr>
        <w:t>believed</w:t>
      </w:r>
      <w:r w:rsidRPr="00D53084">
        <w:rPr>
          <w:lang w:val="en-GB"/>
        </w:rPr>
        <w:t xml:space="preserve"> the listing served as a lever for the company. Thanks to </w:t>
      </w:r>
      <w:r w:rsidR="00607639" w:rsidRPr="00D53084">
        <w:rPr>
          <w:lang w:val="en-GB"/>
        </w:rPr>
        <w:t>its</w:t>
      </w:r>
      <w:r w:rsidRPr="00D53084">
        <w:rPr>
          <w:lang w:val="en-GB"/>
        </w:rPr>
        <w:t xml:space="preserve"> co</w:t>
      </w:r>
      <w:r w:rsidR="00607639" w:rsidRPr="00D53084">
        <w:rPr>
          <w:lang w:val="en-GB"/>
        </w:rPr>
        <w:t>-</w:t>
      </w:r>
      <w:r w:rsidRPr="00D53084">
        <w:rPr>
          <w:lang w:val="en-GB"/>
        </w:rPr>
        <w:t>operation with world-class brand operators, Shenzhou International set up a 6,000-square-met</w:t>
      </w:r>
      <w:r w:rsidR="00607639" w:rsidRPr="00D53084">
        <w:rPr>
          <w:lang w:val="en-GB"/>
        </w:rPr>
        <w:t>r</w:t>
      </w:r>
      <w:r w:rsidRPr="00D53084">
        <w:rPr>
          <w:lang w:val="en-GB"/>
        </w:rPr>
        <w:t>e state-level lab</w:t>
      </w:r>
      <w:r w:rsidR="00607639" w:rsidRPr="00D53084">
        <w:rPr>
          <w:lang w:val="en-GB"/>
        </w:rPr>
        <w:t>oratory</w:t>
      </w:r>
      <w:r w:rsidRPr="00D53084">
        <w:rPr>
          <w:lang w:val="en-GB"/>
        </w:rPr>
        <w:t xml:space="preserve"> and a first-rate fabric engineering </w:t>
      </w:r>
      <w:r w:rsidR="00607639" w:rsidRPr="00D53084">
        <w:rPr>
          <w:lang w:val="en-GB"/>
        </w:rPr>
        <w:t>research and development (</w:t>
      </w:r>
      <w:r w:rsidRPr="00D53084">
        <w:rPr>
          <w:lang w:val="en-GB"/>
        </w:rPr>
        <w:t>R&amp;D</w:t>
      </w:r>
      <w:r w:rsidR="00607639" w:rsidRPr="00D53084">
        <w:rPr>
          <w:lang w:val="en-GB"/>
        </w:rPr>
        <w:t>)</w:t>
      </w:r>
      <w:r w:rsidRPr="00D53084">
        <w:rPr>
          <w:lang w:val="en-GB"/>
        </w:rPr>
        <w:t xml:space="preserve"> cent</w:t>
      </w:r>
      <w:r w:rsidR="00607639" w:rsidRPr="00D53084">
        <w:rPr>
          <w:lang w:val="en-GB"/>
        </w:rPr>
        <w:t>r</w:t>
      </w:r>
      <w:r w:rsidRPr="00D53084">
        <w:rPr>
          <w:lang w:val="en-GB"/>
        </w:rPr>
        <w:t xml:space="preserve">e, </w:t>
      </w:r>
      <w:r w:rsidR="00607639" w:rsidRPr="00D53084">
        <w:rPr>
          <w:lang w:val="en-GB"/>
        </w:rPr>
        <w:t xml:space="preserve">which was </w:t>
      </w:r>
      <w:r w:rsidRPr="00D53084">
        <w:rPr>
          <w:lang w:val="en-GB"/>
        </w:rPr>
        <w:t xml:space="preserve">capable of developing more than 1,000 new fabrics annually. Adidas and Nike had even </w:t>
      </w:r>
      <w:r w:rsidR="004568C0" w:rsidRPr="00D53084">
        <w:rPr>
          <w:rFonts w:eastAsiaTheme="minorEastAsia"/>
          <w:lang w:val="en-GB" w:eastAsia="zh-CN"/>
        </w:rPr>
        <w:t>built</w:t>
      </w:r>
      <w:r w:rsidR="004568C0" w:rsidRPr="00D53084">
        <w:rPr>
          <w:lang w:val="en-GB"/>
        </w:rPr>
        <w:t xml:space="preserve"> </w:t>
      </w:r>
      <w:r w:rsidRPr="00D53084">
        <w:rPr>
          <w:lang w:val="en-GB"/>
        </w:rPr>
        <w:t>their design cent</w:t>
      </w:r>
      <w:r w:rsidR="00607639" w:rsidRPr="00D53084">
        <w:rPr>
          <w:lang w:val="en-GB"/>
        </w:rPr>
        <w:t>r</w:t>
      </w:r>
      <w:r w:rsidRPr="00D53084">
        <w:rPr>
          <w:lang w:val="en-GB"/>
        </w:rPr>
        <w:t xml:space="preserve">e </w:t>
      </w:r>
      <w:r w:rsidR="004568C0" w:rsidRPr="00D53084">
        <w:rPr>
          <w:rFonts w:eastAsiaTheme="minorEastAsia"/>
          <w:lang w:val="en-GB" w:eastAsia="zh-CN"/>
        </w:rPr>
        <w:t>in</w:t>
      </w:r>
      <w:r w:rsidR="004568C0" w:rsidRPr="00D53084">
        <w:rPr>
          <w:lang w:val="en-GB"/>
        </w:rPr>
        <w:t xml:space="preserve"> </w:t>
      </w:r>
      <w:r w:rsidRPr="00D53084">
        <w:rPr>
          <w:lang w:val="en-GB"/>
        </w:rPr>
        <w:t>Shenzhou International, reducing the time to market for new products.</w:t>
      </w:r>
      <w:r w:rsidRPr="00D53084">
        <w:rPr>
          <w:rStyle w:val="EndnoteReference"/>
          <w:lang w:val="en-GB"/>
        </w:rPr>
        <w:endnoteReference w:id="14"/>
      </w:r>
      <w:r w:rsidRPr="00D53084">
        <w:rPr>
          <w:lang w:val="en-GB"/>
        </w:rPr>
        <w:t xml:space="preserve"> Shenzhou International was </w:t>
      </w:r>
      <w:r w:rsidR="00607639" w:rsidRPr="00D53084">
        <w:rPr>
          <w:lang w:val="en-GB"/>
        </w:rPr>
        <w:t xml:space="preserve">moving full </w:t>
      </w:r>
      <w:r w:rsidRPr="00D53084">
        <w:rPr>
          <w:lang w:val="en-GB"/>
        </w:rPr>
        <w:t>steam ahead. From 2005 to 2016, its net assets rose from ¥</w:t>
      </w:r>
      <w:r w:rsidR="00AD628E">
        <w:rPr>
          <w:lang w:val="en-GB"/>
        </w:rPr>
        <w:t>1</w:t>
      </w:r>
      <w:r w:rsidR="004568C0" w:rsidRPr="00D53084">
        <w:rPr>
          <w:rFonts w:eastAsiaTheme="minorEastAsia"/>
          <w:lang w:val="en-GB" w:eastAsia="zh-CN"/>
        </w:rPr>
        <w:t>.71</w:t>
      </w:r>
      <w:r w:rsidR="00607639" w:rsidRPr="00D53084">
        <w:rPr>
          <w:lang w:val="en-GB"/>
        </w:rPr>
        <w:t xml:space="preserve"> </w:t>
      </w:r>
      <w:r w:rsidR="004568C0" w:rsidRPr="00D53084">
        <w:rPr>
          <w:rFonts w:eastAsiaTheme="minorEastAsia"/>
          <w:lang w:val="en-GB" w:eastAsia="zh-CN"/>
        </w:rPr>
        <w:t>b</w:t>
      </w:r>
      <w:r w:rsidR="004568C0" w:rsidRPr="00D53084">
        <w:rPr>
          <w:lang w:val="en-GB"/>
        </w:rPr>
        <w:t>illion</w:t>
      </w:r>
      <w:r w:rsidRPr="00D53084">
        <w:rPr>
          <w:rStyle w:val="EndnoteReference"/>
          <w:lang w:val="en-GB"/>
        </w:rPr>
        <w:endnoteReference w:id="15"/>
      </w:r>
      <w:r w:rsidRPr="00D53084">
        <w:rPr>
          <w:lang w:val="en-GB"/>
        </w:rPr>
        <w:t xml:space="preserve"> to ¥15</w:t>
      </w:r>
      <w:r w:rsidR="004568C0" w:rsidRPr="00D53084">
        <w:rPr>
          <w:rFonts w:eastAsiaTheme="minorEastAsia"/>
          <w:lang w:val="en-GB" w:eastAsia="zh-CN"/>
        </w:rPr>
        <w:t>.</w:t>
      </w:r>
      <w:r w:rsidRPr="00D53084">
        <w:rPr>
          <w:lang w:val="en-GB"/>
        </w:rPr>
        <w:t xml:space="preserve">09 </w:t>
      </w:r>
      <w:r w:rsidR="004568C0" w:rsidRPr="00D53084">
        <w:rPr>
          <w:rFonts w:eastAsiaTheme="minorEastAsia"/>
          <w:lang w:val="en-GB" w:eastAsia="zh-CN"/>
        </w:rPr>
        <w:t>b</w:t>
      </w:r>
      <w:r w:rsidRPr="00D53084">
        <w:rPr>
          <w:lang w:val="en-GB"/>
        </w:rPr>
        <w:t xml:space="preserve">illion, </w:t>
      </w:r>
      <w:r w:rsidR="00607639" w:rsidRPr="00D53084">
        <w:rPr>
          <w:lang w:val="en-GB"/>
        </w:rPr>
        <w:t xml:space="preserve">its </w:t>
      </w:r>
      <w:r w:rsidRPr="00D53084">
        <w:rPr>
          <w:lang w:val="en-GB"/>
        </w:rPr>
        <w:t>sales from ¥2</w:t>
      </w:r>
      <w:r w:rsidR="004568C0" w:rsidRPr="00D53084">
        <w:rPr>
          <w:rFonts w:eastAsiaTheme="minorEastAsia"/>
          <w:lang w:val="en-GB" w:eastAsia="zh-CN"/>
        </w:rPr>
        <w:t>.48</w:t>
      </w:r>
      <w:r w:rsidRPr="00D53084">
        <w:rPr>
          <w:lang w:val="en-GB"/>
        </w:rPr>
        <w:t xml:space="preserve"> </w:t>
      </w:r>
      <w:r w:rsidR="004568C0" w:rsidRPr="00D53084">
        <w:rPr>
          <w:rFonts w:eastAsiaTheme="minorEastAsia"/>
          <w:lang w:val="en-GB" w:eastAsia="zh-CN"/>
        </w:rPr>
        <w:t>b</w:t>
      </w:r>
      <w:r w:rsidR="004568C0" w:rsidRPr="00D53084">
        <w:rPr>
          <w:lang w:val="en-GB"/>
        </w:rPr>
        <w:t xml:space="preserve">illion </w:t>
      </w:r>
      <w:r w:rsidRPr="00D53084">
        <w:rPr>
          <w:lang w:val="en-GB"/>
        </w:rPr>
        <w:t xml:space="preserve">to ¥15.1 billion, and </w:t>
      </w:r>
      <w:r w:rsidR="00607639" w:rsidRPr="00D53084">
        <w:rPr>
          <w:lang w:val="en-GB"/>
        </w:rPr>
        <w:t xml:space="preserve">its </w:t>
      </w:r>
      <w:r w:rsidRPr="00D53084">
        <w:rPr>
          <w:lang w:val="en-GB"/>
        </w:rPr>
        <w:t>net profits from ¥350 million to ¥</w:t>
      </w:r>
      <w:r w:rsidR="004568C0" w:rsidRPr="00D53084">
        <w:rPr>
          <w:rFonts w:eastAsiaTheme="minorEastAsia"/>
          <w:lang w:val="en-GB" w:eastAsia="zh-CN"/>
        </w:rPr>
        <w:t>2.95</w:t>
      </w:r>
      <w:r w:rsidRPr="00D53084">
        <w:rPr>
          <w:lang w:val="en-GB"/>
        </w:rPr>
        <w:t xml:space="preserve"> </w:t>
      </w:r>
      <w:r w:rsidR="004568C0" w:rsidRPr="00D53084">
        <w:rPr>
          <w:rFonts w:eastAsiaTheme="minorEastAsia"/>
          <w:lang w:val="en-GB" w:eastAsia="zh-CN"/>
        </w:rPr>
        <w:t>b</w:t>
      </w:r>
      <w:r w:rsidR="004568C0" w:rsidRPr="00D53084">
        <w:rPr>
          <w:lang w:val="en-GB"/>
        </w:rPr>
        <w:t xml:space="preserve">illion </w:t>
      </w:r>
      <w:r w:rsidRPr="00D53084">
        <w:rPr>
          <w:lang w:val="en-GB"/>
        </w:rPr>
        <w:t>(see</w:t>
      </w:r>
      <w:r w:rsidRPr="00D53084">
        <w:rPr>
          <w:b/>
          <w:lang w:val="en-GB"/>
        </w:rPr>
        <w:t xml:space="preserve"> </w:t>
      </w:r>
      <w:r w:rsidRPr="00D53084">
        <w:rPr>
          <w:lang w:val="en-GB"/>
        </w:rPr>
        <w:t>Exhibit 2).</w:t>
      </w:r>
    </w:p>
    <w:p w14:paraId="70557C04" w14:textId="77777777" w:rsidR="009C1954" w:rsidRPr="00D53084" w:rsidRDefault="009C1954" w:rsidP="009C1954">
      <w:pPr>
        <w:pStyle w:val="Casehead1"/>
        <w:rPr>
          <w:lang w:val="en-GB"/>
        </w:rPr>
      </w:pPr>
      <w:r w:rsidRPr="00D53084">
        <w:rPr>
          <w:lang w:val="en-GB"/>
        </w:rPr>
        <w:lastRenderedPageBreak/>
        <w:t>Gaining a Competitive Advantage</w:t>
      </w:r>
    </w:p>
    <w:p w14:paraId="1A839EFD" w14:textId="77777777" w:rsidR="009C1954" w:rsidRPr="00D53084" w:rsidRDefault="009C1954" w:rsidP="009C1954">
      <w:pPr>
        <w:pStyle w:val="BodyTextMain"/>
        <w:rPr>
          <w:sz w:val="20"/>
          <w:lang w:val="en-GB"/>
        </w:rPr>
      </w:pPr>
    </w:p>
    <w:p w14:paraId="46771B5D" w14:textId="5FDF61A5" w:rsidR="009C1954" w:rsidRPr="00D53084" w:rsidRDefault="009C1954" w:rsidP="009C1954">
      <w:pPr>
        <w:pStyle w:val="BodyTextMain"/>
        <w:rPr>
          <w:lang w:val="en-GB"/>
        </w:rPr>
      </w:pPr>
      <w:r w:rsidRPr="00D53084">
        <w:rPr>
          <w:lang w:val="en-GB"/>
        </w:rPr>
        <w:t xml:space="preserve">World-renowned brand operators tended to impose a string of requirements on </w:t>
      </w:r>
      <w:r w:rsidR="004B63A8" w:rsidRPr="00D53084">
        <w:rPr>
          <w:lang w:val="en-GB"/>
        </w:rPr>
        <w:t>their</w:t>
      </w:r>
      <w:r w:rsidRPr="00D53084">
        <w:rPr>
          <w:lang w:val="en-GB"/>
        </w:rPr>
        <w:t xml:space="preserve"> suppliers. In addition to </w:t>
      </w:r>
      <w:r w:rsidR="004B63A8" w:rsidRPr="00D53084">
        <w:rPr>
          <w:lang w:val="en-GB"/>
        </w:rPr>
        <w:t xml:space="preserve">the </w:t>
      </w:r>
      <w:r w:rsidRPr="00D53084">
        <w:rPr>
          <w:lang w:val="en-GB"/>
        </w:rPr>
        <w:t>product quality, lead time, prices, and flexibility and reliability of the order, most brand operators set specific metrics for suppliers’ compliance (social responsibility</w:t>
      </w:r>
      <w:r w:rsidR="004B63A8" w:rsidRPr="00D53084">
        <w:rPr>
          <w:lang w:val="en-GB"/>
        </w:rPr>
        <w:t>,</w:t>
      </w:r>
      <w:r w:rsidRPr="00D53084">
        <w:rPr>
          <w:lang w:val="en-GB"/>
        </w:rPr>
        <w:t xml:space="preserve"> environmental protection), innovative capacity (R&amp;D and design), and capability for vertical integration. Clothing Connect, a London-based consultancy</w:t>
      </w:r>
      <w:r w:rsidR="004B63A8" w:rsidRPr="00D53084">
        <w:rPr>
          <w:lang w:val="en-GB"/>
        </w:rPr>
        <w:t xml:space="preserve"> firm</w:t>
      </w:r>
      <w:r w:rsidRPr="00D53084">
        <w:rPr>
          <w:lang w:val="en-GB"/>
        </w:rPr>
        <w:t xml:space="preserve">, had come up with 15 indicators to evaluate, </w:t>
      </w:r>
      <w:proofErr w:type="spellStart"/>
      <w:r w:rsidRPr="00D53084">
        <w:rPr>
          <w:lang w:val="en-GB"/>
        </w:rPr>
        <w:t>analyze</w:t>
      </w:r>
      <w:proofErr w:type="spellEnd"/>
      <w:r w:rsidR="004B63A8" w:rsidRPr="00D53084">
        <w:rPr>
          <w:lang w:val="en-GB"/>
        </w:rPr>
        <w:t>,</w:t>
      </w:r>
      <w:r w:rsidRPr="00D53084">
        <w:rPr>
          <w:lang w:val="en-GB"/>
        </w:rPr>
        <w:t xml:space="preserve"> and compare suppliers’ competence. The company </w:t>
      </w:r>
      <w:r w:rsidR="004B63A8" w:rsidRPr="00D53084">
        <w:rPr>
          <w:lang w:val="en-GB"/>
        </w:rPr>
        <w:t>believed that</w:t>
      </w:r>
      <w:r w:rsidRPr="00D53084">
        <w:rPr>
          <w:lang w:val="en-GB"/>
        </w:rPr>
        <w:t xml:space="preserve"> cost and lead time </w:t>
      </w:r>
      <w:r w:rsidR="004B63A8" w:rsidRPr="00D53084">
        <w:rPr>
          <w:lang w:val="en-GB"/>
        </w:rPr>
        <w:t>were the</w:t>
      </w:r>
      <w:r w:rsidRPr="00D53084">
        <w:rPr>
          <w:lang w:val="en-GB"/>
        </w:rPr>
        <w:t xml:space="preserve"> primary considerations </w:t>
      </w:r>
      <w:r w:rsidR="004B63A8" w:rsidRPr="00D53084">
        <w:rPr>
          <w:lang w:val="en-GB"/>
        </w:rPr>
        <w:t xml:space="preserve">for brand operators </w:t>
      </w:r>
      <w:r w:rsidRPr="00D53084">
        <w:rPr>
          <w:lang w:val="en-GB"/>
        </w:rPr>
        <w:t xml:space="preserve">when selecting suppliers. Another </w:t>
      </w:r>
      <w:r w:rsidR="00631C91">
        <w:rPr>
          <w:lang w:val="en-GB"/>
        </w:rPr>
        <w:t>UK</w:t>
      </w:r>
      <w:r w:rsidRPr="00D53084">
        <w:rPr>
          <w:lang w:val="en-GB"/>
        </w:rPr>
        <w:t xml:space="preserve"> consulting firm, </w:t>
      </w:r>
      <w:proofErr w:type="spellStart"/>
      <w:r w:rsidRPr="00D53084">
        <w:rPr>
          <w:lang w:val="en-GB"/>
        </w:rPr>
        <w:t>Clothesource</w:t>
      </w:r>
      <w:proofErr w:type="spellEnd"/>
      <w:r w:rsidR="004568C0" w:rsidRPr="00D53084">
        <w:rPr>
          <w:rFonts w:eastAsiaTheme="minorEastAsia"/>
          <w:lang w:val="en-GB" w:eastAsia="zh-CN"/>
        </w:rPr>
        <w:t xml:space="preserve"> Ltd.</w:t>
      </w:r>
      <w:r w:rsidRPr="00D53084">
        <w:rPr>
          <w:lang w:val="en-GB"/>
        </w:rPr>
        <w:t>, noted th</w:t>
      </w:r>
      <w:r w:rsidR="004B63A8" w:rsidRPr="00D53084">
        <w:rPr>
          <w:lang w:val="en-GB"/>
        </w:rPr>
        <w:t>at</w:t>
      </w:r>
      <w:r w:rsidRPr="00D53084">
        <w:rPr>
          <w:lang w:val="en-GB"/>
        </w:rPr>
        <w:t xml:space="preserve"> cost account</w:t>
      </w:r>
      <w:r w:rsidR="004B63A8" w:rsidRPr="00D53084">
        <w:rPr>
          <w:lang w:val="en-GB"/>
        </w:rPr>
        <w:t>ed</w:t>
      </w:r>
      <w:r w:rsidRPr="00D53084">
        <w:rPr>
          <w:lang w:val="en-GB"/>
        </w:rPr>
        <w:t xml:space="preserve"> for 50</w:t>
      </w:r>
      <w:r w:rsidR="004B63A8" w:rsidRPr="00D53084">
        <w:rPr>
          <w:lang w:val="en-GB"/>
        </w:rPr>
        <w:t xml:space="preserve"> per cent</w:t>
      </w:r>
      <w:r w:rsidRPr="00D53084">
        <w:rPr>
          <w:lang w:val="en-GB"/>
        </w:rPr>
        <w:t xml:space="preserve"> of the supplier assessment criteria, lead time for 30</w:t>
      </w:r>
      <w:r w:rsidR="004B63A8" w:rsidRPr="00D53084">
        <w:rPr>
          <w:lang w:val="en-GB"/>
        </w:rPr>
        <w:t xml:space="preserve"> per cent</w:t>
      </w:r>
      <w:r w:rsidRPr="00D53084">
        <w:rPr>
          <w:lang w:val="en-GB"/>
        </w:rPr>
        <w:t>, and risks for 20</w:t>
      </w:r>
      <w:r w:rsidR="004B63A8" w:rsidRPr="00D53084">
        <w:rPr>
          <w:lang w:val="en-GB"/>
        </w:rPr>
        <w:t xml:space="preserve"> per cent</w:t>
      </w:r>
      <w:r w:rsidRPr="00D53084">
        <w:rPr>
          <w:lang w:val="en-GB"/>
        </w:rPr>
        <w:t>. Brand operators usually gave priority to a supplier with a capability for vertical integration, R&amp;D, and manufacture of high-value-added products.</w:t>
      </w:r>
      <w:r w:rsidRPr="00D53084">
        <w:rPr>
          <w:rStyle w:val="EndnoteReference"/>
          <w:lang w:val="en-GB"/>
        </w:rPr>
        <w:endnoteReference w:id="16"/>
      </w:r>
    </w:p>
    <w:p w14:paraId="62619540" w14:textId="77777777" w:rsidR="009C1954" w:rsidRPr="00D53084" w:rsidRDefault="009C1954" w:rsidP="009C1954">
      <w:pPr>
        <w:pStyle w:val="BodyTextMain"/>
        <w:rPr>
          <w:sz w:val="20"/>
          <w:lang w:val="en-GB"/>
        </w:rPr>
      </w:pPr>
    </w:p>
    <w:p w14:paraId="54A7A99E" w14:textId="55D30849" w:rsidR="009C1954" w:rsidRPr="00D53084" w:rsidRDefault="009C1954" w:rsidP="009C1954">
      <w:pPr>
        <w:pStyle w:val="BodyTextMain"/>
        <w:rPr>
          <w:lang w:val="en-GB"/>
        </w:rPr>
      </w:pPr>
      <w:r w:rsidRPr="00D53084">
        <w:rPr>
          <w:lang w:val="en-GB"/>
        </w:rPr>
        <w:t>Compared with brand operators, suppliers</w:t>
      </w:r>
      <w:r w:rsidR="004B63A8" w:rsidRPr="00D53084">
        <w:rPr>
          <w:lang w:val="en-GB"/>
        </w:rPr>
        <w:t>—who</w:t>
      </w:r>
      <w:r w:rsidRPr="00D53084">
        <w:rPr>
          <w:lang w:val="en-GB"/>
        </w:rPr>
        <w:t xml:space="preserve"> competed fiercely with each other</w:t>
      </w:r>
      <w:r w:rsidR="004B63A8" w:rsidRPr="00D53084">
        <w:rPr>
          <w:lang w:val="en-GB"/>
        </w:rPr>
        <w:t>—</w:t>
      </w:r>
      <w:r w:rsidRPr="00D53084">
        <w:rPr>
          <w:lang w:val="en-GB"/>
        </w:rPr>
        <w:t>were in a weak position in the market (see</w:t>
      </w:r>
      <w:r w:rsidRPr="00D53084">
        <w:rPr>
          <w:b/>
          <w:lang w:val="en-GB"/>
        </w:rPr>
        <w:t xml:space="preserve"> </w:t>
      </w:r>
      <w:r w:rsidRPr="00D53084">
        <w:rPr>
          <w:lang w:val="en-GB"/>
        </w:rPr>
        <w:t>Exhibit 3). Brand operators could choose among suppliers around the world. They pit</w:t>
      </w:r>
      <w:r w:rsidR="00692504" w:rsidRPr="00D53084">
        <w:rPr>
          <w:lang w:val="en-GB"/>
        </w:rPr>
        <w:t>ted</w:t>
      </w:r>
      <w:r w:rsidRPr="00D53084">
        <w:rPr>
          <w:lang w:val="en-GB"/>
        </w:rPr>
        <w:t xml:space="preserve"> suppliers against each other to prevent them from jointly bargaining with brand operators. For example, Nike had 394 apparel suppliers worldwide in 2016, with 71 in China and 52 in Vietnam. Nike used its Sourcing &amp; Manufacturing Sustainability Index (SMSI) to sort suppliers into five categories by quantifying their capability for lean production, social responsibility, and environmental awareness. Quality, on-time delivery, cost, and sustainability were </w:t>
      </w:r>
      <w:r w:rsidR="004B63A8" w:rsidRPr="00D53084">
        <w:rPr>
          <w:lang w:val="en-GB"/>
        </w:rPr>
        <w:t xml:space="preserve">each </w:t>
      </w:r>
      <w:r w:rsidRPr="00D53084">
        <w:rPr>
          <w:lang w:val="en-GB"/>
        </w:rPr>
        <w:t>given a 25</w:t>
      </w:r>
      <w:r w:rsidR="00692504" w:rsidRPr="00D53084">
        <w:rPr>
          <w:lang w:val="en-GB"/>
        </w:rPr>
        <w:t>-</w:t>
      </w:r>
      <w:r w:rsidR="004B63A8" w:rsidRPr="00D53084">
        <w:rPr>
          <w:lang w:val="en-GB"/>
        </w:rPr>
        <w:t>per</w:t>
      </w:r>
      <w:r w:rsidR="00692504" w:rsidRPr="00D53084">
        <w:rPr>
          <w:lang w:val="en-GB"/>
        </w:rPr>
        <w:t>-</w:t>
      </w:r>
      <w:r w:rsidR="004B63A8" w:rsidRPr="00D53084">
        <w:rPr>
          <w:lang w:val="en-GB"/>
        </w:rPr>
        <w:t>cent</w:t>
      </w:r>
      <w:r w:rsidRPr="00D53084">
        <w:rPr>
          <w:lang w:val="en-GB"/>
        </w:rPr>
        <w:t xml:space="preserve"> weighting.</w:t>
      </w:r>
      <w:r w:rsidRPr="00D53084">
        <w:rPr>
          <w:rStyle w:val="EndnoteReference"/>
          <w:lang w:val="en-GB"/>
        </w:rPr>
        <w:endnoteReference w:id="17"/>
      </w:r>
      <w:r w:rsidRPr="00D53084">
        <w:rPr>
          <w:lang w:val="en-GB"/>
        </w:rPr>
        <w:t xml:space="preserve"> </w:t>
      </w:r>
    </w:p>
    <w:p w14:paraId="3F22E56B" w14:textId="77777777" w:rsidR="009C1954" w:rsidRPr="00D53084" w:rsidRDefault="009C1954" w:rsidP="009C1954">
      <w:pPr>
        <w:pStyle w:val="BodyTextMain"/>
        <w:rPr>
          <w:sz w:val="20"/>
          <w:lang w:val="en-GB"/>
        </w:rPr>
      </w:pPr>
    </w:p>
    <w:p w14:paraId="38C81D9A" w14:textId="4108AF37" w:rsidR="009C1954" w:rsidRPr="00D53084" w:rsidRDefault="009C1954" w:rsidP="009C1954">
      <w:pPr>
        <w:pStyle w:val="BodyTextMain"/>
        <w:rPr>
          <w:lang w:val="en-GB"/>
        </w:rPr>
      </w:pPr>
      <w:r w:rsidRPr="00D53084">
        <w:rPr>
          <w:lang w:val="en-GB"/>
        </w:rPr>
        <w:t xml:space="preserve">As for </w:t>
      </w:r>
      <w:r w:rsidR="00232CF7" w:rsidRPr="00D53084">
        <w:rPr>
          <w:lang w:val="en-GB"/>
        </w:rPr>
        <w:t xml:space="preserve">a </w:t>
      </w:r>
      <w:r w:rsidRPr="00D53084">
        <w:rPr>
          <w:lang w:val="en-GB"/>
        </w:rPr>
        <w:t>prevalent</w:t>
      </w:r>
      <w:r w:rsidR="00232CF7" w:rsidRPr="00D53084">
        <w:rPr>
          <w:lang w:val="en-GB"/>
        </w:rPr>
        <w:t xml:space="preserve"> purchase</w:t>
      </w:r>
      <w:r w:rsidRPr="00D53084">
        <w:rPr>
          <w:lang w:val="en-GB"/>
        </w:rPr>
        <w:t xml:space="preserve"> pattern, apparel brand operators tended to provide designs, designate a fabric supplier, and commission an OEM to manufacture</w:t>
      </w:r>
      <w:r w:rsidR="00232CF7" w:rsidRPr="00D53084">
        <w:rPr>
          <w:lang w:val="en-GB"/>
        </w:rPr>
        <w:t xml:space="preserve"> the</w:t>
      </w:r>
      <w:r w:rsidRPr="00D53084">
        <w:rPr>
          <w:lang w:val="en-GB"/>
        </w:rPr>
        <w:t xml:space="preserve"> apparel. </w:t>
      </w:r>
      <w:r w:rsidR="00EF184A" w:rsidRPr="00D53084">
        <w:rPr>
          <w:lang w:val="en-GB"/>
        </w:rPr>
        <w:t>A</w:t>
      </w:r>
      <w:r w:rsidRPr="00D53084">
        <w:rPr>
          <w:lang w:val="en-GB"/>
        </w:rPr>
        <w:t xml:space="preserve"> survey by </w:t>
      </w:r>
      <w:r w:rsidR="00EF184A" w:rsidRPr="00D53084">
        <w:rPr>
          <w:lang w:val="en-GB"/>
        </w:rPr>
        <w:t>the United States Fashion Industry Association (</w:t>
      </w:r>
      <w:r w:rsidRPr="00D53084">
        <w:rPr>
          <w:lang w:val="en-GB"/>
        </w:rPr>
        <w:t>USFIA</w:t>
      </w:r>
      <w:r w:rsidR="00EF184A" w:rsidRPr="00D53084">
        <w:rPr>
          <w:lang w:val="en-GB"/>
        </w:rPr>
        <w:t>)</w:t>
      </w:r>
      <w:r w:rsidRPr="00D53084">
        <w:rPr>
          <w:lang w:val="en-GB"/>
        </w:rPr>
        <w:t xml:space="preserve"> indicated </w:t>
      </w:r>
      <w:r w:rsidR="00EF184A" w:rsidRPr="00D53084">
        <w:rPr>
          <w:lang w:val="en-GB"/>
        </w:rPr>
        <w:t xml:space="preserve">that </w:t>
      </w:r>
      <w:r w:rsidRPr="00D53084">
        <w:rPr>
          <w:lang w:val="en-GB"/>
        </w:rPr>
        <w:t xml:space="preserve">a growing proportion of apparel manufacturers had been permitted to participate in product designs and </w:t>
      </w:r>
      <w:r w:rsidR="00EF184A" w:rsidRPr="00D53084">
        <w:rPr>
          <w:lang w:val="en-GB"/>
        </w:rPr>
        <w:t xml:space="preserve">to </w:t>
      </w:r>
      <w:r w:rsidRPr="00D53084">
        <w:rPr>
          <w:lang w:val="en-GB"/>
        </w:rPr>
        <w:t xml:space="preserve">purchase fabrics independently. For brand operators, the vertical integration of manufacturers could lead to greater efficiency, </w:t>
      </w:r>
      <w:r w:rsidR="00232CF7" w:rsidRPr="00D53084">
        <w:rPr>
          <w:lang w:val="en-GB"/>
        </w:rPr>
        <w:t xml:space="preserve">a </w:t>
      </w:r>
      <w:r w:rsidRPr="00D53084">
        <w:rPr>
          <w:lang w:val="en-GB"/>
        </w:rPr>
        <w:t xml:space="preserve">lower </w:t>
      </w:r>
      <w:r w:rsidR="00EF184A" w:rsidRPr="00D53084">
        <w:rPr>
          <w:lang w:val="en-GB"/>
        </w:rPr>
        <w:t xml:space="preserve">purchase </w:t>
      </w:r>
      <w:r w:rsidRPr="00D53084">
        <w:rPr>
          <w:lang w:val="en-GB"/>
        </w:rPr>
        <w:t>cost, and quicker response</w:t>
      </w:r>
      <w:r w:rsidR="00EF184A" w:rsidRPr="00D53084">
        <w:rPr>
          <w:lang w:val="en-GB"/>
        </w:rPr>
        <w:t>s</w:t>
      </w:r>
      <w:r w:rsidRPr="00D53084">
        <w:rPr>
          <w:lang w:val="en-GB"/>
        </w:rPr>
        <w:t xml:space="preserve"> across the supply chain.</w:t>
      </w:r>
    </w:p>
    <w:p w14:paraId="70246DB7" w14:textId="77777777" w:rsidR="009C1954" w:rsidRPr="00D53084" w:rsidRDefault="009C1954" w:rsidP="009C1954">
      <w:pPr>
        <w:pStyle w:val="BodyTextMain"/>
        <w:rPr>
          <w:sz w:val="20"/>
          <w:lang w:val="en-GB"/>
        </w:rPr>
      </w:pPr>
    </w:p>
    <w:p w14:paraId="4091FE57" w14:textId="11FEFE04" w:rsidR="009C1954" w:rsidRPr="00D53084" w:rsidRDefault="009C1954" w:rsidP="009C1954">
      <w:pPr>
        <w:pStyle w:val="BodyTextMain"/>
        <w:rPr>
          <w:lang w:val="en-GB"/>
        </w:rPr>
      </w:pPr>
      <w:r w:rsidRPr="00D53084">
        <w:rPr>
          <w:lang w:val="en-GB"/>
        </w:rPr>
        <w:t xml:space="preserve">According </w:t>
      </w:r>
      <w:r w:rsidR="004B63A8" w:rsidRPr="00D53084">
        <w:rPr>
          <w:lang w:val="en-GB"/>
        </w:rPr>
        <w:t xml:space="preserve">to </w:t>
      </w:r>
      <w:r w:rsidR="00232CF7" w:rsidRPr="00D53084">
        <w:rPr>
          <w:lang w:val="en-GB"/>
        </w:rPr>
        <w:t xml:space="preserve">the </w:t>
      </w:r>
      <w:r w:rsidRPr="00D53084">
        <w:rPr>
          <w:lang w:val="en-GB"/>
        </w:rPr>
        <w:t>USFIA’s survey, the following abilities would give a supplier a strong competitive edge:</w:t>
      </w:r>
    </w:p>
    <w:p w14:paraId="3BD728FF" w14:textId="77777777" w:rsidR="009C1954" w:rsidRPr="00D53084" w:rsidRDefault="009C1954" w:rsidP="009C1954">
      <w:pPr>
        <w:pStyle w:val="BodyTextMain"/>
        <w:rPr>
          <w:sz w:val="20"/>
          <w:lang w:val="en-GB"/>
        </w:rPr>
      </w:pPr>
    </w:p>
    <w:p w14:paraId="484C8CDD" w14:textId="1C19196A" w:rsidR="009C1954" w:rsidRPr="00D53084" w:rsidRDefault="00692504" w:rsidP="009C1954">
      <w:pPr>
        <w:pStyle w:val="BodyTextMain"/>
        <w:numPr>
          <w:ilvl w:val="0"/>
          <w:numId w:val="9"/>
        </w:numPr>
        <w:rPr>
          <w:lang w:val="en-GB"/>
        </w:rPr>
      </w:pPr>
      <w:r w:rsidRPr="00D53084">
        <w:rPr>
          <w:lang w:val="en-GB"/>
        </w:rPr>
        <w:t>H</w:t>
      </w:r>
      <w:r w:rsidR="009C1954" w:rsidRPr="00D53084">
        <w:rPr>
          <w:lang w:val="en-GB"/>
        </w:rPr>
        <w:t>elp</w:t>
      </w:r>
      <w:r w:rsidRPr="00D53084">
        <w:rPr>
          <w:lang w:val="en-GB"/>
        </w:rPr>
        <w:t>ing</w:t>
      </w:r>
      <w:r w:rsidR="009C1954" w:rsidRPr="00D53084">
        <w:rPr>
          <w:lang w:val="en-GB"/>
        </w:rPr>
        <w:t xml:space="preserve"> clients develop and manufacture high-value-added products</w:t>
      </w:r>
    </w:p>
    <w:p w14:paraId="3BC4C60A" w14:textId="71C80C9C" w:rsidR="009C1954" w:rsidRPr="00D53084" w:rsidRDefault="00692504" w:rsidP="009C1954">
      <w:pPr>
        <w:pStyle w:val="BodyTextMain"/>
        <w:numPr>
          <w:ilvl w:val="0"/>
          <w:numId w:val="9"/>
        </w:numPr>
        <w:rPr>
          <w:spacing w:val="-2"/>
          <w:lang w:val="en-GB"/>
        </w:rPr>
      </w:pPr>
      <w:r w:rsidRPr="00D53084">
        <w:rPr>
          <w:spacing w:val="-2"/>
          <w:lang w:val="en-GB"/>
        </w:rPr>
        <w:t>P</w:t>
      </w:r>
      <w:r w:rsidR="009C1954" w:rsidRPr="00D53084">
        <w:rPr>
          <w:spacing w:val="-2"/>
          <w:lang w:val="en-GB"/>
        </w:rPr>
        <w:t>romoting environmental protection and settling labo</w:t>
      </w:r>
      <w:r w:rsidRPr="00D53084">
        <w:rPr>
          <w:spacing w:val="-2"/>
          <w:lang w:val="en-GB"/>
        </w:rPr>
        <w:t>u</w:t>
      </w:r>
      <w:r w:rsidR="009C1954" w:rsidRPr="00D53084">
        <w:rPr>
          <w:spacing w:val="-2"/>
          <w:lang w:val="en-GB"/>
        </w:rPr>
        <w:t xml:space="preserve">r disputes so as to maintain sustainable capacity </w:t>
      </w:r>
    </w:p>
    <w:p w14:paraId="06EE399D" w14:textId="599B2339" w:rsidR="009C1954" w:rsidRPr="00D53084" w:rsidRDefault="00692504" w:rsidP="009C1954">
      <w:pPr>
        <w:pStyle w:val="BodyTextMain"/>
        <w:numPr>
          <w:ilvl w:val="0"/>
          <w:numId w:val="9"/>
        </w:numPr>
        <w:rPr>
          <w:lang w:val="en-GB"/>
        </w:rPr>
      </w:pPr>
      <w:r w:rsidRPr="00D53084">
        <w:rPr>
          <w:lang w:val="en-GB"/>
        </w:rPr>
        <w:t>Ensuring p</w:t>
      </w:r>
      <w:r w:rsidR="009C1954" w:rsidRPr="00D53084">
        <w:rPr>
          <w:lang w:val="en-GB"/>
        </w:rPr>
        <w:t>roper regional distribution that complied with brand operators’ requirement to spread regional risks and make the supply chain more efficient</w:t>
      </w:r>
    </w:p>
    <w:p w14:paraId="7C24F68D" w14:textId="210B2886" w:rsidR="009C1954" w:rsidRPr="00D53084" w:rsidRDefault="00692504" w:rsidP="009C1954">
      <w:pPr>
        <w:pStyle w:val="BodyTextMain"/>
        <w:numPr>
          <w:ilvl w:val="0"/>
          <w:numId w:val="9"/>
        </w:numPr>
        <w:rPr>
          <w:lang w:val="en-GB"/>
        </w:rPr>
      </w:pPr>
      <w:r w:rsidRPr="00D53084">
        <w:rPr>
          <w:lang w:val="en-GB"/>
        </w:rPr>
        <w:t xml:space="preserve">Having </w:t>
      </w:r>
      <w:r w:rsidR="009C1954" w:rsidRPr="00D53084">
        <w:rPr>
          <w:lang w:val="en-GB"/>
        </w:rPr>
        <w:t>vertical, integrated</w:t>
      </w:r>
      <w:r w:rsidRPr="00D53084">
        <w:rPr>
          <w:lang w:val="en-GB"/>
        </w:rPr>
        <w:t>,</w:t>
      </w:r>
      <w:r w:rsidR="009C1954" w:rsidRPr="00D53084">
        <w:rPr>
          <w:lang w:val="en-GB"/>
        </w:rPr>
        <w:t xml:space="preserve"> or one-stop production to ensure on-time delivery, lower brand operators’ cost of purchase, and enhance efficiency in procurement</w:t>
      </w:r>
      <w:r w:rsidR="009C1954" w:rsidRPr="00D53084">
        <w:rPr>
          <w:rStyle w:val="EndnoteReference"/>
          <w:lang w:val="en-GB"/>
        </w:rPr>
        <w:endnoteReference w:id="18"/>
      </w:r>
    </w:p>
    <w:p w14:paraId="31137A1B" w14:textId="77777777" w:rsidR="009C1954" w:rsidRPr="00D53084" w:rsidRDefault="009C1954" w:rsidP="009C1954">
      <w:pPr>
        <w:pStyle w:val="BodyTextMain"/>
        <w:rPr>
          <w:rFonts w:eastAsiaTheme="minorEastAsia"/>
          <w:kern w:val="2"/>
          <w:sz w:val="20"/>
          <w:lang w:val="en-GB"/>
        </w:rPr>
      </w:pPr>
    </w:p>
    <w:p w14:paraId="53403373" w14:textId="51682AEA" w:rsidR="009C1954" w:rsidRPr="00D53084" w:rsidRDefault="009C1954" w:rsidP="009C1954">
      <w:pPr>
        <w:pStyle w:val="BodyTextMain"/>
        <w:rPr>
          <w:rFonts w:eastAsiaTheme="minorEastAsia"/>
          <w:kern w:val="2"/>
          <w:lang w:val="en-GB"/>
        </w:rPr>
      </w:pPr>
      <w:r w:rsidRPr="00D53084">
        <w:rPr>
          <w:lang w:val="en-GB"/>
        </w:rPr>
        <w:t xml:space="preserve">After receiving an order, an apparel manufacturer </w:t>
      </w:r>
      <w:r w:rsidR="007F1177" w:rsidRPr="00D53084">
        <w:rPr>
          <w:lang w:val="en-GB"/>
        </w:rPr>
        <w:t>had</w:t>
      </w:r>
      <w:r w:rsidRPr="00D53084">
        <w:rPr>
          <w:lang w:val="en-GB"/>
        </w:rPr>
        <w:t xml:space="preserve"> to spend </w:t>
      </w:r>
      <w:r w:rsidR="00580036" w:rsidRPr="00D53084">
        <w:rPr>
          <w:rFonts w:eastAsiaTheme="minorEastAsia"/>
          <w:lang w:val="en-GB" w:eastAsia="zh-CN"/>
        </w:rPr>
        <w:t xml:space="preserve">about </w:t>
      </w:r>
      <w:r w:rsidRPr="00D53084">
        <w:rPr>
          <w:lang w:val="en-GB"/>
        </w:rPr>
        <w:t xml:space="preserve">one and a half months sourcing fabrics. </w:t>
      </w:r>
      <w:r w:rsidR="00580036" w:rsidRPr="00D53084">
        <w:rPr>
          <w:lang w:val="en-GB"/>
        </w:rPr>
        <w:t>Besides this, additional time might be required for any uncertainties that arose over quality control.</w:t>
      </w:r>
      <w:r w:rsidRPr="00D53084">
        <w:rPr>
          <w:lang w:val="en-GB"/>
        </w:rPr>
        <w:t xml:space="preserve"> Knitted apparel manufacturing was a multi-step process. </w:t>
      </w:r>
      <w:r w:rsidRPr="00D53084">
        <w:rPr>
          <w:rFonts w:eastAsiaTheme="minorEastAsia"/>
          <w:kern w:val="2"/>
          <w:lang w:val="en-GB"/>
        </w:rPr>
        <w:t xml:space="preserve">Shenzhou International had been brand </w:t>
      </w:r>
      <w:r w:rsidRPr="00D53084">
        <w:rPr>
          <w:lang w:val="en-GB"/>
        </w:rPr>
        <w:t>operators</w:t>
      </w:r>
      <w:r w:rsidRPr="00D53084">
        <w:rPr>
          <w:rFonts w:eastAsiaTheme="minorEastAsia"/>
          <w:kern w:val="2"/>
          <w:lang w:val="en-GB"/>
        </w:rPr>
        <w:t>’ top choice, thanks to its vertical integration strategy</w:t>
      </w:r>
      <w:r w:rsidR="007F1177" w:rsidRPr="00D53084">
        <w:rPr>
          <w:rFonts w:eastAsiaTheme="minorEastAsia"/>
          <w:kern w:val="2"/>
          <w:lang w:val="en-GB"/>
        </w:rPr>
        <w:t>,</w:t>
      </w:r>
      <w:r w:rsidRPr="00D53084">
        <w:rPr>
          <w:rFonts w:eastAsiaTheme="minorEastAsia"/>
          <w:kern w:val="2"/>
          <w:lang w:val="en-GB"/>
        </w:rPr>
        <w:t xml:space="preserve"> </w:t>
      </w:r>
      <w:r w:rsidR="007F1177" w:rsidRPr="00D53084">
        <w:rPr>
          <w:rFonts w:eastAsiaTheme="minorEastAsia"/>
          <w:kern w:val="2"/>
          <w:lang w:val="en-GB"/>
        </w:rPr>
        <w:t>which</w:t>
      </w:r>
      <w:r w:rsidRPr="00D53084">
        <w:rPr>
          <w:rFonts w:eastAsiaTheme="minorEastAsia"/>
          <w:kern w:val="2"/>
          <w:lang w:val="en-GB"/>
        </w:rPr>
        <w:t xml:space="preserve"> improved the efficiency of the supply chain and responsiveness to client needs. As part of </w:t>
      </w:r>
      <w:r w:rsidR="007F1177" w:rsidRPr="00D53084">
        <w:rPr>
          <w:rFonts w:eastAsiaTheme="minorEastAsia"/>
          <w:kern w:val="2"/>
          <w:lang w:val="en-GB"/>
        </w:rPr>
        <w:t>a</w:t>
      </w:r>
      <w:r w:rsidRPr="00D53084">
        <w:rPr>
          <w:rFonts w:eastAsiaTheme="minorEastAsia"/>
          <w:kern w:val="2"/>
          <w:lang w:val="en-GB"/>
        </w:rPr>
        <w:t xml:space="preserve"> community of common destiny, sports and casual clothing brand operators, such as Nike, </w:t>
      </w:r>
      <w:proofErr w:type="spellStart"/>
      <w:r w:rsidRPr="00D53084">
        <w:rPr>
          <w:rFonts w:eastAsiaTheme="minorEastAsia"/>
          <w:kern w:val="2"/>
          <w:lang w:val="en-GB"/>
        </w:rPr>
        <w:t>Uniqlo</w:t>
      </w:r>
      <w:proofErr w:type="spellEnd"/>
      <w:r w:rsidRPr="00D53084">
        <w:rPr>
          <w:rFonts w:eastAsiaTheme="minorEastAsia"/>
          <w:kern w:val="2"/>
          <w:lang w:val="en-GB"/>
        </w:rPr>
        <w:t>, Adidas</w:t>
      </w:r>
      <w:r w:rsidR="007F1177" w:rsidRPr="00D53084">
        <w:rPr>
          <w:rFonts w:eastAsiaTheme="minorEastAsia"/>
          <w:kern w:val="2"/>
          <w:lang w:val="en-GB"/>
        </w:rPr>
        <w:t>,</w:t>
      </w:r>
      <w:r w:rsidRPr="00D53084">
        <w:rPr>
          <w:rFonts w:eastAsiaTheme="minorEastAsia"/>
          <w:kern w:val="2"/>
          <w:lang w:val="en-GB"/>
        </w:rPr>
        <w:t xml:space="preserve"> and Puma, guaranteed the volume of orders they placed with Shenzhou International. In the first half of 2016, Shenzhou International took many rush orders from </w:t>
      </w:r>
      <w:proofErr w:type="spellStart"/>
      <w:r w:rsidRPr="00D53084">
        <w:rPr>
          <w:rFonts w:eastAsiaTheme="minorEastAsia"/>
          <w:kern w:val="2"/>
          <w:lang w:val="en-GB"/>
        </w:rPr>
        <w:t>Uniqlo</w:t>
      </w:r>
      <w:proofErr w:type="spellEnd"/>
      <w:r w:rsidRPr="00D53084">
        <w:rPr>
          <w:rFonts w:eastAsiaTheme="minorEastAsia"/>
          <w:kern w:val="2"/>
          <w:lang w:val="en-GB"/>
        </w:rPr>
        <w:t xml:space="preserve">. As a result, the company’s sales to </w:t>
      </w:r>
      <w:proofErr w:type="spellStart"/>
      <w:r w:rsidRPr="00D53084">
        <w:rPr>
          <w:rFonts w:eastAsiaTheme="minorEastAsia"/>
          <w:kern w:val="2"/>
          <w:lang w:val="en-GB"/>
        </w:rPr>
        <w:t>Uniqlo</w:t>
      </w:r>
      <w:proofErr w:type="spellEnd"/>
      <w:r w:rsidRPr="00D53084">
        <w:rPr>
          <w:rFonts w:eastAsiaTheme="minorEastAsia"/>
          <w:kern w:val="2"/>
          <w:lang w:val="en-GB"/>
        </w:rPr>
        <w:t xml:space="preserve"> rose by 25</w:t>
      </w:r>
      <w:r w:rsidR="007F1177" w:rsidRPr="00D53084">
        <w:rPr>
          <w:rFonts w:eastAsiaTheme="minorEastAsia"/>
          <w:kern w:val="2"/>
          <w:lang w:val="en-GB"/>
        </w:rPr>
        <w:t xml:space="preserve"> per cent</w:t>
      </w:r>
      <w:r w:rsidRPr="00D53084">
        <w:rPr>
          <w:rFonts w:eastAsiaTheme="minorEastAsia"/>
          <w:kern w:val="2"/>
          <w:lang w:val="en-GB"/>
        </w:rPr>
        <w:t xml:space="preserve"> year</w:t>
      </w:r>
      <w:r w:rsidR="005772FD" w:rsidRPr="00D53084">
        <w:rPr>
          <w:rFonts w:eastAsiaTheme="minorEastAsia"/>
          <w:kern w:val="2"/>
          <w:lang w:val="en-GB"/>
        </w:rPr>
        <w:t xml:space="preserve"> </w:t>
      </w:r>
      <w:r w:rsidRPr="00D53084">
        <w:rPr>
          <w:rFonts w:eastAsiaTheme="minorEastAsia"/>
          <w:kern w:val="2"/>
          <w:lang w:val="en-GB"/>
        </w:rPr>
        <w:t>on</w:t>
      </w:r>
      <w:r w:rsidR="005772FD" w:rsidRPr="00D53084">
        <w:rPr>
          <w:rFonts w:eastAsiaTheme="minorEastAsia"/>
          <w:kern w:val="2"/>
          <w:lang w:val="en-GB"/>
        </w:rPr>
        <w:t xml:space="preserve"> </w:t>
      </w:r>
      <w:r w:rsidRPr="00D53084">
        <w:rPr>
          <w:rFonts w:eastAsiaTheme="minorEastAsia"/>
          <w:kern w:val="2"/>
          <w:lang w:val="en-GB"/>
        </w:rPr>
        <w:t>year</w:t>
      </w:r>
      <w:r w:rsidR="00692504" w:rsidRPr="00D53084">
        <w:rPr>
          <w:rFonts w:eastAsiaTheme="minorEastAsia"/>
          <w:kern w:val="2"/>
          <w:lang w:val="en-GB"/>
        </w:rPr>
        <w:t>—</w:t>
      </w:r>
      <w:r w:rsidRPr="00D53084">
        <w:rPr>
          <w:rFonts w:eastAsiaTheme="minorEastAsia"/>
          <w:kern w:val="2"/>
          <w:lang w:val="en-GB"/>
        </w:rPr>
        <w:t xml:space="preserve">the company posted a year-on-year increase of </w:t>
      </w:r>
      <w:r w:rsidRPr="00D53084">
        <w:rPr>
          <w:kern w:val="2"/>
          <w:lang w:val="en-GB"/>
        </w:rPr>
        <w:t>27</w:t>
      </w:r>
      <w:r w:rsidR="007F1177" w:rsidRPr="00D53084">
        <w:rPr>
          <w:kern w:val="2"/>
          <w:lang w:val="en-GB"/>
        </w:rPr>
        <w:t xml:space="preserve"> per cent</w:t>
      </w:r>
      <w:r w:rsidRPr="00D53084">
        <w:rPr>
          <w:kern w:val="2"/>
          <w:lang w:val="en-GB"/>
        </w:rPr>
        <w:t xml:space="preserve"> and 23</w:t>
      </w:r>
      <w:r w:rsidR="007F1177" w:rsidRPr="00D53084">
        <w:rPr>
          <w:kern w:val="2"/>
          <w:lang w:val="en-GB"/>
        </w:rPr>
        <w:t xml:space="preserve"> per cent</w:t>
      </w:r>
      <w:r w:rsidRPr="00D53084">
        <w:rPr>
          <w:kern w:val="2"/>
          <w:lang w:val="en-GB"/>
        </w:rPr>
        <w:t xml:space="preserve"> </w:t>
      </w:r>
      <w:r w:rsidRPr="00D53084">
        <w:rPr>
          <w:rFonts w:eastAsiaTheme="minorEastAsia"/>
          <w:kern w:val="2"/>
          <w:lang w:val="en-GB"/>
        </w:rPr>
        <w:t>in revenue from casual clothing and underwear</w:t>
      </w:r>
      <w:r w:rsidR="007F1177" w:rsidRPr="00D53084">
        <w:rPr>
          <w:rFonts w:eastAsiaTheme="minorEastAsia"/>
          <w:kern w:val="2"/>
          <w:lang w:val="en-GB"/>
        </w:rPr>
        <w:t>,</w:t>
      </w:r>
      <w:r w:rsidRPr="00D53084">
        <w:rPr>
          <w:rFonts w:eastAsiaTheme="minorEastAsia"/>
          <w:kern w:val="2"/>
          <w:lang w:val="en-GB"/>
        </w:rPr>
        <w:t xml:space="preserve"> respectively</w:t>
      </w:r>
      <w:r w:rsidR="00692504" w:rsidRPr="00D53084">
        <w:rPr>
          <w:rFonts w:eastAsiaTheme="minorEastAsia"/>
          <w:kern w:val="2"/>
          <w:lang w:val="en-GB"/>
        </w:rPr>
        <w:t>;</w:t>
      </w:r>
      <w:r w:rsidRPr="00D53084">
        <w:rPr>
          <w:rFonts w:eastAsiaTheme="minorEastAsia"/>
          <w:kern w:val="2"/>
          <w:lang w:val="en-GB"/>
        </w:rPr>
        <w:t xml:space="preserve"> </w:t>
      </w:r>
      <w:r w:rsidR="00692504" w:rsidRPr="00D53084">
        <w:rPr>
          <w:rFonts w:eastAsiaTheme="minorEastAsia"/>
          <w:kern w:val="2"/>
          <w:lang w:val="en-GB"/>
        </w:rPr>
        <w:t>the</w:t>
      </w:r>
      <w:r w:rsidRPr="00D53084">
        <w:rPr>
          <w:rFonts w:eastAsiaTheme="minorEastAsia"/>
          <w:kern w:val="2"/>
          <w:lang w:val="en-GB"/>
        </w:rPr>
        <w:t xml:space="preserve"> average selling prices </w:t>
      </w:r>
      <w:r w:rsidR="00692504" w:rsidRPr="00D53084">
        <w:rPr>
          <w:rFonts w:eastAsiaTheme="minorEastAsia"/>
          <w:kern w:val="2"/>
          <w:lang w:val="en-GB"/>
        </w:rPr>
        <w:t xml:space="preserve">of these </w:t>
      </w:r>
      <w:r w:rsidR="007F1177" w:rsidRPr="00D53084">
        <w:rPr>
          <w:rFonts w:eastAsiaTheme="minorEastAsia"/>
          <w:kern w:val="2"/>
          <w:lang w:val="en-GB"/>
        </w:rPr>
        <w:t>rose</w:t>
      </w:r>
      <w:r w:rsidRPr="00D53084">
        <w:rPr>
          <w:rFonts w:eastAsiaTheme="minorEastAsia"/>
          <w:kern w:val="2"/>
          <w:lang w:val="en-GB"/>
        </w:rPr>
        <w:t xml:space="preserve"> 5</w:t>
      </w:r>
      <w:r w:rsidR="007F1177" w:rsidRPr="00D53084">
        <w:rPr>
          <w:rFonts w:eastAsiaTheme="minorEastAsia"/>
          <w:kern w:val="2"/>
          <w:lang w:val="en-GB"/>
        </w:rPr>
        <w:t xml:space="preserve"> per cent</w:t>
      </w:r>
      <w:r w:rsidRPr="00D53084">
        <w:rPr>
          <w:rFonts w:eastAsiaTheme="minorEastAsia"/>
          <w:kern w:val="2"/>
          <w:lang w:val="en-GB"/>
        </w:rPr>
        <w:t>.</w:t>
      </w:r>
      <w:r w:rsidRPr="00D53084">
        <w:rPr>
          <w:rStyle w:val="EndnoteReference"/>
          <w:rFonts w:eastAsiaTheme="minorEastAsia"/>
          <w:kern w:val="2"/>
          <w:lang w:val="en-GB"/>
        </w:rPr>
        <w:endnoteReference w:id="19"/>
      </w:r>
    </w:p>
    <w:p w14:paraId="671ADEAD" w14:textId="77777777" w:rsidR="00122DFC" w:rsidRPr="00D53084" w:rsidRDefault="00122DFC" w:rsidP="009C1954">
      <w:pPr>
        <w:pStyle w:val="BodyTextMain"/>
        <w:rPr>
          <w:rFonts w:eastAsiaTheme="minorEastAsia"/>
          <w:kern w:val="2"/>
          <w:lang w:val="en-GB"/>
        </w:rPr>
      </w:pPr>
    </w:p>
    <w:p w14:paraId="797DDF1A" w14:textId="3F71E66C" w:rsidR="00EC5CC6" w:rsidRDefault="009C1954" w:rsidP="009C1954">
      <w:pPr>
        <w:pStyle w:val="BodyTextMain"/>
        <w:rPr>
          <w:rFonts w:eastAsiaTheme="minorEastAsia"/>
          <w:lang w:val="en-GB"/>
        </w:rPr>
      </w:pPr>
      <w:r w:rsidRPr="00D53084">
        <w:rPr>
          <w:rFonts w:eastAsiaTheme="minorEastAsia"/>
          <w:lang w:val="en-GB"/>
        </w:rPr>
        <w:t xml:space="preserve">While setting top brand operators as key accounts, </w:t>
      </w:r>
      <w:r w:rsidRPr="00D53084">
        <w:rPr>
          <w:rFonts w:eastAsiaTheme="minorEastAsia"/>
          <w:kern w:val="2"/>
          <w:lang w:val="en-GB"/>
        </w:rPr>
        <w:t xml:space="preserve">Shenzhou International had opened an exclusive factory for </w:t>
      </w:r>
      <w:r w:rsidR="00580036" w:rsidRPr="00D53084">
        <w:rPr>
          <w:rFonts w:eastAsiaTheme="minorEastAsia"/>
          <w:kern w:val="2"/>
          <w:lang w:val="en-GB" w:eastAsia="zh-CN"/>
        </w:rPr>
        <w:t>Nike and Adidas</w:t>
      </w:r>
      <w:r w:rsidRPr="00D53084">
        <w:rPr>
          <w:rFonts w:eastAsiaTheme="minorEastAsia"/>
          <w:kern w:val="2"/>
          <w:lang w:val="en-GB"/>
        </w:rPr>
        <w:t xml:space="preserve"> to safeguard their trade secrets. The two factories were completely cut off from each </w:t>
      </w:r>
      <w:r w:rsidRPr="00D53084">
        <w:rPr>
          <w:rFonts w:eastAsiaTheme="minorEastAsia"/>
          <w:kern w:val="2"/>
          <w:lang w:val="en-GB"/>
        </w:rPr>
        <w:lastRenderedPageBreak/>
        <w:t xml:space="preserve">other in terms of personnel management, product R&amp;D, and production. </w:t>
      </w:r>
      <w:proofErr w:type="spellStart"/>
      <w:r w:rsidRPr="00D53084">
        <w:rPr>
          <w:rFonts w:eastAsiaTheme="minorEastAsia"/>
          <w:kern w:val="2"/>
          <w:lang w:val="en-GB"/>
        </w:rPr>
        <w:t>Uniqlo</w:t>
      </w:r>
      <w:proofErr w:type="spellEnd"/>
      <w:r w:rsidRPr="00D53084">
        <w:rPr>
          <w:rFonts w:eastAsiaTheme="minorEastAsia"/>
          <w:kern w:val="2"/>
          <w:lang w:val="en-GB"/>
        </w:rPr>
        <w:t>, Nike, Adidas</w:t>
      </w:r>
      <w:r w:rsidR="00692504" w:rsidRPr="00D53084">
        <w:rPr>
          <w:rFonts w:eastAsiaTheme="minorEastAsia"/>
          <w:kern w:val="2"/>
          <w:lang w:val="en-GB"/>
        </w:rPr>
        <w:t>,</w:t>
      </w:r>
      <w:r w:rsidRPr="00D53084">
        <w:rPr>
          <w:rFonts w:eastAsiaTheme="minorEastAsia"/>
          <w:kern w:val="2"/>
          <w:lang w:val="en-GB"/>
        </w:rPr>
        <w:t xml:space="preserve"> and Puma had accounted for over 90</w:t>
      </w:r>
      <w:r w:rsidR="007B4965" w:rsidRPr="00D53084">
        <w:rPr>
          <w:rFonts w:eastAsiaTheme="minorEastAsia"/>
          <w:kern w:val="2"/>
          <w:lang w:val="en-GB"/>
        </w:rPr>
        <w:t xml:space="preserve"> per cent</w:t>
      </w:r>
      <w:r w:rsidRPr="00D53084">
        <w:rPr>
          <w:rFonts w:eastAsiaTheme="minorEastAsia"/>
          <w:kern w:val="2"/>
          <w:lang w:val="en-GB"/>
        </w:rPr>
        <w:t xml:space="preserve"> of Shenzhou International’s sales for </w:t>
      </w:r>
      <w:r w:rsidR="007B4965" w:rsidRPr="00D53084">
        <w:rPr>
          <w:rFonts w:eastAsiaTheme="minorEastAsia"/>
          <w:kern w:val="2"/>
          <w:lang w:val="en-GB"/>
        </w:rPr>
        <w:t xml:space="preserve">three </w:t>
      </w:r>
      <w:r w:rsidRPr="00D53084">
        <w:rPr>
          <w:rFonts w:eastAsiaTheme="minorEastAsia"/>
          <w:kern w:val="2"/>
          <w:lang w:val="en-GB"/>
        </w:rPr>
        <w:t>consecutive years (see</w:t>
      </w:r>
      <w:r w:rsidRPr="00D53084">
        <w:rPr>
          <w:rFonts w:eastAsiaTheme="minorEastAsia"/>
          <w:b/>
          <w:kern w:val="2"/>
          <w:lang w:val="en-GB"/>
        </w:rPr>
        <w:t xml:space="preserve"> </w:t>
      </w:r>
      <w:r w:rsidRPr="00D53084">
        <w:rPr>
          <w:rFonts w:eastAsiaTheme="minorEastAsia"/>
          <w:kern w:val="2"/>
          <w:lang w:val="en-GB"/>
        </w:rPr>
        <w:t xml:space="preserve">Exhibit 4). In addition, Shenzhou International also zoomed in on an </w:t>
      </w:r>
      <w:r w:rsidR="007B4965" w:rsidRPr="00D53084">
        <w:rPr>
          <w:rFonts w:eastAsiaTheme="minorEastAsia"/>
          <w:kern w:val="2"/>
          <w:lang w:val="en-GB"/>
        </w:rPr>
        <w:t>information technology</w:t>
      </w:r>
      <w:r w:rsidR="00707849" w:rsidRPr="00D53084">
        <w:rPr>
          <w:rFonts w:eastAsiaTheme="minorEastAsia"/>
          <w:kern w:val="2"/>
          <w:lang w:val="en-GB"/>
        </w:rPr>
        <w:t xml:space="preserve"> (</w:t>
      </w:r>
      <w:r w:rsidRPr="00D53084">
        <w:rPr>
          <w:rFonts w:eastAsiaTheme="minorEastAsia"/>
          <w:kern w:val="2"/>
          <w:lang w:val="en-GB"/>
        </w:rPr>
        <w:t>IT</w:t>
      </w:r>
      <w:r w:rsidR="00707849" w:rsidRPr="00D53084">
        <w:rPr>
          <w:rFonts w:eastAsiaTheme="minorEastAsia"/>
          <w:kern w:val="2"/>
          <w:lang w:val="en-GB"/>
        </w:rPr>
        <w:t>)</w:t>
      </w:r>
      <w:r w:rsidRPr="00D53084">
        <w:rPr>
          <w:rFonts w:eastAsiaTheme="minorEastAsia"/>
          <w:kern w:val="2"/>
          <w:lang w:val="en-GB"/>
        </w:rPr>
        <w:t xml:space="preserve">-based, automated factory with over 10,000 employees, whose productivity far </w:t>
      </w:r>
      <w:r w:rsidR="00692504" w:rsidRPr="00D53084">
        <w:rPr>
          <w:rFonts w:eastAsiaTheme="minorEastAsia"/>
          <w:kern w:val="2"/>
          <w:lang w:val="en-GB"/>
        </w:rPr>
        <w:t>exceeded</w:t>
      </w:r>
      <w:r w:rsidRPr="00D53084">
        <w:rPr>
          <w:rFonts w:eastAsiaTheme="minorEastAsia"/>
          <w:kern w:val="2"/>
          <w:lang w:val="en-GB"/>
        </w:rPr>
        <w:t xml:space="preserve"> that of most</w:t>
      </w:r>
      <w:r w:rsidRPr="00D53084">
        <w:rPr>
          <w:rFonts w:eastAsiaTheme="minorEastAsia"/>
          <w:lang w:val="en-GB"/>
        </w:rPr>
        <w:t xml:space="preserve"> apparel manufacturers</w:t>
      </w:r>
      <w:r w:rsidR="00692504" w:rsidRPr="00D53084">
        <w:rPr>
          <w:rFonts w:eastAsiaTheme="minorEastAsia"/>
          <w:lang w:val="en-GB"/>
        </w:rPr>
        <w:t xml:space="preserve"> </w:t>
      </w:r>
      <w:r w:rsidRPr="00D53084">
        <w:rPr>
          <w:rFonts w:eastAsiaTheme="minorEastAsia"/>
          <w:lang w:val="en-GB"/>
        </w:rPr>
        <w:t xml:space="preserve">with a staff size of around 1,000. </w:t>
      </w:r>
      <w:r w:rsidR="007B4965" w:rsidRPr="00D53084">
        <w:rPr>
          <w:rFonts w:eastAsiaTheme="minorEastAsia"/>
          <w:lang w:val="en-GB"/>
        </w:rPr>
        <w:t>Ma summarized</w:t>
      </w:r>
      <w:r w:rsidR="00CA54E2">
        <w:rPr>
          <w:rFonts w:eastAsiaTheme="minorEastAsia"/>
          <w:lang w:val="en-GB"/>
        </w:rPr>
        <w:t xml:space="preserve"> the</w:t>
      </w:r>
      <w:r w:rsidR="00EC5CC6">
        <w:rPr>
          <w:rFonts w:eastAsiaTheme="minorEastAsia"/>
          <w:lang w:val="en-GB"/>
        </w:rPr>
        <w:t xml:space="preserve"> factory’s efficiency as follows:</w:t>
      </w:r>
    </w:p>
    <w:p w14:paraId="220C1918" w14:textId="77777777" w:rsidR="00EC5CC6" w:rsidRDefault="00EC5CC6" w:rsidP="009C1954">
      <w:pPr>
        <w:pStyle w:val="BodyTextMain"/>
        <w:rPr>
          <w:rFonts w:eastAsiaTheme="minorEastAsia"/>
          <w:lang w:val="en-GB"/>
        </w:rPr>
      </w:pPr>
    </w:p>
    <w:p w14:paraId="3FC8A255" w14:textId="0FA187B7" w:rsidR="009C1954" w:rsidRPr="00D53084" w:rsidRDefault="009C1954" w:rsidP="00003CC5">
      <w:pPr>
        <w:pStyle w:val="BodyTextMain"/>
        <w:ind w:left="720"/>
        <w:rPr>
          <w:rFonts w:eastAsiaTheme="minorEastAsia"/>
          <w:lang w:val="en-GB"/>
        </w:rPr>
      </w:pPr>
      <w:r w:rsidRPr="00D53084">
        <w:rPr>
          <w:rFonts w:eastAsiaTheme="minorEastAsia"/>
          <w:lang w:val="en-GB"/>
        </w:rPr>
        <w:t xml:space="preserve">Compared with most factories in Southeast Asia, our plant lays an emphasis on adaptation to different product categories, as well as lean production and automation. </w:t>
      </w:r>
      <w:r w:rsidRPr="00D53084">
        <w:rPr>
          <w:rFonts w:eastAsiaTheme="minorEastAsia"/>
          <w:kern w:val="2"/>
          <w:lang w:val="en-GB"/>
        </w:rPr>
        <w:t xml:space="preserve">Noted for its flexibility and strong execution, Shenzhou International was in a position to take orders from any client in the apparel sector. Now, it takes us 15 to 20 days to fill </w:t>
      </w:r>
      <w:proofErr w:type="spellStart"/>
      <w:r w:rsidRPr="00D53084">
        <w:rPr>
          <w:rFonts w:eastAsiaTheme="minorEastAsia"/>
          <w:kern w:val="2"/>
          <w:lang w:val="en-GB"/>
        </w:rPr>
        <w:t>Uniqlo</w:t>
      </w:r>
      <w:proofErr w:type="spellEnd"/>
      <w:r w:rsidRPr="00D53084">
        <w:rPr>
          <w:rFonts w:eastAsiaTheme="minorEastAsia"/>
          <w:kern w:val="2"/>
          <w:lang w:val="en-GB"/>
        </w:rPr>
        <w:t xml:space="preserve"> orders. Other </w:t>
      </w:r>
      <w:proofErr w:type="spellStart"/>
      <w:r w:rsidRPr="00D53084">
        <w:rPr>
          <w:rFonts w:eastAsiaTheme="minorEastAsia"/>
          <w:kern w:val="2"/>
          <w:lang w:val="en-GB"/>
        </w:rPr>
        <w:t>Uniqlo</w:t>
      </w:r>
      <w:proofErr w:type="spellEnd"/>
      <w:r w:rsidRPr="00D53084">
        <w:rPr>
          <w:rFonts w:eastAsiaTheme="minorEastAsia"/>
          <w:kern w:val="2"/>
          <w:lang w:val="en-GB"/>
        </w:rPr>
        <w:t xml:space="preserve"> suppliers </w:t>
      </w:r>
      <w:r w:rsidR="00496074" w:rsidRPr="00D53084">
        <w:rPr>
          <w:rFonts w:eastAsiaTheme="minorEastAsia"/>
          <w:kern w:val="2"/>
          <w:lang w:val="en-GB" w:eastAsia="zh-CN"/>
        </w:rPr>
        <w:t>feared being</w:t>
      </w:r>
      <w:r w:rsidR="00580036" w:rsidRPr="00D53084">
        <w:rPr>
          <w:rFonts w:eastAsiaTheme="minorEastAsia"/>
          <w:kern w:val="2"/>
          <w:lang w:val="en-GB" w:eastAsia="zh-CN"/>
        </w:rPr>
        <w:t xml:space="preserve"> </w:t>
      </w:r>
      <w:r w:rsidRPr="00D53084">
        <w:rPr>
          <w:rFonts w:eastAsiaTheme="minorEastAsia"/>
          <w:kern w:val="2"/>
          <w:lang w:val="en-GB"/>
        </w:rPr>
        <w:t>squeezed out</w:t>
      </w:r>
      <w:r w:rsidR="00580036" w:rsidRPr="00D53084">
        <w:rPr>
          <w:rFonts w:eastAsiaTheme="minorEastAsia"/>
          <w:kern w:val="2"/>
          <w:lang w:val="en-GB" w:eastAsia="zh-CN"/>
        </w:rPr>
        <w:t xml:space="preserve"> by us</w:t>
      </w:r>
      <w:r w:rsidR="007B4965" w:rsidRPr="00D53084">
        <w:rPr>
          <w:rFonts w:eastAsiaTheme="minorEastAsia"/>
          <w:kern w:val="2"/>
          <w:lang w:val="en-GB"/>
        </w:rPr>
        <w:t>.</w:t>
      </w:r>
      <w:r w:rsidRPr="00D53084">
        <w:rPr>
          <w:rStyle w:val="EndnoteReference"/>
          <w:rFonts w:eastAsiaTheme="minorEastAsia"/>
          <w:lang w:val="en-GB"/>
        </w:rPr>
        <w:endnoteReference w:id="20"/>
      </w:r>
    </w:p>
    <w:p w14:paraId="0F08767E" w14:textId="77777777" w:rsidR="009C1954" w:rsidRPr="00D53084" w:rsidRDefault="009C1954" w:rsidP="009C1954">
      <w:pPr>
        <w:pStyle w:val="BodyTextMain"/>
        <w:rPr>
          <w:rFonts w:eastAsiaTheme="minorEastAsia"/>
          <w:sz w:val="20"/>
          <w:lang w:val="en-GB"/>
        </w:rPr>
      </w:pPr>
    </w:p>
    <w:p w14:paraId="52B66A8F" w14:textId="77777777" w:rsidR="009C1954" w:rsidRPr="00D53084" w:rsidRDefault="009C1954" w:rsidP="009C1954">
      <w:pPr>
        <w:pStyle w:val="BodyTextMain"/>
        <w:rPr>
          <w:kern w:val="2"/>
          <w:sz w:val="20"/>
          <w:lang w:val="en-GB"/>
        </w:rPr>
      </w:pPr>
    </w:p>
    <w:p w14:paraId="3B22BEED" w14:textId="53764267" w:rsidR="009C1954" w:rsidRPr="00D53084" w:rsidRDefault="009C1954" w:rsidP="009C1954">
      <w:pPr>
        <w:pStyle w:val="Casehead1"/>
        <w:rPr>
          <w:lang w:val="en-GB"/>
        </w:rPr>
      </w:pPr>
      <w:r w:rsidRPr="00D53084">
        <w:rPr>
          <w:lang w:val="en-GB"/>
        </w:rPr>
        <w:t>Dipping into diversification</w:t>
      </w:r>
    </w:p>
    <w:p w14:paraId="3F034ECF" w14:textId="77777777" w:rsidR="009C1954" w:rsidRPr="00D53084" w:rsidRDefault="009C1954" w:rsidP="009C1954">
      <w:pPr>
        <w:pStyle w:val="BodyTextMain"/>
        <w:rPr>
          <w:rFonts w:eastAsiaTheme="minorEastAsia"/>
          <w:kern w:val="2"/>
          <w:sz w:val="20"/>
          <w:lang w:val="en-GB"/>
        </w:rPr>
      </w:pPr>
    </w:p>
    <w:p w14:paraId="7CF32453" w14:textId="6DE325B1" w:rsidR="009C1954" w:rsidRPr="00D53084" w:rsidRDefault="009C1954" w:rsidP="009C1954">
      <w:pPr>
        <w:pStyle w:val="BodyTextMain"/>
        <w:rPr>
          <w:rFonts w:eastAsiaTheme="minorEastAsia"/>
          <w:spacing w:val="-2"/>
          <w:lang w:val="en-GB"/>
        </w:rPr>
      </w:pPr>
      <w:r w:rsidRPr="00D53084">
        <w:rPr>
          <w:rFonts w:eastAsiaTheme="minorEastAsia"/>
          <w:spacing w:val="-2"/>
          <w:kern w:val="2"/>
          <w:lang w:val="en-GB"/>
        </w:rPr>
        <w:t xml:space="preserve">Shenzhou International </w:t>
      </w:r>
      <w:r w:rsidR="00243AFA" w:rsidRPr="00D53084">
        <w:rPr>
          <w:spacing w:val="-2"/>
          <w:lang w:val="en-GB"/>
        </w:rPr>
        <w:t xml:space="preserve">was </w:t>
      </w:r>
      <w:r w:rsidR="00496074" w:rsidRPr="00D53084">
        <w:rPr>
          <w:spacing w:val="-2"/>
          <w:lang w:val="en-GB"/>
        </w:rPr>
        <w:t>s</w:t>
      </w:r>
      <w:r w:rsidR="00243AFA" w:rsidRPr="00D53084">
        <w:rPr>
          <w:spacing w:val="-2"/>
          <w:lang w:val="en-GB"/>
        </w:rPr>
        <w:t>eeking innovation in line with</w:t>
      </w:r>
      <w:r w:rsidR="00243AFA" w:rsidRPr="00D53084" w:rsidDel="00243AFA">
        <w:rPr>
          <w:rFonts w:eastAsiaTheme="minorEastAsia"/>
          <w:spacing w:val="-2"/>
          <w:kern w:val="2"/>
          <w:lang w:val="en-GB"/>
        </w:rPr>
        <w:t xml:space="preserve"> </w:t>
      </w:r>
      <w:r w:rsidRPr="00D53084">
        <w:rPr>
          <w:rFonts w:eastAsiaTheme="minorEastAsia"/>
          <w:spacing w:val="-2"/>
          <w:kern w:val="2"/>
          <w:lang w:val="en-GB"/>
        </w:rPr>
        <w:t>its vision of “evolving into the world’s best apparel operator</w:t>
      </w:r>
      <w:r w:rsidR="00672CD4" w:rsidRPr="00D53084">
        <w:rPr>
          <w:rFonts w:eastAsiaTheme="minorEastAsia"/>
          <w:spacing w:val="-2"/>
          <w:kern w:val="2"/>
          <w:lang w:val="en-GB"/>
        </w:rPr>
        <w:t>.</w:t>
      </w:r>
      <w:r w:rsidRPr="00D53084">
        <w:rPr>
          <w:rFonts w:eastAsiaTheme="minorEastAsia"/>
          <w:spacing w:val="-2"/>
          <w:kern w:val="2"/>
          <w:lang w:val="en-GB"/>
        </w:rPr>
        <w:t xml:space="preserve">” In 2010, Shenzhou International set up </w:t>
      </w:r>
      <w:proofErr w:type="spellStart"/>
      <w:r w:rsidRPr="00D53084">
        <w:rPr>
          <w:rFonts w:eastAsiaTheme="minorEastAsia"/>
          <w:spacing w:val="-2"/>
          <w:lang w:val="en-GB"/>
        </w:rPr>
        <w:t>Maxwin</w:t>
      </w:r>
      <w:proofErr w:type="spellEnd"/>
      <w:r w:rsidRPr="00D53084">
        <w:rPr>
          <w:rFonts w:eastAsiaTheme="minorEastAsia"/>
          <w:spacing w:val="-2"/>
          <w:lang w:val="en-GB"/>
        </w:rPr>
        <w:t xml:space="preserve"> (China) Co., Ltd.</w:t>
      </w:r>
      <w:r w:rsidR="00672CD4" w:rsidRPr="00D53084">
        <w:rPr>
          <w:rFonts w:eastAsiaTheme="minorEastAsia"/>
          <w:spacing w:val="-2"/>
          <w:lang w:val="en-GB"/>
        </w:rPr>
        <w:t xml:space="preserve"> (</w:t>
      </w:r>
      <w:proofErr w:type="spellStart"/>
      <w:r w:rsidR="00672CD4" w:rsidRPr="00D53084">
        <w:rPr>
          <w:rFonts w:eastAsiaTheme="minorEastAsia"/>
          <w:spacing w:val="-2"/>
          <w:lang w:val="en-GB"/>
        </w:rPr>
        <w:t>Maxwin</w:t>
      </w:r>
      <w:proofErr w:type="spellEnd"/>
      <w:r w:rsidR="00672CD4" w:rsidRPr="00D53084">
        <w:rPr>
          <w:rFonts w:eastAsiaTheme="minorEastAsia"/>
          <w:spacing w:val="-2"/>
          <w:lang w:val="en-GB"/>
        </w:rPr>
        <w:t>)</w:t>
      </w:r>
      <w:r w:rsidRPr="00D53084">
        <w:rPr>
          <w:rFonts w:eastAsiaTheme="minorEastAsia"/>
          <w:spacing w:val="-2"/>
          <w:lang w:val="en-GB"/>
        </w:rPr>
        <w:t xml:space="preserve"> </w:t>
      </w:r>
      <w:r w:rsidR="00672CD4" w:rsidRPr="00D53084">
        <w:rPr>
          <w:rFonts w:eastAsiaTheme="minorEastAsia"/>
          <w:spacing w:val="-2"/>
          <w:lang w:val="en-GB"/>
        </w:rPr>
        <w:t xml:space="preserve">in an attempt </w:t>
      </w:r>
      <w:r w:rsidRPr="00D53084">
        <w:rPr>
          <w:rFonts w:eastAsiaTheme="minorEastAsia"/>
          <w:spacing w:val="-2"/>
          <w:lang w:val="en-GB"/>
        </w:rPr>
        <w:t>to creat</w:t>
      </w:r>
      <w:r w:rsidR="00672CD4" w:rsidRPr="00D53084">
        <w:rPr>
          <w:rFonts w:eastAsiaTheme="minorEastAsia"/>
          <w:spacing w:val="-2"/>
          <w:lang w:val="en-GB"/>
        </w:rPr>
        <w:t>e</w:t>
      </w:r>
      <w:r w:rsidRPr="00D53084">
        <w:rPr>
          <w:rFonts w:eastAsiaTheme="minorEastAsia"/>
          <w:spacing w:val="-2"/>
          <w:lang w:val="en-GB"/>
        </w:rPr>
        <w:t xml:space="preserve"> </w:t>
      </w:r>
      <w:r w:rsidR="00672CD4" w:rsidRPr="00D53084">
        <w:rPr>
          <w:rFonts w:eastAsiaTheme="minorEastAsia"/>
          <w:spacing w:val="-2"/>
          <w:lang w:val="en-GB"/>
        </w:rPr>
        <w:t>its</w:t>
      </w:r>
      <w:r w:rsidRPr="00D53084">
        <w:rPr>
          <w:rFonts w:eastAsiaTheme="minorEastAsia"/>
          <w:spacing w:val="-2"/>
          <w:lang w:val="en-GB"/>
        </w:rPr>
        <w:t xml:space="preserve"> own brand</w:t>
      </w:r>
      <w:r w:rsidR="00672CD4" w:rsidRPr="00D53084">
        <w:rPr>
          <w:rFonts w:eastAsiaTheme="minorEastAsia"/>
          <w:spacing w:val="-2"/>
          <w:lang w:val="en-GB"/>
        </w:rPr>
        <w:t>;</w:t>
      </w:r>
      <w:r w:rsidRPr="00D53084">
        <w:rPr>
          <w:rFonts w:eastAsiaTheme="minorEastAsia"/>
          <w:spacing w:val="-2"/>
          <w:lang w:val="en-GB"/>
        </w:rPr>
        <w:t xml:space="preserve"> </w:t>
      </w:r>
      <w:proofErr w:type="spellStart"/>
      <w:r w:rsidRPr="00D53084">
        <w:rPr>
          <w:rFonts w:eastAsiaTheme="minorEastAsia"/>
          <w:spacing w:val="-2"/>
          <w:lang w:val="en-GB"/>
        </w:rPr>
        <w:t>Maxwin</w:t>
      </w:r>
      <w:proofErr w:type="spellEnd"/>
      <w:r w:rsidRPr="00D53084">
        <w:rPr>
          <w:rFonts w:eastAsiaTheme="minorEastAsia"/>
          <w:spacing w:val="-2"/>
          <w:lang w:val="en-GB"/>
        </w:rPr>
        <w:t xml:space="preserve"> was aimed at building a Chinese casual wear brand. </w:t>
      </w:r>
      <w:proofErr w:type="spellStart"/>
      <w:r w:rsidRPr="00D53084">
        <w:rPr>
          <w:rFonts w:eastAsiaTheme="minorEastAsia"/>
          <w:spacing w:val="-2"/>
          <w:lang w:val="en-GB"/>
        </w:rPr>
        <w:t>Maxwin</w:t>
      </w:r>
      <w:proofErr w:type="spellEnd"/>
      <w:r w:rsidRPr="00D53084">
        <w:rPr>
          <w:rFonts w:eastAsiaTheme="minorEastAsia"/>
          <w:spacing w:val="-2"/>
          <w:lang w:val="en-GB"/>
        </w:rPr>
        <w:t xml:space="preserve"> had a team of 40 strong designers, who stuck to the concept of “a simple, modern and new lifestyle</w:t>
      </w:r>
      <w:r w:rsidR="00672CD4" w:rsidRPr="00D53084">
        <w:rPr>
          <w:rFonts w:eastAsiaTheme="minorEastAsia"/>
          <w:spacing w:val="-2"/>
          <w:lang w:val="en-GB"/>
        </w:rPr>
        <w:t>.</w:t>
      </w:r>
      <w:r w:rsidRPr="00D53084">
        <w:rPr>
          <w:rFonts w:eastAsiaTheme="minorEastAsia"/>
          <w:spacing w:val="-2"/>
          <w:lang w:val="en-GB"/>
        </w:rPr>
        <w:t xml:space="preserve">” </w:t>
      </w:r>
      <w:proofErr w:type="spellStart"/>
      <w:r w:rsidRPr="00D53084">
        <w:rPr>
          <w:rFonts w:eastAsiaTheme="minorEastAsia"/>
          <w:spacing w:val="-2"/>
          <w:lang w:val="en-GB"/>
        </w:rPr>
        <w:t>Maxwin</w:t>
      </w:r>
      <w:proofErr w:type="spellEnd"/>
      <w:r w:rsidRPr="00D53084">
        <w:rPr>
          <w:rFonts w:eastAsiaTheme="minorEastAsia"/>
          <w:spacing w:val="-2"/>
          <w:lang w:val="en-GB"/>
        </w:rPr>
        <w:t xml:space="preserve"> provided apparel that featured quality fabrics, proper cutting, and comfort. The product line ran the gamut of men’s wear, women’s wear, children’s wear, and underwear. Presently, </w:t>
      </w:r>
      <w:proofErr w:type="spellStart"/>
      <w:r w:rsidRPr="00D53084">
        <w:rPr>
          <w:rFonts w:eastAsiaTheme="minorEastAsia"/>
          <w:spacing w:val="-2"/>
          <w:lang w:val="en-GB"/>
        </w:rPr>
        <w:t>Maxwin</w:t>
      </w:r>
      <w:proofErr w:type="spellEnd"/>
      <w:r w:rsidRPr="00D53084">
        <w:rPr>
          <w:rFonts w:eastAsiaTheme="minorEastAsia"/>
          <w:spacing w:val="-2"/>
          <w:lang w:val="en-GB"/>
        </w:rPr>
        <w:t xml:space="preserve"> ran 25 sales outlets in Jiangsu Province, Zhejiang Province, and Shanghai. In the next few years, the company </w:t>
      </w:r>
      <w:r w:rsidR="002C2F8B" w:rsidRPr="00D53084">
        <w:rPr>
          <w:rFonts w:eastAsiaTheme="minorEastAsia"/>
          <w:spacing w:val="-2"/>
          <w:lang w:val="en-GB"/>
        </w:rPr>
        <w:t>planned to</w:t>
      </w:r>
      <w:r w:rsidRPr="00D53084">
        <w:rPr>
          <w:rFonts w:eastAsiaTheme="minorEastAsia"/>
          <w:spacing w:val="-2"/>
          <w:lang w:val="en-GB"/>
        </w:rPr>
        <w:t xml:space="preserve"> further</w:t>
      </w:r>
      <w:r w:rsidR="002C2F8B" w:rsidRPr="00D53084">
        <w:rPr>
          <w:rFonts w:eastAsiaTheme="minorEastAsia"/>
          <w:spacing w:val="-2"/>
          <w:lang w:val="en-GB"/>
        </w:rPr>
        <w:t xml:space="preserve"> tap</w:t>
      </w:r>
      <w:r w:rsidRPr="00D53084">
        <w:rPr>
          <w:rFonts w:eastAsiaTheme="minorEastAsia"/>
          <w:spacing w:val="-2"/>
          <w:lang w:val="en-GB"/>
        </w:rPr>
        <w:t xml:space="preserve"> into the brand retail market to make its stores built-to-last and establish a nationwide retail network.</w:t>
      </w:r>
    </w:p>
    <w:p w14:paraId="16C58F26" w14:textId="77777777" w:rsidR="009C1954" w:rsidRPr="00D53084" w:rsidRDefault="009C1954" w:rsidP="009C1954">
      <w:pPr>
        <w:pStyle w:val="BodyTextMain"/>
        <w:rPr>
          <w:sz w:val="20"/>
          <w:lang w:val="en-GB"/>
        </w:rPr>
      </w:pPr>
    </w:p>
    <w:p w14:paraId="3411562F" w14:textId="3399A8A0" w:rsidR="009C1954" w:rsidRPr="00D53084" w:rsidRDefault="009C1954" w:rsidP="009C1954">
      <w:pPr>
        <w:pStyle w:val="BodyTextMain"/>
        <w:rPr>
          <w:rFonts w:eastAsiaTheme="minorEastAsia"/>
          <w:lang w:val="en-GB"/>
        </w:rPr>
      </w:pPr>
      <w:r w:rsidRPr="00D53084">
        <w:rPr>
          <w:lang w:val="en-GB"/>
        </w:rPr>
        <w:t xml:space="preserve">Some industry insiders argued it did not make business sense for </w:t>
      </w:r>
      <w:r w:rsidRPr="00D53084">
        <w:rPr>
          <w:rFonts w:eastAsiaTheme="minorEastAsia"/>
          <w:kern w:val="2"/>
          <w:lang w:val="en-GB"/>
        </w:rPr>
        <w:t>Shenzhou International, a</w:t>
      </w:r>
      <w:r w:rsidR="002C2F8B" w:rsidRPr="00D53084">
        <w:rPr>
          <w:rFonts w:eastAsiaTheme="minorEastAsia"/>
          <w:kern w:val="2"/>
          <w:lang w:val="en-GB"/>
        </w:rPr>
        <w:t xml:space="preserve"> long-time</w:t>
      </w:r>
      <w:r w:rsidRPr="00D53084">
        <w:rPr>
          <w:rFonts w:eastAsiaTheme="minorEastAsia"/>
          <w:kern w:val="2"/>
          <w:lang w:val="en-GB"/>
        </w:rPr>
        <w:t xml:space="preserve"> OEM, to build </w:t>
      </w:r>
      <w:r w:rsidR="002C2F8B" w:rsidRPr="00D53084">
        <w:rPr>
          <w:rFonts w:eastAsiaTheme="minorEastAsia"/>
          <w:kern w:val="2"/>
          <w:lang w:val="en-GB"/>
        </w:rPr>
        <w:t>its</w:t>
      </w:r>
      <w:r w:rsidRPr="00D53084">
        <w:rPr>
          <w:rFonts w:eastAsiaTheme="minorEastAsia"/>
          <w:kern w:val="2"/>
          <w:lang w:val="en-GB"/>
        </w:rPr>
        <w:t xml:space="preserve"> own brand. Shenzhou International could not compare in core competence with top brand operators. If the company continued to foster its own brand, </w:t>
      </w:r>
      <w:r w:rsidRPr="00D53084">
        <w:rPr>
          <w:rFonts w:eastAsiaTheme="minorEastAsia"/>
          <w:lang w:val="en-GB"/>
        </w:rPr>
        <w:t xml:space="preserve">more resources would </w:t>
      </w:r>
      <w:r w:rsidR="002C2F8B" w:rsidRPr="00D53084">
        <w:rPr>
          <w:rFonts w:eastAsiaTheme="minorEastAsia"/>
          <w:lang w:val="en-GB"/>
        </w:rPr>
        <w:t>have</w:t>
      </w:r>
      <w:r w:rsidRPr="00D53084">
        <w:rPr>
          <w:rFonts w:eastAsiaTheme="minorEastAsia"/>
          <w:lang w:val="en-GB"/>
        </w:rPr>
        <w:t xml:space="preserve"> to be channel</w:t>
      </w:r>
      <w:r w:rsidR="00EC5CC6">
        <w:rPr>
          <w:rFonts w:eastAsiaTheme="minorEastAsia"/>
          <w:lang w:val="en-GB"/>
        </w:rPr>
        <w:t>l</w:t>
      </w:r>
      <w:r w:rsidRPr="00D53084">
        <w:rPr>
          <w:rFonts w:eastAsiaTheme="minorEastAsia"/>
          <w:lang w:val="en-GB"/>
        </w:rPr>
        <w:t xml:space="preserve">ed into product designs, marketing, advertising, warehousing and logistics, sales models, and commodity planning. According to </w:t>
      </w:r>
      <w:r w:rsidR="002C2F8B" w:rsidRPr="00D53084">
        <w:rPr>
          <w:rFonts w:eastAsiaTheme="minorEastAsia"/>
          <w:lang w:val="en-GB"/>
        </w:rPr>
        <w:t xml:space="preserve">an announcement by </w:t>
      </w:r>
      <w:r w:rsidRPr="00D53084">
        <w:rPr>
          <w:rFonts w:eastAsiaTheme="minorEastAsia"/>
          <w:kern w:val="2"/>
          <w:lang w:val="en-GB"/>
        </w:rPr>
        <w:t xml:space="preserve">Shenzhou International, </w:t>
      </w:r>
      <w:proofErr w:type="spellStart"/>
      <w:r w:rsidRPr="00D53084">
        <w:rPr>
          <w:rFonts w:eastAsiaTheme="minorEastAsia"/>
          <w:lang w:val="en-GB"/>
        </w:rPr>
        <w:t>Maxwin</w:t>
      </w:r>
      <w:proofErr w:type="spellEnd"/>
      <w:r w:rsidRPr="00D53084">
        <w:rPr>
          <w:rFonts w:eastAsiaTheme="minorEastAsia"/>
          <w:lang w:val="en-GB"/>
        </w:rPr>
        <w:t xml:space="preserve">, a nascent non-core business, was still in the red. To </w:t>
      </w:r>
      <w:r w:rsidR="002C2F8B" w:rsidRPr="00D53084">
        <w:rPr>
          <w:rFonts w:eastAsiaTheme="minorEastAsia"/>
          <w:lang w:val="en-GB"/>
        </w:rPr>
        <w:t xml:space="preserve">be able to </w:t>
      </w:r>
      <w:r w:rsidRPr="00D53084">
        <w:rPr>
          <w:rFonts w:eastAsiaTheme="minorEastAsia"/>
          <w:lang w:val="en-GB"/>
        </w:rPr>
        <w:t xml:space="preserve">channel more resources into the core business of knitwear production as an OEM, </w:t>
      </w:r>
      <w:r w:rsidRPr="00D53084">
        <w:rPr>
          <w:rFonts w:eastAsiaTheme="minorEastAsia"/>
          <w:kern w:val="2"/>
          <w:lang w:val="en-GB"/>
        </w:rPr>
        <w:t>Shenzhou International sold its 49</w:t>
      </w:r>
      <w:r w:rsidR="002C2F8B" w:rsidRPr="00D53084">
        <w:rPr>
          <w:rFonts w:eastAsiaTheme="minorEastAsia"/>
          <w:kern w:val="2"/>
          <w:lang w:val="en-GB"/>
        </w:rPr>
        <w:t>-per-cent</w:t>
      </w:r>
      <w:r w:rsidRPr="00D53084">
        <w:rPr>
          <w:rFonts w:eastAsiaTheme="minorEastAsia"/>
          <w:kern w:val="2"/>
          <w:lang w:val="en-GB"/>
        </w:rPr>
        <w:t xml:space="preserve"> stake in </w:t>
      </w:r>
      <w:proofErr w:type="spellStart"/>
      <w:r w:rsidRPr="00D53084">
        <w:rPr>
          <w:rFonts w:eastAsiaTheme="minorEastAsia"/>
          <w:lang w:val="en-GB"/>
        </w:rPr>
        <w:t>Maxwin</w:t>
      </w:r>
      <w:proofErr w:type="spellEnd"/>
      <w:r w:rsidRPr="00D53084">
        <w:rPr>
          <w:rFonts w:eastAsiaTheme="minorEastAsia"/>
          <w:lang w:val="en-GB"/>
        </w:rPr>
        <w:t xml:space="preserve"> to </w:t>
      </w:r>
      <w:proofErr w:type="spellStart"/>
      <w:r w:rsidRPr="00D53084">
        <w:rPr>
          <w:rFonts w:eastAsiaTheme="minorEastAsia"/>
          <w:lang w:val="en-GB"/>
        </w:rPr>
        <w:t>NetEase</w:t>
      </w:r>
      <w:proofErr w:type="spellEnd"/>
      <w:r w:rsidRPr="00D53084">
        <w:rPr>
          <w:rFonts w:eastAsiaTheme="minorEastAsia"/>
          <w:lang w:val="en-GB"/>
        </w:rPr>
        <w:t xml:space="preserve"> (Hong Kong) Limited on September 1, 2016.</w:t>
      </w:r>
      <w:r w:rsidRPr="00D53084">
        <w:rPr>
          <w:rStyle w:val="EndnoteReference"/>
          <w:rFonts w:eastAsiaTheme="minorEastAsia"/>
          <w:lang w:val="en-GB"/>
        </w:rPr>
        <w:endnoteReference w:id="21"/>
      </w:r>
    </w:p>
    <w:p w14:paraId="18241774" w14:textId="77777777" w:rsidR="009C1954" w:rsidRPr="00D53084" w:rsidRDefault="009C1954" w:rsidP="009C1954">
      <w:pPr>
        <w:pStyle w:val="BodyTextMain"/>
        <w:rPr>
          <w:sz w:val="20"/>
          <w:lang w:val="en-GB"/>
        </w:rPr>
      </w:pPr>
    </w:p>
    <w:p w14:paraId="3BA47078" w14:textId="64BD79E4" w:rsidR="009C1954" w:rsidRPr="00D53084" w:rsidRDefault="002C2F8B" w:rsidP="009C1954">
      <w:pPr>
        <w:pStyle w:val="BodyTextMain"/>
        <w:rPr>
          <w:rFonts w:eastAsiaTheme="minorEastAsia"/>
          <w:spacing w:val="-2"/>
          <w:lang w:val="en-GB"/>
        </w:rPr>
      </w:pPr>
      <w:r w:rsidRPr="00D53084">
        <w:rPr>
          <w:rFonts w:eastAsiaTheme="minorEastAsia"/>
          <w:spacing w:val="-2"/>
          <w:kern w:val="2"/>
          <w:lang w:val="en-GB"/>
        </w:rPr>
        <w:t>Thanks to Shenzhou International’s growing competence across the world, b</w:t>
      </w:r>
      <w:r w:rsidR="009C1954" w:rsidRPr="00D53084">
        <w:rPr>
          <w:rFonts w:eastAsiaTheme="minorEastAsia"/>
          <w:spacing w:val="-2"/>
          <w:kern w:val="2"/>
          <w:lang w:val="en-GB"/>
        </w:rPr>
        <w:t xml:space="preserve">rand operators placed orders with </w:t>
      </w:r>
      <w:r w:rsidRPr="00D53084">
        <w:rPr>
          <w:rFonts w:eastAsiaTheme="minorEastAsia"/>
          <w:spacing w:val="-2"/>
          <w:kern w:val="2"/>
          <w:lang w:val="en-GB"/>
        </w:rPr>
        <w:t>it</w:t>
      </w:r>
      <w:r w:rsidR="009C1954" w:rsidRPr="00D53084">
        <w:rPr>
          <w:rFonts w:eastAsiaTheme="minorEastAsia"/>
          <w:spacing w:val="-2"/>
          <w:kern w:val="2"/>
          <w:lang w:val="en-GB"/>
        </w:rPr>
        <w:t xml:space="preserve"> for more categories of apparel</w:t>
      </w:r>
      <w:r w:rsidRPr="00D53084">
        <w:rPr>
          <w:rFonts w:eastAsiaTheme="minorEastAsia"/>
          <w:spacing w:val="-2"/>
          <w:kern w:val="2"/>
          <w:lang w:val="en-GB"/>
        </w:rPr>
        <w:t>.</w:t>
      </w:r>
      <w:r w:rsidR="009C1954" w:rsidRPr="00D53084">
        <w:rPr>
          <w:rFonts w:eastAsiaTheme="minorEastAsia"/>
          <w:spacing w:val="-2"/>
          <w:kern w:val="2"/>
          <w:lang w:val="en-GB"/>
        </w:rPr>
        <w:t xml:space="preserve"> In 2012, </w:t>
      </w:r>
      <w:r w:rsidRPr="00D53084">
        <w:rPr>
          <w:rFonts w:eastAsiaTheme="minorEastAsia"/>
          <w:spacing w:val="-2"/>
          <w:kern w:val="2"/>
          <w:lang w:val="en-GB"/>
        </w:rPr>
        <w:t>when</w:t>
      </w:r>
      <w:r w:rsidR="009C1954" w:rsidRPr="00D53084">
        <w:rPr>
          <w:rFonts w:eastAsiaTheme="minorEastAsia"/>
          <w:spacing w:val="-2"/>
          <w:kern w:val="2"/>
          <w:lang w:val="en-GB"/>
        </w:rPr>
        <w:t xml:space="preserve"> the supplier Feng </w:t>
      </w:r>
      <w:proofErr w:type="spellStart"/>
      <w:r w:rsidR="009C1954" w:rsidRPr="00D53084">
        <w:rPr>
          <w:rFonts w:eastAsiaTheme="minorEastAsia"/>
          <w:spacing w:val="-2"/>
          <w:kern w:val="2"/>
          <w:lang w:val="en-GB"/>
        </w:rPr>
        <w:t>Tay</w:t>
      </w:r>
      <w:proofErr w:type="spellEnd"/>
      <w:r w:rsidRPr="00D53084">
        <w:rPr>
          <w:rFonts w:eastAsiaTheme="minorEastAsia"/>
          <w:spacing w:val="-2"/>
          <w:kern w:val="2"/>
          <w:lang w:val="en-GB"/>
        </w:rPr>
        <w:t xml:space="preserve"> Enterprises Co., Ltd.</w:t>
      </w:r>
      <w:r w:rsidR="009C1954" w:rsidRPr="00D53084">
        <w:rPr>
          <w:rFonts w:eastAsiaTheme="minorEastAsia"/>
          <w:spacing w:val="-2"/>
          <w:kern w:val="2"/>
          <w:lang w:val="en-GB"/>
        </w:rPr>
        <w:t xml:space="preserve"> abandoned the production of</w:t>
      </w:r>
      <w:r w:rsidR="009C1954" w:rsidRPr="00D53084">
        <w:rPr>
          <w:rFonts w:eastAsiaTheme="minorEastAsia"/>
          <w:spacing w:val="-2"/>
          <w:lang w:val="en-GB"/>
        </w:rPr>
        <w:t xml:space="preserve"> </w:t>
      </w:r>
      <w:proofErr w:type="spellStart"/>
      <w:r w:rsidR="009C1954" w:rsidRPr="00D53084">
        <w:rPr>
          <w:rFonts w:eastAsiaTheme="minorEastAsia"/>
          <w:spacing w:val="-2"/>
          <w:lang w:val="en-GB"/>
        </w:rPr>
        <w:t>Flyknit</w:t>
      </w:r>
      <w:proofErr w:type="spellEnd"/>
      <w:r w:rsidR="009C1954" w:rsidRPr="00D53084">
        <w:rPr>
          <w:rFonts w:eastAsiaTheme="minorEastAsia"/>
          <w:spacing w:val="-2"/>
          <w:lang w:val="en-GB"/>
        </w:rPr>
        <w:t xml:space="preserve"> fabrics for</w:t>
      </w:r>
      <w:r w:rsidR="009C1954" w:rsidRPr="00D53084">
        <w:rPr>
          <w:rFonts w:eastAsiaTheme="minorEastAsia"/>
          <w:spacing w:val="-2"/>
          <w:kern w:val="2"/>
          <w:lang w:val="en-GB"/>
        </w:rPr>
        <w:t xml:space="preserve"> </w:t>
      </w:r>
      <w:r w:rsidR="009C1954" w:rsidRPr="00D53084">
        <w:rPr>
          <w:rFonts w:eastAsiaTheme="minorEastAsia"/>
          <w:spacing w:val="-2"/>
          <w:lang w:val="en-GB"/>
        </w:rPr>
        <w:t>Nike shoes</w:t>
      </w:r>
      <w:r w:rsidRPr="00D53084">
        <w:rPr>
          <w:rFonts w:eastAsiaTheme="minorEastAsia"/>
          <w:spacing w:val="-2"/>
          <w:lang w:val="en-GB"/>
        </w:rPr>
        <w:t>,</w:t>
      </w:r>
      <w:r w:rsidR="009C1954" w:rsidRPr="00D53084">
        <w:rPr>
          <w:rStyle w:val="EndnoteReference"/>
          <w:rFonts w:eastAsiaTheme="minorEastAsia"/>
          <w:spacing w:val="-2"/>
          <w:lang w:val="en-GB"/>
        </w:rPr>
        <w:endnoteReference w:id="22"/>
      </w:r>
      <w:r w:rsidR="009C1954" w:rsidRPr="00D53084">
        <w:rPr>
          <w:rFonts w:eastAsiaTheme="minorEastAsia"/>
          <w:spacing w:val="-2"/>
          <w:lang w:val="en-GB"/>
        </w:rPr>
        <w:t xml:space="preserve"> Nike gave the order to </w:t>
      </w:r>
      <w:r w:rsidR="009C1954" w:rsidRPr="00D53084">
        <w:rPr>
          <w:rFonts w:eastAsiaTheme="minorEastAsia"/>
          <w:spacing w:val="-2"/>
          <w:kern w:val="2"/>
          <w:lang w:val="en-GB"/>
        </w:rPr>
        <w:t>Shenzhou International. Ma spent over US$100 million importing 2,000 pieces of special-purpose equipment</w:t>
      </w:r>
      <w:r w:rsidRPr="00D53084">
        <w:rPr>
          <w:rFonts w:eastAsiaTheme="minorEastAsia"/>
          <w:spacing w:val="-2"/>
          <w:kern w:val="2"/>
          <w:lang w:val="en-GB"/>
        </w:rPr>
        <w:t xml:space="preserve"> to</w:t>
      </w:r>
      <w:r w:rsidR="009C1954" w:rsidRPr="00D53084">
        <w:rPr>
          <w:rFonts w:eastAsiaTheme="minorEastAsia"/>
          <w:spacing w:val="-2"/>
          <w:kern w:val="2"/>
          <w:lang w:val="en-GB"/>
        </w:rPr>
        <w:t xml:space="preserve"> tak</w:t>
      </w:r>
      <w:r w:rsidRPr="00D53084">
        <w:rPr>
          <w:rFonts w:eastAsiaTheme="minorEastAsia"/>
          <w:spacing w:val="-2"/>
          <w:kern w:val="2"/>
          <w:lang w:val="en-GB"/>
        </w:rPr>
        <w:t>e</w:t>
      </w:r>
      <w:r w:rsidR="009C1954" w:rsidRPr="00D53084">
        <w:rPr>
          <w:rFonts w:eastAsiaTheme="minorEastAsia"/>
          <w:spacing w:val="-2"/>
          <w:kern w:val="2"/>
          <w:lang w:val="en-GB"/>
        </w:rPr>
        <w:t xml:space="preserve"> on this high-tech project. By 2016, Shenzhou International had supplied over 70</w:t>
      </w:r>
      <w:r w:rsidRPr="00D53084">
        <w:rPr>
          <w:rFonts w:eastAsiaTheme="minorEastAsia"/>
          <w:spacing w:val="-2"/>
          <w:kern w:val="2"/>
          <w:lang w:val="en-GB"/>
        </w:rPr>
        <w:t xml:space="preserve"> per cent</w:t>
      </w:r>
      <w:r w:rsidR="009C1954" w:rsidRPr="00D53084">
        <w:rPr>
          <w:rFonts w:eastAsiaTheme="minorEastAsia"/>
          <w:spacing w:val="-2"/>
          <w:kern w:val="2"/>
          <w:lang w:val="en-GB"/>
        </w:rPr>
        <w:t xml:space="preserve"> of Nike’s</w:t>
      </w:r>
      <w:r w:rsidR="009C1954" w:rsidRPr="00D53084">
        <w:rPr>
          <w:rFonts w:eastAsiaTheme="minorEastAsia"/>
          <w:spacing w:val="-2"/>
          <w:lang w:val="en-GB"/>
        </w:rPr>
        <w:t xml:space="preserve"> </w:t>
      </w:r>
      <w:proofErr w:type="spellStart"/>
      <w:r w:rsidR="009C1954" w:rsidRPr="00D53084">
        <w:rPr>
          <w:rFonts w:eastAsiaTheme="minorEastAsia"/>
          <w:spacing w:val="-2"/>
          <w:lang w:val="en-GB"/>
        </w:rPr>
        <w:t>Flyknit</w:t>
      </w:r>
      <w:proofErr w:type="spellEnd"/>
      <w:r w:rsidR="009C1954" w:rsidRPr="00D53084">
        <w:rPr>
          <w:rFonts w:eastAsiaTheme="minorEastAsia"/>
          <w:spacing w:val="-2"/>
          <w:lang w:val="en-GB"/>
        </w:rPr>
        <w:t xml:space="preserve"> fabrics, and </w:t>
      </w:r>
      <w:proofErr w:type="spellStart"/>
      <w:r w:rsidR="009C1954" w:rsidRPr="00D53084">
        <w:rPr>
          <w:rFonts w:eastAsiaTheme="minorEastAsia"/>
          <w:spacing w:val="-2"/>
          <w:lang w:val="en-GB"/>
        </w:rPr>
        <w:t>Flyknit</w:t>
      </w:r>
      <w:proofErr w:type="spellEnd"/>
      <w:r w:rsidR="009C1954" w:rsidRPr="00D53084">
        <w:rPr>
          <w:rFonts w:eastAsiaTheme="minorEastAsia"/>
          <w:spacing w:val="-2"/>
          <w:lang w:val="en-GB"/>
        </w:rPr>
        <w:t xml:space="preserve"> </w:t>
      </w:r>
      <w:r w:rsidR="009C1954" w:rsidRPr="00D53084">
        <w:rPr>
          <w:rFonts w:eastAsiaTheme="minorEastAsia"/>
          <w:spacing w:val="-2"/>
          <w:kern w:val="2"/>
          <w:lang w:val="en-GB"/>
        </w:rPr>
        <w:t>accounted</w:t>
      </w:r>
      <w:r w:rsidR="009C1954" w:rsidRPr="00D53084">
        <w:rPr>
          <w:rFonts w:eastAsiaTheme="minorEastAsia"/>
          <w:spacing w:val="-2"/>
          <w:lang w:val="en-GB"/>
        </w:rPr>
        <w:t xml:space="preserve"> for 6</w:t>
      </w:r>
      <w:r w:rsidRPr="00D53084">
        <w:rPr>
          <w:rFonts w:eastAsiaTheme="minorEastAsia"/>
          <w:spacing w:val="-2"/>
          <w:lang w:val="en-GB"/>
        </w:rPr>
        <w:t xml:space="preserve"> per cent</w:t>
      </w:r>
      <w:r w:rsidR="009C1954" w:rsidRPr="00D53084">
        <w:rPr>
          <w:rFonts w:eastAsiaTheme="minorEastAsia"/>
          <w:spacing w:val="-2"/>
          <w:lang w:val="en-GB"/>
        </w:rPr>
        <w:t xml:space="preserve"> of </w:t>
      </w:r>
      <w:r w:rsidR="009C1954" w:rsidRPr="00D53084">
        <w:rPr>
          <w:rFonts w:eastAsiaTheme="minorEastAsia"/>
          <w:spacing w:val="-2"/>
          <w:kern w:val="2"/>
          <w:lang w:val="en-GB"/>
        </w:rPr>
        <w:t>Shenzhou International’s</w:t>
      </w:r>
      <w:r w:rsidR="009C1954" w:rsidRPr="00D53084">
        <w:rPr>
          <w:rFonts w:eastAsiaTheme="minorEastAsia"/>
          <w:spacing w:val="-2"/>
          <w:lang w:val="en-GB"/>
        </w:rPr>
        <w:t xml:space="preserve"> total sales, generating considerable economic returns.</w:t>
      </w:r>
      <w:r w:rsidR="009C1954" w:rsidRPr="00D53084">
        <w:rPr>
          <w:rStyle w:val="EndnoteReference"/>
          <w:rFonts w:eastAsiaTheme="minorEastAsia"/>
          <w:spacing w:val="-2"/>
          <w:lang w:val="en-GB"/>
        </w:rPr>
        <w:endnoteReference w:id="23"/>
      </w:r>
      <w:r w:rsidR="009C1954" w:rsidRPr="00D53084">
        <w:rPr>
          <w:rFonts w:eastAsiaTheme="minorEastAsia"/>
          <w:spacing w:val="-2"/>
          <w:lang w:val="en-GB"/>
        </w:rPr>
        <w:t xml:space="preserve"> </w:t>
      </w:r>
      <w:proofErr w:type="spellStart"/>
      <w:r w:rsidR="009C1954" w:rsidRPr="00D53084">
        <w:rPr>
          <w:rFonts w:eastAsiaTheme="minorEastAsia"/>
          <w:spacing w:val="-2"/>
          <w:lang w:val="en-GB"/>
        </w:rPr>
        <w:t>Flyknit</w:t>
      </w:r>
      <w:proofErr w:type="spellEnd"/>
      <w:r w:rsidR="008C05E4" w:rsidRPr="00D53084">
        <w:rPr>
          <w:rFonts w:eastAsiaTheme="minorEastAsia"/>
          <w:spacing w:val="-2"/>
          <w:lang w:val="en-GB"/>
        </w:rPr>
        <w:t>,</w:t>
      </w:r>
      <w:r w:rsidR="009C1954" w:rsidRPr="00D53084">
        <w:rPr>
          <w:rFonts w:eastAsiaTheme="minorEastAsia"/>
          <w:spacing w:val="-2"/>
          <w:lang w:val="en-GB"/>
        </w:rPr>
        <w:t xml:space="preserve"> an innovative high-tech fabric</w:t>
      </w:r>
      <w:r w:rsidRPr="00D53084">
        <w:rPr>
          <w:rFonts w:eastAsiaTheme="minorEastAsia"/>
          <w:spacing w:val="-2"/>
          <w:lang w:val="en-GB"/>
        </w:rPr>
        <w:t xml:space="preserve"> that was</w:t>
      </w:r>
      <w:r w:rsidR="009C1954" w:rsidRPr="00D53084">
        <w:rPr>
          <w:rFonts w:eastAsiaTheme="minorEastAsia"/>
          <w:spacing w:val="-2"/>
          <w:lang w:val="en-GB"/>
        </w:rPr>
        <w:t xml:space="preserve"> popular with runners</w:t>
      </w:r>
      <w:r w:rsidR="008C05E4" w:rsidRPr="00D53084">
        <w:rPr>
          <w:rFonts w:eastAsiaTheme="minorEastAsia"/>
          <w:spacing w:val="-2"/>
          <w:lang w:val="en-GB"/>
        </w:rPr>
        <w:t>, had</w:t>
      </w:r>
      <w:r w:rsidRPr="00D53084">
        <w:rPr>
          <w:rFonts w:eastAsiaTheme="minorEastAsia"/>
          <w:spacing w:val="-2"/>
          <w:lang w:val="en-GB"/>
        </w:rPr>
        <w:t xml:space="preserve"> promising</w:t>
      </w:r>
      <w:r w:rsidR="008C05E4" w:rsidRPr="00D53084">
        <w:rPr>
          <w:rFonts w:eastAsiaTheme="minorEastAsia"/>
          <w:spacing w:val="-2"/>
          <w:lang w:val="en-GB"/>
        </w:rPr>
        <w:t xml:space="preserve"> prospects</w:t>
      </w:r>
      <w:r w:rsidRPr="00D53084">
        <w:rPr>
          <w:rFonts w:eastAsiaTheme="minorEastAsia"/>
          <w:spacing w:val="-2"/>
          <w:lang w:val="en-GB"/>
        </w:rPr>
        <w:t>—besides</w:t>
      </w:r>
      <w:r w:rsidR="009C1954" w:rsidRPr="00D53084">
        <w:rPr>
          <w:rFonts w:eastAsiaTheme="minorEastAsia"/>
          <w:spacing w:val="-2"/>
          <w:lang w:val="en-GB"/>
        </w:rPr>
        <w:t xml:space="preserve"> Nike, most sports brand operators had set out to apply </w:t>
      </w:r>
      <w:r w:rsidR="008C05E4" w:rsidRPr="00D53084">
        <w:rPr>
          <w:rFonts w:eastAsiaTheme="minorEastAsia"/>
          <w:spacing w:val="-2"/>
          <w:lang w:val="en-GB"/>
        </w:rPr>
        <w:t>the</w:t>
      </w:r>
      <w:r w:rsidR="009C1954" w:rsidRPr="00D53084">
        <w:rPr>
          <w:rFonts w:eastAsiaTheme="minorEastAsia"/>
          <w:spacing w:val="-2"/>
          <w:lang w:val="en-GB"/>
        </w:rPr>
        <w:t xml:space="preserve"> fabric to running shoes.</w:t>
      </w:r>
    </w:p>
    <w:p w14:paraId="506ACB26" w14:textId="77777777" w:rsidR="009C1954" w:rsidRPr="00D53084" w:rsidRDefault="009C1954" w:rsidP="009C1954">
      <w:pPr>
        <w:pStyle w:val="BodyTextMain"/>
        <w:rPr>
          <w:sz w:val="18"/>
          <w:lang w:val="en-GB"/>
        </w:rPr>
      </w:pPr>
    </w:p>
    <w:p w14:paraId="681F1239" w14:textId="77777777" w:rsidR="002C2F8B" w:rsidRPr="00D53084" w:rsidRDefault="002C2F8B" w:rsidP="009C1954">
      <w:pPr>
        <w:pStyle w:val="BodyTextMain"/>
        <w:rPr>
          <w:sz w:val="18"/>
          <w:lang w:val="en-GB"/>
        </w:rPr>
      </w:pPr>
    </w:p>
    <w:p w14:paraId="2C003E48" w14:textId="77777777" w:rsidR="009C1954" w:rsidRPr="00D53084" w:rsidRDefault="009C1954" w:rsidP="009C1954">
      <w:pPr>
        <w:pStyle w:val="Casehead1"/>
        <w:rPr>
          <w:rFonts w:eastAsiaTheme="majorEastAsia"/>
          <w:lang w:val="en-GB"/>
        </w:rPr>
      </w:pPr>
      <w:r w:rsidRPr="00D53084">
        <w:rPr>
          <w:lang w:val="en-GB"/>
        </w:rPr>
        <w:t>Going Global</w:t>
      </w:r>
    </w:p>
    <w:p w14:paraId="206222F4" w14:textId="77777777" w:rsidR="009C1954" w:rsidRPr="00D53084" w:rsidRDefault="009C1954" w:rsidP="009C1954">
      <w:pPr>
        <w:pStyle w:val="BodyTextMain"/>
        <w:rPr>
          <w:rFonts w:eastAsiaTheme="minorEastAsia"/>
          <w:sz w:val="20"/>
          <w:lang w:val="en-GB"/>
        </w:rPr>
      </w:pPr>
    </w:p>
    <w:p w14:paraId="6FE3B976" w14:textId="30076635" w:rsidR="009C1954" w:rsidRPr="00D53084" w:rsidRDefault="009C1954" w:rsidP="009C1954">
      <w:pPr>
        <w:pStyle w:val="BodyTextMain"/>
        <w:rPr>
          <w:rFonts w:eastAsiaTheme="minorEastAsia"/>
          <w:lang w:val="en-GB"/>
        </w:rPr>
      </w:pPr>
      <w:r w:rsidRPr="00D53084">
        <w:rPr>
          <w:lang w:val="en-GB"/>
        </w:rPr>
        <w:t xml:space="preserve">At the end of September 2015, </w:t>
      </w:r>
      <w:r w:rsidRPr="00D53084">
        <w:rPr>
          <w:rFonts w:eastAsiaTheme="minorEastAsia"/>
          <w:lang w:val="en-GB"/>
        </w:rPr>
        <w:t>Shenzhou International set up an apparel factory in Cambodia. In 2016, with 2,500</w:t>
      </w:r>
      <w:r w:rsidR="009545D5">
        <w:rPr>
          <w:rFonts w:eastAsiaTheme="minorEastAsia"/>
          <w:lang w:val="en-GB"/>
        </w:rPr>
        <w:t xml:space="preserve"> employees</w:t>
      </w:r>
      <w:r w:rsidRPr="00D53084">
        <w:rPr>
          <w:rFonts w:eastAsiaTheme="minorEastAsia"/>
          <w:lang w:val="en-GB"/>
        </w:rPr>
        <w:t>, the factory turned out more than 850,000 pieces of apparel every month, selling them mainly to E</w:t>
      </w:r>
      <w:r w:rsidR="008C05E4" w:rsidRPr="00D53084">
        <w:rPr>
          <w:rFonts w:eastAsiaTheme="minorEastAsia"/>
          <w:lang w:val="en-GB"/>
        </w:rPr>
        <w:t xml:space="preserve">uropean </w:t>
      </w:r>
      <w:r w:rsidRPr="00D53084">
        <w:rPr>
          <w:rFonts w:eastAsiaTheme="minorEastAsia"/>
          <w:lang w:val="en-GB"/>
        </w:rPr>
        <w:t>U</w:t>
      </w:r>
      <w:r w:rsidR="008C05E4" w:rsidRPr="00D53084">
        <w:rPr>
          <w:rFonts w:eastAsiaTheme="minorEastAsia"/>
          <w:lang w:val="en-GB"/>
        </w:rPr>
        <w:t>nion</w:t>
      </w:r>
      <w:r w:rsidRPr="00D53084">
        <w:rPr>
          <w:rFonts w:eastAsiaTheme="minorEastAsia"/>
          <w:lang w:val="en-GB"/>
        </w:rPr>
        <w:t xml:space="preserve"> member</w:t>
      </w:r>
      <w:r w:rsidR="008C05E4" w:rsidRPr="00D53084">
        <w:rPr>
          <w:rFonts w:eastAsiaTheme="minorEastAsia"/>
          <w:lang w:val="en-GB"/>
        </w:rPr>
        <w:t xml:space="preserve"> countrie</w:t>
      </w:r>
      <w:r w:rsidRPr="00D53084">
        <w:rPr>
          <w:rFonts w:eastAsiaTheme="minorEastAsia"/>
          <w:lang w:val="en-GB"/>
        </w:rPr>
        <w:t>s.</w:t>
      </w:r>
      <w:r w:rsidRPr="00D53084">
        <w:rPr>
          <w:rStyle w:val="EndnoteReference"/>
          <w:rFonts w:eastAsiaTheme="minorEastAsia"/>
          <w:lang w:val="en-GB"/>
        </w:rPr>
        <w:endnoteReference w:id="24"/>
      </w:r>
      <w:r w:rsidRPr="00D53084">
        <w:rPr>
          <w:rFonts w:eastAsiaTheme="minorEastAsia"/>
          <w:lang w:val="en-GB"/>
        </w:rPr>
        <w:t xml:space="preserve"> Over the p</w:t>
      </w:r>
      <w:r w:rsidR="009545D5">
        <w:rPr>
          <w:rFonts w:eastAsiaTheme="minorEastAsia"/>
          <w:lang w:val="en-GB"/>
        </w:rPr>
        <w:t>revious</w:t>
      </w:r>
      <w:r w:rsidRPr="00D53084">
        <w:rPr>
          <w:rFonts w:eastAsiaTheme="minorEastAsia"/>
          <w:lang w:val="en-GB"/>
        </w:rPr>
        <w:t xml:space="preserve"> few years, the scale of the apparel factory had expanded. In 2016, Shenzhou International ran two subsidiaries with four factories in Cambodia, including eight apparel workshops, two printing workshops, one embroidering workshop</w:t>
      </w:r>
      <w:r w:rsidR="00A24141" w:rsidRPr="00D53084">
        <w:rPr>
          <w:rFonts w:eastAsiaTheme="minorEastAsia"/>
          <w:lang w:val="en-GB"/>
        </w:rPr>
        <w:t>,</w:t>
      </w:r>
      <w:r w:rsidRPr="00D53084">
        <w:rPr>
          <w:rFonts w:eastAsiaTheme="minorEastAsia"/>
          <w:lang w:val="en-GB"/>
        </w:rPr>
        <w:t xml:space="preserve"> and one rinsing </w:t>
      </w:r>
      <w:r w:rsidRPr="00D53084">
        <w:rPr>
          <w:rFonts w:eastAsiaTheme="minorEastAsia"/>
          <w:lang w:val="en-GB"/>
        </w:rPr>
        <w:lastRenderedPageBreak/>
        <w:t>workshop. In 2013, with a staff of nearly 10,000, Shenzhen (Cambodia) Co., Ltd. was the largest Chinese apparel manufacturer in Cambodia.</w:t>
      </w:r>
      <w:r w:rsidRPr="00D53084">
        <w:rPr>
          <w:rStyle w:val="EndnoteReference"/>
          <w:rFonts w:eastAsiaTheme="minorEastAsia"/>
          <w:lang w:val="en-GB"/>
        </w:rPr>
        <w:endnoteReference w:id="25"/>
      </w:r>
    </w:p>
    <w:p w14:paraId="0E4EE75F" w14:textId="77777777" w:rsidR="009C1954" w:rsidRPr="00D53084" w:rsidRDefault="009C1954" w:rsidP="009C1954">
      <w:pPr>
        <w:pStyle w:val="BodyTextMain"/>
        <w:rPr>
          <w:sz w:val="20"/>
          <w:lang w:val="en-GB"/>
        </w:rPr>
      </w:pPr>
    </w:p>
    <w:p w14:paraId="040ED299" w14:textId="792D869C" w:rsidR="009C1954" w:rsidRPr="00D53084" w:rsidRDefault="009C1954" w:rsidP="009C1954">
      <w:pPr>
        <w:pStyle w:val="BodyTextMain"/>
        <w:rPr>
          <w:rFonts w:eastAsiaTheme="minorEastAsia"/>
          <w:spacing w:val="-4"/>
          <w:lang w:val="en-GB"/>
        </w:rPr>
      </w:pPr>
      <w:r w:rsidRPr="00D53084">
        <w:rPr>
          <w:rFonts w:eastAsiaTheme="minorEastAsia"/>
          <w:spacing w:val="-4"/>
          <w:lang w:val="en-GB"/>
        </w:rPr>
        <w:t>In Cambodia, Shenzhou International put a premium on compliance with local laws and regulations, labo</w:t>
      </w:r>
      <w:r w:rsidR="00A24141" w:rsidRPr="00D53084">
        <w:rPr>
          <w:rFonts w:eastAsiaTheme="minorEastAsia"/>
          <w:spacing w:val="-4"/>
          <w:lang w:val="en-GB"/>
        </w:rPr>
        <w:t>u</w:t>
      </w:r>
      <w:r w:rsidRPr="00D53084">
        <w:rPr>
          <w:rFonts w:eastAsiaTheme="minorEastAsia"/>
          <w:spacing w:val="-4"/>
          <w:lang w:val="en-GB"/>
        </w:rPr>
        <w:t>r relationships</w:t>
      </w:r>
      <w:r w:rsidR="00A24141" w:rsidRPr="00D53084">
        <w:rPr>
          <w:rFonts w:eastAsiaTheme="minorEastAsia"/>
          <w:spacing w:val="-4"/>
          <w:lang w:val="en-GB"/>
        </w:rPr>
        <w:t>,</w:t>
      </w:r>
      <w:r w:rsidRPr="00D53084">
        <w:rPr>
          <w:rFonts w:eastAsiaTheme="minorEastAsia"/>
          <w:spacing w:val="-4"/>
          <w:lang w:val="en-GB"/>
        </w:rPr>
        <w:t xml:space="preserve"> environmental protection, and localization of the executive team, granting generous employee benefits and offering a working lunch for free. In addition, the company provided employees, regardless of race or nationality, with equal pay for an equal position. Thanks to all these measures, after the factory was put into operation, its employees neither went on strike nor brought production to a halt. Despite the lower labo</w:t>
      </w:r>
      <w:r w:rsidR="00F3484F" w:rsidRPr="00D53084">
        <w:rPr>
          <w:rFonts w:eastAsiaTheme="minorEastAsia"/>
          <w:spacing w:val="-4"/>
          <w:lang w:val="en-GB"/>
        </w:rPr>
        <w:t>u</w:t>
      </w:r>
      <w:r w:rsidRPr="00D53084">
        <w:rPr>
          <w:rFonts w:eastAsiaTheme="minorEastAsia"/>
          <w:spacing w:val="-4"/>
          <w:lang w:val="en-GB"/>
        </w:rPr>
        <w:t>r cost, Cambodia lagged far behind China in terms of infrastructure, transportation</w:t>
      </w:r>
      <w:r w:rsidR="00F3484F" w:rsidRPr="00D53084">
        <w:rPr>
          <w:rFonts w:eastAsiaTheme="minorEastAsia"/>
          <w:spacing w:val="-4"/>
          <w:lang w:val="en-GB"/>
        </w:rPr>
        <w:t>,</w:t>
      </w:r>
      <w:r w:rsidRPr="00D53084">
        <w:rPr>
          <w:rFonts w:eastAsiaTheme="minorEastAsia"/>
          <w:spacing w:val="-4"/>
          <w:lang w:val="en-GB"/>
        </w:rPr>
        <w:t xml:space="preserve"> communications, and </w:t>
      </w:r>
      <w:r w:rsidR="00F3484F" w:rsidRPr="00D53084">
        <w:rPr>
          <w:rFonts w:eastAsiaTheme="minorEastAsia"/>
          <w:spacing w:val="-4"/>
          <w:lang w:val="en-GB"/>
        </w:rPr>
        <w:t xml:space="preserve">the </w:t>
      </w:r>
      <w:r w:rsidRPr="00D53084">
        <w:rPr>
          <w:rFonts w:eastAsiaTheme="minorEastAsia"/>
          <w:spacing w:val="-4"/>
          <w:lang w:val="en-GB"/>
        </w:rPr>
        <w:t xml:space="preserve">industry </w:t>
      </w:r>
      <w:r w:rsidR="00AC2340" w:rsidRPr="00D53084">
        <w:rPr>
          <w:rFonts w:eastAsiaTheme="minorEastAsia"/>
          <w:spacing w:val="-4"/>
          <w:lang w:val="en-GB" w:eastAsia="zh-CN"/>
        </w:rPr>
        <w:t xml:space="preserve">supply </w:t>
      </w:r>
      <w:r w:rsidRPr="00D53084">
        <w:rPr>
          <w:rFonts w:eastAsiaTheme="minorEastAsia"/>
          <w:spacing w:val="-4"/>
          <w:lang w:val="en-GB"/>
        </w:rPr>
        <w:t>chain. Thus, Cambodia held no clear advantage in the overall cost of apparel processing.</w:t>
      </w:r>
    </w:p>
    <w:p w14:paraId="47B1FC11" w14:textId="77777777" w:rsidR="009C1954" w:rsidRPr="00D53084" w:rsidRDefault="009C1954" w:rsidP="009C1954">
      <w:pPr>
        <w:pStyle w:val="BodyTextMain"/>
        <w:rPr>
          <w:spacing w:val="-4"/>
          <w:sz w:val="20"/>
          <w:lang w:val="en-GB"/>
        </w:rPr>
      </w:pPr>
    </w:p>
    <w:p w14:paraId="121FF2C4" w14:textId="3E518C70" w:rsidR="009C1954" w:rsidRPr="00D53084" w:rsidRDefault="009C1954" w:rsidP="009C1954">
      <w:pPr>
        <w:pStyle w:val="BodyTextMain"/>
        <w:rPr>
          <w:rFonts w:eastAsiaTheme="minorEastAsia"/>
          <w:spacing w:val="-4"/>
          <w:lang w:val="en-GB"/>
        </w:rPr>
      </w:pPr>
      <w:r w:rsidRPr="00D53084">
        <w:rPr>
          <w:spacing w:val="-4"/>
          <w:lang w:val="en-GB"/>
        </w:rPr>
        <w:t>The soaring labo</w:t>
      </w:r>
      <w:r w:rsidR="008D33FF" w:rsidRPr="00D53084">
        <w:rPr>
          <w:spacing w:val="-4"/>
          <w:lang w:val="en-GB"/>
        </w:rPr>
        <w:t>u</w:t>
      </w:r>
      <w:r w:rsidRPr="00D53084">
        <w:rPr>
          <w:spacing w:val="-4"/>
          <w:lang w:val="en-GB"/>
        </w:rPr>
        <w:t>r cost on the Chinese Mainland and major importers’ unfavo</w:t>
      </w:r>
      <w:r w:rsidR="008D33FF" w:rsidRPr="00D53084">
        <w:rPr>
          <w:spacing w:val="-4"/>
          <w:lang w:val="en-GB"/>
        </w:rPr>
        <w:t>u</w:t>
      </w:r>
      <w:r w:rsidRPr="00D53084">
        <w:rPr>
          <w:spacing w:val="-4"/>
          <w:lang w:val="en-GB"/>
        </w:rPr>
        <w:t xml:space="preserve">rable tariff policy against apparel from China brought huge cost pressure to bear on </w:t>
      </w:r>
      <w:r w:rsidRPr="00D53084">
        <w:rPr>
          <w:rFonts w:eastAsiaTheme="minorEastAsia"/>
          <w:spacing w:val="-4"/>
          <w:lang w:val="en-GB"/>
        </w:rPr>
        <w:t>Shenzhou International’s manufacturing facilities in China. Besides</w:t>
      </w:r>
      <w:r w:rsidR="008D33FF" w:rsidRPr="00D53084">
        <w:rPr>
          <w:rFonts w:eastAsiaTheme="minorEastAsia"/>
          <w:spacing w:val="-4"/>
          <w:lang w:val="en-GB"/>
        </w:rPr>
        <w:t xml:space="preserve"> this</w:t>
      </w:r>
      <w:r w:rsidRPr="00D53084">
        <w:rPr>
          <w:rFonts w:eastAsiaTheme="minorEastAsia"/>
          <w:spacing w:val="-4"/>
          <w:lang w:val="en-GB"/>
        </w:rPr>
        <w:t>, statistics showed th</w:t>
      </w:r>
      <w:r w:rsidR="008D33FF" w:rsidRPr="00D53084">
        <w:rPr>
          <w:rFonts w:eastAsiaTheme="minorEastAsia"/>
          <w:spacing w:val="-4"/>
          <w:lang w:val="en-GB"/>
        </w:rPr>
        <w:t>at</w:t>
      </w:r>
      <w:r w:rsidRPr="00D53084">
        <w:rPr>
          <w:rFonts w:eastAsiaTheme="minorEastAsia"/>
          <w:spacing w:val="-4"/>
          <w:lang w:val="en-GB"/>
        </w:rPr>
        <w:t xml:space="preserve"> fabrics required for apparel made in Vietnam were imported from China</w:t>
      </w:r>
      <w:r w:rsidR="008D33FF" w:rsidRPr="00D53084">
        <w:rPr>
          <w:rFonts w:eastAsiaTheme="minorEastAsia"/>
          <w:spacing w:val="-4"/>
          <w:lang w:val="en-GB"/>
        </w:rPr>
        <w:t>—i</w:t>
      </w:r>
      <w:r w:rsidRPr="00D53084">
        <w:rPr>
          <w:rFonts w:eastAsiaTheme="minorEastAsia"/>
          <w:spacing w:val="-4"/>
          <w:lang w:val="en-GB"/>
        </w:rPr>
        <w:t>n 2015, Vietnam’s fabric imports from China tota</w:t>
      </w:r>
      <w:r w:rsidR="008D33FF" w:rsidRPr="00D53084">
        <w:rPr>
          <w:rFonts w:eastAsiaTheme="minorEastAsia"/>
          <w:spacing w:val="-4"/>
          <w:lang w:val="en-GB"/>
        </w:rPr>
        <w:t>l</w:t>
      </w:r>
      <w:r w:rsidRPr="00D53084">
        <w:rPr>
          <w:rFonts w:eastAsiaTheme="minorEastAsia"/>
          <w:spacing w:val="-4"/>
          <w:lang w:val="en-GB"/>
        </w:rPr>
        <w:t xml:space="preserve">led US$8,160 million, up </w:t>
      </w:r>
      <w:r w:rsidRPr="00D53084">
        <w:rPr>
          <w:spacing w:val="-4"/>
          <w:lang w:val="en-GB"/>
        </w:rPr>
        <w:t>14.6</w:t>
      </w:r>
      <w:r w:rsidR="008D33FF" w:rsidRPr="00D53084">
        <w:rPr>
          <w:spacing w:val="-4"/>
          <w:lang w:val="en-GB"/>
        </w:rPr>
        <w:t xml:space="preserve"> per cent</w:t>
      </w:r>
      <w:r w:rsidRPr="00D53084">
        <w:rPr>
          <w:spacing w:val="-4"/>
          <w:lang w:val="en-GB"/>
        </w:rPr>
        <w:t xml:space="preserve"> year</w:t>
      </w:r>
      <w:r w:rsidR="005772FD" w:rsidRPr="00D53084">
        <w:rPr>
          <w:spacing w:val="-4"/>
          <w:lang w:val="en-GB"/>
        </w:rPr>
        <w:t xml:space="preserve"> </w:t>
      </w:r>
      <w:r w:rsidRPr="00D53084">
        <w:rPr>
          <w:spacing w:val="-4"/>
          <w:lang w:val="en-GB"/>
        </w:rPr>
        <w:t>on</w:t>
      </w:r>
      <w:r w:rsidR="005772FD" w:rsidRPr="00D53084">
        <w:rPr>
          <w:spacing w:val="-4"/>
          <w:lang w:val="en-GB"/>
        </w:rPr>
        <w:t xml:space="preserve"> </w:t>
      </w:r>
      <w:r w:rsidRPr="00D53084">
        <w:rPr>
          <w:spacing w:val="-4"/>
          <w:lang w:val="en-GB"/>
        </w:rPr>
        <w:t>year. Th</w:t>
      </w:r>
      <w:r w:rsidR="008D33FF" w:rsidRPr="00D53084">
        <w:rPr>
          <w:spacing w:val="-4"/>
          <w:lang w:val="en-GB"/>
        </w:rPr>
        <w:t>us</w:t>
      </w:r>
      <w:r w:rsidRPr="00D53084">
        <w:rPr>
          <w:spacing w:val="-4"/>
          <w:lang w:val="en-GB"/>
        </w:rPr>
        <w:t xml:space="preserve">, building a fabric factory in </w:t>
      </w:r>
      <w:r w:rsidRPr="00D53084">
        <w:rPr>
          <w:rFonts w:eastAsiaTheme="minorEastAsia"/>
          <w:spacing w:val="-4"/>
          <w:lang w:val="en-GB"/>
        </w:rPr>
        <w:t xml:space="preserve">Vietnam would </w:t>
      </w:r>
      <w:r w:rsidR="008D33FF" w:rsidRPr="00D53084">
        <w:rPr>
          <w:rFonts w:eastAsiaTheme="minorEastAsia"/>
          <w:spacing w:val="-4"/>
          <w:lang w:val="en-GB"/>
        </w:rPr>
        <w:t>give</w:t>
      </w:r>
      <w:r w:rsidRPr="00D53084">
        <w:rPr>
          <w:rFonts w:eastAsiaTheme="minorEastAsia"/>
          <w:spacing w:val="-4"/>
          <w:lang w:val="en-GB"/>
        </w:rPr>
        <w:t xml:space="preserve"> an apparel manufacturer a competitive edge.</w:t>
      </w:r>
      <w:r w:rsidRPr="00D53084">
        <w:rPr>
          <w:rStyle w:val="EndnoteReference"/>
          <w:rFonts w:eastAsiaTheme="minorEastAsia"/>
          <w:spacing w:val="-4"/>
          <w:lang w:val="en-GB"/>
        </w:rPr>
        <w:endnoteReference w:id="26"/>
      </w:r>
    </w:p>
    <w:p w14:paraId="6EB113D4" w14:textId="77777777" w:rsidR="009C1954" w:rsidRPr="00D53084" w:rsidRDefault="009C1954" w:rsidP="009C1954">
      <w:pPr>
        <w:pStyle w:val="BodyTextMain"/>
        <w:rPr>
          <w:sz w:val="20"/>
          <w:lang w:val="en-GB"/>
        </w:rPr>
      </w:pPr>
    </w:p>
    <w:p w14:paraId="1A52A8EC" w14:textId="26E8CD68" w:rsidR="009C1954" w:rsidRPr="00D53084" w:rsidRDefault="009C1954" w:rsidP="009C1954">
      <w:pPr>
        <w:pStyle w:val="BodyTextMain"/>
        <w:rPr>
          <w:lang w:val="en-GB"/>
        </w:rPr>
      </w:pPr>
      <w:r w:rsidRPr="00D53084">
        <w:rPr>
          <w:rFonts w:eastAsiaTheme="minorEastAsia"/>
          <w:lang w:val="en-GB"/>
        </w:rPr>
        <w:t>In</w:t>
      </w:r>
      <w:r w:rsidRPr="00D53084">
        <w:rPr>
          <w:lang w:val="en-GB"/>
        </w:rPr>
        <w:t xml:space="preserve"> </w:t>
      </w:r>
      <w:proofErr w:type="spellStart"/>
      <w:r w:rsidRPr="00D53084">
        <w:rPr>
          <w:lang w:val="en-GB"/>
        </w:rPr>
        <w:t>Quảng</w:t>
      </w:r>
      <w:proofErr w:type="spellEnd"/>
      <w:r w:rsidRPr="00D53084">
        <w:rPr>
          <w:lang w:val="en-GB"/>
        </w:rPr>
        <w:t xml:space="preserve"> </w:t>
      </w:r>
      <w:proofErr w:type="spellStart"/>
      <w:r w:rsidRPr="00D53084">
        <w:rPr>
          <w:lang w:val="en-GB"/>
        </w:rPr>
        <w:t>Ninh</w:t>
      </w:r>
      <w:proofErr w:type="spellEnd"/>
      <w:r w:rsidRPr="00D53084">
        <w:rPr>
          <w:lang w:val="en-GB"/>
        </w:rPr>
        <w:t xml:space="preserve"> Province, Vietnam, </w:t>
      </w:r>
      <w:r w:rsidRPr="00D53084">
        <w:rPr>
          <w:rFonts w:eastAsiaTheme="minorEastAsia"/>
          <w:lang w:val="en-GB"/>
        </w:rPr>
        <w:t xml:space="preserve">Shenzhou International set up a fabric plant and an apparel factory, </w:t>
      </w:r>
      <w:r w:rsidRPr="00D53084">
        <w:rPr>
          <w:lang w:val="en-GB"/>
        </w:rPr>
        <w:t>which</w:t>
      </w:r>
      <w:r w:rsidRPr="00D53084">
        <w:rPr>
          <w:rFonts w:eastAsiaTheme="minorEastAsia"/>
          <w:lang w:val="en-GB"/>
        </w:rPr>
        <w:t xml:space="preserve"> </w:t>
      </w:r>
      <w:r w:rsidR="00183011" w:rsidRPr="00D53084">
        <w:rPr>
          <w:rFonts w:eastAsiaTheme="minorEastAsia"/>
          <w:lang w:val="en-GB"/>
        </w:rPr>
        <w:t>it</w:t>
      </w:r>
      <w:r w:rsidRPr="00D53084">
        <w:rPr>
          <w:rFonts w:eastAsiaTheme="minorEastAsia"/>
          <w:lang w:val="en-GB"/>
        </w:rPr>
        <w:t xml:space="preserve"> put into operation </w:t>
      </w:r>
      <w:r w:rsidRPr="00D53084">
        <w:rPr>
          <w:lang w:val="en-GB"/>
        </w:rPr>
        <w:t>in November 2014 and</w:t>
      </w:r>
      <w:r w:rsidRPr="00D53084">
        <w:rPr>
          <w:rFonts w:eastAsiaTheme="minorEastAsia"/>
          <w:lang w:val="en-GB"/>
        </w:rPr>
        <w:t xml:space="preserve"> January 2015</w:t>
      </w:r>
      <w:r w:rsidR="00806D88" w:rsidRPr="00D53084">
        <w:rPr>
          <w:rFonts w:eastAsiaTheme="minorEastAsia"/>
          <w:lang w:val="en-GB"/>
        </w:rPr>
        <w:t>,</w:t>
      </w:r>
      <w:r w:rsidRPr="00D53084">
        <w:rPr>
          <w:rFonts w:eastAsiaTheme="minorEastAsia"/>
          <w:lang w:val="en-GB"/>
        </w:rPr>
        <w:t xml:space="preserve"> respectively. The group had sent some executives and technical experts to these two factories, and provided training for their key employees before the projects came on stream. By 2016, the two projects </w:t>
      </w:r>
      <w:r w:rsidR="00806D88" w:rsidRPr="00D53084">
        <w:rPr>
          <w:rFonts w:eastAsiaTheme="minorEastAsia"/>
          <w:lang w:val="en-GB"/>
        </w:rPr>
        <w:t>were</w:t>
      </w:r>
      <w:r w:rsidRPr="00D53084">
        <w:rPr>
          <w:rFonts w:eastAsiaTheme="minorEastAsia"/>
          <w:lang w:val="en-GB"/>
        </w:rPr>
        <w:t xml:space="preserve"> off to a flying start. The fabric plant supplied fabrics to the group’s apparel factories in Cambodia and Vietnam, enhancing its market responsiveness and reducing the transportation cost.</w:t>
      </w:r>
      <w:r w:rsidRPr="00D53084">
        <w:rPr>
          <w:rStyle w:val="EndnoteReference"/>
          <w:rFonts w:eastAsiaTheme="minorEastAsia"/>
          <w:lang w:val="en-GB"/>
        </w:rPr>
        <w:endnoteReference w:id="27"/>
      </w:r>
      <w:r w:rsidR="00183011" w:rsidRPr="00D53084">
        <w:rPr>
          <w:rFonts w:eastAsiaTheme="minorEastAsia"/>
          <w:lang w:val="en-GB"/>
        </w:rPr>
        <w:t xml:space="preserve"> </w:t>
      </w:r>
      <w:r w:rsidRPr="00D53084">
        <w:rPr>
          <w:rFonts w:eastAsiaTheme="minorEastAsia"/>
          <w:lang w:val="en-GB"/>
        </w:rPr>
        <w:t>According to its annual report, a</w:t>
      </w:r>
      <w:r w:rsidRPr="00D53084">
        <w:rPr>
          <w:lang w:val="en-GB"/>
        </w:rPr>
        <w:t xml:space="preserve">long with the expansion of the business in </w:t>
      </w:r>
      <w:r w:rsidRPr="00D53084">
        <w:rPr>
          <w:rFonts w:eastAsiaTheme="minorEastAsia"/>
          <w:lang w:val="en-GB"/>
        </w:rPr>
        <w:t>Cambodia and Vietnam, Shenzhou International pos</w:t>
      </w:r>
      <w:r w:rsidR="00707849" w:rsidRPr="00D53084">
        <w:rPr>
          <w:rFonts w:eastAsiaTheme="minorEastAsia"/>
          <w:lang w:val="en-GB"/>
        </w:rPr>
        <w:t>t</w:t>
      </w:r>
      <w:r w:rsidRPr="00D53084">
        <w:rPr>
          <w:rFonts w:eastAsiaTheme="minorEastAsia"/>
          <w:lang w:val="en-GB"/>
        </w:rPr>
        <w:t>ed 50</w:t>
      </w:r>
      <w:r w:rsidR="00183011" w:rsidRPr="00D53084">
        <w:rPr>
          <w:rFonts w:eastAsiaTheme="minorEastAsia"/>
          <w:lang w:val="en-GB"/>
        </w:rPr>
        <w:t>-per-cent</w:t>
      </w:r>
      <w:r w:rsidRPr="00D53084">
        <w:rPr>
          <w:rFonts w:eastAsiaTheme="minorEastAsia"/>
          <w:lang w:val="en-GB"/>
        </w:rPr>
        <w:t xml:space="preserve"> year-on-year growth in sales from European markets and a </w:t>
      </w:r>
      <w:r w:rsidRPr="00D53084">
        <w:rPr>
          <w:lang w:val="en-GB"/>
        </w:rPr>
        <w:t>2.5</w:t>
      </w:r>
      <w:r w:rsidR="00183011" w:rsidRPr="00D53084">
        <w:rPr>
          <w:lang w:val="en-GB"/>
        </w:rPr>
        <w:t>-per-cent</w:t>
      </w:r>
      <w:r w:rsidRPr="00D53084">
        <w:rPr>
          <w:lang w:val="en-GB"/>
        </w:rPr>
        <w:t xml:space="preserve"> </w:t>
      </w:r>
      <w:r w:rsidRPr="00D53084">
        <w:rPr>
          <w:rFonts w:eastAsiaTheme="minorEastAsia"/>
          <w:lang w:val="en-GB"/>
        </w:rPr>
        <w:t>increase</w:t>
      </w:r>
      <w:r w:rsidRPr="00D53084">
        <w:rPr>
          <w:lang w:val="en-GB"/>
        </w:rPr>
        <w:t xml:space="preserve"> in</w:t>
      </w:r>
      <w:r w:rsidRPr="00D53084">
        <w:rPr>
          <w:rFonts w:eastAsiaTheme="minorEastAsia"/>
          <w:lang w:val="en-GB"/>
        </w:rPr>
        <w:t xml:space="preserve"> gross margin in the first half of 2016. The group planned to increase the </w:t>
      </w:r>
      <w:r w:rsidR="001A27E5">
        <w:rPr>
          <w:rFonts w:eastAsiaTheme="minorEastAsia"/>
          <w:lang w:val="en-GB"/>
        </w:rPr>
        <w:t>number of employees</w:t>
      </w:r>
      <w:r w:rsidRPr="00D53084">
        <w:rPr>
          <w:rFonts w:eastAsiaTheme="minorEastAsia"/>
          <w:lang w:val="en-GB"/>
        </w:rPr>
        <w:t xml:space="preserve"> of its factories in Vietnam to </w:t>
      </w:r>
      <w:r w:rsidRPr="00D53084">
        <w:rPr>
          <w:lang w:val="en-GB"/>
        </w:rPr>
        <w:t>11,000 at the end of 2017 to scale up the annual capacity by 12</w:t>
      </w:r>
      <w:r w:rsidR="00183011" w:rsidRPr="00D53084">
        <w:rPr>
          <w:lang w:val="en-GB"/>
        </w:rPr>
        <w:t xml:space="preserve"> to </w:t>
      </w:r>
      <w:r w:rsidRPr="00D53084">
        <w:rPr>
          <w:lang w:val="en-GB"/>
        </w:rPr>
        <w:t>15</w:t>
      </w:r>
      <w:r w:rsidR="00183011" w:rsidRPr="00D53084">
        <w:rPr>
          <w:lang w:val="en-GB"/>
        </w:rPr>
        <w:t xml:space="preserve"> per cent</w:t>
      </w:r>
      <w:r w:rsidRPr="00D53084">
        <w:rPr>
          <w:lang w:val="en-GB"/>
        </w:rPr>
        <w:t>.</w:t>
      </w:r>
      <w:r w:rsidRPr="00D53084">
        <w:rPr>
          <w:rStyle w:val="EndnoteReference"/>
          <w:lang w:val="en-GB"/>
        </w:rPr>
        <w:endnoteReference w:id="28"/>
      </w:r>
    </w:p>
    <w:p w14:paraId="702737C7" w14:textId="77777777" w:rsidR="009C1954" w:rsidRPr="00D53084" w:rsidRDefault="009C1954" w:rsidP="009C1954">
      <w:pPr>
        <w:pStyle w:val="BodyTextMain"/>
        <w:rPr>
          <w:sz w:val="20"/>
          <w:lang w:val="en-GB"/>
        </w:rPr>
      </w:pPr>
    </w:p>
    <w:p w14:paraId="2B93C987" w14:textId="0A6D2976" w:rsidR="009C1954" w:rsidRPr="00D53084" w:rsidRDefault="009C1954" w:rsidP="009C1954">
      <w:pPr>
        <w:pStyle w:val="BodyTextMain"/>
        <w:rPr>
          <w:rFonts w:eastAsiaTheme="minorEastAsia"/>
          <w:lang w:val="en-GB"/>
        </w:rPr>
      </w:pPr>
      <w:r w:rsidRPr="00D53084">
        <w:rPr>
          <w:rFonts w:eastAsiaTheme="minorEastAsia"/>
          <w:lang w:val="en-GB"/>
        </w:rPr>
        <w:t xml:space="preserve">While building the two factories, Shenzhou International </w:t>
      </w:r>
      <w:r w:rsidR="00707849" w:rsidRPr="00D53084">
        <w:rPr>
          <w:rFonts w:eastAsiaTheme="minorEastAsia"/>
          <w:lang w:val="en-GB"/>
        </w:rPr>
        <w:t>had set about</w:t>
      </w:r>
      <w:r w:rsidRPr="00D53084">
        <w:rPr>
          <w:rFonts w:eastAsiaTheme="minorEastAsia"/>
          <w:lang w:val="en-GB"/>
        </w:rPr>
        <w:t xml:space="preserve"> upgrading the internal operations system, including the production process, quality control, and lead time, to create a production model that integrated fabric production, printing, embroidery, and apparel manufacturing. The group’s IT system laid a solid foundation for its multinational operations. The group adopted a vertically integrated model to manage production planning, finance, </w:t>
      </w:r>
      <w:r w:rsidR="00707849" w:rsidRPr="00D53084">
        <w:rPr>
          <w:rFonts w:eastAsiaTheme="minorEastAsia"/>
          <w:lang w:val="en-GB"/>
        </w:rPr>
        <w:t>human resources,</w:t>
      </w:r>
      <w:r w:rsidRPr="00D53084">
        <w:rPr>
          <w:rFonts w:eastAsiaTheme="minorEastAsia"/>
          <w:lang w:val="en-GB"/>
        </w:rPr>
        <w:t xml:space="preserve"> and administration on a consolidated basis. For example, the group’s </w:t>
      </w:r>
      <w:r w:rsidR="00707849" w:rsidRPr="00D53084">
        <w:rPr>
          <w:rFonts w:eastAsiaTheme="minorEastAsia"/>
          <w:lang w:val="en-GB"/>
        </w:rPr>
        <w:t>v</w:t>
      </w:r>
      <w:r w:rsidRPr="00D53084">
        <w:rPr>
          <w:rFonts w:eastAsiaTheme="minorEastAsia"/>
          <w:lang w:val="en-GB"/>
        </w:rPr>
        <w:t>ice</w:t>
      </w:r>
      <w:r w:rsidR="00707849" w:rsidRPr="00D53084">
        <w:rPr>
          <w:rFonts w:eastAsiaTheme="minorEastAsia"/>
          <w:lang w:val="en-GB"/>
        </w:rPr>
        <w:t>-p</w:t>
      </w:r>
      <w:r w:rsidRPr="00D53084">
        <w:rPr>
          <w:rFonts w:eastAsiaTheme="minorEastAsia"/>
          <w:lang w:val="en-GB"/>
        </w:rPr>
        <w:t>resident of Production in Ningbo oversaw the production in factories in China, Cambodia</w:t>
      </w:r>
      <w:r w:rsidR="00707849" w:rsidRPr="00D53084">
        <w:rPr>
          <w:rFonts w:eastAsiaTheme="minorEastAsia"/>
          <w:lang w:val="en-GB"/>
        </w:rPr>
        <w:t>,</w:t>
      </w:r>
      <w:r w:rsidRPr="00D53084">
        <w:rPr>
          <w:rFonts w:eastAsiaTheme="minorEastAsia"/>
          <w:lang w:val="en-GB"/>
        </w:rPr>
        <w:t xml:space="preserve"> and Vietnam; it was up to headquarters to purchase and allocate all raw materials. The vertically integrated management system based on </w:t>
      </w:r>
      <w:r w:rsidR="00707849" w:rsidRPr="00D53084">
        <w:rPr>
          <w:rFonts w:eastAsiaTheme="minorEastAsia"/>
          <w:lang w:val="en-GB"/>
        </w:rPr>
        <w:t>IT</w:t>
      </w:r>
      <w:r w:rsidRPr="00D53084">
        <w:rPr>
          <w:rFonts w:eastAsiaTheme="minorEastAsia"/>
          <w:lang w:val="en-GB"/>
        </w:rPr>
        <w:t xml:space="preserve"> brought the group’s processes, quality, efficiency</w:t>
      </w:r>
      <w:r w:rsidR="00707849" w:rsidRPr="00D53084">
        <w:rPr>
          <w:rFonts w:eastAsiaTheme="minorEastAsia"/>
          <w:lang w:val="en-GB"/>
        </w:rPr>
        <w:t>,</w:t>
      </w:r>
      <w:r w:rsidRPr="00D53084">
        <w:rPr>
          <w:rFonts w:eastAsiaTheme="minorEastAsia"/>
          <w:lang w:val="en-GB"/>
        </w:rPr>
        <w:t xml:space="preserve"> and costs to the same level. As lean production principles were applied to each manufacturing process in the overseas factories, the group’s productivity markedly improved.</w:t>
      </w:r>
    </w:p>
    <w:p w14:paraId="5FA6F9D0" w14:textId="77777777" w:rsidR="009C1954" w:rsidRPr="00D53084" w:rsidRDefault="009C1954" w:rsidP="009C1954">
      <w:pPr>
        <w:pStyle w:val="BodyTextMain"/>
        <w:rPr>
          <w:sz w:val="20"/>
          <w:lang w:val="en-GB"/>
        </w:rPr>
      </w:pPr>
    </w:p>
    <w:p w14:paraId="23CA7C20" w14:textId="3E29E525" w:rsidR="009C1954" w:rsidRPr="00D53084" w:rsidRDefault="009C1954" w:rsidP="009C1954">
      <w:pPr>
        <w:pStyle w:val="BodyTextMain"/>
        <w:rPr>
          <w:rFonts w:eastAsiaTheme="minorEastAsia"/>
          <w:lang w:val="en-GB"/>
        </w:rPr>
      </w:pPr>
      <w:r w:rsidRPr="00D53084">
        <w:rPr>
          <w:lang w:val="en-GB"/>
        </w:rPr>
        <w:t xml:space="preserve">As a global apparel supplier, </w:t>
      </w:r>
      <w:r w:rsidRPr="00D53084">
        <w:rPr>
          <w:rFonts w:eastAsiaTheme="minorEastAsia"/>
          <w:lang w:val="en-GB"/>
        </w:rPr>
        <w:t xml:space="preserve">Shenzhou International made a point of </w:t>
      </w:r>
      <w:r w:rsidR="00AC2340" w:rsidRPr="00D53084">
        <w:rPr>
          <w:rFonts w:eastAsiaTheme="minorEastAsia"/>
          <w:lang w:val="en-GB"/>
        </w:rPr>
        <w:t>undertaking corporate social responsibility initiatives</w:t>
      </w:r>
      <w:r w:rsidRPr="00D53084">
        <w:rPr>
          <w:rFonts w:eastAsiaTheme="minorEastAsia"/>
          <w:lang w:val="en-GB"/>
        </w:rPr>
        <w:t xml:space="preserve"> in order to maintain its competitive advantage around the world. The group was committed to labo</w:t>
      </w:r>
      <w:r w:rsidR="00DD4FE9" w:rsidRPr="00D53084">
        <w:rPr>
          <w:rFonts w:eastAsiaTheme="minorEastAsia"/>
          <w:lang w:val="en-GB"/>
        </w:rPr>
        <w:t>u</w:t>
      </w:r>
      <w:r w:rsidRPr="00D53084">
        <w:rPr>
          <w:rFonts w:eastAsiaTheme="minorEastAsia"/>
          <w:lang w:val="en-GB"/>
        </w:rPr>
        <w:t>r law compliance, environmental protection, employee benefits, and community relationships so as to project itself as a responsible company.</w:t>
      </w:r>
    </w:p>
    <w:p w14:paraId="2BA68263" w14:textId="77777777" w:rsidR="007443E7" w:rsidRPr="00D53084" w:rsidRDefault="007443E7" w:rsidP="009C1954">
      <w:pPr>
        <w:pStyle w:val="BodyTextMain"/>
        <w:rPr>
          <w:rFonts w:eastAsiaTheme="minorEastAsia"/>
          <w:lang w:val="en-GB"/>
        </w:rPr>
      </w:pPr>
    </w:p>
    <w:p w14:paraId="2DE4D4AD" w14:textId="77777777" w:rsidR="007443E7" w:rsidRPr="00D53084" w:rsidRDefault="007443E7" w:rsidP="009C1954">
      <w:pPr>
        <w:pStyle w:val="BodyTextMain"/>
        <w:rPr>
          <w:rFonts w:eastAsiaTheme="minorEastAsia"/>
          <w:lang w:val="en-GB"/>
        </w:rPr>
      </w:pPr>
    </w:p>
    <w:p w14:paraId="3B824C47" w14:textId="476BC8DE" w:rsidR="009C1954" w:rsidRPr="00D53084" w:rsidRDefault="009C1954" w:rsidP="009C1954">
      <w:pPr>
        <w:pStyle w:val="Casehead1"/>
        <w:keepNext/>
        <w:rPr>
          <w:lang w:val="en-GB"/>
        </w:rPr>
      </w:pPr>
      <w:r w:rsidRPr="00D53084">
        <w:rPr>
          <w:lang w:val="en-GB"/>
        </w:rPr>
        <w:t>Trends for the global knitted sportswear market</w:t>
      </w:r>
    </w:p>
    <w:p w14:paraId="10B50747" w14:textId="77777777" w:rsidR="009C1954" w:rsidRPr="00D53084" w:rsidRDefault="009C1954" w:rsidP="009C1954">
      <w:pPr>
        <w:pStyle w:val="BodyTextMain"/>
        <w:keepNext/>
        <w:rPr>
          <w:rFonts w:eastAsiaTheme="minorEastAsia"/>
          <w:sz w:val="20"/>
          <w:lang w:val="en-GB"/>
        </w:rPr>
      </w:pPr>
    </w:p>
    <w:p w14:paraId="0BE4ED36" w14:textId="09B3C205" w:rsidR="009C1954" w:rsidRPr="00D53084" w:rsidRDefault="009C1954" w:rsidP="009C1954">
      <w:pPr>
        <w:pStyle w:val="BodyTextMain"/>
        <w:keepNext/>
        <w:rPr>
          <w:rFonts w:eastAsiaTheme="minorEastAsia"/>
          <w:lang w:val="en-GB"/>
        </w:rPr>
      </w:pPr>
      <w:r w:rsidRPr="00D53084">
        <w:rPr>
          <w:rFonts w:eastAsiaTheme="minorEastAsia"/>
          <w:lang w:val="en-GB"/>
        </w:rPr>
        <w:t xml:space="preserve">The apparel industry was </w:t>
      </w:r>
      <w:r w:rsidR="00AC2340" w:rsidRPr="00D53084">
        <w:rPr>
          <w:rFonts w:eastAsiaTheme="minorEastAsia"/>
          <w:lang w:val="en-GB" w:eastAsia="zh-CN"/>
        </w:rPr>
        <w:t>a traditional</w:t>
      </w:r>
      <w:r w:rsidRPr="00D53084">
        <w:rPr>
          <w:rFonts w:eastAsiaTheme="minorEastAsia"/>
          <w:lang w:val="en-GB"/>
        </w:rPr>
        <w:t xml:space="preserve"> industry</w:t>
      </w:r>
      <w:r w:rsidR="00496074" w:rsidRPr="00D53084">
        <w:rPr>
          <w:rFonts w:eastAsiaTheme="minorEastAsia"/>
          <w:lang w:val="en-GB"/>
        </w:rPr>
        <w:t>.</w:t>
      </w:r>
      <w:r w:rsidRPr="00D53084">
        <w:rPr>
          <w:rFonts w:eastAsiaTheme="minorEastAsia"/>
          <w:lang w:val="en-GB"/>
        </w:rPr>
        <w:t xml:space="preserve"> According to a report from UNCTAD (United Nations Conference on Trade and Development), sales of the global textile and apparel industry tota</w:t>
      </w:r>
      <w:r w:rsidR="00850666" w:rsidRPr="00D53084">
        <w:rPr>
          <w:rFonts w:eastAsiaTheme="minorEastAsia"/>
          <w:lang w:val="en-GB"/>
        </w:rPr>
        <w:t>l</w:t>
      </w:r>
      <w:r w:rsidRPr="00D53084">
        <w:rPr>
          <w:rFonts w:eastAsiaTheme="minorEastAsia"/>
          <w:lang w:val="en-GB"/>
        </w:rPr>
        <w:t>led US$1.1 trillion in 2012; since 2013, the size of the global apparel market had increased by over 6.6</w:t>
      </w:r>
      <w:r w:rsidR="00FC2806" w:rsidRPr="00D53084">
        <w:rPr>
          <w:rFonts w:eastAsiaTheme="minorEastAsia"/>
          <w:lang w:val="en-GB"/>
        </w:rPr>
        <w:t xml:space="preserve"> per cent</w:t>
      </w:r>
      <w:r w:rsidRPr="00D53084">
        <w:rPr>
          <w:rFonts w:eastAsiaTheme="minorEastAsia"/>
          <w:lang w:val="en-GB"/>
        </w:rPr>
        <w:t xml:space="preserve"> every </w:t>
      </w:r>
      <w:r w:rsidRPr="00D53084">
        <w:rPr>
          <w:rFonts w:eastAsiaTheme="minorEastAsia"/>
          <w:lang w:val="en-GB"/>
        </w:rPr>
        <w:lastRenderedPageBreak/>
        <w:t xml:space="preserve">year. </w:t>
      </w:r>
      <w:r w:rsidR="00850666" w:rsidRPr="00D53084">
        <w:rPr>
          <w:rFonts w:eastAsiaTheme="minorEastAsia"/>
          <w:lang w:val="en-GB"/>
        </w:rPr>
        <w:t>Based on a</w:t>
      </w:r>
      <w:r w:rsidRPr="00D53084">
        <w:rPr>
          <w:rFonts w:eastAsiaTheme="minorEastAsia"/>
          <w:lang w:val="en-GB"/>
        </w:rPr>
        <w:t xml:space="preserve"> conservative estimate of 5</w:t>
      </w:r>
      <w:r w:rsidR="00FC2806" w:rsidRPr="00D53084">
        <w:rPr>
          <w:rFonts w:eastAsiaTheme="minorEastAsia"/>
          <w:lang w:val="en-GB"/>
        </w:rPr>
        <w:t>-per-cent</w:t>
      </w:r>
      <w:r w:rsidRPr="00D53084">
        <w:rPr>
          <w:rFonts w:eastAsiaTheme="minorEastAsia"/>
          <w:lang w:val="en-GB"/>
        </w:rPr>
        <w:t xml:space="preserve"> </w:t>
      </w:r>
      <w:r w:rsidR="00FC2806" w:rsidRPr="00D53084">
        <w:rPr>
          <w:rFonts w:eastAsiaTheme="minorEastAsia"/>
          <w:lang w:val="en-GB"/>
        </w:rPr>
        <w:t xml:space="preserve">annual </w:t>
      </w:r>
      <w:r w:rsidRPr="00D53084">
        <w:rPr>
          <w:rFonts w:eastAsiaTheme="minorEastAsia"/>
          <w:lang w:val="en-GB"/>
        </w:rPr>
        <w:t>growth, the size of the global apparel market would amount to US$2.1 trillion by 2025;</w:t>
      </w:r>
      <w:r w:rsidRPr="00D53084">
        <w:rPr>
          <w:rStyle w:val="EndnoteReference"/>
          <w:rFonts w:eastAsiaTheme="minorEastAsia"/>
          <w:lang w:val="en-GB"/>
        </w:rPr>
        <w:endnoteReference w:id="29"/>
      </w:r>
      <w:r w:rsidRPr="00D53084">
        <w:rPr>
          <w:rFonts w:eastAsiaTheme="minorEastAsia"/>
          <w:lang w:val="en-GB"/>
        </w:rPr>
        <w:t xml:space="preserve"> apparel spending per capita in the world was forecast to rise from US$153 to US$247 by 2025. In populous countries, such as India, China, Brazil</w:t>
      </w:r>
      <w:r w:rsidR="00850666" w:rsidRPr="00D53084">
        <w:rPr>
          <w:rFonts w:eastAsiaTheme="minorEastAsia"/>
          <w:lang w:val="en-GB"/>
        </w:rPr>
        <w:t>,</w:t>
      </w:r>
      <w:r w:rsidRPr="00D53084">
        <w:rPr>
          <w:rFonts w:eastAsiaTheme="minorEastAsia"/>
          <w:lang w:val="en-GB"/>
        </w:rPr>
        <w:t xml:space="preserve"> and Russia, the demand for apparel per capita would double (see Exhibit 5). </w:t>
      </w:r>
    </w:p>
    <w:p w14:paraId="686CEFDB" w14:textId="77777777" w:rsidR="009C1954" w:rsidRPr="00D53084" w:rsidRDefault="009C1954" w:rsidP="009C1954">
      <w:pPr>
        <w:pStyle w:val="BodyTextMain"/>
        <w:rPr>
          <w:sz w:val="20"/>
          <w:lang w:val="en-GB"/>
        </w:rPr>
      </w:pPr>
    </w:p>
    <w:p w14:paraId="363A8A16" w14:textId="79971948" w:rsidR="009C1954" w:rsidRPr="00D53084" w:rsidRDefault="009C1954" w:rsidP="009C1954">
      <w:pPr>
        <w:pStyle w:val="BodyTextMain"/>
        <w:rPr>
          <w:rFonts w:eastAsiaTheme="minorEastAsia"/>
          <w:kern w:val="2"/>
          <w:lang w:val="en-GB"/>
        </w:rPr>
      </w:pPr>
      <w:r w:rsidRPr="00D53084">
        <w:rPr>
          <w:rFonts w:eastAsiaTheme="minorEastAsia"/>
          <w:kern w:val="2"/>
          <w:lang w:val="en-GB"/>
        </w:rPr>
        <w:t>The value chain of the apparel industry—from raw material processing and spinning to apparel manufacture and sales</w:t>
      </w:r>
      <w:r w:rsidR="00850666" w:rsidRPr="00D53084">
        <w:rPr>
          <w:rFonts w:eastAsiaTheme="minorEastAsia"/>
          <w:kern w:val="2"/>
          <w:lang w:val="en-GB"/>
        </w:rPr>
        <w:t>—was not long</w:t>
      </w:r>
      <w:r w:rsidRPr="00D53084">
        <w:rPr>
          <w:rFonts w:eastAsiaTheme="minorEastAsia"/>
          <w:kern w:val="2"/>
          <w:lang w:val="en-GB"/>
        </w:rPr>
        <w:t>. The raw materials fell into the categories of natural fib</w:t>
      </w:r>
      <w:r w:rsidR="00850666" w:rsidRPr="00D53084">
        <w:rPr>
          <w:rFonts w:eastAsiaTheme="minorEastAsia"/>
          <w:kern w:val="2"/>
          <w:lang w:val="en-GB"/>
        </w:rPr>
        <w:t>r</w:t>
      </w:r>
      <w:r w:rsidRPr="00D53084">
        <w:rPr>
          <w:rFonts w:eastAsiaTheme="minorEastAsia"/>
          <w:kern w:val="2"/>
          <w:lang w:val="en-GB"/>
        </w:rPr>
        <w:t>es (cotton, wool, linen</w:t>
      </w:r>
      <w:r w:rsidR="00850666" w:rsidRPr="00D53084">
        <w:rPr>
          <w:rFonts w:eastAsiaTheme="minorEastAsia"/>
          <w:kern w:val="2"/>
          <w:lang w:val="en-GB"/>
        </w:rPr>
        <w:t>,</w:t>
      </w:r>
      <w:r w:rsidRPr="00D53084">
        <w:rPr>
          <w:rFonts w:eastAsiaTheme="minorEastAsia"/>
          <w:kern w:val="2"/>
          <w:lang w:val="en-GB"/>
        </w:rPr>
        <w:t xml:space="preserve"> and silk) and chemical fib</w:t>
      </w:r>
      <w:r w:rsidR="00850666" w:rsidRPr="00D53084">
        <w:rPr>
          <w:rFonts w:eastAsiaTheme="minorEastAsia"/>
          <w:kern w:val="2"/>
          <w:lang w:val="en-GB"/>
        </w:rPr>
        <w:t>r</w:t>
      </w:r>
      <w:r w:rsidRPr="00D53084">
        <w:rPr>
          <w:rFonts w:eastAsiaTheme="minorEastAsia"/>
          <w:kern w:val="2"/>
          <w:lang w:val="en-GB"/>
        </w:rPr>
        <w:t>es. Spun from raw materials, yarns were woven or knitted into fabrics to be dyed, cut</w:t>
      </w:r>
      <w:r w:rsidR="00850666" w:rsidRPr="00D53084">
        <w:rPr>
          <w:rFonts w:eastAsiaTheme="minorEastAsia"/>
          <w:kern w:val="2"/>
          <w:lang w:val="en-GB"/>
        </w:rPr>
        <w:t>,</w:t>
      </w:r>
      <w:r w:rsidRPr="00D53084">
        <w:rPr>
          <w:rFonts w:eastAsiaTheme="minorEastAsia"/>
          <w:kern w:val="2"/>
          <w:lang w:val="en-GB"/>
        </w:rPr>
        <w:t xml:space="preserve"> and sewn into apparel, which </w:t>
      </w:r>
      <w:r w:rsidR="00A61EC5" w:rsidRPr="00D53084">
        <w:rPr>
          <w:rFonts w:eastAsiaTheme="minorEastAsia"/>
          <w:kern w:val="2"/>
          <w:lang w:val="en-GB"/>
        </w:rPr>
        <w:t>landed in</w:t>
      </w:r>
      <w:r w:rsidRPr="00D53084">
        <w:rPr>
          <w:rFonts w:eastAsiaTheme="minorEastAsia"/>
          <w:kern w:val="2"/>
          <w:lang w:val="en-GB"/>
        </w:rPr>
        <w:t xml:space="preserve"> the market through various channels. Though highly efficient, the weaving technique was generally used for mass production, due to its complicated procedures and long preparation time; despite its high unit cost, the knitting technique was suitable for small-batch production, on account of its short preparation time. Extensively applied in the apparel industry, the knitting technique enabled manufactures to adapt to ever-changing market demand. Soft, kind to the skin, and sweat-absorbent, knitted fabrics were used for underwear or sportswear.</w:t>
      </w:r>
    </w:p>
    <w:p w14:paraId="7ED04C8C" w14:textId="77777777" w:rsidR="009C1954" w:rsidRPr="00D53084" w:rsidRDefault="009C1954" w:rsidP="009C1954">
      <w:pPr>
        <w:pStyle w:val="BodyTextMain"/>
        <w:rPr>
          <w:kern w:val="2"/>
          <w:sz w:val="20"/>
          <w:lang w:val="en-GB"/>
        </w:rPr>
      </w:pPr>
    </w:p>
    <w:p w14:paraId="18159FE8" w14:textId="6D7B4814" w:rsidR="009C1954" w:rsidRPr="00D53084" w:rsidRDefault="009C1954" w:rsidP="009C1954">
      <w:pPr>
        <w:pStyle w:val="BodyTextMain"/>
        <w:rPr>
          <w:lang w:val="en-GB"/>
        </w:rPr>
      </w:pPr>
      <w:r w:rsidRPr="00D53084">
        <w:rPr>
          <w:lang w:val="en-GB"/>
        </w:rPr>
        <w:t xml:space="preserve">Globally, apparel production </w:t>
      </w:r>
      <w:r w:rsidR="00A61EC5" w:rsidRPr="00D53084">
        <w:rPr>
          <w:lang w:val="en-GB"/>
        </w:rPr>
        <w:t>was</w:t>
      </w:r>
      <w:r w:rsidRPr="00D53084">
        <w:rPr>
          <w:lang w:val="en-GB"/>
        </w:rPr>
        <w:t xml:space="preserve"> a labo</w:t>
      </w:r>
      <w:r w:rsidR="00A61EC5" w:rsidRPr="00D53084">
        <w:rPr>
          <w:lang w:val="en-GB"/>
        </w:rPr>
        <w:t>u</w:t>
      </w:r>
      <w:r w:rsidRPr="00D53084">
        <w:rPr>
          <w:lang w:val="en-GB"/>
        </w:rPr>
        <w:t>r-intensive industry. As the apparel market was highly fragmented, the staff size of most apparel manufacturers worldwide ranged from dozens to hundreds. In recent years, international apparel brand operators had spearheaded an efficient division of labo</w:t>
      </w:r>
      <w:r w:rsidR="00A61EC5" w:rsidRPr="00D53084">
        <w:rPr>
          <w:lang w:val="en-GB"/>
        </w:rPr>
        <w:t>u</w:t>
      </w:r>
      <w:r w:rsidRPr="00D53084">
        <w:rPr>
          <w:lang w:val="en-GB"/>
        </w:rPr>
        <w:t>r among thousands of manufacturers in dozens of countries across the industry chain. International apparel brand operators were concentrated on high-value-added activities, such as research, design, marketing, supply chain, and financial services, while outsourcing labo</w:t>
      </w:r>
      <w:r w:rsidR="00A61EC5" w:rsidRPr="00D53084">
        <w:rPr>
          <w:lang w:val="en-GB"/>
        </w:rPr>
        <w:t>u</w:t>
      </w:r>
      <w:r w:rsidRPr="00D53084">
        <w:rPr>
          <w:lang w:val="en-GB"/>
        </w:rPr>
        <w:t>r-intensive raw material and apparel production to developing countries and regions for their lower labo</w:t>
      </w:r>
      <w:r w:rsidR="00FE512F" w:rsidRPr="00D53084">
        <w:rPr>
          <w:lang w:val="en-GB"/>
        </w:rPr>
        <w:t>u</w:t>
      </w:r>
      <w:r w:rsidRPr="00D53084">
        <w:rPr>
          <w:lang w:val="en-GB"/>
        </w:rPr>
        <w:t xml:space="preserve">r costs. </w:t>
      </w:r>
    </w:p>
    <w:p w14:paraId="10A4434D" w14:textId="77777777" w:rsidR="009C1954" w:rsidRPr="00D53084" w:rsidRDefault="009C1954" w:rsidP="009C1954">
      <w:pPr>
        <w:pStyle w:val="BodyTextMain"/>
        <w:rPr>
          <w:sz w:val="20"/>
          <w:lang w:val="en-GB"/>
        </w:rPr>
      </w:pPr>
    </w:p>
    <w:p w14:paraId="08B6A769" w14:textId="3ECB76BE" w:rsidR="009C1954" w:rsidRPr="00D53084" w:rsidRDefault="009C1954" w:rsidP="009C1954">
      <w:pPr>
        <w:pStyle w:val="BodyTextMain"/>
        <w:rPr>
          <w:rFonts w:eastAsiaTheme="minorEastAsia"/>
          <w:lang w:val="en-GB"/>
        </w:rPr>
      </w:pPr>
      <w:r w:rsidRPr="00D53084">
        <w:rPr>
          <w:rFonts w:eastAsiaTheme="minorEastAsia"/>
          <w:lang w:val="en-GB"/>
        </w:rPr>
        <w:t xml:space="preserve">Knitwear made up the bulk of the apparel industry. According to data from </w:t>
      </w:r>
      <w:r w:rsidR="00631C91">
        <w:rPr>
          <w:rFonts w:eastAsiaTheme="minorEastAsia"/>
          <w:lang w:val="en-GB"/>
        </w:rPr>
        <w:t>US</w:t>
      </w:r>
      <w:r w:rsidRPr="00D53084">
        <w:rPr>
          <w:rFonts w:eastAsiaTheme="minorEastAsia"/>
          <w:lang w:val="en-GB"/>
        </w:rPr>
        <w:t xml:space="preserve">-based </w:t>
      </w:r>
      <w:proofErr w:type="spellStart"/>
      <w:r w:rsidRPr="00D53084">
        <w:rPr>
          <w:rFonts w:eastAsiaTheme="minorEastAsia"/>
          <w:lang w:val="en-GB"/>
        </w:rPr>
        <w:t>Technavio</w:t>
      </w:r>
      <w:proofErr w:type="spellEnd"/>
      <w:r w:rsidRPr="00D53084">
        <w:rPr>
          <w:rFonts w:eastAsiaTheme="minorEastAsia"/>
          <w:lang w:val="en-GB"/>
        </w:rPr>
        <w:t>, the size of the knitted sportswear market alone amounted to US$159 billion in 2015 and w</w:t>
      </w:r>
      <w:r w:rsidR="00FE512F" w:rsidRPr="00D53084">
        <w:rPr>
          <w:rFonts w:eastAsiaTheme="minorEastAsia"/>
          <w:lang w:val="en-GB"/>
        </w:rPr>
        <w:t>as projected to</w:t>
      </w:r>
      <w:r w:rsidRPr="00D53084">
        <w:rPr>
          <w:rFonts w:eastAsiaTheme="minorEastAsia"/>
          <w:lang w:val="en-GB"/>
        </w:rPr>
        <w:t xml:space="preserve"> increase to US$199.6 billion in 2020 at </w:t>
      </w:r>
      <w:r w:rsidR="00FE512F" w:rsidRPr="00D53084">
        <w:rPr>
          <w:rFonts w:eastAsiaTheme="minorEastAsia"/>
          <w:lang w:val="en-GB"/>
        </w:rPr>
        <w:t>an</w:t>
      </w:r>
      <w:r w:rsidRPr="00D53084">
        <w:rPr>
          <w:rFonts w:eastAsiaTheme="minorEastAsia"/>
          <w:lang w:val="en-GB"/>
        </w:rPr>
        <w:t xml:space="preserve"> annual rate of 4.4</w:t>
      </w:r>
      <w:r w:rsidR="00FE512F" w:rsidRPr="00D53084">
        <w:rPr>
          <w:rFonts w:eastAsiaTheme="minorEastAsia"/>
          <w:lang w:val="en-GB"/>
        </w:rPr>
        <w:t xml:space="preserve"> per cent</w:t>
      </w:r>
      <w:r w:rsidRPr="00D53084">
        <w:rPr>
          <w:rFonts w:eastAsiaTheme="minorEastAsia"/>
          <w:lang w:val="en-GB"/>
        </w:rPr>
        <w:t>.</w:t>
      </w:r>
      <w:r w:rsidRPr="00D53084">
        <w:rPr>
          <w:rStyle w:val="EndnoteReference"/>
          <w:rFonts w:eastAsiaTheme="minorEastAsia"/>
          <w:lang w:val="en-GB"/>
        </w:rPr>
        <w:endnoteReference w:id="30"/>
      </w:r>
      <w:r w:rsidRPr="00D53084">
        <w:rPr>
          <w:rFonts w:eastAsiaTheme="minorEastAsia"/>
          <w:lang w:val="en-GB"/>
        </w:rPr>
        <w:t xml:space="preserve"> Market concentration was rather low in the knitted sportswear industry, where even Nike, the world’s largest sports brand, </w:t>
      </w:r>
      <w:r w:rsidR="00FE512F" w:rsidRPr="00D53084">
        <w:rPr>
          <w:rFonts w:eastAsiaTheme="minorEastAsia"/>
          <w:lang w:val="en-GB"/>
        </w:rPr>
        <w:t>had</w:t>
      </w:r>
      <w:r w:rsidRPr="00D53084">
        <w:rPr>
          <w:rFonts w:eastAsiaTheme="minorEastAsia"/>
          <w:lang w:val="en-GB"/>
        </w:rPr>
        <w:t xml:space="preserve"> only a 5</w:t>
      </w:r>
      <w:r w:rsidR="00FE512F" w:rsidRPr="00D53084">
        <w:rPr>
          <w:rFonts w:eastAsiaTheme="minorEastAsia"/>
          <w:lang w:val="en-GB"/>
        </w:rPr>
        <w:t>-per-cent</w:t>
      </w:r>
      <w:r w:rsidRPr="00D53084">
        <w:rPr>
          <w:rFonts w:eastAsiaTheme="minorEastAsia"/>
          <w:lang w:val="en-GB"/>
        </w:rPr>
        <w:t xml:space="preserve"> share.</w:t>
      </w:r>
      <w:r w:rsidR="00FE512F" w:rsidRPr="00D53084">
        <w:rPr>
          <w:rFonts w:eastAsiaTheme="minorEastAsia"/>
          <w:lang w:val="en-GB"/>
        </w:rPr>
        <w:t xml:space="preserve"> By 2016,</w:t>
      </w:r>
      <w:r w:rsidRPr="00D53084">
        <w:rPr>
          <w:rFonts w:eastAsiaTheme="minorEastAsia"/>
          <w:lang w:val="en-GB"/>
        </w:rPr>
        <w:t xml:space="preserve"> </w:t>
      </w:r>
      <w:r w:rsidR="00FE512F" w:rsidRPr="00D53084">
        <w:rPr>
          <w:rFonts w:eastAsiaTheme="minorEastAsia"/>
          <w:lang w:val="en-GB"/>
        </w:rPr>
        <w:t>c</w:t>
      </w:r>
      <w:r w:rsidRPr="00D53084">
        <w:rPr>
          <w:rFonts w:eastAsiaTheme="minorEastAsia"/>
          <w:lang w:val="en-GB"/>
        </w:rPr>
        <w:t xml:space="preserve">ompetition among brand operators had </w:t>
      </w:r>
      <w:r w:rsidR="00FE512F" w:rsidRPr="00D53084">
        <w:rPr>
          <w:rFonts w:eastAsiaTheme="minorEastAsia"/>
          <w:lang w:val="en-GB"/>
        </w:rPr>
        <w:t>reached</w:t>
      </w:r>
      <w:r w:rsidRPr="00D53084">
        <w:rPr>
          <w:rFonts w:eastAsiaTheme="minorEastAsia"/>
          <w:lang w:val="en-GB"/>
        </w:rPr>
        <w:t xml:space="preserve"> fever pitch (see Exhibit 6).</w:t>
      </w:r>
    </w:p>
    <w:p w14:paraId="624110BA" w14:textId="77777777" w:rsidR="009C1954" w:rsidRPr="00D53084" w:rsidRDefault="009C1954" w:rsidP="009C1954">
      <w:pPr>
        <w:pStyle w:val="BodyTextMain"/>
        <w:rPr>
          <w:rFonts w:eastAsiaTheme="minorEastAsia"/>
          <w:sz w:val="20"/>
          <w:lang w:val="en-GB"/>
        </w:rPr>
      </w:pPr>
    </w:p>
    <w:p w14:paraId="752BA880" w14:textId="502701AC" w:rsidR="009C1954" w:rsidRPr="00D53084" w:rsidRDefault="009C1954" w:rsidP="009C1954">
      <w:pPr>
        <w:pStyle w:val="BodyTextMain"/>
        <w:rPr>
          <w:rFonts w:eastAsiaTheme="minorEastAsia"/>
          <w:lang w:val="en-GB"/>
        </w:rPr>
      </w:pPr>
      <w:r w:rsidRPr="00D53084">
        <w:rPr>
          <w:rFonts w:eastAsiaTheme="minorEastAsia"/>
          <w:lang w:val="en-GB"/>
        </w:rPr>
        <w:t xml:space="preserve">International brand operators focused on the </w:t>
      </w:r>
      <w:r w:rsidR="00AC2340" w:rsidRPr="00D53084">
        <w:rPr>
          <w:rFonts w:eastAsiaTheme="minorEastAsia"/>
          <w:lang w:val="en-GB"/>
        </w:rPr>
        <w:t xml:space="preserve">considerable demand </w:t>
      </w:r>
      <w:r w:rsidR="00AC2340" w:rsidRPr="00D53084">
        <w:rPr>
          <w:rFonts w:eastAsiaTheme="minorEastAsia"/>
          <w:lang w:val="en-GB" w:eastAsia="zh-CN"/>
        </w:rPr>
        <w:t xml:space="preserve">in the </w:t>
      </w:r>
      <w:r w:rsidRPr="00D53084">
        <w:rPr>
          <w:rFonts w:eastAsiaTheme="minorEastAsia"/>
          <w:lang w:val="en-GB"/>
        </w:rPr>
        <w:t xml:space="preserve">global market. When </w:t>
      </w:r>
      <w:r w:rsidR="00A60E12" w:rsidRPr="00D53084">
        <w:rPr>
          <w:rFonts w:eastAsiaTheme="minorEastAsia"/>
          <w:lang w:val="en-GB"/>
        </w:rPr>
        <w:t>seeking</w:t>
      </w:r>
      <w:r w:rsidRPr="00D53084">
        <w:rPr>
          <w:rFonts w:eastAsiaTheme="minorEastAsia"/>
          <w:lang w:val="en-GB"/>
        </w:rPr>
        <w:t xml:space="preserve"> suppliers, these operators needed to take into consideration labo</w:t>
      </w:r>
      <w:r w:rsidR="00A60E12" w:rsidRPr="00D53084">
        <w:rPr>
          <w:rFonts w:eastAsiaTheme="minorEastAsia"/>
          <w:lang w:val="en-GB"/>
        </w:rPr>
        <w:t>u</w:t>
      </w:r>
      <w:r w:rsidRPr="00D53084">
        <w:rPr>
          <w:rFonts w:eastAsiaTheme="minorEastAsia"/>
          <w:lang w:val="en-GB"/>
        </w:rPr>
        <w:t>r costs, processing technology, differences among countries in trade policy, foreign exchange rate fluctuations, risk control, and lead time. Subject to quotas, apparel products made in China could not be exported to some regions or countries. Some countries, including E</w:t>
      </w:r>
      <w:r w:rsidR="00A60E12" w:rsidRPr="00D53084">
        <w:rPr>
          <w:rFonts w:eastAsiaTheme="minorEastAsia"/>
          <w:lang w:val="en-GB"/>
        </w:rPr>
        <w:t xml:space="preserve">uropean </w:t>
      </w:r>
      <w:r w:rsidRPr="00D53084">
        <w:rPr>
          <w:rFonts w:eastAsiaTheme="minorEastAsia"/>
          <w:lang w:val="en-GB"/>
        </w:rPr>
        <w:t>U</w:t>
      </w:r>
      <w:r w:rsidR="00A60E12" w:rsidRPr="00D53084">
        <w:rPr>
          <w:rFonts w:eastAsiaTheme="minorEastAsia"/>
          <w:lang w:val="en-GB"/>
        </w:rPr>
        <w:t>nion</w:t>
      </w:r>
      <w:r w:rsidRPr="00D53084">
        <w:rPr>
          <w:rFonts w:eastAsiaTheme="minorEastAsia"/>
          <w:lang w:val="en-GB"/>
        </w:rPr>
        <w:t xml:space="preserve"> members, levied stiff tariffs, up to the processing cost, on apparel from China. The rising labo</w:t>
      </w:r>
      <w:r w:rsidR="00A60E12" w:rsidRPr="00D53084">
        <w:rPr>
          <w:rFonts w:eastAsiaTheme="minorEastAsia"/>
          <w:lang w:val="en-GB"/>
        </w:rPr>
        <w:t>u</w:t>
      </w:r>
      <w:r w:rsidRPr="00D53084">
        <w:rPr>
          <w:rFonts w:eastAsiaTheme="minorEastAsia"/>
          <w:lang w:val="en-GB"/>
        </w:rPr>
        <w:t>r cost was also cause for concern. China’s soaring labo</w:t>
      </w:r>
      <w:r w:rsidR="00A60E12" w:rsidRPr="00D53084">
        <w:rPr>
          <w:rFonts w:eastAsiaTheme="minorEastAsia"/>
          <w:lang w:val="en-GB"/>
        </w:rPr>
        <w:t>u</w:t>
      </w:r>
      <w:r w:rsidRPr="00D53084">
        <w:rPr>
          <w:rFonts w:eastAsiaTheme="minorEastAsia"/>
          <w:lang w:val="en-GB"/>
        </w:rPr>
        <w:t>r cost had no relative advantages to other countries (see Exhibit 7).</w:t>
      </w:r>
    </w:p>
    <w:p w14:paraId="26EC3D26" w14:textId="77777777" w:rsidR="009C1954" w:rsidRPr="00D53084" w:rsidRDefault="009C1954" w:rsidP="009C1954">
      <w:pPr>
        <w:pStyle w:val="BodyTextMain"/>
        <w:rPr>
          <w:sz w:val="20"/>
          <w:lang w:val="en-GB"/>
        </w:rPr>
      </w:pPr>
    </w:p>
    <w:p w14:paraId="4FF29E04" w14:textId="6A38AD37" w:rsidR="009C1954" w:rsidRPr="00D53084" w:rsidRDefault="00F70DA3" w:rsidP="009C1954">
      <w:pPr>
        <w:pStyle w:val="BodyTextMain"/>
        <w:rPr>
          <w:rFonts w:eastAsiaTheme="minorEastAsia"/>
          <w:lang w:val="en-GB"/>
        </w:rPr>
      </w:pPr>
      <w:r w:rsidRPr="00D53084">
        <w:rPr>
          <w:rFonts w:eastAsiaTheme="minorEastAsia"/>
          <w:lang w:val="en-GB"/>
        </w:rPr>
        <w:t>T</w:t>
      </w:r>
      <w:r w:rsidR="009C1954" w:rsidRPr="00D53084">
        <w:rPr>
          <w:rFonts w:eastAsiaTheme="minorEastAsia"/>
          <w:lang w:val="en-GB"/>
        </w:rPr>
        <w:t>rade agreements among countries had made a difference to the textile and apparel industry. Over the past few years, the Trans-Pacific Partnership (TPP)</w:t>
      </w:r>
      <w:r w:rsidR="009C1954" w:rsidRPr="00D53084">
        <w:rPr>
          <w:rStyle w:val="EndnoteReference"/>
          <w:rFonts w:eastAsiaTheme="minorEastAsia"/>
          <w:lang w:val="en-GB"/>
        </w:rPr>
        <w:endnoteReference w:id="31"/>
      </w:r>
      <w:r w:rsidR="009C1954" w:rsidRPr="00D53084">
        <w:rPr>
          <w:rFonts w:eastAsiaTheme="minorEastAsia"/>
          <w:lang w:val="en-GB"/>
        </w:rPr>
        <w:t xml:space="preserve"> had exerted a significant influence on China’s textile and apparel industry. On the one hand, trade among TPP members was duty-free</w:t>
      </w:r>
      <w:r w:rsidRPr="00D53084">
        <w:rPr>
          <w:rFonts w:eastAsiaTheme="minorEastAsia"/>
          <w:lang w:val="en-GB"/>
        </w:rPr>
        <w:t>;</w:t>
      </w:r>
      <w:r w:rsidR="009C1954" w:rsidRPr="00D53084">
        <w:rPr>
          <w:rFonts w:eastAsiaTheme="minorEastAsia"/>
          <w:lang w:val="en-GB"/>
        </w:rPr>
        <w:t xml:space="preserve"> while bound by the W</w:t>
      </w:r>
      <w:r w:rsidR="00A60E12" w:rsidRPr="00D53084">
        <w:rPr>
          <w:rFonts w:eastAsiaTheme="minorEastAsia"/>
          <w:lang w:val="en-GB"/>
        </w:rPr>
        <w:t xml:space="preserve">orld </w:t>
      </w:r>
      <w:r w:rsidR="009C1954" w:rsidRPr="00D53084">
        <w:rPr>
          <w:rFonts w:eastAsiaTheme="minorEastAsia"/>
          <w:lang w:val="en-GB"/>
        </w:rPr>
        <w:t>T</w:t>
      </w:r>
      <w:r w:rsidR="00A60E12" w:rsidRPr="00D53084">
        <w:rPr>
          <w:rFonts w:eastAsiaTheme="minorEastAsia"/>
          <w:lang w:val="en-GB"/>
        </w:rPr>
        <w:t xml:space="preserve">rade </w:t>
      </w:r>
      <w:r w:rsidR="009C1954" w:rsidRPr="00D53084">
        <w:rPr>
          <w:rFonts w:eastAsiaTheme="minorEastAsia"/>
          <w:lang w:val="en-GB"/>
        </w:rPr>
        <w:t>O</w:t>
      </w:r>
      <w:r w:rsidR="00A60E12" w:rsidRPr="00D53084">
        <w:rPr>
          <w:rFonts w:eastAsiaTheme="minorEastAsia"/>
          <w:lang w:val="en-GB"/>
        </w:rPr>
        <w:t>rganization</w:t>
      </w:r>
      <w:r w:rsidR="009C1954" w:rsidRPr="00D53084">
        <w:rPr>
          <w:rFonts w:eastAsiaTheme="minorEastAsia"/>
          <w:lang w:val="en-GB"/>
        </w:rPr>
        <w:t xml:space="preserve"> rules, textiles and apparel exported from China to TPP nations were liable to </w:t>
      </w:r>
      <w:r w:rsidR="00A60E12" w:rsidRPr="00D53084">
        <w:rPr>
          <w:rFonts w:eastAsiaTheme="minorEastAsia"/>
          <w:lang w:val="en-GB"/>
        </w:rPr>
        <w:t>a</w:t>
      </w:r>
      <w:r w:rsidR="009C1954" w:rsidRPr="00D53084">
        <w:rPr>
          <w:rFonts w:eastAsiaTheme="minorEastAsia"/>
          <w:lang w:val="en-GB"/>
        </w:rPr>
        <w:t xml:space="preserve"> 10</w:t>
      </w:r>
      <w:r w:rsidR="00A60E12" w:rsidRPr="00D53084">
        <w:rPr>
          <w:rFonts w:eastAsiaTheme="minorEastAsia"/>
          <w:lang w:val="en-GB"/>
        </w:rPr>
        <w:t>-per-cent</w:t>
      </w:r>
      <w:r w:rsidR="009C1954" w:rsidRPr="00D53084">
        <w:rPr>
          <w:rFonts w:eastAsiaTheme="minorEastAsia"/>
          <w:lang w:val="en-GB"/>
        </w:rPr>
        <w:t xml:space="preserve"> duty</w:t>
      </w:r>
      <w:r w:rsidR="00A60E12" w:rsidRPr="00D53084">
        <w:rPr>
          <w:rFonts w:eastAsiaTheme="minorEastAsia"/>
          <w:lang w:val="en-GB"/>
        </w:rPr>
        <w:t>.</w:t>
      </w:r>
      <w:r w:rsidR="009C1954" w:rsidRPr="00D53084">
        <w:rPr>
          <w:rFonts w:eastAsiaTheme="minorEastAsia"/>
          <w:lang w:val="en-GB"/>
        </w:rPr>
        <w:t xml:space="preserve"> </w:t>
      </w:r>
      <w:r w:rsidR="00A60E12" w:rsidRPr="00D53084">
        <w:rPr>
          <w:rFonts w:eastAsiaTheme="minorEastAsia"/>
          <w:lang w:val="en-GB"/>
        </w:rPr>
        <w:t>O</w:t>
      </w:r>
      <w:r w:rsidR="009C1954" w:rsidRPr="00D53084">
        <w:rPr>
          <w:rFonts w:eastAsiaTheme="minorEastAsia"/>
          <w:lang w:val="en-GB"/>
        </w:rPr>
        <w:t xml:space="preserve">n the other hand, owing to the </w:t>
      </w:r>
      <w:r w:rsidR="009C1954" w:rsidRPr="00D53084">
        <w:rPr>
          <w:lang w:val="en-GB"/>
        </w:rPr>
        <w:t>TPP’s “</w:t>
      </w:r>
      <w:r w:rsidR="00A60E12" w:rsidRPr="00D53084">
        <w:rPr>
          <w:lang w:val="en-GB"/>
        </w:rPr>
        <w:t>y</w:t>
      </w:r>
      <w:r w:rsidR="009C1954" w:rsidRPr="00D53084">
        <w:rPr>
          <w:lang w:val="en-GB"/>
        </w:rPr>
        <w:t>arn</w:t>
      </w:r>
      <w:r w:rsidR="00A60E12" w:rsidRPr="00D53084">
        <w:rPr>
          <w:lang w:val="en-GB"/>
        </w:rPr>
        <w:t>-f</w:t>
      </w:r>
      <w:r w:rsidR="009C1954" w:rsidRPr="00D53084">
        <w:rPr>
          <w:lang w:val="en-GB"/>
        </w:rPr>
        <w:t xml:space="preserve">orward” </w:t>
      </w:r>
      <w:r w:rsidR="00A60E12" w:rsidRPr="00D53084">
        <w:rPr>
          <w:lang w:val="en-GB"/>
        </w:rPr>
        <w:t>r</w:t>
      </w:r>
      <w:r w:rsidR="009C1954" w:rsidRPr="00D53084">
        <w:rPr>
          <w:lang w:val="en-GB"/>
        </w:rPr>
        <w:t xml:space="preserve">ule of </w:t>
      </w:r>
      <w:r w:rsidR="00A60E12" w:rsidRPr="00D53084">
        <w:rPr>
          <w:lang w:val="en-GB"/>
        </w:rPr>
        <w:t>o</w:t>
      </w:r>
      <w:r w:rsidR="009C1954" w:rsidRPr="00D53084">
        <w:rPr>
          <w:lang w:val="en-GB"/>
        </w:rPr>
        <w:t xml:space="preserve">rigin, </w:t>
      </w:r>
      <w:r w:rsidR="009C1954" w:rsidRPr="00D53084">
        <w:rPr>
          <w:rFonts w:eastAsiaTheme="minorEastAsia"/>
          <w:lang w:val="en-GB"/>
        </w:rPr>
        <w:t>TPP members would import fewer fabrics and accessories from China, increasing the imports of similar products from member states. Twelve TPP members, which accounted for 40</w:t>
      </w:r>
      <w:r w:rsidR="00A60E12" w:rsidRPr="00D53084">
        <w:rPr>
          <w:rFonts w:eastAsiaTheme="minorEastAsia"/>
          <w:lang w:val="en-GB"/>
        </w:rPr>
        <w:t xml:space="preserve"> per cent</w:t>
      </w:r>
      <w:r w:rsidR="009C1954" w:rsidRPr="00D53084">
        <w:rPr>
          <w:rFonts w:eastAsiaTheme="minorEastAsia"/>
          <w:lang w:val="en-GB"/>
        </w:rPr>
        <w:t xml:space="preserve"> of the global </w:t>
      </w:r>
      <w:r w:rsidR="00A60E12" w:rsidRPr="00D53084">
        <w:rPr>
          <w:rFonts w:eastAsiaTheme="minorEastAsia"/>
          <w:lang w:val="en-GB"/>
        </w:rPr>
        <w:t>gross domestic product</w:t>
      </w:r>
      <w:r w:rsidR="009C1954" w:rsidRPr="00D53084">
        <w:rPr>
          <w:rFonts w:eastAsiaTheme="minorEastAsia"/>
          <w:lang w:val="en-GB"/>
        </w:rPr>
        <w:t>, were primary markets for China’s textiles and apparel.</w:t>
      </w:r>
      <w:r w:rsidR="009C1954" w:rsidRPr="00D53084">
        <w:rPr>
          <w:rStyle w:val="EndnoteReference"/>
          <w:rFonts w:eastAsiaTheme="minorEastAsia"/>
          <w:lang w:val="en-GB"/>
        </w:rPr>
        <w:endnoteReference w:id="32"/>
      </w:r>
    </w:p>
    <w:p w14:paraId="4F5AD4F0" w14:textId="77777777" w:rsidR="000B6B07" w:rsidRPr="00D53084" w:rsidRDefault="000B6B07" w:rsidP="009C1954">
      <w:pPr>
        <w:pStyle w:val="BodyTextMain"/>
        <w:rPr>
          <w:rFonts w:eastAsiaTheme="minorEastAsia"/>
          <w:lang w:val="en-GB"/>
        </w:rPr>
      </w:pPr>
    </w:p>
    <w:p w14:paraId="33CC4872" w14:textId="28D2E49D" w:rsidR="009C1954" w:rsidRPr="00D53084" w:rsidRDefault="009C1954" w:rsidP="009C1954">
      <w:pPr>
        <w:pStyle w:val="BodyTextMain"/>
        <w:rPr>
          <w:rFonts w:eastAsiaTheme="minorEastAsia"/>
          <w:lang w:val="en-GB"/>
        </w:rPr>
      </w:pPr>
      <w:r w:rsidRPr="00D53084">
        <w:rPr>
          <w:rFonts w:eastAsiaTheme="minorEastAsia"/>
          <w:lang w:val="en-GB"/>
        </w:rPr>
        <w:t xml:space="preserve">China </w:t>
      </w:r>
      <w:r w:rsidR="0005739F" w:rsidRPr="00D53084">
        <w:rPr>
          <w:rFonts w:eastAsiaTheme="minorEastAsia"/>
          <w:lang w:val="en-GB"/>
        </w:rPr>
        <w:t>had once been</w:t>
      </w:r>
      <w:r w:rsidRPr="00D53084">
        <w:rPr>
          <w:rFonts w:eastAsiaTheme="minorEastAsia"/>
          <w:lang w:val="en-GB"/>
        </w:rPr>
        <w:t xml:space="preserve"> a </w:t>
      </w:r>
      <w:r w:rsidR="00291D3F" w:rsidRPr="00D53084">
        <w:rPr>
          <w:rFonts w:eastAsiaTheme="minorEastAsia"/>
          <w:lang w:val="en-GB"/>
        </w:rPr>
        <w:t>major</w:t>
      </w:r>
      <w:r w:rsidRPr="00D53084">
        <w:rPr>
          <w:rFonts w:eastAsiaTheme="minorEastAsia"/>
          <w:lang w:val="en-GB"/>
        </w:rPr>
        <w:t xml:space="preserve"> textile and apparel exporter, but its market share of apparel exports had declined in recent years. In October 2013, </w:t>
      </w:r>
      <w:r w:rsidR="0005739F" w:rsidRPr="00D53084">
        <w:rPr>
          <w:rFonts w:eastAsiaTheme="minorEastAsia"/>
          <w:lang w:val="en-GB"/>
        </w:rPr>
        <w:t xml:space="preserve">management consulting firm </w:t>
      </w:r>
      <w:r w:rsidRPr="00D53084">
        <w:rPr>
          <w:rFonts w:eastAsiaTheme="minorEastAsia"/>
          <w:lang w:val="en-GB"/>
        </w:rPr>
        <w:t xml:space="preserve">McKinsey &amp; Company conducted a survey among chief purchasing officers of 29 </w:t>
      </w:r>
      <w:r w:rsidR="00631C91">
        <w:rPr>
          <w:rFonts w:eastAsiaTheme="minorEastAsia"/>
          <w:lang w:val="en-GB"/>
        </w:rPr>
        <w:t>US</w:t>
      </w:r>
      <w:r w:rsidRPr="00D53084">
        <w:rPr>
          <w:rFonts w:eastAsiaTheme="minorEastAsia"/>
          <w:lang w:val="en-GB"/>
        </w:rPr>
        <w:t xml:space="preserve"> and European apparel brand operators, which purchased more than US$39 billion worth of apparel annually, and prepared a report on the global apparel sourcing </w:t>
      </w:r>
      <w:r w:rsidRPr="00D53084">
        <w:rPr>
          <w:rFonts w:eastAsiaTheme="minorEastAsia"/>
          <w:lang w:val="en-GB"/>
        </w:rPr>
        <w:lastRenderedPageBreak/>
        <w:t xml:space="preserve">map. The survey revealed </w:t>
      </w:r>
      <w:r w:rsidR="0005739F" w:rsidRPr="00D53084">
        <w:rPr>
          <w:rFonts w:eastAsiaTheme="minorEastAsia"/>
          <w:lang w:val="en-GB"/>
        </w:rPr>
        <w:t xml:space="preserve">that </w:t>
      </w:r>
      <w:r w:rsidRPr="00D53084">
        <w:rPr>
          <w:rFonts w:eastAsiaTheme="minorEastAsia"/>
          <w:lang w:val="en-GB"/>
        </w:rPr>
        <w:t>70</w:t>
      </w:r>
      <w:r w:rsidR="0005739F" w:rsidRPr="00D53084">
        <w:rPr>
          <w:rFonts w:eastAsiaTheme="minorEastAsia"/>
          <w:lang w:val="en-GB"/>
        </w:rPr>
        <w:t xml:space="preserve"> per cent</w:t>
      </w:r>
      <w:r w:rsidRPr="00D53084">
        <w:rPr>
          <w:rFonts w:eastAsiaTheme="minorEastAsia"/>
          <w:lang w:val="en-GB"/>
        </w:rPr>
        <w:t xml:space="preserve"> of respondents would reduce the</w:t>
      </w:r>
      <w:r w:rsidR="0005739F" w:rsidRPr="00D53084">
        <w:rPr>
          <w:rFonts w:eastAsiaTheme="minorEastAsia"/>
          <w:lang w:val="en-GB"/>
        </w:rPr>
        <w:t>ir</w:t>
      </w:r>
      <w:r w:rsidRPr="00D53084">
        <w:rPr>
          <w:rFonts w:eastAsiaTheme="minorEastAsia"/>
          <w:lang w:val="en-GB"/>
        </w:rPr>
        <w:t xml:space="preserve"> apparel purchases in China, </w:t>
      </w:r>
      <w:r w:rsidR="0005739F" w:rsidRPr="00D53084">
        <w:rPr>
          <w:rFonts w:eastAsiaTheme="minorEastAsia"/>
          <w:lang w:val="en-GB"/>
        </w:rPr>
        <w:t xml:space="preserve">and instead </w:t>
      </w:r>
      <w:r w:rsidRPr="00D53084">
        <w:rPr>
          <w:rFonts w:eastAsiaTheme="minorEastAsia"/>
          <w:lang w:val="en-GB"/>
        </w:rPr>
        <w:t xml:space="preserve">set their sights on suppliers with lower costs in Southeast Asian and South Asian countries </w:t>
      </w:r>
      <w:r w:rsidR="0005739F" w:rsidRPr="00D53084">
        <w:rPr>
          <w:rFonts w:eastAsiaTheme="minorEastAsia"/>
          <w:lang w:val="en-GB"/>
        </w:rPr>
        <w:t>such as</w:t>
      </w:r>
      <w:r w:rsidRPr="00D53084">
        <w:rPr>
          <w:rFonts w:eastAsiaTheme="minorEastAsia"/>
          <w:lang w:val="en-GB"/>
        </w:rPr>
        <w:t xml:space="preserve"> Vietnam and Bangladesh.</w:t>
      </w:r>
      <w:r w:rsidRPr="00D53084">
        <w:rPr>
          <w:rStyle w:val="EndnoteReference"/>
          <w:rFonts w:eastAsiaTheme="minorEastAsia"/>
          <w:lang w:val="en-GB"/>
        </w:rPr>
        <w:endnoteReference w:id="33"/>
      </w:r>
      <w:r w:rsidRPr="00D53084" w:rsidDel="00E12206">
        <w:rPr>
          <w:rFonts w:eastAsiaTheme="minorEastAsia"/>
          <w:lang w:val="en-GB"/>
        </w:rPr>
        <w:t xml:space="preserve"> </w:t>
      </w:r>
    </w:p>
    <w:p w14:paraId="3F040D96" w14:textId="77777777" w:rsidR="009C1954" w:rsidRPr="00D53084" w:rsidRDefault="009C1954" w:rsidP="009C1954">
      <w:pPr>
        <w:pStyle w:val="BodyTextMain"/>
        <w:rPr>
          <w:sz w:val="20"/>
          <w:lang w:val="en-GB"/>
        </w:rPr>
      </w:pPr>
    </w:p>
    <w:p w14:paraId="198A1AF9" w14:textId="3B8BFD90" w:rsidR="009C1954" w:rsidRPr="00D53084" w:rsidRDefault="0005739F" w:rsidP="009C1954">
      <w:pPr>
        <w:pStyle w:val="BodyTextMain"/>
        <w:rPr>
          <w:lang w:val="en-GB"/>
        </w:rPr>
      </w:pPr>
      <w:r w:rsidRPr="00D53084">
        <w:rPr>
          <w:lang w:val="en-GB"/>
        </w:rPr>
        <w:t>From</w:t>
      </w:r>
      <w:r w:rsidR="009C1954" w:rsidRPr="00D53084">
        <w:rPr>
          <w:lang w:val="en-GB"/>
        </w:rPr>
        <w:t xml:space="preserve"> the TPP negotiations, Vietnam </w:t>
      </w:r>
      <w:r w:rsidRPr="00D53084">
        <w:rPr>
          <w:lang w:val="en-GB"/>
        </w:rPr>
        <w:t>emerged as</w:t>
      </w:r>
      <w:r w:rsidR="009C1954" w:rsidRPr="00D53084">
        <w:rPr>
          <w:lang w:val="en-GB"/>
        </w:rPr>
        <w:t xml:space="preserve"> the biggest winner. From 2009 to 2015, the </w:t>
      </w:r>
      <w:r w:rsidR="009C1954" w:rsidRPr="00D53084">
        <w:rPr>
          <w:rFonts w:eastAsiaTheme="minorEastAsia"/>
          <w:lang w:val="en-GB"/>
        </w:rPr>
        <w:t>average annual growth rate of</w:t>
      </w:r>
      <w:r w:rsidR="009C1954" w:rsidRPr="00D53084">
        <w:rPr>
          <w:lang w:val="en-GB"/>
        </w:rPr>
        <w:t xml:space="preserve"> it</w:t>
      </w:r>
      <w:r w:rsidR="009C1954" w:rsidRPr="00D53084">
        <w:rPr>
          <w:rFonts w:eastAsiaTheme="minorEastAsia"/>
          <w:lang w:val="en-GB"/>
        </w:rPr>
        <w:t>s textile and apparel exports stood at 18.6</w:t>
      </w:r>
      <w:r w:rsidRPr="00D53084">
        <w:rPr>
          <w:rFonts w:eastAsiaTheme="minorEastAsia"/>
          <w:lang w:val="en-GB"/>
        </w:rPr>
        <w:t xml:space="preserve"> per cent</w:t>
      </w:r>
      <w:r w:rsidR="009C1954" w:rsidRPr="00D53084">
        <w:rPr>
          <w:rFonts w:eastAsiaTheme="minorEastAsia"/>
          <w:lang w:val="en-GB"/>
        </w:rPr>
        <w:t>, 6</w:t>
      </w:r>
      <w:r w:rsidRPr="00D53084">
        <w:rPr>
          <w:rFonts w:eastAsiaTheme="minorEastAsia"/>
          <w:lang w:val="en-GB"/>
        </w:rPr>
        <w:t xml:space="preserve"> per cent</w:t>
      </w:r>
      <w:r w:rsidR="009C1954" w:rsidRPr="00D53084">
        <w:rPr>
          <w:rFonts w:eastAsiaTheme="minorEastAsia"/>
          <w:lang w:val="en-GB"/>
        </w:rPr>
        <w:t xml:space="preserve"> higher than that of China in the same period.</w:t>
      </w:r>
      <w:r w:rsidR="009C1954" w:rsidRPr="00D53084">
        <w:rPr>
          <w:rStyle w:val="EndnoteReference"/>
          <w:rFonts w:eastAsiaTheme="minorEastAsia"/>
          <w:lang w:val="en-GB"/>
        </w:rPr>
        <w:endnoteReference w:id="34"/>
      </w:r>
      <w:r w:rsidR="009C1954" w:rsidRPr="00D53084">
        <w:rPr>
          <w:rFonts w:eastAsiaTheme="minorEastAsia"/>
          <w:lang w:val="en-GB"/>
        </w:rPr>
        <w:t xml:space="preserve"> From 2008 to 2012, </w:t>
      </w:r>
      <w:r w:rsidR="009C1954" w:rsidRPr="00D53084">
        <w:rPr>
          <w:lang w:val="en-GB"/>
        </w:rPr>
        <w:t xml:space="preserve">Vietnam’s textile exports </w:t>
      </w:r>
      <w:r w:rsidR="00AC2340" w:rsidRPr="00D53084">
        <w:rPr>
          <w:rFonts w:eastAsiaTheme="minorEastAsia"/>
          <w:lang w:val="en-GB" w:eastAsia="zh-CN"/>
        </w:rPr>
        <w:t>were</w:t>
      </w:r>
      <w:r w:rsidR="009C1954" w:rsidRPr="00D53084">
        <w:rPr>
          <w:lang w:val="en-GB"/>
        </w:rPr>
        <w:t xml:space="preserve"> only 15</w:t>
      </w:r>
      <w:r w:rsidRPr="00D53084">
        <w:rPr>
          <w:lang w:val="en-GB"/>
        </w:rPr>
        <w:t xml:space="preserve"> per cent</w:t>
      </w:r>
      <w:r w:rsidR="009C1954" w:rsidRPr="00D53084">
        <w:rPr>
          <w:lang w:val="en-GB"/>
        </w:rPr>
        <w:t xml:space="preserve"> of </w:t>
      </w:r>
      <w:r w:rsidR="00AC2340" w:rsidRPr="00D53084">
        <w:rPr>
          <w:rFonts w:eastAsiaTheme="minorEastAsia"/>
          <w:lang w:val="en-GB" w:eastAsia="zh-CN"/>
        </w:rPr>
        <w:t xml:space="preserve">what </w:t>
      </w:r>
      <w:r w:rsidR="009C1954" w:rsidRPr="00D53084">
        <w:rPr>
          <w:lang w:val="en-GB"/>
        </w:rPr>
        <w:t>China</w:t>
      </w:r>
      <w:r w:rsidR="00AC2340" w:rsidRPr="00D53084">
        <w:rPr>
          <w:rFonts w:eastAsiaTheme="minorEastAsia"/>
          <w:lang w:val="en-GB" w:eastAsia="zh-CN"/>
        </w:rPr>
        <w:t xml:space="preserve"> was exporting</w:t>
      </w:r>
      <w:r w:rsidR="009C1954" w:rsidRPr="00D53084">
        <w:rPr>
          <w:lang w:val="en-GB"/>
        </w:rPr>
        <w:t>; in 2016, th</w:t>
      </w:r>
      <w:r w:rsidRPr="00D53084">
        <w:rPr>
          <w:lang w:val="en-GB"/>
        </w:rPr>
        <w:t>is</w:t>
      </w:r>
      <w:r w:rsidR="009C1954" w:rsidRPr="00D53084">
        <w:rPr>
          <w:lang w:val="en-GB"/>
        </w:rPr>
        <w:t xml:space="preserve"> rose to 23</w:t>
      </w:r>
      <w:r w:rsidRPr="00D53084">
        <w:rPr>
          <w:lang w:val="en-GB"/>
        </w:rPr>
        <w:t xml:space="preserve"> per cent</w:t>
      </w:r>
      <w:r w:rsidR="009C1954" w:rsidRPr="00D53084">
        <w:rPr>
          <w:lang w:val="en-GB"/>
        </w:rPr>
        <w:t>.</w:t>
      </w:r>
      <w:r w:rsidR="009C1954" w:rsidRPr="00D53084">
        <w:rPr>
          <w:rStyle w:val="EndnoteReference"/>
          <w:lang w:val="en-GB"/>
        </w:rPr>
        <w:endnoteReference w:id="35"/>
      </w:r>
      <w:r w:rsidR="009C1954" w:rsidRPr="00D53084">
        <w:rPr>
          <w:lang w:val="en-GB"/>
        </w:rPr>
        <w:t xml:space="preserve"> According to </w:t>
      </w:r>
      <w:r w:rsidR="00182ED4" w:rsidRPr="00D53084">
        <w:rPr>
          <w:lang w:val="en-GB"/>
        </w:rPr>
        <w:t>an</w:t>
      </w:r>
      <w:r w:rsidR="009C1954" w:rsidRPr="00D53084">
        <w:rPr>
          <w:lang w:val="en-GB"/>
        </w:rPr>
        <w:t xml:space="preserve"> estimate by Eurasia Group, the world’s largest political risk consultancy, </w:t>
      </w:r>
      <w:r w:rsidR="00182ED4" w:rsidRPr="00D53084">
        <w:rPr>
          <w:lang w:val="en-GB"/>
        </w:rPr>
        <w:t xml:space="preserve">the </w:t>
      </w:r>
      <w:r w:rsidR="009C1954" w:rsidRPr="00D53084">
        <w:rPr>
          <w:lang w:val="en-GB"/>
        </w:rPr>
        <w:t xml:space="preserve">TPP would boost Vietnam’s </w:t>
      </w:r>
      <w:r w:rsidR="00A60E12" w:rsidRPr="00D53084">
        <w:rPr>
          <w:lang w:val="en-GB"/>
        </w:rPr>
        <w:t>gross domestic product</w:t>
      </w:r>
      <w:r w:rsidR="009C1954" w:rsidRPr="00D53084">
        <w:rPr>
          <w:lang w:val="en-GB"/>
        </w:rPr>
        <w:t xml:space="preserve"> by 11</w:t>
      </w:r>
      <w:r w:rsidR="00182ED4" w:rsidRPr="00D53084">
        <w:rPr>
          <w:lang w:val="en-GB"/>
        </w:rPr>
        <w:t xml:space="preserve"> per cent</w:t>
      </w:r>
      <w:r w:rsidR="009C1954" w:rsidRPr="00D53084">
        <w:rPr>
          <w:lang w:val="en-GB"/>
        </w:rPr>
        <w:t xml:space="preserve"> by 2025, with exports growing by 28</w:t>
      </w:r>
      <w:r w:rsidR="00182ED4" w:rsidRPr="00D53084">
        <w:rPr>
          <w:lang w:val="en-GB"/>
        </w:rPr>
        <w:t xml:space="preserve"> per cent</w:t>
      </w:r>
      <w:r w:rsidR="009C1954" w:rsidRPr="00D53084">
        <w:rPr>
          <w:lang w:val="en-GB"/>
        </w:rPr>
        <w:t xml:space="preserve"> in the same period.</w:t>
      </w:r>
      <w:r w:rsidR="009C1954" w:rsidRPr="00D53084">
        <w:rPr>
          <w:rStyle w:val="EndnoteReference"/>
          <w:lang w:val="en-GB"/>
        </w:rPr>
        <w:endnoteReference w:id="36"/>
      </w:r>
      <w:r w:rsidR="009C1954" w:rsidRPr="00D53084">
        <w:rPr>
          <w:lang w:val="en-GB"/>
        </w:rPr>
        <w:t xml:space="preserve"> Under the TPP’s “</w:t>
      </w:r>
      <w:r w:rsidR="00A60E12" w:rsidRPr="00D53084">
        <w:rPr>
          <w:lang w:val="en-GB"/>
        </w:rPr>
        <w:t>y</w:t>
      </w:r>
      <w:r w:rsidR="009C1954" w:rsidRPr="00D53084">
        <w:rPr>
          <w:lang w:val="en-GB"/>
        </w:rPr>
        <w:t>arn</w:t>
      </w:r>
      <w:r w:rsidR="00A60E12" w:rsidRPr="00D53084">
        <w:rPr>
          <w:lang w:val="en-GB"/>
        </w:rPr>
        <w:t>-f</w:t>
      </w:r>
      <w:r w:rsidR="009C1954" w:rsidRPr="00D53084">
        <w:rPr>
          <w:lang w:val="en-GB"/>
        </w:rPr>
        <w:t xml:space="preserve">orward” </w:t>
      </w:r>
      <w:r w:rsidR="00A60E12" w:rsidRPr="00D53084">
        <w:rPr>
          <w:lang w:val="en-GB"/>
        </w:rPr>
        <w:t>rule of origin</w:t>
      </w:r>
      <w:r w:rsidR="009C1954" w:rsidRPr="00D53084">
        <w:rPr>
          <w:lang w:val="en-GB"/>
        </w:rPr>
        <w:t>, major techniques such as spinning, weaving, dyeing</w:t>
      </w:r>
      <w:r w:rsidR="00182ED4" w:rsidRPr="00D53084">
        <w:rPr>
          <w:lang w:val="en-GB"/>
        </w:rPr>
        <w:t>,</w:t>
      </w:r>
      <w:r w:rsidR="009C1954" w:rsidRPr="00D53084">
        <w:rPr>
          <w:lang w:val="en-GB"/>
        </w:rPr>
        <w:t xml:space="preserve"> and finishing </w:t>
      </w:r>
      <w:r w:rsidR="00182ED4" w:rsidRPr="00D53084">
        <w:rPr>
          <w:lang w:val="en-GB"/>
        </w:rPr>
        <w:t>had to</w:t>
      </w:r>
      <w:r w:rsidR="009C1954" w:rsidRPr="00D53084">
        <w:rPr>
          <w:lang w:val="en-GB"/>
        </w:rPr>
        <w:t xml:space="preserve"> be undertaken in a member country in exchange for duty-free access. Thus, </w:t>
      </w:r>
      <w:r w:rsidR="00182ED4" w:rsidRPr="00D53084">
        <w:rPr>
          <w:lang w:val="en-GB"/>
        </w:rPr>
        <w:t>besides</w:t>
      </w:r>
      <w:r w:rsidR="009C1954" w:rsidRPr="00D53084">
        <w:rPr>
          <w:lang w:val="en-GB"/>
        </w:rPr>
        <w:t xml:space="preserve"> Shenzhou International, other textile manufacturers, such as </w:t>
      </w:r>
      <w:proofErr w:type="spellStart"/>
      <w:r w:rsidR="009C1954" w:rsidRPr="00D53084">
        <w:rPr>
          <w:lang w:val="en-GB"/>
        </w:rPr>
        <w:t>Texhong</w:t>
      </w:r>
      <w:proofErr w:type="spellEnd"/>
      <w:r w:rsidR="009C1954" w:rsidRPr="00D53084">
        <w:rPr>
          <w:lang w:val="en-GB"/>
        </w:rPr>
        <w:t xml:space="preserve"> Textile</w:t>
      </w:r>
      <w:r w:rsidR="00182ED4" w:rsidRPr="00D53084">
        <w:rPr>
          <w:lang w:val="en-GB"/>
        </w:rPr>
        <w:t xml:space="preserve"> Group Ltd.;</w:t>
      </w:r>
      <w:r w:rsidR="009C1954" w:rsidRPr="00D53084">
        <w:rPr>
          <w:lang w:val="en-GB"/>
        </w:rPr>
        <w:t xml:space="preserve"> </w:t>
      </w:r>
      <w:proofErr w:type="spellStart"/>
      <w:r w:rsidR="009C1954" w:rsidRPr="00D53084">
        <w:rPr>
          <w:lang w:val="en-GB"/>
        </w:rPr>
        <w:t>Huafang</w:t>
      </w:r>
      <w:proofErr w:type="spellEnd"/>
      <w:r w:rsidR="009C1954" w:rsidRPr="00D53084">
        <w:rPr>
          <w:lang w:val="en-GB"/>
        </w:rPr>
        <w:t xml:space="preserve"> </w:t>
      </w:r>
      <w:r w:rsidR="00182ED4" w:rsidRPr="00D53084">
        <w:rPr>
          <w:lang w:val="en-GB"/>
        </w:rPr>
        <w:t>Co., Ltd.;</w:t>
      </w:r>
      <w:r w:rsidR="009C1954" w:rsidRPr="00D53084">
        <w:rPr>
          <w:lang w:val="en-GB"/>
        </w:rPr>
        <w:t xml:space="preserve"> Qingdao </w:t>
      </w:r>
      <w:proofErr w:type="spellStart"/>
      <w:r w:rsidR="009C1954" w:rsidRPr="00D53084">
        <w:rPr>
          <w:lang w:val="en-GB"/>
        </w:rPr>
        <w:t>Hifa</w:t>
      </w:r>
      <w:proofErr w:type="spellEnd"/>
      <w:r w:rsidR="00182ED4" w:rsidRPr="00D53084">
        <w:rPr>
          <w:lang w:val="en-GB"/>
        </w:rPr>
        <w:t xml:space="preserve"> Co., Ltd.;</w:t>
      </w:r>
      <w:r w:rsidR="009C1954" w:rsidRPr="00D53084">
        <w:rPr>
          <w:lang w:val="en-GB"/>
        </w:rPr>
        <w:t xml:space="preserve"> and Bros Eastern</w:t>
      </w:r>
      <w:r w:rsidR="00182ED4" w:rsidRPr="00D53084">
        <w:rPr>
          <w:lang w:val="en-GB"/>
        </w:rPr>
        <w:t xml:space="preserve"> Co., Ltd.</w:t>
      </w:r>
      <w:r w:rsidR="009C1954" w:rsidRPr="00D53084">
        <w:rPr>
          <w:lang w:val="en-GB"/>
        </w:rPr>
        <w:t>, had opened factories in Vietnam.</w:t>
      </w:r>
      <w:r w:rsidR="009C1954" w:rsidRPr="00D53084">
        <w:rPr>
          <w:rStyle w:val="EndnoteReference"/>
          <w:lang w:val="en-GB"/>
        </w:rPr>
        <w:endnoteReference w:id="37"/>
      </w:r>
    </w:p>
    <w:p w14:paraId="62397003" w14:textId="77777777" w:rsidR="009C1954" w:rsidRPr="00D53084" w:rsidRDefault="009C1954" w:rsidP="009C1954">
      <w:pPr>
        <w:pStyle w:val="BodyTextMain"/>
        <w:rPr>
          <w:sz w:val="20"/>
          <w:lang w:val="en-GB"/>
        </w:rPr>
      </w:pPr>
    </w:p>
    <w:p w14:paraId="508B0DB6" w14:textId="38B9909E" w:rsidR="009C1954" w:rsidRPr="00D53084" w:rsidRDefault="00D0306C" w:rsidP="009C1954">
      <w:pPr>
        <w:pStyle w:val="BodyTextMain"/>
        <w:rPr>
          <w:rFonts w:eastAsiaTheme="minorEastAsia"/>
          <w:spacing w:val="-2"/>
          <w:lang w:val="en-GB" w:eastAsia="zh-CN"/>
        </w:rPr>
      </w:pPr>
      <w:r w:rsidRPr="00D53084">
        <w:rPr>
          <w:rFonts w:eastAsiaTheme="minorEastAsia"/>
          <w:spacing w:val="-2"/>
          <w:lang w:val="en-GB" w:eastAsia="zh-CN"/>
        </w:rPr>
        <w:t>A</w:t>
      </w:r>
      <w:r w:rsidRPr="00D53084">
        <w:rPr>
          <w:spacing w:val="-2"/>
          <w:lang w:val="en-GB"/>
        </w:rPr>
        <w:t>t the start of 2017</w:t>
      </w:r>
      <w:r w:rsidRPr="00D53084">
        <w:rPr>
          <w:rFonts w:eastAsiaTheme="minorEastAsia"/>
          <w:spacing w:val="-2"/>
          <w:lang w:val="en-GB" w:eastAsia="zh-CN"/>
        </w:rPr>
        <w:t xml:space="preserve">, </w:t>
      </w:r>
      <w:r w:rsidR="00631C91">
        <w:rPr>
          <w:spacing w:val="-2"/>
          <w:lang w:val="en-GB"/>
        </w:rPr>
        <w:t>US</w:t>
      </w:r>
      <w:r w:rsidR="009C1954" w:rsidRPr="00D53084">
        <w:rPr>
          <w:spacing w:val="-2"/>
          <w:lang w:val="en-GB"/>
        </w:rPr>
        <w:t xml:space="preserve"> President Donald Trump’s repeated threats to pull out of the TPP sparked a global outcry. It was widely believed </w:t>
      </w:r>
      <w:r w:rsidR="00AC13F1">
        <w:rPr>
          <w:spacing w:val="-2"/>
          <w:lang w:val="en-GB"/>
        </w:rPr>
        <w:t>that</w:t>
      </w:r>
      <w:r w:rsidR="00313AD3" w:rsidRPr="00D53084">
        <w:rPr>
          <w:spacing w:val="-2"/>
          <w:lang w:val="en-GB"/>
        </w:rPr>
        <w:t xml:space="preserve"> withdrawal from </w:t>
      </w:r>
      <w:r w:rsidR="00AC13F1">
        <w:rPr>
          <w:spacing w:val="-2"/>
          <w:lang w:val="en-GB"/>
        </w:rPr>
        <w:t xml:space="preserve">the agreement by </w:t>
      </w:r>
      <w:r w:rsidR="009C1954" w:rsidRPr="00D53084">
        <w:rPr>
          <w:spacing w:val="-2"/>
          <w:lang w:val="en-GB"/>
        </w:rPr>
        <w:t>the U</w:t>
      </w:r>
      <w:r w:rsidR="00182ED4" w:rsidRPr="00D53084">
        <w:rPr>
          <w:spacing w:val="-2"/>
          <w:lang w:val="en-GB"/>
        </w:rPr>
        <w:t xml:space="preserve">nited </w:t>
      </w:r>
      <w:r w:rsidR="009C1954" w:rsidRPr="00D53084">
        <w:rPr>
          <w:spacing w:val="-2"/>
          <w:lang w:val="en-GB"/>
        </w:rPr>
        <w:t>S</w:t>
      </w:r>
      <w:r w:rsidR="00182ED4" w:rsidRPr="00D53084">
        <w:rPr>
          <w:spacing w:val="-2"/>
          <w:lang w:val="en-GB"/>
        </w:rPr>
        <w:t>tates</w:t>
      </w:r>
      <w:r w:rsidR="009C1954" w:rsidRPr="00D53084">
        <w:rPr>
          <w:spacing w:val="-2"/>
          <w:lang w:val="en-GB"/>
        </w:rPr>
        <w:t xml:space="preserve"> would </w:t>
      </w:r>
      <w:r w:rsidR="00AC13F1">
        <w:rPr>
          <w:spacing w:val="-2"/>
          <w:lang w:val="en-GB"/>
        </w:rPr>
        <w:t>be detrimental to</w:t>
      </w:r>
      <w:r w:rsidR="009C1954" w:rsidRPr="00D53084">
        <w:rPr>
          <w:spacing w:val="-2"/>
          <w:lang w:val="en-GB"/>
        </w:rPr>
        <w:t xml:space="preserve"> the TPP.</w:t>
      </w:r>
      <w:r w:rsidR="009C1954" w:rsidRPr="00D53084">
        <w:rPr>
          <w:rStyle w:val="EndnoteReference"/>
          <w:spacing w:val="-2"/>
          <w:lang w:val="en-GB"/>
        </w:rPr>
        <w:endnoteReference w:id="38"/>
      </w:r>
      <w:r w:rsidR="009C1954" w:rsidRPr="00D53084">
        <w:rPr>
          <w:spacing w:val="-2"/>
          <w:lang w:val="en-GB"/>
        </w:rPr>
        <w:t xml:space="preserve"> </w:t>
      </w:r>
      <w:r w:rsidRPr="00D53084">
        <w:rPr>
          <w:rFonts w:eastAsiaTheme="minorEastAsia"/>
          <w:spacing w:val="-2"/>
          <w:lang w:val="en-GB" w:eastAsia="zh-CN"/>
        </w:rPr>
        <w:t xml:space="preserve">If </w:t>
      </w:r>
      <w:r w:rsidR="00AC13F1">
        <w:rPr>
          <w:rFonts w:eastAsiaTheme="minorEastAsia"/>
          <w:spacing w:val="-2"/>
          <w:lang w:val="en-GB" w:eastAsia="zh-CN"/>
        </w:rPr>
        <w:t xml:space="preserve">the </w:t>
      </w:r>
      <w:r w:rsidRPr="00D53084">
        <w:rPr>
          <w:rFonts w:eastAsiaTheme="minorEastAsia"/>
          <w:spacing w:val="-2"/>
          <w:lang w:val="en-GB" w:eastAsia="zh-CN"/>
        </w:rPr>
        <w:t xml:space="preserve">TPP was stopped, </w:t>
      </w:r>
      <w:r w:rsidR="00496074" w:rsidRPr="00D53084">
        <w:rPr>
          <w:rFonts w:eastAsiaTheme="minorEastAsia"/>
          <w:spacing w:val="-2"/>
          <w:lang w:val="en-GB" w:eastAsia="zh-CN"/>
        </w:rPr>
        <w:t>Vietnam’s advantages</w:t>
      </w:r>
      <w:r w:rsidRPr="00D53084">
        <w:rPr>
          <w:rFonts w:eastAsiaTheme="minorEastAsia"/>
          <w:spacing w:val="-2"/>
          <w:lang w:val="en-GB" w:eastAsia="zh-CN"/>
        </w:rPr>
        <w:t xml:space="preserve"> in </w:t>
      </w:r>
      <w:r w:rsidR="00496074" w:rsidRPr="00D53084">
        <w:rPr>
          <w:rFonts w:eastAsiaTheme="minorEastAsia"/>
          <w:spacing w:val="-2"/>
          <w:lang w:val="en-GB" w:eastAsia="zh-CN"/>
        </w:rPr>
        <w:t xml:space="preserve">the </w:t>
      </w:r>
      <w:r w:rsidRPr="00D53084">
        <w:rPr>
          <w:rFonts w:eastAsiaTheme="minorEastAsia"/>
          <w:spacing w:val="-2"/>
          <w:lang w:val="en-GB" w:eastAsia="zh-CN"/>
        </w:rPr>
        <w:t>textile and apparel industry would disappear.</w:t>
      </w:r>
    </w:p>
    <w:p w14:paraId="0199EB2B" w14:textId="77777777" w:rsidR="009C1954" w:rsidRPr="00D53084" w:rsidRDefault="009C1954" w:rsidP="009C1954">
      <w:pPr>
        <w:pStyle w:val="BodyTextMain"/>
        <w:rPr>
          <w:sz w:val="20"/>
          <w:lang w:val="en-GB"/>
        </w:rPr>
      </w:pPr>
    </w:p>
    <w:p w14:paraId="08DF8141" w14:textId="77777777" w:rsidR="009C1954" w:rsidRPr="00D53084" w:rsidRDefault="009C1954" w:rsidP="009C1954">
      <w:pPr>
        <w:pStyle w:val="BodyTextMain"/>
        <w:rPr>
          <w:sz w:val="20"/>
          <w:lang w:val="en-GB"/>
        </w:rPr>
      </w:pPr>
    </w:p>
    <w:p w14:paraId="016E49AC" w14:textId="77777777" w:rsidR="009C1954" w:rsidRPr="00D53084" w:rsidRDefault="009C1954" w:rsidP="009C1954">
      <w:pPr>
        <w:pStyle w:val="Casehead1"/>
        <w:rPr>
          <w:lang w:val="en-GB"/>
        </w:rPr>
      </w:pPr>
      <w:r w:rsidRPr="00D53084">
        <w:rPr>
          <w:lang w:val="en-GB"/>
        </w:rPr>
        <w:t>Opportunities for Future Development</w:t>
      </w:r>
    </w:p>
    <w:p w14:paraId="7F0D0D28" w14:textId="77777777" w:rsidR="009C1954" w:rsidRPr="00D53084" w:rsidRDefault="009C1954" w:rsidP="009C1954">
      <w:pPr>
        <w:pStyle w:val="BodyTextMain"/>
        <w:rPr>
          <w:sz w:val="20"/>
          <w:lang w:val="en-GB"/>
        </w:rPr>
      </w:pPr>
    </w:p>
    <w:p w14:paraId="6F52AA32" w14:textId="49B7114E" w:rsidR="00851B7D" w:rsidRDefault="00CA0F9E" w:rsidP="009C1954">
      <w:pPr>
        <w:pStyle w:val="BodyTextMain"/>
        <w:rPr>
          <w:rFonts w:eastAsiaTheme="minorEastAsia"/>
          <w:spacing w:val="-2"/>
          <w:lang w:val="en-GB" w:eastAsia="zh-CN"/>
        </w:rPr>
      </w:pPr>
      <w:r>
        <w:rPr>
          <w:spacing w:val="-2"/>
          <w:lang w:val="en-GB"/>
        </w:rPr>
        <w:t xml:space="preserve">Although </w:t>
      </w:r>
      <w:r w:rsidR="009C1954" w:rsidRPr="00D53084">
        <w:rPr>
          <w:spacing w:val="-2"/>
          <w:lang w:val="en-GB"/>
        </w:rPr>
        <w:t xml:space="preserve">Shenzhou International had </w:t>
      </w:r>
      <w:r w:rsidR="006F72DA" w:rsidRPr="00D53084">
        <w:rPr>
          <w:spacing w:val="-2"/>
          <w:lang w:val="en-GB"/>
        </w:rPr>
        <w:t>established a</w:t>
      </w:r>
      <w:r w:rsidR="009C1954" w:rsidRPr="00D53084">
        <w:rPr>
          <w:spacing w:val="-2"/>
          <w:lang w:val="en-GB"/>
        </w:rPr>
        <w:t xml:space="preserve"> presence in </w:t>
      </w:r>
      <w:r>
        <w:rPr>
          <w:spacing w:val="-2"/>
          <w:lang w:val="en-GB"/>
        </w:rPr>
        <w:t xml:space="preserve">various </w:t>
      </w:r>
      <w:r w:rsidR="009C1954" w:rsidRPr="00D53084">
        <w:rPr>
          <w:spacing w:val="-2"/>
          <w:lang w:val="en-GB"/>
        </w:rPr>
        <w:t>developing countries</w:t>
      </w:r>
      <w:r>
        <w:rPr>
          <w:rFonts w:eastAsiaTheme="minorEastAsia"/>
          <w:spacing w:val="-2"/>
          <w:lang w:val="en-GB" w:eastAsia="zh-CN"/>
        </w:rPr>
        <w:t>,</w:t>
      </w:r>
      <w:r w:rsidR="00D0306C" w:rsidRPr="00D53084">
        <w:rPr>
          <w:rFonts w:eastAsiaTheme="minorEastAsia"/>
          <w:spacing w:val="-2"/>
          <w:lang w:val="en-GB" w:eastAsia="zh-CN"/>
        </w:rPr>
        <w:t xml:space="preserve"> </w:t>
      </w:r>
      <w:r w:rsidR="009C1954" w:rsidRPr="00D53084">
        <w:rPr>
          <w:spacing w:val="-2"/>
          <w:lang w:val="en-GB"/>
        </w:rPr>
        <w:t xml:space="preserve">venturing into the </w:t>
      </w:r>
      <w:r w:rsidR="00631C91">
        <w:rPr>
          <w:spacing w:val="-2"/>
          <w:lang w:val="en-GB"/>
        </w:rPr>
        <w:t>US</w:t>
      </w:r>
      <w:r w:rsidR="009C1954" w:rsidRPr="00D53084">
        <w:rPr>
          <w:spacing w:val="-2"/>
          <w:lang w:val="en-GB"/>
        </w:rPr>
        <w:t xml:space="preserve"> market w</w:t>
      </w:r>
      <w:r>
        <w:rPr>
          <w:spacing w:val="-2"/>
          <w:lang w:val="en-GB"/>
        </w:rPr>
        <w:t>as considered</w:t>
      </w:r>
      <w:r w:rsidR="009C1954" w:rsidRPr="00D53084">
        <w:rPr>
          <w:spacing w:val="-2"/>
          <w:lang w:val="en-GB"/>
        </w:rPr>
        <w:t xml:space="preserve"> a different s</w:t>
      </w:r>
      <w:r>
        <w:rPr>
          <w:spacing w:val="-2"/>
          <w:lang w:val="en-GB"/>
        </w:rPr>
        <w:t>ituation</w:t>
      </w:r>
      <w:r w:rsidR="009C1954" w:rsidRPr="00D53084">
        <w:rPr>
          <w:spacing w:val="-2"/>
          <w:lang w:val="en-GB"/>
        </w:rPr>
        <w:t xml:space="preserve">. </w:t>
      </w:r>
      <w:r w:rsidR="00D0306C" w:rsidRPr="00D53084">
        <w:rPr>
          <w:rFonts w:eastAsiaTheme="minorEastAsia"/>
          <w:spacing w:val="-2"/>
          <w:lang w:val="en-GB" w:eastAsia="zh-CN"/>
        </w:rPr>
        <w:t xml:space="preserve">Yet, there were </w:t>
      </w:r>
      <w:r w:rsidR="00851B7D">
        <w:rPr>
          <w:rFonts w:eastAsiaTheme="minorEastAsia"/>
          <w:spacing w:val="-2"/>
          <w:lang w:val="en-GB" w:eastAsia="zh-CN"/>
        </w:rPr>
        <w:t xml:space="preserve">three main </w:t>
      </w:r>
      <w:r w:rsidR="00D0306C" w:rsidRPr="00D53084">
        <w:rPr>
          <w:rFonts w:eastAsiaTheme="minorEastAsia"/>
          <w:spacing w:val="-2"/>
          <w:lang w:val="en-GB" w:eastAsia="zh-CN"/>
        </w:rPr>
        <w:t xml:space="preserve">positive </w:t>
      </w:r>
      <w:r w:rsidR="00851B7D">
        <w:rPr>
          <w:rFonts w:eastAsiaTheme="minorEastAsia"/>
          <w:spacing w:val="-2"/>
          <w:lang w:val="en-GB" w:eastAsia="zh-CN"/>
        </w:rPr>
        <w:t>reasons</w:t>
      </w:r>
      <w:r w:rsidR="00D0306C" w:rsidRPr="00D53084">
        <w:rPr>
          <w:rFonts w:eastAsiaTheme="minorEastAsia"/>
          <w:spacing w:val="-2"/>
          <w:lang w:val="en-GB" w:eastAsia="zh-CN"/>
        </w:rPr>
        <w:t xml:space="preserve"> f</w:t>
      </w:r>
      <w:r w:rsidR="00851B7D">
        <w:rPr>
          <w:rFonts w:eastAsiaTheme="minorEastAsia"/>
          <w:spacing w:val="-2"/>
          <w:lang w:val="en-GB" w:eastAsia="zh-CN"/>
        </w:rPr>
        <w:t>or</w:t>
      </w:r>
      <w:r w:rsidR="00D0306C" w:rsidRPr="00D53084">
        <w:rPr>
          <w:rFonts w:eastAsiaTheme="minorEastAsia"/>
          <w:spacing w:val="-2"/>
          <w:lang w:val="en-GB" w:eastAsia="zh-CN"/>
        </w:rPr>
        <w:t xml:space="preserve"> doing manufacturing in </w:t>
      </w:r>
      <w:r w:rsidR="00851B7D">
        <w:rPr>
          <w:rFonts w:eastAsiaTheme="minorEastAsia"/>
          <w:spacing w:val="-2"/>
          <w:lang w:val="en-GB" w:eastAsia="zh-CN"/>
        </w:rPr>
        <w:t>a</w:t>
      </w:r>
      <w:r w:rsidR="00D0306C" w:rsidRPr="00D53084">
        <w:rPr>
          <w:rFonts w:eastAsiaTheme="minorEastAsia"/>
          <w:spacing w:val="-2"/>
          <w:lang w:val="en-GB" w:eastAsia="zh-CN"/>
        </w:rPr>
        <w:t xml:space="preserve"> developed countr</w:t>
      </w:r>
      <w:r w:rsidR="00851B7D">
        <w:rPr>
          <w:rFonts w:eastAsiaTheme="minorEastAsia"/>
          <w:spacing w:val="-2"/>
          <w:lang w:val="en-GB" w:eastAsia="zh-CN"/>
        </w:rPr>
        <w:t>y</w:t>
      </w:r>
      <w:r w:rsidR="00D0306C" w:rsidRPr="00D53084">
        <w:rPr>
          <w:rFonts w:eastAsiaTheme="minorEastAsia"/>
          <w:spacing w:val="-2"/>
          <w:lang w:val="en-GB" w:eastAsia="zh-CN"/>
        </w:rPr>
        <w:t xml:space="preserve"> such as the </w:t>
      </w:r>
      <w:r w:rsidR="00631C91">
        <w:rPr>
          <w:rFonts w:eastAsiaTheme="minorEastAsia"/>
          <w:spacing w:val="-2"/>
          <w:lang w:val="en-GB" w:eastAsia="zh-CN"/>
        </w:rPr>
        <w:t>US</w:t>
      </w:r>
      <w:r w:rsidR="00D0306C" w:rsidRPr="00D53084">
        <w:rPr>
          <w:rFonts w:eastAsiaTheme="minorEastAsia"/>
          <w:spacing w:val="-2"/>
          <w:lang w:val="en-GB" w:eastAsia="zh-CN"/>
        </w:rPr>
        <w:t xml:space="preserve"> market. </w:t>
      </w:r>
    </w:p>
    <w:p w14:paraId="3F378417" w14:textId="77777777" w:rsidR="00851B7D" w:rsidRDefault="00851B7D" w:rsidP="009C1954">
      <w:pPr>
        <w:pStyle w:val="BodyTextMain"/>
        <w:rPr>
          <w:spacing w:val="-2"/>
          <w:lang w:val="en-GB"/>
        </w:rPr>
      </w:pPr>
    </w:p>
    <w:p w14:paraId="09702B41" w14:textId="77777777" w:rsidR="00DB28B1" w:rsidRDefault="009C1954" w:rsidP="009C1954">
      <w:pPr>
        <w:pStyle w:val="BodyTextMain"/>
        <w:rPr>
          <w:spacing w:val="-2"/>
          <w:lang w:val="en-GB"/>
        </w:rPr>
      </w:pPr>
      <w:r w:rsidRPr="00D53084">
        <w:rPr>
          <w:spacing w:val="-2"/>
          <w:lang w:val="en-GB"/>
        </w:rPr>
        <w:t xml:space="preserve">First, as </w:t>
      </w:r>
      <w:proofErr w:type="spellStart"/>
      <w:r w:rsidRPr="00D53084">
        <w:rPr>
          <w:spacing w:val="-2"/>
          <w:lang w:val="en-GB"/>
        </w:rPr>
        <w:t>Dewang</w:t>
      </w:r>
      <w:proofErr w:type="spellEnd"/>
      <w:r w:rsidRPr="00D53084">
        <w:rPr>
          <w:spacing w:val="-2"/>
          <w:lang w:val="en-GB"/>
        </w:rPr>
        <w:t xml:space="preserve"> Cao, </w:t>
      </w:r>
      <w:r w:rsidR="006F72DA" w:rsidRPr="00D53084">
        <w:rPr>
          <w:spacing w:val="-2"/>
          <w:lang w:val="en-GB"/>
        </w:rPr>
        <w:t>c</w:t>
      </w:r>
      <w:r w:rsidRPr="00D53084">
        <w:rPr>
          <w:spacing w:val="-2"/>
          <w:lang w:val="en-GB"/>
        </w:rPr>
        <w:t xml:space="preserve">hairman of </w:t>
      </w:r>
      <w:proofErr w:type="spellStart"/>
      <w:r w:rsidRPr="00D53084">
        <w:rPr>
          <w:spacing w:val="-2"/>
          <w:lang w:val="en-GB"/>
        </w:rPr>
        <w:t>Fuyao</w:t>
      </w:r>
      <w:proofErr w:type="spellEnd"/>
      <w:r w:rsidRPr="00D53084">
        <w:rPr>
          <w:spacing w:val="-2"/>
          <w:lang w:val="en-GB"/>
        </w:rPr>
        <w:t>, note</w:t>
      </w:r>
      <w:r w:rsidR="006F72DA" w:rsidRPr="00D53084">
        <w:rPr>
          <w:spacing w:val="-2"/>
          <w:lang w:val="en-GB"/>
        </w:rPr>
        <w:t>d</w:t>
      </w:r>
      <w:r w:rsidRPr="00D53084">
        <w:rPr>
          <w:spacing w:val="-2"/>
          <w:lang w:val="en-GB"/>
        </w:rPr>
        <w:t>, the total cost of building a plant was no higher in the U</w:t>
      </w:r>
      <w:r w:rsidR="006F72DA" w:rsidRPr="00D53084">
        <w:rPr>
          <w:spacing w:val="-2"/>
          <w:lang w:val="en-GB"/>
        </w:rPr>
        <w:t xml:space="preserve">nited </w:t>
      </w:r>
      <w:r w:rsidRPr="00D53084">
        <w:rPr>
          <w:spacing w:val="-2"/>
          <w:lang w:val="en-GB"/>
        </w:rPr>
        <w:t>S</w:t>
      </w:r>
      <w:r w:rsidR="006F72DA" w:rsidRPr="00D53084">
        <w:rPr>
          <w:spacing w:val="-2"/>
          <w:lang w:val="en-GB"/>
        </w:rPr>
        <w:t>tates</w:t>
      </w:r>
      <w:r w:rsidRPr="00D53084">
        <w:rPr>
          <w:spacing w:val="-2"/>
          <w:lang w:val="en-GB"/>
        </w:rPr>
        <w:t xml:space="preserve"> than in China. </w:t>
      </w:r>
      <w:r w:rsidR="006F72DA" w:rsidRPr="00D53084">
        <w:rPr>
          <w:spacing w:val="-2"/>
          <w:lang w:val="en-GB"/>
        </w:rPr>
        <w:t xml:space="preserve">The </w:t>
      </w:r>
      <w:r w:rsidRPr="00D53084">
        <w:rPr>
          <w:spacing w:val="-2"/>
          <w:lang w:val="en-GB"/>
        </w:rPr>
        <w:t>B</w:t>
      </w:r>
      <w:r w:rsidR="006F72DA" w:rsidRPr="00D53084">
        <w:rPr>
          <w:spacing w:val="-2"/>
          <w:lang w:val="en-GB"/>
        </w:rPr>
        <w:t xml:space="preserve">oston </w:t>
      </w:r>
      <w:r w:rsidRPr="00D53084">
        <w:rPr>
          <w:spacing w:val="-2"/>
          <w:lang w:val="en-GB"/>
        </w:rPr>
        <w:t>C</w:t>
      </w:r>
      <w:r w:rsidR="006F72DA" w:rsidRPr="00D53084">
        <w:rPr>
          <w:spacing w:val="-2"/>
          <w:lang w:val="en-GB"/>
        </w:rPr>
        <w:t xml:space="preserve">onsulting </w:t>
      </w:r>
      <w:r w:rsidRPr="00D53084">
        <w:rPr>
          <w:spacing w:val="-2"/>
          <w:lang w:val="en-GB"/>
        </w:rPr>
        <w:t>G</w:t>
      </w:r>
      <w:r w:rsidR="006F72DA" w:rsidRPr="00D53084">
        <w:rPr>
          <w:spacing w:val="-2"/>
          <w:lang w:val="en-GB"/>
        </w:rPr>
        <w:t>roup had</w:t>
      </w:r>
      <w:r w:rsidRPr="00D53084">
        <w:rPr>
          <w:spacing w:val="-2"/>
          <w:lang w:val="en-GB"/>
        </w:rPr>
        <w:t xml:space="preserve"> research</w:t>
      </w:r>
      <w:r w:rsidR="006F72DA" w:rsidRPr="00D53084">
        <w:rPr>
          <w:spacing w:val="-2"/>
          <w:lang w:val="en-GB"/>
        </w:rPr>
        <w:t>ed</w:t>
      </w:r>
      <w:r w:rsidRPr="00D53084">
        <w:rPr>
          <w:spacing w:val="-2"/>
          <w:lang w:val="en-GB"/>
        </w:rPr>
        <w:t xml:space="preserve"> the manufacturing costs for the world’s top 25 export economies</w:t>
      </w:r>
      <w:r w:rsidR="006F72DA" w:rsidRPr="00D53084">
        <w:rPr>
          <w:spacing w:val="-2"/>
          <w:lang w:val="en-GB"/>
        </w:rPr>
        <w:t>, and</w:t>
      </w:r>
      <w:r w:rsidRPr="00D53084">
        <w:rPr>
          <w:spacing w:val="-2"/>
          <w:lang w:val="en-GB"/>
        </w:rPr>
        <w:t xml:space="preserve"> </w:t>
      </w:r>
      <w:r w:rsidR="006F72DA" w:rsidRPr="00D53084">
        <w:rPr>
          <w:spacing w:val="-2"/>
          <w:lang w:val="en-GB"/>
        </w:rPr>
        <w:t>t</w:t>
      </w:r>
      <w:r w:rsidRPr="00D53084">
        <w:rPr>
          <w:spacing w:val="-2"/>
          <w:lang w:val="en-GB"/>
        </w:rPr>
        <w:t xml:space="preserve">he findings revealed that </w:t>
      </w:r>
      <w:r w:rsidR="004737CA" w:rsidRPr="00D53084">
        <w:rPr>
          <w:spacing w:val="-2"/>
          <w:lang w:val="en-GB"/>
        </w:rPr>
        <w:t xml:space="preserve">China’s </w:t>
      </w:r>
      <w:r w:rsidRPr="00D53084">
        <w:rPr>
          <w:spacing w:val="-2"/>
          <w:lang w:val="en-GB"/>
        </w:rPr>
        <w:t xml:space="preserve">manufacturing costs </w:t>
      </w:r>
      <w:r w:rsidR="00D0306C" w:rsidRPr="00D53084">
        <w:rPr>
          <w:rFonts w:eastAsiaTheme="minorEastAsia"/>
          <w:spacing w:val="-2"/>
          <w:lang w:val="en-GB" w:eastAsia="zh-CN"/>
        </w:rPr>
        <w:t>were</w:t>
      </w:r>
      <w:r w:rsidRPr="00D53084">
        <w:rPr>
          <w:spacing w:val="-2"/>
          <w:lang w:val="en-GB"/>
        </w:rPr>
        <w:t xml:space="preserve"> 96</w:t>
      </w:r>
      <w:r w:rsidR="004E75C5" w:rsidRPr="00D53084">
        <w:rPr>
          <w:spacing w:val="-2"/>
          <w:lang w:val="en-GB"/>
        </w:rPr>
        <w:t xml:space="preserve"> per cent</w:t>
      </w:r>
      <w:r w:rsidRPr="00D53084">
        <w:rPr>
          <w:spacing w:val="-2"/>
          <w:lang w:val="en-GB"/>
        </w:rPr>
        <w:t xml:space="preserve"> of </w:t>
      </w:r>
      <w:r w:rsidR="00D0306C" w:rsidRPr="00D53084">
        <w:rPr>
          <w:rFonts w:eastAsiaTheme="minorEastAsia"/>
          <w:spacing w:val="-2"/>
          <w:lang w:val="en-GB" w:eastAsia="zh-CN"/>
        </w:rPr>
        <w:t>the manufacturing costs in</w:t>
      </w:r>
      <w:r w:rsidRPr="00D53084">
        <w:rPr>
          <w:spacing w:val="-2"/>
          <w:lang w:val="en-GB"/>
        </w:rPr>
        <w:t xml:space="preserve"> the U</w:t>
      </w:r>
      <w:r w:rsidR="006F72DA" w:rsidRPr="00D53084">
        <w:rPr>
          <w:spacing w:val="-2"/>
          <w:lang w:val="en-GB"/>
        </w:rPr>
        <w:t xml:space="preserve">nited </w:t>
      </w:r>
      <w:r w:rsidRPr="00D53084">
        <w:rPr>
          <w:spacing w:val="-2"/>
          <w:lang w:val="en-GB"/>
        </w:rPr>
        <w:t>S</w:t>
      </w:r>
      <w:r w:rsidR="006F72DA" w:rsidRPr="00D53084">
        <w:rPr>
          <w:spacing w:val="-2"/>
          <w:lang w:val="en-GB"/>
        </w:rPr>
        <w:t>tates</w:t>
      </w:r>
      <w:r w:rsidRPr="00D53084">
        <w:rPr>
          <w:spacing w:val="-2"/>
          <w:lang w:val="en-GB"/>
        </w:rPr>
        <w:t xml:space="preserve"> in 2014, as opposed to 85.1</w:t>
      </w:r>
      <w:r w:rsidR="006F72DA" w:rsidRPr="00D53084">
        <w:rPr>
          <w:spacing w:val="-2"/>
          <w:lang w:val="en-GB"/>
        </w:rPr>
        <w:t xml:space="preserve"> per cent</w:t>
      </w:r>
      <w:r w:rsidRPr="00D53084">
        <w:rPr>
          <w:spacing w:val="-2"/>
          <w:lang w:val="en-GB"/>
        </w:rPr>
        <w:t xml:space="preserve"> in 2004 (see Exhibit </w:t>
      </w:r>
      <w:r w:rsidR="00941D8B" w:rsidRPr="00D53084">
        <w:rPr>
          <w:rFonts w:eastAsiaTheme="minorEastAsia"/>
          <w:spacing w:val="-2"/>
          <w:lang w:val="en-GB" w:eastAsia="zh-CN"/>
        </w:rPr>
        <w:t>8</w:t>
      </w:r>
      <w:r w:rsidRPr="00D53084">
        <w:rPr>
          <w:spacing w:val="-2"/>
          <w:lang w:val="en-GB"/>
        </w:rPr>
        <w:t>).</w:t>
      </w:r>
      <w:r w:rsidRPr="00D53084">
        <w:rPr>
          <w:rStyle w:val="EndnoteReference"/>
          <w:spacing w:val="-2"/>
          <w:lang w:val="en-GB"/>
        </w:rPr>
        <w:endnoteReference w:id="39"/>
      </w:r>
      <w:r w:rsidRPr="00D53084">
        <w:rPr>
          <w:spacing w:val="-2"/>
          <w:lang w:val="en-GB"/>
        </w:rPr>
        <w:t xml:space="preserve"> Deloitte </w:t>
      </w:r>
      <w:proofErr w:type="spellStart"/>
      <w:r w:rsidR="004737CA" w:rsidRPr="00D53084">
        <w:rPr>
          <w:spacing w:val="-2"/>
          <w:lang w:val="en-GB"/>
        </w:rPr>
        <w:t>Touche</w:t>
      </w:r>
      <w:proofErr w:type="spellEnd"/>
      <w:r w:rsidR="004737CA" w:rsidRPr="00D53084">
        <w:rPr>
          <w:spacing w:val="-2"/>
          <w:lang w:val="en-GB"/>
        </w:rPr>
        <w:t xml:space="preserve"> Tohmatsu Ltd. had </w:t>
      </w:r>
      <w:r w:rsidRPr="00D53084">
        <w:rPr>
          <w:spacing w:val="-2"/>
          <w:lang w:val="en-GB"/>
        </w:rPr>
        <w:t xml:space="preserve">rated the manufacturing competitiveness of 40 countries: China </w:t>
      </w:r>
      <w:r w:rsidR="004737CA" w:rsidRPr="00D53084">
        <w:rPr>
          <w:spacing w:val="-2"/>
          <w:lang w:val="en-GB"/>
        </w:rPr>
        <w:t>was at</w:t>
      </w:r>
      <w:r w:rsidRPr="00D53084">
        <w:rPr>
          <w:spacing w:val="-2"/>
          <w:lang w:val="en-GB"/>
        </w:rPr>
        <w:t xml:space="preserve"> the top in terms of overall manufacturing competitiveness in 2016; the U</w:t>
      </w:r>
      <w:r w:rsidR="004737CA" w:rsidRPr="00D53084">
        <w:rPr>
          <w:spacing w:val="-2"/>
          <w:lang w:val="en-GB"/>
        </w:rPr>
        <w:t xml:space="preserve">nited </w:t>
      </w:r>
      <w:r w:rsidRPr="00D53084">
        <w:rPr>
          <w:spacing w:val="-2"/>
          <w:lang w:val="en-GB"/>
        </w:rPr>
        <w:t>S</w:t>
      </w:r>
      <w:r w:rsidR="004737CA" w:rsidRPr="00D53084">
        <w:rPr>
          <w:spacing w:val="-2"/>
          <w:lang w:val="en-GB"/>
        </w:rPr>
        <w:t>tates</w:t>
      </w:r>
      <w:r w:rsidRPr="00D53084">
        <w:rPr>
          <w:spacing w:val="-2"/>
          <w:lang w:val="en-GB"/>
        </w:rPr>
        <w:t xml:space="preserve">, which ranked second, </w:t>
      </w:r>
      <w:r w:rsidR="004737CA" w:rsidRPr="00D53084">
        <w:rPr>
          <w:spacing w:val="-2"/>
          <w:lang w:val="en-GB"/>
        </w:rPr>
        <w:t>was predicted to</w:t>
      </w:r>
      <w:r w:rsidRPr="00D53084">
        <w:rPr>
          <w:spacing w:val="-2"/>
          <w:lang w:val="en-GB"/>
        </w:rPr>
        <w:t xml:space="preserve"> de</w:t>
      </w:r>
      <w:r w:rsidR="004737CA" w:rsidRPr="00D53084">
        <w:rPr>
          <w:spacing w:val="-2"/>
          <w:lang w:val="en-GB"/>
        </w:rPr>
        <w:t>-</w:t>
      </w:r>
      <w:r w:rsidRPr="00D53084">
        <w:rPr>
          <w:spacing w:val="-2"/>
          <w:lang w:val="en-GB"/>
        </w:rPr>
        <w:t>throne China in 2020.</w:t>
      </w:r>
      <w:r w:rsidRPr="00D53084">
        <w:rPr>
          <w:rStyle w:val="EndnoteReference"/>
          <w:spacing w:val="-2"/>
          <w:lang w:val="en-GB"/>
        </w:rPr>
        <w:endnoteReference w:id="40"/>
      </w:r>
      <w:r w:rsidR="007228E3" w:rsidRPr="00D53084">
        <w:rPr>
          <w:spacing w:val="-2"/>
          <w:lang w:val="en-GB"/>
        </w:rPr>
        <w:t xml:space="preserve"> </w:t>
      </w:r>
    </w:p>
    <w:p w14:paraId="131367F2" w14:textId="77777777" w:rsidR="00DB28B1" w:rsidRDefault="00DB28B1" w:rsidP="009C1954">
      <w:pPr>
        <w:pStyle w:val="BodyTextMain"/>
        <w:rPr>
          <w:spacing w:val="-2"/>
          <w:lang w:val="en-GB"/>
        </w:rPr>
      </w:pPr>
    </w:p>
    <w:p w14:paraId="69E444D2" w14:textId="4C4AA779" w:rsidR="00DB28B1" w:rsidRDefault="009C1954" w:rsidP="009C1954">
      <w:pPr>
        <w:pStyle w:val="BodyTextMain"/>
        <w:rPr>
          <w:spacing w:val="-2"/>
          <w:lang w:val="en-GB"/>
        </w:rPr>
      </w:pPr>
      <w:r w:rsidRPr="00D53084">
        <w:rPr>
          <w:spacing w:val="-2"/>
          <w:lang w:val="en-GB"/>
        </w:rPr>
        <w:t xml:space="preserve">Second, the </w:t>
      </w:r>
      <w:r w:rsidR="00631C91">
        <w:rPr>
          <w:spacing w:val="-2"/>
          <w:lang w:val="en-GB"/>
        </w:rPr>
        <w:t>US</w:t>
      </w:r>
      <w:r w:rsidRPr="00D53084">
        <w:rPr>
          <w:spacing w:val="-2"/>
          <w:lang w:val="en-GB"/>
        </w:rPr>
        <w:t xml:space="preserve"> legal system was solid and stable. Concerned about employment, local governments might provide foreign investors with incentives, as building a factory in the U</w:t>
      </w:r>
      <w:r w:rsidR="004737CA" w:rsidRPr="00D53084">
        <w:rPr>
          <w:spacing w:val="-2"/>
          <w:lang w:val="en-GB"/>
        </w:rPr>
        <w:t xml:space="preserve">nited </w:t>
      </w:r>
      <w:r w:rsidRPr="00D53084">
        <w:rPr>
          <w:spacing w:val="-2"/>
          <w:lang w:val="en-GB"/>
        </w:rPr>
        <w:t>S</w:t>
      </w:r>
      <w:r w:rsidR="004737CA" w:rsidRPr="00D53084">
        <w:rPr>
          <w:spacing w:val="-2"/>
          <w:lang w:val="en-GB"/>
        </w:rPr>
        <w:t>tates</w:t>
      </w:r>
      <w:r w:rsidRPr="00D53084">
        <w:rPr>
          <w:spacing w:val="-2"/>
          <w:lang w:val="en-GB"/>
        </w:rPr>
        <w:t xml:space="preserve"> could create hundreds of jobs for local communities.</w:t>
      </w:r>
      <w:r w:rsidR="007228E3" w:rsidRPr="00D53084">
        <w:rPr>
          <w:spacing w:val="-2"/>
          <w:lang w:val="en-GB"/>
        </w:rPr>
        <w:t xml:space="preserve"> </w:t>
      </w:r>
    </w:p>
    <w:p w14:paraId="79317EB4" w14:textId="77777777" w:rsidR="00DB28B1" w:rsidRPr="009B5E19" w:rsidRDefault="00DB28B1" w:rsidP="009C1954">
      <w:pPr>
        <w:pStyle w:val="BodyTextMain"/>
        <w:rPr>
          <w:lang w:val="en-GB"/>
        </w:rPr>
      </w:pPr>
    </w:p>
    <w:p w14:paraId="1E1594D9" w14:textId="29690ADF" w:rsidR="009C1954" w:rsidRPr="009B5E19" w:rsidRDefault="009C1954" w:rsidP="009C1954">
      <w:pPr>
        <w:pStyle w:val="BodyTextMain"/>
        <w:rPr>
          <w:lang w:val="en-GB"/>
        </w:rPr>
      </w:pPr>
      <w:r w:rsidRPr="009B5E19">
        <w:rPr>
          <w:lang w:val="en-GB"/>
        </w:rPr>
        <w:t xml:space="preserve">Third, it had been a long time since Shenzhou International </w:t>
      </w:r>
      <w:r w:rsidR="00517789" w:rsidRPr="009B5E19">
        <w:rPr>
          <w:lang w:val="en-GB"/>
        </w:rPr>
        <w:t xml:space="preserve">had </w:t>
      </w:r>
      <w:r w:rsidRPr="009B5E19">
        <w:rPr>
          <w:lang w:val="en-GB"/>
        </w:rPr>
        <w:t>established partnerships with Nike and Adidas. Opening a plant in the U</w:t>
      </w:r>
      <w:r w:rsidR="00517789" w:rsidRPr="009B5E19">
        <w:rPr>
          <w:lang w:val="en-GB"/>
        </w:rPr>
        <w:t xml:space="preserve">nited </w:t>
      </w:r>
      <w:r w:rsidRPr="009B5E19">
        <w:rPr>
          <w:lang w:val="en-GB"/>
        </w:rPr>
        <w:t>S</w:t>
      </w:r>
      <w:r w:rsidR="00517789" w:rsidRPr="009B5E19">
        <w:rPr>
          <w:lang w:val="en-GB"/>
        </w:rPr>
        <w:t>tates</w:t>
      </w:r>
      <w:r w:rsidRPr="009B5E19">
        <w:rPr>
          <w:lang w:val="en-GB"/>
        </w:rPr>
        <w:t xml:space="preserve"> would facilitate the group’s co</w:t>
      </w:r>
      <w:r w:rsidR="00517789" w:rsidRPr="009B5E19">
        <w:rPr>
          <w:lang w:val="en-GB"/>
        </w:rPr>
        <w:t>-</w:t>
      </w:r>
      <w:r w:rsidRPr="009B5E19">
        <w:rPr>
          <w:lang w:val="en-GB"/>
        </w:rPr>
        <w:t xml:space="preserve">operation with these key accounts, contributing to branding and strategic planning. In the vast </w:t>
      </w:r>
      <w:r w:rsidR="00631C91">
        <w:rPr>
          <w:lang w:val="en-GB"/>
        </w:rPr>
        <w:t>US</w:t>
      </w:r>
      <w:r w:rsidRPr="009B5E19">
        <w:rPr>
          <w:lang w:val="en-GB"/>
        </w:rPr>
        <w:t xml:space="preserve"> market, the group would undoubtedly see orders stream in.</w:t>
      </w:r>
    </w:p>
    <w:p w14:paraId="3CFC0633" w14:textId="77777777" w:rsidR="009C1954" w:rsidRPr="00D53084" w:rsidRDefault="009C1954" w:rsidP="009C1954">
      <w:pPr>
        <w:pStyle w:val="BodyTextMain"/>
        <w:rPr>
          <w:sz w:val="20"/>
          <w:lang w:val="en-GB"/>
        </w:rPr>
      </w:pPr>
    </w:p>
    <w:p w14:paraId="7209A8C5" w14:textId="2B187C04" w:rsidR="001F4C49" w:rsidRPr="00D53084" w:rsidRDefault="009C1954" w:rsidP="007228E3">
      <w:pPr>
        <w:pStyle w:val="BodyTextMain"/>
        <w:rPr>
          <w:lang w:val="en-GB"/>
        </w:rPr>
      </w:pPr>
      <w:r w:rsidRPr="00D53084">
        <w:rPr>
          <w:lang w:val="en-GB"/>
        </w:rPr>
        <w:t xml:space="preserve">Nevertheless, </w:t>
      </w:r>
      <w:r w:rsidR="00914CA0" w:rsidRPr="00D53084">
        <w:rPr>
          <w:lang w:val="en-GB"/>
        </w:rPr>
        <w:t xml:space="preserve">there were potential </w:t>
      </w:r>
      <w:r w:rsidR="00327DE1" w:rsidRPr="00D53084">
        <w:rPr>
          <w:lang w:val="en-GB"/>
        </w:rPr>
        <w:t xml:space="preserve">obstacles to </w:t>
      </w:r>
      <w:r w:rsidRPr="00D53084">
        <w:rPr>
          <w:lang w:val="en-GB"/>
        </w:rPr>
        <w:t>Shenzhou International</w:t>
      </w:r>
      <w:r w:rsidR="00327DE1" w:rsidRPr="00D53084">
        <w:rPr>
          <w:lang w:val="en-GB"/>
        </w:rPr>
        <w:t xml:space="preserve"> venturing into the </w:t>
      </w:r>
      <w:r w:rsidR="00631C91">
        <w:rPr>
          <w:lang w:val="en-GB"/>
        </w:rPr>
        <w:t>US</w:t>
      </w:r>
      <w:r w:rsidR="00327DE1" w:rsidRPr="00D53084">
        <w:rPr>
          <w:lang w:val="en-GB"/>
        </w:rPr>
        <w:t xml:space="preserve"> market</w:t>
      </w:r>
      <w:r w:rsidRPr="00D53084">
        <w:rPr>
          <w:lang w:val="en-GB"/>
        </w:rPr>
        <w:t>. The U</w:t>
      </w:r>
      <w:r w:rsidR="00517789" w:rsidRPr="00D53084">
        <w:rPr>
          <w:lang w:val="en-GB"/>
        </w:rPr>
        <w:t xml:space="preserve">nited </w:t>
      </w:r>
      <w:r w:rsidRPr="00D53084">
        <w:rPr>
          <w:lang w:val="en-GB"/>
        </w:rPr>
        <w:t>S</w:t>
      </w:r>
      <w:r w:rsidR="00517789" w:rsidRPr="00D53084">
        <w:rPr>
          <w:lang w:val="en-GB"/>
        </w:rPr>
        <w:t>tates</w:t>
      </w:r>
      <w:r w:rsidRPr="00D53084">
        <w:rPr>
          <w:lang w:val="en-GB"/>
        </w:rPr>
        <w:t xml:space="preserve"> differed hugely from Asian countries in terms of legal institutions, business climate, labo</w:t>
      </w:r>
      <w:r w:rsidR="00517789" w:rsidRPr="00D53084">
        <w:rPr>
          <w:lang w:val="en-GB"/>
        </w:rPr>
        <w:t>u</w:t>
      </w:r>
      <w:r w:rsidRPr="00D53084">
        <w:rPr>
          <w:lang w:val="en-GB"/>
        </w:rPr>
        <w:t>r policy, and employee competence. Trade unions were a force to be reckoned with</w:t>
      </w:r>
      <w:r w:rsidR="00914CA0" w:rsidRPr="00D53084">
        <w:rPr>
          <w:lang w:val="en-GB"/>
        </w:rPr>
        <w:t>, and</w:t>
      </w:r>
      <w:r w:rsidRPr="00D53084">
        <w:rPr>
          <w:lang w:val="en-GB"/>
        </w:rPr>
        <w:t xml:space="preserve"> </w:t>
      </w:r>
      <w:r w:rsidR="00914CA0" w:rsidRPr="00D53084">
        <w:rPr>
          <w:lang w:val="en-GB"/>
        </w:rPr>
        <w:t>l</w:t>
      </w:r>
      <w:r w:rsidRPr="00D53084">
        <w:rPr>
          <w:lang w:val="en-GB"/>
        </w:rPr>
        <w:t xml:space="preserve">ocal governments were environmentally </w:t>
      </w:r>
      <w:r w:rsidR="00327DE1" w:rsidRPr="00D53084">
        <w:rPr>
          <w:lang w:val="en-GB"/>
        </w:rPr>
        <w:t>conscious</w:t>
      </w:r>
      <w:r w:rsidRPr="00D53084">
        <w:rPr>
          <w:lang w:val="en-GB"/>
        </w:rPr>
        <w:t>. Shenzhou International was a traditional labo</w:t>
      </w:r>
      <w:r w:rsidR="00517789" w:rsidRPr="00D53084">
        <w:rPr>
          <w:lang w:val="en-GB"/>
        </w:rPr>
        <w:t>u</w:t>
      </w:r>
      <w:r w:rsidRPr="00D53084">
        <w:rPr>
          <w:lang w:val="en-GB"/>
        </w:rPr>
        <w:t xml:space="preserve">r-intensive enterprise and a significant emitter of pollution. Would the group be able to find low-cost technical workers and conform to rigorous </w:t>
      </w:r>
      <w:r w:rsidR="00631C91">
        <w:rPr>
          <w:lang w:val="en-GB"/>
        </w:rPr>
        <w:t>US</w:t>
      </w:r>
      <w:r w:rsidRPr="00D53084">
        <w:rPr>
          <w:lang w:val="en-GB"/>
        </w:rPr>
        <w:t xml:space="preserve"> emission standards? </w:t>
      </w:r>
      <w:r w:rsidR="00914CA0" w:rsidRPr="00D53084">
        <w:rPr>
          <w:lang w:val="en-GB"/>
        </w:rPr>
        <w:t>In</w:t>
      </w:r>
      <w:r w:rsidRPr="00D53084">
        <w:rPr>
          <w:lang w:val="en-GB"/>
        </w:rPr>
        <w:t xml:space="preserve"> </w:t>
      </w:r>
      <w:r w:rsidR="00914CA0" w:rsidRPr="00D53084">
        <w:rPr>
          <w:lang w:val="en-GB"/>
        </w:rPr>
        <w:t>considering</w:t>
      </w:r>
      <w:r w:rsidRPr="00D53084">
        <w:rPr>
          <w:lang w:val="en-GB"/>
        </w:rPr>
        <w:t xml:space="preserve"> opening a plant in the U</w:t>
      </w:r>
      <w:r w:rsidR="00914CA0" w:rsidRPr="00D53084">
        <w:rPr>
          <w:lang w:val="en-GB"/>
        </w:rPr>
        <w:t xml:space="preserve">nited </w:t>
      </w:r>
      <w:r w:rsidRPr="00D53084">
        <w:rPr>
          <w:lang w:val="en-GB"/>
        </w:rPr>
        <w:t>S</w:t>
      </w:r>
      <w:r w:rsidR="00914CA0" w:rsidRPr="00D53084">
        <w:rPr>
          <w:lang w:val="en-GB"/>
        </w:rPr>
        <w:t>tates</w:t>
      </w:r>
      <w:r w:rsidRPr="00D53084">
        <w:rPr>
          <w:lang w:val="en-GB"/>
        </w:rPr>
        <w:t>, Shenzhou International would need to chart its overall strategic course.</w:t>
      </w:r>
      <w:r w:rsidRPr="00D53084">
        <w:rPr>
          <w:lang w:val="en-GB"/>
        </w:rPr>
        <w:br w:type="page"/>
      </w:r>
    </w:p>
    <w:p w14:paraId="4AFA9BB2" w14:textId="36E8147F" w:rsidR="001F4C49" w:rsidRPr="00D53084" w:rsidRDefault="001F4C49" w:rsidP="001F4C49">
      <w:pPr>
        <w:pStyle w:val="ExhibitHeading"/>
        <w:rPr>
          <w:lang w:val="en-GB"/>
        </w:rPr>
      </w:pPr>
      <w:r w:rsidRPr="00D53084">
        <w:rPr>
          <w:lang w:val="en-GB"/>
        </w:rPr>
        <w:lastRenderedPageBreak/>
        <w:t>Exhibit 1: How Shenzhou International Built Partnership with Big Brands</w:t>
      </w:r>
    </w:p>
    <w:p w14:paraId="0B33C71F" w14:textId="77777777" w:rsidR="001F4C49" w:rsidRPr="00D53084" w:rsidRDefault="001F4C49" w:rsidP="001F4C49">
      <w:pPr>
        <w:pStyle w:val="BodyTextMain"/>
        <w:rPr>
          <w:lang w:val="en-GB"/>
        </w:rPr>
      </w:pPr>
    </w:p>
    <w:p w14:paraId="207E1F53" w14:textId="72A169A7" w:rsidR="001F4C49" w:rsidRPr="00D53084" w:rsidRDefault="001F4C49" w:rsidP="001F4C49">
      <w:pPr>
        <w:pStyle w:val="ExhibitText"/>
        <w:rPr>
          <w:lang w:val="en-GB"/>
        </w:rPr>
      </w:pPr>
      <w:r w:rsidRPr="00D53084">
        <w:rPr>
          <w:lang w:val="en-GB"/>
        </w:rPr>
        <w:t xml:space="preserve">Forging formal partnerships with </w:t>
      </w:r>
      <w:proofErr w:type="spellStart"/>
      <w:r w:rsidRPr="00D53084">
        <w:rPr>
          <w:lang w:val="en-GB"/>
        </w:rPr>
        <w:t>Uniqlo</w:t>
      </w:r>
      <w:proofErr w:type="spellEnd"/>
      <w:r w:rsidR="001D6FAF" w:rsidRPr="00D53084">
        <w:rPr>
          <w:lang w:val="en-GB"/>
        </w:rPr>
        <w:t xml:space="preserve"> Co., Ltd. (</w:t>
      </w:r>
      <w:proofErr w:type="spellStart"/>
      <w:r w:rsidR="001D6FAF" w:rsidRPr="00D53084">
        <w:rPr>
          <w:lang w:val="en-GB"/>
        </w:rPr>
        <w:t>Uniqlo</w:t>
      </w:r>
      <w:proofErr w:type="spellEnd"/>
      <w:r w:rsidR="001D6FAF" w:rsidRPr="00D53084">
        <w:rPr>
          <w:lang w:val="en-GB"/>
        </w:rPr>
        <w:t>)</w:t>
      </w:r>
      <w:r w:rsidRPr="00D53084">
        <w:rPr>
          <w:lang w:val="en-GB"/>
        </w:rPr>
        <w:t xml:space="preserve"> </w:t>
      </w:r>
      <w:r w:rsidR="001D6FAF" w:rsidRPr="00D53084">
        <w:rPr>
          <w:lang w:val="en-GB"/>
        </w:rPr>
        <w:t>was typically</w:t>
      </w:r>
      <w:r w:rsidRPr="00D53084">
        <w:rPr>
          <w:lang w:val="en-GB"/>
        </w:rPr>
        <w:t xml:space="preserve"> a long and painful process. A brand-conscious company, </w:t>
      </w:r>
      <w:proofErr w:type="spellStart"/>
      <w:r w:rsidRPr="00D53084">
        <w:rPr>
          <w:lang w:val="en-GB"/>
        </w:rPr>
        <w:t>Uniqlo</w:t>
      </w:r>
      <w:proofErr w:type="spellEnd"/>
      <w:r w:rsidRPr="00D53084">
        <w:rPr>
          <w:lang w:val="en-GB"/>
        </w:rPr>
        <w:t xml:space="preserve"> </w:t>
      </w:r>
      <w:r w:rsidR="00802B95" w:rsidRPr="00D53084">
        <w:rPr>
          <w:rFonts w:eastAsiaTheme="minorEastAsia"/>
          <w:lang w:val="en-GB" w:eastAsia="zh-CN"/>
        </w:rPr>
        <w:t>attached great importance to building</w:t>
      </w:r>
      <w:r w:rsidRPr="00D53084">
        <w:rPr>
          <w:lang w:val="en-GB"/>
        </w:rPr>
        <w:t xml:space="preserve"> long-term strategic </w:t>
      </w:r>
      <w:r w:rsidR="00802B95" w:rsidRPr="00D53084">
        <w:rPr>
          <w:rFonts w:eastAsiaTheme="minorEastAsia"/>
          <w:lang w:val="en-GB" w:eastAsia="zh-CN"/>
        </w:rPr>
        <w:t>partnership</w:t>
      </w:r>
      <w:r w:rsidRPr="00D53084">
        <w:rPr>
          <w:lang w:val="en-GB"/>
        </w:rPr>
        <w:t xml:space="preserve"> with suppliers. Its supplier network </w:t>
      </w:r>
      <w:r w:rsidR="001D6FAF" w:rsidRPr="00D53084">
        <w:rPr>
          <w:lang w:val="en-GB"/>
        </w:rPr>
        <w:t xml:space="preserve">was </w:t>
      </w:r>
      <w:r w:rsidRPr="00D53084">
        <w:rPr>
          <w:lang w:val="en-GB"/>
        </w:rPr>
        <w:t xml:space="preserve">spread across the world, including over 70 suppliers in Asia. </w:t>
      </w:r>
      <w:proofErr w:type="spellStart"/>
      <w:r w:rsidRPr="00D53084">
        <w:rPr>
          <w:lang w:val="en-GB"/>
        </w:rPr>
        <w:t>Uniqlo</w:t>
      </w:r>
      <w:proofErr w:type="spellEnd"/>
      <w:r w:rsidRPr="00D53084">
        <w:rPr>
          <w:lang w:val="en-GB"/>
        </w:rPr>
        <w:t xml:space="preserve"> had established a system for order processing, procurement, </w:t>
      </w:r>
      <w:r w:rsidR="001D6FAF" w:rsidRPr="00D53084">
        <w:rPr>
          <w:lang w:val="en-GB"/>
        </w:rPr>
        <w:t xml:space="preserve">the </w:t>
      </w:r>
      <w:r w:rsidRPr="00D53084">
        <w:rPr>
          <w:lang w:val="en-GB"/>
        </w:rPr>
        <w:t xml:space="preserve">production process, quality control, and logistics management so as to better select and manage suppliers. </w:t>
      </w:r>
      <w:r w:rsidR="00B15A2E">
        <w:rPr>
          <w:lang w:val="en-GB"/>
        </w:rPr>
        <w:t xml:space="preserve">According to </w:t>
      </w:r>
      <w:proofErr w:type="spellStart"/>
      <w:r w:rsidRPr="00D53084">
        <w:rPr>
          <w:lang w:val="en-GB"/>
        </w:rPr>
        <w:t>Uniqlo</w:t>
      </w:r>
      <w:proofErr w:type="spellEnd"/>
      <w:r w:rsidR="00B15A2E">
        <w:rPr>
          <w:lang w:val="en-GB"/>
        </w:rPr>
        <w:t>,</w:t>
      </w:r>
      <w:r w:rsidRPr="00D53084">
        <w:rPr>
          <w:lang w:val="en-GB"/>
        </w:rPr>
        <w:t xml:space="preserve"> the most efficient approach to quality control was to send out its technicians in charge of product development and quality management to suppliers</w:t>
      </w:r>
      <w:r w:rsidR="001D6FAF" w:rsidRPr="00D53084">
        <w:rPr>
          <w:lang w:val="en-GB"/>
        </w:rPr>
        <w:t>,</w:t>
      </w:r>
      <w:r w:rsidRPr="00D53084">
        <w:rPr>
          <w:lang w:val="en-GB"/>
        </w:rPr>
        <w:t xml:space="preserve"> to impart the skills for fib</w:t>
      </w:r>
      <w:r w:rsidR="001D6FAF" w:rsidRPr="00D53084">
        <w:rPr>
          <w:lang w:val="en-GB"/>
        </w:rPr>
        <w:t>r</w:t>
      </w:r>
      <w:r w:rsidRPr="00D53084">
        <w:rPr>
          <w:lang w:val="en-GB"/>
        </w:rPr>
        <w:t>e processing, weaving, spinning, dyeing, sewing</w:t>
      </w:r>
      <w:r w:rsidR="001D6FAF" w:rsidRPr="00D53084">
        <w:rPr>
          <w:lang w:val="en-GB"/>
        </w:rPr>
        <w:t>,</w:t>
      </w:r>
      <w:r w:rsidRPr="00D53084">
        <w:rPr>
          <w:lang w:val="en-GB"/>
        </w:rPr>
        <w:t xml:space="preserve"> and </w:t>
      </w:r>
      <w:r w:rsidR="001D6FAF" w:rsidRPr="00D53084">
        <w:rPr>
          <w:lang w:val="en-GB"/>
        </w:rPr>
        <w:t xml:space="preserve">supplying </w:t>
      </w:r>
      <w:r w:rsidRPr="00D53084">
        <w:rPr>
          <w:lang w:val="en-GB"/>
        </w:rPr>
        <w:t>finished apparel so that the</w:t>
      </w:r>
      <w:r w:rsidR="001D6FAF" w:rsidRPr="00D53084">
        <w:rPr>
          <w:lang w:val="en-GB"/>
        </w:rPr>
        <w:t xml:space="preserve"> suppliers</w:t>
      </w:r>
      <w:r w:rsidRPr="00D53084">
        <w:rPr>
          <w:lang w:val="en-GB"/>
        </w:rPr>
        <w:t xml:space="preserve"> could adopt the same technique</w:t>
      </w:r>
      <w:r w:rsidR="001D6FAF" w:rsidRPr="00D53084">
        <w:rPr>
          <w:lang w:val="en-GB"/>
        </w:rPr>
        <w:t>s</w:t>
      </w:r>
      <w:r w:rsidRPr="00D53084">
        <w:rPr>
          <w:lang w:val="en-GB"/>
        </w:rPr>
        <w:t xml:space="preserve"> and process</w:t>
      </w:r>
      <w:r w:rsidR="001D6FAF" w:rsidRPr="00D53084">
        <w:rPr>
          <w:lang w:val="en-GB"/>
        </w:rPr>
        <w:t>es</w:t>
      </w:r>
      <w:r w:rsidRPr="00D53084">
        <w:rPr>
          <w:lang w:val="en-GB"/>
        </w:rPr>
        <w:t xml:space="preserve"> as the</w:t>
      </w:r>
      <w:r w:rsidR="001D6FAF" w:rsidRPr="00D53084">
        <w:rPr>
          <w:lang w:val="en-GB"/>
        </w:rPr>
        <w:t>ir</w:t>
      </w:r>
      <w:r w:rsidRPr="00D53084">
        <w:rPr>
          <w:lang w:val="en-GB"/>
        </w:rPr>
        <w:t xml:space="preserve"> Japanese counterparts.</w:t>
      </w:r>
    </w:p>
    <w:p w14:paraId="218471DF" w14:textId="77777777" w:rsidR="001F4C49" w:rsidRPr="00D53084" w:rsidRDefault="001F4C49" w:rsidP="001F4C49">
      <w:pPr>
        <w:pStyle w:val="ExhibitText"/>
        <w:rPr>
          <w:lang w:val="en-GB"/>
        </w:rPr>
      </w:pPr>
    </w:p>
    <w:p w14:paraId="71112CC2" w14:textId="6A21A715" w:rsidR="001F4C49" w:rsidRPr="00D53084" w:rsidRDefault="001F4C49" w:rsidP="001F4C49">
      <w:pPr>
        <w:pStyle w:val="ExhibitText"/>
        <w:rPr>
          <w:lang w:val="en-GB"/>
        </w:rPr>
      </w:pPr>
      <w:proofErr w:type="spellStart"/>
      <w:r w:rsidRPr="00D53084">
        <w:rPr>
          <w:lang w:val="en-GB"/>
        </w:rPr>
        <w:t>Uniqlo</w:t>
      </w:r>
      <w:proofErr w:type="spellEnd"/>
      <w:r w:rsidRPr="00D53084">
        <w:rPr>
          <w:lang w:val="en-GB"/>
        </w:rPr>
        <w:t xml:space="preserve"> sent five or six senior technicians to Shenzhou International to improve the management process down to every last detail. During their initial factory inspection, these technicians spotted over 100 problems with quality assurance and pressed for prompt improvement. Afterward, they came up with some suggestions </w:t>
      </w:r>
      <w:r w:rsidR="001D6FAF" w:rsidRPr="00D53084">
        <w:rPr>
          <w:lang w:val="en-GB"/>
        </w:rPr>
        <w:t>for</w:t>
      </w:r>
      <w:r w:rsidRPr="00D53084">
        <w:rPr>
          <w:lang w:val="en-GB"/>
        </w:rPr>
        <w:t xml:space="preserve"> company management, including </w:t>
      </w:r>
      <w:r w:rsidR="001D6FAF" w:rsidRPr="00D53084">
        <w:rPr>
          <w:lang w:val="en-GB"/>
        </w:rPr>
        <w:t xml:space="preserve">even </w:t>
      </w:r>
      <w:r w:rsidR="00802B95" w:rsidRPr="00D53084">
        <w:rPr>
          <w:rFonts w:eastAsiaTheme="minorEastAsia"/>
          <w:lang w:val="en-GB" w:eastAsia="zh-CN"/>
        </w:rPr>
        <w:t>updating</w:t>
      </w:r>
      <w:r w:rsidR="001D6FAF" w:rsidRPr="00D53084">
        <w:rPr>
          <w:lang w:val="en-GB"/>
        </w:rPr>
        <w:t xml:space="preserve"> </w:t>
      </w:r>
      <w:r w:rsidRPr="00D53084">
        <w:rPr>
          <w:lang w:val="en-GB"/>
        </w:rPr>
        <w:t xml:space="preserve">the restrooms. “We were proud of our efficient execution. On the site, my management team and I spent just two days ironing out all problems on a case-by-case basis. Besides, I engaged a construction firm in the very month to bring restrooms up to the standards of star-rated hotels. I also demanded each factory manager should keep restrooms as clean and tidy as those of three-star hotels,” </w:t>
      </w:r>
      <w:r w:rsidR="00B15A2E">
        <w:rPr>
          <w:lang w:val="en-GB"/>
        </w:rPr>
        <w:t xml:space="preserve">recalled </w:t>
      </w:r>
      <w:proofErr w:type="spellStart"/>
      <w:r w:rsidR="00C813BB" w:rsidRPr="00D53084">
        <w:rPr>
          <w:lang w:val="en-GB"/>
        </w:rPr>
        <w:t>Jianrong</w:t>
      </w:r>
      <w:proofErr w:type="spellEnd"/>
      <w:r w:rsidR="00C813BB" w:rsidRPr="00D53084">
        <w:rPr>
          <w:lang w:val="en-GB"/>
        </w:rPr>
        <w:t xml:space="preserve"> </w:t>
      </w:r>
      <w:r w:rsidRPr="00D53084">
        <w:rPr>
          <w:lang w:val="en-GB"/>
        </w:rPr>
        <w:t>Ma</w:t>
      </w:r>
      <w:r w:rsidR="00C813BB" w:rsidRPr="00D53084">
        <w:rPr>
          <w:lang w:val="en-GB"/>
        </w:rPr>
        <w:t>, Shenzhou International’s chairman.</w:t>
      </w:r>
      <w:r w:rsidRPr="00D53084">
        <w:rPr>
          <w:lang w:val="en-GB"/>
        </w:rPr>
        <w:t xml:space="preserve"> “I required all staff bite the bullet to put things right so as to meet the demanding requirements of </w:t>
      </w:r>
      <w:proofErr w:type="spellStart"/>
      <w:r w:rsidRPr="00D53084">
        <w:rPr>
          <w:lang w:val="en-GB"/>
        </w:rPr>
        <w:t>Uniqlo</w:t>
      </w:r>
      <w:proofErr w:type="spellEnd"/>
      <w:r w:rsidRPr="00D53084">
        <w:rPr>
          <w:lang w:val="en-GB"/>
        </w:rPr>
        <w:t>. I was convinced our client would choose to partner with us as long as we attended to its needs.”</w:t>
      </w:r>
    </w:p>
    <w:p w14:paraId="3AEF09E2" w14:textId="77777777" w:rsidR="001F4C49" w:rsidRPr="00D53084" w:rsidRDefault="001F4C49" w:rsidP="001F4C49">
      <w:pPr>
        <w:pStyle w:val="ExhibitText"/>
        <w:rPr>
          <w:lang w:val="en-GB"/>
        </w:rPr>
      </w:pPr>
    </w:p>
    <w:p w14:paraId="7F5B033B" w14:textId="289342F6" w:rsidR="001F4C49" w:rsidRPr="00D53084" w:rsidRDefault="001F4C49" w:rsidP="001F4C49">
      <w:pPr>
        <w:pStyle w:val="ExhibitText"/>
        <w:rPr>
          <w:lang w:val="en-GB"/>
        </w:rPr>
      </w:pPr>
      <w:r w:rsidRPr="00D53084">
        <w:rPr>
          <w:lang w:val="en-GB"/>
        </w:rPr>
        <w:t xml:space="preserve">Shenzhou International’s arduous efforts paid dividends. At the end of that year, </w:t>
      </w:r>
      <w:proofErr w:type="spellStart"/>
      <w:r w:rsidRPr="00D53084">
        <w:rPr>
          <w:lang w:val="en-GB"/>
        </w:rPr>
        <w:t>Uniqlo</w:t>
      </w:r>
      <w:proofErr w:type="spellEnd"/>
      <w:r w:rsidRPr="00D53084">
        <w:rPr>
          <w:lang w:val="en-GB"/>
        </w:rPr>
        <w:t xml:space="preserve"> held a global supplier meeting. Among well-known Chinese textile companies, such as Matsuoka</w:t>
      </w:r>
      <w:r w:rsidR="00C813BB" w:rsidRPr="00D53084">
        <w:rPr>
          <w:lang w:val="en-GB"/>
        </w:rPr>
        <w:t xml:space="preserve"> Corporation</w:t>
      </w:r>
      <w:r w:rsidRPr="00D53084">
        <w:rPr>
          <w:lang w:val="en-GB"/>
        </w:rPr>
        <w:t xml:space="preserve"> and </w:t>
      </w:r>
      <w:proofErr w:type="spellStart"/>
      <w:r w:rsidRPr="00D53084">
        <w:rPr>
          <w:lang w:val="en-GB"/>
        </w:rPr>
        <w:t>Bosideng</w:t>
      </w:r>
      <w:proofErr w:type="spellEnd"/>
      <w:r w:rsidR="00C813BB" w:rsidRPr="00D53084">
        <w:rPr>
          <w:lang w:val="en-GB"/>
        </w:rPr>
        <w:t xml:space="preserve"> International Holdings Ltd.</w:t>
      </w:r>
      <w:r w:rsidRPr="00D53084">
        <w:rPr>
          <w:lang w:val="en-GB"/>
        </w:rPr>
        <w:t xml:space="preserve">, Shenzhou International stood out as </w:t>
      </w:r>
      <w:proofErr w:type="spellStart"/>
      <w:r w:rsidRPr="00D53084">
        <w:rPr>
          <w:lang w:val="en-GB"/>
        </w:rPr>
        <w:t>Uniqlo’s</w:t>
      </w:r>
      <w:proofErr w:type="spellEnd"/>
      <w:r w:rsidRPr="00D53084">
        <w:rPr>
          <w:lang w:val="en-GB"/>
        </w:rPr>
        <w:t xml:space="preserve"> best supplier.</w:t>
      </w:r>
    </w:p>
    <w:p w14:paraId="6197F05C" w14:textId="77777777" w:rsidR="001F4C49" w:rsidRPr="00D53084" w:rsidRDefault="001F4C49" w:rsidP="001F4C49">
      <w:pPr>
        <w:pStyle w:val="ExhibitText"/>
        <w:rPr>
          <w:lang w:val="en-GB"/>
        </w:rPr>
      </w:pPr>
    </w:p>
    <w:p w14:paraId="1CECD211" w14:textId="37E0C466" w:rsidR="001F4C49" w:rsidRPr="00D53084" w:rsidRDefault="001F4C49" w:rsidP="001F4C49">
      <w:pPr>
        <w:pStyle w:val="ExhibitText"/>
        <w:rPr>
          <w:lang w:val="en-GB"/>
        </w:rPr>
      </w:pPr>
      <w:r w:rsidRPr="00D53084">
        <w:rPr>
          <w:lang w:val="en-GB"/>
        </w:rPr>
        <w:t>During its co</w:t>
      </w:r>
      <w:r w:rsidR="00C813BB" w:rsidRPr="00D53084">
        <w:rPr>
          <w:lang w:val="en-GB"/>
        </w:rPr>
        <w:t>-</w:t>
      </w:r>
      <w:r w:rsidRPr="00D53084">
        <w:rPr>
          <w:lang w:val="en-GB"/>
        </w:rPr>
        <w:t xml:space="preserve">operation with Nike, Shenzhou International was also committed to improving its production and management. Soon, Shenzhou International was well-equipped to satisfy clients’ varying demands </w:t>
      </w:r>
      <w:r w:rsidR="00C813BB" w:rsidRPr="00D53084">
        <w:rPr>
          <w:lang w:val="en-GB"/>
        </w:rPr>
        <w:t>related to</w:t>
      </w:r>
      <w:r w:rsidRPr="00D53084">
        <w:rPr>
          <w:lang w:val="en-GB"/>
        </w:rPr>
        <w:t xml:space="preserve"> </w:t>
      </w:r>
      <w:r w:rsidR="00C813BB" w:rsidRPr="00D53084">
        <w:rPr>
          <w:lang w:val="en-GB"/>
        </w:rPr>
        <w:t xml:space="preserve">the </w:t>
      </w:r>
      <w:r w:rsidRPr="00D53084">
        <w:rPr>
          <w:lang w:val="en-GB"/>
        </w:rPr>
        <w:t xml:space="preserve">production process, quality assurance, </w:t>
      </w:r>
      <w:r w:rsidR="00C813BB" w:rsidRPr="00D53084">
        <w:rPr>
          <w:lang w:val="en-GB"/>
        </w:rPr>
        <w:t xml:space="preserve">the </w:t>
      </w:r>
      <w:r w:rsidRPr="00D53084">
        <w:rPr>
          <w:lang w:val="en-GB"/>
        </w:rPr>
        <w:t xml:space="preserve">working environment, cost control, and lead time. </w:t>
      </w:r>
      <w:r w:rsidR="00802B95" w:rsidRPr="00D53084">
        <w:rPr>
          <w:rFonts w:eastAsiaTheme="minorEastAsia"/>
          <w:lang w:val="en-GB" w:eastAsia="zh-CN"/>
        </w:rPr>
        <w:t xml:space="preserve">Ma said, </w:t>
      </w:r>
      <w:r w:rsidRPr="00D53084">
        <w:rPr>
          <w:lang w:val="en-GB"/>
        </w:rPr>
        <w:t>“The training Nike provided for its global suppliers laid the groundwork for our prominence as a leading supplier. During the training sessions, we were shown around world-class factories and exposed to up-to-date concepts about scientific management, environmental protection, and corporate social responsibility.” Two years later, Shenzhou International received the Best Quality Award from Nike, replacing an apparel manufacturer in Malaysia as Nike’s core supplier.</w:t>
      </w:r>
    </w:p>
    <w:p w14:paraId="44438515" w14:textId="77777777" w:rsidR="001F4C49" w:rsidRPr="00D53084" w:rsidRDefault="001F4C49" w:rsidP="001F4C49">
      <w:pPr>
        <w:pStyle w:val="ExhibitText"/>
        <w:rPr>
          <w:lang w:val="en-GB"/>
        </w:rPr>
      </w:pPr>
    </w:p>
    <w:p w14:paraId="6D55453A" w14:textId="2813AF1E" w:rsidR="001F4C49" w:rsidRPr="00D53084" w:rsidRDefault="001F4C49" w:rsidP="001F4C49">
      <w:pPr>
        <w:pStyle w:val="ExhibitText"/>
        <w:rPr>
          <w:lang w:val="en-GB"/>
        </w:rPr>
      </w:pPr>
      <w:r w:rsidRPr="00D53084">
        <w:rPr>
          <w:lang w:val="en-GB"/>
        </w:rPr>
        <w:t xml:space="preserve">Shenzhou International </w:t>
      </w:r>
      <w:r w:rsidR="00802B95" w:rsidRPr="00D53084">
        <w:rPr>
          <w:rFonts w:eastAsiaTheme="minorEastAsia"/>
          <w:lang w:val="en-GB" w:eastAsia="zh-CN"/>
        </w:rPr>
        <w:t xml:space="preserve">also overcame </w:t>
      </w:r>
      <w:r w:rsidRPr="00D53084">
        <w:rPr>
          <w:lang w:val="en-GB"/>
        </w:rPr>
        <w:t xml:space="preserve">hardships </w:t>
      </w:r>
      <w:r w:rsidR="00F36589" w:rsidRPr="00D53084">
        <w:rPr>
          <w:rFonts w:eastAsiaTheme="minorEastAsia"/>
          <w:lang w:val="en-GB" w:eastAsia="zh-CN"/>
        </w:rPr>
        <w:t xml:space="preserve">to </w:t>
      </w:r>
      <w:r w:rsidRPr="00D53084">
        <w:rPr>
          <w:lang w:val="en-GB"/>
        </w:rPr>
        <w:t>co</w:t>
      </w:r>
      <w:r w:rsidR="00C813BB" w:rsidRPr="00D53084">
        <w:rPr>
          <w:lang w:val="en-GB"/>
        </w:rPr>
        <w:t>-</w:t>
      </w:r>
      <w:r w:rsidR="00F36589" w:rsidRPr="00D53084">
        <w:rPr>
          <w:lang w:val="en-GB"/>
        </w:rPr>
        <w:t>opera</w:t>
      </w:r>
      <w:r w:rsidR="00F36589" w:rsidRPr="00D53084">
        <w:rPr>
          <w:rFonts w:eastAsiaTheme="minorEastAsia"/>
          <w:lang w:val="en-GB" w:eastAsia="zh-CN"/>
        </w:rPr>
        <w:t>te</w:t>
      </w:r>
      <w:r w:rsidR="00F36589" w:rsidRPr="00D53084">
        <w:rPr>
          <w:lang w:val="en-GB"/>
        </w:rPr>
        <w:t xml:space="preserve"> </w:t>
      </w:r>
      <w:r w:rsidRPr="00D53084">
        <w:rPr>
          <w:lang w:val="en-GB"/>
        </w:rPr>
        <w:t xml:space="preserve">with Adidas, a world-renowned brand operator with many suppliers in China. </w:t>
      </w:r>
      <w:r w:rsidR="00C813BB" w:rsidRPr="00D53084">
        <w:rPr>
          <w:lang w:val="en-GB"/>
        </w:rPr>
        <w:t>The d</w:t>
      </w:r>
      <w:r w:rsidRPr="00D53084">
        <w:rPr>
          <w:lang w:val="en-GB"/>
        </w:rPr>
        <w:t xml:space="preserve">irector of Adidas China asked Ma whether Shenzhou International would be able to build a factory capable of producing 150,000 </w:t>
      </w:r>
      <w:r w:rsidR="00C813BB" w:rsidRPr="00D53084">
        <w:rPr>
          <w:lang w:val="en-GB"/>
        </w:rPr>
        <w:t xml:space="preserve">pieces of </w:t>
      </w:r>
      <w:r w:rsidRPr="00D53084">
        <w:rPr>
          <w:lang w:val="en-GB"/>
        </w:rPr>
        <w:t>apparel per day within one year</w:t>
      </w:r>
      <w:r w:rsidR="00C813BB" w:rsidRPr="00D53084">
        <w:rPr>
          <w:lang w:val="en-GB"/>
        </w:rPr>
        <w:t>,</w:t>
      </w:r>
      <w:r w:rsidRPr="00D53084">
        <w:rPr>
          <w:lang w:val="en-GB"/>
        </w:rPr>
        <w:t xml:space="preserve"> to remove the bottleneck in capacity and </w:t>
      </w:r>
      <w:r w:rsidR="002D7DA7" w:rsidRPr="00D53084">
        <w:rPr>
          <w:lang w:val="en-GB"/>
        </w:rPr>
        <w:t xml:space="preserve">the </w:t>
      </w:r>
      <w:r w:rsidRPr="00D53084">
        <w:rPr>
          <w:lang w:val="en-GB"/>
        </w:rPr>
        <w:t xml:space="preserve">price barrier created by the suppliers that </w:t>
      </w:r>
      <w:r w:rsidR="002D7DA7" w:rsidRPr="00D53084">
        <w:rPr>
          <w:lang w:val="en-GB"/>
        </w:rPr>
        <w:t xml:space="preserve">had </w:t>
      </w:r>
      <w:r w:rsidRPr="00D53084">
        <w:rPr>
          <w:lang w:val="en-GB"/>
        </w:rPr>
        <w:t xml:space="preserve">banded together in Taiwan. Given the company’s efficient execution, Ma </w:t>
      </w:r>
      <w:r w:rsidR="002D7DA7" w:rsidRPr="00D53084">
        <w:rPr>
          <w:lang w:val="en-GB"/>
        </w:rPr>
        <w:t>said it would be</w:t>
      </w:r>
      <w:r w:rsidRPr="00D53084">
        <w:rPr>
          <w:lang w:val="en-GB"/>
        </w:rPr>
        <w:t xml:space="preserve">. Shenzhou International bought out a factory on the brink of collapse and spent </w:t>
      </w:r>
      <w:r w:rsidR="002D7DA7" w:rsidRPr="00D53084">
        <w:rPr>
          <w:lang w:val="en-GB"/>
        </w:rPr>
        <w:t>10</w:t>
      </w:r>
      <w:r w:rsidRPr="00D53084">
        <w:rPr>
          <w:lang w:val="en-GB"/>
        </w:rPr>
        <w:t xml:space="preserve"> months turning it around. With </w:t>
      </w:r>
      <w:r w:rsidR="009545D5">
        <w:rPr>
          <w:lang w:val="en-GB"/>
        </w:rPr>
        <w:t>the number of employees</w:t>
      </w:r>
      <w:r w:rsidRPr="00D53084">
        <w:rPr>
          <w:lang w:val="en-GB"/>
        </w:rPr>
        <w:t xml:space="preserve"> rising from 2,000 to 6,000, the factory met Adidas’s requirements in terms of product quality, production safety, and social responsibility. Shenzhou International emerged as Adidas’ supplier. Two years later, Shenzhou International received the Best Supplier Award and Sustainability Award from Adidas </w:t>
      </w:r>
      <w:r w:rsidR="002C1B10" w:rsidRPr="00D53084">
        <w:rPr>
          <w:lang w:val="en-GB"/>
        </w:rPr>
        <w:t>at</w:t>
      </w:r>
      <w:r w:rsidRPr="00D53084">
        <w:rPr>
          <w:lang w:val="en-GB"/>
        </w:rPr>
        <w:t xml:space="preserve"> its headquarters in Nuremberg, Germany. </w:t>
      </w:r>
    </w:p>
    <w:p w14:paraId="5C6AA05D" w14:textId="77777777" w:rsidR="001F4C49" w:rsidRPr="00D53084" w:rsidRDefault="001F4C49" w:rsidP="001F4C49">
      <w:pPr>
        <w:pStyle w:val="BodyTextMain"/>
        <w:rPr>
          <w:lang w:val="en-GB"/>
        </w:rPr>
      </w:pPr>
    </w:p>
    <w:p w14:paraId="01970128" w14:textId="507D10FD" w:rsidR="001F4C49" w:rsidRPr="00D53084" w:rsidRDefault="001F4C49" w:rsidP="001F4C49">
      <w:pPr>
        <w:pStyle w:val="Footnote"/>
        <w:rPr>
          <w:lang w:val="en-GB"/>
        </w:rPr>
      </w:pPr>
      <w:r w:rsidRPr="00D53084">
        <w:rPr>
          <w:lang w:val="en-GB"/>
        </w:rPr>
        <w:t xml:space="preserve">Source: Summarized by </w:t>
      </w:r>
      <w:r w:rsidR="002D7DA7" w:rsidRPr="00D53084">
        <w:rPr>
          <w:lang w:val="en-GB"/>
        </w:rPr>
        <w:t xml:space="preserve">the </w:t>
      </w:r>
      <w:r w:rsidRPr="00D53084">
        <w:rPr>
          <w:lang w:val="en-GB"/>
        </w:rPr>
        <w:t xml:space="preserve">authors based on </w:t>
      </w:r>
      <w:r w:rsidR="002D7DA7" w:rsidRPr="00D53084">
        <w:rPr>
          <w:lang w:val="en-GB"/>
        </w:rPr>
        <w:t>a</w:t>
      </w:r>
      <w:r w:rsidRPr="00D53084">
        <w:rPr>
          <w:lang w:val="en-GB"/>
        </w:rPr>
        <w:t xml:space="preserve"> speech delivered by </w:t>
      </w:r>
      <w:proofErr w:type="spellStart"/>
      <w:r w:rsidRPr="00D53084">
        <w:rPr>
          <w:lang w:val="en-GB"/>
        </w:rPr>
        <w:t>Jianrong</w:t>
      </w:r>
      <w:proofErr w:type="spellEnd"/>
      <w:r w:rsidRPr="00D53084">
        <w:rPr>
          <w:lang w:val="en-GB"/>
        </w:rPr>
        <w:t xml:space="preserve"> Ma at </w:t>
      </w:r>
      <w:r w:rsidR="002D7DA7" w:rsidRPr="00D53084">
        <w:rPr>
          <w:lang w:val="en-GB"/>
        </w:rPr>
        <w:t xml:space="preserve">the </w:t>
      </w:r>
      <w:r w:rsidRPr="00D53084">
        <w:rPr>
          <w:lang w:val="en-GB"/>
        </w:rPr>
        <w:t>China Europe International Business School on August 19, 2016.</w:t>
      </w:r>
    </w:p>
    <w:p w14:paraId="19140831" w14:textId="77777777" w:rsidR="001F4C49" w:rsidRPr="00D53084" w:rsidRDefault="001F4C49" w:rsidP="001F4C49">
      <w:pPr>
        <w:pStyle w:val="Footnote"/>
        <w:rPr>
          <w:lang w:val="en-GB"/>
        </w:rPr>
      </w:pPr>
    </w:p>
    <w:p w14:paraId="308AFD2B" w14:textId="77777777" w:rsidR="001F4C49" w:rsidRPr="00D53084" w:rsidRDefault="001F4C49" w:rsidP="001F4C49">
      <w:pPr>
        <w:pStyle w:val="BodyTextMain"/>
        <w:rPr>
          <w:lang w:val="en-GB"/>
        </w:rPr>
      </w:pPr>
    </w:p>
    <w:p w14:paraId="5F1F36E5" w14:textId="77777777" w:rsidR="001F4C49" w:rsidRPr="00D53084" w:rsidRDefault="001F4C49" w:rsidP="001F4C49">
      <w:pPr>
        <w:pStyle w:val="BodyTextMain"/>
        <w:rPr>
          <w:lang w:val="en-GB"/>
        </w:rPr>
      </w:pPr>
    </w:p>
    <w:p w14:paraId="4B89D056" w14:textId="77777777" w:rsidR="001F4C49" w:rsidRPr="00D53084" w:rsidRDefault="001F4C49" w:rsidP="001F4C49">
      <w:pPr>
        <w:pStyle w:val="BodyTextMain"/>
        <w:rPr>
          <w:lang w:val="en-GB"/>
        </w:rPr>
      </w:pPr>
    </w:p>
    <w:p w14:paraId="44989439" w14:textId="77777777" w:rsidR="000B6B07" w:rsidRPr="00D53084" w:rsidRDefault="000B6B07">
      <w:pPr>
        <w:spacing w:after="200" w:line="276" w:lineRule="auto"/>
        <w:rPr>
          <w:rFonts w:ascii="Arial" w:hAnsi="Arial" w:cs="Arial"/>
          <w:b/>
          <w:caps/>
          <w:lang w:val="en-GB"/>
        </w:rPr>
      </w:pPr>
      <w:r w:rsidRPr="00D53084">
        <w:rPr>
          <w:lang w:val="en-GB"/>
        </w:rPr>
        <w:br w:type="page"/>
      </w:r>
    </w:p>
    <w:p w14:paraId="6860C2F0" w14:textId="6AA7DB65" w:rsidR="001F4C49" w:rsidRPr="00D53084" w:rsidRDefault="001F4C49" w:rsidP="001F4C49">
      <w:pPr>
        <w:pStyle w:val="ExhibitHeading"/>
        <w:rPr>
          <w:lang w:val="en-GB"/>
        </w:rPr>
      </w:pPr>
      <w:r w:rsidRPr="00D53084">
        <w:rPr>
          <w:lang w:val="en-GB"/>
        </w:rPr>
        <w:lastRenderedPageBreak/>
        <w:t>Exhibit 2: Shenzhou International</w:t>
      </w:r>
      <w:r w:rsidR="00FE512F" w:rsidRPr="00D53084">
        <w:rPr>
          <w:lang w:val="en-GB"/>
        </w:rPr>
        <w:t xml:space="preserve"> Historical Financial Data</w:t>
      </w:r>
      <w:r w:rsidRPr="00D53084">
        <w:rPr>
          <w:lang w:val="en-GB"/>
        </w:rPr>
        <w:t xml:space="preserve"> (</w:t>
      </w:r>
      <w:r w:rsidR="00FE512F" w:rsidRPr="00D53084">
        <w:rPr>
          <w:lang w:val="en-GB"/>
        </w:rPr>
        <w:t xml:space="preserve">in </w:t>
      </w:r>
      <w:r w:rsidRPr="00D53084">
        <w:rPr>
          <w:lang w:val="en-GB"/>
        </w:rPr>
        <w:t>¥ million</w:t>
      </w:r>
      <w:r w:rsidR="00FE512F" w:rsidRPr="00D53084">
        <w:rPr>
          <w:lang w:val="en-GB"/>
        </w:rPr>
        <w:t>s</w:t>
      </w:r>
      <w:r w:rsidRPr="00D53084">
        <w:rPr>
          <w:lang w:val="en-GB"/>
        </w:rPr>
        <w:t>)</w:t>
      </w:r>
    </w:p>
    <w:p w14:paraId="7F9B975F" w14:textId="77777777" w:rsidR="001F4C49" w:rsidRPr="00D53084" w:rsidRDefault="001F4C49" w:rsidP="001F4C49">
      <w:pPr>
        <w:pStyle w:val="BodyTextMain"/>
        <w:rPr>
          <w:rFonts w:eastAsiaTheme="minorEastAsia"/>
          <w:sz w:val="17"/>
          <w:szCs w:val="17"/>
          <w:lang w:val="en-GB"/>
        </w:rPr>
      </w:pPr>
    </w:p>
    <w:p w14:paraId="63234FAC" w14:textId="7BADCD3B" w:rsidR="001F4C49" w:rsidRPr="00D53084" w:rsidRDefault="001F4C49" w:rsidP="00003CC5">
      <w:pPr>
        <w:pStyle w:val="Casehead2"/>
        <w:jc w:val="center"/>
        <w:rPr>
          <w:rFonts w:eastAsiaTheme="minorEastAsia"/>
          <w:lang w:val="en-GB"/>
        </w:rPr>
      </w:pPr>
      <w:r w:rsidRPr="00D53084">
        <w:rPr>
          <w:rFonts w:eastAsiaTheme="minorEastAsia"/>
          <w:lang w:val="en-GB"/>
        </w:rPr>
        <w:t>Consolidated Income Statement</w:t>
      </w:r>
    </w:p>
    <w:p w14:paraId="292E98EF" w14:textId="77777777" w:rsidR="001F4C49" w:rsidRPr="00D53084" w:rsidRDefault="001F4C49" w:rsidP="001F4C49">
      <w:pPr>
        <w:pStyle w:val="BodyTextMain"/>
        <w:rPr>
          <w:rFonts w:eastAsiaTheme="minorEastAsia"/>
          <w:sz w:val="17"/>
          <w:szCs w:val="17"/>
          <w:lang w:val="en-GB"/>
        </w:rPr>
      </w:pPr>
    </w:p>
    <w:tbl>
      <w:tblPr>
        <w:tblStyle w:val="TableGrid"/>
        <w:tblW w:w="3934" w:type="pct"/>
        <w:jc w:val="center"/>
        <w:tblLook w:val="00A0" w:firstRow="1" w:lastRow="0" w:firstColumn="1" w:lastColumn="0" w:noHBand="0" w:noVBand="0"/>
      </w:tblPr>
      <w:tblGrid>
        <w:gridCol w:w="2662"/>
        <w:gridCol w:w="809"/>
        <w:gridCol w:w="845"/>
        <w:gridCol w:w="809"/>
        <w:gridCol w:w="809"/>
        <w:gridCol w:w="703"/>
        <w:gridCol w:w="720"/>
      </w:tblGrid>
      <w:tr w:rsidR="001F4C49" w:rsidRPr="00D53084" w14:paraId="6379834A" w14:textId="77777777" w:rsidTr="003E5016">
        <w:trPr>
          <w:jc w:val="center"/>
        </w:trPr>
        <w:tc>
          <w:tcPr>
            <w:tcW w:w="1809" w:type="pct"/>
          </w:tcPr>
          <w:p w14:paraId="5CB45532" w14:textId="77777777" w:rsidR="001F4C49" w:rsidRPr="00D53084" w:rsidRDefault="001F4C49" w:rsidP="001F4C49">
            <w:pPr>
              <w:pStyle w:val="ExhibitText"/>
              <w:rPr>
                <w:rFonts w:eastAsiaTheme="minorEastAsia"/>
                <w:sz w:val="18"/>
                <w:szCs w:val="18"/>
                <w:lang w:val="en-GB"/>
              </w:rPr>
            </w:pPr>
          </w:p>
        </w:tc>
        <w:tc>
          <w:tcPr>
            <w:tcW w:w="550" w:type="pct"/>
          </w:tcPr>
          <w:p w14:paraId="0D354598"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2016</w:t>
            </w:r>
          </w:p>
        </w:tc>
        <w:tc>
          <w:tcPr>
            <w:tcW w:w="574" w:type="pct"/>
          </w:tcPr>
          <w:p w14:paraId="4FBB974F"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2015</w:t>
            </w:r>
          </w:p>
        </w:tc>
        <w:tc>
          <w:tcPr>
            <w:tcW w:w="550" w:type="pct"/>
          </w:tcPr>
          <w:p w14:paraId="6AA8894A"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2014</w:t>
            </w:r>
          </w:p>
        </w:tc>
        <w:tc>
          <w:tcPr>
            <w:tcW w:w="550" w:type="pct"/>
          </w:tcPr>
          <w:p w14:paraId="5EA7C2AF"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2013</w:t>
            </w:r>
          </w:p>
        </w:tc>
        <w:tc>
          <w:tcPr>
            <w:tcW w:w="478" w:type="pct"/>
          </w:tcPr>
          <w:p w14:paraId="64E49581"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2006</w:t>
            </w:r>
          </w:p>
        </w:tc>
        <w:tc>
          <w:tcPr>
            <w:tcW w:w="489" w:type="pct"/>
          </w:tcPr>
          <w:p w14:paraId="30485F37" w14:textId="77777777" w:rsidR="001F4C49" w:rsidRPr="00D53084" w:rsidRDefault="001F4C49" w:rsidP="001F4C49">
            <w:pPr>
              <w:pStyle w:val="ExhibitText"/>
              <w:jc w:val="center"/>
              <w:rPr>
                <w:rFonts w:eastAsiaTheme="minorEastAsia"/>
                <w:b/>
                <w:sz w:val="18"/>
                <w:szCs w:val="18"/>
                <w:lang w:val="en-GB"/>
              </w:rPr>
            </w:pPr>
            <w:r w:rsidRPr="00D53084">
              <w:rPr>
                <w:rFonts w:eastAsiaTheme="minorEastAsia"/>
                <w:b/>
                <w:sz w:val="18"/>
                <w:szCs w:val="18"/>
                <w:lang w:val="en-GB"/>
              </w:rPr>
              <w:t>2005</w:t>
            </w:r>
          </w:p>
        </w:tc>
      </w:tr>
      <w:tr w:rsidR="001F4C49" w:rsidRPr="00D53084" w14:paraId="77368CF9" w14:textId="77777777" w:rsidTr="003E5016">
        <w:trPr>
          <w:jc w:val="center"/>
        </w:trPr>
        <w:tc>
          <w:tcPr>
            <w:tcW w:w="1809" w:type="pct"/>
          </w:tcPr>
          <w:p w14:paraId="47AEA492"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Sales revenue</w:t>
            </w:r>
          </w:p>
        </w:tc>
        <w:tc>
          <w:tcPr>
            <w:tcW w:w="550" w:type="pct"/>
          </w:tcPr>
          <w:p w14:paraId="11EC4417"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15,099</w:t>
            </w:r>
          </w:p>
        </w:tc>
        <w:tc>
          <w:tcPr>
            <w:tcW w:w="574" w:type="pct"/>
          </w:tcPr>
          <w:p w14:paraId="2FFCF209"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12,639</w:t>
            </w:r>
          </w:p>
        </w:tc>
        <w:tc>
          <w:tcPr>
            <w:tcW w:w="550" w:type="pct"/>
          </w:tcPr>
          <w:p w14:paraId="15DE0848"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11,132</w:t>
            </w:r>
          </w:p>
        </w:tc>
        <w:tc>
          <w:tcPr>
            <w:tcW w:w="550" w:type="pct"/>
          </w:tcPr>
          <w:p w14:paraId="01F070CD"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10,047</w:t>
            </w:r>
          </w:p>
        </w:tc>
        <w:tc>
          <w:tcPr>
            <w:tcW w:w="478" w:type="pct"/>
          </w:tcPr>
          <w:p w14:paraId="00241642"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2,980</w:t>
            </w:r>
          </w:p>
        </w:tc>
        <w:tc>
          <w:tcPr>
            <w:tcW w:w="489" w:type="pct"/>
          </w:tcPr>
          <w:p w14:paraId="037694C9"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2,483</w:t>
            </w:r>
          </w:p>
        </w:tc>
      </w:tr>
      <w:tr w:rsidR="001F4C49" w:rsidRPr="00D53084" w14:paraId="2E3428FC" w14:textId="77777777" w:rsidTr="003E5016">
        <w:trPr>
          <w:jc w:val="center"/>
        </w:trPr>
        <w:tc>
          <w:tcPr>
            <w:tcW w:w="1809" w:type="pct"/>
          </w:tcPr>
          <w:p w14:paraId="02CB11A0"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Cost of sales</w:t>
            </w:r>
          </w:p>
        </w:tc>
        <w:tc>
          <w:tcPr>
            <w:tcW w:w="550" w:type="pct"/>
          </w:tcPr>
          <w:p w14:paraId="436FCBC4"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10,190</w:t>
            </w:r>
          </w:p>
        </w:tc>
        <w:tc>
          <w:tcPr>
            <w:tcW w:w="574" w:type="pct"/>
          </w:tcPr>
          <w:p w14:paraId="32E8F13A"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8,790</w:t>
            </w:r>
          </w:p>
        </w:tc>
        <w:tc>
          <w:tcPr>
            <w:tcW w:w="550" w:type="pct"/>
          </w:tcPr>
          <w:p w14:paraId="2D7B127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7,905</w:t>
            </w:r>
          </w:p>
        </w:tc>
        <w:tc>
          <w:tcPr>
            <w:tcW w:w="550" w:type="pct"/>
          </w:tcPr>
          <w:p w14:paraId="657F40C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7,209</w:t>
            </w:r>
          </w:p>
        </w:tc>
        <w:tc>
          <w:tcPr>
            <w:tcW w:w="478" w:type="pct"/>
          </w:tcPr>
          <w:p w14:paraId="5DE425CC"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2,340</w:t>
            </w:r>
          </w:p>
        </w:tc>
        <w:tc>
          <w:tcPr>
            <w:tcW w:w="489" w:type="pct"/>
          </w:tcPr>
          <w:p w14:paraId="148ADC5A"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1,909</w:t>
            </w:r>
          </w:p>
        </w:tc>
      </w:tr>
      <w:tr w:rsidR="001F4C49" w:rsidRPr="00D53084" w14:paraId="4ECE25F8" w14:textId="77777777" w:rsidTr="003E5016">
        <w:trPr>
          <w:jc w:val="center"/>
        </w:trPr>
        <w:tc>
          <w:tcPr>
            <w:tcW w:w="1809" w:type="pct"/>
          </w:tcPr>
          <w:p w14:paraId="22151F8B"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Gross profit</w:t>
            </w:r>
          </w:p>
        </w:tc>
        <w:tc>
          <w:tcPr>
            <w:tcW w:w="550" w:type="pct"/>
          </w:tcPr>
          <w:p w14:paraId="1F67E2BA"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4,909</w:t>
            </w:r>
          </w:p>
        </w:tc>
        <w:tc>
          <w:tcPr>
            <w:tcW w:w="574" w:type="pct"/>
          </w:tcPr>
          <w:p w14:paraId="6F71BB2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3,849</w:t>
            </w:r>
          </w:p>
        </w:tc>
        <w:tc>
          <w:tcPr>
            <w:tcW w:w="550" w:type="pct"/>
          </w:tcPr>
          <w:p w14:paraId="7924DEB7"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3,227</w:t>
            </w:r>
          </w:p>
        </w:tc>
        <w:tc>
          <w:tcPr>
            <w:tcW w:w="550" w:type="pct"/>
          </w:tcPr>
          <w:p w14:paraId="16810AE5"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2,839</w:t>
            </w:r>
          </w:p>
        </w:tc>
        <w:tc>
          <w:tcPr>
            <w:tcW w:w="478" w:type="pct"/>
          </w:tcPr>
          <w:p w14:paraId="6F8BA2C5"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639</w:t>
            </w:r>
          </w:p>
        </w:tc>
        <w:tc>
          <w:tcPr>
            <w:tcW w:w="489" w:type="pct"/>
          </w:tcPr>
          <w:p w14:paraId="5AF04684"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574</w:t>
            </w:r>
          </w:p>
        </w:tc>
      </w:tr>
      <w:tr w:rsidR="001F4C49" w:rsidRPr="00D53084" w14:paraId="757F8307" w14:textId="77777777" w:rsidTr="003E5016">
        <w:trPr>
          <w:jc w:val="center"/>
        </w:trPr>
        <w:tc>
          <w:tcPr>
            <w:tcW w:w="1809" w:type="pct"/>
          </w:tcPr>
          <w:p w14:paraId="55938A23"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Interest expense</w:t>
            </w:r>
          </w:p>
        </w:tc>
        <w:tc>
          <w:tcPr>
            <w:tcW w:w="550" w:type="pct"/>
          </w:tcPr>
          <w:p w14:paraId="182741E6"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-120</w:t>
            </w:r>
          </w:p>
        </w:tc>
        <w:tc>
          <w:tcPr>
            <w:tcW w:w="574" w:type="pct"/>
          </w:tcPr>
          <w:p w14:paraId="3517DE96"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-99</w:t>
            </w:r>
          </w:p>
        </w:tc>
        <w:tc>
          <w:tcPr>
            <w:tcW w:w="550" w:type="pct"/>
          </w:tcPr>
          <w:p w14:paraId="6FC2E5A6"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-46</w:t>
            </w:r>
          </w:p>
        </w:tc>
        <w:tc>
          <w:tcPr>
            <w:tcW w:w="550" w:type="pct"/>
          </w:tcPr>
          <w:p w14:paraId="22F1043F"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-10</w:t>
            </w:r>
          </w:p>
        </w:tc>
        <w:tc>
          <w:tcPr>
            <w:tcW w:w="478" w:type="pct"/>
          </w:tcPr>
          <w:p w14:paraId="133CB0F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12</w:t>
            </w:r>
          </w:p>
        </w:tc>
        <w:tc>
          <w:tcPr>
            <w:tcW w:w="489" w:type="pct"/>
          </w:tcPr>
          <w:p w14:paraId="1A5CCF0A"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51</w:t>
            </w:r>
          </w:p>
        </w:tc>
      </w:tr>
      <w:tr w:rsidR="001F4C49" w:rsidRPr="00D53084" w14:paraId="712019FE" w14:textId="77777777" w:rsidTr="003E5016">
        <w:trPr>
          <w:jc w:val="center"/>
        </w:trPr>
        <w:tc>
          <w:tcPr>
            <w:tcW w:w="1809" w:type="pct"/>
          </w:tcPr>
          <w:p w14:paraId="37D29FED"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Income tax expense</w:t>
            </w:r>
          </w:p>
        </w:tc>
        <w:tc>
          <w:tcPr>
            <w:tcW w:w="550" w:type="pct"/>
          </w:tcPr>
          <w:p w14:paraId="264E0EA8"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695</w:t>
            </w:r>
          </w:p>
        </w:tc>
        <w:tc>
          <w:tcPr>
            <w:tcW w:w="574" w:type="pct"/>
          </w:tcPr>
          <w:p w14:paraId="1B95086B"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532</w:t>
            </w:r>
          </w:p>
        </w:tc>
        <w:tc>
          <w:tcPr>
            <w:tcW w:w="550" w:type="pct"/>
          </w:tcPr>
          <w:p w14:paraId="3F70ABFD"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477</w:t>
            </w:r>
          </w:p>
        </w:tc>
        <w:tc>
          <w:tcPr>
            <w:tcW w:w="550" w:type="pct"/>
          </w:tcPr>
          <w:p w14:paraId="6082EED0"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477</w:t>
            </w:r>
          </w:p>
        </w:tc>
        <w:tc>
          <w:tcPr>
            <w:tcW w:w="478" w:type="pct"/>
          </w:tcPr>
          <w:p w14:paraId="1A107C9A"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19</w:t>
            </w:r>
          </w:p>
        </w:tc>
        <w:tc>
          <w:tcPr>
            <w:tcW w:w="489" w:type="pct"/>
          </w:tcPr>
          <w:p w14:paraId="0588EE06"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w:t>
            </w:r>
          </w:p>
        </w:tc>
      </w:tr>
      <w:tr w:rsidR="001F4C49" w:rsidRPr="00D53084" w14:paraId="4292E9FA" w14:textId="77777777" w:rsidTr="003E5016">
        <w:trPr>
          <w:jc w:val="center"/>
        </w:trPr>
        <w:tc>
          <w:tcPr>
            <w:tcW w:w="1809" w:type="pct"/>
          </w:tcPr>
          <w:p w14:paraId="77921FDA" w14:textId="77777777" w:rsidR="001F4C49" w:rsidRPr="00D53084" w:rsidRDefault="001F4C49" w:rsidP="001F4C49">
            <w:pPr>
              <w:pStyle w:val="ExhibitText"/>
              <w:rPr>
                <w:rFonts w:eastAsiaTheme="minorEastAsia"/>
                <w:sz w:val="18"/>
                <w:szCs w:val="18"/>
                <w:lang w:val="en-GB"/>
              </w:rPr>
            </w:pPr>
            <w:r w:rsidRPr="00D53084">
              <w:rPr>
                <w:rFonts w:eastAsiaTheme="minorEastAsia"/>
                <w:sz w:val="18"/>
                <w:szCs w:val="18"/>
                <w:lang w:val="en-GB"/>
              </w:rPr>
              <w:t>Net profit</w:t>
            </w:r>
          </w:p>
        </w:tc>
        <w:tc>
          <w:tcPr>
            <w:tcW w:w="550" w:type="pct"/>
          </w:tcPr>
          <w:p w14:paraId="3BDCF4B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2,948</w:t>
            </w:r>
          </w:p>
        </w:tc>
        <w:tc>
          <w:tcPr>
            <w:tcW w:w="574" w:type="pct"/>
          </w:tcPr>
          <w:p w14:paraId="26A405F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2,355</w:t>
            </w:r>
          </w:p>
        </w:tc>
        <w:tc>
          <w:tcPr>
            <w:tcW w:w="550" w:type="pct"/>
          </w:tcPr>
          <w:p w14:paraId="7D84A7A5"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2,066</w:t>
            </w:r>
          </w:p>
        </w:tc>
        <w:tc>
          <w:tcPr>
            <w:tcW w:w="550" w:type="pct"/>
          </w:tcPr>
          <w:p w14:paraId="65204E83"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1,803</w:t>
            </w:r>
          </w:p>
        </w:tc>
        <w:tc>
          <w:tcPr>
            <w:tcW w:w="478" w:type="pct"/>
          </w:tcPr>
          <w:p w14:paraId="2370F53F"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390</w:t>
            </w:r>
          </w:p>
        </w:tc>
        <w:tc>
          <w:tcPr>
            <w:tcW w:w="489" w:type="pct"/>
          </w:tcPr>
          <w:p w14:paraId="3F7D3CD1" w14:textId="77777777" w:rsidR="001F4C49" w:rsidRPr="00D53084" w:rsidRDefault="001F4C49" w:rsidP="001F4C49">
            <w:pPr>
              <w:pStyle w:val="ExhibitText"/>
              <w:jc w:val="right"/>
              <w:rPr>
                <w:rFonts w:eastAsiaTheme="minorEastAsia"/>
                <w:sz w:val="18"/>
                <w:szCs w:val="18"/>
                <w:lang w:val="en-GB"/>
              </w:rPr>
            </w:pPr>
            <w:r w:rsidRPr="00D53084">
              <w:rPr>
                <w:rFonts w:eastAsiaTheme="minorEastAsia"/>
                <w:sz w:val="18"/>
                <w:szCs w:val="18"/>
                <w:lang w:val="en-GB"/>
              </w:rPr>
              <w:t>353</w:t>
            </w:r>
          </w:p>
        </w:tc>
      </w:tr>
    </w:tbl>
    <w:p w14:paraId="3483DEEE" w14:textId="77777777" w:rsidR="001F4C49" w:rsidRPr="00D53084" w:rsidRDefault="001F4C49" w:rsidP="001F4C49">
      <w:pPr>
        <w:pStyle w:val="BodyTextMain"/>
        <w:rPr>
          <w:sz w:val="17"/>
          <w:szCs w:val="17"/>
          <w:lang w:val="en-GB"/>
        </w:rPr>
      </w:pPr>
    </w:p>
    <w:p w14:paraId="7C4F8D1E" w14:textId="5BA30B58" w:rsidR="001F4C49" w:rsidRPr="00D53084" w:rsidRDefault="001F4C49" w:rsidP="00003CC5">
      <w:pPr>
        <w:pStyle w:val="Casehead2"/>
        <w:jc w:val="center"/>
        <w:rPr>
          <w:rFonts w:eastAsiaTheme="minorEastAsia"/>
          <w:lang w:val="en-GB"/>
        </w:rPr>
      </w:pPr>
      <w:r w:rsidRPr="00D53084">
        <w:rPr>
          <w:rFonts w:eastAsiaTheme="minorEastAsia"/>
          <w:lang w:val="en-GB"/>
        </w:rPr>
        <w:t>Consolidated Balance Sheet</w:t>
      </w:r>
    </w:p>
    <w:p w14:paraId="6718E525" w14:textId="77777777" w:rsidR="001F4C49" w:rsidRPr="00D53084" w:rsidRDefault="001F4C49" w:rsidP="001F4C49">
      <w:pPr>
        <w:pStyle w:val="BodyTextMain"/>
        <w:rPr>
          <w:rFonts w:eastAsiaTheme="minorEastAsia"/>
          <w:sz w:val="17"/>
          <w:szCs w:val="17"/>
          <w:lang w:val="en-GB"/>
        </w:rPr>
      </w:pPr>
    </w:p>
    <w:tbl>
      <w:tblPr>
        <w:tblStyle w:val="TableGrid"/>
        <w:tblW w:w="3910" w:type="pct"/>
        <w:jc w:val="center"/>
        <w:tblLook w:val="00A0" w:firstRow="1" w:lastRow="0" w:firstColumn="1" w:lastColumn="0" w:noHBand="0" w:noVBand="0"/>
      </w:tblPr>
      <w:tblGrid>
        <w:gridCol w:w="2617"/>
        <w:gridCol w:w="809"/>
        <w:gridCol w:w="845"/>
        <w:gridCol w:w="809"/>
        <w:gridCol w:w="809"/>
        <w:gridCol w:w="703"/>
        <w:gridCol w:w="720"/>
      </w:tblGrid>
      <w:tr w:rsidR="001F4C49" w:rsidRPr="00D53084" w14:paraId="71BC3C74" w14:textId="77777777" w:rsidTr="001F4C49">
        <w:trPr>
          <w:jc w:val="center"/>
        </w:trPr>
        <w:tc>
          <w:tcPr>
            <w:tcW w:w="1790" w:type="pct"/>
          </w:tcPr>
          <w:p w14:paraId="12E5A5D2" w14:textId="77777777" w:rsidR="001F4C49" w:rsidRPr="00D53084" w:rsidRDefault="001F4C49" w:rsidP="001F4C49">
            <w:pPr>
              <w:pStyle w:val="ExhibitText"/>
              <w:rPr>
                <w:sz w:val="18"/>
                <w:szCs w:val="18"/>
                <w:lang w:val="en-GB"/>
              </w:rPr>
            </w:pPr>
          </w:p>
        </w:tc>
        <w:tc>
          <w:tcPr>
            <w:tcW w:w="553" w:type="pct"/>
          </w:tcPr>
          <w:p w14:paraId="0F172EC0" w14:textId="77777777" w:rsidR="001F4C49" w:rsidRPr="00D53084" w:rsidRDefault="001F4C49" w:rsidP="001F4C49">
            <w:pPr>
              <w:pStyle w:val="ExhibitText"/>
              <w:jc w:val="center"/>
              <w:rPr>
                <w:b/>
                <w:sz w:val="18"/>
                <w:szCs w:val="18"/>
                <w:lang w:val="en-GB"/>
              </w:rPr>
            </w:pPr>
            <w:r w:rsidRPr="00D53084">
              <w:rPr>
                <w:b/>
                <w:sz w:val="18"/>
                <w:szCs w:val="18"/>
                <w:lang w:val="en-GB"/>
              </w:rPr>
              <w:t>2016</w:t>
            </w:r>
          </w:p>
        </w:tc>
        <w:tc>
          <w:tcPr>
            <w:tcW w:w="578" w:type="pct"/>
          </w:tcPr>
          <w:p w14:paraId="07693DD7" w14:textId="77777777" w:rsidR="001F4C49" w:rsidRPr="00D53084" w:rsidRDefault="001F4C49" w:rsidP="001F4C49">
            <w:pPr>
              <w:pStyle w:val="ExhibitText"/>
              <w:jc w:val="center"/>
              <w:rPr>
                <w:b/>
                <w:sz w:val="18"/>
                <w:szCs w:val="18"/>
                <w:lang w:val="en-GB"/>
              </w:rPr>
            </w:pPr>
            <w:r w:rsidRPr="00D53084">
              <w:rPr>
                <w:b/>
                <w:sz w:val="18"/>
                <w:szCs w:val="18"/>
                <w:lang w:val="en-GB"/>
              </w:rPr>
              <w:t>2015</w:t>
            </w:r>
          </w:p>
        </w:tc>
        <w:tc>
          <w:tcPr>
            <w:tcW w:w="553" w:type="pct"/>
          </w:tcPr>
          <w:p w14:paraId="6B761C85" w14:textId="77777777" w:rsidR="001F4C49" w:rsidRPr="00D53084" w:rsidRDefault="001F4C49" w:rsidP="001F4C49">
            <w:pPr>
              <w:pStyle w:val="ExhibitText"/>
              <w:jc w:val="center"/>
              <w:rPr>
                <w:b/>
                <w:sz w:val="18"/>
                <w:szCs w:val="18"/>
                <w:lang w:val="en-GB"/>
              </w:rPr>
            </w:pPr>
            <w:r w:rsidRPr="00D53084">
              <w:rPr>
                <w:b/>
                <w:sz w:val="18"/>
                <w:szCs w:val="18"/>
                <w:lang w:val="en-GB"/>
              </w:rPr>
              <w:t>2014</w:t>
            </w:r>
          </w:p>
        </w:tc>
        <w:tc>
          <w:tcPr>
            <w:tcW w:w="553" w:type="pct"/>
          </w:tcPr>
          <w:p w14:paraId="2D311C18" w14:textId="77777777" w:rsidR="001F4C49" w:rsidRPr="00D53084" w:rsidRDefault="001F4C49" w:rsidP="001F4C49">
            <w:pPr>
              <w:pStyle w:val="ExhibitText"/>
              <w:jc w:val="center"/>
              <w:rPr>
                <w:b/>
                <w:sz w:val="18"/>
                <w:szCs w:val="18"/>
                <w:lang w:val="en-GB"/>
              </w:rPr>
            </w:pPr>
            <w:r w:rsidRPr="00D53084">
              <w:rPr>
                <w:b/>
                <w:sz w:val="18"/>
                <w:szCs w:val="18"/>
                <w:lang w:val="en-GB"/>
              </w:rPr>
              <w:t>2013</w:t>
            </w:r>
          </w:p>
        </w:tc>
        <w:tc>
          <w:tcPr>
            <w:tcW w:w="481" w:type="pct"/>
          </w:tcPr>
          <w:p w14:paraId="500F8F46" w14:textId="77777777" w:rsidR="001F4C49" w:rsidRPr="00D53084" w:rsidRDefault="001F4C49" w:rsidP="001F4C49">
            <w:pPr>
              <w:pStyle w:val="ExhibitText"/>
              <w:jc w:val="center"/>
              <w:rPr>
                <w:b/>
                <w:sz w:val="18"/>
                <w:szCs w:val="18"/>
                <w:lang w:val="en-GB"/>
              </w:rPr>
            </w:pPr>
            <w:r w:rsidRPr="00D53084">
              <w:rPr>
                <w:b/>
                <w:sz w:val="18"/>
                <w:szCs w:val="18"/>
                <w:lang w:val="en-GB"/>
              </w:rPr>
              <w:t>2006</w:t>
            </w:r>
          </w:p>
        </w:tc>
        <w:tc>
          <w:tcPr>
            <w:tcW w:w="492" w:type="pct"/>
          </w:tcPr>
          <w:p w14:paraId="7FF84000" w14:textId="77777777" w:rsidR="001F4C49" w:rsidRPr="00D53084" w:rsidRDefault="001F4C49" w:rsidP="001F4C49">
            <w:pPr>
              <w:pStyle w:val="ExhibitText"/>
              <w:jc w:val="center"/>
              <w:rPr>
                <w:b/>
                <w:sz w:val="18"/>
                <w:szCs w:val="18"/>
                <w:lang w:val="en-GB"/>
              </w:rPr>
            </w:pPr>
            <w:r w:rsidRPr="00D53084">
              <w:rPr>
                <w:b/>
                <w:sz w:val="18"/>
                <w:szCs w:val="18"/>
                <w:lang w:val="en-GB"/>
              </w:rPr>
              <w:t>2005</w:t>
            </w:r>
          </w:p>
        </w:tc>
      </w:tr>
      <w:tr w:rsidR="001F4C49" w:rsidRPr="00D53084" w14:paraId="6DAE9050" w14:textId="77777777" w:rsidTr="001F4C49">
        <w:trPr>
          <w:jc w:val="center"/>
        </w:trPr>
        <w:tc>
          <w:tcPr>
            <w:tcW w:w="1790" w:type="pct"/>
          </w:tcPr>
          <w:p w14:paraId="5D68231A" w14:textId="77777777" w:rsidR="001F4C49" w:rsidRPr="00D53084" w:rsidRDefault="001F4C49" w:rsidP="001F4C49">
            <w:pPr>
              <w:pStyle w:val="ExhibitText"/>
              <w:rPr>
                <w:sz w:val="18"/>
                <w:szCs w:val="18"/>
                <w:lang w:val="en-GB"/>
              </w:rPr>
            </w:pPr>
            <w:r w:rsidRPr="00D53084">
              <w:rPr>
                <w:sz w:val="18"/>
                <w:szCs w:val="18"/>
                <w:lang w:val="en-GB"/>
              </w:rPr>
              <w:t>Assets</w:t>
            </w:r>
          </w:p>
        </w:tc>
        <w:tc>
          <w:tcPr>
            <w:tcW w:w="553" w:type="pct"/>
          </w:tcPr>
          <w:p w14:paraId="7F178B1C" w14:textId="77777777" w:rsidR="001F4C49" w:rsidRPr="00D53084" w:rsidRDefault="001F4C49" w:rsidP="001F4C49">
            <w:pPr>
              <w:pStyle w:val="ExhibitText"/>
              <w:jc w:val="right"/>
              <w:rPr>
                <w:sz w:val="18"/>
                <w:szCs w:val="18"/>
                <w:lang w:val="en-GB"/>
              </w:rPr>
            </w:pPr>
            <w:r w:rsidRPr="00D53084">
              <w:rPr>
                <w:sz w:val="18"/>
                <w:szCs w:val="18"/>
                <w:lang w:val="en-GB"/>
              </w:rPr>
              <w:t>21,816</w:t>
            </w:r>
          </w:p>
        </w:tc>
        <w:tc>
          <w:tcPr>
            <w:tcW w:w="578" w:type="pct"/>
          </w:tcPr>
          <w:p w14:paraId="4540BC3D" w14:textId="77777777" w:rsidR="001F4C49" w:rsidRPr="00D53084" w:rsidRDefault="001F4C49" w:rsidP="001F4C49">
            <w:pPr>
              <w:pStyle w:val="ExhibitText"/>
              <w:jc w:val="right"/>
              <w:rPr>
                <w:sz w:val="18"/>
                <w:szCs w:val="18"/>
                <w:lang w:val="en-GB"/>
              </w:rPr>
            </w:pPr>
            <w:r w:rsidRPr="00D53084">
              <w:rPr>
                <w:sz w:val="18"/>
                <w:szCs w:val="18"/>
                <w:lang w:val="en-GB"/>
              </w:rPr>
              <w:t>18,362</w:t>
            </w:r>
          </w:p>
        </w:tc>
        <w:tc>
          <w:tcPr>
            <w:tcW w:w="553" w:type="pct"/>
          </w:tcPr>
          <w:p w14:paraId="5F824ECB" w14:textId="77777777" w:rsidR="001F4C49" w:rsidRPr="00D53084" w:rsidRDefault="001F4C49" w:rsidP="001F4C49">
            <w:pPr>
              <w:pStyle w:val="ExhibitText"/>
              <w:jc w:val="right"/>
              <w:rPr>
                <w:sz w:val="18"/>
                <w:szCs w:val="18"/>
                <w:lang w:val="en-GB"/>
              </w:rPr>
            </w:pPr>
            <w:r w:rsidRPr="00D53084">
              <w:rPr>
                <w:sz w:val="18"/>
                <w:szCs w:val="18"/>
                <w:lang w:val="en-GB"/>
              </w:rPr>
              <w:t>15,943</w:t>
            </w:r>
          </w:p>
        </w:tc>
        <w:tc>
          <w:tcPr>
            <w:tcW w:w="553" w:type="pct"/>
          </w:tcPr>
          <w:p w14:paraId="2515AB66" w14:textId="77777777" w:rsidR="001F4C49" w:rsidRPr="00D53084" w:rsidRDefault="001F4C49" w:rsidP="001F4C49">
            <w:pPr>
              <w:pStyle w:val="ExhibitText"/>
              <w:jc w:val="right"/>
              <w:rPr>
                <w:sz w:val="18"/>
                <w:szCs w:val="18"/>
                <w:lang w:val="en-GB"/>
              </w:rPr>
            </w:pPr>
            <w:r w:rsidRPr="00D53084">
              <w:rPr>
                <w:sz w:val="18"/>
                <w:szCs w:val="18"/>
                <w:lang w:val="en-GB"/>
              </w:rPr>
              <w:t>11,317</w:t>
            </w:r>
          </w:p>
        </w:tc>
        <w:tc>
          <w:tcPr>
            <w:tcW w:w="481" w:type="pct"/>
          </w:tcPr>
          <w:p w14:paraId="4B5D1FE0" w14:textId="77777777" w:rsidR="001F4C49" w:rsidRPr="00D53084" w:rsidRDefault="001F4C49" w:rsidP="001F4C49">
            <w:pPr>
              <w:pStyle w:val="ExhibitText"/>
              <w:jc w:val="right"/>
              <w:rPr>
                <w:sz w:val="18"/>
                <w:szCs w:val="18"/>
                <w:lang w:val="en-GB"/>
              </w:rPr>
            </w:pPr>
            <w:r w:rsidRPr="00D53084">
              <w:rPr>
                <w:sz w:val="18"/>
                <w:szCs w:val="18"/>
                <w:lang w:val="en-GB"/>
              </w:rPr>
              <w:t>2,794</w:t>
            </w:r>
          </w:p>
        </w:tc>
        <w:tc>
          <w:tcPr>
            <w:tcW w:w="492" w:type="pct"/>
          </w:tcPr>
          <w:p w14:paraId="4E9CBA94" w14:textId="77777777" w:rsidR="001F4C49" w:rsidRPr="00D53084" w:rsidRDefault="001F4C49" w:rsidP="001F4C49">
            <w:pPr>
              <w:pStyle w:val="ExhibitText"/>
              <w:jc w:val="right"/>
              <w:rPr>
                <w:sz w:val="18"/>
                <w:szCs w:val="18"/>
                <w:lang w:val="en-GB"/>
              </w:rPr>
            </w:pPr>
            <w:r w:rsidRPr="00D53084">
              <w:rPr>
                <w:sz w:val="18"/>
                <w:szCs w:val="18"/>
                <w:lang w:val="en-GB"/>
              </w:rPr>
              <w:t>2,541</w:t>
            </w:r>
          </w:p>
        </w:tc>
      </w:tr>
      <w:tr w:rsidR="001F4C49" w:rsidRPr="00D53084" w14:paraId="0F815870" w14:textId="77777777" w:rsidTr="001F4C49">
        <w:trPr>
          <w:jc w:val="center"/>
        </w:trPr>
        <w:tc>
          <w:tcPr>
            <w:tcW w:w="1790" w:type="pct"/>
          </w:tcPr>
          <w:p w14:paraId="5CE33104" w14:textId="77777777" w:rsidR="001F4C49" w:rsidRPr="00D53084" w:rsidRDefault="001F4C49" w:rsidP="001F4C49">
            <w:pPr>
              <w:pStyle w:val="ExhibitText"/>
              <w:rPr>
                <w:sz w:val="18"/>
                <w:szCs w:val="18"/>
                <w:lang w:val="en-GB"/>
              </w:rPr>
            </w:pPr>
            <w:r w:rsidRPr="00D53084">
              <w:rPr>
                <w:sz w:val="18"/>
                <w:szCs w:val="18"/>
                <w:lang w:val="en-GB"/>
              </w:rPr>
              <w:t>Including: current assets</w:t>
            </w:r>
          </w:p>
        </w:tc>
        <w:tc>
          <w:tcPr>
            <w:tcW w:w="553" w:type="pct"/>
          </w:tcPr>
          <w:p w14:paraId="12DC4C49" w14:textId="77777777" w:rsidR="001F4C49" w:rsidRPr="00D53084" w:rsidRDefault="001F4C49" w:rsidP="001F4C49">
            <w:pPr>
              <w:pStyle w:val="ExhibitText"/>
              <w:jc w:val="right"/>
              <w:rPr>
                <w:sz w:val="18"/>
                <w:szCs w:val="18"/>
                <w:lang w:val="en-GB"/>
              </w:rPr>
            </w:pPr>
            <w:r w:rsidRPr="00D53084">
              <w:rPr>
                <w:sz w:val="18"/>
                <w:szCs w:val="18"/>
                <w:lang w:val="en-GB"/>
              </w:rPr>
              <w:t>12,835</w:t>
            </w:r>
          </w:p>
        </w:tc>
        <w:tc>
          <w:tcPr>
            <w:tcW w:w="578" w:type="pct"/>
          </w:tcPr>
          <w:p w14:paraId="28673A3A" w14:textId="77777777" w:rsidR="001F4C49" w:rsidRPr="00D53084" w:rsidRDefault="001F4C49" w:rsidP="001F4C49">
            <w:pPr>
              <w:pStyle w:val="ExhibitText"/>
              <w:jc w:val="right"/>
              <w:rPr>
                <w:sz w:val="18"/>
                <w:szCs w:val="18"/>
                <w:lang w:val="en-GB"/>
              </w:rPr>
            </w:pPr>
            <w:r w:rsidRPr="00D53084">
              <w:rPr>
                <w:sz w:val="18"/>
                <w:szCs w:val="18"/>
                <w:lang w:val="en-GB"/>
              </w:rPr>
              <w:t>10,912</w:t>
            </w:r>
          </w:p>
        </w:tc>
        <w:tc>
          <w:tcPr>
            <w:tcW w:w="553" w:type="pct"/>
          </w:tcPr>
          <w:p w14:paraId="1B319545" w14:textId="77777777" w:rsidR="001F4C49" w:rsidRPr="00D53084" w:rsidRDefault="001F4C49" w:rsidP="001F4C49">
            <w:pPr>
              <w:pStyle w:val="ExhibitText"/>
              <w:jc w:val="right"/>
              <w:rPr>
                <w:sz w:val="18"/>
                <w:szCs w:val="18"/>
                <w:lang w:val="en-GB"/>
              </w:rPr>
            </w:pPr>
            <w:r w:rsidRPr="00D53084">
              <w:rPr>
                <w:sz w:val="18"/>
                <w:szCs w:val="18"/>
                <w:lang w:val="en-GB"/>
              </w:rPr>
              <w:t>10,309</w:t>
            </w:r>
          </w:p>
        </w:tc>
        <w:tc>
          <w:tcPr>
            <w:tcW w:w="553" w:type="pct"/>
          </w:tcPr>
          <w:p w14:paraId="58383582" w14:textId="77777777" w:rsidR="001F4C49" w:rsidRPr="00D53084" w:rsidRDefault="001F4C49" w:rsidP="001F4C49">
            <w:pPr>
              <w:pStyle w:val="ExhibitText"/>
              <w:jc w:val="right"/>
              <w:rPr>
                <w:sz w:val="18"/>
                <w:szCs w:val="18"/>
                <w:lang w:val="en-GB"/>
              </w:rPr>
            </w:pPr>
            <w:r w:rsidRPr="00D53084">
              <w:rPr>
                <w:sz w:val="18"/>
                <w:szCs w:val="18"/>
                <w:lang w:val="en-GB"/>
              </w:rPr>
              <w:t>6,993</w:t>
            </w:r>
          </w:p>
        </w:tc>
        <w:tc>
          <w:tcPr>
            <w:tcW w:w="481" w:type="pct"/>
          </w:tcPr>
          <w:p w14:paraId="7F6993F7" w14:textId="77777777" w:rsidR="001F4C49" w:rsidRPr="00D53084" w:rsidRDefault="001F4C49" w:rsidP="001F4C49">
            <w:pPr>
              <w:pStyle w:val="ExhibitText"/>
              <w:jc w:val="right"/>
              <w:rPr>
                <w:sz w:val="18"/>
                <w:szCs w:val="18"/>
                <w:lang w:val="en-GB"/>
              </w:rPr>
            </w:pPr>
            <w:r w:rsidRPr="00D53084">
              <w:rPr>
                <w:sz w:val="18"/>
                <w:szCs w:val="18"/>
                <w:lang w:val="en-GB"/>
              </w:rPr>
              <w:t>973</w:t>
            </w:r>
          </w:p>
        </w:tc>
        <w:tc>
          <w:tcPr>
            <w:tcW w:w="492" w:type="pct"/>
          </w:tcPr>
          <w:p w14:paraId="105E5F79" w14:textId="77777777" w:rsidR="001F4C49" w:rsidRPr="00D53084" w:rsidRDefault="001F4C49" w:rsidP="001F4C49">
            <w:pPr>
              <w:pStyle w:val="ExhibitText"/>
              <w:jc w:val="right"/>
              <w:rPr>
                <w:sz w:val="18"/>
                <w:szCs w:val="18"/>
                <w:lang w:val="en-GB"/>
              </w:rPr>
            </w:pPr>
            <w:r w:rsidRPr="00D53084">
              <w:rPr>
                <w:sz w:val="18"/>
                <w:szCs w:val="18"/>
                <w:lang w:val="en-GB"/>
              </w:rPr>
              <w:t>560</w:t>
            </w:r>
          </w:p>
        </w:tc>
      </w:tr>
      <w:tr w:rsidR="001F4C49" w:rsidRPr="00D53084" w14:paraId="4AB8F939" w14:textId="77777777" w:rsidTr="001F4C49">
        <w:trPr>
          <w:jc w:val="center"/>
        </w:trPr>
        <w:tc>
          <w:tcPr>
            <w:tcW w:w="1790" w:type="pct"/>
          </w:tcPr>
          <w:p w14:paraId="702A6BFE" w14:textId="77777777" w:rsidR="001F4C49" w:rsidRPr="00D53084" w:rsidRDefault="001F4C49" w:rsidP="001F4C49">
            <w:pPr>
              <w:pStyle w:val="ExhibitText"/>
              <w:rPr>
                <w:sz w:val="18"/>
                <w:szCs w:val="18"/>
                <w:lang w:val="en-GB"/>
              </w:rPr>
            </w:pPr>
            <w:r w:rsidRPr="00D53084">
              <w:rPr>
                <w:sz w:val="18"/>
                <w:szCs w:val="18"/>
                <w:lang w:val="en-GB"/>
              </w:rPr>
              <w:t>Liabilities</w:t>
            </w:r>
          </w:p>
        </w:tc>
        <w:tc>
          <w:tcPr>
            <w:tcW w:w="553" w:type="pct"/>
          </w:tcPr>
          <w:p w14:paraId="267DEF07" w14:textId="77777777" w:rsidR="001F4C49" w:rsidRPr="00D53084" w:rsidRDefault="001F4C49" w:rsidP="001F4C49">
            <w:pPr>
              <w:pStyle w:val="ExhibitText"/>
              <w:jc w:val="right"/>
              <w:rPr>
                <w:sz w:val="18"/>
                <w:szCs w:val="18"/>
                <w:lang w:val="en-GB"/>
              </w:rPr>
            </w:pPr>
            <w:r w:rsidRPr="00D53084">
              <w:rPr>
                <w:sz w:val="18"/>
                <w:szCs w:val="18"/>
                <w:lang w:val="en-GB"/>
              </w:rPr>
              <w:t>6,506</w:t>
            </w:r>
          </w:p>
        </w:tc>
        <w:tc>
          <w:tcPr>
            <w:tcW w:w="578" w:type="pct"/>
          </w:tcPr>
          <w:p w14:paraId="4847ADD8" w14:textId="77777777" w:rsidR="001F4C49" w:rsidRPr="00D53084" w:rsidRDefault="001F4C49" w:rsidP="001F4C49">
            <w:pPr>
              <w:pStyle w:val="ExhibitText"/>
              <w:jc w:val="right"/>
              <w:rPr>
                <w:sz w:val="18"/>
                <w:szCs w:val="18"/>
                <w:lang w:val="en-GB"/>
              </w:rPr>
            </w:pPr>
            <w:r w:rsidRPr="00D53084">
              <w:rPr>
                <w:sz w:val="18"/>
                <w:szCs w:val="18"/>
                <w:lang w:val="en-GB"/>
              </w:rPr>
              <w:t>5,272</w:t>
            </w:r>
          </w:p>
        </w:tc>
        <w:tc>
          <w:tcPr>
            <w:tcW w:w="553" w:type="pct"/>
          </w:tcPr>
          <w:p w14:paraId="00E50A32" w14:textId="77777777" w:rsidR="001F4C49" w:rsidRPr="00D53084" w:rsidRDefault="001F4C49" w:rsidP="001F4C49">
            <w:pPr>
              <w:pStyle w:val="ExhibitText"/>
              <w:jc w:val="right"/>
              <w:rPr>
                <w:sz w:val="18"/>
                <w:szCs w:val="18"/>
                <w:lang w:val="en-GB"/>
              </w:rPr>
            </w:pPr>
            <w:r w:rsidRPr="00D53084">
              <w:rPr>
                <w:sz w:val="18"/>
                <w:szCs w:val="18"/>
                <w:lang w:val="en-GB"/>
              </w:rPr>
              <w:t>4,132</w:t>
            </w:r>
          </w:p>
        </w:tc>
        <w:tc>
          <w:tcPr>
            <w:tcW w:w="553" w:type="pct"/>
          </w:tcPr>
          <w:p w14:paraId="6DC4C1A8" w14:textId="77777777" w:rsidR="001F4C49" w:rsidRPr="00D53084" w:rsidRDefault="001F4C49" w:rsidP="001F4C49">
            <w:pPr>
              <w:pStyle w:val="ExhibitText"/>
              <w:jc w:val="right"/>
              <w:rPr>
                <w:sz w:val="18"/>
                <w:szCs w:val="18"/>
                <w:lang w:val="en-GB"/>
              </w:rPr>
            </w:pPr>
            <w:r w:rsidRPr="00D53084">
              <w:rPr>
                <w:sz w:val="18"/>
                <w:szCs w:val="18"/>
                <w:lang w:val="en-GB"/>
              </w:rPr>
              <w:t>986</w:t>
            </w:r>
          </w:p>
        </w:tc>
        <w:tc>
          <w:tcPr>
            <w:tcW w:w="481" w:type="pct"/>
          </w:tcPr>
          <w:p w14:paraId="30462B4A" w14:textId="77777777" w:rsidR="001F4C49" w:rsidRPr="00D53084" w:rsidRDefault="001F4C49" w:rsidP="001F4C49">
            <w:pPr>
              <w:pStyle w:val="ExhibitText"/>
              <w:jc w:val="right"/>
              <w:rPr>
                <w:sz w:val="18"/>
                <w:szCs w:val="18"/>
                <w:lang w:val="en-GB"/>
              </w:rPr>
            </w:pPr>
            <w:r w:rsidRPr="00D53084">
              <w:rPr>
                <w:sz w:val="18"/>
                <w:szCs w:val="18"/>
                <w:lang w:val="en-GB"/>
              </w:rPr>
              <w:t>719</w:t>
            </w:r>
          </w:p>
        </w:tc>
        <w:tc>
          <w:tcPr>
            <w:tcW w:w="492" w:type="pct"/>
          </w:tcPr>
          <w:p w14:paraId="0EF7926C" w14:textId="77777777" w:rsidR="001F4C49" w:rsidRPr="00D53084" w:rsidRDefault="001F4C49" w:rsidP="001F4C49">
            <w:pPr>
              <w:pStyle w:val="ExhibitText"/>
              <w:jc w:val="right"/>
              <w:rPr>
                <w:sz w:val="18"/>
                <w:szCs w:val="18"/>
                <w:lang w:val="en-GB"/>
              </w:rPr>
            </w:pPr>
            <w:r w:rsidRPr="00D53084">
              <w:rPr>
                <w:sz w:val="18"/>
                <w:szCs w:val="18"/>
                <w:lang w:val="en-GB"/>
              </w:rPr>
              <w:t>826</w:t>
            </w:r>
          </w:p>
        </w:tc>
      </w:tr>
      <w:tr w:rsidR="001F4C49" w:rsidRPr="00D53084" w14:paraId="2DF11B20" w14:textId="77777777" w:rsidTr="001F4C49">
        <w:trPr>
          <w:jc w:val="center"/>
        </w:trPr>
        <w:tc>
          <w:tcPr>
            <w:tcW w:w="1790" w:type="pct"/>
          </w:tcPr>
          <w:p w14:paraId="353DDE31" w14:textId="77777777" w:rsidR="001F4C49" w:rsidRPr="00D53084" w:rsidRDefault="001F4C49" w:rsidP="001F4C49">
            <w:pPr>
              <w:pStyle w:val="ExhibitText"/>
              <w:rPr>
                <w:sz w:val="18"/>
                <w:szCs w:val="18"/>
                <w:lang w:val="en-GB"/>
              </w:rPr>
            </w:pPr>
            <w:r w:rsidRPr="00D53084">
              <w:rPr>
                <w:sz w:val="18"/>
                <w:szCs w:val="18"/>
                <w:lang w:val="en-GB"/>
              </w:rPr>
              <w:t>Including: current liabilities</w:t>
            </w:r>
          </w:p>
        </w:tc>
        <w:tc>
          <w:tcPr>
            <w:tcW w:w="553" w:type="pct"/>
          </w:tcPr>
          <w:p w14:paraId="2181D984" w14:textId="77777777" w:rsidR="001F4C49" w:rsidRPr="00D53084" w:rsidRDefault="001F4C49" w:rsidP="001F4C49">
            <w:pPr>
              <w:pStyle w:val="ExhibitText"/>
              <w:jc w:val="right"/>
              <w:rPr>
                <w:sz w:val="18"/>
                <w:szCs w:val="18"/>
                <w:lang w:val="en-GB"/>
              </w:rPr>
            </w:pPr>
            <w:r w:rsidRPr="00D53084">
              <w:rPr>
                <w:sz w:val="18"/>
                <w:szCs w:val="18"/>
                <w:lang w:val="en-GB"/>
              </w:rPr>
              <w:t>3,094</w:t>
            </w:r>
          </w:p>
        </w:tc>
        <w:tc>
          <w:tcPr>
            <w:tcW w:w="578" w:type="pct"/>
          </w:tcPr>
          <w:p w14:paraId="0D825D05" w14:textId="77777777" w:rsidR="001F4C49" w:rsidRPr="00D53084" w:rsidRDefault="001F4C49" w:rsidP="001F4C49">
            <w:pPr>
              <w:pStyle w:val="ExhibitText"/>
              <w:jc w:val="right"/>
              <w:rPr>
                <w:sz w:val="18"/>
                <w:szCs w:val="18"/>
                <w:lang w:val="en-GB"/>
              </w:rPr>
            </w:pPr>
            <w:r w:rsidRPr="00D53084">
              <w:rPr>
                <w:sz w:val="18"/>
                <w:szCs w:val="18"/>
                <w:lang w:val="en-GB"/>
              </w:rPr>
              <w:t>2,155</w:t>
            </w:r>
          </w:p>
        </w:tc>
        <w:tc>
          <w:tcPr>
            <w:tcW w:w="553" w:type="pct"/>
          </w:tcPr>
          <w:p w14:paraId="5D3747E8" w14:textId="77777777" w:rsidR="001F4C49" w:rsidRPr="00D53084" w:rsidRDefault="001F4C49" w:rsidP="001F4C49">
            <w:pPr>
              <w:pStyle w:val="ExhibitText"/>
              <w:jc w:val="right"/>
              <w:rPr>
                <w:sz w:val="18"/>
                <w:szCs w:val="18"/>
                <w:lang w:val="en-GB"/>
              </w:rPr>
            </w:pPr>
            <w:r w:rsidRPr="00D53084">
              <w:rPr>
                <w:sz w:val="18"/>
                <w:szCs w:val="18"/>
                <w:lang w:val="en-GB"/>
              </w:rPr>
              <w:t>1,265</w:t>
            </w:r>
          </w:p>
        </w:tc>
        <w:tc>
          <w:tcPr>
            <w:tcW w:w="553" w:type="pct"/>
          </w:tcPr>
          <w:p w14:paraId="2CCE66E0" w14:textId="77777777" w:rsidR="001F4C49" w:rsidRPr="00D53084" w:rsidRDefault="001F4C49" w:rsidP="001F4C49">
            <w:pPr>
              <w:pStyle w:val="ExhibitText"/>
              <w:jc w:val="right"/>
              <w:rPr>
                <w:sz w:val="18"/>
                <w:szCs w:val="18"/>
                <w:lang w:val="en-GB"/>
              </w:rPr>
            </w:pPr>
            <w:r w:rsidRPr="00D53084">
              <w:rPr>
                <w:sz w:val="18"/>
                <w:szCs w:val="18"/>
                <w:lang w:val="en-GB"/>
              </w:rPr>
              <w:t>986</w:t>
            </w:r>
          </w:p>
        </w:tc>
        <w:tc>
          <w:tcPr>
            <w:tcW w:w="481" w:type="pct"/>
          </w:tcPr>
          <w:p w14:paraId="054D5FD1" w14:textId="77777777" w:rsidR="001F4C49" w:rsidRPr="00D53084" w:rsidRDefault="001F4C49" w:rsidP="001F4C49">
            <w:pPr>
              <w:pStyle w:val="ExhibitText"/>
              <w:jc w:val="right"/>
              <w:rPr>
                <w:sz w:val="18"/>
                <w:szCs w:val="18"/>
                <w:lang w:val="en-GB"/>
              </w:rPr>
            </w:pPr>
            <w:r w:rsidRPr="00D53084">
              <w:rPr>
                <w:sz w:val="18"/>
                <w:szCs w:val="18"/>
                <w:lang w:val="en-GB"/>
              </w:rPr>
              <w:t>719</w:t>
            </w:r>
          </w:p>
        </w:tc>
        <w:tc>
          <w:tcPr>
            <w:tcW w:w="492" w:type="pct"/>
          </w:tcPr>
          <w:p w14:paraId="0461907F" w14:textId="77777777" w:rsidR="001F4C49" w:rsidRPr="00D53084" w:rsidRDefault="001F4C49" w:rsidP="001F4C49">
            <w:pPr>
              <w:pStyle w:val="ExhibitText"/>
              <w:jc w:val="right"/>
              <w:rPr>
                <w:sz w:val="18"/>
                <w:szCs w:val="18"/>
                <w:lang w:val="en-GB"/>
              </w:rPr>
            </w:pPr>
            <w:r w:rsidRPr="00D53084">
              <w:rPr>
                <w:sz w:val="18"/>
                <w:szCs w:val="18"/>
                <w:lang w:val="en-GB"/>
              </w:rPr>
              <w:t>826</w:t>
            </w:r>
          </w:p>
        </w:tc>
      </w:tr>
      <w:tr w:rsidR="001F4C49" w:rsidRPr="00D53084" w14:paraId="6268C434" w14:textId="77777777" w:rsidTr="001F4C49">
        <w:trPr>
          <w:jc w:val="center"/>
        </w:trPr>
        <w:tc>
          <w:tcPr>
            <w:tcW w:w="1790" w:type="pct"/>
          </w:tcPr>
          <w:p w14:paraId="15AA5CF0" w14:textId="77777777" w:rsidR="001F4C49" w:rsidRPr="00D53084" w:rsidRDefault="001F4C49" w:rsidP="001F4C49">
            <w:pPr>
              <w:pStyle w:val="ExhibitText"/>
              <w:rPr>
                <w:sz w:val="18"/>
                <w:szCs w:val="18"/>
                <w:lang w:val="en-GB"/>
              </w:rPr>
            </w:pPr>
            <w:r w:rsidRPr="00D53084">
              <w:rPr>
                <w:sz w:val="18"/>
                <w:szCs w:val="18"/>
                <w:lang w:val="en-GB"/>
              </w:rPr>
              <w:t>Net assets</w:t>
            </w:r>
          </w:p>
        </w:tc>
        <w:tc>
          <w:tcPr>
            <w:tcW w:w="553" w:type="pct"/>
          </w:tcPr>
          <w:p w14:paraId="43BC3383" w14:textId="77777777" w:rsidR="001F4C49" w:rsidRPr="00D53084" w:rsidRDefault="001F4C49" w:rsidP="001F4C49">
            <w:pPr>
              <w:pStyle w:val="ExhibitText"/>
              <w:jc w:val="right"/>
              <w:rPr>
                <w:sz w:val="18"/>
                <w:szCs w:val="18"/>
                <w:lang w:val="en-GB"/>
              </w:rPr>
            </w:pPr>
            <w:r w:rsidRPr="00D53084">
              <w:rPr>
                <w:sz w:val="18"/>
                <w:szCs w:val="18"/>
                <w:lang w:val="en-GB"/>
              </w:rPr>
              <w:t>15,310</w:t>
            </w:r>
          </w:p>
        </w:tc>
        <w:tc>
          <w:tcPr>
            <w:tcW w:w="578" w:type="pct"/>
          </w:tcPr>
          <w:p w14:paraId="2610F7A4" w14:textId="77777777" w:rsidR="001F4C49" w:rsidRPr="00D53084" w:rsidRDefault="001F4C49" w:rsidP="001F4C49">
            <w:pPr>
              <w:pStyle w:val="ExhibitText"/>
              <w:jc w:val="right"/>
              <w:rPr>
                <w:sz w:val="18"/>
                <w:szCs w:val="18"/>
                <w:lang w:val="en-GB"/>
              </w:rPr>
            </w:pPr>
            <w:r w:rsidRPr="00D53084">
              <w:rPr>
                <w:sz w:val="18"/>
                <w:szCs w:val="18"/>
                <w:lang w:val="en-GB"/>
              </w:rPr>
              <w:t>13,090</w:t>
            </w:r>
          </w:p>
        </w:tc>
        <w:tc>
          <w:tcPr>
            <w:tcW w:w="553" w:type="pct"/>
          </w:tcPr>
          <w:p w14:paraId="73F91A41" w14:textId="77777777" w:rsidR="001F4C49" w:rsidRPr="00D53084" w:rsidRDefault="001F4C49" w:rsidP="001F4C49">
            <w:pPr>
              <w:pStyle w:val="ExhibitText"/>
              <w:jc w:val="right"/>
              <w:rPr>
                <w:sz w:val="18"/>
                <w:szCs w:val="18"/>
                <w:lang w:val="en-GB"/>
              </w:rPr>
            </w:pPr>
            <w:r w:rsidRPr="00D53084">
              <w:rPr>
                <w:sz w:val="18"/>
                <w:szCs w:val="18"/>
                <w:lang w:val="en-GB"/>
              </w:rPr>
              <w:t>11,811</w:t>
            </w:r>
          </w:p>
        </w:tc>
        <w:tc>
          <w:tcPr>
            <w:tcW w:w="553" w:type="pct"/>
          </w:tcPr>
          <w:p w14:paraId="36711AFD" w14:textId="77777777" w:rsidR="001F4C49" w:rsidRPr="00D53084" w:rsidRDefault="001F4C49" w:rsidP="001F4C49">
            <w:pPr>
              <w:pStyle w:val="ExhibitText"/>
              <w:jc w:val="right"/>
              <w:rPr>
                <w:sz w:val="18"/>
                <w:szCs w:val="18"/>
                <w:lang w:val="en-GB"/>
              </w:rPr>
            </w:pPr>
            <w:r w:rsidRPr="00D53084">
              <w:rPr>
                <w:sz w:val="18"/>
                <w:szCs w:val="18"/>
                <w:lang w:val="en-GB"/>
              </w:rPr>
              <w:t>10,331</w:t>
            </w:r>
          </w:p>
        </w:tc>
        <w:tc>
          <w:tcPr>
            <w:tcW w:w="481" w:type="pct"/>
          </w:tcPr>
          <w:p w14:paraId="2C251AA0" w14:textId="77777777" w:rsidR="001F4C49" w:rsidRPr="00D53084" w:rsidRDefault="001F4C49" w:rsidP="001F4C49">
            <w:pPr>
              <w:pStyle w:val="ExhibitText"/>
              <w:jc w:val="right"/>
              <w:rPr>
                <w:sz w:val="18"/>
                <w:szCs w:val="18"/>
                <w:lang w:val="en-GB"/>
              </w:rPr>
            </w:pPr>
            <w:r w:rsidRPr="00D53084">
              <w:rPr>
                <w:sz w:val="18"/>
                <w:szCs w:val="18"/>
                <w:lang w:val="en-GB"/>
              </w:rPr>
              <w:t>2,074</w:t>
            </w:r>
          </w:p>
        </w:tc>
        <w:tc>
          <w:tcPr>
            <w:tcW w:w="492" w:type="pct"/>
          </w:tcPr>
          <w:p w14:paraId="267B473D" w14:textId="77777777" w:rsidR="001F4C49" w:rsidRPr="00D53084" w:rsidRDefault="001F4C49" w:rsidP="001F4C49">
            <w:pPr>
              <w:pStyle w:val="ExhibitText"/>
              <w:jc w:val="right"/>
              <w:rPr>
                <w:sz w:val="18"/>
                <w:szCs w:val="18"/>
                <w:lang w:val="en-GB"/>
              </w:rPr>
            </w:pPr>
            <w:r w:rsidRPr="00D53084">
              <w:rPr>
                <w:sz w:val="18"/>
                <w:szCs w:val="18"/>
                <w:lang w:val="en-GB"/>
              </w:rPr>
              <w:t>1,714</w:t>
            </w:r>
          </w:p>
        </w:tc>
      </w:tr>
    </w:tbl>
    <w:p w14:paraId="112CFE04" w14:textId="77777777" w:rsidR="001F4C49" w:rsidRPr="00D53084" w:rsidRDefault="001F4C49" w:rsidP="001F4C49">
      <w:pPr>
        <w:pStyle w:val="BodyTextMain"/>
        <w:rPr>
          <w:sz w:val="17"/>
          <w:szCs w:val="17"/>
          <w:lang w:val="en-GB"/>
        </w:rPr>
      </w:pPr>
    </w:p>
    <w:p w14:paraId="0DE7D705" w14:textId="5DE4C39C" w:rsidR="00FE512F" w:rsidRPr="00D53084" w:rsidRDefault="00FE512F" w:rsidP="001F4C49">
      <w:pPr>
        <w:pStyle w:val="Footnote"/>
        <w:rPr>
          <w:lang w:val="en-GB"/>
        </w:rPr>
      </w:pPr>
      <w:r w:rsidRPr="00D53084">
        <w:rPr>
          <w:lang w:val="en-GB"/>
        </w:rPr>
        <w:t>Note:</w:t>
      </w:r>
      <w:r w:rsidRPr="00D53084">
        <w:rPr>
          <w:rFonts w:eastAsia="SimSun"/>
          <w:lang w:val="en-GB"/>
        </w:rPr>
        <w:t xml:space="preserve"> ¥</w:t>
      </w:r>
      <w:r w:rsidRPr="00D53084">
        <w:rPr>
          <w:lang w:val="en-GB"/>
        </w:rPr>
        <w:t xml:space="preserve"> = CNY = Chinese yuan renminbi; US$1.00 = ¥ 6.89 on March 31, 2017</w:t>
      </w:r>
    </w:p>
    <w:p w14:paraId="683BDEF2" w14:textId="2E2FB36C" w:rsidR="001F4C49" w:rsidRPr="00D53084" w:rsidRDefault="001F4C49" w:rsidP="001F4C49">
      <w:pPr>
        <w:pStyle w:val="Footnote"/>
        <w:rPr>
          <w:lang w:val="en-GB"/>
        </w:rPr>
      </w:pPr>
      <w:r w:rsidRPr="00D53084">
        <w:rPr>
          <w:lang w:val="en-GB"/>
        </w:rPr>
        <w:t xml:space="preserve">Source: </w:t>
      </w:r>
      <w:r w:rsidR="00332DFE" w:rsidRPr="00D53084">
        <w:rPr>
          <w:lang w:val="en-GB"/>
        </w:rPr>
        <w:t xml:space="preserve">Shenzhou International Group Holdings Limited, </w:t>
      </w:r>
      <w:r w:rsidR="00332DFE" w:rsidRPr="00D53084">
        <w:rPr>
          <w:i/>
          <w:lang w:val="en-GB"/>
        </w:rPr>
        <w:t>Annual Report 2014</w:t>
      </w:r>
      <w:r w:rsidR="00332DFE" w:rsidRPr="00D53084">
        <w:rPr>
          <w:lang w:val="en-GB"/>
        </w:rPr>
        <w:t xml:space="preserve">, accessed June 4, 2018, </w:t>
      </w:r>
      <w:hyperlink r:id="rId12" w:history="1">
        <w:r w:rsidR="00332DFE" w:rsidRPr="00D53084">
          <w:rPr>
            <w:lang w:val="en-GB"/>
          </w:rPr>
          <w:t>www.shenzhouintl.com/Login/report3/dow/ew_02313AR-25032015.pdf</w:t>
        </w:r>
      </w:hyperlink>
      <w:r w:rsidR="00332DFE" w:rsidRPr="00D53084">
        <w:rPr>
          <w:lang w:val="en-GB"/>
        </w:rPr>
        <w:t xml:space="preserve">; Shenzhou International Group Holdings Limited, </w:t>
      </w:r>
      <w:r w:rsidR="00332DFE" w:rsidRPr="00D53084">
        <w:rPr>
          <w:i/>
          <w:lang w:val="en-GB"/>
        </w:rPr>
        <w:t>Annual Report 2015</w:t>
      </w:r>
      <w:r w:rsidR="00332DFE" w:rsidRPr="00D53084">
        <w:rPr>
          <w:lang w:val="en-GB"/>
        </w:rPr>
        <w:t xml:space="preserve">, accessed June 3, 2018, </w:t>
      </w:r>
      <w:hyperlink r:id="rId13" w:history="1">
        <w:r w:rsidR="00332DFE" w:rsidRPr="00D53084">
          <w:rPr>
            <w:lang w:val="en-GB"/>
          </w:rPr>
          <w:t>www.shenzhouintl.com/Login/report3/dow/Shenzhou_B_AR%20(final).pdf</w:t>
        </w:r>
      </w:hyperlink>
      <w:r w:rsidR="00332DFE" w:rsidRPr="00D53084">
        <w:rPr>
          <w:lang w:val="en-GB"/>
        </w:rPr>
        <w:t xml:space="preserve">; Shenzhou International Group Holdings Limited, </w:t>
      </w:r>
      <w:r w:rsidR="00332DFE" w:rsidRPr="00D53084">
        <w:rPr>
          <w:i/>
          <w:lang w:val="en-GB"/>
        </w:rPr>
        <w:t>Annual Report 2016</w:t>
      </w:r>
      <w:r w:rsidR="00332DFE" w:rsidRPr="00D53084">
        <w:rPr>
          <w:lang w:val="en-GB"/>
        </w:rPr>
        <w:t xml:space="preserve">, accessed June 3, 2018, www.shenzhouintl.com/Login/report3/dow/Shenzhou_B_AR%20(final).pdf. </w:t>
      </w:r>
    </w:p>
    <w:p w14:paraId="5BE4E4DF" w14:textId="77777777" w:rsidR="001F4C49" w:rsidRPr="00D53084" w:rsidRDefault="001F4C49" w:rsidP="008E3273">
      <w:pPr>
        <w:pStyle w:val="Footnote"/>
        <w:rPr>
          <w:sz w:val="13"/>
          <w:lang w:val="en-GB"/>
        </w:rPr>
      </w:pPr>
    </w:p>
    <w:p w14:paraId="772D1B9F" w14:textId="77777777" w:rsidR="001F4C49" w:rsidRPr="00D53084" w:rsidRDefault="001F4C49" w:rsidP="008E3273">
      <w:pPr>
        <w:pStyle w:val="Footnote"/>
        <w:rPr>
          <w:sz w:val="13"/>
          <w:lang w:val="en-GB"/>
        </w:rPr>
      </w:pPr>
    </w:p>
    <w:p w14:paraId="6CEAD95E" w14:textId="77777777" w:rsidR="001F4C49" w:rsidRPr="00D53084" w:rsidRDefault="001F4C49" w:rsidP="001F4C49">
      <w:pPr>
        <w:pStyle w:val="ExhibitHeading"/>
        <w:rPr>
          <w:lang w:val="en-GB"/>
        </w:rPr>
      </w:pPr>
      <w:r w:rsidRPr="00D53084">
        <w:rPr>
          <w:lang w:val="en-GB"/>
        </w:rPr>
        <w:t>Exhibit 3: Global Sales of Sports Apparel Brand Operators (2015)</w:t>
      </w:r>
    </w:p>
    <w:p w14:paraId="62CEDE44" w14:textId="77777777" w:rsidR="001F4C49" w:rsidRPr="00D53084" w:rsidRDefault="001F4C49" w:rsidP="001F4C49">
      <w:pPr>
        <w:rPr>
          <w:sz w:val="16"/>
          <w:szCs w:val="16"/>
          <w:lang w:val="en-GB" w:eastAsia="x-none"/>
        </w:rPr>
      </w:pPr>
    </w:p>
    <w:tbl>
      <w:tblPr>
        <w:tblStyle w:val="TableGrid"/>
        <w:tblW w:w="4714" w:type="pct"/>
        <w:jc w:val="center"/>
        <w:tblLook w:val="00A0" w:firstRow="1" w:lastRow="0" w:firstColumn="1" w:lastColumn="0" w:noHBand="0" w:noVBand="0"/>
      </w:tblPr>
      <w:tblGrid>
        <w:gridCol w:w="1850"/>
        <w:gridCol w:w="1581"/>
        <w:gridCol w:w="2054"/>
        <w:gridCol w:w="1530"/>
        <w:gridCol w:w="1800"/>
      </w:tblGrid>
      <w:tr w:rsidR="001F4C49" w:rsidRPr="00D53084" w14:paraId="6A5D5C52" w14:textId="77777777" w:rsidTr="00122DFC">
        <w:trPr>
          <w:jc w:val="center"/>
        </w:trPr>
        <w:tc>
          <w:tcPr>
            <w:tcW w:w="1049" w:type="pct"/>
          </w:tcPr>
          <w:p w14:paraId="08A1CA50" w14:textId="77777777" w:rsidR="001F4C49" w:rsidRPr="00D53084" w:rsidRDefault="001F4C49" w:rsidP="001F4C49">
            <w:pPr>
              <w:pStyle w:val="ExhibitText"/>
              <w:rPr>
                <w:sz w:val="18"/>
                <w:szCs w:val="18"/>
                <w:lang w:val="en-GB"/>
              </w:rPr>
            </w:pPr>
          </w:p>
        </w:tc>
        <w:tc>
          <w:tcPr>
            <w:tcW w:w="897" w:type="pct"/>
          </w:tcPr>
          <w:p w14:paraId="41DB068D" w14:textId="77777777" w:rsidR="001F4C49" w:rsidRPr="00D53084" w:rsidRDefault="001F4C49" w:rsidP="001F4C49">
            <w:pPr>
              <w:pStyle w:val="ExhibitText"/>
              <w:jc w:val="center"/>
              <w:rPr>
                <w:b/>
                <w:sz w:val="18"/>
                <w:szCs w:val="18"/>
                <w:lang w:val="en-GB"/>
              </w:rPr>
            </w:pPr>
            <w:r w:rsidRPr="00D53084">
              <w:rPr>
                <w:rFonts w:eastAsiaTheme="minorEastAsia"/>
                <w:b/>
                <w:sz w:val="18"/>
                <w:szCs w:val="18"/>
                <w:lang w:val="en-GB"/>
              </w:rPr>
              <w:t>Adidas</w:t>
            </w:r>
          </w:p>
        </w:tc>
        <w:tc>
          <w:tcPr>
            <w:tcW w:w="1165" w:type="pct"/>
          </w:tcPr>
          <w:p w14:paraId="0A971E80" w14:textId="77777777" w:rsidR="001F4C49" w:rsidRPr="00D53084" w:rsidRDefault="001F4C49" w:rsidP="001F4C49">
            <w:pPr>
              <w:pStyle w:val="ExhibitText"/>
              <w:jc w:val="center"/>
              <w:rPr>
                <w:b/>
                <w:sz w:val="18"/>
                <w:szCs w:val="18"/>
                <w:lang w:val="en-GB"/>
              </w:rPr>
            </w:pPr>
            <w:r w:rsidRPr="00D53084">
              <w:rPr>
                <w:rFonts w:eastAsiaTheme="minorEastAsia"/>
                <w:b/>
                <w:sz w:val="18"/>
                <w:szCs w:val="18"/>
                <w:lang w:val="en-GB"/>
              </w:rPr>
              <w:t>Nike</w:t>
            </w:r>
          </w:p>
        </w:tc>
        <w:tc>
          <w:tcPr>
            <w:tcW w:w="868" w:type="pct"/>
          </w:tcPr>
          <w:p w14:paraId="6279CEB8" w14:textId="77777777" w:rsidR="001F4C49" w:rsidRPr="00D53084" w:rsidRDefault="001F4C49" w:rsidP="001F4C49">
            <w:pPr>
              <w:pStyle w:val="ExhibitText"/>
              <w:jc w:val="center"/>
              <w:rPr>
                <w:b/>
                <w:sz w:val="18"/>
                <w:szCs w:val="18"/>
                <w:lang w:val="en-GB"/>
              </w:rPr>
            </w:pPr>
            <w:r w:rsidRPr="00D53084">
              <w:rPr>
                <w:rFonts w:eastAsiaTheme="minorEastAsia"/>
                <w:b/>
                <w:sz w:val="18"/>
                <w:szCs w:val="18"/>
                <w:lang w:val="en-GB"/>
              </w:rPr>
              <w:t>Puma</w:t>
            </w:r>
          </w:p>
        </w:tc>
        <w:tc>
          <w:tcPr>
            <w:tcW w:w="1021" w:type="pct"/>
          </w:tcPr>
          <w:p w14:paraId="75FC47DA" w14:textId="77777777" w:rsidR="001F4C49" w:rsidRPr="00D53084" w:rsidRDefault="001F4C49" w:rsidP="001F4C49">
            <w:pPr>
              <w:pStyle w:val="ExhibitText"/>
              <w:jc w:val="center"/>
              <w:rPr>
                <w:b/>
                <w:sz w:val="18"/>
                <w:szCs w:val="18"/>
                <w:lang w:val="en-GB"/>
              </w:rPr>
            </w:pPr>
            <w:r w:rsidRPr="00D53084">
              <w:rPr>
                <w:rFonts w:eastAsiaTheme="minorEastAsia"/>
                <w:b/>
                <w:sz w:val="18"/>
                <w:szCs w:val="18"/>
                <w:lang w:val="en-GB"/>
              </w:rPr>
              <w:t>Under Armour</w:t>
            </w:r>
          </w:p>
        </w:tc>
      </w:tr>
      <w:tr w:rsidR="001F4C49" w:rsidRPr="00D53084" w14:paraId="4255855D" w14:textId="77777777" w:rsidTr="00122DFC">
        <w:trPr>
          <w:jc w:val="center"/>
        </w:trPr>
        <w:tc>
          <w:tcPr>
            <w:tcW w:w="1049" w:type="pct"/>
          </w:tcPr>
          <w:p w14:paraId="1AABA5CF" w14:textId="77777777" w:rsidR="001F4C49" w:rsidRPr="00D53084" w:rsidRDefault="001F4C49" w:rsidP="001F4C49">
            <w:pPr>
              <w:pStyle w:val="ExhibitText"/>
              <w:rPr>
                <w:sz w:val="18"/>
                <w:szCs w:val="18"/>
                <w:lang w:val="en-GB"/>
              </w:rPr>
            </w:pPr>
            <w:r w:rsidRPr="00D53084">
              <w:rPr>
                <w:rFonts w:eastAsiaTheme="minorEastAsia"/>
                <w:sz w:val="18"/>
                <w:szCs w:val="18"/>
                <w:lang w:val="en-GB"/>
              </w:rPr>
              <w:t>Global sales</w:t>
            </w:r>
          </w:p>
        </w:tc>
        <w:tc>
          <w:tcPr>
            <w:tcW w:w="897" w:type="pct"/>
          </w:tcPr>
          <w:p w14:paraId="4604BEE1" w14:textId="7E778009" w:rsidR="001F4C49" w:rsidRPr="00D53084" w:rsidRDefault="001F4C49" w:rsidP="001F4C49">
            <w:pPr>
              <w:pStyle w:val="ExhibitText"/>
              <w:jc w:val="right"/>
              <w:rPr>
                <w:sz w:val="18"/>
                <w:szCs w:val="18"/>
                <w:lang w:val="en-GB"/>
              </w:rPr>
            </w:pPr>
            <w:r w:rsidRPr="00D53084">
              <w:rPr>
                <w:rFonts w:eastAsiaTheme="minorEastAsia"/>
                <w:sz w:val="18"/>
                <w:szCs w:val="18"/>
                <w:lang w:val="en-GB"/>
              </w:rPr>
              <w:t>US$7.7 billion</w:t>
            </w:r>
          </w:p>
        </w:tc>
        <w:tc>
          <w:tcPr>
            <w:tcW w:w="1165" w:type="pct"/>
          </w:tcPr>
          <w:p w14:paraId="3F1B9EEC" w14:textId="5F5EFE4E" w:rsidR="001F4C49" w:rsidRPr="00D53084" w:rsidRDefault="001F4C49" w:rsidP="001F4C49">
            <w:pPr>
              <w:pStyle w:val="ExhibitText"/>
              <w:jc w:val="right"/>
              <w:rPr>
                <w:sz w:val="18"/>
                <w:szCs w:val="18"/>
                <w:lang w:val="en-GB"/>
              </w:rPr>
            </w:pPr>
            <w:r w:rsidRPr="00D53084">
              <w:rPr>
                <w:rFonts w:eastAsiaTheme="minorEastAsia"/>
                <w:sz w:val="18"/>
                <w:szCs w:val="18"/>
                <w:lang w:val="en-GB"/>
              </w:rPr>
              <w:t>US$8.6 billion</w:t>
            </w:r>
          </w:p>
        </w:tc>
        <w:tc>
          <w:tcPr>
            <w:tcW w:w="868" w:type="pct"/>
          </w:tcPr>
          <w:p w14:paraId="21AC8DC4" w14:textId="50A8C966" w:rsidR="001F4C49" w:rsidRPr="00D53084" w:rsidRDefault="001F4C49" w:rsidP="00B30221">
            <w:pPr>
              <w:pStyle w:val="ExhibitText"/>
              <w:jc w:val="right"/>
              <w:rPr>
                <w:sz w:val="18"/>
                <w:szCs w:val="18"/>
                <w:lang w:val="en-GB"/>
              </w:rPr>
            </w:pPr>
            <w:r w:rsidRPr="00D53084">
              <w:rPr>
                <w:rFonts w:eastAsiaTheme="minorEastAsia"/>
                <w:sz w:val="18"/>
                <w:szCs w:val="18"/>
                <w:lang w:val="en-GB"/>
              </w:rPr>
              <w:t>US$1.4 billion</w:t>
            </w:r>
          </w:p>
        </w:tc>
        <w:tc>
          <w:tcPr>
            <w:tcW w:w="1021" w:type="pct"/>
          </w:tcPr>
          <w:p w14:paraId="73C75D5C" w14:textId="6584B7F8" w:rsidR="001F4C49" w:rsidRPr="00D53084" w:rsidRDefault="001F4C49" w:rsidP="00B30221">
            <w:pPr>
              <w:pStyle w:val="ExhibitText"/>
              <w:jc w:val="right"/>
              <w:rPr>
                <w:sz w:val="18"/>
                <w:szCs w:val="18"/>
                <w:lang w:val="en-GB"/>
              </w:rPr>
            </w:pPr>
            <w:r w:rsidRPr="00D53084">
              <w:rPr>
                <w:rFonts w:eastAsiaTheme="minorEastAsia"/>
                <w:sz w:val="18"/>
                <w:szCs w:val="18"/>
                <w:lang w:val="en-GB"/>
              </w:rPr>
              <w:t>US$2.8 billion</w:t>
            </w:r>
          </w:p>
        </w:tc>
      </w:tr>
      <w:tr w:rsidR="001F4C49" w:rsidRPr="00D53084" w14:paraId="51E40458" w14:textId="77777777" w:rsidTr="00122DFC">
        <w:trPr>
          <w:jc w:val="center"/>
        </w:trPr>
        <w:tc>
          <w:tcPr>
            <w:tcW w:w="1049" w:type="pct"/>
          </w:tcPr>
          <w:p w14:paraId="65EA0CD6" w14:textId="5A28C50F" w:rsidR="001F4C49" w:rsidRPr="00D53084" w:rsidRDefault="00631C91" w:rsidP="001F4C49">
            <w:pPr>
              <w:pStyle w:val="ExhibitText"/>
              <w:rPr>
                <w:sz w:val="18"/>
                <w:szCs w:val="18"/>
                <w:lang w:val="en-GB"/>
              </w:rPr>
            </w:pPr>
            <w:r>
              <w:rPr>
                <w:rFonts w:eastAsiaTheme="minorEastAsia"/>
                <w:sz w:val="18"/>
                <w:szCs w:val="18"/>
                <w:lang w:val="en-GB"/>
              </w:rPr>
              <w:t>US</w:t>
            </w:r>
            <w:r w:rsidR="001F4C49" w:rsidRPr="00D53084">
              <w:rPr>
                <w:rFonts w:eastAsiaTheme="minorEastAsia"/>
                <w:sz w:val="18"/>
                <w:szCs w:val="18"/>
                <w:lang w:val="en-GB"/>
              </w:rPr>
              <w:t xml:space="preserve"> market</w:t>
            </w:r>
          </w:p>
        </w:tc>
        <w:tc>
          <w:tcPr>
            <w:tcW w:w="897" w:type="pct"/>
          </w:tcPr>
          <w:p w14:paraId="5EFB5597" w14:textId="77777777" w:rsidR="001F4C49" w:rsidRPr="00D53084" w:rsidRDefault="001F4C49" w:rsidP="001F4C49">
            <w:pPr>
              <w:pStyle w:val="ExhibitText"/>
              <w:jc w:val="right"/>
              <w:rPr>
                <w:sz w:val="18"/>
                <w:szCs w:val="18"/>
                <w:lang w:val="en-GB"/>
              </w:rPr>
            </w:pPr>
            <w:r w:rsidRPr="00D53084">
              <w:rPr>
                <w:sz w:val="18"/>
                <w:szCs w:val="18"/>
                <w:lang w:val="en-GB"/>
              </w:rPr>
              <w:t>22%</w:t>
            </w:r>
          </w:p>
        </w:tc>
        <w:tc>
          <w:tcPr>
            <w:tcW w:w="1165" w:type="pct"/>
          </w:tcPr>
          <w:p w14:paraId="6B0F789D" w14:textId="77777777" w:rsidR="001F4C49" w:rsidRPr="00D53084" w:rsidRDefault="001F4C49" w:rsidP="001F4C49">
            <w:pPr>
              <w:pStyle w:val="ExhibitText"/>
              <w:jc w:val="right"/>
              <w:rPr>
                <w:sz w:val="18"/>
                <w:szCs w:val="18"/>
                <w:lang w:val="en-GB"/>
              </w:rPr>
            </w:pPr>
            <w:r w:rsidRPr="00D53084">
              <w:rPr>
                <w:sz w:val="18"/>
                <w:szCs w:val="18"/>
                <w:lang w:val="en-GB"/>
              </w:rPr>
              <w:t>44.8%</w:t>
            </w:r>
          </w:p>
        </w:tc>
        <w:tc>
          <w:tcPr>
            <w:tcW w:w="868" w:type="pct"/>
          </w:tcPr>
          <w:p w14:paraId="4B931B6A" w14:textId="77777777" w:rsidR="001F4C49" w:rsidRPr="00D53084" w:rsidRDefault="001F4C49" w:rsidP="001F4C49">
            <w:pPr>
              <w:pStyle w:val="ExhibitText"/>
              <w:jc w:val="right"/>
              <w:rPr>
                <w:sz w:val="18"/>
                <w:szCs w:val="18"/>
                <w:lang w:val="en-GB"/>
              </w:rPr>
            </w:pPr>
            <w:r w:rsidRPr="00D53084">
              <w:rPr>
                <w:sz w:val="18"/>
                <w:szCs w:val="18"/>
                <w:lang w:val="en-GB"/>
              </w:rPr>
              <w:t>38.7%</w:t>
            </w:r>
          </w:p>
        </w:tc>
        <w:tc>
          <w:tcPr>
            <w:tcW w:w="1021" w:type="pct"/>
          </w:tcPr>
          <w:p w14:paraId="658F9F6D" w14:textId="77777777" w:rsidR="001F4C49" w:rsidRPr="00D53084" w:rsidRDefault="001F4C49" w:rsidP="001F4C49">
            <w:pPr>
              <w:pStyle w:val="ExhibitText"/>
              <w:jc w:val="right"/>
              <w:rPr>
                <w:sz w:val="18"/>
                <w:szCs w:val="18"/>
                <w:lang w:val="en-GB"/>
              </w:rPr>
            </w:pPr>
            <w:r w:rsidRPr="00D53084">
              <w:rPr>
                <w:sz w:val="18"/>
                <w:szCs w:val="18"/>
                <w:lang w:val="en-GB"/>
              </w:rPr>
              <w:t>88%</w:t>
            </w:r>
          </w:p>
        </w:tc>
      </w:tr>
      <w:tr w:rsidR="001F4C49" w:rsidRPr="00D53084" w14:paraId="6AE683FD" w14:textId="77777777" w:rsidTr="00122DFC">
        <w:trPr>
          <w:jc w:val="center"/>
        </w:trPr>
        <w:tc>
          <w:tcPr>
            <w:tcW w:w="1049" w:type="pct"/>
          </w:tcPr>
          <w:p w14:paraId="33878574" w14:textId="77777777" w:rsidR="001F4C49" w:rsidRPr="00D53084" w:rsidRDefault="001F4C49" w:rsidP="001F4C49">
            <w:pPr>
              <w:pStyle w:val="ExhibitText"/>
              <w:rPr>
                <w:sz w:val="18"/>
                <w:szCs w:val="18"/>
                <w:lang w:val="en-GB"/>
              </w:rPr>
            </w:pPr>
            <w:r w:rsidRPr="00D53084">
              <w:rPr>
                <w:rFonts w:eastAsiaTheme="minorEastAsia"/>
                <w:sz w:val="18"/>
                <w:szCs w:val="18"/>
                <w:lang w:val="en-GB"/>
              </w:rPr>
              <w:t>European market</w:t>
            </w:r>
          </w:p>
        </w:tc>
        <w:tc>
          <w:tcPr>
            <w:tcW w:w="897" w:type="pct"/>
          </w:tcPr>
          <w:p w14:paraId="711772AD" w14:textId="77777777" w:rsidR="001F4C49" w:rsidRPr="00D53084" w:rsidRDefault="001F4C49" w:rsidP="001F4C49">
            <w:pPr>
              <w:pStyle w:val="ExhibitText"/>
              <w:jc w:val="right"/>
              <w:rPr>
                <w:sz w:val="18"/>
                <w:szCs w:val="18"/>
                <w:lang w:val="en-GB"/>
              </w:rPr>
            </w:pPr>
            <w:r w:rsidRPr="00D53084">
              <w:rPr>
                <w:sz w:val="18"/>
                <w:szCs w:val="18"/>
                <w:lang w:val="en-GB"/>
              </w:rPr>
              <w:t>27%</w:t>
            </w:r>
          </w:p>
        </w:tc>
        <w:tc>
          <w:tcPr>
            <w:tcW w:w="1165" w:type="pct"/>
          </w:tcPr>
          <w:p w14:paraId="2B975840" w14:textId="77777777" w:rsidR="001F4C49" w:rsidRPr="00D53084" w:rsidRDefault="001F4C49" w:rsidP="001F4C49">
            <w:pPr>
              <w:pStyle w:val="ExhibitText"/>
              <w:jc w:val="right"/>
              <w:rPr>
                <w:sz w:val="18"/>
                <w:szCs w:val="18"/>
                <w:lang w:val="en-GB"/>
              </w:rPr>
            </w:pPr>
            <w:r w:rsidRPr="00D53084">
              <w:rPr>
                <w:sz w:val="18"/>
                <w:szCs w:val="18"/>
                <w:lang w:val="en-GB"/>
              </w:rPr>
              <w:t>25%</w:t>
            </w:r>
          </w:p>
        </w:tc>
        <w:tc>
          <w:tcPr>
            <w:tcW w:w="868" w:type="pct"/>
          </w:tcPr>
          <w:p w14:paraId="68215D66" w14:textId="77777777" w:rsidR="001F4C49" w:rsidRPr="00D53084" w:rsidRDefault="001F4C49" w:rsidP="001F4C49">
            <w:pPr>
              <w:pStyle w:val="ExhibitText"/>
              <w:jc w:val="right"/>
              <w:rPr>
                <w:sz w:val="18"/>
                <w:szCs w:val="18"/>
                <w:lang w:val="en-GB"/>
              </w:rPr>
            </w:pPr>
            <w:r w:rsidRPr="00D53084">
              <w:rPr>
                <w:sz w:val="18"/>
                <w:szCs w:val="18"/>
                <w:lang w:val="en-GB"/>
              </w:rPr>
              <w:t>24%</w:t>
            </w:r>
          </w:p>
        </w:tc>
        <w:tc>
          <w:tcPr>
            <w:tcW w:w="1021" w:type="pct"/>
          </w:tcPr>
          <w:p w14:paraId="6308FD33" w14:textId="77777777" w:rsidR="001F4C49" w:rsidRPr="00D53084" w:rsidRDefault="001F4C49" w:rsidP="001F4C49">
            <w:pPr>
              <w:pStyle w:val="ExhibitText"/>
              <w:jc w:val="right"/>
              <w:rPr>
                <w:sz w:val="18"/>
                <w:szCs w:val="18"/>
                <w:lang w:val="en-GB"/>
              </w:rPr>
            </w:pPr>
            <w:r w:rsidRPr="00D53084">
              <w:rPr>
                <w:sz w:val="18"/>
                <w:szCs w:val="18"/>
                <w:lang w:val="en-GB"/>
              </w:rPr>
              <w:t>-</w:t>
            </w:r>
          </w:p>
        </w:tc>
      </w:tr>
      <w:tr w:rsidR="001F4C49" w:rsidRPr="00D53084" w14:paraId="151F1B4D" w14:textId="77777777" w:rsidTr="00122DFC">
        <w:trPr>
          <w:trHeight w:val="60"/>
          <w:jc w:val="center"/>
        </w:trPr>
        <w:tc>
          <w:tcPr>
            <w:tcW w:w="1049" w:type="pct"/>
          </w:tcPr>
          <w:p w14:paraId="2862616B" w14:textId="77777777" w:rsidR="001F4C49" w:rsidRPr="00D53084" w:rsidRDefault="001F4C49" w:rsidP="00A80D93">
            <w:pPr>
              <w:pStyle w:val="ExhibitText"/>
              <w:rPr>
                <w:sz w:val="18"/>
                <w:szCs w:val="18"/>
                <w:lang w:val="en-GB"/>
              </w:rPr>
            </w:pPr>
            <w:r w:rsidRPr="00D53084">
              <w:rPr>
                <w:rFonts w:eastAsiaTheme="minorEastAsia"/>
                <w:sz w:val="18"/>
                <w:szCs w:val="18"/>
                <w:lang w:val="en-GB"/>
              </w:rPr>
              <w:t>Chinese market</w:t>
            </w:r>
          </w:p>
        </w:tc>
        <w:tc>
          <w:tcPr>
            <w:tcW w:w="897" w:type="pct"/>
            <w:vAlign w:val="center"/>
          </w:tcPr>
          <w:p w14:paraId="61401DE9" w14:textId="77777777" w:rsidR="001F4C49" w:rsidRPr="00D53084" w:rsidRDefault="001F4C49" w:rsidP="00A80D93">
            <w:pPr>
              <w:pStyle w:val="ExhibitText"/>
              <w:jc w:val="right"/>
              <w:rPr>
                <w:sz w:val="18"/>
                <w:szCs w:val="18"/>
                <w:lang w:val="en-GB"/>
              </w:rPr>
            </w:pPr>
            <w:r w:rsidRPr="00D53084">
              <w:rPr>
                <w:sz w:val="18"/>
                <w:szCs w:val="18"/>
                <w:lang w:val="en-GB"/>
              </w:rPr>
              <w:t>15%</w:t>
            </w:r>
          </w:p>
        </w:tc>
        <w:tc>
          <w:tcPr>
            <w:tcW w:w="1165" w:type="pct"/>
            <w:vAlign w:val="center"/>
          </w:tcPr>
          <w:p w14:paraId="73C85DE4" w14:textId="77777777" w:rsidR="001F4C49" w:rsidRPr="00D53084" w:rsidRDefault="001F4C49" w:rsidP="00A80D93">
            <w:pPr>
              <w:pStyle w:val="ExhibitText"/>
              <w:jc w:val="right"/>
              <w:rPr>
                <w:sz w:val="18"/>
                <w:szCs w:val="18"/>
                <w:lang w:val="en-GB"/>
              </w:rPr>
            </w:pPr>
            <w:r w:rsidRPr="00D53084">
              <w:rPr>
                <w:sz w:val="18"/>
                <w:szCs w:val="18"/>
                <w:lang w:val="en-GB"/>
              </w:rPr>
              <w:t>10%</w:t>
            </w:r>
          </w:p>
        </w:tc>
        <w:tc>
          <w:tcPr>
            <w:tcW w:w="868" w:type="pct"/>
            <w:vAlign w:val="center"/>
          </w:tcPr>
          <w:p w14:paraId="68C6E365" w14:textId="0B14EB39" w:rsidR="001F4C49" w:rsidRPr="00D53084" w:rsidRDefault="00A80D93" w:rsidP="00A80D93">
            <w:pPr>
              <w:pStyle w:val="ExhibitText"/>
              <w:jc w:val="right"/>
              <w:rPr>
                <w:sz w:val="18"/>
                <w:szCs w:val="18"/>
                <w:lang w:val="en-GB"/>
              </w:rPr>
            </w:pPr>
            <w:r w:rsidRPr="00D53084">
              <w:rPr>
                <w:sz w:val="18"/>
                <w:szCs w:val="18"/>
                <w:lang w:val="en-GB"/>
              </w:rPr>
              <w:t>(37%)</w:t>
            </w:r>
          </w:p>
        </w:tc>
        <w:tc>
          <w:tcPr>
            <w:tcW w:w="1021" w:type="pct"/>
            <w:vAlign w:val="center"/>
          </w:tcPr>
          <w:p w14:paraId="310E855D" w14:textId="77777777" w:rsidR="001F4C49" w:rsidRPr="00D53084" w:rsidRDefault="001F4C49" w:rsidP="00A80D93">
            <w:pPr>
              <w:pStyle w:val="ExhibitText"/>
              <w:jc w:val="right"/>
              <w:rPr>
                <w:sz w:val="18"/>
                <w:szCs w:val="18"/>
                <w:lang w:val="en-GB"/>
              </w:rPr>
            </w:pPr>
            <w:r w:rsidRPr="00D53084">
              <w:rPr>
                <w:sz w:val="18"/>
                <w:szCs w:val="18"/>
                <w:lang w:val="en-GB"/>
              </w:rPr>
              <w:t>-</w:t>
            </w:r>
          </w:p>
        </w:tc>
      </w:tr>
      <w:tr w:rsidR="001F4C49" w:rsidRPr="00D53084" w14:paraId="2A596343" w14:textId="77777777" w:rsidTr="00122DFC">
        <w:trPr>
          <w:jc w:val="center"/>
        </w:trPr>
        <w:tc>
          <w:tcPr>
            <w:tcW w:w="1049" w:type="pct"/>
          </w:tcPr>
          <w:p w14:paraId="65671CA2" w14:textId="77777777" w:rsidR="001F4C49" w:rsidRPr="00D53084" w:rsidRDefault="001F4C49" w:rsidP="001F4C49">
            <w:pPr>
              <w:pStyle w:val="ExhibitText"/>
              <w:rPr>
                <w:sz w:val="18"/>
                <w:szCs w:val="18"/>
                <w:lang w:val="en-GB"/>
              </w:rPr>
            </w:pPr>
            <w:r w:rsidRPr="00D53084">
              <w:rPr>
                <w:rFonts w:eastAsiaTheme="minorEastAsia"/>
                <w:sz w:val="18"/>
                <w:szCs w:val="18"/>
                <w:lang w:val="en-GB"/>
              </w:rPr>
              <w:t>Japanese market</w:t>
            </w:r>
          </w:p>
        </w:tc>
        <w:tc>
          <w:tcPr>
            <w:tcW w:w="897" w:type="pct"/>
          </w:tcPr>
          <w:p w14:paraId="3FC24D84" w14:textId="1B669855" w:rsidR="001F4C49" w:rsidRPr="00D53084" w:rsidRDefault="001F4C49" w:rsidP="001F4C49">
            <w:pPr>
              <w:pStyle w:val="ExhibitText"/>
              <w:jc w:val="right"/>
              <w:rPr>
                <w:sz w:val="18"/>
                <w:szCs w:val="18"/>
                <w:lang w:val="en-GB"/>
              </w:rPr>
            </w:pPr>
            <w:r w:rsidRPr="00D53084">
              <w:rPr>
                <w:sz w:val="18"/>
                <w:szCs w:val="18"/>
                <w:lang w:val="en-GB"/>
              </w:rPr>
              <w:t>6</w:t>
            </w:r>
            <w:r w:rsidR="007816DA" w:rsidRPr="00D53084">
              <w:rPr>
                <w:sz w:val="18"/>
                <w:szCs w:val="18"/>
                <w:lang w:val="en-GB"/>
              </w:rPr>
              <w:t>%</w:t>
            </w:r>
          </w:p>
        </w:tc>
        <w:tc>
          <w:tcPr>
            <w:tcW w:w="1165" w:type="pct"/>
          </w:tcPr>
          <w:p w14:paraId="1C24928D" w14:textId="77777777" w:rsidR="001F4C49" w:rsidRPr="00D53084" w:rsidRDefault="001F4C49" w:rsidP="001F4C49">
            <w:pPr>
              <w:pStyle w:val="ExhibitText"/>
              <w:jc w:val="right"/>
              <w:rPr>
                <w:sz w:val="18"/>
                <w:szCs w:val="18"/>
                <w:lang w:val="en-GB"/>
              </w:rPr>
            </w:pPr>
            <w:r w:rsidRPr="00D53084">
              <w:rPr>
                <w:sz w:val="18"/>
                <w:szCs w:val="18"/>
                <w:lang w:val="en-GB"/>
              </w:rPr>
              <w:t>2.5%</w:t>
            </w:r>
          </w:p>
        </w:tc>
        <w:tc>
          <w:tcPr>
            <w:tcW w:w="868" w:type="pct"/>
          </w:tcPr>
          <w:p w14:paraId="4216FDA5" w14:textId="77777777" w:rsidR="001F4C49" w:rsidRPr="00D53084" w:rsidRDefault="001F4C49" w:rsidP="001F4C49">
            <w:pPr>
              <w:pStyle w:val="ExhibitText"/>
              <w:jc w:val="right"/>
              <w:rPr>
                <w:sz w:val="18"/>
                <w:szCs w:val="18"/>
                <w:lang w:val="en-GB"/>
              </w:rPr>
            </w:pPr>
            <w:r w:rsidRPr="00D53084">
              <w:rPr>
                <w:sz w:val="18"/>
                <w:szCs w:val="18"/>
                <w:lang w:val="en-GB"/>
              </w:rPr>
              <w:t>-</w:t>
            </w:r>
          </w:p>
        </w:tc>
        <w:tc>
          <w:tcPr>
            <w:tcW w:w="1021" w:type="pct"/>
          </w:tcPr>
          <w:p w14:paraId="070D754B" w14:textId="77777777" w:rsidR="001F4C49" w:rsidRPr="00D53084" w:rsidRDefault="001F4C49" w:rsidP="001F4C49">
            <w:pPr>
              <w:pStyle w:val="ExhibitText"/>
              <w:jc w:val="right"/>
              <w:rPr>
                <w:sz w:val="18"/>
                <w:szCs w:val="18"/>
                <w:lang w:val="en-GB"/>
              </w:rPr>
            </w:pPr>
            <w:r w:rsidRPr="00D53084">
              <w:rPr>
                <w:sz w:val="18"/>
                <w:szCs w:val="18"/>
                <w:lang w:val="en-GB"/>
              </w:rPr>
              <w:t>-</w:t>
            </w:r>
          </w:p>
        </w:tc>
      </w:tr>
    </w:tbl>
    <w:p w14:paraId="29D8DDEC" w14:textId="77777777" w:rsidR="001F4C49" w:rsidRPr="00D53084" w:rsidRDefault="001F4C49" w:rsidP="001F4C49">
      <w:pPr>
        <w:pStyle w:val="BodyTextMain"/>
        <w:rPr>
          <w:sz w:val="17"/>
          <w:szCs w:val="17"/>
          <w:lang w:val="en-GB"/>
        </w:rPr>
      </w:pPr>
    </w:p>
    <w:p w14:paraId="4241D0D7" w14:textId="72124AC8" w:rsidR="001F4C49" w:rsidRPr="00D53084" w:rsidRDefault="001F4C49" w:rsidP="001F4C49">
      <w:pPr>
        <w:pStyle w:val="Footnote"/>
        <w:rPr>
          <w:lang w:val="en-GB"/>
        </w:rPr>
      </w:pPr>
      <w:r w:rsidRPr="00D53084">
        <w:rPr>
          <w:lang w:val="en-GB"/>
        </w:rPr>
        <w:t>Source: Technavio</w:t>
      </w:r>
      <w:r w:rsidR="007228E3" w:rsidRPr="00D53084">
        <w:rPr>
          <w:lang w:val="en-GB"/>
        </w:rPr>
        <w:t>.com</w:t>
      </w:r>
      <w:r w:rsidR="007816DA" w:rsidRPr="00D53084">
        <w:rPr>
          <w:lang w:val="en-GB"/>
        </w:rPr>
        <w:t>,</w:t>
      </w:r>
      <w:r w:rsidRPr="00D53084">
        <w:rPr>
          <w:lang w:val="en-GB"/>
        </w:rPr>
        <w:t xml:space="preserve"> </w:t>
      </w:r>
      <w:r w:rsidRPr="00D53084">
        <w:rPr>
          <w:i/>
          <w:lang w:val="en-GB"/>
        </w:rPr>
        <w:t xml:space="preserve">Global Sports </w:t>
      </w:r>
      <w:r w:rsidR="007816DA" w:rsidRPr="00D53084">
        <w:rPr>
          <w:i/>
          <w:lang w:val="en-GB"/>
        </w:rPr>
        <w:t xml:space="preserve">and Fitness </w:t>
      </w:r>
      <w:r w:rsidRPr="00D53084">
        <w:rPr>
          <w:i/>
          <w:lang w:val="en-GB"/>
        </w:rPr>
        <w:t xml:space="preserve">Wear </w:t>
      </w:r>
      <w:r w:rsidR="007816DA" w:rsidRPr="00D53084">
        <w:rPr>
          <w:i/>
          <w:lang w:val="en-GB"/>
        </w:rPr>
        <w:t>M</w:t>
      </w:r>
      <w:r w:rsidRPr="00D53084">
        <w:rPr>
          <w:i/>
          <w:lang w:val="en-GB"/>
        </w:rPr>
        <w:t>arket</w:t>
      </w:r>
      <w:r w:rsidRPr="00D53084">
        <w:rPr>
          <w:lang w:val="en-GB"/>
        </w:rPr>
        <w:t xml:space="preserve"> </w:t>
      </w:r>
      <w:r w:rsidRPr="00D53084">
        <w:rPr>
          <w:i/>
          <w:lang w:val="en-GB"/>
        </w:rPr>
        <w:t>2016</w:t>
      </w:r>
      <w:r w:rsidR="007816DA" w:rsidRPr="00D53084">
        <w:rPr>
          <w:i/>
          <w:lang w:val="en-GB"/>
        </w:rPr>
        <w:t>–</w:t>
      </w:r>
      <w:r w:rsidRPr="00D53084">
        <w:rPr>
          <w:i/>
          <w:lang w:val="en-GB"/>
        </w:rPr>
        <w:t>2020</w:t>
      </w:r>
      <w:r w:rsidRPr="00D53084">
        <w:rPr>
          <w:lang w:val="en-GB"/>
        </w:rPr>
        <w:t xml:space="preserve"> </w:t>
      </w:r>
      <w:r w:rsidR="007228E3" w:rsidRPr="00D53084">
        <w:rPr>
          <w:lang w:val="en-GB"/>
        </w:rPr>
        <w:t xml:space="preserve">(Elmhurst, IL: Infinity Research Limited: 2016), </w:t>
      </w:r>
      <w:r w:rsidR="00A12EB5" w:rsidRPr="00D53084">
        <w:rPr>
          <w:rFonts w:eastAsiaTheme="minorEastAsia"/>
          <w:lang w:val="en-GB" w:eastAsia="zh-CN"/>
        </w:rPr>
        <w:t xml:space="preserve">accessed July 17, 2018, </w:t>
      </w:r>
      <w:r w:rsidR="007228E3" w:rsidRPr="00D53084">
        <w:rPr>
          <w:lang w:val="en-GB"/>
        </w:rPr>
        <w:t>www.emis.com/php/search/pdf2html?pc=YY&amp;doc_id=557991480&amp;type=2</w:t>
      </w:r>
      <w:r w:rsidR="007816DA" w:rsidRPr="00D53084">
        <w:rPr>
          <w:lang w:val="en-GB"/>
        </w:rPr>
        <w:t>.</w:t>
      </w:r>
    </w:p>
    <w:p w14:paraId="71F5973A" w14:textId="77777777" w:rsidR="001F4C49" w:rsidRPr="00D53084" w:rsidRDefault="001F4C49" w:rsidP="00A80D93">
      <w:pPr>
        <w:pStyle w:val="BodyTextMain"/>
        <w:rPr>
          <w:sz w:val="13"/>
          <w:szCs w:val="17"/>
          <w:lang w:val="en-GB"/>
        </w:rPr>
      </w:pPr>
    </w:p>
    <w:p w14:paraId="75B78514" w14:textId="77777777" w:rsidR="001F4C49" w:rsidRPr="00D53084" w:rsidRDefault="001F4C49" w:rsidP="00A80D93">
      <w:pPr>
        <w:pStyle w:val="BodyTextMain"/>
        <w:rPr>
          <w:sz w:val="13"/>
          <w:szCs w:val="17"/>
          <w:lang w:val="en-GB"/>
        </w:rPr>
      </w:pPr>
    </w:p>
    <w:p w14:paraId="247A0A1B" w14:textId="1C42B364" w:rsidR="001F4C49" w:rsidRPr="00D53084" w:rsidRDefault="001F4C49" w:rsidP="00A80D93">
      <w:pPr>
        <w:pStyle w:val="ExhibitHeading"/>
        <w:rPr>
          <w:lang w:val="en-GB"/>
        </w:rPr>
      </w:pPr>
      <w:r w:rsidRPr="00D53084">
        <w:rPr>
          <w:lang w:val="en-GB"/>
        </w:rPr>
        <w:t>Exhibit 4: Sales Data of Shenzhou International’s Key Accounts (</w:t>
      </w:r>
      <w:r w:rsidR="007816DA" w:rsidRPr="00D53084">
        <w:rPr>
          <w:lang w:val="en-GB"/>
        </w:rPr>
        <w:t>in</w:t>
      </w:r>
      <w:r w:rsidRPr="00D53084">
        <w:rPr>
          <w:lang w:val="en-GB"/>
        </w:rPr>
        <w:t xml:space="preserve"> ¥ million</w:t>
      </w:r>
      <w:r w:rsidR="007816DA" w:rsidRPr="00D53084">
        <w:rPr>
          <w:lang w:val="en-GB"/>
        </w:rPr>
        <w:t>s</w:t>
      </w:r>
      <w:r w:rsidRPr="00D53084">
        <w:rPr>
          <w:lang w:val="en-GB"/>
        </w:rPr>
        <w:t>)</w:t>
      </w:r>
    </w:p>
    <w:p w14:paraId="546867A0" w14:textId="77777777" w:rsidR="00A80D93" w:rsidRPr="00D53084" w:rsidRDefault="00A80D93" w:rsidP="008E3273">
      <w:pPr>
        <w:pStyle w:val="FootnoteText"/>
        <w:rPr>
          <w:sz w:val="16"/>
          <w:szCs w:val="16"/>
          <w:lang w:val="en-GB"/>
        </w:rPr>
      </w:pPr>
    </w:p>
    <w:tbl>
      <w:tblPr>
        <w:tblStyle w:val="TableGrid"/>
        <w:tblW w:w="4763" w:type="pct"/>
        <w:jc w:val="center"/>
        <w:tblLook w:val="00A0" w:firstRow="1" w:lastRow="0" w:firstColumn="1" w:lastColumn="0" w:noHBand="0" w:noVBand="0"/>
      </w:tblPr>
      <w:tblGrid>
        <w:gridCol w:w="1610"/>
        <w:gridCol w:w="1049"/>
        <w:gridCol w:w="1384"/>
        <w:gridCol w:w="1049"/>
        <w:gridCol w:w="1384"/>
        <w:gridCol w:w="1049"/>
        <w:gridCol w:w="1382"/>
      </w:tblGrid>
      <w:tr w:rsidR="00A80D93" w:rsidRPr="00D53084" w14:paraId="31C3178B" w14:textId="77777777" w:rsidTr="00122DFC">
        <w:trPr>
          <w:jc w:val="center"/>
        </w:trPr>
        <w:tc>
          <w:tcPr>
            <w:tcW w:w="903" w:type="pct"/>
          </w:tcPr>
          <w:p w14:paraId="78E27A4F" w14:textId="77777777" w:rsidR="001F4C49" w:rsidRPr="00D53084" w:rsidRDefault="001F4C49" w:rsidP="00A80D93">
            <w:pPr>
              <w:pStyle w:val="ExhibitText"/>
              <w:rPr>
                <w:b/>
                <w:sz w:val="18"/>
                <w:szCs w:val="18"/>
                <w:lang w:val="en-GB"/>
              </w:rPr>
            </w:pPr>
          </w:p>
        </w:tc>
        <w:tc>
          <w:tcPr>
            <w:tcW w:w="1366" w:type="pct"/>
            <w:gridSpan w:val="2"/>
          </w:tcPr>
          <w:p w14:paraId="237B1400" w14:textId="77777777" w:rsidR="001F4C49" w:rsidRPr="00D53084" w:rsidRDefault="001F4C49" w:rsidP="00A80D93">
            <w:pPr>
              <w:pStyle w:val="ExhibitText"/>
              <w:jc w:val="center"/>
              <w:rPr>
                <w:b/>
                <w:sz w:val="18"/>
                <w:szCs w:val="18"/>
                <w:lang w:val="en-GB"/>
              </w:rPr>
            </w:pPr>
            <w:r w:rsidRPr="00D53084">
              <w:rPr>
                <w:b/>
                <w:sz w:val="18"/>
                <w:szCs w:val="18"/>
                <w:lang w:val="en-GB"/>
              </w:rPr>
              <w:t>2014</w:t>
            </w:r>
          </w:p>
        </w:tc>
        <w:tc>
          <w:tcPr>
            <w:tcW w:w="1366" w:type="pct"/>
            <w:gridSpan w:val="2"/>
          </w:tcPr>
          <w:p w14:paraId="43BAFBAC" w14:textId="77777777" w:rsidR="001F4C49" w:rsidRPr="00D53084" w:rsidRDefault="001F4C49" w:rsidP="00A80D93">
            <w:pPr>
              <w:pStyle w:val="ExhibitText"/>
              <w:jc w:val="center"/>
              <w:rPr>
                <w:b/>
                <w:sz w:val="18"/>
                <w:szCs w:val="18"/>
                <w:lang w:val="en-GB"/>
              </w:rPr>
            </w:pPr>
            <w:r w:rsidRPr="00D53084">
              <w:rPr>
                <w:b/>
                <w:sz w:val="18"/>
                <w:szCs w:val="18"/>
                <w:lang w:val="en-GB"/>
              </w:rPr>
              <w:t>2015</w:t>
            </w:r>
          </w:p>
        </w:tc>
        <w:tc>
          <w:tcPr>
            <w:tcW w:w="1366" w:type="pct"/>
            <w:gridSpan w:val="2"/>
          </w:tcPr>
          <w:p w14:paraId="7755CDBF" w14:textId="77777777" w:rsidR="001F4C49" w:rsidRPr="00D53084" w:rsidRDefault="001F4C49" w:rsidP="00A80D93">
            <w:pPr>
              <w:pStyle w:val="ExhibitText"/>
              <w:jc w:val="center"/>
              <w:rPr>
                <w:b/>
                <w:sz w:val="18"/>
                <w:szCs w:val="18"/>
                <w:lang w:val="en-GB"/>
              </w:rPr>
            </w:pPr>
            <w:r w:rsidRPr="00D53084">
              <w:rPr>
                <w:b/>
                <w:sz w:val="18"/>
                <w:szCs w:val="18"/>
                <w:lang w:val="en-GB"/>
              </w:rPr>
              <w:t>2016E</w:t>
            </w:r>
          </w:p>
        </w:tc>
      </w:tr>
      <w:tr w:rsidR="00A80D93" w:rsidRPr="00D53084" w14:paraId="103D2909" w14:textId="77777777" w:rsidTr="00122DFC">
        <w:trPr>
          <w:jc w:val="center"/>
        </w:trPr>
        <w:tc>
          <w:tcPr>
            <w:tcW w:w="903" w:type="pct"/>
          </w:tcPr>
          <w:p w14:paraId="246AEC6A" w14:textId="77777777" w:rsidR="001F4C49" w:rsidRPr="00D53084" w:rsidRDefault="001F4C49" w:rsidP="00A80D93">
            <w:pPr>
              <w:pStyle w:val="ExhibitText"/>
              <w:rPr>
                <w:b/>
                <w:sz w:val="18"/>
                <w:szCs w:val="18"/>
                <w:lang w:val="en-GB"/>
              </w:rPr>
            </w:pPr>
          </w:p>
        </w:tc>
        <w:tc>
          <w:tcPr>
            <w:tcW w:w="589" w:type="pct"/>
          </w:tcPr>
          <w:p w14:paraId="34FC6BD6" w14:textId="77777777" w:rsidR="001F4C49" w:rsidRPr="00D53084" w:rsidRDefault="001F4C49" w:rsidP="00A80D93">
            <w:pPr>
              <w:pStyle w:val="ExhibitText"/>
              <w:jc w:val="center"/>
              <w:rPr>
                <w:b/>
                <w:sz w:val="18"/>
                <w:szCs w:val="18"/>
                <w:lang w:val="en-GB"/>
              </w:rPr>
            </w:pPr>
            <w:r w:rsidRPr="00D53084">
              <w:rPr>
                <w:b/>
                <w:sz w:val="18"/>
                <w:szCs w:val="18"/>
                <w:lang w:val="en-GB"/>
              </w:rPr>
              <w:t>Revenue</w:t>
            </w:r>
          </w:p>
        </w:tc>
        <w:tc>
          <w:tcPr>
            <w:tcW w:w="776" w:type="pct"/>
          </w:tcPr>
          <w:p w14:paraId="52C1B59A" w14:textId="7D36C54B" w:rsidR="001F4C49" w:rsidRPr="00D53084" w:rsidRDefault="001F4C49" w:rsidP="00A80D93">
            <w:pPr>
              <w:pStyle w:val="ExhibitText"/>
              <w:jc w:val="center"/>
              <w:rPr>
                <w:b/>
                <w:sz w:val="18"/>
                <w:szCs w:val="18"/>
                <w:lang w:val="en-GB"/>
              </w:rPr>
            </w:pPr>
            <w:r w:rsidRPr="00D53084">
              <w:rPr>
                <w:b/>
                <w:sz w:val="18"/>
                <w:szCs w:val="18"/>
                <w:lang w:val="en-GB"/>
              </w:rPr>
              <w:t>Sales contribution</w:t>
            </w:r>
          </w:p>
        </w:tc>
        <w:tc>
          <w:tcPr>
            <w:tcW w:w="589" w:type="pct"/>
          </w:tcPr>
          <w:p w14:paraId="6C60AC02" w14:textId="77777777" w:rsidR="001F4C49" w:rsidRPr="00D53084" w:rsidRDefault="001F4C49" w:rsidP="00A80D93">
            <w:pPr>
              <w:pStyle w:val="ExhibitText"/>
              <w:jc w:val="center"/>
              <w:rPr>
                <w:b/>
                <w:sz w:val="18"/>
                <w:szCs w:val="18"/>
                <w:lang w:val="en-GB"/>
              </w:rPr>
            </w:pPr>
            <w:r w:rsidRPr="00D53084">
              <w:rPr>
                <w:b/>
                <w:sz w:val="18"/>
                <w:szCs w:val="18"/>
                <w:lang w:val="en-GB"/>
              </w:rPr>
              <w:t>Revenue</w:t>
            </w:r>
          </w:p>
        </w:tc>
        <w:tc>
          <w:tcPr>
            <w:tcW w:w="776" w:type="pct"/>
          </w:tcPr>
          <w:p w14:paraId="53B3CB7A" w14:textId="77777777" w:rsidR="001F4C49" w:rsidRPr="00D53084" w:rsidRDefault="001F4C49" w:rsidP="00A80D93">
            <w:pPr>
              <w:pStyle w:val="ExhibitText"/>
              <w:jc w:val="center"/>
              <w:rPr>
                <w:b/>
                <w:sz w:val="18"/>
                <w:szCs w:val="18"/>
                <w:lang w:val="en-GB"/>
              </w:rPr>
            </w:pPr>
            <w:r w:rsidRPr="00D53084">
              <w:rPr>
                <w:b/>
                <w:sz w:val="18"/>
                <w:szCs w:val="18"/>
                <w:lang w:val="en-GB"/>
              </w:rPr>
              <w:t>Sales contribution</w:t>
            </w:r>
          </w:p>
        </w:tc>
        <w:tc>
          <w:tcPr>
            <w:tcW w:w="589" w:type="pct"/>
          </w:tcPr>
          <w:p w14:paraId="3391DFD0" w14:textId="77777777" w:rsidR="001F4C49" w:rsidRPr="00D53084" w:rsidRDefault="001F4C49" w:rsidP="00A80D93">
            <w:pPr>
              <w:pStyle w:val="ExhibitText"/>
              <w:jc w:val="center"/>
              <w:rPr>
                <w:b/>
                <w:sz w:val="18"/>
                <w:szCs w:val="18"/>
                <w:lang w:val="en-GB"/>
              </w:rPr>
            </w:pPr>
            <w:r w:rsidRPr="00D53084">
              <w:rPr>
                <w:b/>
                <w:sz w:val="18"/>
                <w:szCs w:val="18"/>
                <w:lang w:val="en-GB"/>
              </w:rPr>
              <w:t>Revenue</w:t>
            </w:r>
          </w:p>
        </w:tc>
        <w:tc>
          <w:tcPr>
            <w:tcW w:w="776" w:type="pct"/>
          </w:tcPr>
          <w:p w14:paraId="7E43F5E4" w14:textId="77777777" w:rsidR="001F4C49" w:rsidRPr="00D53084" w:rsidRDefault="001F4C49" w:rsidP="00A80D93">
            <w:pPr>
              <w:pStyle w:val="ExhibitText"/>
              <w:jc w:val="center"/>
              <w:rPr>
                <w:b/>
                <w:sz w:val="18"/>
                <w:szCs w:val="18"/>
                <w:lang w:val="en-GB"/>
              </w:rPr>
            </w:pPr>
            <w:r w:rsidRPr="00D53084">
              <w:rPr>
                <w:b/>
                <w:sz w:val="18"/>
                <w:szCs w:val="18"/>
                <w:lang w:val="en-GB"/>
              </w:rPr>
              <w:t>Sales contribution</w:t>
            </w:r>
          </w:p>
        </w:tc>
      </w:tr>
      <w:tr w:rsidR="00A80D93" w:rsidRPr="00D53084" w14:paraId="0503BA36" w14:textId="77777777" w:rsidTr="00122DFC">
        <w:trPr>
          <w:jc w:val="center"/>
        </w:trPr>
        <w:tc>
          <w:tcPr>
            <w:tcW w:w="903" w:type="pct"/>
          </w:tcPr>
          <w:p w14:paraId="155C05D4" w14:textId="77777777" w:rsidR="001F4C49" w:rsidRPr="00D53084" w:rsidRDefault="001F4C49" w:rsidP="00A80D93">
            <w:pPr>
              <w:pStyle w:val="ExhibitText"/>
              <w:rPr>
                <w:sz w:val="18"/>
                <w:szCs w:val="18"/>
                <w:lang w:val="en-GB"/>
              </w:rPr>
            </w:pPr>
            <w:proofErr w:type="spellStart"/>
            <w:r w:rsidRPr="00D53084">
              <w:rPr>
                <w:sz w:val="18"/>
                <w:szCs w:val="18"/>
                <w:lang w:val="en-GB"/>
              </w:rPr>
              <w:t>Uniqlo</w:t>
            </w:r>
            <w:proofErr w:type="spellEnd"/>
          </w:p>
        </w:tc>
        <w:tc>
          <w:tcPr>
            <w:tcW w:w="589" w:type="pct"/>
          </w:tcPr>
          <w:p w14:paraId="06585B67" w14:textId="6F502E47" w:rsidR="001F4C49" w:rsidRPr="00D53084" w:rsidRDefault="001F4C49" w:rsidP="00A80D93">
            <w:pPr>
              <w:pStyle w:val="ExhibitText"/>
              <w:jc w:val="right"/>
              <w:rPr>
                <w:sz w:val="18"/>
                <w:szCs w:val="18"/>
                <w:lang w:val="en-GB"/>
              </w:rPr>
            </w:pPr>
            <w:r w:rsidRPr="00D53084">
              <w:rPr>
                <w:sz w:val="18"/>
                <w:szCs w:val="18"/>
                <w:lang w:val="en-GB"/>
              </w:rPr>
              <w:t>3,536</w:t>
            </w:r>
          </w:p>
        </w:tc>
        <w:tc>
          <w:tcPr>
            <w:tcW w:w="776" w:type="pct"/>
          </w:tcPr>
          <w:p w14:paraId="06B7398A" w14:textId="77777777" w:rsidR="001F4C49" w:rsidRPr="00D53084" w:rsidRDefault="001F4C49" w:rsidP="00A80D93">
            <w:pPr>
              <w:pStyle w:val="ExhibitText"/>
              <w:jc w:val="right"/>
              <w:rPr>
                <w:sz w:val="18"/>
                <w:szCs w:val="18"/>
                <w:lang w:val="en-GB"/>
              </w:rPr>
            </w:pPr>
            <w:r w:rsidRPr="00D53084">
              <w:rPr>
                <w:sz w:val="18"/>
                <w:szCs w:val="18"/>
                <w:lang w:val="en-GB"/>
              </w:rPr>
              <w:t>31.8%</w:t>
            </w:r>
          </w:p>
        </w:tc>
        <w:tc>
          <w:tcPr>
            <w:tcW w:w="589" w:type="pct"/>
          </w:tcPr>
          <w:p w14:paraId="3E2722AC" w14:textId="77777777" w:rsidR="001F4C49" w:rsidRPr="00D53084" w:rsidRDefault="001F4C49" w:rsidP="00A80D93">
            <w:pPr>
              <w:pStyle w:val="ExhibitText"/>
              <w:jc w:val="right"/>
              <w:rPr>
                <w:sz w:val="18"/>
                <w:szCs w:val="18"/>
                <w:lang w:val="en-GB"/>
              </w:rPr>
            </w:pPr>
            <w:r w:rsidRPr="00D53084">
              <w:rPr>
                <w:sz w:val="18"/>
                <w:szCs w:val="18"/>
                <w:lang w:val="en-GB"/>
              </w:rPr>
              <w:t>3,837</w:t>
            </w:r>
          </w:p>
        </w:tc>
        <w:tc>
          <w:tcPr>
            <w:tcW w:w="776" w:type="pct"/>
          </w:tcPr>
          <w:p w14:paraId="7E69FB85" w14:textId="77777777" w:rsidR="001F4C49" w:rsidRPr="00D53084" w:rsidRDefault="001F4C49" w:rsidP="00A80D93">
            <w:pPr>
              <w:pStyle w:val="ExhibitText"/>
              <w:jc w:val="right"/>
              <w:rPr>
                <w:sz w:val="18"/>
                <w:szCs w:val="18"/>
                <w:lang w:val="en-GB"/>
              </w:rPr>
            </w:pPr>
            <w:r w:rsidRPr="00D53084">
              <w:rPr>
                <w:sz w:val="18"/>
                <w:szCs w:val="18"/>
                <w:lang w:val="en-GB"/>
              </w:rPr>
              <w:t>30.4%</w:t>
            </w:r>
          </w:p>
        </w:tc>
        <w:tc>
          <w:tcPr>
            <w:tcW w:w="589" w:type="pct"/>
          </w:tcPr>
          <w:p w14:paraId="42E311C1" w14:textId="77777777" w:rsidR="001F4C49" w:rsidRPr="00D53084" w:rsidRDefault="001F4C49" w:rsidP="00A80D93">
            <w:pPr>
              <w:pStyle w:val="ExhibitText"/>
              <w:jc w:val="right"/>
              <w:rPr>
                <w:sz w:val="18"/>
                <w:szCs w:val="18"/>
                <w:lang w:val="en-GB"/>
              </w:rPr>
            </w:pPr>
            <w:r w:rsidRPr="00D53084">
              <w:rPr>
                <w:sz w:val="18"/>
                <w:szCs w:val="18"/>
                <w:lang w:val="en-GB"/>
              </w:rPr>
              <w:t>4,675</w:t>
            </w:r>
          </w:p>
        </w:tc>
        <w:tc>
          <w:tcPr>
            <w:tcW w:w="776" w:type="pct"/>
          </w:tcPr>
          <w:p w14:paraId="1C2CFD72" w14:textId="77777777" w:rsidR="001F4C49" w:rsidRPr="00D53084" w:rsidRDefault="001F4C49" w:rsidP="00A80D93">
            <w:pPr>
              <w:pStyle w:val="ExhibitText"/>
              <w:jc w:val="right"/>
              <w:rPr>
                <w:sz w:val="18"/>
                <w:szCs w:val="18"/>
                <w:lang w:val="en-GB"/>
              </w:rPr>
            </w:pPr>
            <w:r w:rsidRPr="00D53084">
              <w:rPr>
                <w:sz w:val="18"/>
                <w:szCs w:val="18"/>
                <w:lang w:val="en-GB"/>
              </w:rPr>
              <w:t>30.3%</w:t>
            </w:r>
          </w:p>
        </w:tc>
      </w:tr>
      <w:tr w:rsidR="00A80D93" w:rsidRPr="00D53084" w14:paraId="3EA27FBE" w14:textId="77777777" w:rsidTr="00122DFC">
        <w:trPr>
          <w:jc w:val="center"/>
        </w:trPr>
        <w:tc>
          <w:tcPr>
            <w:tcW w:w="903" w:type="pct"/>
          </w:tcPr>
          <w:p w14:paraId="7B0B5B24" w14:textId="77777777" w:rsidR="001F4C49" w:rsidRPr="00D53084" w:rsidRDefault="001F4C49" w:rsidP="00A80D93">
            <w:pPr>
              <w:pStyle w:val="ExhibitText"/>
              <w:rPr>
                <w:sz w:val="18"/>
                <w:szCs w:val="18"/>
                <w:lang w:val="en-GB"/>
              </w:rPr>
            </w:pPr>
            <w:r w:rsidRPr="00D53084">
              <w:rPr>
                <w:sz w:val="18"/>
                <w:szCs w:val="18"/>
                <w:lang w:val="en-GB"/>
              </w:rPr>
              <w:t>-Coats</w:t>
            </w:r>
          </w:p>
        </w:tc>
        <w:tc>
          <w:tcPr>
            <w:tcW w:w="589" w:type="pct"/>
          </w:tcPr>
          <w:p w14:paraId="7DB476C0" w14:textId="5BC08198" w:rsidR="001F4C49" w:rsidRPr="00D53084" w:rsidRDefault="001F4C49" w:rsidP="00A80D93">
            <w:pPr>
              <w:pStyle w:val="ExhibitText"/>
              <w:jc w:val="right"/>
              <w:rPr>
                <w:sz w:val="18"/>
                <w:szCs w:val="18"/>
                <w:lang w:val="en-GB"/>
              </w:rPr>
            </w:pPr>
            <w:r w:rsidRPr="00D53084">
              <w:rPr>
                <w:sz w:val="18"/>
                <w:szCs w:val="18"/>
                <w:lang w:val="en-GB"/>
              </w:rPr>
              <w:t>2,332</w:t>
            </w:r>
          </w:p>
        </w:tc>
        <w:tc>
          <w:tcPr>
            <w:tcW w:w="776" w:type="pct"/>
          </w:tcPr>
          <w:p w14:paraId="0F3C9B90" w14:textId="77777777" w:rsidR="001F4C49" w:rsidRPr="00D53084" w:rsidRDefault="001F4C49" w:rsidP="00A80D93">
            <w:pPr>
              <w:pStyle w:val="ExhibitText"/>
              <w:jc w:val="right"/>
              <w:rPr>
                <w:sz w:val="18"/>
                <w:szCs w:val="18"/>
                <w:lang w:val="en-GB"/>
              </w:rPr>
            </w:pPr>
            <w:r w:rsidRPr="00D53084">
              <w:rPr>
                <w:sz w:val="18"/>
                <w:szCs w:val="18"/>
                <w:lang w:val="en-GB"/>
              </w:rPr>
              <w:t>20.9%</w:t>
            </w:r>
          </w:p>
        </w:tc>
        <w:tc>
          <w:tcPr>
            <w:tcW w:w="589" w:type="pct"/>
          </w:tcPr>
          <w:p w14:paraId="2328A7E0" w14:textId="77777777" w:rsidR="001F4C49" w:rsidRPr="00D53084" w:rsidRDefault="001F4C49" w:rsidP="00A80D93">
            <w:pPr>
              <w:pStyle w:val="ExhibitText"/>
              <w:jc w:val="right"/>
              <w:rPr>
                <w:sz w:val="18"/>
                <w:szCs w:val="18"/>
                <w:lang w:val="en-GB"/>
              </w:rPr>
            </w:pPr>
            <w:r w:rsidRPr="00D53084">
              <w:rPr>
                <w:sz w:val="18"/>
                <w:szCs w:val="18"/>
                <w:lang w:val="en-GB"/>
              </w:rPr>
              <w:t>3,137</w:t>
            </w:r>
          </w:p>
        </w:tc>
        <w:tc>
          <w:tcPr>
            <w:tcW w:w="776" w:type="pct"/>
          </w:tcPr>
          <w:p w14:paraId="69BCF791" w14:textId="77777777" w:rsidR="001F4C49" w:rsidRPr="00D53084" w:rsidRDefault="001F4C49" w:rsidP="00A80D93">
            <w:pPr>
              <w:pStyle w:val="ExhibitText"/>
              <w:jc w:val="right"/>
              <w:rPr>
                <w:sz w:val="18"/>
                <w:szCs w:val="18"/>
                <w:lang w:val="en-GB"/>
              </w:rPr>
            </w:pPr>
            <w:r w:rsidRPr="00D53084">
              <w:rPr>
                <w:sz w:val="18"/>
                <w:szCs w:val="18"/>
                <w:lang w:val="en-GB"/>
              </w:rPr>
              <w:t>24.8%</w:t>
            </w:r>
          </w:p>
        </w:tc>
        <w:tc>
          <w:tcPr>
            <w:tcW w:w="589" w:type="pct"/>
          </w:tcPr>
          <w:p w14:paraId="1172628D" w14:textId="77777777" w:rsidR="001F4C49" w:rsidRPr="00D53084" w:rsidRDefault="001F4C49" w:rsidP="00A80D93">
            <w:pPr>
              <w:pStyle w:val="ExhibitText"/>
              <w:jc w:val="right"/>
              <w:rPr>
                <w:sz w:val="18"/>
                <w:szCs w:val="18"/>
                <w:lang w:val="en-GB"/>
              </w:rPr>
            </w:pPr>
            <w:r w:rsidRPr="00D53084">
              <w:rPr>
                <w:sz w:val="18"/>
                <w:szCs w:val="18"/>
                <w:lang w:val="en-GB"/>
              </w:rPr>
              <w:t>3,765</w:t>
            </w:r>
          </w:p>
        </w:tc>
        <w:tc>
          <w:tcPr>
            <w:tcW w:w="776" w:type="pct"/>
          </w:tcPr>
          <w:p w14:paraId="6C3B6BC6" w14:textId="77777777" w:rsidR="001F4C49" w:rsidRPr="00D53084" w:rsidRDefault="001F4C49" w:rsidP="00A80D93">
            <w:pPr>
              <w:pStyle w:val="ExhibitText"/>
              <w:jc w:val="right"/>
              <w:rPr>
                <w:sz w:val="18"/>
                <w:szCs w:val="18"/>
                <w:lang w:val="en-GB"/>
              </w:rPr>
            </w:pPr>
            <w:r w:rsidRPr="00D53084">
              <w:rPr>
                <w:sz w:val="18"/>
                <w:szCs w:val="18"/>
                <w:lang w:val="en-GB"/>
              </w:rPr>
              <w:t>24.4%</w:t>
            </w:r>
          </w:p>
        </w:tc>
      </w:tr>
      <w:tr w:rsidR="00A80D93" w:rsidRPr="00D53084" w14:paraId="4DB2E4AC" w14:textId="77777777" w:rsidTr="00122DFC">
        <w:trPr>
          <w:jc w:val="center"/>
        </w:trPr>
        <w:tc>
          <w:tcPr>
            <w:tcW w:w="903" w:type="pct"/>
          </w:tcPr>
          <w:p w14:paraId="7B0B7CC1" w14:textId="77777777" w:rsidR="001F4C49" w:rsidRPr="00D53084" w:rsidRDefault="001F4C49" w:rsidP="00A80D93">
            <w:pPr>
              <w:pStyle w:val="ExhibitText"/>
              <w:rPr>
                <w:sz w:val="18"/>
                <w:szCs w:val="18"/>
                <w:lang w:val="en-GB"/>
              </w:rPr>
            </w:pPr>
            <w:r w:rsidRPr="00D53084">
              <w:rPr>
                <w:sz w:val="18"/>
                <w:szCs w:val="18"/>
                <w:lang w:val="en-GB"/>
              </w:rPr>
              <w:t>-Underwear</w:t>
            </w:r>
          </w:p>
        </w:tc>
        <w:tc>
          <w:tcPr>
            <w:tcW w:w="589" w:type="pct"/>
          </w:tcPr>
          <w:p w14:paraId="02BDE510" w14:textId="2AB8C692" w:rsidR="001F4C49" w:rsidRPr="00D53084" w:rsidRDefault="001F4C49" w:rsidP="00A80D93">
            <w:pPr>
              <w:pStyle w:val="ExhibitText"/>
              <w:jc w:val="right"/>
              <w:rPr>
                <w:sz w:val="18"/>
                <w:szCs w:val="18"/>
                <w:lang w:val="en-GB"/>
              </w:rPr>
            </w:pPr>
            <w:r w:rsidRPr="00D53084">
              <w:rPr>
                <w:sz w:val="18"/>
                <w:szCs w:val="18"/>
                <w:lang w:val="en-GB"/>
              </w:rPr>
              <w:t>1,204</w:t>
            </w:r>
          </w:p>
        </w:tc>
        <w:tc>
          <w:tcPr>
            <w:tcW w:w="776" w:type="pct"/>
          </w:tcPr>
          <w:p w14:paraId="4A094E7C" w14:textId="77777777" w:rsidR="001F4C49" w:rsidRPr="00D53084" w:rsidRDefault="001F4C49" w:rsidP="00A80D93">
            <w:pPr>
              <w:pStyle w:val="ExhibitText"/>
              <w:jc w:val="right"/>
              <w:rPr>
                <w:sz w:val="18"/>
                <w:szCs w:val="18"/>
                <w:lang w:val="en-GB"/>
              </w:rPr>
            </w:pPr>
            <w:r w:rsidRPr="00D53084">
              <w:rPr>
                <w:sz w:val="18"/>
                <w:szCs w:val="18"/>
                <w:lang w:val="en-GB"/>
              </w:rPr>
              <w:t>10.8%</w:t>
            </w:r>
          </w:p>
        </w:tc>
        <w:tc>
          <w:tcPr>
            <w:tcW w:w="589" w:type="pct"/>
          </w:tcPr>
          <w:p w14:paraId="6214C350" w14:textId="77777777" w:rsidR="001F4C49" w:rsidRPr="00D53084" w:rsidRDefault="001F4C49" w:rsidP="00A80D93">
            <w:pPr>
              <w:pStyle w:val="ExhibitText"/>
              <w:jc w:val="right"/>
              <w:rPr>
                <w:sz w:val="18"/>
                <w:szCs w:val="18"/>
                <w:lang w:val="en-GB"/>
              </w:rPr>
            </w:pPr>
            <w:r w:rsidRPr="00D53084">
              <w:rPr>
                <w:sz w:val="18"/>
                <w:szCs w:val="18"/>
                <w:lang w:val="en-GB"/>
              </w:rPr>
              <w:t>700</w:t>
            </w:r>
          </w:p>
        </w:tc>
        <w:tc>
          <w:tcPr>
            <w:tcW w:w="776" w:type="pct"/>
          </w:tcPr>
          <w:p w14:paraId="5195C3DB" w14:textId="77777777" w:rsidR="001F4C49" w:rsidRPr="00D53084" w:rsidRDefault="001F4C49" w:rsidP="00A80D93">
            <w:pPr>
              <w:pStyle w:val="ExhibitText"/>
              <w:jc w:val="right"/>
              <w:rPr>
                <w:sz w:val="18"/>
                <w:szCs w:val="18"/>
                <w:lang w:val="en-GB"/>
              </w:rPr>
            </w:pPr>
            <w:r w:rsidRPr="00D53084">
              <w:rPr>
                <w:sz w:val="18"/>
                <w:szCs w:val="18"/>
                <w:lang w:val="en-GB"/>
              </w:rPr>
              <w:t>5.5%</w:t>
            </w:r>
          </w:p>
        </w:tc>
        <w:tc>
          <w:tcPr>
            <w:tcW w:w="589" w:type="pct"/>
          </w:tcPr>
          <w:p w14:paraId="798782B2" w14:textId="77777777" w:rsidR="001F4C49" w:rsidRPr="00D53084" w:rsidRDefault="001F4C49" w:rsidP="00A80D93">
            <w:pPr>
              <w:pStyle w:val="ExhibitText"/>
              <w:jc w:val="right"/>
              <w:rPr>
                <w:sz w:val="18"/>
                <w:szCs w:val="18"/>
                <w:lang w:val="en-GB"/>
              </w:rPr>
            </w:pPr>
            <w:r w:rsidRPr="00D53084">
              <w:rPr>
                <w:sz w:val="18"/>
                <w:szCs w:val="18"/>
                <w:lang w:val="en-GB"/>
              </w:rPr>
              <w:t>910</w:t>
            </w:r>
          </w:p>
        </w:tc>
        <w:tc>
          <w:tcPr>
            <w:tcW w:w="776" w:type="pct"/>
          </w:tcPr>
          <w:p w14:paraId="5EADD435" w14:textId="77777777" w:rsidR="001F4C49" w:rsidRPr="00D53084" w:rsidRDefault="001F4C49" w:rsidP="00A80D93">
            <w:pPr>
              <w:pStyle w:val="ExhibitText"/>
              <w:jc w:val="right"/>
              <w:rPr>
                <w:sz w:val="18"/>
                <w:szCs w:val="18"/>
                <w:lang w:val="en-GB"/>
              </w:rPr>
            </w:pPr>
            <w:r w:rsidRPr="00D53084">
              <w:rPr>
                <w:sz w:val="18"/>
                <w:szCs w:val="18"/>
                <w:lang w:val="en-GB"/>
              </w:rPr>
              <w:t>5.9%</w:t>
            </w:r>
          </w:p>
        </w:tc>
      </w:tr>
      <w:tr w:rsidR="00A80D93" w:rsidRPr="00D53084" w14:paraId="7A15C84A" w14:textId="77777777" w:rsidTr="00122DFC">
        <w:trPr>
          <w:jc w:val="center"/>
        </w:trPr>
        <w:tc>
          <w:tcPr>
            <w:tcW w:w="903" w:type="pct"/>
          </w:tcPr>
          <w:p w14:paraId="62FB7825" w14:textId="77777777" w:rsidR="001F4C49" w:rsidRPr="00D53084" w:rsidRDefault="001F4C49" w:rsidP="00A80D93">
            <w:pPr>
              <w:pStyle w:val="ExhibitText"/>
              <w:rPr>
                <w:sz w:val="18"/>
                <w:szCs w:val="18"/>
                <w:lang w:val="en-GB"/>
              </w:rPr>
            </w:pPr>
            <w:r w:rsidRPr="00D53084">
              <w:rPr>
                <w:sz w:val="18"/>
                <w:szCs w:val="18"/>
                <w:lang w:val="en-GB"/>
              </w:rPr>
              <w:t>Nike</w:t>
            </w:r>
          </w:p>
        </w:tc>
        <w:tc>
          <w:tcPr>
            <w:tcW w:w="589" w:type="pct"/>
          </w:tcPr>
          <w:p w14:paraId="643CFF3A" w14:textId="49489ADA" w:rsidR="001F4C49" w:rsidRPr="00D53084" w:rsidRDefault="001F4C49" w:rsidP="00A80D93">
            <w:pPr>
              <w:pStyle w:val="ExhibitText"/>
              <w:jc w:val="right"/>
              <w:rPr>
                <w:sz w:val="18"/>
                <w:szCs w:val="18"/>
                <w:lang w:val="en-GB"/>
              </w:rPr>
            </w:pPr>
            <w:r w:rsidRPr="00D53084">
              <w:rPr>
                <w:sz w:val="18"/>
                <w:szCs w:val="18"/>
                <w:lang w:val="en-GB"/>
              </w:rPr>
              <w:t>3,107</w:t>
            </w:r>
          </w:p>
        </w:tc>
        <w:tc>
          <w:tcPr>
            <w:tcW w:w="776" w:type="pct"/>
          </w:tcPr>
          <w:p w14:paraId="13184178" w14:textId="77777777" w:rsidR="001F4C49" w:rsidRPr="00D53084" w:rsidRDefault="001F4C49" w:rsidP="00A80D93">
            <w:pPr>
              <w:pStyle w:val="ExhibitText"/>
              <w:jc w:val="right"/>
              <w:rPr>
                <w:sz w:val="18"/>
                <w:szCs w:val="18"/>
                <w:lang w:val="en-GB"/>
              </w:rPr>
            </w:pPr>
            <w:r w:rsidRPr="00D53084">
              <w:rPr>
                <w:sz w:val="18"/>
                <w:szCs w:val="18"/>
                <w:lang w:val="en-GB"/>
              </w:rPr>
              <w:t>27.9%</w:t>
            </w:r>
          </w:p>
        </w:tc>
        <w:tc>
          <w:tcPr>
            <w:tcW w:w="589" w:type="pct"/>
          </w:tcPr>
          <w:p w14:paraId="24945390" w14:textId="77777777" w:rsidR="001F4C49" w:rsidRPr="00D53084" w:rsidRDefault="001F4C49" w:rsidP="00A80D93">
            <w:pPr>
              <w:pStyle w:val="ExhibitText"/>
              <w:jc w:val="right"/>
              <w:rPr>
                <w:sz w:val="18"/>
                <w:szCs w:val="18"/>
                <w:lang w:val="en-GB"/>
              </w:rPr>
            </w:pPr>
            <w:r w:rsidRPr="00D53084">
              <w:rPr>
                <w:sz w:val="18"/>
                <w:szCs w:val="18"/>
                <w:lang w:val="en-GB"/>
              </w:rPr>
              <w:t>3,832</w:t>
            </w:r>
          </w:p>
        </w:tc>
        <w:tc>
          <w:tcPr>
            <w:tcW w:w="776" w:type="pct"/>
          </w:tcPr>
          <w:p w14:paraId="69569347" w14:textId="77777777" w:rsidR="001F4C49" w:rsidRPr="00D53084" w:rsidRDefault="001F4C49" w:rsidP="00A80D93">
            <w:pPr>
              <w:pStyle w:val="ExhibitText"/>
              <w:jc w:val="right"/>
              <w:rPr>
                <w:sz w:val="18"/>
                <w:szCs w:val="18"/>
                <w:lang w:val="en-GB"/>
              </w:rPr>
            </w:pPr>
            <w:r w:rsidRPr="00D53084">
              <w:rPr>
                <w:sz w:val="18"/>
                <w:szCs w:val="18"/>
                <w:lang w:val="en-GB"/>
              </w:rPr>
              <w:t>30.3%</w:t>
            </w:r>
          </w:p>
        </w:tc>
        <w:tc>
          <w:tcPr>
            <w:tcW w:w="589" w:type="pct"/>
          </w:tcPr>
          <w:p w14:paraId="395CEE13" w14:textId="77777777" w:rsidR="001F4C49" w:rsidRPr="00D53084" w:rsidRDefault="001F4C49" w:rsidP="00A80D93">
            <w:pPr>
              <w:pStyle w:val="ExhibitText"/>
              <w:jc w:val="right"/>
              <w:rPr>
                <w:sz w:val="18"/>
                <w:szCs w:val="18"/>
                <w:lang w:val="en-GB"/>
              </w:rPr>
            </w:pPr>
            <w:r w:rsidRPr="00D53084">
              <w:rPr>
                <w:sz w:val="18"/>
                <w:szCs w:val="18"/>
                <w:lang w:val="en-GB"/>
              </w:rPr>
              <w:t>5,009</w:t>
            </w:r>
          </w:p>
        </w:tc>
        <w:tc>
          <w:tcPr>
            <w:tcW w:w="776" w:type="pct"/>
          </w:tcPr>
          <w:p w14:paraId="3D261C3B" w14:textId="77777777" w:rsidR="001F4C49" w:rsidRPr="00D53084" w:rsidRDefault="001F4C49" w:rsidP="00A80D93">
            <w:pPr>
              <w:pStyle w:val="ExhibitText"/>
              <w:jc w:val="right"/>
              <w:rPr>
                <w:sz w:val="18"/>
                <w:szCs w:val="18"/>
                <w:lang w:val="en-GB"/>
              </w:rPr>
            </w:pPr>
            <w:r w:rsidRPr="00D53084">
              <w:rPr>
                <w:sz w:val="18"/>
                <w:szCs w:val="18"/>
                <w:lang w:val="en-GB"/>
              </w:rPr>
              <w:t>32.5%</w:t>
            </w:r>
          </w:p>
        </w:tc>
      </w:tr>
      <w:tr w:rsidR="00A80D93" w:rsidRPr="00D53084" w14:paraId="6065063C" w14:textId="77777777" w:rsidTr="00122DFC">
        <w:trPr>
          <w:jc w:val="center"/>
        </w:trPr>
        <w:tc>
          <w:tcPr>
            <w:tcW w:w="903" w:type="pct"/>
          </w:tcPr>
          <w:p w14:paraId="30B1BC50" w14:textId="2FFAB905" w:rsidR="001F4C49" w:rsidRPr="00D53084" w:rsidRDefault="001F4C49" w:rsidP="00A80D93">
            <w:pPr>
              <w:pStyle w:val="ExhibitText"/>
              <w:rPr>
                <w:sz w:val="18"/>
                <w:szCs w:val="18"/>
                <w:lang w:val="en-GB"/>
              </w:rPr>
            </w:pPr>
            <w:r w:rsidRPr="00D53084">
              <w:rPr>
                <w:sz w:val="18"/>
                <w:szCs w:val="18"/>
                <w:lang w:val="en-GB"/>
              </w:rPr>
              <w:t>-Apparel</w:t>
            </w:r>
          </w:p>
        </w:tc>
        <w:tc>
          <w:tcPr>
            <w:tcW w:w="589" w:type="pct"/>
          </w:tcPr>
          <w:p w14:paraId="2D92259A" w14:textId="44001D59" w:rsidR="001F4C49" w:rsidRPr="00D53084" w:rsidRDefault="001F4C49" w:rsidP="00A80D93">
            <w:pPr>
              <w:pStyle w:val="ExhibitText"/>
              <w:jc w:val="right"/>
              <w:rPr>
                <w:sz w:val="18"/>
                <w:szCs w:val="18"/>
                <w:lang w:val="en-GB"/>
              </w:rPr>
            </w:pPr>
            <w:r w:rsidRPr="00D53084">
              <w:rPr>
                <w:sz w:val="18"/>
                <w:szCs w:val="18"/>
                <w:lang w:val="en-GB"/>
              </w:rPr>
              <w:t>2,610</w:t>
            </w:r>
          </w:p>
        </w:tc>
        <w:tc>
          <w:tcPr>
            <w:tcW w:w="776" w:type="pct"/>
          </w:tcPr>
          <w:p w14:paraId="5AB944EF" w14:textId="77777777" w:rsidR="001F4C49" w:rsidRPr="00D53084" w:rsidRDefault="001F4C49" w:rsidP="00A80D93">
            <w:pPr>
              <w:pStyle w:val="ExhibitText"/>
              <w:jc w:val="right"/>
              <w:rPr>
                <w:sz w:val="18"/>
                <w:szCs w:val="18"/>
                <w:lang w:val="en-GB"/>
              </w:rPr>
            </w:pPr>
            <w:r w:rsidRPr="00D53084">
              <w:rPr>
                <w:sz w:val="18"/>
                <w:szCs w:val="18"/>
                <w:lang w:val="en-GB"/>
              </w:rPr>
              <w:t>23.5%</w:t>
            </w:r>
          </w:p>
        </w:tc>
        <w:tc>
          <w:tcPr>
            <w:tcW w:w="589" w:type="pct"/>
          </w:tcPr>
          <w:p w14:paraId="10966350" w14:textId="77777777" w:rsidR="001F4C49" w:rsidRPr="00D53084" w:rsidRDefault="001F4C49" w:rsidP="00A80D93">
            <w:pPr>
              <w:pStyle w:val="ExhibitText"/>
              <w:jc w:val="right"/>
              <w:rPr>
                <w:sz w:val="18"/>
                <w:szCs w:val="18"/>
                <w:lang w:val="en-GB"/>
              </w:rPr>
            </w:pPr>
            <w:r w:rsidRPr="00D53084">
              <w:rPr>
                <w:sz w:val="18"/>
                <w:szCs w:val="18"/>
                <w:lang w:val="en-GB"/>
              </w:rPr>
              <w:t>3,137</w:t>
            </w:r>
          </w:p>
        </w:tc>
        <w:tc>
          <w:tcPr>
            <w:tcW w:w="776" w:type="pct"/>
          </w:tcPr>
          <w:p w14:paraId="746CA969" w14:textId="77777777" w:rsidR="001F4C49" w:rsidRPr="00D53084" w:rsidRDefault="001F4C49" w:rsidP="00A80D93">
            <w:pPr>
              <w:pStyle w:val="ExhibitText"/>
              <w:jc w:val="right"/>
              <w:rPr>
                <w:sz w:val="18"/>
                <w:szCs w:val="18"/>
                <w:lang w:val="en-GB"/>
              </w:rPr>
            </w:pPr>
            <w:r w:rsidRPr="00D53084">
              <w:rPr>
                <w:sz w:val="18"/>
                <w:szCs w:val="18"/>
                <w:lang w:val="en-GB"/>
              </w:rPr>
              <w:t>24.8%</w:t>
            </w:r>
          </w:p>
        </w:tc>
        <w:tc>
          <w:tcPr>
            <w:tcW w:w="589" w:type="pct"/>
          </w:tcPr>
          <w:p w14:paraId="07AC0793" w14:textId="77777777" w:rsidR="001F4C49" w:rsidRPr="00D53084" w:rsidRDefault="001F4C49" w:rsidP="00A80D93">
            <w:pPr>
              <w:pStyle w:val="ExhibitText"/>
              <w:jc w:val="right"/>
              <w:rPr>
                <w:sz w:val="18"/>
                <w:szCs w:val="18"/>
                <w:lang w:val="en-GB"/>
              </w:rPr>
            </w:pPr>
            <w:r w:rsidRPr="00D53084">
              <w:rPr>
                <w:sz w:val="18"/>
                <w:szCs w:val="18"/>
                <w:lang w:val="en-GB"/>
              </w:rPr>
              <w:t>3,827</w:t>
            </w:r>
          </w:p>
        </w:tc>
        <w:tc>
          <w:tcPr>
            <w:tcW w:w="776" w:type="pct"/>
          </w:tcPr>
          <w:p w14:paraId="6DAB5190" w14:textId="77777777" w:rsidR="001F4C49" w:rsidRPr="00D53084" w:rsidRDefault="001F4C49" w:rsidP="00A80D93">
            <w:pPr>
              <w:pStyle w:val="ExhibitText"/>
              <w:jc w:val="right"/>
              <w:rPr>
                <w:sz w:val="18"/>
                <w:szCs w:val="18"/>
                <w:lang w:val="en-GB"/>
              </w:rPr>
            </w:pPr>
            <w:r w:rsidRPr="00D53084">
              <w:rPr>
                <w:sz w:val="18"/>
                <w:szCs w:val="18"/>
                <w:lang w:val="en-GB"/>
              </w:rPr>
              <w:t>24.8%</w:t>
            </w:r>
          </w:p>
        </w:tc>
      </w:tr>
      <w:tr w:rsidR="00A80D93" w:rsidRPr="00D53084" w14:paraId="6558D6EB" w14:textId="77777777" w:rsidTr="00122DFC">
        <w:trPr>
          <w:jc w:val="center"/>
        </w:trPr>
        <w:tc>
          <w:tcPr>
            <w:tcW w:w="903" w:type="pct"/>
          </w:tcPr>
          <w:p w14:paraId="1EAD0EA1" w14:textId="77777777" w:rsidR="001F4C49" w:rsidRPr="00D53084" w:rsidRDefault="001F4C49" w:rsidP="00A80D93">
            <w:pPr>
              <w:pStyle w:val="ExhibitText"/>
              <w:rPr>
                <w:sz w:val="18"/>
                <w:szCs w:val="18"/>
                <w:lang w:val="en-GB"/>
              </w:rPr>
            </w:pPr>
            <w:r w:rsidRPr="00D53084">
              <w:rPr>
                <w:sz w:val="18"/>
                <w:szCs w:val="18"/>
                <w:lang w:val="en-GB"/>
              </w:rPr>
              <w:t>-</w:t>
            </w:r>
            <w:proofErr w:type="spellStart"/>
            <w:r w:rsidRPr="00D53084">
              <w:rPr>
                <w:sz w:val="18"/>
                <w:szCs w:val="18"/>
                <w:lang w:val="en-GB"/>
              </w:rPr>
              <w:t>Flyknit</w:t>
            </w:r>
            <w:proofErr w:type="spellEnd"/>
          </w:p>
        </w:tc>
        <w:tc>
          <w:tcPr>
            <w:tcW w:w="589" w:type="pct"/>
          </w:tcPr>
          <w:p w14:paraId="7017005D" w14:textId="75B1ED89" w:rsidR="001F4C49" w:rsidRPr="00D53084" w:rsidRDefault="001F4C49" w:rsidP="00A80D93">
            <w:pPr>
              <w:pStyle w:val="ExhibitText"/>
              <w:jc w:val="right"/>
              <w:rPr>
                <w:sz w:val="18"/>
                <w:szCs w:val="18"/>
                <w:lang w:val="en-GB"/>
              </w:rPr>
            </w:pPr>
            <w:r w:rsidRPr="00D53084">
              <w:rPr>
                <w:sz w:val="18"/>
                <w:szCs w:val="18"/>
                <w:lang w:val="en-GB"/>
              </w:rPr>
              <w:t>496</w:t>
            </w:r>
          </w:p>
        </w:tc>
        <w:tc>
          <w:tcPr>
            <w:tcW w:w="776" w:type="pct"/>
          </w:tcPr>
          <w:p w14:paraId="3D75F3BC" w14:textId="77777777" w:rsidR="001F4C49" w:rsidRPr="00D53084" w:rsidRDefault="001F4C49" w:rsidP="00A80D93">
            <w:pPr>
              <w:pStyle w:val="ExhibitText"/>
              <w:jc w:val="right"/>
              <w:rPr>
                <w:sz w:val="18"/>
                <w:szCs w:val="18"/>
                <w:lang w:val="en-GB"/>
              </w:rPr>
            </w:pPr>
            <w:r w:rsidRPr="00D53084">
              <w:rPr>
                <w:sz w:val="18"/>
                <w:szCs w:val="18"/>
                <w:lang w:val="en-GB"/>
              </w:rPr>
              <w:t>4.5%</w:t>
            </w:r>
          </w:p>
        </w:tc>
        <w:tc>
          <w:tcPr>
            <w:tcW w:w="589" w:type="pct"/>
          </w:tcPr>
          <w:p w14:paraId="71144830" w14:textId="77777777" w:rsidR="001F4C49" w:rsidRPr="00D53084" w:rsidRDefault="001F4C49" w:rsidP="00A80D93">
            <w:pPr>
              <w:pStyle w:val="ExhibitText"/>
              <w:jc w:val="right"/>
              <w:rPr>
                <w:sz w:val="18"/>
                <w:szCs w:val="18"/>
                <w:lang w:val="en-GB"/>
              </w:rPr>
            </w:pPr>
            <w:r w:rsidRPr="00D53084">
              <w:rPr>
                <w:sz w:val="18"/>
                <w:szCs w:val="18"/>
                <w:lang w:val="en-GB"/>
              </w:rPr>
              <w:t>695</w:t>
            </w:r>
          </w:p>
        </w:tc>
        <w:tc>
          <w:tcPr>
            <w:tcW w:w="776" w:type="pct"/>
          </w:tcPr>
          <w:p w14:paraId="322251EC" w14:textId="77777777" w:rsidR="001F4C49" w:rsidRPr="00D53084" w:rsidRDefault="001F4C49" w:rsidP="00A80D93">
            <w:pPr>
              <w:pStyle w:val="ExhibitText"/>
              <w:jc w:val="right"/>
              <w:rPr>
                <w:sz w:val="18"/>
                <w:szCs w:val="18"/>
                <w:lang w:val="en-GB"/>
              </w:rPr>
            </w:pPr>
            <w:r w:rsidRPr="00D53084">
              <w:rPr>
                <w:sz w:val="18"/>
                <w:szCs w:val="18"/>
                <w:lang w:val="en-GB"/>
              </w:rPr>
              <w:t>5.5%</w:t>
            </w:r>
          </w:p>
        </w:tc>
        <w:tc>
          <w:tcPr>
            <w:tcW w:w="589" w:type="pct"/>
          </w:tcPr>
          <w:p w14:paraId="69ADA791" w14:textId="77777777" w:rsidR="001F4C49" w:rsidRPr="00D53084" w:rsidRDefault="001F4C49" w:rsidP="00A80D93">
            <w:pPr>
              <w:pStyle w:val="ExhibitText"/>
              <w:jc w:val="right"/>
              <w:rPr>
                <w:sz w:val="18"/>
                <w:szCs w:val="18"/>
                <w:lang w:val="en-GB"/>
              </w:rPr>
            </w:pPr>
            <w:r w:rsidRPr="00D53084">
              <w:rPr>
                <w:sz w:val="18"/>
                <w:szCs w:val="18"/>
                <w:lang w:val="en-GB"/>
              </w:rPr>
              <w:t>1,181</w:t>
            </w:r>
          </w:p>
        </w:tc>
        <w:tc>
          <w:tcPr>
            <w:tcW w:w="776" w:type="pct"/>
          </w:tcPr>
          <w:p w14:paraId="460267E7" w14:textId="77777777" w:rsidR="001F4C49" w:rsidRPr="00D53084" w:rsidRDefault="001F4C49" w:rsidP="00A80D93">
            <w:pPr>
              <w:pStyle w:val="ExhibitText"/>
              <w:jc w:val="right"/>
              <w:rPr>
                <w:sz w:val="18"/>
                <w:szCs w:val="18"/>
                <w:lang w:val="en-GB"/>
              </w:rPr>
            </w:pPr>
            <w:r w:rsidRPr="00D53084">
              <w:rPr>
                <w:sz w:val="18"/>
                <w:szCs w:val="18"/>
                <w:lang w:val="en-GB"/>
              </w:rPr>
              <w:t>7.7%</w:t>
            </w:r>
          </w:p>
        </w:tc>
      </w:tr>
      <w:tr w:rsidR="00A80D93" w:rsidRPr="00D53084" w14:paraId="5E2FBEE5" w14:textId="77777777" w:rsidTr="00122DFC">
        <w:trPr>
          <w:jc w:val="center"/>
        </w:trPr>
        <w:tc>
          <w:tcPr>
            <w:tcW w:w="903" w:type="pct"/>
          </w:tcPr>
          <w:p w14:paraId="1C39D296" w14:textId="77777777" w:rsidR="001F4C49" w:rsidRPr="00D53084" w:rsidRDefault="001F4C49" w:rsidP="00A80D93">
            <w:pPr>
              <w:pStyle w:val="ExhibitText"/>
              <w:rPr>
                <w:sz w:val="18"/>
                <w:szCs w:val="18"/>
                <w:lang w:val="en-GB"/>
              </w:rPr>
            </w:pPr>
            <w:r w:rsidRPr="00D53084">
              <w:rPr>
                <w:sz w:val="18"/>
                <w:szCs w:val="18"/>
                <w:lang w:val="en-GB"/>
              </w:rPr>
              <w:t>Adidas</w:t>
            </w:r>
          </w:p>
        </w:tc>
        <w:tc>
          <w:tcPr>
            <w:tcW w:w="589" w:type="pct"/>
          </w:tcPr>
          <w:p w14:paraId="71507677" w14:textId="084FBF9F" w:rsidR="001F4C49" w:rsidRPr="00D53084" w:rsidRDefault="001F4C49" w:rsidP="00A80D93">
            <w:pPr>
              <w:pStyle w:val="ExhibitText"/>
              <w:jc w:val="right"/>
              <w:rPr>
                <w:sz w:val="18"/>
                <w:szCs w:val="18"/>
                <w:lang w:val="en-GB"/>
              </w:rPr>
            </w:pPr>
            <w:r w:rsidRPr="00D53084">
              <w:rPr>
                <w:sz w:val="18"/>
                <w:szCs w:val="18"/>
                <w:lang w:val="en-GB"/>
              </w:rPr>
              <w:t>2,367</w:t>
            </w:r>
          </w:p>
        </w:tc>
        <w:tc>
          <w:tcPr>
            <w:tcW w:w="776" w:type="pct"/>
          </w:tcPr>
          <w:p w14:paraId="36DDB95A" w14:textId="77777777" w:rsidR="001F4C49" w:rsidRPr="00D53084" w:rsidRDefault="001F4C49" w:rsidP="00A80D93">
            <w:pPr>
              <w:pStyle w:val="ExhibitText"/>
              <w:jc w:val="right"/>
              <w:rPr>
                <w:sz w:val="18"/>
                <w:szCs w:val="18"/>
                <w:lang w:val="en-GB"/>
              </w:rPr>
            </w:pPr>
            <w:r w:rsidRPr="00D53084">
              <w:rPr>
                <w:sz w:val="18"/>
                <w:szCs w:val="18"/>
                <w:lang w:val="en-GB"/>
              </w:rPr>
              <w:t>21.3%</w:t>
            </w:r>
          </w:p>
        </w:tc>
        <w:tc>
          <w:tcPr>
            <w:tcW w:w="589" w:type="pct"/>
          </w:tcPr>
          <w:p w14:paraId="731C90ED" w14:textId="77777777" w:rsidR="001F4C49" w:rsidRPr="00D53084" w:rsidRDefault="001F4C49" w:rsidP="00A80D93">
            <w:pPr>
              <w:pStyle w:val="ExhibitText"/>
              <w:jc w:val="right"/>
              <w:rPr>
                <w:sz w:val="18"/>
                <w:szCs w:val="18"/>
                <w:lang w:val="en-GB"/>
              </w:rPr>
            </w:pPr>
            <w:r w:rsidRPr="00D53084">
              <w:rPr>
                <w:sz w:val="18"/>
                <w:szCs w:val="18"/>
                <w:lang w:val="en-GB"/>
              </w:rPr>
              <w:t>2,738</w:t>
            </w:r>
          </w:p>
        </w:tc>
        <w:tc>
          <w:tcPr>
            <w:tcW w:w="776" w:type="pct"/>
          </w:tcPr>
          <w:p w14:paraId="29F0CF22" w14:textId="77777777" w:rsidR="001F4C49" w:rsidRPr="00D53084" w:rsidRDefault="001F4C49" w:rsidP="00A80D93">
            <w:pPr>
              <w:pStyle w:val="ExhibitText"/>
              <w:jc w:val="right"/>
              <w:rPr>
                <w:sz w:val="18"/>
                <w:szCs w:val="18"/>
                <w:lang w:val="en-GB"/>
              </w:rPr>
            </w:pPr>
            <w:r w:rsidRPr="00D53084">
              <w:rPr>
                <w:sz w:val="18"/>
                <w:szCs w:val="18"/>
                <w:lang w:val="en-GB"/>
              </w:rPr>
              <w:t>21.7%</w:t>
            </w:r>
          </w:p>
        </w:tc>
        <w:tc>
          <w:tcPr>
            <w:tcW w:w="589" w:type="pct"/>
          </w:tcPr>
          <w:p w14:paraId="164708B9" w14:textId="77777777" w:rsidR="001F4C49" w:rsidRPr="00D53084" w:rsidRDefault="001F4C49" w:rsidP="00A80D93">
            <w:pPr>
              <w:pStyle w:val="ExhibitText"/>
              <w:jc w:val="right"/>
              <w:rPr>
                <w:sz w:val="18"/>
                <w:szCs w:val="18"/>
                <w:lang w:val="en-GB"/>
              </w:rPr>
            </w:pPr>
            <w:r w:rsidRPr="00D53084">
              <w:rPr>
                <w:sz w:val="18"/>
                <w:szCs w:val="18"/>
                <w:lang w:val="en-GB"/>
              </w:rPr>
              <w:t>3,231</w:t>
            </w:r>
          </w:p>
        </w:tc>
        <w:tc>
          <w:tcPr>
            <w:tcW w:w="776" w:type="pct"/>
          </w:tcPr>
          <w:p w14:paraId="3E264B9E" w14:textId="77777777" w:rsidR="001F4C49" w:rsidRPr="00D53084" w:rsidRDefault="001F4C49" w:rsidP="00A80D93">
            <w:pPr>
              <w:pStyle w:val="ExhibitText"/>
              <w:jc w:val="right"/>
              <w:rPr>
                <w:sz w:val="18"/>
                <w:szCs w:val="18"/>
                <w:lang w:val="en-GB"/>
              </w:rPr>
            </w:pPr>
            <w:r w:rsidRPr="00D53084">
              <w:rPr>
                <w:sz w:val="18"/>
                <w:szCs w:val="18"/>
                <w:lang w:val="en-GB"/>
              </w:rPr>
              <w:t>20.9%</w:t>
            </w:r>
          </w:p>
        </w:tc>
      </w:tr>
      <w:tr w:rsidR="00A80D93" w:rsidRPr="00D53084" w14:paraId="048CEF8C" w14:textId="77777777" w:rsidTr="00122DFC">
        <w:trPr>
          <w:jc w:val="center"/>
        </w:trPr>
        <w:tc>
          <w:tcPr>
            <w:tcW w:w="903" w:type="pct"/>
          </w:tcPr>
          <w:p w14:paraId="68BB3081" w14:textId="77777777" w:rsidR="001F4C49" w:rsidRPr="00D53084" w:rsidRDefault="001F4C49" w:rsidP="00A80D93">
            <w:pPr>
              <w:pStyle w:val="ExhibitText"/>
              <w:rPr>
                <w:sz w:val="18"/>
                <w:szCs w:val="18"/>
                <w:lang w:val="en-GB"/>
              </w:rPr>
            </w:pPr>
            <w:r w:rsidRPr="00D53084">
              <w:rPr>
                <w:sz w:val="18"/>
                <w:szCs w:val="18"/>
                <w:lang w:val="en-GB"/>
              </w:rPr>
              <w:t>Puma</w:t>
            </w:r>
          </w:p>
        </w:tc>
        <w:tc>
          <w:tcPr>
            <w:tcW w:w="589" w:type="pct"/>
          </w:tcPr>
          <w:p w14:paraId="7040B27B" w14:textId="4B249669" w:rsidR="001F4C49" w:rsidRPr="00D53084" w:rsidRDefault="001F4C49" w:rsidP="00A80D93">
            <w:pPr>
              <w:pStyle w:val="ExhibitText"/>
              <w:jc w:val="right"/>
              <w:rPr>
                <w:sz w:val="18"/>
                <w:szCs w:val="18"/>
                <w:lang w:val="en-GB"/>
              </w:rPr>
            </w:pPr>
            <w:r w:rsidRPr="00D53084">
              <w:rPr>
                <w:sz w:val="18"/>
                <w:szCs w:val="18"/>
                <w:lang w:val="en-GB"/>
              </w:rPr>
              <w:t>1,000</w:t>
            </w:r>
          </w:p>
        </w:tc>
        <w:tc>
          <w:tcPr>
            <w:tcW w:w="776" w:type="pct"/>
          </w:tcPr>
          <w:p w14:paraId="7D0C0EEB" w14:textId="77777777" w:rsidR="001F4C49" w:rsidRPr="00D53084" w:rsidRDefault="001F4C49" w:rsidP="00A80D93">
            <w:pPr>
              <w:pStyle w:val="ExhibitText"/>
              <w:jc w:val="right"/>
              <w:rPr>
                <w:sz w:val="18"/>
                <w:szCs w:val="18"/>
                <w:lang w:val="en-GB"/>
              </w:rPr>
            </w:pPr>
            <w:r w:rsidRPr="00D53084">
              <w:rPr>
                <w:sz w:val="18"/>
                <w:szCs w:val="18"/>
                <w:lang w:val="en-GB"/>
              </w:rPr>
              <w:t>9.0%</w:t>
            </w:r>
          </w:p>
        </w:tc>
        <w:tc>
          <w:tcPr>
            <w:tcW w:w="589" w:type="pct"/>
          </w:tcPr>
          <w:p w14:paraId="52A53F7C" w14:textId="77777777" w:rsidR="001F4C49" w:rsidRPr="00D53084" w:rsidRDefault="001F4C49" w:rsidP="00A80D93">
            <w:pPr>
              <w:pStyle w:val="ExhibitText"/>
              <w:jc w:val="right"/>
              <w:rPr>
                <w:sz w:val="18"/>
                <w:szCs w:val="18"/>
                <w:lang w:val="en-GB"/>
              </w:rPr>
            </w:pPr>
            <w:r w:rsidRPr="00D53084">
              <w:rPr>
                <w:sz w:val="18"/>
                <w:szCs w:val="18"/>
                <w:lang w:val="en-GB"/>
              </w:rPr>
              <w:t>1,092</w:t>
            </w:r>
          </w:p>
        </w:tc>
        <w:tc>
          <w:tcPr>
            <w:tcW w:w="776" w:type="pct"/>
          </w:tcPr>
          <w:p w14:paraId="28816A77" w14:textId="77777777" w:rsidR="001F4C49" w:rsidRPr="00D53084" w:rsidRDefault="001F4C49" w:rsidP="00A80D93">
            <w:pPr>
              <w:pStyle w:val="ExhibitText"/>
              <w:jc w:val="right"/>
              <w:rPr>
                <w:sz w:val="18"/>
                <w:szCs w:val="18"/>
                <w:lang w:val="en-GB"/>
              </w:rPr>
            </w:pPr>
            <w:r w:rsidRPr="00D53084">
              <w:rPr>
                <w:sz w:val="18"/>
                <w:szCs w:val="18"/>
                <w:lang w:val="en-GB"/>
              </w:rPr>
              <w:t>8.6%</w:t>
            </w:r>
          </w:p>
        </w:tc>
        <w:tc>
          <w:tcPr>
            <w:tcW w:w="589" w:type="pct"/>
          </w:tcPr>
          <w:p w14:paraId="07DE18B9" w14:textId="77777777" w:rsidR="001F4C49" w:rsidRPr="00D53084" w:rsidRDefault="001F4C49" w:rsidP="00A80D93">
            <w:pPr>
              <w:pStyle w:val="ExhibitText"/>
              <w:jc w:val="right"/>
              <w:rPr>
                <w:sz w:val="18"/>
                <w:szCs w:val="18"/>
                <w:lang w:val="en-GB"/>
              </w:rPr>
            </w:pPr>
            <w:r w:rsidRPr="00D53084">
              <w:rPr>
                <w:sz w:val="18"/>
                <w:szCs w:val="18"/>
                <w:lang w:val="en-GB"/>
              </w:rPr>
              <w:t>1,365</w:t>
            </w:r>
          </w:p>
        </w:tc>
        <w:tc>
          <w:tcPr>
            <w:tcW w:w="776" w:type="pct"/>
          </w:tcPr>
          <w:p w14:paraId="6E671B3D" w14:textId="77777777" w:rsidR="001F4C49" w:rsidRPr="00D53084" w:rsidRDefault="001F4C49" w:rsidP="00A80D93">
            <w:pPr>
              <w:pStyle w:val="ExhibitText"/>
              <w:jc w:val="right"/>
              <w:rPr>
                <w:sz w:val="18"/>
                <w:szCs w:val="18"/>
                <w:lang w:val="en-GB"/>
              </w:rPr>
            </w:pPr>
            <w:r w:rsidRPr="00D53084">
              <w:rPr>
                <w:sz w:val="18"/>
                <w:szCs w:val="18"/>
                <w:lang w:val="en-GB"/>
              </w:rPr>
              <w:t>8.8%</w:t>
            </w:r>
          </w:p>
        </w:tc>
      </w:tr>
      <w:tr w:rsidR="00A80D93" w:rsidRPr="00D53084" w14:paraId="3BD98239" w14:textId="77777777" w:rsidTr="00122DFC">
        <w:trPr>
          <w:jc w:val="center"/>
        </w:trPr>
        <w:tc>
          <w:tcPr>
            <w:tcW w:w="903" w:type="pct"/>
          </w:tcPr>
          <w:p w14:paraId="2DCE6F0E" w14:textId="77777777" w:rsidR="001F4C49" w:rsidRPr="00D53084" w:rsidRDefault="001F4C49" w:rsidP="00A80D93">
            <w:pPr>
              <w:pStyle w:val="ExhibitText"/>
              <w:rPr>
                <w:sz w:val="18"/>
                <w:szCs w:val="18"/>
                <w:lang w:val="en-GB"/>
              </w:rPr>
            </w:pPr>
            <w:r w:rsidRPr="00D53084">
              <w:rPr>
                <w:sz w:val="18"/>
                <w:szCs w:val="18"/>
                <w:lang w:val="en-GB"/>
              </w:rPr>
              <w:t>Others</w:t>
            </w:r>
          </w:p>
        </w:tc>
        <w:tc>
          <w:tcPr>
            <w:tcW w:w="589" w:type="pct"/>
          </w:tcPr>
          <w:p w14:paraId="63873178" w14:textId="1E10C8E5" w:rsidR="001F4C49" w:rsidRPr="00D53084" w:rsidRDefault="001F4C49" w:rsidP="00A80D93">
            <w:pPr>
              <w:pStyle w:val="ExhibitText"/>
              <w:jc w:val="right"/>
              <w:rPr>
                <w:sz w:val="18"/>
                <w:szCs w:val="18"/>
                <w:lang w:val="en-GB"/>
              </w:rPr>
            </w:pPr>
            <w:r w:rsidRPr="00D53084">
              <w:rPr>
                <w:sz w:val="18"/>
                <w:szCs w:val="18"/>
                <w:lang w:val="en-GB"/>
              </w:rPr>
              <w:t>1,121</w:t>
            </w:r>
          </w:p>
        </w:tc>
        <w:tc>
          <w:tcPr>
            <w:tcW w:w="776" w:type="pct"/>
          </w:tcPr>
          <w:p w14:paraId="5481AA13" w14:textId="77777777" w:rsidR="001F4C49" w:rsidRPr="00D53084" w:rsidRDefault="001F4C49" w:rsidP="00A80D93">
            <w:pPr>
              <w:pStyle w:val="ExhibitText"/>
              <w:jc w:val="right"/>
              <w:rPr>
                <w:sz w:val="18"/>
                <w:szCs w:val="18"/>
                <w:lang w:val="en-GB"/>
              </w:rPr>
            </w:pPr>
            <w:r w:rsidRPr="00D53084">
              <w:rPr>
                <w:sz w:val="18"/>
                <w:szCs w:val="18"/>
                <w:lang w:val="en-GB"/>
              </w:rPr>
              <w:t>10.1%</w:t>
            </w:r>
          </w:p>
        </w:tc>
        <w:tc>
          <w:tcPr>
            <w:tcW w:w="589" w:type="pct"/>
          </w:tcPr>
          <w:p w14:paraId="0D6680CF" w14:textId="77777777" w:rsidR="001F4C49" w:rsidRPr="00D53084" w:rsidRDefault="001F4C49" w:rsidP="00A80D93">
            <w:pPr>
              <w:pStyle w:val="ExhibitText"/>
              <w:jc w:val="right"/>
              <w:rPr>
                <w:sz w:val="18"/>
                <w:szCs w:val="18"/>
                <w:lang w:val="en-GB"/>
              </w:rPr>
            </w:pPr>
            <w:r w:rsidRPr="00D53084">
              <w:rPr>
                <w:sz w:val="18"/>
                <w:szCs w:val="18"/>
                <w:lang w:val="en-GB"/>
              </w:rPr>
              <w:t>1,139</w:t>
            </w:r>
          </w:p>
        </w:tc>
        <w:tc>
          <w:tcPr>
            <w:tcW w:w="776" w:type="pct"/>
          </w:tcPr>
          <w:p w14:paraId="306839E0" w14:textId="77777777" w:rsidR="001F4C49" w:rsidRPr="00D53084" w:rsidRDefault="001F4C49" w:rsidP="00A80D93">
            <w:pPr>
              <w:pStyle w:val="ExhibitText"/>
              <w:jc w:val="right"/>
              <w:rPr>
                <w:sz w:val="18"/>
                <w:szCs w:val="18"/>
                <w:lang w:val="en-GB"/>
              </w:rPr>
            </w:pPr>
            <w:r w:rsidRPr="00D53084">
              <w:rPr>
                <w:sz w:val="18"/>
                <w:szCs w:val="18"/>
                <w:lang w:val="en-GB"/>
              </w:rPr>
              <w:t>9.0%</w:t>
            </w:r>
          </w:p>
        </w:tc>
        <w:tc>
          <w:tcPr>
            <w:tcW w:w="589" w:type="pct"/>
          </w:tcPr>
          <w:p w14:paraId="29811474" w14:textId="77777777" w:rsidR="001F4C49" w:rsidRPr="00D53084" w:rsidRDefault="001F4C49" w:rsidP="00A80D93">
            <w:pPr>
              <w:pStyle w:val="ExhibitText"/>
              <w:jc w:val="right"/>
              <w:rPr>
                <w:sz w:val="18"/>
                <w:szCs w:val="18"/>
                <w:lang w:val="en-GB"/>
              </w:rPr>
            </w:pPr>
            <w:r w:rsidRPr="00D53084">
              <w:rPr>
                <w:sz w:val="18"/>
                <w:szCs w:val="18"/>
                <w:lang w:val="en-GB"/>
              </w:rPr>
              <w:t>1,151</w:t>
            </w:r>
          </w:p>
        </w:tc>
        <w:tc>
          <w:tcPr>
            <w:tcW w:w="776" w:type="pct"/>
          </w:tcPr>
          <w:p w14:paraId="57FA63F5" w14:textId="77777777" w:rsidR="001F4C49" w:rsidRPr="00D53084" w:rsidRDefault="001F4C49" w:rsidP="00A80D93">
            <w:pPr>
              <w:pStyle w:val="ExhibitText"/>
              <w:jc w:val="right"/>
              <w:rPr>
                <w:sz w:val="18"/>
                <w:szCs w:val="18"/>
                <w:lang w:val="en-GB"/>
              </w:rPr>
            </w:pPr>
            <w:r w:rsidRPr="00D53084">
              <w:rPr>
                <w:sz w:val="18"/>
                <w:szCs w:val="18"/>
                <w:lang w:val="en-GB"/>
              </w:rPr>
              <w:t>7.5%</w:t>
            </w:r>
          </w:p>
        </w:tc>
      </w:tr>
      <w:tr w:rsidR="00A80D93" w:rsidRPr="00D53084" w14:paraId="5B5DE02C" w14:textId="77777777" w:rsidTr="00122DFC">
        <w:trPr>
          <w:jc w:val="center"/>
        </w:trPr>
        <w:tc>
          <w:tcPr>
            <w:tcW w:w="903" w:type="pct"/>
          </w:tcPr>
          <w:p w14:paraId="2265A4D8" w14:textId="77777777" w:rsidR="001F4C49" w:rsidRPr="00D53084" w:rsidRDefault="001F4C49" w:rsidP="00A80D93">
            <w:pPr>
              <w:pStyle w:val="ExhibitText"/>
              <w:rPr>
                <w:sz w:val="18"/>
                <w:szCs w:val="18"/>
                <w:lang w:val="en-GB"/>
              </w:rPr>
            </w:pPr>
            <w:r w:rsidRPr="00D53084">
              <w:rPr>
                <w:sz w:val="18"/>
                <w:szCs w:val="18"/>
                <w:lang w:val="en-GB"/>
              </w:rPr>
              <w:t>Total</w:t>
            </w:r>
          </w:p>
        </w:tc>
        <w:tc>
          <w:tcPr>
            <w:tcW w:w="589" w:type="pct"/>
          </w:tcPr>
          <w:p w14:paraId="3071A7AB" w14:textId="2F9ECBA7" w:rsidR="001F4C49" w:rsidRPr="00D53084" w:rsidRDefault="001F4C49" w:rsidP="00A80D93">
            <w:pPr>
              <w:pStyle w:val="ExhibitText"/>
              <w:jc w:val="right"/>
              <w:rPr>
                <w:sz w:val="18"/>
                <w:szCs w:val="18"/>
                <w:lang w:val="en-GB"/>
              </w:rPr>
            </w:pPr>
            <w:r w:rsidRPr="00D53084">
              <w:rPr>
                <w:sz w:val="18"/>
                <w:szCs w:val="18"/>
                <w:lang w:val="en-GB"/>
              </w:rPr>
              <w:t>11,132</w:t>
            </w:r>
          </w:p>
        </w:tc>
        <w:tc>
          <w:tcPr>
            <w:tcW w:w="776" w:type="pct"/>
          </w:tcPr>
          <w:p w14:paraId="133A239D" w14:textId="77777777" w:rsidR="001F4C49" w:rsidRPr="00D53084" w:rsidRDefault="001F4C49" w:rsidP="00A80D93">
            <w:pPr>
              <w:pStyle w:val="ExhibitText"/>
              <w:jc w:val="right"/>
              <w:rPr>
                <w:sz w:val="18"/>
                <w:szCs w:val="18"/>
                <w:lang w:val="en-GB"/>
              </w:rPr>
            </w:pPr>
            <w:r w:rsidRPr="00D53084">
              <w:rPr>
                <w:sz w:val="18"/>
                <w:szCs w:val="18"/>
                <w:lang w:val="en-GB"/>
              </w:rPr>
              <w:t>100.0%</w:t>
            </w:r>
          </w:p>
        </w:tc>
        <w:tc>
          <w:tcPr>
            <w:tcW w:w="589" w:type="pct"/>
          </w:tcPr>
          <w:p w14:paraId="3875055E" w14:textId="77777777" w:rsidR="001F4C49" w:rsidRPr="00D53084" w:rsidRDefault="001F4C49" w:rsidP="00A80D93">
            <w:pPr>
              <w:pStyle w:val="ExhibitText"/>
              <w:jc w:val="right"/>
              <w:rPr>
                <w:sz w:val="18"/>
                <w:szCs w:val="18"/>
                <w:lang w:val="en-GB"/>
              </w:rPr>
            </w:pPr>
            <w:r w:rsidRPr="00D53084">
              <w:rPr>
                <w:sz w:val="18"/>
                <w:szCs w:val="18"/>
                <w:lang w:val="en-GB"/>
              </w:rPr>
              <w:t>12,639</w:t>
            </w:r>
          </w:p>
        </w:tc>
        <w:tc>
          <w:tcPr>
            <w:tcW w:w="776" w:type="pct"/>
          </w:tcPr>
          <w:p w14:paraId="7C5BBDFD" w14:textId="77777777" w:rsidR="001F4C49" w:rsidRPr="00D53084" w:rsidRDefault="001F4C49" w:rsidP="00A80D93">
            <w:pPr>
              <w:pStyle w:val="ExhibitText"/>
              <w:jc w:val="right"/>
              <w:rPr>
                <w:sz w:val="18"/>
                <w:szCs w:val="18"/>
                <w:lang w:val="en-GB"/>
              </w:rPr>
            </w:pPr>
            <w:r w:rsidRPr="00D53084">
              <w:rPr>
                <w:sz w:val="18"/>
                <w:szCs w:val="18"/>
                <w:lang w:val="en-GB"/>
              </w:rPr>
              <w:t>100.0%</w:t>
            </w:r>
          </w:p>
        </w:tc>
        <w:tc>
          <w:tcPr>
            <w:tcW w:w="589" w:type="pct"/>
          </w:tcPr>
          <w:p w14:paraId="669480C1" w14:textId="77777777" w:rsidR="001F4C49" w:rsidRPr="00D53084" w:rsidRDefault="001F4C49" w:rsidP="00A80D93">
            <w:pPr>
              <w:pStyle w:val="ExhibitText"/>
              <w:jc w:val="right"/>
              <w:rPr>
                <w:sz w:val="18"/>
                <w:szCs w:val="18"/>
                <w:lang w:val="en-GB"/>
              </w:rPr>
            </w:pPr>
            <w:r w:rsidRPr="00D53084">
              <w:rPr>
                <w:sz w:val="18"/>
                <w:szCs w:val="18"/>
                <w:lang w:val="en-GB"/>
              </w:rPr>
              <w:t>15,431</w:t>
            </w:r>
          </w:p>
        </w:tc>
        <w:tc>
          <w:tcPr>
            <w:tcW w:w="776" w:type="pct"/>
          </w:tcPr>
          <w:p w14:paraId="6A1C510A" w14:textId="77777777" w:rsidR="001F4C49" w:rsidRPr="00D53084" w:rsidRDefault="001F4C49" w:rsidP="00A80D93">
            <w:pPr>
              <w:pStyle w:val="ExhibitText"/>
              <w:jc w:val="right"/>
              <w:rPr>
                <w:sz w:val="18"/>
                <w:szCs w:val="18"/>
                <w:lang w:val="en-GB"/>
              </w:rPr>
            </w:pPr>
            <w:r w:rsidRPr="00D53084">
              <w:rPr>
                <w:sz w:val="18"/>
                <w:szCs w:val="18"/>
                <w:lang w:val="en-GB"/>
              </w:rPr>
              <w:t>100.0%</w:t>
            </w:r>
          </w:p>
        </w:tc>
      </w:tr>
    </w:tbl>
    <w:p w14:paraId="1D499A5F" w14:textId="77777777" w:rsidR="00A80D93" w:rsidRPr="00D53084" w:rsidRDefault="00A80D93" w:rsidP="00A80D93">
      <w:pPr>
        <w:pStyle w:val="Footnote"/>
        <w:rPr>
          <w:sz w:val="16"/>
          <w:szCs w:val="16"/>
          <w:lang w:val="en-GB"/>
        </w:rPr>
      </w:pPr>
    </w:p>
    <w:p w14:paraId="67EE1B66" w14:textId="77777777" w:rsidR="007816DA" w:rsidRPr="00D53084" w:rsidRDefault="007816DA" w:rsidP="007816DA">
      <w:pPr>
        <w:pStyle w:val="Footnote"/>
        <w:rPr>
          <w:lang w:val="en-GB"/>
        </w:rPr>
      </w:pPr>
      <w:r w:rsidRPr="00D53084">
        <w:rPr>
          <w:lang w:val="en-GB"/>
        </w:rPr>
        <w:t>Note:</w:t>
      </w:r>
      <w:r w:rsidRPr="00D53084">
        <w:rPr>
          <w:rFonts w:eastAsia="SimSun"/>
          <w:lang w:val="en-GB"/>
        </w:rPr>
        <w:t xml:space="preserve"> ¥</w:t>
      </w:r>
      <w:r w:rsidRPr="00D53084">
        <w:rPr>
          <w:lang w:val="en-GB"/>
        </w:rPr>
        <w:t xml:space="preserve"> = CNY = Chinese yuan renminbi; US$1.00 = ¥ 6.89 on March 31, 2017</w:t>
      </w:r>
    </w:p>
    <w:p w14:paraId="3B6DD545" w14:textId="506FB5E6" w:rsidR="001F4C49" w:rsidRPr="00D53084" w:rsidRDefault="001F4C49" w:rsidP="00A80D93">
      <w:pPr>
        <w:pStyle w:val="Footnote"/>
        <w:rPr>
          <w:rFonts w:eastAsiaTheme="minorEastAsia"/>
          <w:lang w:val="en-GB" w:eastAsia="zh-CN"/>
        </w:rPr>
      </w:pPr>
      <w:r w:rsidRPr="00D53084">
        <w:rPr>
          <w:lang w:val="en-GB"/>
        </w:rPr>
        <w:t xml:space="preserve">Source: </w:t>
      </w:r>
      <w:r w:rsidR="005E5398" w:rsidRPr="00D53084">
        <w:rPr>
          <w:i/>
          <w:lang w:val="en-GB"/>
        </w:rPr>
        <w:t>Shenzhou International</w:t>
      </w:r>
      <w:r w:rsidR="005E5398" w:rsidRPr="00D53084">
        <w:rPr>
          <w:rFonts w:eastAsiaTheme="minorEastAsia"/>
          <w:i/>
          <w:lang w:val="en-GB" w:eastAsia="zh-CN"/>
        </w:rPr>
        <w:t xml:space="preserve">: Both Productivity and Profitability Increased, </w:t>
      </w:r>
      <w:r w:rsidR="00E722E5" w:rsidRPr="00D53084">
        <w:rPr>
          <w:lang w:val="en-GB"/>
        </w:rPr>
        <w:t xml:space="preserve">BOC International (China) Limited, </w:t>
      </w:r>
      <w:r w:rsidR="005E5398" w:rsidRPr="00D53084">
        <w:rPr>
          <w:lang w:val="en-GB"/>
        </w:rPr>
        <w:t xml:space="preserve">accessed </w:t>
      </w:r>
      <w:r w:rsidRPr="00D53084">
        <w:rPr>
          <w:lang w:val="en-GB"/>
        </w:rPr>
        <w:t>December 12, 2016.</w:t>
      </w:r>
    </w:p>
    <w:p w14:paraId="3F382979" w14:textId="4C8EE284" w:rsidR="001F4C49" w:rsidRPr="00D53084" w:rsidRDefault="00A80D93" w:rsidP="00A80D93">
      <w:pPr>
        <w:pStyle w:val="ExhibitHeading"/>
        <w:rPr>
          <w:lang w:val="en-GB"/>
        </w:rPr>
      </w:pPr>
      <w:r w:rsidRPr="00D53084">
        <w:rPr>
          <w:lang w:val="en-GB"/>
        </w:rPr>
        <w:lastRenderedPageBreak/>
        <w:t>Exhibit 5: Apparel Demand Per Capita</w:t>
      </w:r>
      <w:r w:rsidR="00E722E5" w:rsidRPr="00D53084">
        <w:rPr>
          <w:lang w:val="en-GB"/>
        </w:rPr>
        <w:t>,</w:t>
      </w:r>
      <w:r w:rsidRPr="00D53084">
        <w:rPr>
          <w:lang w:val="en-GB"/>
        </w:rPr>
        <w:t xml:space="preserve"> </w:t>
      </w:r>
      <w:r w:rsidR="007816DA" w:rsidRPr="00D53084">
        <w:rPr>
          <w:lang w:val="en-GB"/>
        </w:rPr>
        <w:t xml:space="preserve">trends </w:t>
      </w:r>
      <w:r w:rsidRPr="00D53084">
        <w:rPr>
          <w:lang w:val="en-GB"/>
        </w:rPr>
        <w:t>by Country (</w:t>
      </w:r>
      <w:r w:rsidR="007816DA" w:rsidRPr="00D53084">
        <w:rPr>
          <w:lang w:val="en-GB"/>
        </w:rPr>
        <w:t>in</w:t>
      </w:r>
      <w:r w:rsidRPr="00D53084">
        <w:rPr>
          <w:lang w:val="en-GB"/>
        </w:rPr>
        <w:t xml:space="preserve"> US$)</w:t>
      </w:r>
    </w:p>
    <w:p w14:paraId="689BE04E" w14:textId="77777777" w:rsidR="001F4C49" w:rsidRPr="00D53084" w:rsidRDefault="001F4C49" w:rsidP="001F4C49">
      <w:pPr>
        <w:pStyle w:val="BodyTextMain"/>
        <w:rPr>
          <w:lang w:val="en-GB"/>
        </w:rPr>
      </w:pPr>
    </w:p>
    <w:p w14:paraId="3EF8FDA8" w14:textId="68A21F81" w:rsidR="001F4C49" w:rsidRPr="00D53084" w:rsidRDefault="00D06D9E" w:rsidP="00A80D93">
      <w:pPr>
        <w:pStyle w:val="BodyTextMain"/>
        <w:jc w:val="center"/>
        <w:rPr>
          <w:lang w:val="en-GB"/>
        </w:rPr>
      </w:pPr>
      <w:r w:rsidRPr="00D53084">
        <w:rPr>
          <w:lang w:val="en-GB" w:eastAsia="zh-CN"/>
        </w:rPr>
        <w:t xml:space="preserve"> </w:t>
      </w:r>
      <w:r w:rsidRPr="00D53084">
        <w:rPr>
          <w:noProof/>
        </w:rPr>
        <w:drawing>
          <wp:inline distT="0" distB="0" distL="0" distR="0" wp14:anchorId="0E3C1921" wp14:editId="400CDC75">
            <wp:extent cx="5657850" cy="28003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127F064" w14:textId="77777777" w:rsidR="001F4C49" w:rsidRPr="00D53084" w:rsidRDefault="001F4C49" w:rsidP="001F4C49">
      <w:pPr>
        <w:pStyle w:val="BodyTextMain"/>
        <w:rPr>
          <w:lang w:val="en-GB"/>
        </w:rPr>
      </w:pPr>
    </w:p>
    <w:p w14:paraId="5F63BE82" w14:textId="1090676F" w:rsidR="00E722E5" w:rsidRPr="00D53084" w:rsidRDefault="00E722E5" w:rsidP="00A80D93">
      <w:pPr>
        <w:pStyle w:val="Footnote"/>
        <w:rPr>
          <w:lang w:val="en-GB"/>
        </w:rPr>
      </w:pPr>
      <w:r w:rsidRPr="00D53084">
        <w:rPr>
          <w:lang w:val="en-GB"/>
        </w:rPr>
        <w:t>Note: EU = European Union; US = United States</w:t>
      </w:r>
    </w:p>
    <w:p w14:paraId="424B8E16" w14:textId="22B231A3" w:rsidR="003B4B88" w:rsidRPr="00D53084" w:rsidRDefault="00A80D93" w:rsidP="00A80D93">
      <w:pPr>
        <w:pStyle w:val="Footnote"/>
        <w:rPr>
          <w:rFonts w:eastAsiaTheme="minorEastAsia"/>
          <w:lang w:val="en-GB" w:eastAsia="zh-CN"/>
        </w:rPr>
      </w:pPr>
      <w:r w:rsidRPr="00D53084">
        <w:rPr>
          <w:lang w:val="en-GB"/>
        </w:rPr>
        <w:t xml:space="preserve">Source: </w:t>
      </w:r>
      <w:r w:rsidR="003B4B88" w:rsidRPr="00D53084">
        <w:rPr>
          <w:lang w:val="en-GB"/>
        </w:rPr>
        <w:t xml:space="preserve">Bui Van Tot, </w:t>
      </w:r>
      <w:r w:rsidR="003B4B88" w:rsidRPr="00D53084">
        <w:rPr>
          <w:i/>
          <w:lang w:val="en-GB"/>
        </w:rPr>
        <w:t xml:space="preserve">Textile &amp; Apparel Industry Report: Opportunities for Breakthrough </w:t>
      </w:r>
      <w:r w:rsidR="003B4B88" w:rsidRPr="00D53084">
        <w:rPr>
          <w:lang w:val="en-GB"/>
        </w:rPr>
        <w:t>(Hanoi, VN: FPT Securities,</w:t>
      </w:r>
      <w:r w:rsidR="003B4B88" w:rsidRPr="00D53084">
        <w:rPr>
          <w:i/>
          <w:lang w:val="en-GB"/>
        </w:rPr>
        <w:t xml:space="preserve"> </w:t>
      </w:r>
      <w:r w:rsidR="00D06D9E" w:rsidRPr="00D53084">
        <w:rPr>
          <w:rFonts w:eastAsiaTheme="minorEastAsia"/>
          <w:lang w:val="en-GB" w:eastAsia="zh-CN"/>
        </w:rPr>
        <w:t>April 2014</w:t>
      </w:r>
      <w:r w:rsidR="003B4B88" w:rsidRPr="00D53084">
        <w:rPr>
          <w:rFonts w:eastAsiaTheme="minorEastAsia"/>
          <w:lang w:val="en-GB" w:eastAsia="zh-CN"/>
        </w:rPr>
        <w:t>),</w:t>
      </w:r>
      <w:r w:rsidR="00D06D9E" w:rsidRPr="00D53084">
        <w:rPr>
          <w:rFonts w:eastAsiaTheme="minorEastAsia"/>
          <w:lang w:val="en-GB" w:eastAsia="zh-CN"/>
        </w:rPr>
        <w:t xml:space="preserve"> accessed July 17, 2018, </w:t>
      </w:r>
      <w:r w:rsidR="003B4B88" w:rsidRPr="00D53084">
        <w:rPr>
          <w:rFonts w:eastAsiaTheme="minorEastAsia"/>
          <w:lang w:val="en-GB" w:eastAsia="zh-CN"/>
        </w:rPr>
        <w:t>www.fpts.com.vn/FileStore2/File/2014/07/01/Textile%20and%20Apparel%</w:t>
      </w:r>
      <w:r w:rsidR="00D06D9E" w:rsidRPr="00D53084">
        <w:rPr>
          <w:rFonts w:eastAsiaTheme="minorEastAsia"/>
          <w:lang w:val="en-GB" w:eastAsia="zh-CN"/>
        </w:rPr>
        <w:t>20Industry%</w:t>
      </w:r>
    </w:p>
    <w:p w14:paraId="243E2EC8" w14:textId="6796C8B7" w:rsidR="001F4C49" w:rsidRPr="00D53084" w:rsidRDefault="00D06D9E" w:rsidP="00A80D93">
      <w:pPr>
        <w:pStyle w:val="Footnote"/>
        <w:rPr>
          <w:lang w:val="en-GB"/>
        </w:rPr>
      </w:pPr>
      <w:r w:rsidRPr="00D53084">
        <w:rPr>
          <w:rFonts w:eastAsiaTheme="minorEastAsia"/>
          <w:lang w:val="en-GB" w:eastAsia="zh-CN"/>
        </w:rPr>
        <w:t>20Report%20(latest).</w:t>
      </w:r>
      <w:r w:rsidRPr="00D53084">
        <w:rPr>
          <w:rFonts w:eastAsiaTheme="minorEastAsia"/>
          <w:spacing w:val="-6"/>
          <w:lang w:val="en-GB" w:eastAsia="zh-CN"/>
        </w:rPr>
        <w:t>pdf</w:t>
      </w:r>
      <w:r w:rsidR="00A80D93" w:rsidRPr="00D53084">
        <w:rPr>
          <w:lang w:val="en-GB"/>
        </w:rPr>
        <w:t>.</w:t>
      </w:r>
    </w:p>
    <w:p w14:paraId="00956B47" w14:textId="77777777" w:rsidR="001F4C49" w:rsidRPr="00D53084" w:rsidRDefault="001F4C49" w:rsidP="001F4C49">
      <w:pPr>
        <w:pStyle w:val="BodyTextMain"/>
        <w:rPr>
          <w:lang w:val="en-GB"/>
        </w:rPr>
      </w:pPr>
    </w:p>
    <w:p w14:paraId="7F41343E" w14:textId="77777777" w:rsidR="001F4C49" w:rsidRPr="00D53084" w:rsidRDefault="001F4C49" w:rsidP="001F4C49">
      <w:pPr>
        <w:pStyle w:val="BodyTextMain"/>
        <w:rPr>
          <w:lang w:val="en-GB"/>
        </w:rPr>
      </w:pPr>
    </w:p>
    <w:p w14:paraId="2D4CA81B" w14:textId="09B38126" w:rsidR="00A80D93" w:rsidRPr="00D53084" w:rsidRDefault="00A80D93" w:rsidP="00A80D93">
      <w:pPr>
        <w:pStyle w:val="ExhibitHeading"/>
        <w:rPr>
          <w:lang w:val="en-GB"/>
        </w:rPr>
      </w:pPr>
      <w:r w:rsidRPr="00D53084">
        <w:rPr>
          <w:lang w:val="en-GB"/>
        </w:rPr>
        <w:t>Exhibit 6: Nike’s Global Apparel Manufacturing Suppliers (2016)</w:t>
      </w:r>
    </w:p>
    <w:p w14:paraId="0ECC67C0" w14:textId="77777777" w:rsidR="00A80D93" w:rsidRPr="00D53084" w:rsidRDefault="00A80D93" w:rsidP="00A80D93">
      <w:pPr>
        <w:pStyle w:val="BodyTextMain"/>
        <w:rPr>
          <w:lang w:val="en-GB"/>
        </w:rPr>
      </w:pPr>
    </w:p>
    <w:tbl>
      <w:tblPr>
        <w:tblStyle w:val="TableGrid"/>
        <w:tblW w:w="4094" w:type="pct"/>
        <w:tblInd w:w="704" w:type="dxa"/>
        <w:tblLook w:val="00A0" w:firstRow="1" w:lastRow="0" w:firstColumn="1" w:lastColumn="0" w:noHBand="0" w:noVBand="0"/>
      </w:tblPr>
      <w:tblGrid>
        <w:gridCol w:w="3039"/>
        <w:gridCol w:w="2063"/>
        <w:gridCol w:w="2554"/>
      </w:tblGrid>
      <w:tr w:rsidR="00A80D93" w:rsidRPr="00D53084" w14:paraId="5D7A5625" w14:textId="77777777" w:rsidTr="00003CC5">
        <w:trPr>
          <w:trHeight w:val="60"/>
        </w:trPr>
        <w:tc>
          <w:tcPr>
            <w:tcW w:w="1985" w:type="pct"/>
            <w:vAlign w:val="center"/>
          </w:tcPr>
          <w:p w14:paraId="70D9F00B" w14:textId="77777777" w:rsidR="00A80D93" w:rsidRPr="00D53084" w:rsidRDefault="00A80D93" w:rsidP="00F06A20">
            <w:pPr>
              <w:pStyle w:val="ExhibitText"/>
              <w:jc w:val="center"/>
              <w:rPr>
                <w:b/>
                <w:lang w:val="en-GB"/>
              </w:rPr>
            </w:pPr>
            <w:r w:rsidRPr="00D53084">
              <w:rPr>
                <w:b/>
                <w:lang w:val="en-GB"/>
              </w:rPr>
              <w:t>Country</w:t>
            </w:r>
          </w:p>
        </w:tc>
        <w:tc>
          <w:tcPr>
            <w:tcW w:w="1347" w:type="pct"/>
            <w:vAlign w:val="center"/>
          </w:tcPr>
          <w:p w14:paraId="73DAC6D6" w14:textId="77777777" w:rsidR="00A80D93" w:rsidRPr="00D53084" w:rsidRDefault="00A80D93" w:rsidP="00A80D93">
            <w:pPr>
              <w:pStyle w:val="ExhibitText"/>
              <w:jc w:val="center"/>
              <w:rPr>
                <w:b/>
                <w:lang w:val="en-GB"/>
              </w:rPr>
            </w:pPr>
            <w:r w:rsidRPr="00D53084">
              <w:rPr>
                <w:b/>
                <w:lang w:val="en-GB"/>
              </w:rPr>
              <w:t>Number of Suppliers</w:t>
            </w:r>
          </w:p>
        </w:tc>
        <w:tc>
          <w:tcPr>
            <w:tcW w:w="1668" w:type="pct"/>
            <w:vAlign w:val="center"/>
          </w:tcPr>
          <w:p w14:paraId="2B0AEEDD" w14:textId="1631C740" w:rsidR="00A80D93" w:rsidRPr="00D53084" w:rsidRDefault="00A80D93" w:rsidP="00A80D93">
            <w:pPr>
              <w:pStyle w:val="ExhibitText"/>
              <w:jc w:val="center"/>
              <w:rPr>
                <w:b/>
                <w:lang w:val="en-GB"/>
              </w:rPr>
            </w:pPr>
            <w:r w:rsidRPr="00D53084">
              <w:rPr>
                <w:b/>
                <w:lang w:val="en-GB"/>
              </w:rPr>
              <w:t>Largest Supplier</w:t>
            </w:r>
            <w:r w:rsidR="009545D5">
              <w:rPr>
                <w:b/>
                <w:lang w:val="en-GB"/>
              </w:rPr>
              <w:t>’s Number of Employees</w:t>
            </w:r>
          </w:p>
        </w:tc>
      </w:tr>
      <w:tr w:rsidR="00A80D93" w:rsidRPr="00D53084" w14:paraId="3E89E0BF" w14:textId="77777777" w:rsidTr="00003CC5">
        <w:trPr>
          <w:trHeight w:val="242"/>
        </w:trPr>
        <w:tc>
          <w:tcPr>
            <w:tcW w:w="1985" w:type="pct"/>
            <w:vAlign w:val="center"/>
          </w:tcPr>
          <w:p w14:paraId="3947BCAF" w14:textId="77777777" w:rsidR="00A80D93" w:rsidRPr="00D53084" w:rsidRDefault="00A80D93" w:rsidP="00A80D93">
            <w:pPr>
              <w:pStyle w:val="ExhibitText"/>
              <w:jc w:val="left"/>
              <w:rPr>
                <w:lang w:val="en-GB"/>
              </w:rPr>
            </w:pPr>
            <w:r w:rsidRPr="00D53084">
              <w:rPr>
                <w:lang w:val="en-GB"/>
              </w:rPr>
              <w:t>China</w:t>
            </w:r>
          </w:p>
        </w:tc>
        <w:tc>
          <w:tcPr>
            <w:tcW w:w="1347" w:type="pct"/>
            <w:vAlign w:val="center"/>
          </w:tcPr>
          <w:p w14:paraId="101E46FD" w14:textId="77777777" w:rsidR="00A80D93" w:rsidRPr="00D53084" w:rsidRDefault="00A80D93" w:rsidP="00F06A20">
            <w:pPr>
              <w:pStyle w:val="ExhibitText"/>
              <w:jc w:val="right"/>
              <w:rPr>
                <w:lang w:val="en-GB"/>
              </w:rPr>
            </w:pPr>
            <w:r w:rsidRPr="00D53084">
              <w:rPr>
                <w:lang w:val="en-GB"/>
              </w:rPr>
              <w:t>71</w:t>
            </w:r>
          </w:p>
        </w:tc>
        <w:tc>
          <w:tcPr>
            <w:tcW w:w="1668" w:type="pct"/>
            <w:vAlign w:val="center"/>
          </w:tcPr>
          <w:p w14:paraId="74962156" w14:textId="77777777" w:rsidR="00A80D93" w:rsidRPr="00D53084" w:rsidRDefault="00A80D93" w:rsidP="00F06A20">
            <w:pPr>
              <w:pStyle w:val="ExhibitText"/>
              <w:jc w:val="right"/>
              <w:rPr>
                <w:lang w:val="en-GB"/>
              </w:rPr>
            </w:pPr>
            <w:r w:rsidRPr="00D53084">
              <w:rPr>
                <w:lang w:val="en-GB"/>
              </w:rPr>
              <w:t>4,300</w:t>
            </w:r>
          </w:p>
        </w:tc>
      </w:tr>
      <w:tr w:rsidR="00A80D93" w:rsidRPr="00D53084" w14:paraId="3D421773" w14:textId="77777777" w:rsidTr="00003CC5">
        <w:trPr>
          <w:trHeight w:val="60"/>
        </w:trPr>
        <w:tc>
          <w:tcPr>
            <w:tcW w:w="1985" w:type="pct"/>
            <w:vAlign w:val="center"/>
          </w:tcPr>
          <w:p w14:paraId="4A7FC6A5" w14:textId="77777777" w:rsidR="00A80D93" w:rsidRPr="00D53084" w:rsidRDefault="00A80D93" w:rsidP="00A80D93">
            <w:pPr>
              <w:pStyle w:val="ExhibitText"/>
              <w:jc w:val="left"/>
              <w:rPr>
                <w:lang w:val="en-GB"/>
              </w:rPr>
            </w:pPr>
            <w:r w:rsidRPr="00D53084">
              <w:rPr>
                <w:lang w:val="en-GB"/>
              </w:rPr>
              <w:t>Vietnam</w:t>
            </w:r>
          </w:p>
        </w:tc>
        <w:tc>
          <w:tcPr>
            <w:tcW w:w="1347" w:type="pct"/>
            <w:vAlign w:val="center"/>
          </w:tcPr>
          <w:p w14:paraId="22F477D1" w14:textId="77777777" w:rsidR="00A80D93" w:rsidRPr="00D53084" w:rsidRDefault="00A80D93" w:rsidP="00F06A20">
            <w:pPr>
              <w:pStyle w:val="ExhibitText"/>
              <w:jc w:val="right"/>
              <w:rPr>
                <w:lang w:val="en-GB"/>
              </w:rPr>
            </w:pPr>
            <w:r w:rsidRPr="00D53084">
              <w:rPr>
                <w:lang w:val="en-GB"/>
              </w:rPr>
              <w:t>52</w:t>
            </w:r>
          </w:p>
        </w:tc>
        <w:tc>
          <w:tcPr>
            <w:tcW w:w="1668" w:type="pct"/>
            <w:vAlign w:val="center"/>
          </w:tcPr>
          <w:p w14:paraId="17A55888" w14:textId="77777777" w:rsidR="00A80D93" w:rsidRPr="00D53084" w:rsidRDefault="00A80D93" w:rsidP="00F06A20">
            <w:pPr>
              <w:pStyle w:val="ExhibitText"/>
              <w:jc w:val="right"/>
              <w:rPr>
                <w:lang w:val="en-GB"/>
              </w:rPr>
            </w:pPr>
            <w:r w:rsidRPr="00D53084">
              <w:rPr>
                <w:lang w:val="en-GB"/>
              </w:rPr>
              <w:t>9,000</w:t>
            </w:r>
          </w:p>
        </w:tc>
      </w:tr>
      <w:tr w:rsidR="00A80D93" w:rsidRPr="00D53084" w14:paraId="1A466050" w14:textId="77777777" w:rsidTr="00003CC5">
        <w:trPr>
          <w:trHeight w:val="60"/>
        </w:trPr>
        <w:tc>
          <w:tcPr>
            <w:tcW w:w="1985" w:type="pct"/>
            <w:vAlign w:val="center"/>
          </w:tcPr>
          <w:p w14:paraId="2B8A598A" w14:textId="6CD437F2" w:rsidR="00A80D93" w:rsidRPr="00D53084" w:rsidRDefault="00A80D93" w:rsidP="00A80D93">
            <w:pPr>
              <w:pStyle w:val="ExhibitText"/>
              <w:jc w:val="left"/>
              <w:rPr>
                <w:lang w:val="en-GB"/>
              </w:rPr>
            </w:pPr>
            <w:r w:rsidRPr="00D53084">
              <w:rPr>
                <w:lang w:val="en-GB"/>
              </w:rPr>
              <w:t>U</w:t>
            </w:r>
            <w:r w:rsidR="00E722E5" w:rsidRPr="00D53084">
              <w:rPr>
                <w:lang w:val="en-GB"/>
              </w:rPr>
              <w:t xml:space="preserve">nited </w:t>
            </w:r>
            <w:r w:rsidRPr="00D53084">
              <w:rPr>
                <w:lang w:val="en-GB"/>
              </w:rPr>
              <w:t>S</w:t>
            </w:r>
            <w:r w:rsidR="00E722E5" w:rsidRPr="00D53084">
              <w:rPr>
                <w:lang w:val="en-GB"/>
              </w:rPr>
              <w:t>tates</w:t>
            </w:r>
          </w:p>
        </w:tc>
        <w:tc>
          <w:tcPr>
            <w:tcW w:w="1347" w:type="pct"/>
            <w:vAlign w:val="center"/>
          </w:tcPr>
          <w:p w14:paraId="7599D6E6" w14:textId="77777777" w:rsidR="00A80D93" w:rsidRPr="00D53084" w:rsidRDefault="00A80D93" w:rsidP="00F06A20">
            <w:pPr>
              <w:pStyle w:val="ExhibitText"/>
              <w:jc w:val="right"/>
              <w:rPr>
                <w:lang w:val="en-GB"/>
              </w:rPr>
            </w:pPr>
            <w:r w:rsidRPr="00D53084">
              <w:rPr>
                <w:lang w:val="en-GB"/>
              </w:rPr>
              <w:t>43</w:t>
            </w:r>
          </w:p>
        </w:tc>
        <w:tc>
          <w:tcPr>
            <w:tcW w:w="1668" w:type="pct"/>
            <w:vAlign w:val="center"/>
          </w:tcPr>
          <w:p w14:paraId="29D6389B" w14:textId="77777777" w:rsidR="00A80D93" w:rsidRPr="00D53084" w:rsidRDefault="00A80D93" w:rsidP="00F06A20">
            <w:pPr>
              <w:pStyle w:val="ExhibitText"/>
              <w:jc w:val="right"/>
              <w:rPr>
                <w:lang w:val="en-GB"/>
              </w:rPr>
            </w:pPr>
            <w:r w:rsidRPr="00D53084">
              <w:rPr>
                <w:lang w:val="en-GB"/>
              </w:rPr>
              <w:t>576</w:t>
            </w:r>
          </w:p>
        </w:tc>
      </w:tr>
      <w:tr w:rsidR="00A80D93" w:rsidRPr="00D53084" w14:paraId="79D0F76B" w14:textId="77777777" w:rsidTr="00003CC5">
        <w:trPr>
          <w:trHeight w:val="60"/>
        </w:trPr>
        <w:tc>
          <w:tcPr>
            <w:tcW w:w="1985" w:type="pct"/>
            <w:vAlign w:val="center"/>
          </w:tcPr>
          <w:p w14:paraId="18E993EA" w14:textId="77777777" w:rsidR="00A80D93" w:rsidRPr="00D53084" w:rsidRDefault="00A80D93" w:rsidP="00A80D93">
            <w:pPr>
              <w:pStyle w:val="ExhibitText"/>
              <w:jc w:val="left"/>
              <w:rPr>
                <w:lang w:val="en-GB"/>
              </w:rPr>
            </w:pPr>
            <w:r w:rsidRPr="00D53084">
              <w:rPr>
                <w:lang w:val="en-GB"/>
              </w:rPr>
              <w:t>Thailand</w:t>
            </w:r>
          </w:p>
        </w:tc>
        <w:tc>
          <w:tcPr>
            <w:tcW w:w="1347" w:type="pct"/>
            <w:vAlign w:val="center"/>
          </w:tcPr>
          <w:p w14:paraId="53DC29FC" w14:textId="77777777" w:rsidR="00A80D93" w:rsidRPr="00D53084" w:rsidRDefault="00A80D93" w:rsidP="00F06A20">
            <w:pPr>
              <w:pStyle w:val="ExhibitText"/>
              <w:jc w:val="right"/>
              <w:rPr>
                <w:lang w:val="en-GB"/>
              </w:rPr>
            </w:pPr>
            <w:r w:rsidRPr="00D53084">
              <w:rPr>
                <w:lang w:val="en-GB"/>
              </w:rPr>
              <w:t>26</w:t>
            </w:r>
          </w:p>
        </w:tc>
        <w:tc>
          <w:tcPr>
            <w:tcW w:w="1668" w:type="pct"/>
            <w:vAlign w:val="center"/>
          </w:tcPr>
          <w:p w14:paraId="4043884E" w14:textId="77777777" w:rsidR="00A80D93" w:rsidRPr="00D53084" w:rsidRDefault="00A80D93" w:rsidP="00F06A20">
            <w:pPr>
              <w:pStyle w:val="ExhibitText"/>
              <w:jc w:val="right"/>
              <w:rPr>
                <w:lang w:val="en-GB"/>
              </w:rPr>
            </w:pPr>
            <w:r w:rsidRPr="00D53084">
              <w:rPr>
                <w:lang w:val="en-GB"/>
              </w:rPr>
              <w:t>3,200</w:t>
            </w:r>
          </w:p>
        </w:tc>
      </w:tr>
      <w:tr w:rsidR="00A80D93" w:rsidRPr="00D53084" w14:paraId="0975046B" w14:textId="77777777" w:rsidTr="00003CC5">
        <w:trPr>
          <w:trHeight w:val="60"/>
        </w:trPr>
        <w:tc>
          <w:tcPr>
            <w:tcW w:w="1985" w:type="pct"/>
            <w:vAlign w:val="center"/>
          </w:tcPr>
          <w:p w14:paraId="60B0B0F7" w14:textId="77777777" w:rsidR="00A80D93" w:rsidRPr="00D53084" w:rsidRDefault="00A80D93" w:rsidP="00A80D93">
            <w:pPr>
              <w:pStyle w:val="ExhibitText"/>
              <w:jc w:val="left"/>
              <w:rPr>
                <w:lang w:val="en-GB"/>
              </w:rPr>
            </w:pPr>
            <w:r w:rsidRPr="00D53084">
              <w:rPr>
                <w:lang w:val="en-GB"/>
              </w:rPr>
              <w:t>Sri Lanka</w:t>
            </w:r>
          </w:p>
        </w:tc>
        <w:tc>
          <w:tcPr>
            <w:tcW w:w="1347" w:type="pct"/>
            <w:vAlign w:val="center"/>
          </w:tcPr>
          <w:p w14:paraId="7581DF8D" w14:textId="77777777" w:rsidR="00A80D93" w:rsidRPr="00D53084" w:rsidRDefault="00A80D93" w:rsidP="00F06A20">
            <w:pPr>
              <w:pStyle w:val="ExhibitText"/>
              <w:jc w:val="right"/>
              <w:rPr>
                <w:lang w:val="en-GB"/>
              </w:rPr>
            </w:pPr>
            <w:r w:rsidRPr="00D53084">
              <w:rPr>
                <w:lang w:val="en-GB"/>
              </w:rPr>
              <w:t>20</w:t>
            </w:r>
          </w:p>
        </w:tc>
        <w:tc>
          <w:tcPr>
            <w:tcW w:w="1668" w:type="pct"/>
            <w:vAlign w:val="center"/>
          </w:tcPr>
          <w:p w14:paraId="126A0CAD" w14:textId="77777777" w:rsidR="00A80D93" w:rsidRPr="00D53084" w:rsidRDefault="00A80D93" w:rsidP="00F06A20">
            <w:pPr>
              <w:pStyle w:val="ExhibitText"/>
              <w:jc w:val="right"/>
              <w:rPr>
                <w:lang w:val="en-GB"/>
              </w:rPr>
            </w:pPr>
            <w:r w:rsidRPr="00D53084">
              <w:rPr>
                <w:lang w:val="en-GB"/>
              </w:rPr>
              <w:t>6,000</w:t>
            </w:r>
          </w:p>
        </w:tc>
      </w:tr>
      <w:tr w:rsidR="00A80D93" w:rsidRPr="00D53084" w14:paraId="32168F50" w14:textId="77777777" w:rsidTr="00003CC5">
        <w:trPr>
          <w:trHeight w:val="60"/>
        </w:trPr>
        <w:tc>
          <w:tcPr>
            <w:tcW w:w="1985" w:type="pct"/>
            <w:vAlign w:val="center"/>
          </w:tcPr>
          <w:p w14:paraId="69373FDB" w14:textId="77777777" w:rsidR="00A80D93" w:rsidRPr="00D53084" w:rsidRDefault="00A80D93" w:rsidP="00A80D93">
            <w:pPr>
              <w:pStyle w:val="ExhibitText"/>
              <w:jc w:val="left"/>
              <w:rPr>
                <w:lang w:val="en-GB"/>
              </w:rPr>
            </w:pPr>
            <w:r w:rsidRPr="00D53084">
              <w:rPr>
                <w:lang w:val="en-GB"/>
              </w:rPr>
              <w:t>Mexico</w:t>
            </w:r>
          </w:p>
        </w:tc>
        <w:tc>
          <w:tcPr>
            <w:tcW w:w="1347" w:type="pct"/>
            <w:vAlign w:val="center"/>
          </w:tcPr>
          <w:p w14:paraId="07999D3D" w14:textId="77777777" w:rsidR="00A80D93" w:rsidRPr="00D53084" w:rsidRDefault="00A80D93" w:rsidP="00F06A20">
            <w:pPr>
              <w:pStyle w:val="ExhibitText"/>
              <w:jc w:val="right"/>
              <w:rPr>
                <w:lang w:val="en-GB"/>
              </w:rPr>
            </w:pPr>
            <w:r w:rsidRPr="00D53084">
              <w:rPr>
                <w:lang w:val="en-GB"/>
              </w:rPr>
              <w:t>14</w:t>
            </w:r>
          </w:p>
        </w:tc>
        <w:tc>
          <w:tcPr>
            <w:tcW w:w="1668" w:type="pct"/>
            <w:vAlign w:val="center"/>
          </w:tcPr>
          <w:p w14:paraId="2B31D71F" w14:textId="77777777" w:rsidR="00A80D93" w:rsidRPr="00D53084" w:rsidRDefault="00A80D93" w:rsidP="00F06A20">
            <w:pPr>
              <w:pStyle w:val="ExhibitText"/>
              <w:jc w:val="right"/>
              <w:rPr>
                <w:lang w:val="en-GB"/>
              </w:rPr>
            </w:pPr>
            <w:r w:rsidRPr="00D53084">
              <w:rPr>
                <w:lang w:val="en-GB"/>
              </w:rPr>
              <w:t>2,070</w:t>
            </w:r>
          </w:p>
        </w:tc>
      </w:tr>
      <w:tr w:rsidR="00A80D93" w:rsidRPr="00D53084" w14:paraId="228F6ECB" w14:textId="77777777" w:rsidTr="00003CC5">
        <w:trPr>
          <w:trHeight w:val="60"/>
        </w:trPr>
        <w:tc>
          <w:tcPr>
            <w:tcW w:w="1985" w:type="pct"/>
            <w:vAlign w:val="center"/>
          </w:tcPr>
          <w:p w14:paraId="2684BBBE" w14:textId="77777777" w:rsidR="00A80D93" w:rsidRPr="00D53084" w:rsidRDefault="00A80D93" w:rsidP="00A80D93">
            <w:pPr>
              <w:pStyle w:val="ExhibitText"/>
              <w:jc w:val="left"/>
              <w:rPr>
                <w:lang w:val="en-GB"/>
              </w:rPr>
            </w:pPr>
            <w:r w:rsidRPr="00D53084">
              <w:rPr>
                <w:lang w:val="en-GB"/>
              </w:rPr>
              <w:t>Malaysia</w:t>
            </w:r>
          </w:p>
        </w:tc>
        <w:tc>
          <w:tcPr>
            <w:tcW w:w="1347" w:type="pct"/>
            <w:vAlign w:val="center"/>
          </w:tcPr>
          <w:p w14:paraId="4D232D08" w14:textId="77777777" w:rsidR="00A80D93" w:rsidRPr="00D53084" w:rsidRDefault="00A80D93" w:rsidP="00F06A20">
            <w:pPr>
              <w:pStyle w:val="ExhibitText"/>
              <w:jc w:val="right"/>
              <w:rPr>
                <w:lang w:val="en-GB"/>
              </w:rPr>
            </w:pPr>
            <w:r w:rsidRPr="00D53084">
              <w:rPr>
                <w:lang w:val="en-GB"/>
              </w:rPr>
              <w:t>17</w:t>
            </w:r>
          </w:p>
        </w:tc>
        <w:tc>
          <w:tcPr>
            <w:tcW w:w="1668" w:type="pct"/>
            <w:vAlign w:val="center"/>
          </w:tcPr>
          <w:p w14:paraId="598370E9" w14:textId="77777777" w:rsidR="00A80D93" w:rsidRPr="00D53084" w:rsidRDefault="00A80D93" w:rsidP="00F06A20">
            <w:pPr>
              <w:pStyle w:val="ExhibitText"/>
              <w:jc w:val="right"/>
              <w:rPr>
                <w:lang w:val="en-GB"/>
              </w:rPr>
            </w:pPr>
            <w:r w:rsidRPr="00D53084">
              <w:rPr>
                <w:lang w:val="en-GB"/>
              </w:rPr>
              <w:t>1,300</w:t>
            </w:r>
          </w:p>
        </w:tc>
      </w:tr>
      <w:tr w:rsidR="00A80D93" w:rsidRPr="00D53084" w14:paraId="05133BD7" w14:textId="77777777" w:rsidTr="00003CC5">
        <w:trPr>
          <w:trHeight w:val="60"/>
        </w:trPr>
        <w:tc>
          <w:tcPr>
            <w:tcW w:w="1985" w:type="pct"/>
            <w:vAlign w:val="center"/>
          </w:tcPr>
          <w:p w14:paraId="739A148B" w14:textId="77777777" w:rsidR="00A80D93" w:rsidRPr="00D53084" w:rsidRDefault="00A80D93" w:rsidP="00A80D93">
            <w:pPr>
              <w:pStyle w:val="ExhibitText"/>
              <w:jc w:val="left"/>
              <w:rPr>
                <w:lang w:val="en-GB"/>
              </w:rPr>
            </w:pPr>
            <w:r w:rsidRPr="00D53084">
              <w:rPr>
                <w:lang w:val="en-GB"/>
              </w:rPr>
              <w:t>Italy</w:t>
            </w:r>
          </w:p>
        </w:tc>
        <w:tc>
          <w:tcPr>
            <w:tcW w:w="1347" w:type="pct"/>
            <w:vAlign w:val="center"/>
          </w:tcPr>
          <w:p w14:paraId="79131E8A" w14:textId="77777777" w:rsidR="00A80D93" w:rsidRPr="00D53084" w:rsidRDefault="00A80D93" w:rsidP="00F06A20">
            <w:pPr>
              <w:pStyle w:val="ExhibitText"/>
              <w:jc w:val="right"/>
              <w:rPr>
                <w:lang w:val="en-GB"/>
              </w:rPr>
            </w:pPr>
            <w:r w:rsidRPr="00D53084">
              <w:rPr>
                <w:lang w:val="en-GB"/>
              </w:rPr>
              <w:t>12</w:t>
            </w:r>
          </w:p>
        </w:tc>
        <w:tc>
          <w:tcPr>
            <w:tcW w:w="1668" w:type="pct"/>
            <w:vAlign w:val="center"/>
          </w:tcPr>
          <w:p w14:paraId="6D8792AF" w14:textId="77777777" w:rsidR="00A80D93" w:rsidRPr="00D53084" w:rsidRDefault="00A80D93" w:rsidP="00F06A20">
            <w:pPr>
              <w:pStyle w:val="ExhibitText"/>
              <w:jc w:val="right"/>
              <w:rPr>
                <w:lang w:val="en-GB"/>
              </w:rPr>
            </w:pPr>
            <w:r w:rsidRPr="00D53084">
              <w:rPr>
                <w:lang w:val="en-GB"/>
              </w:rPr>
              <w:t>93</w:t>
            </w:r>
          </w:p>
        </w:tc>
      </w:tr>
      <w:tr w:rsidR="00A80D93" w:rsidRPr="00D53084" w14:paraId="4E66D840" w14:textId="77777777" w:rsidTr="00003CC5">
        <w:trPr>
          <w:trHeight w:val="60"/>
        </w:trPr>
        <w:tc>
          <w:tcPr>
            <w:tcW w:w="1985" w:type="pct"/>
            <w:vAlign w:val="center"/>
          </w:tcPr>
          <w:p w14:paraId="4DEB48BF" w14:textId="77777777" w:rsidR="00A80D93" w:rsidRPr="00D53084" w:rsidRDefault="00A80D93" w:rsidP="00A80D93">
            <w:pPr>
              <w:pStyle w:val="ExhibitText"/>
              <w:jc w:val="left"/>
              <w:rPr>
                <w:lang w:val="en-GB"/>
              </w:rPr>
            </w:pPr>
            <w:r w:rsidRPr="00D53084">
              <w:rPr>
                <w:lang w:val="en-GB"/>
              </w:rPr>
              <w:t>Indonesia</w:t>
            </w:r>
          </w:p>
        </w:tc>
        <w:tc>
          <w:tcPr>
            <w:tcW w:w="1347" w:type="pct"/>
            <w:vAlign w:val="center"/>
          </w:tcPr>
          <w:p w14:paraId="5652B694" w14:textId="77777777" w:rsidR="00A80D93" w:rsidRPr="00D53084" w:rsidRDefault="00A80D93" w:rsidP="00F06A20">
            <w:pPr>
              <w:pStyle w:val="ExhibitText"/>
              <w:jc w:val="right"/>
              <w:rPr>
                <w:lang w:val="en-GB"/>
              </w:rPr>
            </w:pPr>
            <w:r w:rsidRPr="00D53084">
              <w:rPr>
                <w:lang w:val="en-GB"/>
              </w:rPr>
              <w:t>16</w:t>
            </w:r>
          </w:p>
        </w:tc>
        <w:tc>
          <w:tcPr>
            <w:tcW w:w="1668" w:type="pct"/>
            <w:vAlign w:val="center"/>
          </w:tcPr>
          <w:p w14:paraId="3E333AE2" w14:textId="77777777" w:rsidR="00A80D93" w:rsidRPr="00D53084" w:rsidRDefault="00A80D93" w:rsidP="00F06A20">
            <w:pPr>
              <w:pStyle w:val="ExhibitText"/>
              <w:jc w:val="right"/>
              <w:rPr>
                <w:lang w:val="en-GB"/>
              </w:rPr>
            </w:pPr>
            <w:r w:rsidRPr="00D53084">
              <w:rPr>
                <w:lang w:val="en-GB"/>
              </w:rPr>
              <w:t>3,700</w:t>
            </w:r>
          </w:p>
        </w:tc>
      </w:tr>
      <w:tr w:rsidR="00A80D93" w:rsidRPr="00D53084" w14:paraId="3E1FD301" w14:textId="77777777" w:rsidTr="00003CC5">
        <w:trPr>
          <w:trHeight w:val="60"/>
        </w:trPr>
        <w:tc>
          <w:tcPr>
            <w:tcW w:w="1985" w:type="pct"/>
            <w:vAlign w:val="center"/>
          </w:tcPr>
          <w:p w14:paraId="5A82FB85" w14:textId="77777777" w:rsidR="00A80D93" w:rsidRPr="00D53084" w:rsidRDefault="00A80D93" w:rsidP="00A80D93">
            <w:pPr>
              <w:pStyle w:val="ExhibitText"/>
              <w:jc w:val="left"/>
              <w:rPr>
                <w:lang w:val="en-GB"/>
              </w:rPr>
            </w:pPr>
            <w:r w:rsidRPr="00D53084">
              <w:rPr>
                <w:lang w:val="en-GB"/>
              </w:rPr>
              <w:t>Brazil</w:t>
            </w:r>
          </w:p>
        </w:tc>
        <w:tc>
          <w:tcPr>
            <w:tcW w:w="1347" w:type="pct"/>
            <w:vAlign w:val="center"/>
          </w:tcPr>
          <w:p w14:paraId="6DF80936" w14:textId="77777777" w:rsidR="00A80D93" w:rsidRPr="00D53084" w:rsidRDefault="00A80D93" w:rsidP="00F06A20">
            <w:pPr>
              <w:pStyle w:val="ExhibitText"/>
              <w:jc w:val="right"/>
              <w:rPr>
                <w:lang w:val="en-GB"/>
              </w:rPr>
            </w:pPr>
            <w:r w:rsidRPr="00D53084">
              <w:rPr>
                <w:lang w:val="en-GB"/>
              </w:rPr>
              <w:t>12</w:t>
            </w:r>
          </w:p>
        </w:tc>
        <w:tc>
          <w:tcPr>
            <w:tcW w:w="1668" w:type="pct"/>
            <w:vAlign w:val="center"/>
          </w:tcPr>
          <w:p w14:paraId="5F864C09" w14:textId="77777777" w:rsidR="00A80D93" w:rsidRPr="00D53084" w:rsidRDefault="00A80D93" w:rsidP="00F06A20">
            <w:pPr>
              <w:pStyle w:val="ExhibitText"/>
              <w:jc w:val="right"/>
              <w:rPr>
                <w:lang w:val="en-GB"/>
              </w:rPr>
            </w:pPr>
            <w:r w:rsidRPr="00D53084">
              <w:rPr>
                <w:lang w:val="en-GB"/>
              </w:rPr>
              <w:t>600</w:t>
            </w:r>
          </w:p>
        </w:tc>
      </w:tr>
    </w:tbl>
    <w:p w14:paraId="52B4D910" w14:textId="77777777" w:rsidR="00A80D93" w:rsidRPr="00D53084" w:rsidRDefault="00A80D93" w:rsidP="00A80D93">
      <w:pPr>
        <w:pStyle w:val="BodyTextMain"/>
        <w:rPr>
          <w:lang w:val="en-GB"/>
        </w:rPr>
      </w:pPr>
    </w:p>
    <w:p w14:paraId="65EEB01E" w14:textId="196F1AB5" w:rsidR="00A80D93" w:rsidRPr="00D53084" w:rsidRDefault="00A80D93" w:rsidP="00A80D93">
      <w:pPr>
        <w:pStyle w:val="Footnote"/>
        <w:rPr>
          <w:lang w:val="en-GB"/>
        </w:rPr>
      </w:pPr>
      <w:r w:rsidRPr="00D53084">
        <w:rPr>
          <w:lang w:val="en-GB"/>
        </w:rPr>
        <w:t>Source: Nike</w:t>
      </w:r>
      <w:r w:rsidR="003B4B88" w:rsidRPr="00D53084">
        <w:rPr>
          <w:lang w:val="en-GB"/>
        </w:rPr>
        <w:t xml:space="preserve"> Inc., </w:t>
      </w:r>
      <w:r w:rsidR="003B4B88" w:rsidRPr="00D53084">
        <w:rPr>
          <w:i/>
          <w:lang w:val="en-GB"/>
        </w:rPr>
        <w:t>FY16/17 Sustainable Business Report: Maximum Performance Minimum Impact</w:t>
      </w:r>
      <w:r w:rsidR="003B4B88" w:rsidRPr="00D53084">
        <w:rPr>
          <w:lang w:val="en-GB"/>
        </w:rPr>
        <w:t>,</w:t>
      </w:r>
      <w:r w:rsidR="00B24453" w:rsidRPr="00D53084">
        <w:rPr>
          <w:rFonts w:eastAsiaTheme="minorEastAsia"/>
          <w:lang w:val="en-GB" w:eastAsia="zh-CN"/>
        </w:rPr>
        <w:t xml:space="preserve"> </w:t>
      </w:r>
      <w:r w:rsidR="003B4B88" w:rsidRPr="00D53084">
        <w:rPr>
          <w:rFonts w:eastAsiaTheme="minorEastAsia"/>
          <w:lang w:val="en-GB" w:eastAsia="zh-CN"/>
        </w:rPr>
        <w:t>a</w:t>
      </w:r>
      <w:r w:rsidR="00571D76" w:rsidRPr="00D53084">
        <w:rPr>
          <w:rFonts w:eastAsiaTheme="minorEastAsia"/>
          <w:lang w:val="en-GB" w:eastAsia="zh-CN"/>
        </w:rPr>
        <w:t>ccessed July 16, 2018, https://sustainability-nike.s3.amazonaws.com/wp-content/uploads/2018/05/18175102/NIKE-FY1617-Sustainable-Business-Report_FINAL.pdf.</w:t>
      </w:r>
    </w:p>
    <w:p w14:paraId="037E2A3C" w14:textId="77777777" w:rsidR="001F4C49" w:rsidRPr="00D53084" w:rsidRDefault="001F4C49" w:rsidP="001F4C49">
      <w:pPr>
        <w:pStyle w:val="BodyTextMain"/>
        <w:rPr>
          <w:lang w:val="en-GB"/>
        </w:rPr>
      </w:pPr>
    </w:p>
    <w:p w14:paraId="1A26FA9E" w14:textId="77777777" w:rsidR="001F4C49" w:rsidRPr="00D53084" w:rsidRDefault="001F4C49" w:rsidP="001F4C49">
      <w:pPr>
        <w:pStyle w:val="BodyTextMain"/>
        <w:rPr>
          <w:lang w:val="en-GB"/>
        </w:rPr>
      </w:pPr>
    </w:p>
    <w:p w14:paraId="6469496D" w14:textId="26F01F49" w:rsidR="00A80D93" w:rsidRPr="00D53084" w:rsidRDefault="00A80D93">
      <w:pPr>
        <w:spacing w:after="200" w:line="276" w:lineRule="auto"/>
        <w:rPr>
          <w:lang w:val="en-GB"/>
        </w:rPr>
      </w:pPr>
      <w:r w:rsidRPr="00D53084">
        <w:rPr>
          <w:lang w:val="en-GB"/>
        </w:rPr>
        <w:br w:type="page"/>
      </w:r>
    </w:p>
    <w:p w14:paraId="006B2555" w14:textId="56606167" w:rsidR="00A80D93" w:rsidRPr="00D53084" w:rsidRDefault="00A80D93" w:rsidP="00A80D93">
      <w:pPr>
        <w:pStyle w:val="ExhibitHeading"/>
        <w:rPr>
          <w:lang w:val="en-GB"/>
        </w:rPr>
      </w:pPr>
      <w:r w:rsidRPr="00D53084">
        <w:rPr>
          <w:lang w:val="en-GB"/>
        </w:rPr>
        <w:lastRenderedPageBreak/>
        <w:t xml:space="preserve">Exhibit 7: </w:t>
      </w:r>
      <w:r w:rsidR="00E722E5" w:rsidRPr="00D53084">
        <w:rPr>
          <w:lang w:val="en-GB"/>
        </w:rPr>
        <w:t>PRODUCTION FACTOR COSTS—</w:t>
      </w:r>
      <w:r w:rsidRPr="00D53084">
        <w:rPr>
          <w:lang w:val="en-GB"/>
        </w:rPr>
        <w:t>Comparison of Countries</w:t>
      </w:r>
    </w:p>
    <w:p w14:paraId="20ED0740" w14:textId="77777777" w:rsidR="00A80D93" w:rsidRPr="00D53084" w:rsidRDefault="00A80D93" w:rsidP="00A80D93">
      <w:pPr>
        <w:pStyle w:val="BodyTextMain"/>
        <w:rPr>
          <w:sz w:val="18"/>
          <w:szCs w:val="18"/>
          <w:lang w:val="en-GB"/>
        </w:rPr>
      </w:pPr>
    </w:p>
    <w:tbl>
      <w:tblPr>
        <w:tblStyle w:val="TableGrid"/>
        <w:tblW w:w="4934" w:type="pct"/>
        <w:jc w:val="center"/>
        <w:tblLook w:val="00A0" w:firstRow="1" w:lastRow="0" w:firstColumn="1" w:lastColumn="0" w:noHBand="0" w:noVBand="0"/>
      </w:tblPr>
      <w:tblGrid>
        <w:gridCol w:w="2283"/>
        <w:gridCol w:w="887"/>
        <w:gridCol w:w="1198"/>
        <w:gridCol w:w="1262"/>
        <w:gridCol w:w="1316"/>
        <w:gridCol w:w="1315"/>
        <w:gridCol w:w="966"/>
      </w:tblGrid>
      <w:tr w:rsidR="00A80D93" w:rsidRPr="00D53084" w14:paraId="4C7A447B" w14:textId="77777777" w:rsidTr="002455EF">
        <w:trPr>
          <w:jc w:val="center"/>
        </w:trPr>
        <w:tc>
          <w:tcPr>
            <w:tcW w:w="1238" w:type="pct"/>
          </w:tcPr>
          <w:p w14:paraId="2983F0DE" w14:textId="77777777" w:rsidR="00A80D93" w:rsidRPr="00D53084" w:rsidRDefault="00A80D93" w:rsidP="00A80D93">
            <w:pPr>
              <w:pStyle w:val="ExhibitText"/>
              <w:rPr>
                <w:sz w:val="18"/>
                <w:szCs w:val="18"/>
                <w:lang w:val="en-GB"/>
              </w:rPr>
            </w:pPr>
          </w:p>
        </w:tc>
        <w:tc>
          <w:tcPr>
            <w:tcW w:w="476" w:type="pct"/>
          </w:tcPr>
          <w:p w14:paraId="45BC36F6" w14:textId="77777777"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China</w:t>
            </w:r>
          </w:p>
        </w:tc>
        <w:tc>
          <w:tcPr>
            <w:tcW w:w="650" w:type="pct"/>
          </w:tcPr>
          <w:p w14:paraId="60955731" w14:textId="77777777"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Vietnam</w:t>
            </w:r>
          </w:p>
        </w:tc>
        <w:tc>
          <w:tcPr>
            <w:tcW w:w="685" w:type="pct"/>
          </w:tcPr>
          <w:p w14:paraId="5C3ED076" w14:textId="77777777"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Cambodia</w:t>
            </w:r>
          </w:p>
        </w:tc>
        <w:tc>
          <w:tcPr>
            <w:tcW w:w="714" w:type="pct"/>
          </w:tcPr>
          <w:p w14:paraId="70D01AA7" w14:textId="77777777"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Bangladesh</w:t>
            </w:r>
          </w:p>
        </w:tc>
        <w:tc>
          <w:tcPr>
            <w:tcW w:w="713" w:type="pct"/>
          </w:tcPr>
          <w:p w14:paraId="7A9B660F" w14:textId="77777777"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Myanmar</w:t>
            </w:r>
          </w:p>
        </w:tc>
        <w:tc>
          <w:tcPr>
            <w:tcW w:w="524" w:type="pct"/>
          </w:tcPr>
          <w:p w14:paraId="36A75525" w14:textId="521C53A5" w:rsidR="00A80D93" w:rsidRPr="00D53084" w:rsidRDefault="00A80D93" w:rsidP="00A80D93">
            <w:pPr>
              <w:pStyle w:val="ExhibitText"/>
              <w:jc w:val="center"/>
              <w:rPr>
                <w:b/>
                <w:sz w:val="18"/>
                <w:szCs w:val="18"/>
                <w:lang w:val="en-GB"/>
              </w:rPr>
            </w:pPr>
            <w:r w:rsidRPr="00D53084">
              <w:rPr>
                <w:b/>
                <w:color w:val="000000" w:themeColor="text1"/>
                <w:sz w:val="18"/>
                <w:szCs w:val="18"/>
                <w:lang w:val="en-GB"/>
              </w:rPr>
              <w:t>U</w:t>
            </w:r>
            <w:r w:rsidR="00E722E5" w:rsidRPr="00D53084">
              <w:rPr>
                <w:b/>
                <w:color w:val="000000" w:themeColor="text1"/>
                <w:sz w:val="18"/>
                <w:szCs w:val="18"/>
                <w:lang w:val="en-GB"/>
              </w:rPr>
              <w:t xml:space="preserve">nited </w:t>
            </w:r>
            <w:r w:rsidRPr="00D53084">
              <w:rPr>
                <w:b/>
                <w:color w:val="000000" w:themeColor="text1"/>
                <w:sz w:val="18"/>
                <w:szCs w:val="18"/>
                <w:lang w:val="en-GB"/>
              </w:rPr>
              <w:t>S</w:t>
            </w:r>
            <w:r w:rsidR="00E722E5" w:rsidRPr="00D53084">
              <w:rPr>
                <w:b/>
                <w:color w:val="000000" w:themeColor="text1"/>
                <w:sz w:val="18"/>
                <w:szCs w:val="18"/>
                <w:lang w:val="en-GB"/>
              </w:rPr>
              <w:t>tates</w:t>
            </w:r>
          </w:p>
        </w:tc>
      </w:tr>
      <w:tr w:rsidR="00A80D93" w:rsidRPr="00D53084" w14:paraId="10902C90" w14:textId="77777777" w:rsidTr="002455EF">
        <w:trPr>
          <w:jc w:val="center"/>
        </w:trPr>
        <w:tc>
          <w:tcPr>
            <w:tcW w:w="1238" w:type="pct"/>
            <w:vAlign w:val="center"/>
          </w:tcPr>
          <w:p w14:paraId="09A20CF0" w14:textId="77777777" w:rsidR="00A80D93" w:rsidRPr="00D53084" w:rsidRDefault="00A80D93" w:rsidP="00A80D93">
            <w:pPr>
              <w:pStyle w:val="ExhibitText"/>
              <w:jc w:val="left"/>
              <w:rPr>
                <w:sz w:val="18"/>
                <w:szCs w:val="18"/>
                <w:lang w:val="en-GB"/>
              </w:rPr>
            </w:pPr>
            <w:r w:rsidRPr="00D53084">
              <w:rPr>
                <w:color w:val="000000" w:themeColor="text1"/>
                <w:sz w:val="18"/>
                <w:szCs w:val="18"/>
                <w:lang w:val="en-GB"/>
              </w:rPr>
              <w:t>Total population (100 million)</w:t>
            </w:r>
          </w:p>
        </w:tc>
        <w:tc>
          <w:tcPr>
            <w:tcW w:w="476" w:type="pct"/>
            <w:vAlign w:val="center"/>
          </w:tcPr>
          <w:p w14:paraId="28D6F608" w14:textId="77777777" w:rsidR="00A80D93" w:rsidRPr="00D53084" w:rsidRDefault="00A80D93" w:rsidP="00A80D93">
            <w:pPr>
              <w:pStyle w:val="ExhibitText"/>
              <w:jc w:val="center"/>
              <w:rPr>
                <w:sz w:val="18"/>
                <w:szCs w:val="18"/>
                <w:lang w:val="en-GB"/>
              </w:rPr>
            </w:pPr>
            <w:r w:rsidRPr="00D53084">
              <w:rPr>
                <w:sz w:val="18"/>
                <w:szCs w:val="18"/>
                <w:lang w:val="en-GB"/>
              </w:rPr>
              <w:t>13.7</w:t>
            </w:r>
          </w:p>
        </w:tc>
        <w:tc>
          <w:tcPr>
            <w:tcW w:w="650" w:type="pct"/>
            <w:vAlign w:val="center"/>
          </w:tcPr>
          <w:p w14:paraId="59A95624" w14:textId="77777777" w:rsidR="00A80D93" w:rsidRPr="00D53084" w:rsidRDefault="00A80D93" w:rsidP="00A80D93">
            <w:pPr>
              <w:pStyle w:val="ExhibitText"/>
              <w:jc w:val="center"/>
              <w:rPr>
                <w:sz w:val="18"/>
                <w:szCs w:val="18"/>
                <w:lang w:val="en-GB"/>
              </w:rPr>
            </w:pPr>
            <w:r w:rsidRPr="00D53084">
              <w:rPr>
                <w:sz w:val="18"/>
                <w:szCs w:val="18"/>
                <w:lang w:val="en-GB"/>
              </w:rPr>
              <w:t>0.95</w:t>
            </w:r>
          </w:p>
        </w:tc>
        <w:tc>
          <w:tcPr>
            <w:tcW w:w="685" w:type="pct"/>
            <w:vAlign w:val="center"/>
          </w:tcPr>
          <w:p w14:paraId="505A769F" w14:textId="77777777" w:rsidR="00A80D93" w:rsidRPr="00D53084" w:rsidRDefault="00A80D93" w:rsidP="00A80D93">
            <w:pPr>
              <w:pStyle w:val="ExhibitText"/>
              <w:jc w:val="center"/>
              <w:rPr>
                <w:sz w:val="18"/>
                <w:szCs w:val="18"/>
                <w:lang w:val="en-GB"/>
              </w:rPr>
            </w:pPr>
            <w:r w:rsidRPr="00D53084">
              <w:rPr>
                <w:sz w:val="18"/>
                <w:szCs w:val="18"/>
                <w:lang w:val="en-GB"/>
              </w:rPr>
              <w:t>0.16</w:t>
            </w:r>
          </w:p>
        </w:tc>
        <w:tc>
          <w:tcPr>
            <w:tcW w:w="714" w:type="pct"/>
            <w:vAlign w:val="center"/>
          </w:tcPr>
          <w:p w14:paraId="39859FE8" w14:textId="77777777" w:rsidR="00A80D93" w:rsidRPr="00D53084" w:rsidRDefault="00A80D93" w:rsidP="00A80D93">
            <w:pPr>
              <w:pStyle w:val="ExhibitText"/>
              <w:jc w:val="center"/>
              <w:rPr>
                <w:sz w:val="18"/>
                <w:szCs w:val="18"/>
                <w:lang w:val="en-GB"/>
              </w:rPr>
            </w:pPr>
            <w:r w:rsidRPr="00D53084">
              <w:rPr>
                <w:sz w:val="18"/>
                <w:szCs w:val="18"/>
                <w:lang w:val="en-GB"/>
              </w:rPr>
              <w:t>1.56</w:t>
            </w:r>
          </w:p>
        </w:tc>
        <w:tc>
          <w:tcPr>
            <w:tcW w:w="713" w:type="pct"/>
            <w:vAlign w:val="center"/>
          </w:tcPr>
          <w:p w14:paraId="56546192" w14:textId="77777777" w:rsidR="00A80D93" w:rsidRPr="00D53084" w:rsidRDefault="00A80D93" w:rsidP="00A80D93">
            <w:pPr>
              <w:pStyle w:val="ExhibitText"/>
              <w:jc w:val="center"/>
              <w:rPr>
                <w:sz w:val="18"/>
                <w:szCs w:val="18"/>
                <w:lang w:val="en-GB"/>
              </w:rPr>
            </w:pPr>
            <w:r w:rsidRPr="00D53084">
              <w:rPr>
                <w:sz w:val="18"/>
                <w:szCs w:val="18"/>
                <w:lang w:val="en-GB"/>
              </w:rPr>
              <w:t>0.57</w:t>
            </w:r>
          </w:p>
        </w:tc>
        <w:tc>
          <w:tcPr>
            <w:tcW w:w="524" w:type="pct"/>
            <w:vAlign w:val="center"/>
          </w:tcPr>
          <w:p w14:paraId="7E2FF327" w14:textId="77777777" w:rsidR="00A80D93" w:rsidRPr="00D53084" w:rsidRDefault="00A80D93" w:rsidP="00A80D93">
            <w:pPr>
              <w:pStyle w:val="ExhibitText"/>
              <w:jc w:val="center"/>
              <w:rPr>
                <w:sz w:val="18"/>
                <w:szCs w:val="18"/>
                <w:lang w:val="en-GB"/>
              </w:rPr>
            </w:pPr>
            <w:r w:rsidRPr="00D53084">
              <w:rPr>
                <w:sz w:val="18"/>
                <w:szCs w:val="18"/>
                <w:lang w:val="en-GB"/>
              </w:rPr>
              <w:t>3.24</w:t>
            </w:r>
          </w:p>
        </w:tc>
      </w:tr>
      <w:tr w:rsidR="00A80D93" w:rsidRPr="00D53084" w14:paraId="671B5082" w14:textId="77777777" w:rsidTr="002455EF">
        <w:trPr>
          <w:jc w:val="center"/>
        </w:trPr>
        <w:tc>
          <w:tcPr>
            <w:tcW w:w="1238" w:type="pct"/>
            <w:vAlign w:val="center"/>
          </w:tcPr>
          <w:p w14:paraId="060A3A80" w14:textId="0975E1EE" w:rsidR="00A80D93" w:rsidRPr="00D53084" w:rsidRDefault="00A80D93" w:rsidP="00A80D93">
            <w:pPr>
              <w:pStyle w:val="ExhibitText"/>
              <w:jc w:val="left"/>
              <w:rPr>
                <w:sz w:val="18"/>
                <w:szCs w:val="18"/>
                <w:lang w:val="en-GB"/>
              </w:rPr>
            </w:pPr>
            <w:r w:rsidRPr="00D53084">
              <w:rPr>
                <w:color w:val="000000" w:themeColor="text1"/>
                <w:sz w:val="18"/>
                <w:szCs w:val="18"/>
                <w:lang w:val="en-GB"/>
              </w:rPr>
              <w:t>Labo</w:t>
            </w:r>
            <w:r w:rsidR="00E722E5" w:rsidRPr="00D53084">
              <w:rPr>
                <w:color w:val="000000" w:themeColor="text1"/>
                <w:sz w:val="18"/>
                <w:szCs w:val="18"/>
                <w:lang w:val="en-GB"/>
              </w:rPr>
              <w:t>u</w:t>
            </w:r>
            <w:r w:rsidRPr="00D53084">
              <w:rPr>
                <w:color w:val="000000" w:themeColor="text1"/>
                <w:sz w:val="18"/>
                <w:szCs w:val="18"/>
                <w:lang w:val="en-GB"/>
              </w:rPr>
              <w:t>r population (100 million)</w:t>
            </w:r>
          </w:p>
        </w:tc>
        <w:tc>
          <w:tcPr>
            <w:tcW w:w="476" w:type="pct"/>
            <w:vAlign w:val="center"/>
          </w:tcPr>
          <w:p w14:paraId="5172FE17" w14:textId="77777777" w:rsidR="00A80D93" w:rsidRPr="00D53084" w:rsidRDefault="00A80D93" w:rsidP="00A80D93">
            <w:pPr>
              <w:pStyle w:val="ExhibitText"/>
              <w:jc w:val="center"/>
              <w:rPr>
                <w:sz w:val="18"/>
                <w:szCs w:val="18"/>
                <w:lang w:val="en-GB"/>
              </w:rPr>
            </w:pPr>
            <w:r w:rsidRPr="00D53084">
              <w:rPr>
                <w:sz w:val="18"/>
                <w:szCs w:val="18"/>
                <w:lang w:val="en-GB"/>
              </w:rPr>
              <w:t>8.04</w:t>
            </w:r>
          </w:p>
        </w:tc>
        <w:tc>
          <w:tcPr>
            <w:tcW w:w="650" w:type="pct"/>
            <w:vAlign w:val="center"/>
          </w:tcPr>
          <w:p w14:paraId="438A9E09" w14:textId="77777777" w:rsidR="00A80D93" w:rsidRPr="00D53084" w:rsidRDefault="00A80D93" w:rsidP="00A80D93">
            <w:pPr>
              <w:pStyle w:val="ExhibitText"/>
              <w:jc w:val="center"/>
              <w:rPr>
                <w:sz w:val="18"/>
                <w:szCs w:val="18"/>
                <w:lang w:val="en-GB"/>
              </w:rPr>
            </w:pPr>
            <w:r w:rsidRPr="00D53084">
              <w:rPr>
                <w:sz w:val="18"/>
                <w:szCs w:val="18"/>
                <w:lang w:val="en-GB"/>
              </w:rPr>
              <w:t>0.55</w:t>
            </w:r>
          </w:p>
        </w:tc>
        <w:tc>
          <w:tcPr>
            <w:tcW w:w="685" w:type="pct"/>
            <w:vAlign w:val="center"/>
          </w:tcPr>
          <w:p w14:paraId="37DD8567" w14:textId="77777777" w:rsidR="00A80D93" w:rsidRPr="00D53084" w:rsidRDefault="00A80D93" w:rsidP="00A80D93">
            <w:pPr>
              <w:pStyle w:val="ExhibitText"/>
              <w:jc w:val="center"/>
              <w:rPr>
                <w:sz w:val="18"/>
                <w:szCs w:val="18"/>
                <w:lang w:val="en-GB"/>
              </w:rPr>
            </w:pPr>
            <w:r w:rsidRPr="00D53084">
              <w:rPr>
                <w:sz w:val="18"/>
                <w:szCs w:val="18"/>
                <w:lang w:val="en-GB"/>
              </w:rPr>
              <w:t>0.08</w:t>
            </w:r>
          </w:p>
        </w:tc>
        <w:tc>
          <w:tcPr>
            <w:tcW w:w="714" w:type="pct"/>
            <w:vAlign w:val="center"/>
          </w:tcPr>
          <w:p w14:paraId="48539ADB" w14:textId="77777777" w:rsidR="00A80D93" w:rsidRPr="00D53084" w:rsidRDefault="00A80D93" w:rsidP="00A80D93">
            <w:pPr>
              <w:pStyle w:val="ExhibitText"/>
              <w:jc w:val="center"/>
              <w:rPr>
                <w:sz w:val="18"/>
                <w:szCs w:val="18"/>
                <w:lang w:val="en-GB"/>
              </w:rPr>
            </w:pPr>
            <w:r w:rsidRPr="00D53084">
              <w:rPr>
                <w:sz w:val="18"/>
                <w:szCs w:val="18"/>
                <w:lang w:val="en-GB"/>
              </w:rPr>
              <w:t>0.82</w:t>
            </w:r>
          </w:p>
        </w:tc>
        <w:tc>
          <w:tcPr>
            <w:tcW w:w="713" w:type="pct"/>
            <w:vAlign w:val="center"/>
          </w:tcPr>
          <w:p w14:paraId="4A68A69D" w14:textId="77777777" w:rsidR="00A80D93" w:rsidRPr="00D53084" w:rsidRDefault="00A80D93" w:rsidP="00A80D93">
            <w:pPr>
              <w:pStyle w:val="ExhibitText"/>
              <w:jc w:val="center"/>
              <w:rPr>
                <w:sz w:val="18"/>
                <w:szCs w:val="18"/>
                <w:lang w:val="en-GB"/>
              </w:rPr>
            </w:pPr>
            <w:r w:rsidRPr="00D53084">
              <w:rPr>
                <w:sz w:val="18"/>
                <w:szCs w:val="18"/>
                <w:lang w:val="en-GB"/>
              </w:rPr>
              <w:t>0.37</w:t>
            </w:r>
          </w:p>
        </w:tc>
        <w:tc>
          <w:tcPr>
            <w:tcW w:w="524" w:type="pct"/>
            <w:vAlign w:val="center"/>
          </w:tcPr>
          <w:p w14:paraId="2BCCB3D2" w14:textId="77777777" w:rsidR="00A80D93" w:rsidRPr="00D53084" w:rsidRDefault="00A80D93" w:rsidP="00A80D93">
            <w:pPr>
              <w:pStyle w:val="ExhibitText"/>
              <w:jc w:val="center"/>
              <w:rPr>
                <w:sz w:val="18"/>
                <w:szCs w:val="18"/>
                <w:lang w:val="en-GB"/>
              </w:rPr>
            </w:pPr>
            <w:r w:rsidRPr="00D53084">
              <w:rPr>
                <w:sz w:val="18"/>
                <w:szCs w:val="18"/>
                <w:lang w:val="en-GB"/>
              </w:rPr>
              <w:t>1.56</w:t>
            </w:r>
          </w:p>
        </w:tc>
      </w:tr>
      <w:tr w:rsidR="00A80D93" w:rsidRPr="00D53084" w14:paraId="632F6F6D" w14:textId="77777777" w:rsidTr="002455EF">
        <w:trPr>
          <w:jc w:val="center"/>
        </w:trPr>
        <w:tc>
          <w:tcPr>
            <w:tcW w:w="1238" w:type="pct"/>
            <w:vAlign w:val="center"/>
          </w:tcPr>
          <w:p w14:paraId="1DEC8789" w14:textId="0A690C08" w:rsidR="00A80D93" w:rsidRPr="00D53084" w:rsidRDefault="00A80D93" w:rsidP="00A80D93">
            <w:pPr>
              <w:pStyle w:val="ExhibitText"/>
              <w:jc w:val="left"/>
              <w:rPr>
                <w:sz w:val="18"/>
                <w:szCs w:val="18"/>
                <w:lang w:val="en-GB"/>
              </w:rPr>
            </w:pPr>
            <w:r w:rsidRPr="00D53084">
              <w:rPr>
                <w:color w:val="000000" w:themeColor="text1"/>
                <w:sz w:val="18"/>
                <w:szCs w:val="18"/>
                <w:lang w:val="en-GB"/>
              </w:rPr>
              <w:t>Industrial labo</w:t>
            </w:r>
            <w:r w:rsidR="00E722E5" w:rsidRPr="00D53084">
              <w:rPr>
                <w:color w:val="000000" w:themeColor="text1"/>
                <w:sz w:val="18"/>
                <w:szCs w:val="18"/>
                <w:lang w:val="en-GB"/>
              </w:rPr>
              <w:t>u</w:t>
            </w:r>
            <w:r w:rsidRPr="00D53084">
              <w:rPr>
                <w:color w:val="000000" w:themeColor="text1"/>
                <w:sz w:val="18"/>
                <w:szCs w:val="18"/>
                <w:lang w:val="en-GB"/>
              </w:rPr>
              <w:t>r population (100 million)</w:t>
            </w:r>
          </w:p>
        </w:tc>
        <w:tc>
          <w:tcPr>
            <w:tcW w:w="476" w:type="pct"/>
            <w:vAlign w:val="center"/>
          </w:tcPr>
          <w:p w14:paraId="1618535C" w14:textId="77777777" w:rsidR="00A80D93" w:rsidRPr="00D53084" w:rsidRDefault="00A80D93" w:rsidP="00A80D93">
            <w:pPr>
              <w:pStyle w:val="ExhibitText"/>
              <w:jc w:val="center"/>
              <w:rPr>
                <w:sz w:val="18"/>
                <w:szCs w:val="18"/>
                <w:lang w:val="en-GB"/>
              </w:rPr>
            </w:pPr>
            <w:r w:rsidRPr="00D53084">
              <w:rPr>
                <w:sz w:val="18"/>
                <w:szCs w:val="18"/>
                <w:lang w:val="en-GB"/>
              </w:rPr>
              <w:t>2.44</w:t>
            </w:r>
          </w:p>
        </w:tc>
        <w:tc>
          <w:tcPr>
            <w:tcW w:w="650" w:type="pct"/>
            <w:vAlign w:val="center"/>
          </w:tcPr>
          <w:p w14:paraId="3E42B9ED" w14:textId="77777777" w:rsidR="00A80D93" w:rsidRPr="00D53084" w:rsidRDefault="00A80D93" w:rsidP="00A80D93">
            <w:pPr>
              <w:pStyle w:val="ExhibitText"/>
              <w:jc w:val="center"/>
              <w:rPr>
                <w:sz w:val="18"/>
                <w:szCs w:val="18"/>
                <w:lang w:val="en-GB"/>
              </w:rPr>
            </w:pPr>
            <w:r w:rsidRPr="00D53084">
              <w:rPr>
                <w:sz w:val="18"/>
                <w:szCs w:val="18"/>
                <w:lang w:val="en-GB"/>
              </w:rPr>
              <w:t>0.12</w:t>
            </w:r>
          </w:p>
        </w:tc>
        <w:tc>
          <w:tcPr>
            <w:tcW w:w="685" w:type="pct"/>
            <w:vAlign w:val="center"/>
          </w:tcPr>
          <w:p w14:paraId="20E39A35" w14:textId="77777777" w:rsidR="00A80D93" w:rsidRPr="00D53084" w:rsidRDefault="00A80D93" w:rsidP="00A80D93">
            <w:pPr>
              <w:pStyle w:val="ExhibitText"/>
              <w:jc w:val="center"/>
              <w:rPr>
                <w:sz w:val="18"/>
                <w:szCs w:val="18"/>
                <w:lang w:val="en-GB"/>
              </w:rPr>
            </w:pPr>
            <w:r w:rsidRPr="00D53084">
              <w:rPr>
                <w:sz w:val="18"/>
                <w:szCs w:val="18"/>
                <w:lang w:val="en-GB"/>
              </w:rPr>
              <w:t>0.01</w:t>
            </w:r>
          </w:p>
        </w:tc>
        <w:tc>
          <w:tcPr>
            <w:tcW w:w="714" w:type="pct"/>
            <w:vAlign w:val="center"/>
          </w:tcPr>
          <w:p w14:paraId="569FA650" w14:textId="77777777" w:rsidR="00A80D93" w:rsidRPr="00D53084" w:rsidRDefault="00A80D93" w:rsidP="00A80D93">
            <w:pPr>
              <w:pStyle w:val="ExhibitText"/>
              <w:jc w:val="center"/>
              <w:rPr>
                <w:sz w:val="18"/>
                <w:szCs w:val="18"/>
                <w:lang w:val="en-GB"/>
              </w:rPr>
            </w:pPr>
            <w:r w:rsidRPr="00D53084">
              <w:rPr>
                <w:sz w:val="18"/>
                <w:szCs w:val="18"/>
                <w:lang w:val="en-GB"/>
              </w:rPr>
              <w:t>0.11</w:t>
            </w:r>
          </w:p>
        </w:tc>
        <w:tc>
          <w:tcPr>
            <w:tcW w:w="713" w:type="pct"/>
            <w:vAlign w:val="center"/>
          </w:tcPr>
          <w:p w14:paraId="45BC3AB5" w14:textId="77777777" w:rsidR="00A80D93" w:rsidRPr="00D53084" w:rsidRDefault="00A80D93" w:rsidP="00A80D93">
            <w:pPr>
              <w:pStyle w:val="ExhibitText"/>
              <w:jc w:val="center"/>
              <w:rPr>
                <w:sz w:val="18"/>
                <w:szCs w:val="18"/>
                <w:lang w:val="en-GB"/>
              </w:rPr>
            </w:pPr>
            <w:r w:rsidRPr="00D53084">
              <w:rPr>
                <w:sz w:val="18"/>
                <w:szCs w:val="18"/>
                <w:lang w:val="en-GB"/>
              </w:rPr>
              <w:t>0.03</w:t>
            </w:r>
          </w:p>
        </w:tc>
        <w:tc>
          <w:tcPr>
            <w:tcW w:w="524" w:type="pct"/>
            <w:vAlign w:val="center"/>
          </w:tcPr>
          <w:p w14:paraId="6124FDF4" w14:textId="77777777" w:rsidR="00A80D93" w:rsidRPr="00D53084" w:rsidRDefault="00A80D93" w:rsidP="00A80D93">
            <w:pPr>
              <w:pStyle w:val="ExhibitText"/>
              <w:jc w:val="center"/>
              <w:rPr>
                <w:sz w:val="18"/>
                <w:szCs w:val="18"/>
                <w:lang w:val="en-GB"/>
              </w:rPr>
            </w:pPr>
            <w:r w:rsidRPr="00D53084">
              <w:rPr>
                <w:sz w:val="18"/>
                <w:szCs w:val="18"/>
                <w:lang w:val="en-GB"/>
              </w:rPr>
              <w:t>0.30</w:t>
            </w:r>
          </w:p>
        </w:tc>
      </w:tr>
      <w:tr w:rsidR="00A80D93" w:rsidRPr="00D53084" w14:paraId="1F5285EB" w14:textId="77777777" w:rsidTr="002455EF">
        <w:trPr>
          <w:jc w:val="center"/>
        </w:trPr>
        <w:tc>
          <w:tcPr>
            <w:tcW w:w="1238" w:type="pct"/>
            <w:vAlign w:val="center"/>
          </w:tcPr>
          <w:p w14:paraId="2DD2971E" w14:textId="0B16F20F" w:rsidR="00A80D93" w:rsidRPr="00D53084" w:rsidRDefault="00A80D93" w:rsidP="00271744">
            <w:pPr>
              <w:pStyle w:val="ExhibitText"/>
              <w:jc w:val="left"/>
              <w:rPr>
                <w:sz w:val="18"/>
                <w:szCs w:val="18"/>
                <w:lang w:val="en-GB"/>
              </w:rPr>
            </w:pPr>
            <w:r w:rsidRPr="00D53084">
              <w:rPr>
                <w:color w:val="000000" w:themeColor="text1"/>
                <w:sz w:val="18"/>
                <w:szCs w:val="18"/>
                <w:lang w:val="en-GB"/>
              </w:rPr>
              <w:t>Labo</w:t>
            </w:r>
            <w:r w:rsidR="00271744" w:rsidRPr="00D53084">
              <w:rPr>
                <w:color w:val="000000" w:themeColor="text1"/>
                <w:sz w:val="18"/>
                <w:szCs w:val="18"/>
                <w:lang w:val="en-GB"/>
              </w:rPr>
              <w:t>u</w:t>
            </w:r>
            <w:r w:rsidRPr="00D53084">
              <w:rPr>
                <w:color w:val="000000" w:themeColor="text1"/>
                <w:sz w:val="18"/>
                <w:szCs w:val="18"/>
                <w:lang w:val="en-GB"/>
              </w:rPr>
              <w:t>r cost (</w:t>
            </w:r>
            <w:r w:rsidR="00631C91">
              <w:rPr>
                <w:color w:val="000000" w:themeColor="text1"/>
                <w:sz w:val="18"/>
                <w:szCs w:val="18"/>
                <w:lang w:val="en-GB"/>
              </w:rPr>
              <w:t>US</w:t>
            </w:r>
            <w:r w:rsidRPr="00D53084">
              <w:rPr>
                <w:color w:val="000000" w:themeColor="text1"/>
                <w:sz w:val="18"/>
                <w:szCs w:val="18"/>
                <w:lang w:val="en-GB"/>
              </w:rPr>
              <w:t xml:space="preserve"> </w:t>
            </w:r>
            <w:r w:rsidR="00271744" w:rsidRPr="00D53084">
              <w:rPr>
                <w:color w:val="000000" w:themeColor="text1"/>
                <w:sz w:val="18"/>
                <w:szCs w:val="18"/>
                <w:lang w:val="en-GB"/>
              </w:rPr>
              <w:t>d</w:t>
            </w:r>
            <w:r w:rsidRPr="00D53084">
              <w:rPr>
                <w:color w:val="000000" w:themeColor="text1"/>
                <w:sz w:val="18"/>
                <w:szCs w:val="18"/>
                <w:lang w:val="en-GB"/>
              </w:rPr>
              <w:t>ollar</w:t>
            </w:r>
            <w:r w:rsidR="00271744" w:rsidRPr="00D53084">
              <w:rPr>
                <w:color w:val="000000" w:themeColor="text1"/>
                <w:sz w:val="18"/>
                <w:szCs w:val="18"/>
                <w:lang w:val="en-GB"/>
              </w:rPr>
              <w:t>s</w:t>
            </w:r>
            <w:r w:rsidRPr="00D53084">
              <w:rPr>
                <w:color w:val="000000" w:themeColor="text1"/>
                <w:sz w:val="18"/>
                <w:szCs w:val="18"/>
                <w:lang w:val="en-GB"/>
              </w:rPr>
              <w:t xml:space="preserve"> per month)</w:t>
            </w:r>
          </w:p>
        </w:tc>
        <w:tc>
          <w:tcPr>
            <w:tcW w:w="476" w:type="pct"/>
            <w:vAlign w:val="center"/>
          </w:tcPr>
          <w:p w14:paraId="02FC30AB" w14:textId="77777777" w:rsidR="00A80D93" w:rsidRPr="00D53084" w:rsidRDefault="00A80D93" w:rsidP="00A80D93">
            <w:pPr>
              <w:pStyle w:val="ExhibitText"/>
              <w:jc w:val="center"/>
              <w:rPr>
                <w:sz w:val="18"/>
                <w:szCs w:val="18"/>
                <w:lang w:val="en-GB"/>
              </w:rPr>
            </w:pPr>
            <w:r w:rsidRPr="00D53084">
              <w:rPr>
                <w:sz w:val="18"/>
                <w:szCs w:val="18"/>
                <w:lang w:val="en-GB"/>
              </w:rPr>
              <w:t>645</w:t>
            </w:r>
          </w:p>
        </w:tc>
        <w:tc>
          <w:tcPr>
            <w:tcW w:w="650" w:type="pct"/>
            <w:vAlign w:val="center"/>
          </w:tcPr>
          <w:p w14:paraId="1FE3D0A3" w14:textId="77777777" w:rsidR="00A80D93" w:rsidRPr="00D53084" w:rsidRDefault="00A80D93" w:rsidP="00A80D93">
            <w:pPr>
              <w:pStyle w:val="ExhibitText"/>
              <w:jc w:val="center"/>
              <w:rPr>
                <w:sz w:val="18"/>
                <w:szCs w:val="18"/>
                <w:lang w:val="en-GB"/>
              </w:rPr>
            </w:pPr>
            <w:r w:rsidRPr="00D53084">
              <w:rPr>
                <w:sz w:val="18"/>
                <w:szCs w:val="18"/>
                <w:lang w:val="en-GB"/>
              </w:rPr>
              <w:t>181</w:t>
            </w:r>
          </w:p>
        </w:tc>
        <w:tc>
          <w:tcPr>
            <w:tcW w:w="685" w:type="pct"/>
            <w:vAlign w:val="center"/>
          </w:tcPr>
          <w:p w14:paraId="01C7BFC2" w14:textId="77777777" w:rsidR="00A80D93" w:rsidRPr="00D53084" w:rsidRDefault="00A80D93" w:rsidP="00A80D93">
            <w:pPr>
              <w:pStyle w:val="ExhibitText"/>
              <w:jc w:val="center"/>
              <w:rPr>
                <w:sz w:val="18"/>
                <w:szCs w:val="18"/>
                <w:lang w:val="en-GB"/>
              </w:rPr>
            </w:pPr>
            <w:r w:rsidRPr="00D53084">
              <w:rPr>
                <w:sz w:val="18"/>
                <w:szCs w:val="18"/>
                <w:lang w:val="en-GB"/>
              </w:rPr>
              <w:t>121</w:t>
            </w:r>
          </w:p>
        </w:tc>
        <w:tc>
          <w:tcPr>
            <w:tcW w:w="714" w:type="pct"/>
            <w:vAlign w:val="center"/>
          </w:tcPr>
          <w:p w14:paraId="671424FB" w14:textId="77777777" w:rsidR="00A80D93" w:rsidRPr="00D53084" w:rsidRDefault="00A80D93" w:rsidP="00A80D93">
            <w:pPr>
              <w:pStyle w:val="ExhibitText"/>
              <w:jc w:val="center"/>
              <w:rPr>
                <w:sz w:val="18"/>
                <w:szCs w:val="18"/>
                <w:lang w:val="en-GB"/>
              </w:rPr>
            </w:pPr>
            <w:r w:rsidRPr="00D53084">
              <w:rPr>
                <w:sz w:val="18"/>
                <w:szCs w:val="18"/>
                <w:lang w:val="en-GB"/>
              </w:rPr>
              <w:t>87</w:t>
            </w:r>
          </w:p>
        </w:tc>
        <w:tc>
          <w:tcPr>
            <w:tcW w:w="713" w:type="pct"/>
            <w:vAlign w:val="center"/>
          </w:tcPr>
          <w:p w14:paraId="0ADB912C" w14:textId="77777777" w:rsidR="00A80D93" w:rsidRPr="00D53084" w:rsidRDefault="00A80D93" w:rsidP="00A80D93">
            <w:pPr>
              <w:pStyle w:val="ExhibitText"/>
              <w:jc w:val="center"/>
              <w:rPr>
                <w:sz w:val="18"/>
                <w:szCs w:val="18"/>
                <w:lang w:val="en-GB"/>
              </w:rPr>
            </w:pPr>
            <w:r w:rsidRPr="00D53084">
              <w:rPr>
                <w:sz w:val="18"/>
                <w:szCs w:val="18"/>
                <w:lang w:val="en-GB"/>
              </w:rPr>
              <w:t>73</w:t>
            </w:r>
          </w:p>
        </w:tc>
        <w:tc>
          <w:tcPr>
            <w:tcW w:w="524" w:type="pct"/>
            <w:vAlign w:val="center"/>
          </w:tcPr>
          <w:p w14:paraId="245D0340" w14:textId="2FDF7EF4" w:rsidR="00A80D93" w:rsidRPr="00D53084" w:rsidRDefault="00A80D93" w:rsidP="00A80D93">
            <w:pPr>
              <w:pStyle w:val="ExhibitText"/>
              <w:jc w:val="center"/>
              <w:rPr>
                <w:sz w:val="18"/>
                <w:szCs w:val="18"/>
                <w:lang w:val="en-GB"/>
              </w:rPr>
            </w:pPr>
            <w:r w:rsidRPr="00D53084">
              <w:rPr>
                <w:sz w:val="18"/>
                <w:szCs w:val="18"/>
                <w:lang w:val="en-GB"/>
              </w:rPr>
              <w:t>4</w:t>
            </w:r>
            <w:r w:rsidR="00271744" w:rsidRPr="00D53084">
              <w:rPr>
                <w:sz w:val="18"/>
                <w:szCs w:val="18"/>
                <w:lang w:val="en-GB"/>
              </w:rPr>
              <w:t>,</w:t>
            </w:r>
            <w:r w:rsidRPr="00D53084">
              <w:rPr>
                <w:sz w:val="18"/>
                <w:szCs w:val="18"/>
                <w:lang w:val="en-GB"/>
              </w:rPr>
              <w:t>026</w:t>
            </w:r>
          </w:p>
        </w:tc>
      </w:tr>
      <w:tr w:rsidR="00A80D93" w:rsidRPr="00D53084" w14:paraId="1A3EBAC1" w14:textId="77777777" w:rsidTr="002455EF">
        <w:trPr>
          <w:jc w:val="center"/>
        </w:trPr>
        <w:tc>
          <w:tcPr>
            <w:tcW w:w="1238" w:type="pct"/>
            <w:vAlign w:val="center"/>
          </w:tcPr>
          <w:p w14:paraId="3BE84FC7" w14:textId="5C7A3349" w:rsidR="00A80D93" w:rsidRPr="00D53084" w:rsidRDefault="00A80D93" w:rsidP="00271744">
            <w:pPr>
              <w:pStyle w:val="ExhibitText"/>
              <w:jc w:val="left"/>
              <w:rPr>
                <w:sz w:val="18"/>
                <w:szCs w:val="18"/>
                <w:lang w:val="en-GB"/>
              </w:rPr>
            </w:pPr>
            <w:r w:rsidRPr="00D53084">
              <w:rPr>
                <w:color w:val="000000" w:themeColor="text1"/>
                <w:sz w:val="18"/>
                <w:szCs w:val="18"/>
                <w:lang w:val="en-GB"/>
              </w:rPr>
              <w:t>Water price</w:t>
            </w:r>
            <w:r w:rsidR="00271744" w:rsidRPr="00D53084">
              <w:rPr>
                <w:color w:val="000000" w:themeColor="text1"/>
                <w:sz w:val="18"/>
                <w:szCs w:val="18"/>
                <w:lang w:val="en-GB"/>
              </w:rPr>
              <w:t>*</w:t>
            </w:r>
            <w:r w:rsidRPr="00D53084">
              <w:rPr>
                <w:color w:val="000000" w:themeColor="text1"/>
                <w:sz w:val="18"/>
                <w:szCs w:val="18"/>
                <w:lang w:val="en-GB"/>
              </w:rPr>
              <w:t xml:space="preserve"> (</w:t>
            </w:r>
            <w:r w:rsidR="00631C91">
              <w:rPr>
                <w:color w:val="000000" w:themeColor="text1"/>
                <w:sz w:val="18"/>
                <w:szCs w:val="18"/>
                <w:lang w:val="en-GB"/>
              </w:rPr>
              <w:t>US</w:t>
            </w:r>
            <w:r w:rsidRPr="00D53084">
              <w:rPr>
                <w:color w:val="000000" w:themeColor="text1"/>
                <w:sz w:val="18"/>
                <w:szCs w:val="18"/>
                <w:lang w:val="en-GB"/>
              </w:rPr>
              <w:t xml:space="preserve"> </w:t>
            </w:r>
            <w:r w:rsidR="00271744" w:rsidRPr="00D53084">
              <w:rPr>
                <w:color w:val="000000" w:themeColor="text1"/>
                <w:sz w:val="18"/>
                <w:szCs w:val="18"/>
                <w:lang w:val="en-GB"/>
              </w:rPr>
              <w:t>d</w:t>
            </w:r>
            <w:r w:rsidRPr="00D53084">
              <w:rPr>
                <w:color w:val="000000" w:themeColor="text1"/>
                <w:sz w:val="18"/>
                <w:szCs w:val="18"/>
                <w:lang w:val="en-GB"/>
              </w:rPr>
              <w:t>ollar</w:t>
            </w:r>
            <w:r w:rsidR="00271744" w:rsidRPr="00D53084">
              <w:rPr>
                <w:color w:val="000000" w:themeColor="text1"/>
                <w:sz w:val="18"/>
                <w:szCs w:val="18"/>
                <w:lang w:val="en-GB"/>
              </w:rPr>
              <w:t>s</w:t>
            </w:r>
            <w:r w:rsidRPr="00D53084">
              <w:rPr>
                <w:color w:val="000000" w:themeColor="text1"/>
                <w:sz w:val="18"/>
                <w:szCs w:val="18"/>
                <w:lang w:val="en-GB"/>
              </w:rPr>
              <w:t xml:space="preserve"> per ton)</w:t>
            </w:r>
          </w:p>
        </w:tc>
        <w:tc>
          <w:tcPr>
            <w:tcW w:w="476" w:type="pct"/>
            <w:vAlign w:val="center"/>
          </w:tcPr>
          <w:p w14:paraId="5A49631A" w14:textId="77777777" w:rsidR="00A80D93" w:rsidRPr="00D53084" w:rsidRDefault="00A80D93" w:rsidP="00A80D93">
            <w:pPr>
              <w:pStyle w:val="ExhibitText"/>
              <w:jc w:val="center"/>
              <w:rPr>
                <w:sz w:val="18"/>
                <w:szCs w:val="18"/>
                <w:lang w:val="en-GB"/>
              </w:rPr>
            </w:pPr>
            <w:r w:rsidRPr="00D53084">
              <w:rPr>
                <w:sz w:val="18"/>
                <w:szCs w:val="18"/>
                <w:lang w:val="en-GB"/>
              </w:rPr>
              <w:t>1.0</w:t>
            </w:r>
          </w:p>
        </w:tc>
        <w:tc>
          <w:tcPr>
            <w:tcW w:w="650" w:type="pct"/>
            <w:vAlign w:val="center"/>
          </w:tcPr>
          <w:p w14:paraId="4C6BC62B" w14:textId="77777777" w:rsidR="00A80D93" w:rsidRPr="00D53084" w:rsidRDefault="00A80D93" w:rsidP="00A80D93">
            <w:pPr>
              <w:pStyle w:val="ExhibitText"/>
              <w:jc w:val="center"/>
              <w:rPr>
                <w:sz w:val="18"/>
                <w:szCs w:val="18"/>
                <w:lang w:val="en-GB"/>
              </w:rPr>
            </w:pPr>
            <w:r w:rsidRPr="00D53084">
              <w:rPr>
                <w:sz w:val="18"/>
                <w:szCs w:val="18"/>
                <w:lang w:val="en-GB"/>
              </w:rPr>
              <w:t>0.45</w:t>
            </w:r>
          </w:p>
        </w:tc>
        <w:tc>
          <w:tcPr>
            <w:tcW w:w="685" w:type="pct"/>
            <w:vAlign w:val="center"/>
          </w:tcPr>
          <w:p w14:paraId="5D9E44C6" w14:textId="77777777" w:rsidR="00A80D93" w:rsidRPr="00D53084" w:rsidRDefault="00A80D93" w:rsidP="00A80D93">
            <w:pPr>
              <w:pStyle w:val="ExhibitText"/>
              <w:jc w:val="center"/>
              <w:rPr>
                <w:sz w:val="18"/>
                <w:szCs w:val="18"/>
                <w:lang w:val="en-GB"/>
              </w:rPr>
            </w:pPr>
            <w:r w:rsidRPr="00D53084">
              <w:rPr>
                <w:sz w:val="18"/>
                <w:szCs w:val="18"/>
                <w:lang w:val="en-GB"/>
              </w:rPr>
              <w:t>0.3</w:t>
            </w:r>
          </w:p>
        </w:tc>
        <w:tc>
          <w:tcPr>
            <w:tcW w:w="714" w:type="pct"/>
            <w:vAlign w:val="center"/>
          </w:tcPr>
          <w:p w14:paraId="1BC14203" w14:textId="77777777" w:rsidR="00A80D93" w:rsidRPr="00D53084" w:rsidRDefault="00A80D93" w:rsidP="00A80D93">
            <w:pPr>
              <w:pStyle w:val="ExhibitText"/>
              <w:jc w:val="center"/>
              <w:rPr>
                <w:sz w:val="18"/>
                <w:szCs w:val="18"/>
                <w:lang w:val="en-GB"/>
              </w:rPr>
            </w:pPr>
            <w:r w:rsidRPr="00D53084">
              <w:rPr>
                <w:sz w:val="18"/>
                <w:szCs w:val="18"/>
                <w:lang w:val="en-GB"/>
              </w:rPr>
              <w:t>0.35</w:t>
            </w:r>
          </w:p>
        </w:tc>
        <w:tc>
          <w:tcPr>
            <w:tcW w:w="713" w:type="pct"/>
            <w:vAlign w:val="center"/>
          </w:tcPr>
          <w:p w14:paraId="600E3E03" w14:textId="77777777" w:rsidR="00A80D93" w:rsidRPr="00D53084" w:rsidRDefault="00A80D93" w:rsidP="00A80D93">
            <w:pPr>
              <w:pStyle w:val="ExhibitText"/>
              <w:jc w:val="center"/>
              <w:rPr>
                <w:sz w:val="18"/>
                <w:szCs w:val="18"/>
                <w:lang w:val="en-GB"/>
              </w:rPr>
            </w:pPr>
            <w:r w:rsidRPr="00D53084">
              <w:rPr>
                <w:sz w:val="18"/>
                <w:szCs w:val="18"/>
                <w:lang w:val="en-GB"/>
              </w:rPr>
              <w:t>1.0</w:t>
            </w:r>
          </w:p>
        </w:tc>
        <w:tc>
          <w:tcPr>
            <w:tcW w:w="524" w:type="pct"/>
            <w:vAlign w:val="center"/>
          </w:tcPr>
          <w:p w14:paraId="1D6DD986" w14:textId="7B8843BB" w:rsidR="00A80D93" w:rsidRPr="00D53084" w:rsidRDefault="00A80D93" w:rsidP="00D80116">
            <w:pPr>
              <w:pStyle w:val="ExhibitText"/>
              <w:jc w:val="center"/>
              <w:rPr>
                <w:sz w:val="18"/>
                <w:szCs w:val="18"/>
                <w:lang w:val="en-GB"/>
              </w:rPr>
            </w:pPr>
            <w:r w:rsidRPr="00D53084">
              <w:rPr>
                <w:sz w:val="18"/>
                <w:szCs w:val="18"/>
                <w:lang w:val="en-GB"/>
              </w:rPr>
              <w:t>0.45</w:t>
            </w:r>
          </w:p>
        </w:tc>
      </w:tr>
      <w:tr w:rsidR="00A80D93" w:rsidRPr="00D53084" w14:paraId="448A569D" w14:textId="77777777" w:rsidTr="002455EF">
        <w:trPr>
          <w:jc w:val="center"/>
        </w:trPr>
        <w:tc>
          <w:tcPr>
            <w:tcW w:w="1238" w:type="pct"/>
            <w:vAlign w:val="center"/>
          </w:tcPr>
          <w:p w14:paraId="738F461E" w14:textId="5B14CAF0" w:rsidR="00A80D93" w:rsidRPr="00D53084" w:rsidRDefault="00A80D93" w:rsidP="00271744">
            <w:pPr>
              <w:pStyle w:val="ExhibitText"/>
              <w:jc w:val="left"/>
              <w:rPr>
                <w:sz w:val="18"/>
                <w:szCs w:val="18"/>
                <w:lang w:val="en-GB"/>
              </w:rPr>
            </w:pPr>
            <w:r w:rsidRPr="00D53084">
              <w:rPr>
                <w:color w:val="000000" w:themeColor="text1"/>
                <w:sz w:val="18"/>
                <w:szCs w:val="18"/>
                <w:lang w:val="en-GB"/>
              </w:rPr>
              <w:t>Electricity price (</w:t>
            </w:r>
            <w:r w:rsidR="00631C91">
              <w:rPr>
                <w:color w:val="000000" w:themeColor="text1"/>
                <w:sz w:val="18"/>
                <w:szCs w:val="18"/>
                <w:lang w:val="en-GB"/>
              </w:rPr>
              <w:t>US</w:t>
            </w:r>
            <w:r w:rsidRPr="00D53084">
              <w:rPr>
                <w:color w:val="000000" w:themeColor="text1"/>
                <w:sz w:val="18"/>
                <w:szCs w:val="18"/>
                <w:lang w:val="en-GB"/>
              </w:rPr>
              <w:t xml:space="preserve"> </w:t>
            </w:r>
            <w:r w:rsidR="00271744" w:rsidRPr="00D53084">
              <w:rPr>
                <w:color w:val="000000" w:themeColor="text1"/>
                <w:sz w:val="18"/>
                <w:szCs w:val="18"/>
                <w:lang w:val="en-GB"/>
              </w:rPr>
              <w:t>d</w:t>
            </w:r>
            <w:r w:rsidRPr="00D53084">
              <w:rPr>
                <w:color w:val="000000" w:themeColor="text1"/>
                <w:sz w:val="18"/>
                <w:szCs w:val="18"/>
                <w:lang w:val="en-GB"/>
              </w:rPr>
              <w:t>ollar</w:t>
            </w:r>
            <w:r w:rsidR="00271744" w:rsidRPr="00D53084">
              <w:rPr>
                <w:color w:val="000000" w:themeColor="text1"/>
                <w:sz w:val="18"/>
                <w:szCs w:val="18"/>
                <w:lang w:val="en-GB"/>
              </w:rPr>
              <w:t>s</w:t>
            </w:r>
            <w:r w:rsidRPr="00D53084">
              <w:rPr>
                <w:color w:val="000000" w:themeColor="text1"/>
                <w:sz w:val="18"/>
                <w:szCs w:val="18"/>
                <w:lang w:val="en-GB"/>
              </w:rPr>
              <w:t xml:space="preserve"> per kilowatt hour)</w:t>
            </w:r>
          </w:p>
        </w:tc>
        <w:tc>
          <w:tcPr>
            <w:tcW w:w="476" w:type="pct"/>
            <w:vAlign w:val="center"/>
          </w:tcPr>
          <w:p w14:paraId="5A81DC17" w14:textId="77777777" w:rsidR="00A80D93" w:rsidRPr="00D53084" w:rsidRDefault="00A80D93" w:rsidP="00A80D93">
            <w:pPr>
              <w:pStyle w:val="ExhibitText"/>
              <w:jc w:val="center"/>
              <w:rPr>
                <w:sz w:val="18"/>
                <w:szCs w:val="18"/>
                <w:lang w:val="en-GB"/>
              </w:rPr>
            </w:pPr>
            <w:r w:rsidRPr="00D53084">
              <w:rPr>
                <w:sz w:val="18"/>
                <w:szCs w:val="18"/>
                <w:lang w:val="en-GB"/>
              </w:rPr>
              <w:t>0.10</w:t>
            </w:r>
          </w:p>
        </w:tc>
        <w:tc>
          <w:tcPr>
            <w:tcW w:w="650" w:type="pct"/>
            <w:vAlign w:val="center"/>
          </w:tcPr>
          <w:p w14:paraId="42E54D79" w14:textId="77777777" w:rsidR="00A80D93" w:rsidRPr="00D53084" w:rsidRDefault="00A80D93" w:rsidP="00A80D93">
            <w:pPr>
              <w:pStyle w:val="ExhibitText"/>
              <w:jc w:val="center"/>
              <w:rPr>
                <w:sz w:val="18"/>
                <w:szCs w:val="18"/>
                <w:lang w:val="en-GB"/>
              </w:rPr>
            </w:pPr>
            <w:r w:rsidRPr="00D53084">
              <w:rPr>
                <w:sz w:val="18"/>
                <w:szCs w:val="18"/>
                <w:lang w:val="en-GB"/>
              </w:rPr>
              <w:t>0.07</w:t>
            </w:r>
          </w:p>
        </w:tc>
        <w:tc>
          <w:tcPr>
            <w:tcW w:w="685" w:type="pct"/>
            <w:vAlign w:val="center"/>
          </w:tcPr>
          <w:p w14:paraId="71DA031B" w14:textId="77777777" w:rsidR="00A80D93" w:rsidRPr="00D53084" w:rsidRDefault="00A80D93" w:rsidP="00A80D93">
            <w:pPr>
              <w:pStyle w:val="ExhibitText"/>
              <w:jc w:val="center"/>
              <w:rPr>
                <w:sz w:val="18"/>
                <w:szCs w:val="18"/>
                <w:lang w:val="en-GB"/>
              </w:rPr>
            </w:pPr>
            <w:r w:rsidRPr="00D53084">
              <w:rPr>
                <w:sz w:val="18"/>
                <w:szCs w:val="18"/>
                <w:lang w:val="en-GB"/>
              </w:rPr>
              <w:t>0.17</w:t>
            </w:r>
          </w:p>
        </w:tc>
        <w:tc>
          <w:tcPr>
            <w:tcW w:w="714" w:type="pct"/>
            <w:vAlign w:val="center"/>
          </w:tcPr>
          <w:p w14:paraId="53B60F14" w14:textId="77777777" w:rsidR="00A80D93" w:rsidRPr="00D53084" w:rsidRDefault="00A80D93" w:rsidP="00A80D93">
            <w:pPr>
              <w:pStyle w:val="ExhibitText"/>
              <w:jc w:val="center"/>
              <w:rPr>
                <w:sz w:val="18"/>
                <w:szCs w:val="18"/>
                <w:lang w:val="en-GB"/>
              </w:rPr>
            </w:pPr>
            <w:r w:rsidRPr="00D53084">
              <w:rPr>
                <w:sz w:val="18"/>
                <w:szCs w:val="18"/>
                <w:lang w:val="en-GB"/>
              </w:rPr>
              <w:t>0.09</w:t>
            </w:r>
          </w:p>
        </w:tc>
        <w:tc>
          <w:tcPr>
            <w:tcW w:w="713" w:type="pct"/>
            <w:vAlign w:val="center"/>
          </w:tcPr>
          <w:p w14:paraId="0A6D5E3E" w14:textId="77777777" w:rsidR="00A80D93" w:rsidRPr="00D53084" w:rsidRDefault="00A80D93" w:rsidP="00A80D93">
            <w:pPr>
              <w:pStyle w:val="ExhibitText"/>
              <w:jc w:val="center"/>
              <w:rPr>
                <w:sz w:val="18"/>
                <w:szCs w:val="18"/>
                <w:lang w:val="en-GB"/>
              </w:rPr>
            </w:pPr>
            <w:r w:rsidRPr="00D53084">
              <w:rPr>
                <w:sz w:val="18"/>
                <w:szCs w:val="18"/>
                <w:lang w:val="en-GB"/>
              </w:rPr>
              <w:t>0.085</w:t>
            </w:r>
          </w:p>
        </w:tc>
        <w:tc>
          <w:tcPr>
            <w:tcW w:w="524" w:type="pct"/>
            <w:vAlign w:val="center"/>
          </w:tcPr>
          <w:p w14:paraId="20C51A30" w14:textId="77777777" w:rsidR="00A80D93" w:rsidRPr="00D53084" w:rsidRDefault="00A80D93" w:rsidP="00A80D93">
            <w:pPr>
              <w:pStyle w:val="ExhibitText"/>
              <w:jc w:val="center"/>
              <w:rPr>
                <w:sz w:val="18"/>
                <w:szCs w:val="18"/>
                <w:lang w:val="en-GB"/>
              </w:rPr>
            </w:pPr>
            <w:r w:rsidRPr="00D53084">
              <w:rPr>
                <w:sz w:val="18"/>
                <w:szCs w:val="18"/>
                <w:lang w:val="en-GB"/>
              </w:rPr>
              <w:t>0.068</w:t>
            </w:r>
          </w:p>
        </w:tc>
      </w:tr>
      <w:tr w:rsidR="00A80D93" w:rsidRPr="00D53084" w14:paraId="6E474665" w14:textId="77777777" w:rsidTr="002455EF">
        <w:trPr>
          <w:jc w:val="center"/>
        </w:trPr>
        <w:tc>
          <w:tcPr>
            <w:tcW w:w="1238" w:type="pct"/>
            <w:vAlign w:val="center"/>
          </w:tcPr>
          <w:p w14:paraId="0A29A133" w14:textId="1B8383B7" w:rsidR="00A80D93" w:rsidRPr="00D53084" w:rsidRDefault="00A80D93" w:rsidP="00A80D93">
            <w:pPr>
              <w:pStyle w:val="ExhibitText"/>
              <w:jc w:val="left"/>
              <w:rPr>
                <w:sz w:val="18"/>
                <w:szCs w:val="18"/>
                <w:lang w:val="en-GB"/>
              </w:rPr>
            </w:pPr>
            <w:r w:rsidRPr="00D53084">
              <w:rPr>
                <w:sz w:val="18"/>
                <w:szCs w:val="18"/>
                <w:lang w:val="en-GB"/>
              </w:rPr>
              <w:t xml:space="preserve">Tariffs on exports to </w:t>
            </w:r>
            <w:r w:rsidR="00271744" w:rsidRPr="00D53084">
              <w:rPr>
                <w:sz w:val="18"/>
                <w:szCs w:val="18"/>
                <w:lang w:val="en-GB"/>
              </w:rPr>
              <w:t xml:space="preserve">the </w:t>
            </w:r>
            <w:r w:rsidRPr="00D53084">
              <w:rPr>
                <w:sz w:val="18"/>
                <w:szCs w:val="18"/>
                <w:lang w:val="en-GB"/>
              </w:rPr>
              <w:t>E</w:t>
            </w:r>
            <w:r w:rsidR="00271744" w:rsidRPr="00D53084">
              <w:rPr>
                <w:sz w:val="18"/>
                <w:szCs w:val="18"/>
                <w:lang w:val="en-GB"/>
              </w:rPr>
              <w:t xml:space="preserve">uropean </w:t>
            </w:r>
            <w:r w:rsidRPr="00D53084">
              <w:rPr>
                <w:sz w:val="18"/>
                <w:szCs w:val="18"/>
                <w:lang w:val="en-GB"/>
              </w:rPr>
              <w:t>U</w:t>
            </w:r>
            <w:r w:rsidR="00271744" w:rsidRPr="00D53084">
              <w:rPr>
                <w:sz w:val="18"/>
                <w:szCs w:val="18"/>
                <w:lang w:val="en-GB"/>
              </w:rPr>
              <w:t>nion</w:t>
            </w:r>
          </w:p>
        </w:tc>
        <w:tc>
          <w:tcPr>
            <w:tcW w:w="476" w:type="pct"/>
            <w:vAlign w:val="center"/>
          </w:tcPr>
          <w:p w14:paraId="7A19E509" w14:textId="77777777" w:rsidR="00A80D93" w:rsidRPr="00D53084" w:rsidRDefault="00A80D93" w:rsidP="00A80D93">
            <w:pPr>
              <w:pStyle w:val="ExhibitText"/>
              <w:jc w:val="center"/>
              <w:rPr>
                <w:sz w:val="18"/>
                <w:szCs w:val="18"/>
                <w:lang w:val="en-GB"/>
              </w:rPr>
            </w:pPr>
            <w:r w:rsidRPr="00D53084">
              <w:rPr>
                <w:sz w:val="18"/>
                <w:szCs w:val="18"/>
                <w:lang w:val="en-GB"/>
              </w:rPr>
              <w:t>Average tariff: 12%</w:t>
            </w:r>
          </w:p>
        </w:tc>
        <w:tc>
          <w:tcPr>
            <w:tcW w:w="650" w:type="pct"/>
            <w:vAlign w:val="center"/>
          </w:tcPr>
          <w:p w14:paraId="4E747D5C" w14:textId="05250183" w:rsidR="00A80D93" w:rsidRPr="00D53084" w:rsidRDefault="00A80D93" w:rsidP="00271744">
            <w:pPr>
              <w:pStyle w:val="ExhibitText"/>
              <w:jc w:val="center"/>
              <w:rPr>
                <w:sz w:val="18"/>
                <w:szCs w:val="18"/>
                <w:lang w:val="en-GB"/>
              </w:rPr>
            </w:pPr>
            <w:r w:rsidRPr="00D53084">
              <w:rPr>
                <w:sz w:val="18"/>
                <w:szCs w:val="18"/>
                <w:lang w:val="en-GB"/>
              </w:rPr>
              <w:t>Tariffs will be phased out as per the free trade agreement</w:t>
            </w:r>
          </w:p>
        </w:tc>
        <w:tc>
          <w:tcPr>
            <w:tcW w:w="685" w:type="pct"/>
            <w:vAlign w:val="center"/>
          </w:tcPr>
          <w:p w14:paraId="65FA0C42" w14:textId="77777777" w:rsidR="00A80D93" w:rsidRPr="00D53084" w:rsidRDefault="00A80D93" w:rsidP="00A80D93">
            <w:pPr>
              <w:pStyle w:val="ExhibitText"/>
              <w:jc w:val="center"/>
              <w:rPr>
                <w:sz w:val="18"/>
                <w:szCs w:val="18"/>
                <w:lang w:val="en-GB"/>
              </w:rPr>
            </w:pPr>
            <w:r w:rsidRPr="00D53084">
              <w:rPr>
                <w:sz w:val="18"/>
                <w:szCs w:val="18"/>
                <w:lang w:val="en-GB"/>
              </w:rPr>
              <w:t>Zero tariff</w:t>
            </w:r>
          </w:p>
        </w:tc>
        <w:tc>
          <w:tcPr>
            <w:tcW w:w="714" w:type="pct"/>
            <w:vAlign w:val="center"/>
          </w:tcPr>
          <w:p w14:paraId="44B53803" w14:textId="77777777" w:rsidR="00A80D93" w:rsidRPr="00D53084" w:rsidRDefault="00A80D93" w:rsidP="00A80D93">
            <w:pPr>
              <w:pStyle w:val="ExhibitText"/>
              <w:jc w:val="center"/>
              <w:rPr>
                <w:sz w:val="18"/>
                <w:szCs w:val="18"/>
                <w:lang w:val="en-GB"/>
              </w:rPr>
            </w:pPr>
            <w:r w:rsidRPr="00D53084">
              <w:rPr>
                <w:sz w:val="18"/>
                <w:szCs w:val="18"/>
                <w:lang w:val="en-GB"/>
              </w:rPr>
              <w:t>Zero tariff</w:t>
            </w:r>
          </w:p>
        </w:tc>
        <w:tc>
          <w:tcPr>
            <w:tcW w:w="713" w:type="pct"/>
            <w:vAlign w:val="center"/>
          </w:tcPr>
          <w:p w14:paraId="7732A47A" w14:textId="77777777" w:rsidR="00A80D93" w:rsidRPr="00D53084" w:rsidRDefault="00A80D93" w:rsidP="00A80D93">
            <w:pPr>
              <w:pStyle w:val="ExhibitText"/>
              <w:jc w:val="center"/>
              <w:rPr>
                <w:sz w:val="18"/>
                <w:szCs w:val="18"/>
                <w:lang w:val="en-GB"/>
              </w:rPr>
            </w:pPr>
            <w:r w:rsidRPr="00D53084">
              <w:rPr>
                <w:sz w:val="18"/>
                <w:szCs w:val="18"/>
                <w:lang w:val="en-GB"/>
              </w:rPr>
              <w:t>Zero tariff</w:t>
            </w:r>
          </w:p>
        </w:tc>
        <w:tc>
          <w:tcPr>
            <w:tcW w:w="524" w:type="pct"/>
            <w:vAlign w:val="center"/>
          </w:tcPr>
          <w:p w14:paraId="6CDCD0E8" w14:textId="04095D39" w:rsidR="00A80D93" w:rsidRPr="00D53084" w:rsidRDefault="00A80D93" w:rsidP="00271744">
            <w:pPr>
              <w:pStyle w:val="ExhibitText"/>
              <w:jc w:val="center"/>
              <w:rPr>
                <w:sz w:val="18"/>
                <w:szCs w:val="18"/>
                <w:lang w:val="en-GB"/>
              </w:rPr>
            </w:pPr>
            <w:r w:rsidRPr="00D53084">
              <w:rPr>
                <w:sz w:val="18"/>
                <w:szCs w:val="18"/>
                <w:lang w:val="en-GB"/>
              </w:rPr>
              <w:t>Average tariff: 3</w:t>
            </w:r>
            <w:r w:rsidR="00271744" w:rsidRPr="00D53084">
              <w:rPr>
                <w:sz w:val="18"/>
                <w:szCs w:val="18"/>
                <w:lang w:val="en-GB"/>
              </w:rPr>
              <w:t>–</w:t>
            </w:r>
            <w:r w:rsidRPr="00D53084">
              <w:rPr>
                <w:sz w:val="18"/>
                <w:szCs w:val="18"/>
                <w:lang w:val="en-GB"/>
              </w:rPr>
              <w:t>5%</w:t>
            </w:r>
          </w:p>
        </w:tc>
      </w:tr>
      <w:tr w:rsidR="00A80D93" w:rsidRPr="00D53084" w14:paraId="3D37317F" w14:textId="77777777" w:rsidTr="002455EF">
        <w:trPr>
          <w:jc w:val="center"/>
        </w:trPr>
        <w:tc>
          <w:tcPr>
            <w:tcW w:w="1238" w:type="pct"/>
            <w:vAlign w:val="center"/>
          </w:tcPr>
          <w:p w14:paraId="3F64831B" w14:textId="65EDF264" w:rsidR="00A80D93" w:rsidRPr="00D53084" w:rsidRDefault="00A80D93" w:rsidP="00A80D93">
            <w:pPr>
              <w:pStyle w:val="ExhibitText"/>
              <w:jc w:val="left"/>
              <w:rPr>
                <w:sz w:val="18"/>
                <w:szCs w:val="18"/>
                <w:lang w:val="en-GB"/>
              </w:rPr>
            </w:pPr>
            <w:r w:rsidRPr="00D53084">
              <w:rPr>
                <w:sz w:val="18"/>
                <w:szCs w:val="18"/>
                <w:lang w:val="en-GB"/>
              </w:rPr>
              <w:t xml:space="preserve">Tariffs on exports to </w:t>
            </w:r>
            <w:r w:rsidR="00271744" w:rsidRPr="00D53084">
              <w:rPr>
                <w:sz w:val="18"/>
                <w:szCs w:val="18"/>
                <w:lang w:val="en-GB"/>
              </w:rPr>
              <w:t xml:space="preserve">the </w:t>
            </w:r>
            <w:r w:rsidRPr="00D53084">
              <w:rPr>
                <w:sz w:val="18"/>
                <w:szCs w:val="18"/>
                <w:lang w:val="en-GB"/>
              </w:rPr>
              <w:t>U</w:t>
            </w:r>
            <w:r w:rsidR="00271744" w:rsidRPr="00D53084">
              <w:rPr>
                <w:sz w:val="18"/>
                <w:szCs w:val="18"/>
                <w:lang w:val="en-GB"/>
              </w:rPr>
              <w:t xml:space="preserve">nited </w:t>
            </w:r>
            <w:r w:rsidRPr="00D53084">
              <w:rPr>
                <w:sz w:val="18"/>
                <w:szCs w:val="18"/>
                <w:lang w:val="en-GB"/>
              </w:rPr>
              <w:t>S</w:t>
            </w:r>
            <w:r w:rsidR="00271744" w:rsidRPr="00D53084">
              <w:rPr>
                <w:sz w:val="18"/>
                <w:szCs w:val="18"/>
                <w:lang w:val="en-GB"/>
              </w:rPr>
              <w:t>tates</w:t>
            </w:r>
          </w:p>
        </w:tc>
        <w:tc>
          <w:tcPr>
            <w:tcW w:w="476" w:type="pct"/>
            <w:vAlign w:val="center"/>
          </w:tcPr>
          <w:p w14:paraId="0E068ABD" w14:textId="77777777" w:rsidR="00A80D93" w:rsidRPr="00D53084" w:rsidRDefault="00A80D93" w:rsidP="00A80D93">
            <w:pPr>
              <w:pStyle w:val="ExhibitText"/>
              <w:jc w:val="center"/>
              <w:rPr>
                <w:sz w:val="18"/>
                <w:szCs w:val="18"/>
                <w:lang w:val="en-GB"/>
              </w:rPr>
            </w:pPr>
            <w:r w:rsidRPr="00D53084">
              <w:rPr>
                <w:sz w:val="18"/>
                <w:szCs w:val="18"/>
                <w:lang w:val="en-GB"/>
              </w:rPr>
              <w:t>Average tariff: 19%</w:t>
            </w:r>
          </w:p>
        </w:tc>
        <w:tc>
          <w:tcPr>
            <w:tcW w:w="650" w:type="pct"/>
            <w:vAlign w:val="center"/>
          </w:tcPr>
          <w:p w14:paraId="2C0525AA" w14:textId="77777777" w:rsidR="00A80D93" w:rsidRPr="00D53084" w:rsidRDefault="00A80D93" w:rsidP="00A80D93">
            <w:pPr>
              <w:pStyle w:val="ExhibitText"/>
              <w:jc w:val="center"/>
              <w:rPr>
                <w:sz w:val="18"/>
                <w:szCs w:val="18"/>
                <w:lang w:val="en-GB"/>
              </w:rPr>
            </w:pPr>
            <w:r w:rsidRPr="00D53084">
              <w:rPr>
                <w:sz w:val="18"/>
                <w:szCs w:val="18"/>
                <w:lang w:val="en-GB"/>
              </w:rPr>
              <w:t>Zero tariff</w:t>
            </w:r>
          </w:p>
        </w:tc>
        <w:tc>
          <w:tcPr>
            <w:tcW w:w="685" w:type="pct"/>
            <w:vAlign w:val="center"/>
          </w:tcPr>
          <w:p w14:paraId="5C82BCA7" w14:textId="77777777" w:rsidR="00A80D93" w:rsidRPr="00D53084" w:rsidRDefault="00A80D93" w:rsidP="00A80D93">
            <w:pPr>
              <w:pStyle w:val="ExhibitText"/>
              <w:jc w:val="center"/>
              <w:rPr>
                <w:sz w:val="18"/>
                <w:szCs w:val="18"/>
                <w:lang w:val="en-GB"/>
              </w:rPr>
            </w:pPr>
            <w:r w:rsidRPr="00D53084">
              <w:rPr>
                <w:sz w:val="18"/>
                <w:szCs w:val="18"/>
                <w:lang w:val="en-GB"/>
              </w:rPr>
              <w:t>Zero tariff under the Generalized System of Preferences</w:t>
            </w:r>
          </w:p>
        </w:tc>
        <w:tc>
          <w:tcPr>
            <w:tcW w:w="714" w:type="pct"/>
            <w:vAlign w:val="center"/>
          </w:tcPr>
          <w:p w14:paraId="1E8C40F7" w14:textId="5E8DA5FC" w:rsidR="00A80D93" w:rsidRPr="00D53084" w:rsidRDefault="00A80D93" w:rsidP="00A80D93">
            <w:pPr>
              <w:pStyle w:val="ExhibitText"/>
              <w:jc w:val="center"/>
              <w:rPr>
                <w:sz w:val="18"/>
                <w:szCs w:val="18"/>
                <w:lang w:val="en-GB"/>
              </w:rPr>
            </w:pPr>
            <w:r w:rsidRPr="00D53084">
              <w:rPr>
                <w:sz w:val="18"/>
                <w:szCs w:val="18"/>
                <w:lang w:val="en-GB"/>
              </w:rPr>
              <w:t>Average tariff: 15.6%</w:t>
            </w:r>
          </w:p>
        </w:tc>
        <w:tc>
          <w:tcPr>
            <w:tcW w:w="713" w:type="pct"/>
            <w:vAlign w:val="center"/>
          </w:tcPr>
          <w:p w14:paraId="05A50599" w14:textId="32AF7ED7" w:rsidR="00A80D93" w:rsidRPr="00D53084" w:rsidRDefault="00A80D93" w:rsidP="00271744">
            <w:pPr>
              <w:pStyle w:val="ExhibitText"/>
              <w:jc w:val="center"/>
              <w:rPr>
                <w:sz w:val="18"/>
                <w:szCs w:val="18"/>
                <w:lang w:val="en-GB"/>
              </w:rPr>
            </w:pPr>
            <w:r w:rsidRPr="00D53084">
              <w:rPr>
                <w:sz w:val="18"/>
                <w:szCs w:val="18"/>
                <w:lang w:val="en-GB"/>
              </w:rPr>
              <w:t>Most Favo</w:t>
            </w:r>
            <w:r w:rsidR="00271744" w:rsidRPr="00D53084">
              <w:rPr>
                <w:sz w:val="18"/>
                <w:szCs w:val="18"/>
                <w:lang w:val="en-GB"/>
              </w:rPr>
              <w:t>u</w:t>
            </w:r>
            <w:r w:rsidRPr="00D53084">
              <w:rPr>
                <w:sz w:val="18"/>
                <w:szCs w:val="18"/>
                <w:lang w:val="en-GB"/>
              </w:rPr>
              <w:t>red</w:t>
            </w:r>
            <w:r w:rsidR="00271744" w:rsidRPr="00D53084">
              <w:rPr>
                <w:sz w:val="18"/>
                <w:szCs w:val="18"/>
                <w:lang w:val="en-GB"/>
              </w:rPr>
              <w:t xml:space="preserve"> </w:t>
            </w:r>
            <w:r w:rsidRPr="00D53084">
              <w:rPr>
                <w:sz w:val="18"/>
                <w:szCs w:val="18"/>
                <w:lang w:val="en-GB"/>
              </w:rPr>
              <w:t>Nation treatment</w:t>
            </w:r>
          </w:p>
        </w:tc>
        <w:tc>
          <w:tcPr>
            <w:tcW w:w="524" w:type="pct"/>
            <w:vAlign w:val="center"/>
          </w:tcPr>
          <w:p w14:paraId="26D46519" w14:textId="77777777" w:rsidR="00A80D93" w:rsidRPr="00D53084" w:rsidRDefault="00A80D93" w:rsidP="00A80D93">
            <w:pPr>
              <w:pStyle w:val="ExhibitText"/>
              <w:jc w:val="center"/>
              <w:rPr>
                <w:sz w:val="18"/>
                <w:szCs w:val="18"/>
                <w:lang w:val="en-GB"/>
              </w:rPr>
            </w:pPr>
            <w:r w:rsidRPr="00D53084">
              <w:rPr>
                <w:sz w:val="18"/>
                <w:szCs w:val="18"/>
                <w:lang w:val="en-GB"/>
              </w:rPr>
              <w:t>-</w:t>
            </w:r>
          </w:p>
        </w:tc>
      </w:tr>
      <w:tr w:rsidR="00A80D93" w:rsidRPr="00D53084" w14:paraId="54EEBFC1" w14:textId="77777777" w:rsidTr="002455EF">
        <w:trPr>
          <w:jc w:val="center"/>
        </w:trPr>
        <w:tc>
          <w:tcPr>
            <w:tcW w:w="1238" w:type="pct"/>
            <w:vAlign w:val="center"/>
          </w:tcPr>
          <w:p w14:paraId="09729E92" w14:textId="77777777" w:rsidR="00A80D93" w:rsidRPr="00D53084" w:rsidRDefault="00A80D93" w:rsidP="00A80D93">
            <w:pPr>
              <w:pStyle w:val="ExhibitText"/>
              <w:jc w:val="left"/>
              <w:rPr>
                <w:sz w:val="18"/>
                <w:szCs w:val="18"/>
                <w:lang w:val="en-GB"/>
              </w:rPr>
            </w:pPr>
            <w:r w:rsidRPr="00D53084">
              <w:rPr>
                <w:sz w:val="18"/>
                <w:szCs w:val="18"/>
                <w:lang w:val="en-GB"/>
              </w:rPr>
              <w:t>Tariffs on exports to Japan</w:t>
            </w:r>
          </w:p>
        </w:tc>
        <w:tc>
          <w:tcPr>
            <w:tcW w:w="476" w:type="pct"/>
            <w:vAlign w:val="center"/>
          </w:tcPr>
          <w:p w14:paraId="0D39FAD1" w14:textId="77777777" w:rsidR="00A80D93" w:rsidRPr="00D53084" w:rsidRDefault="00A80D93" w:rsidP="00A80D93">
            <w:pPr>
              <w:pStyle w:val="ExhibitText"/>
              <w:jc w:val="center"/>
              <w:rPr>
                <w:sz w:val="18"/>
                <w:szCs w:val="18"/>
                <w:lang w:val="en-GB"/>
              </w:rPr>
            </w:pPr>
            <w:r w:rsidRPr="00D53084">
              <w:rPr>
                <w:sz w:val="18"/>
                <w:szCs w:val="18"/>
                <w:lang w:val="en-GB"/>
              </w:rPr>
              <w:t>Average tariff: 10%</w:t>
            </w:r>
          </w:p>
        </w:tc>
        <w:tc>
          <w:tcPr>
            <w:tcW w:w="650" w:type="pct"/>
            <w:vAlign w:val="center"/>
          </w:tcPr>
          <w:p w14:paraId="0457EB1D" w14:textId="77777777" w:rsidR="00A80D93" w:rsidRPr="00D53084" w:rsidRDefault="00A80D93" w:rsidP="00A80D93">
            <w:pPr>
              <w:pStyle w:val="ExhibitText"/>
              <w:jc w:val="center"/>
              <w:rPr>
                <w:sz w:val="18"/>
                <w:szCs w:val="18"/>
                <w:lang w:val="en-GB"/>
              </w:rPr>
            </w:pPr>
            <w:r w:rsidRPr="00D53084">
              <w:rPr>
                <w:sz w:val="18"/>
                <w:szCs w:val="18"/>
                <w:lang w:val="en-GB"/>
              </w:rPr>
              <w:t>Zero tariff</w:t>
            </w:r>
          </w:p>
        </w:tc>
        <w:tc>
          <w:tcPr>
            <w:tcW w:w="685" w:type="pct"/>
            <w:vAlign w:val="center"/>
          </w:tcPr>
          <w:p w14:paraId="3BE35A14" w14:textId="77777777" w:rsidR="00A80D93" w:rsidRPr="00D53084" w:rsidRDefault="00A80D93" w:rsidP="00A80D93">
            <w:pPr>
              <w:pStyle w:val="ExhibitText"/>
              <w:jc w:val="center"/>
              <w:rPr>
                <w:sz w:val="18"/>
                <w:szCs w:val="18"/>
                <w:lang w:val="en-GB"/>
              </w:rPr>
            </w:pPr>
            <w:r w:rsidRPr="00D53084">
              <w:rPr>
                <w:sz w:val="18"/>
                <w:szCs w:val="18"/>
                <w:lang w:val="en-GB"/>
              </w:rPr>
              <w:t>Zero tariff under the Generalized System of Preferences</w:t>
            </w:r>
          </w:p>
        </w:tc>
        <w:tc>
          <w:tcPr>
            <w:tcW w:w="714" w:type="pct"/>
            <w:vAlign w:val="center"/>
          </w:tcPr>
          <w:p w14:paraId="1C0380FE" w14:textId="77777777" w:rsidR="00A80D93" w:rsidRPr="00D53084" w:rsidRDefault="00A80D93" w:rsidP="00A80D93">
            <w:pPr>
              <w:pStyle w:val="ExhibitText"/>
              <w:jc w:val="center"/>
              <w:rPr>
                <w:sz w:val="18"/>
                <w:szCs w:val="18"/>
                <w:lang w:val="en-GB"/>
              </w:rPr>
            </w:pPr>
            <w:r w:rsidRPr="00D53084">
              <w:rPr>
                <w:sz w:val="18"/>
                <w:szCs w:val="18"/>
                <w:lang w:val="en-GB"/>
              </w:rPr>
              <w:t>Zero tariff under the Generalized System of Preferences</w:t>
            </w:r>
          </w:p>
        </w:tc>
        <w:tc>
          <w:tcPr>
            <w:tcW w:w="713" w:type="pct"/>
            <w:vAlign w:val="center"/>
          </w:tcPr>
          <w:p w14:paraId="4D784DF0" w14:textId="77777777" w:rsidR="00A80D93" w:rsidRPr="00D53084" w:rsidRDefault="00A80D93" w:rsidP="00A80D93">
            <w:pPr>
              <w:pStyle w:val="ExhibitText"/>
              <w:jc w:val="center"/>
              <w:rPr>
                <w:sz w:val="18"/>
                <w:szCs w:val="18"/>
                <w:lang w:val="en-GB"/>
              </w:rPr>
            </w:pPr>
            <w:r w:rsidRPr="00D53084">
              <w:rPr>
                <w:sz w:val="18"/>
                <w:szCs w:val="18"/>
                <w:lang w:val="en-GB"/>
              </w:rPr>
              <w:t>Zero tariff under the Generalized System of Preferences</w:t>
            </w:r>
          </w:p>
        </w:tc>
        <w:tc>
          <w:tcPr>
            <w:tcW w:w="524" w:type="pct"/>
            <w:vAlign w:val="center"/>
          </w:tcPr>
          <w:p w14:paraId="1B52DCD6" w14:textId="77777777" w:rsidR="00A80D93" w:rsidRPr="00D53084" w:rsidRDefault="00A80D93" w:rsidP="00A80D93">
            <w:pPr>
              <w:pStyle w:val="ExhibitText"/>
              <w:jc w:val="center"/>
              <w:rPr>
                <w:sz w:val="18"/>
                <w:szCs w:val="18"/>
                <w:lang w:val="en-GB"/>
              </w:rPr>
            </w:pPr>
            <w:r w:rsidRPr="00D53084">
              <w:rPr>
                <w:sz w:val="18"/>
                <w:szCs w:val="18"/>
                <w:lang w:val="en-GB"/>
              </w:rPr>
              <w:t>Average tariff: 2%</w:t>
            </w:r>
          </w:p>
        </w:tc>
      </w:tr>
    </w:tbl>
    <w:p w14:paraId="403BEB75" w14:textId="77777777" w:rsidR="00A80D93" w:rsidRPr="00D53084" w:rsidRDefault="00A80D93" w:rsidP="00A80D93">
      <w:pPr>
        <w:rPr>
          <w:rFonts w:ascii="Arial" w:hAnsi="Arial" w:cs="Arial"/>
          <w:color w:val="000000"/>
          <w:sz w:val="15"/>
          <w:szCs w:val="17"/>
          <w:lang w:val="en-GB"/>
        </w:rPr>
      </w:pPr>
    </w:p>
    <w:p w14:paraId="663F29ED" w14:textId="4F49CDEF" w:rsidR="00A80D93" w:rsidRPr="00D53084" w:rsidRDefault="00A80D93" w:rsidP="00A80D93">
      <w:pPr>
        <w:pStyle w:val="Footnote"/>
        <w:rPr>
          <w:lang w:val="en-GB"/>
        </w:rPr>
      </w:pPr>
      <w:r w:rsidRPr="00D53084">
        <w:rPr>
          <w:lang w:val="en-GB"/>
        </w:rPr>
        <w:t xml:space="preserve">Note: </w:t>
      </w:r>
      <w:r w:rsidR="00271744" w:rsidRPr="00D53084">
        <w:rPr>
          <w:lang w:val="en-GB"/>
        </w:rPr>
        <w:t>*</w:t>
      </w:r>
      <w:r w:rsidRPr="00D53084">
        <w:rPr>
          <w:lang w:val="en-GB"/>
        </w:rPr>
        <w:t xml:space="preserve">Water prices differed dramatically among </w:t>
      </w:r>
      <w:r w:rsidR="00631C91">
        <w:rPr>
          <w:lang w:val="en-GB"/>
        </w:rPr>
        <w:t>US</w:t>
      </w:r>
      <w:r w:rsidRPr="00D53084">
        <w:rPr>
          <w:lang w:val="en-GB"/>
        </w:rPr>
        <w:t xml:space="preserve"> states. Owing to abundant water resources, the Great Lakes Region, including Chicago, Detroit</w:t>
      </w:r>
      <w:r w:rsidR="00271744" w:rsidRPr="00D53084">
        <w:rPr>
          <w:lang w:val="en-GB"/>
        </w:rPr>
        <w:t>,</w:t>
      </w:r>
      <w:r w:rsidRPr="00D53084">
        <w:rPr>
          <w:lang w:val="en-GB"/>
        </w:rPr>
        <w:t xml:space="preserve"> and Milwaukee, set lower water prices; due to </w:t>
      </w:r>
      <w:r w:rsidR="00271744" w:rsidRPr="00D53084">
        <w:rPr>
          <w:lang w:val="en-GB"/>
        </w:rPr>
        <w:t>its</w:t>
      </w:r>
      <w:r w:rsidRPr="00D53084">
        <w:rPr>
          <w:lang w:val="en-GB"/>
        </w:rPr>
        <w:t xml:space="preserve"> dense population and severe water shortage, California set a higher water price. For example, the water price in Washington, D.C. was US$0.87 per ton, compared with US$0.45 per ton in the State of Ohio.</w:t>
      </w:r>
    </w:p>
    <w:p w14:paraId="2079E6AA" w14:textId="7EAFE899" w:rsidR="009B5E19" w:rsidRDefault="00A80D93" w:rsidP="00A80D93">
      <w:pPr>
        <w:pStyle w:val="Footnote"/>
        <w:rPr>
          <w:rFonts w:eastAsiaTheme="minorEastAsia"/>
          <w:lang w:val="en-GB" w:eastAsia="zh-CN"/>
        </w:rPr>
      </w:pPr>
      <w:r w:rsidRPr="00D53084">
        <w:rPr>
          <w:lang w:val="en-GB"/>
        </w:rPr>
        <w:t xml:space="preserve">Source: </w:t>
      </w:r>
      <w:r w:rsidR="00437302" w:rsidRPr="00D53084">
        <w:rPr>
          <w:rFonts w:eastAsiaTheme="minorEastAsia"/>
          <w:lang w:val="en-GB" w:eastAsia="zh-CN"/>
        </w:rPr>
        <w:t xml:space="preserve">Central Intelligence Agency, </w:t>
      </w:r>
      <w:r w:rsidR="00437302" w:rsidRPr="00D53084">
        <w:rPr>
          <w:rFonts w:eastAsiaTheme="minorEastAsia"/>
          <w:i/>
          <w:lang w:val="en-GB" w:eastAsia="zh-CN"/>
        </w:rPr>
        <w:t>The World Fact Book</w:t>
      </w:r>
      <w:r w:rsidR="00437302" w:rsidRPr="00D53084">
        <w:rPr>
          <w:rFonts w:eastAsiaTheme="minorEastAsia"/>
          <w:lang w:val="en-GB" w:eastAsia="zh-CN"/>
        </w:rPr>
        <w:t xml:space="preserve">, accessed July 17, 2018, </w:t>
      </w:r>
      <w:r w:rsidR="00893505" w:rsidRPr="00D53084">
        <w:rPr>
          <w:rFonts w:eastAsiaTheme="minorEastAsia"/>
          <w:lang w:val="en-GB" w:eastAsia="zh-CN"/>
        </w:rPr>
        <w:t>www.cia.gov/library/publications/the-world-factbook/</w:t>
      </w:r>
      <w:r w:rsidR="003B4B88" w:rsidRPr="00D53084">
        <w:rPr>
          <w:rFonts w:eastAsiaTheme="minorEastAsia"/>
          <w:lang w:val="en-GB" w:eastAsia="zh-CN"/>
        </w:rPr>
        <w:t>;</w:t>
      </w:r>
      <w:r w:rsidR="00437302" w:rsidRPr="00D53084">
        <w:rPr>
          <w:rFonts w:eastAsiaTheme="minorEastAsia"/>
          <w:lang w:val="en-GB" w:eastAsia="zh-CN"/>
        </w:rPr>
        <w:t xml:space="preserve"> </w:t>
      </w:r>
      <w:r w:rsidR="003B4B88" w:rsidRPr="00D53084">
        <w:rPr>
          <w:rFonts w:eastAsiaTheme="minorEastAsia"/>
          <w:lang w:val="en-GB" w:eastAsia="zh-CN"/>
        </w:rPr>
        <w:t>“</w:t>
      </w:r>
      <w:r w:rsidR="00437302" w:rsidRPr="00D53084">
        <w:rPr>
          <w:rFonts w:eastAsiaTheme="minorEastAsia"/>
          <w:lang w:val="en-GB" w:eastAsia="zh-CN"/>
        </w:rPr>
        <w:t xml:space="preserve">Bangladesh </w:t>
      </w:r>
      <w:r w:rsidR="00893505" w:rsidRPr="00D53084">
        <w:rPr>
          <w:rFonts w:eastAsiaTheme="minorEastAsia"/>
          <w:lang w:val="en-GB" w:eastAsia="zh-CN"/>
        </w:rPr>
        <w:t xml:space="preserve">Appeals to the United States to for tax Exemption on the Apparel Exported from </w:t>
      </w:r>
      <w:r w:rsidR="00437302" w:rsidRPr="00D53084">
        <w:rPr>
          <w:rFonts w:eastAsiaTheme="minorEastAsia"/>
          <w:lang w:val="en-GB" w:eastAsia="zh-CN"/>
        </w:rPr>
        <w:t xml:space="preserve">Bangladesh </w:t>
      </w:r>
      <w:r w:rsidR="00893505" w:rsidRPr="00D53084">
        <w:rPr>
          <w:rFonts w:eastAsiaTheme="minorEastAsia"/>
          <w:lang w:val="en-GB" w:eastAsia="zh-CN"/>
        </w:rPr>
        <w:t>to the United States [in Chinese],”</w:t>
      </w:r>
      <w:r w:rsidR="00437302" w:rsidRPr="00D53084">
        <w:rPr>
          <w:rFonts w:eastAsiaTheme="minorEastAsia"/>
          <w:lang w:val="en-GB" w:eastAsia="zh-CN"/>
        </w:rPr>
        <w:t xml:space="preserve"> December 15, 2015, accessed July 17, 2018, </w:t>
      </w:r>
      <w:r w:rsidR="009B5E19" w:rsidRPr="009B5E19">
        <w:rPr>
          <w:rFonts w:eastAsiaTheme="minorEastAsia"/>
          <w:lang w:val="en-GB" w:eastAsia="zh-CN"/>
        </w:rPr>
        <w:t>http://gpj.mofcom.gov.cn/</w:t>
      </w:r>
      <w:r w:rsidR="00437302" w:rsidRPr="00D53084">
        <w:rPr>
          <w:rFonts w:eastAsiaTheme="minorEastAsia"/>
          <w:lang w:val="en-GB" w:eastAsia="zh-CN"/>
        </w:rPr>
        <w:t>article/zuixindt/</w:t>
      </w:r>
    </w:p>
    <w:p w14:paraId="203848A2" w14:textId="7F92DAA0" w:rsidR="00A80D93" w:rsidRPr="00D53084" w:rsidRDefault="00437302" w:rsidP="00A80D93">
      <w:pPr>
        <w:pStyle w:val="Footnote"/>
        <w:rPr>
          <w:lang w:val="en-GB"/>
        </w:rPr>
      </w:pPr>
      <w:r w:rsidRPr="00D53084">
        <w:rPr>
          <w:rFonts w:eastAsiaTheme="minorEastAsia"/>
          <w:lang w:val="en-GB" w:eastAsia="zh-CN"/>
        </w:rPr>
        <w:t>201512/20151201210502.shtml.</w:t>
      </w:r>
      <w:r w:rsidRPr="00D53084" w:rsidDel="00437302">
        <w:rPr>
          <w:lang w:val="en-GB"/>
        </w:rPr>
        <w:t xml:space="preserve"> </w:t>
      </w:r>
    </w:p>
    <w:p w14:paraId="2A473908" w14:textId="77777777" w:rsidR="00A80D93" w:rsidRPr="00D53084" w:rsidRDefault="00A80D93" w:rsidP="00A80D93">
      <w:pPr>
        <w:pStyle w:val="BodyTextMain"/>
        <w:rPr>
          <w:sz w:val="16"/>
          <w:lang w:val="en-GB"/>
        </w:rPr>
      </w:pPr>
    </w:p>
    <w:p w14:paraId="0963BB01" w14:textId="77777777" w:rsidR="00A80D93" w:rsidRPr="00D53084" w:rsidRDefault="00A80D93" w:rsidP="00A80D93">
      <w:pPr>
        <w:pStyle w:val="BodyTextMain"/>
        <w:rPr>
          <w:rFonts w:eastAsiaTheme="majorEastAsia"/>
          <w:sz w:val="16"/>
          <w:lang w:val="en-GB"/>
        </w:rPr>
      </w:pPr>
    </w:p>
    <w:p w14:paraId="75489B89" w14:textId="77777777" w:rsidR="00893505" w:rsidRPr="00D53084" w:rsidRDefault="00893505">
      <w:pPr>
        <w:spacing w:after="200" w:line="276" w:lineRule="auto"/>
        <w:rPr>
          <w:rFonts w:ascii="Arial" w:hAnsi="Arial" w:cs="Arial"/>
          <w:b/>
          <w:caps/>
          <w:lang w:val="en-GB"/>
        </w:rPr>
      </w:pPr>
      <w:r w:rsidRPr="00D53084">
        <w:rPr>
          <w:lang w:val="en-GB"/>
        </w:rPr>
        <w:br w:type="page"/>
      </w:r>
    </w:p>
    <w:p w14:paraId="58072EB3" w14:textId="7D83CA61" w:rsidR="00D80116" w:rsidRPr="00D53084" w:rsidRDefault="00893505" w:rsidP="002455EF">
      <w:pPr>
        <w:pStyle w:val="ExhibitHeading"/>
        <w:rPr>
          <w:lang w:val="en-GB"/>
        </w:rPr>
      </w:pPr>
      <w:r w:rsidRPr="00D53084">
        <w:rPr>
          <w:lang w:val="en-GB"/>
        </w:rPr>
        <w:lastRenderedPageBreak/>
        <w:t>E</w:t>
      </w:r>
      <w:r w:rsidR="002455EF" w:rsidRPr="00D53084">
        <w:rPr>
          <w:lang w:val="en-GB"/>
        </w:rPr>
        <w:t xml:space="preserve">xhibit </w:t>
      </w:r>
      <w:r w:rsidR="00941D8B" w:rsidRPr="00D53084">
        <w:rPr>
          <w:rFonts w:eastAsiaTheme="minorEastAsia"/>
          <w:lang w:val="en-GB" w:eastAsia="zh-CN"/>
        </w:rPr>
        <w:t>8</w:t>
      </w:r>
      <w:r w:rsidR="002455EF" w:rsidRPr="00D53084">
        <w:rPr>
          <w:lang w:val="en-GB"/>
        </w:rPr>
        <w:t>: Top 25 Export Economies</w:t>
      </w:r>
      <w:r w:rsidR="00D80116" w:rsidRPr="00D53084">
        <w:rPr>
          <w:lang w:val="en-GB"/>
        </w:rPr>
        <w:t>—</w:t>
      </w:r>
      <w:r w:rsidR="002455EF" w:rsidRPr="00D53084">
        <w:rPr>
          <w:lang w:val="en-GB"/>
        </w:rPr>
        <w:t>Manufacturing Costs</w:t>
      </w:r>
      <w:r w:rsidR="00D80116" w:rsidRPr="00D53084">
        <w:rPr>
          <w:lang w:val="en-GB"/>
        </w:rPr>
        <w:t>,</w:t>
      </w:r>
      <w:r w:rsidR="002455EF" w:rsidRPr="00D53084">
        <w:rPr>
          <w:lang w:val="en-GB"/>
        </w:rPr>
        <w:t xml:space="preserve"> 2014 </w:t>
      </w:r>
    </w:p>
    <w:p w14:paraId="55680194" w14:textId="77777777" w:rsidR="002455EF" w:rsidRPr="00D53084" w:rsidRDefault="002455EF" w:rsidP="002455EF">
      <w:pPr>
        <w:pStyle w:val="BodyTextMain"/>
        <w:rPr>
          <w:sz w:val="20"/>
          <w:lang w:val="en-GB"/>
        </w:rPr>
      </w:pPr>
    </w:p>
    <w:p w14:paraId="12117085" w14:textId="2DCE2D2F" w:rsidR="002455EF" w:rsidRPr="00D53084" w:rsidRDefault="002455EF" w:rsidP="002455EF">
      <w:pPr>
        <w:jc w:val="center"/>
        <w:rPr>
          <w:b/>
          <w:sz w:val="24"/>
          <w:szCs w:val="24"/>
          <w:lang w:val="en-GB"/>
        </w:rPr>
      </w:pPr>
      <w:r w:rsidRPr="00D53084">
        <w:rPr>
          <w:noProof/>
        </w:rPr>
        <w:drawing>
          <wp:inline distT="0" distB="0" distL="0" distR="0" wp14:anchorId="03441ADF" wp14:editId="34F81AC9">
            <wp:extent cx="5915770" cy="4325510"/>
            <wp:effectExtent l="0" t="0" r="889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166B6B" w14:textId="77777777" w:rsidR="002455EF" w:rsidRPr="00D53084" w:rsidRDefault="002455EF" w:rsidP="002455EF">
      <w:pPr>
        <w:rPr>
          <w:sz w:val="24"/>
          <w:szCs w:val="24"/>
          <w:lang w:val="en-GB"/>
        </w:rPr>
      </w:pPr>
    </w:p>
    <w:p w14:paraId="45C04771" w14:textId="691B173C" w:rsidR="00D80116" w:rsidRPr="00D53084" w:rsidRDefault="00D80116" w:rsidP="002455EF">
      <w:pPr>
        <w:pStyle w:val="Footnote"/>
        <w:rPr>
          <w:lang w:val="en-GB"/>
        </w:rPr>
      </w:pPr>
      <w:r w:rsidRPr="00D53084">
        <w:rPr>
          <w:lang w:val="en-GB"/>
        </w:rPr>
        <w:t xml:space="preserve">Note: </w:t>
      </w:r>
      <w:r w:rsidR="00631C91">
        <w:rPr>
          <w:lang w:val="en-GB"/>
        </w:rPr>
        <w:t>US</w:t>
      </w:r>
      <w:r w:rsidR="00802B95" w:rsidRPr="00D53084">
        <w:rPr>
          <w:lang w:val="en-GB"/>
        </w:rPr>
        <w:t xml:space="preserve"> M</w:t>
      </w:r>
      <w:r w:rsidR="00B15A2E">
        <w:rPr>
          <w:lang w:val="en-GB"/>
        </w:rPr>
        <w:t>anufacturing</w:t>
      </w:r>
      <w:r w:rsidR="00802B95" w:rsidRPr="00D53084">
        <w:rPr>
          <w:lang w:val="en-GB"/>
        </w:rPr>
        <w:t xml:space="preserve"> C</w:t>
      </w:r>
      <w:r w:rsidR="00B15A2E">
        <w:rPr>
          <w:lang w:val="en-GB"/>
        </w:rPr>
        <w:t>ost</w:t>
      </w:r>
      <w:r w:rsidR="00802B95" w:rsidRPr="00D53084">
        <w:rPr>
          <w:lang w:val="en-GB"/>
        </w:rPr>
        <w:t xml:space="preserve"> I</w:t>
      </w:r>
      <w:r w:rsidR="00B15A2E">
        <w:rPr>
          <w:lang w:val="en-GB"/>
        </w:rPr>
        <w:t>ndex</w:t>
      </w:r>
      <w:r w:rsidR="00802B95" w:rsidRPr="00D53084">
        <w:rPr>
          <w:lang w:val="en-GB"/>
        </w:rPr>
        <w:t xml:space="preserve"> = 100</w:t>
      </w:r>
      <w:r w:rsidR="00802B95" w:rsidRPr="00D53084">
        <w:rPr>
          <w:rFonts w:eastAsiaTheme="minorEastAsia"/>
          <w:lang w:val="en-GB" w:eastAsia="zh-CN"/>
        </w:rPr>
        <w:t>;</w:t>
      </w:r>
      <w:r w:rsidR="00802B95" w:rsidRPr="00D53084">
        <w:rPr>
          <w:lang w:val="en-GB"/>
        </w:rPr>
        <w:t xml:space="preserve"> </w:t>
      </w:r>
      <w:r w:rsidRPr="00D53084">
        <w:rPr>
          <w:lang w:val="en-GB"/>
        </w:rPr>
        <w:t>US = United States; UK = United Kingdom</w:t>
      </w:r>
    </w:p>
    <w:p w14:paraId="64ED03B1" w14:textId="773C3109" w:rsidR="001F4C49" w:rsidRPr="00D53084" w:rsidRDefault="002455EF" w:rsidP="002455EF">
      <w:pPr>
        <w:pStyle w:val="Footnote"/>
        <w:rPr>
          <w:spacing w:val="-2"/>
          <w:lang w:val="en-GB"/>
        </w:rPr>
      </w:pPr>
      <w:r w:rsidRPr="00D53084">
        <w:rPr>
          <w:spacing w:val="-2"/>
          <w:lang w:val="en-GB"/>
        </w:rPr>
        <w:t xml:space="preserve">Source: “The BCG Global Manufacturing Cost-Competitiveness Index,” </w:t>
      </w:r>
      <w:r w:rsidR="00D80116" w:rsidRPr="00D53084">
        <w:rPr>
          <w:spacing w:val="-2"/>
          <w:lang w:val="en-GB"/>
        </w:rPr>
        <w:t>The Boston Consulting Group</w:t>
      </w:r>
      <w:r w:rsidRPr="00D53084">
        <w:rPr>
          <w:spacing w:val="-2"/>
          <w:lang w:val="en-GB"/>
        </w:rPr>
        <w:t>, August 19, 2014, accessed February 8, 2017, www.bcg.com/publications/interactives/bcg-global-manufacturing-cost-competitiveness-index.aspx.</w:t>
      </w:r>
    </w:p>
    <w:p w14:paraId="73B384C6" w14:textId="77777777" w:rsidR="00A80D93" w:rsidRPr="00D53084" w:rsidRDefault="00A80D93" w:rsidP="00A80D93">
      <w:pPr>
        <w:pStyle w:val="BodyTextMain"/>
        <w:rPr>
          <w:lang w:val="en-GB"/>
        </w:rPr>
      </w:pPr>
    </w:p>
    <w:p w14:paraId="48F99A36" w14:textId="77777777" w:rsidR="00A80D93" w:rsidRPr="00D53084" w:rsidRDefault="00A80D93" w:rsidP="00A80D93">
      <w:pPr>
        <w:pStyle w:val="BodyTextMain"/>
        <w:rPr>
          <w:lang w:val="en-GB"/>
        </w:rPr>
      </w:pPr>
    </w:p>
    <w:p w14:paraId="2A9DF43E" w14:textId="77777777" w:rsidR="00A80D93" w:rsidRPr="00D53084" w:rsidRDefault="00A80D93" w:rsidP="00A80D93">
      <w:pPr>
        <w:pStyle w:val="BodyTextMain"/>
        <w:rPr>
          <w:lang w:val="en-GB"/>
        </w:rPr>
      </w:pPr>
    </w:p>
    <w:p w14:paraId="08AFB436" w14:textId="77777777" w:rsidR="00A80D93" w:rsidRPr="00D53084" w:rsidRDefault="00A80D93" w:rsidP="00A80D93">
      <w:pPr>
        <w:pStyle w:val="BodyTextMain"/>
        <w:rPr>
          <w:lang w:val="en-GB"/>
        </w:rPr>
      </w:pPr>
    </w:p>
    <w:p w14:paraId="57A12C3F" w14:textId="77777777" w:rsidR="00A80D93" w:rsidRPr="00D53084" w:rsidRDefault="00A80D93" w:rsidP="00A80D93">
      <w:pPr>
        <w:pStyle w:val="BodyTextMain"/>
        <w:rPr>
          <w:lang w:val="en-GB"/>
        </w:rPr>
      </w:pPr>
    </w:p>
    <w:p w14:paraId="5D2B424E" w14:textId="77777777" w:rsidR="00A80D93" w:rsidRPr="00D53084" w:rsidRDefault="00A80D93" w:rsidP="00A80D93">
      <w:pPr>
        <w:pStyle w:val="BodyTextMain"/>
        <w:rPr>
          <w:lang w:val="en-GB"/>
        </w:rPr>
      </w:pPr>
    </w:p>
    <w:p w14:paraId="5F9B86DF" w14:textId="77777777" w:rsidR="00A80D93" w:rsidRPr="00D53084" w:rsidRDefault="00A80D93" w:rsidP="00A80D93">
      <w:pPr>
        <w:pStyle w:val="BodyTextMain"/>
        <w:rPr>
          <w:lang w:val="en-GB"/>
        </w:rPr>
      </w:pPr>
    </w:p>
    <w:p w14:paraId="6C91FF5D" w14:textId="77777777" w:rsidR="00A80D93" w:rsidRPr="00D53084" w:rsidRDefault="00A80D93" w:rsidP="00A80D93">
      <w:pPr>
        <w:pStyle w:val="BodyTextMain"/>
        <w:rPr>
          <w:lang w:val="en-GB"/>
        </w:rPr>
      </w:pPr>
    </w:p>
    <w:p w14:paraId="1B985094" w14:textId="779C872C" w:rsidR="001F4C49" w:rsidRPr="00D53084" w:rsidRDefault="001F4C49">
      <w:pPr>
        <w:spacing w:after="200" w:line="276" w:lineRule="auto"/>
        <w:rPr>
          <w:lang w:val="en-GB"/>
        </w:rPr>
      </w:pPr>
      <w:r w:rsidRPr="00D53084">
        <w:rPr>
          <w:lang w:val="en-GB"/>
        </w:rPr>
        <w:br w:type="page"/>
      </w:r>
    </w:p>
    <w:p w14:paraId="5C00CF6F" w14:textId="3D580566" w:rsidR="009C1954" w:rsidRPr="00D53084" w:rsidRDefault="009C1954" w:rsidP="009C1954">
      <w:pPr>
        <w:pStyle w:val="Casehead1"/>
        <w:rPr>
          <w:lang w:val="en-GB"/>
        </w:rPr>
      </w:pPr>
      <w:r w:rsidRPr="00D53084">
        <w:rPr>
          <w:lang w:val="en-GB"/>
        </w:rPr>
        <w:lastRenderedPageBreak/>
        <w:t>endnotes</w:t>
      </w:r>
    </w:p>
    <w:sectPr w:rsidR="009C1954" w:rsidRPr="00D53084" w:rsidSect="009C1954">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FB502" w16cid:durableId="1F4CA50F"/>
  <w16cid:commentId w16cid:paraId="1483DBFF" w16cid:durableId="1F4CA5C9"/>
  <w16cid:commentId w16cid:paraId="3038F27D" w16cid:durableId="1F4CA72B"/>
  <w16cid:commentId w16cid:paraId="087BFAB0" w16cid:durableId="1F4CB1F3"/>
  <w16cid:commentId w16cid:paraId="45C76CFE" w16cid:durableId="1F4CB449"/>
  <w16cid:commentId w16cid:paraId="70BA062D" w16cid:durableId="1F4D03B8"/>
  <w16cid:commentId w16cid:paraId="2BF78FF1" w16cid:durableId="1F4CBB34"/>
  <w16cid:commentId w16cid:paraId="0A401938" w16cid:durableId="1F4CC291"/>
  <w16cid:commentId w16cid:paraId="7AD6B2B4" w16cid:durableId="1F4D0533"/>
  <w16cid:commentId w16cid:paraId="406832C3" w16cid:durableId="1F4D0592"/>
  <w16cid:commentId w16cid:paraId="634953E6" w16cid:durableId="1F4CBE4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E462E" w14:textId="77777777" w:rsidR="00BE6496" w:rsidRDefault="00BE6496" w:rsidP="00D75295">
      <w:r>
        <w:separator/>
      </w:r>
    </w:p>
  </w:endnote>
  <w:endnote w:type="continuationSeparator" w:id="0">
    <w:p w14:paraId="2D6C3454" w14:textId="77777777" w:rsidR="00BE6496" w:rsidRDefault="00BE6496" w:rsidP="00D75295">
      <w:r>
        <w:continuationSeparator/>
      </w:r>
    </w:p>
  </w:endnote>
  <w:endnote w:id="1">
    <w:p w14:paraId="250BF357" w14:textId="4E1BD8C9" w:rsidR="00BE6496" w:rsidRDefault="00BE6496" w:rsidP="00215AEA">
      <w:pPr>
        <w:pStyle w:val="Footnote"/>
      </w:pPr>
      <w:r>
        <w:rPr>
          <w:rStyle w:val="EndnoteReference"/>
        </w:rPr>
        <w:end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sidRPr="00D53084">
        <w:rPr>
          <w:lang w:val="en-GB"/>
        </w:rPr>
        <w:t>Shenzhou International Group Holdings Limited</w:t>
      </w:r>
      <w:r w:rsidRPr="00C74511">
        <w:rPr>
          <w:lang w:val="en-GB"/>
        </w:rPr>
        <w:t xml:space="preserve"> or any of its employees.</w:t>
      </w:r>
    </w:p>
  </w:endnote>
  <w:endnote w:id="2">
    <w:p w14:paraId="67339377" w14:textId="543FEA3E" w:rsidR="00BE6496" w:rsidRPr="00280175" w:rsidRDefault="00BE6496" w:rsidP="009C1954">
      <w:pPr>
        <w:pStyle w:val="Footnote"/>
        <w:rPr>
          <w:spacing w:val="-4"/>
        </w:rPr>
      </w:pPr>
      <w:r w:rsidRPr="00280175">
        <w:rPr>
          <w:rStyle w:val="EndnoteReference"/>
          <w:spacing w:val="-4"/>
        </w:rPr>
        <w:endnoteRef/>
      </w:r>
      <w:r w:rsidRPr="00280175">
        <w:rPr>
          <w:spacing w:val="-4"/>
          <w:vertAlign w:val="superscript"/>
        </w:rPr>
        <w:t xml:space="preserve"> </w:t>
      </w:r>
      <w:r w:rsidRPr="00280175">
        <w:rPr>
          <w:rFonts w:eastAsia="SimSun"/>
          <w:spacing w:val="-4"/>
        </w:rPr>
        <w:t>¥</w:t>
      </w:r>
      <w:r w:rsidRPr="00280175">
        <w:rPr>
          <w:spacing w:val="-4"/>
        </w:rPr>
        <w:t xml:space="preserve"> = CNY = Chinese yuan renminbi; all currency amounts are in ¥ unless otherwise specified; ¥</w:t>
      </w:r>
      <w:r w:rsidR="00280175" w:rsidRPr="00280175">
        <w:rPr>
          <w:spacing w:val="-4"/>
        </w:rPr>
        <w:t>1 = US$0.1451</w:t>
      </w:r>
      <w:r w:rsidRPr="00280175">
        <w:rPr>
          <w:rFonts w:hint="eastAsia"/>
          <w:spacing w:val="-4"/>
        </w:rPr>
        <w:t xml:space="preserve"> on March</w:t>
      </w:r>
      <w:r w:rsidRPr="00280175">
        <w:rPr>
          <w:spacing w:val="-4"/>
        </w:rPr>
        <w:t xml:space="preserve"> </w:t>
      </w:r>
      <w:r w:rsidRPr="00280175">
        <w:rPr>
          <w:rFonts w:hint="eastAsia"/>
          <w:spacing w:val="-4"/>
        </w:rPr>
        <w:t>31</w:t>
      </w:r>
      <w:r w:rsidRPr="00280175">
        <w:rPr>
          <w:spacing w:val="-4"/>
        </w:rPr>
        <w:t>, 2017.</w:t>
      </w:r>
    </w:p>
  </w:endnote>
  <w:endnote w:id="3">
    <w:p w14:paraId="5B125D78" w14:textId="71AC7BA8" w:rsidR="00280175" w:rsidRDefault="00BE6496" w:rsidP="009C1954">
      <w:pPr>
        <w:pStyle w:val="Footnote"/>
        <w:rPr>
          <w:rFonts w:eastAsiaTheme="minorEastAsia"/>
        </w:rPr>
      </w:pPr>
      <w:r w:rsidRPr="00835690">
        <w:rPr>
          <w:rStyle w:val="EndnoteReference"/>
        </w:rPr>
        <w:endnoteRef/>
      </w:r>
      <w:r w:rsidRPr="00835690">
        <w:t xml:space="preserve"> “Among Top 100 Listed Chinese Textile &amp; Apparel Companies by Market Capitalization: </w:t>
      </w:r>
      <w:proofErr w:type="spellStart"/>
      <w:r w:rsidRPr="00835690">
        <w:t>Shenzhou</w:t>
      </w:r>
      <w:proofErr w:type="spellEnd"/>
      <w:r w:rsidRPr="00835690">
        <w:t xml:space="preserve"> International Ranks Top, Followed by Transf</w:t>
      </w:r>
      <w:r>
        <w:t>e</w:t>
      </w:r>
      <w:r w:rsidRPr="00835690">
        <w:t xml:space="preserve">r,” business.sohu.com, April 3, 2017, accessed April 18, 2017, </w:t>
      </w:r>
      <w:r w:rsidR="00280175" w:rsidRPr="00280175">
        <w:rPr>
          <w:rFonts w:eastAsiaTheme="minorEastAsia"/>
        </w:rPr>
        <w:t>http://mt.sohu.com/</w:t>
      </w:r>
      <w:r w:rsidRPr="00835690">
        <w:rPr>
          <w:rFonts w:eastAsiaTheme="minorEastAsia"/>
        </w:rPr>
        <w:t>business/d20170403/</w:t>
      </w:r>
    </w:p>
    <w:p w14:paraId="4699278C" w14:textId="6A98A446" w:rsidR="00BE6496" w:rsidRPr="00835690" w:rsidRDefault="00BE6496" w:rsidP="009C1954">
      <w:pPr>
        <w:pStyle w:val="Footnote"/>
      </w:pPr>
      <w:r w:rsidRPr="00835690">
        <w:rPr>
          <w:rFonts w:eastAsiaTheme="minorEastAsia"/>
        </w:rPr>
        <w:t>131849350_658916.shtml.</w:t>
      </w:r>
    </w:p>
  </w:endnote>
  <w:endnote w:id="4">
    <w:p w14:paraId="40AD3BE9" w14:textId="67FF9AF3" w:rsidR="00BE6496" w:rsidRPr="00835690" w:rsidRDefault="00BE6496" w:rsidP="009C1954">
      <w:pPr>
        <w:pStyle w:val="Footnote"/>
      </w:pPr>
      <w:r w:rsidRPr="00835690">
        <w:rPr>
          <w:rStyle w:val="EndnoteReference"/>
        </w:rPr>
        <w:endnoteRef/>
      </w:r>
      <w:r w:rsidRPr="00835690">
        <w:t xml:space="preserve"> </w:t>
      </w:r>
      <w:r w:rsidR="00280175" w:rsidRPr="00280175">
        <w:rPr>
          <w:spacing w:val="-4"/>
        </w:rPr>
        <w:t>¥1 = US$0.14</w:t>
      </w:r>
      <w:r w:rsidR="00280175">
        <w:rPr>
          <w:spacing w:val="-4"/>
        </w:rPr>
        <w:t>40</w:t>
      </w:r>
      <w:r w:rsidR="00280175" w:rsidRPr="00280175">
        <w:rPr>
          <w:rFonts w:hint="eastAsia"/>
          <w:spacing w:val="-4"/>
        </w:rPr>
        <w:t xml:space="preserve"> </w:t>
      </w:r>
      <w:r w:rsidRPr="00835690">
        <w:rPr>
          <w:rFonts w:hint="eastAsia"/>
        </w:rPr>
        <w:t>on December 31</w:t>
      </w:r>
      <w:r w:rsidRPr="00835690">
        <w:t>, 2016.</w:t>
      </w:r>
    </w:p>
  </w:endnote>
  <w:endnote w:id="5">
    <w:p w14:paraId="7C8F0251" w14:textId="0C9BB3AD" w:rsidR="00BE6496" w:rsidRPr="00835690" w:rsidRDefault="00BE6496" w:rsidP="009C1954">
      <w:pPr>
        <w:pStyle w:val="Footnote"/>
      </w:pPr>
      <w:r w:rsidRPr="00835690">
        <w:rPr>
          <w:rStyle w:val="EndnoteReference"/>
        </w:rPr>
        <w:endnoteRef/>
      </w:r>
      <w:r w:rsidRPr="00835690">
        <w:t xml:space="preserve"> </w:t>
      </w:r>
      <w:proofErr w:type="spellStart"/>
      <w:r w:rsidRPr="00835690">
        <w:t>Shenzhou</w:t>
      </w:r>
      <w:proofErr w:type="spellEnd"/>
      <w:r w:rsidRPr="00835690">
        <w:t xml:space="preserve"> International Group Holdings Limited, </w:t>
      </w:r>
      <w:r w:rsidRPr="00835690">
        <w:rPr>
          <w:i/>
        </w:rPr>
        <w:t xml:space="preserve">Annual Report 2016 </w:t>
      </w:r>
      <w:r w:rsidRPr="00835690">
        <w:t>[in Chinese], accessed June 3, 2018, www.shenzhouintl.com/Login/report3/dow/Shenzhou_B_AR%</w:t>
      </w:r>
      <w:proofErr w:type="gramStart"/>
      <w:r w:rsidRPr="00835690">
        <w:t>20(</w:t>
      </w:r>
      <w:proofErr w:type="gramEnd"/>
      <w:r w:rsidRPr="00835690">
        <w:t>final).pdf.</w:t>
      </w:r>
    </w:p>
  </w:endnote>
  <w:endnote w:id="6">
    <w:p w14:paraId="50E020E7" w14:textId="6A317780" w:rsidR="00BE6496" w:rsidRPr="00835690" w:rsidRDefault="00BE6496" w:rsidP="009C1954">
      <w:pPr>
        <w:pStyle w:val="Footnote"/>
      </w:pPr>
      <w:r w:rsidRPr="00835690">
        <w:rPr>
          <w:vertAlign w:val="superscript"/>
        </w:rPr>
        <w:endnoteRef/>
      </w:r>
      <w:r w:rsidRPr="00835690">
        <w:t xml:space="preserve"> </w:t>
      </w:r>
      <w:r w:rsidR="00280175" w:rsidRPr="00280175">
        <w:rPr>
          <w:spacing w:val="-4"/>
        </w:rPr>
        <w:t>¥1 = US$0.</w:t>
      </w:r>
      <w:r w:rsidR="00280175">
        <w:rPr>
          <w:spacing w:val="-4"/>
        </w:rPr>
        <w:t>2092</w:t>
      </w:r>
      <w:r w:rsidR="00280175" w:rsidRPr="00280175">
        <w:rPr>
          <w:rFonts w:hint="eastAsia"/>
          <w:spacing w:val="-4"/>
        </w:rPr>
        <w:t xml:space="preserve"> </w:t>
      </w:r>
      <w:r w:rsidRPr="00835690">
        <w:rPr>
          <w:rFonts w:hint="eastAsia"/>
        </w:rPr>
        <w:t>in 1990</w:t>
      </w:r>
      <w:r w:rsidRPr="00835690">
        <w:t>.</w:t>
      </w:r>
    </w:p>
  </w:endnote>
  <w:endnote w:id="7">
    <w:p w14:paraId="415B0DCB" w14:textId="2D38563F" w:rsidR="00BE6496" w:rsidRPr="00835690" w:rsidRDefault="00BE6496" w:rsidP="009C1954">
      <w:pPr>
        <w:pStyle w:val="Footnote"/>
      </w:pPr>
      <w:r w:rsidRPr="00835690">
        <w:rPr>
          <w:rStyle w:val="EndnoteReference"/>
        </w:rPr>
        <w:endnoteRef/>
      </w:r>
      <w:r w:rsidRPr="00835690">
        <w:rPr>
          <w:vertAlign w:val="superscript"/>
        </w:rPr>
        <w:t xml:space="preserve"> </w:t>
      </w:r>
      <w:r w:rsidR="00280175" w:rsidRPr="00280175">
        <w:rPr>
          <w:spacing w:val="-4"/>
        </w:rPr>
        <w:t>¥1 = US$0.</w:t>
      </w:r>
      <w:r w:rsidR="00280175">
        <w:rPr>
          <w:spacing w:val="-4"/>
        </w:rPr>
        <w:t>1203</w:t>
      </w:r>
      <w:r w:rsidR="00280175" w:rsidRPr="00280175">
        <w:rPr>
          <w:rFonts w:hint="eastAsia"/>
          <w:spacing w:val="-4"/>
        </w:rPr>
        <w:t xml:space="preserve"> </w:t>
      </w:r>
      <w:r w:rsidRPr="00835690">
        <w:rPr>
          <w:rFonts w:hint="eastAsia"/>
        </w:rPr>
        <w:t>in 1996.</w:t>
      </w:r>
    </w:p>
  </w:endnote>
  <w:endnote w:id="8">
    <w:p w14:paraId="1558E32D" w14:textId="1A9DAA90" w:rsidR="00BE6496" w:rsidRPr="00835690" w:rsidRDefault="00BE6496" w:rsidP="009C1954">
      <w:pPr>
        <w:pStyle w:val="Footnote"/>
      </w:pPr>
      <w:r w:rsidRPr="00835690">
        <w:rPr>
          <w:rStyle w:val="EndnoteReference"/>
        </w:rPr>
        <w:endnoteRef/>
      </w:r>
      <w:r w:rsidRPr="00835690">
        <w:t xml:space="preserve"> Zhang Yue, Jiang </w:t>
      </w:r>
      <w:proofErr w:type="spellStart"/>
      <w:r w:rsidRPr="00835690">
        <w:t>Hongmei</w:t>
      </w:r>
      <w:proofErr w:type="spellEnd"/>
      <w:r w:rsidRPr="00835690">
        <w:t xml:space="preserve">, and Fu </w:t>
      </w:r>
      <w:proofErr w:type="spellStart"/>
      <w:r w:rsidRPr="00835690">
        <w:t>Zhiting</w:t>
      </w:r>
      <w:proofErr w:type="spellEnd"/>
      <w:r w:rsidRPr="00835690">
        <w:t xml:space="preserve">, “Series of Reports on </w:t>
      </w:r>
      <w:proofErr w:type="spellStart"/>
      <w:r w:rsidRPr="00835690">
        <w:t>Shenzhou</w:t>
      </w:r>
      <w:proofErr w:type="spellEnd"/>
      <w:r w:rsidRPr="00835690">
        <w:t xml:space="preserve"> International: From a Sailing Ship to a Carrier in 17 Years,” </w:t>
      </w:r>
      <w:r w:rsidRPr="00835690">
        <w:rPr>
          <w:i/>
        </w:rPr>
        <w:t>Ningbo Daily</w:t>
      </w:r>
      <w:r w:rsidRPr="00835690">
        <w:t>, April 10, 2017, C02 Section.</w:t>
      </w:r>
    </w:p>
  </w:endnote>
  <w:endnote w:id="9">
    <w:p w14:paraId="5D2CF059" w14:textId="77777777" w:rsidR="00BE6496" w:rsidRPr="00835690" w:rsidRDefault="00BE6496" w:rsidP="009C1954">
      <w:pPr>
        <w:pStyle w:val="Footnote"/>
      </w:pPr>
      <w:r w:rsidRPr="00835690">
        <w:rPr>
          <w:rStyle w:val="EndnoteReference"/>
        </w:rPr>
        <w:endnoteRef/>
      </w:r>
      <w:r w:rsidRPr="00835690">
        <w:t xml:space="preserve"> US$1.00 = ¥ </w:t>
      </w:r>
      <w:r w:rsidRPr="00835690">
        <w:rPr>
          <w:rFonts w:hint="eastAsia"/>
        </w:rPr>
        <w:t>8.28</w:t>
      </w:r>
      <w:r w:rsidRPr="00835690">
        <w:t xml:space="preserve"> </w:t>
      </w:r>
      <w:r w:rsidRPr="00835690">
        <w:rPr>
          <w:rFonts w:hint="eastAsia"/>
        </w:rPr>
        <w:t>in 1999.</w:t>
      </w:r>
    </w:p>
  </w:endnote>
  <w:endnote w:id="10">
    <w:p w14:paraId="0E0FF1AB" w14:textId="1D586685" w:rsidR="00BE6496" w:rsidRPr="00835690" w:rsidRDefault="00BE6496" w:rsidP="009C1954">
      <w:pPr>
        <w:pStyle w:val="Footnote"/>
      </w:pPr>
      <w:r w:rsidRPr="00835690">
        <w:rPr>
          <w:rStyle w:val="EndnoteReference"/>
        </w:rPr>
        <w:endnoteRef/>
      </w:r>
      <w:r w:rsidRPr="00835690">
        <w:t xml:space="preserve"> Zhang Yue, Jiang </w:t>
      </w:r>
      <w:proofErr w:type="spellStart"/>
      <w:r w:rsidRPr="00835690">
        <w:t>Hongmei</w:t>
      </w:r>
      <w:proofErr w:type="spellEnd"/>
      <w:r w:rsidRPr="00835690">
        <w:t xml:space="preserve">, and Fu </w:t>
      </w:r>
      <w:proofErr w:type="spellStart"/>
      <w:r w:rsidRPr="00835690">
        <w:t>Zhiting</w:t>
      </w:r>
      <w:proofErr w:type="spellEnd"/>
      <w:r w:rsidRPr="00835690">
        <w:t>, op.</w:t>
      </w:r>
      <w:r>
        <w:t xml:space="preserve"> </w:t>
      </w:r>
      <w:r w:rsidRPr="00835690">
        <w:t>cit.</w:t>
      </w:r>
    </w:p>
  </w:endnote>
  <w:endnote w:id="11">
    <w:p w14:paraId="14B6E911" w14:textId="194AA50B" w:rsidR="00BE6496" w:rsidRPr="00835690" w:rsidRDefault="00BE6496" w:rsidP="009C1954">
      <w:pPr>
        <w:pStyle w:val="Footnote"/>
      </w:pPr>
      <w:r w:rsidRPr="00835690">
        <w:rPr>
          <w:rStyle w:val="EndnoteReference"/>
        </w:rPr>
        <w:endnoteRef/>
      </w:r>
      <w:r w:rsidRPr="00835690">
        <w:t xml:space="preserve"> </w:t>
      </w:r>
      <w:proofErr w:type="spellStart"/>
      <w:r w:rsidRPr="00835690">
        <w:t>Jianrong</w:t>
      </w:r>
      <w:proofErr w:type="spellEnd"/>
      <w:r w:rsidRPr="00835690">
        <w:t xml:space="preserve"> Ma, in a speech delivered at the China Europe International Business School, August 19, 2016.</w:t>
      </w:r>
    </w:p>
  </w:endnote>
  <w:endnote w:id="12">
    <w:p w14:paraId="4817F0A4" w14:textId="63883D53" w:rsidR="00BE6496" w:rsidRPr="00835690" w:rsidRDefault="00BE6496" w:rsidP="009C1954">
      <w:pPr>
        <w:pStyle w:val="Footnote"/>
      </w:pPr>
      <w:r w:rsidRPr="00835690">
        <w:rPr>
          <w:rStyle w:val="EndnoteReference"/>
        </w:rPr>
        <w:endnoteRef/>
      </w:r>
      <w:r w:rsidRPr="00835690">
        <w:t xml:space="preserve"> Ibid. </w:t>
      </w:r>
    </w:p>
  </w:endnote>
  <w:endnote w:id="13">
    <w:p w14:paraId="200D6ABD" w14:textId="3F712332" w:rsidR="00BE6496" w:rsidRPr="00835690" w:rsidRDefault="00BE6496" w:rsidP="009C1954">
      <w:pPr>
        <w:pStyle w:val="Footnote"/>
      </w:pPr>
      <w:r w:rsidRPr="00835690">
        <w:rPr>
          <w:rStyle w:val="EndnoteReference"/>
        </w:rPr>
        <w:endnoteRef/>
      </w:r>
      <w:r w:rsidRPr="00835690">
        <w:t xml:space="preserve"> </w:t>
      </w:r>
      <w:r w:rsidR="00280175" w:rsidRPr="00280175">
        <w:rPr>
          <w:spacing w:val="-4"/>
        </w:rPr>
        <w:t>¥1 = US$0.</w:t>
      </w:r>
      <w:r w:rsidR="00280175">
        <w:rPr>
          <w:spacing w:val="-4"/>
        </w:rPr>
        <w:t>1207</w:t>
      </w:r>
      <w:r w:rsidRPr="00835690">
        <w:t xml:space="preserve"> </w:t>
      </w:r>
      <w:r w:rsidRPr="00835690">
        <w:rPr>
          <w:rFonts w:hint="eastAsia"/>
        </w:rPr>
        <w:t>in 2002</w:t>
      </w:r>
      <w:r w:rsidRPr="00835690">
        <w:t>.</w:t>
      </w:r>
    </w:p>
  </w:endnote>
  <w:endnote w:id="14">
    <w:p w14:paraId="597797A5" w14:textId="47151A4C" w:rsidR="00BE6496" w:rsidRPr="00835690" w:rsidRDefault="00BE6496" w:rsidP="009C1954">
      <w:pPr>
        <w:pStyle w:val="Footnote"/>
      </w:pPr>
      <w:r w:rsidRPr="00835690">
        <w:rPr>
          <w:rStyle w:val="EndnoteReference"/>
        </w:rPr>
        <w:endnoteRef/>
      </w:r>
      <w:r w:rsidRPr="00835690">
        <w:t xml:space="preserve"> “Company Listing: Significance and Influence,”</w:t>
      </w:r>
      <w:r>
        <w:t xml:space="preserve"> </w:t>
      </w:r>
      <w:r w:rsidRPr="00835690">
        <w:t xml:space="preserve">Wang Jing, March 18, 2015, accessed April 18, 2017, </w:t>
      </w:r>
      <w:r w:rsidRPr="00835690">
        <w:rPr>
          <w:rFonts w:eastAsiaTheme="minorEastAsia"/>
        </w:rPr>
        <w:t>www.zj123.com/info/detail-d300235.htm.</w:t>
      </w:r>
    </w:p>
  </w:endnote>
  <w:endnote w:id="15">
    <w:p w14:paraId="3DC4976C" w14:textId="77777777" w:rsidR="00BE6496" w:rsidRPr="00835690" w:rsidRDefault="00BE6496" w:rsidP="009C1954">
      <w:pPr>
        <w:pStyle w:val="Footnote"/>
      </w:pPr>
      <w:r w:rsidRPr="00835690">
        <w:rPr>
          <w:rStyle w:val="EndnoteReference"/>
        </w:rPr>
        <w:endnoteRef/>
      </w:r>
      <w:r w:rsidRPr="00835690">
        <w:t xml:space="preserve"> US$1.00 = ¥</w:t>
      </w:r>
      <w:r w:rsidRPr="00835690">
        <w:rPr>
          <w:rFonts w:hint="eastAsia"/>
        </w:rPr>
        <w:t>8.19</w:t>
      </w:r>
      <w:r w:rsidRPr="00835690">
        <w:t xml:space="preserve"> </w:t>
      </w:r>
      <w:r w:rsidRPr="00835690">
        <w:rPr>
          <w:rFonts w:hint="eastAsia"/>
        </w:rPr>
        <w:t xml:space="preserve">in 2005, and </w:t>
      </w:r>
      <w:r w:rsidRPr="00835690">
        <w:t>¥</w:t>
      </w:r>
      <w:r w:rsidRPr="00835690">
        <w:rPr>
          <w:rFonts w:hint="eastAsia"/>
        </w:rPr>
        <w:t>7.97 in 2006</w:t>
      </w:r>
      <w:r w:rsidRPr="00835690">
        <w:t>.</w:t>
      </w:r>
    </w:p>
  </w:endnote>
  <w:endnote w:id="16">
    <w:p w14:paraId="5C018D80" w14:textId="72600FAD" w:rsidR="00BE6496" w:rsidRPr="00835690" w:rsidRDefault="00BE6496" w:rsidP="009C1954">
      <w:pPr>
        <w:pStyle w:val="Footnote"/>
      </w:pPr>
      <w:r w:rsidRPr="00835690">
        <w:rPr>
          <w:rStyle w:val="EndnoteReference"/>
        </w:rPr>
        <w:endnoteRef/>
      </w:r>
      <w:r w:rsidRPr="00835690">
        <w:rPr>
          <w:vertAlign w:val="superscript"/>
        </w:rPr>
        <w:t xml:space="preserve"> </w:t>
      </w:r>
      <w:r w:rsidRPr="00835690">
        <w:t>“</w:t>
      </w:r>
      <w:proofErr w:type="spellStart"/>
      <w:r w:rsidRPr="00835690">
        <w:t>Shenzhou</w:t>
      </w:r>
      <w:proofErr w:type="spellEnd"/>
      <w:r w:rsidRPr="00835690">
        <w:t xml:space="preserve"> International: Hidden Champion in Global Apparel Industry: Market Capitalization Grows by a Factor of 30 in 10 Years [in Chinese],” mp.sohu.com, January 4, 2017, accessed January 25, 2017, http://mt.sohu.com/20170104/n477698436.shtml.</w:t>
      </w:r>
    </w:p>
  </w:endnote>
  <w:endnote w:id="17">
    <w:p w14:paraId="429E4B4E" w14:textId="413CEA4C" w:rsidR="00BE6496" w:rsidRPr="00835690" w:rsidRDefault="00BE6496" w:rsidP="009C1954">
      <w:pPr>
        <w:pStyle w:val="Footnote"/>
      </w:pPr>
      <w:r w:rsidRPr="00835690">
        <w:rPr>
          <w:rStyle w:val="EndnoteReference"/>
        </w:rPr>
        <w:endnoteRef/>
      </w:r>
      <w:r w:rsidRPr="00835690">
        <w:t xml:space="preserve"> Ibid.</w:t>
      </w:r>
    </w:p>
  </w:endnote>
  <w:endnote w:id="18">
    <w:p w14:paraId="4DBBC714" w14:textId="7D553289" w:rsidR="00BE6496" w:rsidRPr="00835690" w:rsidRDefault="00BE6496" w:rsidP="009C1954">
      <w:pPr>
        <w:pStyle w:val="Footnote"/>
      </w:pPr>
      <w:r w:rsidRPr="00835690">
        <w:rPr>
          <w:rStyle w:val="EndnoteReference"/>
        </w:rPr>
        <w:endnoteRef/>
      </w:r>
      <w:r w:rsidRPr="00835690">
        <w:t xml:space="preserve"> Ibid.</w:t>
      </w:r>
    </w:p>
  </w:endnote>
  <w:endnote w:id="19">
    <w:p w14:paraId="37D118A4" w14:textId="258CCAC0" w:rsidR="00BE6496" w:rsidRPr="00835690" w:rsidRDefault="00BE6496" w:rsidP="009C1954">
      <w:pPr>
        <w:pStyle w:val="Footnote"/>
      </w:pPr>
      <w:r w:rsidRPr="00835690">
        <w:rPr>
          <w:rStyle w:val="EndnoteReference"/>
        </w:rPr>
        <w:endnoteRef/>
      </w:r>
      <w:r w:rsidRPr="00835690">
        <w:rPr>
          <w:vertAlign w:val="superscript"/>
        </w:rPr>
        <w:t xml:space="preserve"> </w:t>
      </w:r>
      <w:r w:rsidRPr="00835690">
        <w:t>“</w:t>
      </w:r>
      <w:proofErr w:type="spellStart"/>
      <w:r w:rsidRPr="00835690">
        <w:t>Shenzhou</w:t>
      </w:r>
      <w:proofErr w:type="spellEnd"/>
      <w:r w:rsidRPr="00835690">
        <w:t xml:space="preserve"> International Posts Net Profit of RMB1,450 Million in First Half of 2016, with Orders Streaming in from Four Key Accounts like Nike and Puma [in Chinese],” China </w:t>
      </w:r>
      <w:proofErr w:type="spellStart"/>
      <w:r w:rsidRPr="00835690">
        <w:t>Sspp</w:t>
      </w:r>
      <w:proofErr w:type="spellEnd"/>
      <w:r w:rsidRPr="00835690">
        <w:t xml:space="preserve">, November 2, 2016, accessed April 17, 2017, </w:t>
      </w:r>
      <w:r w:rsidRPr="00835690">
        <w:rPr>
          <w:rFonts w:eastAsiaTheme="minorEastAsia"/>
        </w:rPr>
        <w:t>www.chinasspp.com/News/Detail/2016-11-2/360503.htm.</w:t>
      </w:r>
    </w:p>
  </w:endnote>
  <w:endnote w:id="20">
    <w:p w14:paraId="6BAB2544" w14:textId="0E811816" w:rsidR="00BE6496" w:rsidRPr="00835690" w:rsidRDefault="00BE6496" w:rsidP="009C1954">
      <w:pPr>
        <w:pStyle w:val="Footnote"/>
      </w:pPr>
      <w:r w:rsidRPr="00835690">
        <w:rPr>
          <w:rStyle w:val="EndnoteReference"/>
        </w:rPr>
        <w:endnoteRef/>
      </w:r>
      <w:r w:rsidRPr="00835690">
        <w:rPr>
          <w:vertAlign w:val="superscript"/>
        </w:rPr>
        <w:t xml:space="preserve"> </w:t>
      </w:r>
      <w:proofErr w:type="spellStart"/>
      <w:r w:rsidRPr="00835690">
        <w:t>Jianrong</w:t>
      </w:r>
      <w:proofErr w:type="spellEnd"/>
      <w:r w:rsidRPr="00835690">
        <w:t xml:space="preserve"> Ma, op. cit.</w:t>
      </w:r>
    </w:p>
  </w:endnote>
  <w:endnote w:id="21">
    <w:p w14:paraId="1FC18BCE" w14:textId="254B0051" w:rsidR="00BE6496" w:rsidRPr="00835690" w:rsidRDefault="00BE6496" w:rsidP="009C1954">
      <w:pPr>
        <w:pStyle w:val="Footnote"/>
      </w:pPr>
      <w:r w:rsidRPr="00835690">
        <w:rPr>
          <w:rStyle w:val="EndnoteReference"/>
        </w:rPr>
        <w:endnoteRef/>
      </w:r>
      <w:r w:rsidRPr="00835690">
        <w:t xml:space="preserve"> Cheng </w:t>
      </w:r>
      <w:proofErr w:type="spellStart"/>
      <w:r w:rsidRPr="00835690">
        <w:t>Weixiong</w:t>
      </w:r>
      <w:proofErr w:type="spellEnd"/>
      <w:r w:rsidRPr="00835690">
        <w:t>, “</w:t>
      </w:r>
      <w:proofErr w:type="spellStart"/>
      <w:r w:rsidRPr="00835690">
        <w:t>Shenzhou</w:t>
      </w:r>
      <w:proofErr w:type="spellEnd"/>
      <w:r w:rsidRPr="00835690">
        <w:t xml:space="preserve"> International Sells Sub-Brand </w:t>
      </w:r>
      <w:proofErr w:type="spellStart"/>
      <w:r w:rsidRPr="00835690">
        <w:t>Maxwin</w:t>
      </w:r>
      <w:proofErr w:type="spellEnd"/>
      <w:r w:rsidRPr="00835690">
        <w:t xml:space="preserve">: </w:t>
      </w:r>
      <w:proofErr w:type="spellStart"/>
      <w:r w:rsidRPr="00835690">
        <w:t>NetEase</w:t>
      </w:r>
      <w:proofErr w:type="spellEnd"/>
      <w:r w:rsidRPr="00835690">
        <w:t xml:space="preserve"> CEO William Ding Branches out into Selling Apparels after Raising Pigs [in Chinese],” </w:t>
      </w:r>
      <w:proofErr w:type="spellStart"/>
      <w:r w:rsidRPr="00835690">
        <w:t>Weixiong’s</w:t>
      </w:r>
      <w:proofErr w:type="spellEnd"/>
      <w:r w:rsidRPr="00835690">
        <w:t xml:space="preserve"> Comments, September 8, 2016, accessed February 23, 2017, http://news.ef360.com/Articles/2016-9-8/346516.html.</w:t>
      </w:r>
    </w:p>
  </w:endnote>
  <w:endnote w:id="22">
    <w:p w14:paraId="0EDEA90E" w14:textId="509317B5" w:rsidR="00BE6496" w:rsidRPr="00835690" w:rsidRDefault="00BE6496" w:rsidP="009C1954">
      <w:pPr>
        <w:pStyle w:val="Footnote"/>
      </w:pPr>
      <w:r w:rsidRPr="00835690">
        <w:rPr>
          <w:rStyle w:val="EndnoteReference"/>
        </w:rPr>
        <w:endnoteRef/>
      </w:r>
      <w:r w:rsidRPr="00835690">
        <w:t xml:space="preserve"> I</w:t>
      </w:r>
      <w:r w:rsidRPr="00835690">
        <w:rPr>
          <w:rFonts w:hint="eastAsia"/>
        </w:rPr>
        <w:t xml:space="preserve">n 2011, Nike invited its supplier, </w:t>
      </w:r>
      <w:r w:rsidRPr="00835690">
        <w:t>Feng</w:t>
      </w:r>
      <w:r w:rsidRPr="00835690">
        <w:rPr>
          <w:rFonts w:hint="eastAsia"/>
        </w:rPr>
        <w:t xml:space="preserve"> </w:t>
      </w:r>
      <w:proofErr w:type="spellStart"/>
      <w:r w:rsidRPr="00835690">
        <w:rPr>
          <w:rFonts w:hint="eastAsia"/>
        </w:rPr>
        <w:t>Tay</w:t>
      </w:r>
      <w:proofErr w:type="spellEnd"/>
      <w:r w:rsidRPr="00835690">
        <w:rPr>
          <w:rFonts w:hint="eastAsia"/>
        </w:rPr>
        <w:t xml:space="preserve">, </w:t>
      </w:r>
      <w:r w:rsidRPr="00835690">
        <w:t>to be</w:t>
      </w:r>
      <w:r w:rsidRPr="00835690">
        <w:rPr>
          <w:rFonts w:hint="eastAsia"/>
        </w:rPr>
        <w:t xml:space="preserve"> a manufacturing partner for </w:t>
      </w:r>
      <w:r w:rsidRPr="00835690">
        <w:t xml:space="preserve">its </w:t>
      </w:r>
      <w:proofErr w:type="spellStart"/>
      <w:r w:rsidRPr="00835690">
        <w:rPr>
          <w:rFonts w:hint="eastAsia"/>
        </w:rPr>
        <w:t>Flyknit</w:t>
      </w:r>
      <w:proofErr w:type="spellEnd"/>
      <w:r w:rsidRPr="00835690">
        <w:rPr>
          <w:rFonts w:hint="eastAsia"/>
        </w:rPr>
        <w:t xml:space="preserve"> athletic shoes. </w:t>
      </w:r>
      <w:r w:rsidRPr="00835690">
        <w:t>A</w:t>
      </w:r>
      <w:r w:rsidRPr="00835690">
        <w:rPr>
          <w:rFonts w:hint="eastAsia"/>
        </w:rPr>
        <w:t xml:space="preserve"> Taiwan-based company, </w:t>
      </w:r>
      <w:r w:rsidRPr="00835690">
        <w:t>Feng</w:t>
      </w:r>
      <w:r w:rsidRPr="00835690">
        <w:rPr>
          <w:rFonts w:hint="eastAsia"/>
        </w:rPr>
        <w:t xml:space="preserve"> </w:t>
      </w:r>
      <w:proofErr w:type="spellStart"/>
      <w:r w:rsidRPr="00835690">
        <w:rPr>
          <w:rFonts w:hint="eastAsia"/>
        </w:rPr>
        <w:t>Tay</w:t>
      </w:r>
      <w:proofErr w:type="spellEnd"/>
      <w:r w:rsidRPr="00835690">
        <w:rPr>
          <w:rFonts w:hint="eastAsia"/>
        </w:rPr>
        <w:t xml:space="preserve"> specialized in shoe production. As Nike</w:t>
      </w:r>
      <w:r w:rsidRPr="00835690">
        <w:t>’</w:t>
      </w:r>
      <w:r w:rsidRPr="00835690">
        <w:rPr>
          <w:rFonts w:hint="eastAsia"/>
        </w:rPr>
        <w:t xml:space="preserve">s largest and most important </w:t>
      </w:r>
      <w:r w:rsidRPr="00835690">
        <w:t>original equipment manufacturer</w:t>
      </w:r>
      <w:r w:rsidRPr="00835690">
        <w:rPr>
          <w:rFonts w:hint="eastAsia"/>
        </w:rPr>
        <w:t xml:space="preserve"> and partner, </w:t>
      </w:r>
      <w:r w:rsidRPr="00835690">
        <w:t>Feng</w:t>
      </w:r>
      <w:r w:rsidRPr="00835690">
        <w:rPr>
          <w:rFonts w:hint="eastAsia"/>
        </w:rPr>
        <w:t xml:space="preserve"> </w:t>
      </w:r>
      <w:proofErr w:type="spellStart"/>
      <w:r w:rsidRPr="00835690">
        <w:rPr>
          <w:rFonts w:hint="eastAsia"/>
        </w:rPr>
        <w:t>Tay</w:t>
      </w:r>
      <w:proofErr w:type="spellEnd"/>
      <w:r w:rsidRPr="00835690">
        <w:rPr>
          <w:rFonts w:hint="eastAsia"/>
        </w:rPr>
        <w:t xml:space="preserve"> purchased 150 looms for trial production of 700 pairs of </w:t>
      </w:r>
      <w:proofErr w:type="spellStart"/>
      <w:r w:rsidRPr="00835690">
        <w:rPr>
          <w:rFonts w:hint="eastAsia"/>
        </w:rPr>
        <w:t>Flyknit</w:t>
      </w:r>
      <w:proofErr w:type="spellEnd"/>
      <w:r w:rsidRPr="00835690">
        <w:rPr>
          <w:rFonts w:hint="eastAsia"/>
        </w:rPr>
        <w:t xml:space="preserve"> athletic shoes. In 2012, however, </w:t>
      </w:r>
      <w:r w:rsidRPr="00835690">
        <w:t>Feng</w:t>
      </w:r>
      <w:r w:rsidRPr="00835690">
        <w:rPr>
          <w:rFonts w:hint="eastAsia"/>
        </w:rPr>
        <w:t xml:space="preserve"> </w:t>
      </w:r>
      <w:proofErr w:type="spellStart"/>
      <w:r w:rsidRPr="00835690">
        <w:rPr>
          <w:rFonts w:hint="eastAsia"/>
        </w:rPr>
        <w:t>Tay</w:t>
      </w:r>
      <w:proofErr w:type="spellEnd"/>
      <w:r w:rsidRPr="00835690">
        <w:rPr>
          <w:rFonts w:hint="eastAsia"/>
        </w:rPr>
        <w:t xml:space="preserve"> dropped the order from </w:t>
      </w:r>
      <w:r w:rsidRPr="00835690">
        <w:t>Nike</w:t>
      </w:r>
      <w:r w:rsidRPr="00835690">
        <w:rPr>
          <w:rFonts w:hint="eastAsia"/>
        </w:rPr>
        <w:t xml:space="preserve"> for </w:t>
      </w:r>
      <w:r w:rsidRPr="00835690">
        <w:t xml:space="preserve">the </w:t>
      </w:r>
      <w:r w:rsidRPr="00835690">
        <w:rPr>
          <w:rFonts w:hint="eastAsia"/>
        </w:rPr>
        <w:t xml:space="preserve">mass production of </w:t>
      </w:r>
      <w:proofErr w:type="spellStart"/>
      <w:r w:rsidRPr="00835690">
        <w:rPr>
          <w:rFonts w:hint="eastAsia"/>
        </w:rPr>
        <w:t>Flyknit</w:t>
      </w:r>
      <w:proofErr w:type="spellEnd"/>
      <w:r w:rsidRPr="00835690">
        <w:rPr>
          <w:rFonts w:hint="eastAsia"/>
        </w:rPr>
        <w:t xml:space="preserve"> athletic shoes, on the </w:t>
      </w:r>
      <w:r w:rsidRPr="00835690">
        <w:t>grounds</w:t>
      </w:r>
      <w:r w:rsidRPr="00835690">
        <w:rPr>
          <w:rFonts w:hint="eastAsia"/>
        </w:rPr>
        <w:t xml:space="preserve"> </w:t>
      </w:r>
      <w:r w:rsidRPr="00835690">
        <w:t>that</w:t>
      </w:r>
      <w:r w:rsidRPr="00835690">
        <w:rPr>
          <w:rFonts w:hint="eastAsia"/>
        </w:rPr>
        <w:t xml:space="preserve"> there was </w:t>
      </w:r>
      <w:r w:rsidRPr="00835690">
        <w:t xml:space="preserve">too </w:t>
      </w:r>
      <w:r w:rsidRPr="00835690">
        <w:rPr>
          <w:rFonts w:hint="eastAsia"/>
        </w:rPr>
        <w:t xml:space="preserve">much uncertainty over </w:t>
      </w:r>
      <w:r w:rsidRPr="00835690">
        <w:t>the</w:t>
      </w:r>
      <w:r w:rsidRPr="00835690">
        <w:rPr>
          <w:rFonts w:hint="eastAsia"/>
        </w:rPr>
        <w:t xml:space="preserve"> extensive application of the complicated </w:t>
      </w:r>
      <w:proofErr w:type="spellStart"/>
      <w:r w:rsidRPr="00835690">
        <w:rPr>
          <w:rFonts w:hint="eastAsia"/>
        </w:rPr>
        <w:t>Flyknit</w:t>
      </w:r>
      <w:proofErr w:type="spellEnd"/>
      <w:r w:rsidRPr="00835690">
        <w:rPr>
          <w:rFonts w:hint="eastAsia"/>
        </w:rPr>
        <w:t xml:space="preserve"> technique</w:t>
      </w:r>
      <w:r w:rsidRPr="00835690">
        <w:t>,</w:t>
      </w:r>
      <w:r w:rsidRPr="00835690">
        <w:rPr>
          <w:rFonts w:hint="eastAsia"/>
        </w:rPr>
        <w:t xml:space="preserve"> and that the machine tailor-made for </w:t>
      </w:r>
      <w:r w:rsidRPr="00835690">
        <w:t xml:space="preserve">producing </w:t>
      </w:r>
      <w:proofErr w:type="spellStart"/>
      <w:r w:rsidRPr="00835690">
        <w:rPr>
          <w:rFonts w:hint="eastAsia"/>
        </w:rPr>
        <w:t>Flyknit</w:t>
      </w:r>
      <w:proofErr w:type="spellEnd"/>
      <w:r w:rsidRPr="00835690">
        <w:rPr>
          <w:rFonts w:hint="eastAsia"/>
        </w:rPr>
        <w:t xml:space="preserve"> was incapable of producing other shoes</w:t>
      </w:r>
      <w:r w:rsidRPr="00835690">
        <w:t>;</w:t>
      </w:r>
      <w:r w:rsidRPr="00835690">
        <w:rPr>
          <w:rFonts w:hint="eastAsia"/>
        </w:rPr>
        <w:t xml:space="preserve"> </w:t>
      </w:r>
      <w:r w:rsidRPr="00835690">
        <w:t>“</w:t>
      </w:r>
      <w:proofErr w:type="spellStart"/>
      <w:r w:rsidRPr="00835690">
        <w:rPr>
          <w:rFonts w:hint="eastAsia"/>
        </w:rPr>
        <w:t>Shenzhou</w:t>
      </w:r>
      <w:proofErr w:type="spellEnd"/>
      <w:r w:rsidRPr="00835690">
        <w:rPr>
          <w:rFonts w:hint="eastAsia"/>
        </w:rPr>
        <w:t xml:space="preserve"> International: Hidden Champion in Global Apparel Industry: Market Capitalization Grows by a Factor of 30 in 10 Years</w:t>
      </w:r>
      <w:r w:rsidRPr="00835690">
        <w:t>,” op. cit.</w:t>
      </w:r>
    </w:p>
  </w:endnote>
  <w:endnote w:id="23">
    <w:p w14:paraId="5F1D191A" w14:textId="529A22B6" w:rsidR="00BE6496" w:rsidRPr="00835690" w:rsidRDefault="00BE6496" w:rsidP="009C1954">
      <w:pPr>
        <w:pStyle w:val="Footnote"/>
      </w:pPr>
      <w:r w:rsidRPr="00835690">
        <w:rPr>
          <w:rStyle w:val="EndnoteReference"/>
        </w:rPr>
        <w:endnoteRef/>
      </w:r>
      <w:r w:rsidRPr="00835690">
        <w:t xml:space="preserve"> Ibid.</w:t>
      </w:r>
    </w:p>
  </w:endnote>
  <w:endnote w:id="24">
    <w:p w14:paraId="7A58EE48" w14:textId="255710CD" w:rsidR="00BE6496" w:rsidRPr="00835690" w:rsidRDefault="00BE6496" w:rsidP="009C1954">
      <w:pPr>
        <w:pStyle w:val="Footnote"/>
      </w:pPr>
      <w:r w:rsidRPr="00835690">
        <w:rPr>
          <w:rStyle w:val="EndnoteReference"/>
        </w:rPr>
        <w:endnoteRef/>
      </w:r>
      <w:r w:rsidRPr="00835690">
        <w:rPr>
          <w:vertAlign w:val="superscript"/>
        </w:rPr>
        <w:t xml:space="preserve"> </w:t>
      </w:r>
      <w:proofErr w:type="spellStart"/>
      <w:r w:rsidRPr="00835690">
        <w:t>Shenzhou</w:t>
      </w:r>
      <w:proofErr w:type="spellEnd"/>
      <w:r w:rsidRPr="00835690">
        <w:t xml:space="preserve"> International Group Holdings Limited, </w:t>
      </w:r>
      <w:r w:rsidRPr="00835690">
        <w:rPr>
          <w:i/>
        </w:rPr>
        <w:t>2006 Annual Report</w:t>
      </w:r>
      <w:r w:rsidRPr="00835690">
        <w:t>, accessed June 4, 2018, www.shenzhouintl.com/Login/report3/dow/en20074241305311653.pdf.</w:t>
      </w:r>
    </w:p>
  </w:endnote>
  <w:endnote w:id="25">
    <w:p w14:paraId="40BA3951" w14:textId="4957F1BA" w:rsidR="00BE6496" w:rsidRPr="00835690" w:rsidRDefault="00BE6496" w:rsidP="009C1954">
      <w:pPr>
        <w:pStyle w:val="Footnote"/>
      </w:pPr>
      <w:r w:rsidRPr="00835690">
        <w:rPr>
          <w:rStyle w:val="EndnoteReference"/>
        </w:rPr>
        <w:endnoteRef/>
      </w:r>
      <w:r w:rsidRPr="00835690">
        <w:rPr>
          <w:rFonts w:eastAsia="SimSun"/>
          <w:lang w:eastAsia="zh-CN"/>
        </w:rPr>
        <w:t xml:space="preserve"> </w:t>
      </w:r>
      <w:proofErr w:type="spellStart"/>
      <w:r w:rsidRPr="00835690">
        <w:rPr>
          <w:rFonts w:eastAsia="SimSun"/>
          <w:lang w:eastAsia="zh-CN"/>
        </w:rPr>
        <w:t>Peijuan</w:t>
      </w:r>
      <w:proofErr w:type="spellEnd"/>
      <w:r w:rsidRPr="00835690">
        <w:rPr>
          <w:rFonts w:eastAsia="SimSun"/>
          <w:lang w:eastAsia="zh-CN"/>
        </w:rPr>
        <w:t xml:space="preserve"> Ji and </w:t>
      </w:r>
      <w:proofErr w:type="spellStart"/>
      <w:r w:rsidRPr="00835690">
        <w:rPr>
          <w:rFonts w:eastAsia="SimSun"/>
          <w:lang w:eastAsia="zh-CN"/>
        </w:rPr>
        <w:t>Xiaohui</w:t>
      </w:r>
      <w:proofErr w:type="spellEnd"/>
      <w:r w:rsidRPr="00835690">
        <w:rPr>
          <w:rFonts w:eastAsia="SimSun"/>
          <w:lang w:eastAsia="zh-CN"/>
        </w:rPr>
        <w:t xml:space="preserve"> Shi, </w:t>
      </w:r>
      <w:r w:rsidRPr="00835690">
        <w:t xml:space="preserve">“A Visit to </w:t>
      </w:r>
      <w:proofErr w:type="spellStart"/>
      <w:r w:rsidRPr="00835690">
        <w:t>Shenzhou</w:t>
      </w:r>
      <w:proofErr w:type="spellEnd"/>
      <w:r w:rsidRPr="00835690">
        <w:t xml:space="preserve"> (Cambodia) Co., Ltd., the Largest Chinese Apparel Company in Cambodia [in Chinese],” </w:t>
      </w:r>
      <w:r w:rsidRPr="00835690">
        <w:rPr>
          <w:i/>
        </w:rPr>
        <w:t>China Daily</w:t>
      </w:r>
      <w:r w:rsidRPr="00835690">
        <w:t xml:space="preserve">, September 17, 2013, accessed April 17, 2017, </w:t>
      </w:r>
      <w:r w:rsidRPr="00835690">
        <w:rPr>
          <w:rFonts w:eastAsiaTheme="minorEastAsia"/>
        </w:rPr>
        <w:t>www.chinadaily.com.cn/micro-reading/dzh/2013-09-17/content_10139013.html.</w:t>
      </w:r>
    </w:p>
  </w:endnote>
  <w:endnote w:id="26">
    <w:p w14:paraId="4335A753" w14:textId="13A3EA10" w:rsidR="00BE6496" w:rsidRPr="00835690" w:rsidRDefault="00BE6496" w:rsidP="009C1954">
      <w:pPr>
        <w:pStyle w:val="Footnote"/>
      </w:pPr>
      <w:r w:rsidRPr="00835690">
        <w:rPr>
          <w:rStyle w:val="EndnoteReference"/>
        </w:rPr>
        <w:endnoteRef/>
      </w:r>
      <w:r w:rsidRPr="00835690">
        <w:t xml:space="preserve"> </w:t>
      </w:r>
      <w:proofErr w:type="spellStart"/>
      <w:r w:rsidRPr="00835690">
        <w:t>Shenzhou</w:t>
      </w:r>
      <w:proofErr w:type="spellEnd"/>
      <w:r w:rsidRPr="00835690">
        <w:t xml:space="preserve"> International Group Holdings Limited, </w:t>
      </w:r>
      <w:r w:rsidRPr="00835690">
        <w:rPr>
          <w:i/>
        </w:rPr>
        <w:t>Annual Report 2015</w:t>
      </w:r>
      <w:r w:rsidRPr="00835690">
        <w:t>, accessed June 3, 2018, www.shenzhouintl.com/Login/report3/dow/Shenzhou_B_AR%</w:t>
      </w:r>
      <w:proofErr w:type="gramStart"/>
      <w:r w:rsidRPr="00835690">
        <w:t>20(</w:t>
      </w:r>
      <w:proofErr w:type="gramEnd"/>
      <w:r w:rsidRPr="00835690">
        <w:t>final).pdf.</w:t>
      </w:r>
    </w:p>
  </w:endnote>
  <w:endnote w:id="27">
    <w:p w14:paraId="7C60FF41" w14:textId="4A8DA68B" w:rsidR="00BE6496" w:rsidRPr="00835690" w:rsidRDefault="00BE6496" w:rsidP="009C1954">
      <w:pPr>
        <w:pStyle w:val="Footnote"/>
      </w:pPr>
      <w:r w:rsidRPr="00835690">
        <w:rPr>
          <w:rStyle w:val="EndnoteReference"/>
        </w:rPr>
        <w:endnoteRef/>
      </w:r>
      <w:r w:rsidRPr="00835690">
        <w:t xml:space="preserve"> </w:t>
      </w:r>
      <w:proofErr w:type="spellStart"/>
      <w:r w:rsidRPr="00835690">
        <w:t>Shenzhou</w:t>
      </w:r>
      <w:proofErr w:type="spellEnd"/>
      <w:r w:rsidRPr="00835690">
        <w:t xml:space="preserve"> International Group Holdings Limited, </w:t>
      </w:r>
      <w:r w:rsidRPr="00835690">
        <w:rPr>
          <w:i/>
        </w:rPr>
        <w:t>Annual Report 2014</w:t>
      </w:r>
      <w:r w:rsidRPr="00835690">
        <w:t xml:space="preserve">, accessed June 4, 2018, </w:t>
      </w:r>
      <w:hyperlink r:id="rId1" w:history="1">
        <w:r w:rsidRPr="00835690">
          <w:t>www.shenzhouintl.com/Login/report3/dow/ew_02313AR-25032015.pdf</w:t>
        </w:r>
      </w:hyperlink>
      <w:r w:rsidRPr="00835690">
        <w:t xml:space="preserve">; </w:t>
      </w:r>
      <w:proofErr w:type="spellStart"/>
      <w:r w:rsidRPr="00835690">
        <w:t>Shenzhou</w:t>
      </w:r>
      <w:proofErr w:type="spellEnd"/>
      <w:r w:rsidRPr="00835690">
        <w:t xml:space="preserve"> International Group Holdings Limited, </w:t>
      </w:r>
      <w:r w:rsidRPr="00835690">
        <w:rPr>
          <w:i/>
        </w:rPr>
        <w:t>Annual Report 2015</w:t>
      </w:r>
      <w:r w:rsidRPr="00835690">
        <w:t xml:space="preserve">, op. cit.; </w:t>
      </w:r>
      <w:proofErr w:type="spellStart"/>
      <w:r w:rsidRPr="00835690">
        <w:t>Shenzhou</w:t>
      </w:r>
      <w:proofErr w:type="spellEnd"/>
      <w:r w:rsidRPr="00835690">
        <w:t xml:space="preserve"> International Group Holdings Limited, </w:t>
      </w:r>
      <w:r w:rsidRPr="00835690">
        <w:rPr>
          <w:i/>
        </w:rPr>
        <w:t>Annual Report 2016</w:t>
      </w:r>
      <w:r w:rsidRPr="00835690">
        <w:t>, op. cit.</w:t>
      </w:r>
    </w:p>
  </w:endnote>
  <w:endnote w:id="28">
    <w:p w14:paraId="302D543B" w14:textId="6361CB70" w:rsidR="00BE6496" w:rsidRPr="00835690" w:rsidRDefault="00BE6496" w:rsidP="009C1954">
      <w:pPr>
        <w:pStyle w:val="Footnote"/>
      </w:pPr>
      <w:r w:rsidRPr="00835690">
        <w:rPr>
          <w:rStyle w:val="EndnoteReference"/>
        </w:rPr>
        <w:endnoteRef/>
      </w:r>
      <w:r w:rsidRPr="00835690">
        <w:t xml:space="preserve"> </w:t>
      </w:r>
      <w:r w:rsidRPr="00835690">
        <w:rPr>
          <w:rFonts w:eastAsiaTheme="minorEastAsia" w:hint="eastAsia"/>
          <w:lang w:eastAsia="zh-CN"/>
        </w:rPr>
        <w:t xml:space="preserve">Ding, </w:t>
      </w:r>
      <w:r w:rsidRPr="00835690">
        <w:t>“</w:t>
      </w:r>
      <w:proofErr w:type="spellStart"/>
      <w:r w:rsidRPr="00835690">
        <w:t>Shenzhou</w:t>
      </w:r>
      <w:proofErr w:type="spellEnd"/>
      <w:r w:rsidRPr="00835690">
        <w:t xml:space="preserve"> International Posts over 20% Increase in Operating Revenue in 2016 and Will Step up Expansion of Apparel Factory in Vietnam [in Chinese],” China Fashion, January 18, 2017, accessed April 17, 2017, </w:t>
      </w:r>
      <w:r w:rsidRPr="00835690">
        <w:rPr>
          <w:rFonts w:eastAsiaTheme="minorEastAsia"/>
        </w:rPr>
        <w:t>www.eeff.net/wechatarticle-9189.html.</w:t>
      </w:r>
    </w:p>
  </w:endnote>
  <w:endnote w:id="29">
    <w:p w14:paraId="56051966" w14:textId="1C2FD53C" w:rsidR="00BE6496" w:rsidRPr="00835690" w:rsidRDefault="00BE6496" w:rsidP="00F53ABB">
      <w:pPr>
        <w:pStyle w:val="Footnote"/>
        <w:rPr>
          <w:spacing w:val="-6"/>
        </w:rPr>
      </w:pPr>
      <w:r w:rsidRPr="00835690">
        <w:rPr>
          <w:rStyle w:val="EndnoteReference"/>
          <w:spacing w:val="-6"/>
        </w:rPr>
        <w:endnoteRef/>
      </w:r>
      <w:r w:rsidRPr="00835690">
        <w:rPr>
          <w:spacing w:val="-6"/>
        </w:rPr>
        <w:t xml:space="preserve"> Bui Van Tot, </w:t>
      </w:r>
      <w:r w:rsidRPr="00835690">
        <w:rPr>
          <w:i/>
          <w:spacing w:val="-6"/>
        </w:rPr>
        <w:t xml:space="preserve">Textile &amp; Apparel Industry Report: Opportunities for Breakthrough </w:t>
      </w:r>
      <w:r w:rsidRPr="00835690">
        <w:rPr>
          <w:spacing w:val="-6"/>
        </w:rPr>
        <w:t>(Hanoi, VN: FPT Securities,</w:t>
      </w:r>
      <w:r w:rsidRPr="00835690">
        <w:rPr>
          <w:i/>
          <w:spacing w:val="-6"/>
        </w:rPr>
        <w:t xml:space="preserve"> </w:t>
      </w:r>
      <w:r w:rsidRPr="00835690">
        <w:rPr>
          <w:rFonts w:eastAsiaTheme="minorEastAsia" w:hint="eastAsia"/>
          <w:spacing w:val="-6"/>
          <w:lang w:eastAsia="zh-CN"/>
        </w:rPr>
        <w:t>April 2014</w:t>
      </w:r>
      <w:r w:rsidRPr="00835690">
        <w:rPr>
          <w:rFonts w:eastAsiaTheme="minorEastAsia"/>
          <w:spacing w:val="-6"/>
          <w:lang w:eastAsia="zh-CN"/>
        </w:rPr>
        <w:t>),</w:t>
      </w:r>
      <w:r w:rsidRPr="00835690">
        <w:rPr>
          <w:rFonts w:eastAsiaTheme="minorEastAsia" w:hint="eastAsia"/>
          <w:spacing w:val="-6"/>
          <w:lang w:eastAsia="zh-CN"/>
        </w:rPr>
        <w:t xml:space="preserve"> accessed July 17, 2018, </w:t>
      </w:r>
      <w:r w:rsidRPr="00835690">
        <w:rPr>
          <w:rFonts w:eastAsiaTheme="minorEastAsia"/>
          <w:spacing w:val="-6"/>
          <w:lang w:eastAsia="zh-CN"/>
        </w:rPr>
        <w:t>www.fpts.com.vn/FileStore2/File/2014/07/01/Textile%20and%20Apparel%20Industry%20Report%</w:t>
      </w:r>
      <w:proofErr w:type="gramStart"/>
      <w:r w:rsidRPr="00835690">
        <w:rPr>
          <w:rFonts w:eastAsiaTheme="minorEastAsia"/>
          <w:spacing w:val="-6"/>
          <w:lang w:eastAsia="zh-CN"/>
        </w:rPr>
        <w:t>20(</w:t>
      </w:r>
      <w:proofErr w:type="gramEnd"/>
      <w:r w:rsidRPr="00835690">
        <w:rPr>
          <w:rFonts w:eastAsiaTheme="minorEastAsia"/>
          <w:spacing w:val="-6"/>
          <w:lang w:eastAsia="zh-CN"/>
        </w:rPr>
        <w:t>latest).pdf</w:t>
      </w:r>
      <w:r w:rsidRPr="00835690">
        <w:rPr>
          <w:rFonts w:hint="eastAsia"/>
          <w:spacing w:val="-6"/>
        </w:rPr>
        <w:t>.</w:t>
      </w:r>
    </w:p>
  </w:endnote>
  <w:endnote w:id="30">
    <w:p w14:paraId="1CAC4037" w14:textId="488B4903" w:rsidR="00BE6496" w:rsidRPr="00835690" w:rsidRDefault="00BE6496" w:rsidP="009C1954">
      <w:pPr>
        <w:pStyle w:val="Footnote"/>
      </w:pPr>
      <w:r w:rsidRPr="00835690">
        <w:rPr>
          <w:rStyle w:val="EndnoteReference"/>
        </w:rPr>
        <w:endnoteRef/>
      </w:r>
      <w:r w:rsidRPr="00835690">
        <w:t xml:space="preserve"> Technavio.com, </w:t>
      </w:r>
      <w:r w:rsidRPr="00835690">
        <w:rPr>
          <w:i/>
        </w:rPr>
        <w:t>Global Sports and Fitness Wear Market</w:t>
      </w:r>
      <w:r w:rsidRPr="00835690">
        <w:t xml:space="preserve"> </w:t>
      </w:r>
      <w:r w:rsidRPr="00835690">
        <w:rPr>
          <w:i/>
        </w:rPr>
        <w:t>2016–2020</w:t>
      </w:r>
      <w:r w:rsidRPr="00835690">
        <w:t xml:space="preserve"> (Elmhurst, IL: Infinity Research Limited: 2016), </w:t>
      </w:r>
      <w:r w:rsidRPr="00835690">
        <w:rPr>
          <w:rFonts w:eastAsiaTheme="minorEastAsia" w:hint="eastAsia"/>
          <w:lang w:eastAsia="zh-CN"/>
        </w:rPr>
        <w:t xml:space="preserve">accessed July 17, 2018, </w:t>
      </w:r>
      <w:r w:rsidRPr="00835690">
        <w:t>www.emis.com/php/search/pdf2html?pc=YY&amp;doc_id=557991480&amp;type=2.</w:t>
      </w:r>
    </w:p>
  </w:endnote>
  <w:endnote w:id="31">
    <w:p w14:paraId="0F0825A7" w14:textId="65DAD28B" w:rsidR="00BE6496" w:rsidRPr="00835690" w:rsidRDefault="00BE6496" w:rsidP="009C1954">
      <w:pPr>
        <w:pStyle w:val="Footnote"/>
      </w:pPr>
      <w:r w:rsidRPr="00835690">
        <w:rPr>
          <w:rStyle w:val="EndnoteReference"/>
        </w:rPr>
        <w:endnoteRef/>
      </w:r>
      <w:r w:rsidRPr="00835690">
        <w:rPr>
          <w:vertAlign w:val="superscript"/>
        </w:rPr>
        <w:t xml:space="preserve"> </w:t>
      </w:r>
      <w:r w:rsidRPr="00835690">
        <w:rPr>
          <w:rFonts w:hint="eastAsia"/>
        </w:rPr>
        <w:t>T</w:t>
      </w:r>
      <w:r w:rsidRPr="00835690">
        <w:t xml:space="preserve">he Trans-Pacific </w:t>
      </w:r>
      <w:r w:rsidRPr="00835690">
        <w:rPr>
          <w:rFonts w:hint="eastAsia"/>
        </w:rPr>
        <w:t>P</w:t>
      </w:r>
      <w:r w:rsidRPr="00835690">
        <w:t>artnership</w:t>
      </w:r>
      <w:r w:rsidRPr="00835690">
        <w:rPr>
          <w:rFonts w:hint="eastAsia"/>
        </w:rPr>
        <w:t xml:space="preserve"> was initiated by Singapore, </w:t>
      </w:r>
      <w:r w:rsidRPr="00835690">
        <w:t>Brunei Darussalam</w:t>
      </w:r>
      <w:r w:rsidRPr="00835690">
        <w:rPr>
          <w:rFonts w:hint="eastAsia"/>
        </w:rPr>
        <w:t>, Chile</w:t>
      </w:r>
      <w:r w:rsidRPr="00835690">
        <w:t>,</w:t>
      </w:r>
      <w:r w:rsidRPr="00835690">
        <w:rPr>
          <w:rFonts w:hint="eastAsia"/>
        </w:rPr>
        <w:t xml:space="preserve"> and New Zealand in 2005. </w:t>
      </w:r>
      <w:r w:rsidRPr="00835690">
        <w:t>When</w:t>
      </w:r>
      <w:r w:rsidRPr="00835690">
        <w:rPr>
          <w:rFonts w:hint="eastAsia"/>
        </w:rPr>
        <w:t xml:space="preserve"> the U</w:t>
      </w:r>
      <w:r w:rsidRPr="00835690">
        <w:t xml:space="preserve">nited </w:t>
      </w:r>
      <w:r w:rsidRPr="00835690">
        <w:rPr>
          <w:rFonts w:hint="eastAsia"/>
        </w:rPr>
        <w:t>S</w:t>
      </w:r>
      <w:r w:rsidRPr="00835690">
        <w:t>tates</w:t>
      </w:r>
      <w:r w:rsidRPr="00835690">
        <w:rPr>
          <w:rFonts w:hint="eastAsia"/>
        </w:rPr>
        <w:t xml:space="preserve"> participated in and presided over the negotiations in 2008, </w:t>
      </w:r>
      <w:r w:rsidRPr="00835690">
        <w:t xml:space="preserve">the </w:t>
      </w:r>
      <w:r w:rsidRPr="00835690">
        <w:rPr>
          <w:rFonts w:hint="eastAsia"/>
        </w:rPr>
        <w:t xml:space="preserve">TPP </w:t>
      </w:r>
      <w:r w:rsidRPr="00835690">
        <w:t>drew</w:t>
      </w:r>
      <w:r w:rsidRPr="00835690">
        <w:rPr>
          <w:rFonts w:hint="eastAsia"/>
        </w:rPr>
        <w:t xml:space="preserve"> worldwide attention. </w:t>
      </w:r>
      <w:r w:rsidRPr="00835690">
        <w:t>B</w:t>
      </w:r>
      <w:r w:rsidRPr="00835690">
        <w:rPr>
          <w:rFonts w:hint="eastAsia"/>
        </w:rPr>
        <w:t>y July 2013, Malaysia, Australia, Peru, Vietnam, Mexico, Canada</w:t>
      </w:r>
      <w:r w:rsidRPr="00835690">
        <w:t>,</w:t>
      </w:r>
      <w:r w:rsidRPr="00835690">
        <w:rPr>
          <w:rFonts w:hint="eastAsia"/>
        </w:rPr>
        <w:t xml:space="preserve"> and Japan had been granted membership to </w:t>
      </w:r>
      <w:r w:rsidRPr="00835690">
        <w:t xml:space="preserve">the </w:t>
      </w:r>
      <w:r w:rsidRPr="00835690">
        <w:rPr>
          <w:rFonts w:hint="eastAsia"/>
        </w:rPr>
        <w:t>TPP. In October 2015, 12 TPP members signed a treaty on</w:t>
      </w:r>
      <w:r w:rsidRPr="00835690">
        <w:t xml:space="preserve"> the</w:t>
      </w:r>
      <w:r w:rsidRPr="00835690">
        <w:rPr>
          <w:rFonts w:hint="eastAsia"/>
        </w:rPr>
        <w:t xml:space="preserve"> elimination of tariffs among countries, </w:t>
      </w:r>
      <w:r w:rsidRPr="00835690">
        <w:t xml:space="preserve">and on </w:t>
      </w:r>
      <w:r w:rsidRPr="00835690">
        <w:rPr>
          <w:rFonts w:hint="eastAsia"/>
        </w:rPr>
        <w:t xml:space="preserve">investment, </w:t>
      </w:r>
      <w:r w:rsidRPr="00835690">
        <w:t>competition</w:t>
      </w:r>
      <w:r w:rsidRPr="00835690">
        <w:rPr>
          <w:rFonts w:hint="eastAsia"/>
        </w:rPr>
        <w:t xml:space="preserve"> policy, </w:t>
      </w:r>
      <w:proofErr w:type="gramStart"/>
      <w:r w:rsidRPr="00835690">
        <w:rPr>
          <w:rFonts w:hint="eastAsia"/>
        </w:rPr>
        <w:t>technological</w:t>
      </w:r>
      <w:proofErr w:type="gramEnd"/>
      <w:r w:rsidRPr="00835690">
        <w:rPr>
          <w:rFonts w:hint="eastAsia"/>
        </w:rPr>
        <w:t xml:space="preserve"> barriers to trade, food safety, intellectual property rights, government procurement, green growth, and </w:t>
      </w:r>
      <w:proofErr w:type="spellStart"/>
      <w:r w:rsidRPr="00835690">
        <w:rPr>
          <w:rFonts w:hint="eastAsia"/>
        </w:rPr>
        <w:t>labo</w:t>
      </w:r>
      <w:r w:rsidRPr="00835690">
        <w:t>u</w:t>
      </w:r>
      <w:r w:rsidRPr="00835690">
        <w:rPr>
          <w:rFonts w:hint="eastAsia"/>
        </w:rPr>
        <w:t>r</w:t>
      </w:r>
      <w:proofErr w:type="spellEnd"/>
      <w:r w:rsidRPr="00835690">
        <w:rPr>
          <w:rFonts w:hint="eastAsia"/>
        </w:rPr>
        <w:t xml:space="preserve"> protection. </w:t>
      </w:r>
      <w:r w:rsidRPr="00835690">
        <w:t xml:space="preserve">The </w:t>
      </w:r>
      <w:r w:rsidRPr="00835690">
        <w:rPr>
          <w:rFonts w:hint="eastAsia"/>
        </w:rPr>
        <w:t>TPP represent</w:t>
      </w:r>
      <w:r w:rsidRPr="00835690">
        <w:t>ed</w:t>
      </w:r>
      <w:r w:rsidRPr="00835690">
        <w:rPr>
          <w:rFonts w:hint="eastAsia"/>
        </w:rPr>
        <w:t xml:space="preserve"> a </w:t>
      </w:r>
      <w:r w:rsidRPr="00835690">
        <w:t>“</w:t>
      </w:r>
      <w:r w:rsidRPr="00835690">
        <w:rPr>
          <w:rFonts w:hint="eastAsia"/>
        </w:rPr>
        <w:t>high-quality free trade arrangement in the 21st century</w:t>
      </w:r>
      <w:r w:rsidRPr="00835690">
        <w:t>”</w:t>
      </w:r>
      <w:r w:rsidRPr="00835690">
        <w:rPr>
          <w:rFonts w:hint="eastAsia"/>
        </w:rPr>
        <w:t xml:space="preserve"> </w:t>
      </w:r>
      <w:r w:rsidRPr="00835690">
        <w:t>that</w:t>
      </w:r>
      <w:r w:rsidRPr="00835690">
        <w:rPr>
          <w:rFonts w:hint="eastAsia"/>
        </w:rPr>
        <w:t xml:space="preserve"> </w:t>
      </w:r>
      <w:r w:rsidRPr="00835690">
        <w:t>went</w:t>
      </w:r>
      <w:r w:rsidRPr="00835690">
        <w:rPr>
          <w:rFonts w:hint="eastAsia"/>
        </w:rPr>
        <w:t xml:space="preserve"> further than the W</w:t>
      </w:r>
      <w:r w:rsidRPr="00835690">
        <w:t xml:space="preserve">orld </w:t>
      </w:r>
      <w:r w:rsidRPr="00835690">
        <w:rPr>
          <w:rFonts w:hint="eastAsia"/>
        </w:rPr>
        <w:t>T</w:t>
      </w:r>
      <w:r w:rsidRPr="00835690">
        <w:t xml:space="preserve">rade </w:t>
      </w:r>
      <w:r w:rsidRPr="00835690">
        <w:rPr>
          <w:rFonts w:hint="eastAsia"/>
        </w:rPr>
        <w:t>O</w:t>
      </w:r>
      <w:r w:rsidRPr="00835690">
        <w:t>rganization</w:t>
      </w:r>
      <w:r w:rsidRPr="00835690">
        <w:rPr>
          <w:rFonts w:hint="eastAsia"/>
        </w:rPr>
        <w:t xml:space="preserve"> rules, exceeding any other free trade </w:t>
      </w:r>
      <w:r w:rsidRPr="00835690">
        <w:t>agreement</w:t>
      </w:r>
      <w:r w:rsidRPr="00835690">
        <w:rPr>
          <w:rFonts w:hint="eastAsia"/>
        </w:rPr>
        <w:t xml:space="preserve"> in terms of depth and breadth.</w:t>
      </w:r>
    </w:p>
  </w:endnote>
  <w:endnote w:id="32">
    <w:p w14:paraId="17282F83" w14:textId="7E327D2D" w:rsidR="00BE6496" w:rsidRPr="00835690" w:rsidRDefault="00BE6496" w:rsidP="009C1954">
      <w:pPr>
        <w:pStyle w:val="Footnote"/>
      </w:pPr>
      <w:r w:rsidRPr="00835690">
        <w:rPr>
          <w:rStyle w:val="EndnoteReference"/>
        </w:rPr>
        <w:endnoteRef/>
      </w:r>
      <w:r w:rsidRPr="00835690">
        <w:t xml:space="preserve"> </w:t>
      </w:r>
      <w:proofErr w:type="spellStart"/>
      <w:r w:rsidRPr="00835690">
        <w:t>Xie</w:t>
      </w:r>
      <w:proofErr w:type="spellEnd"/>
      <w:r w:rsidRPr="00835690">
        <w:t xml:space="preserve"> </w:t>
      </w:r>
      <w:proofErr w:type="spellStart"/>
      <w:r w:rsidRPr="00835690">
        <w:t>Shaoan</w:t>
      </w:r>
      <w:proofErr w:type="spellEnd"/>
      <w:r w:rsidRPr="00835690">
        <w:t xml:space="preserve"> and Fan </w:t>
      </w:r>
      <w:proofErr w:type="spellStart"/>
      <w:r w:rsidRPr="00835690">
        <w:t>Xueqian</w:t>
      </w:r>
      <w:proofErr w:type="spellEnd"/>
      <w:r w:rsidRPr="00835690">
        <w:t xml:space="preserve">, “Influence of TPP on China’s Textile and Apparel Exports and Countermeasures,” </w:t>
      </w:r>
      <w:r w:rsidRPr="00835690">
        <w:rPr>
          <w:i/>
        </w:rPr>
        <w:t>Modern Business</w:t>
      </w:r>
      <w:r w:rsidRPr="00835690">
        <w:t xml:space="preserve"> 4 (2016)</w:t>
      </w:r>
      <w:r>
        <w:t>:</w:t>
      </w:r>
      <w:r w:rsidRPr="00835690">
        <w:t xml:space="preserve"> 96–97.</w:t>
      </w:r>
    </w:p>
  </w:endnote>
  <w:endnote w:id="33">
    <w:p w14:paraId="54EBEE4D" w14:textId="4C895299" w:rsidR="00BE6496" w:rsidRPr="00835690" w:rsidRDefault="00BE6496" w:rsidP="009C1954">
      <w:pPr>
        <w:pStyle w:val="Footnote"/>
        <w:rPr>
          <w:rFonts w:eastAsiaTheme="minorEastAsia"/>
        </w:rPr>
      </w:pPr>
      <w:r w:rsidRPr="00835690">
        <w:rPr>
          <w:rStyle w:val="EndnoteReference"/>
        </w:rPr>
        <w:endnoteRef/>
      </w:r>
      <w:r w:rsidRPr="00835690">
        <w:t xml:space="preserve"> </w:t>
      </w:r>
      <w:r w:rsidRPr="00835690">
        <w:rPr>
          <w:rFonts w:eastAsiaTheme="minorEastAsia"/>
        </w:rPr>
        <w:t xml:space="preserve">McKinsey &amp; Company, Apparel, Fashion &amp; Luxury Group, </w:t>
      </w:r>
      <w:r w:rsidRPr="00835690">
        <w:rPr>
          <w:rFonts w:eastAsiaTheme="minorEastAsia"/>
          <w:i/>
        </w:rPr>
        <w:t>The Global Sourcing Map—Balancing Cost, Compliance, and Capacity: McKinsey’s Apparel CPO Survey 2013</w:t>
      </w:r>
      <w:r w:rsidRPr="00835690">
        <w:rPr>
          <w:rFonts w:eastAsiaTheme="minorEastAsia"/>
        </w:rPr>
        <w:t>, October 2013, accessed June 4, 2018, www.mckinsey.com/~/media/</w:t>
      </w:r>
    </w:p>
    <w:p w14:paraId="7BB36A89" w14:textId="7A21D610" w:rsidR="00BE6496" w:rsidRPr="00835690" w:rsidRDefault="00BE6496" w:rsidP="009C1954">
      <w:pPr>
        <w:pStyle w:val="Footnote"/>
      </w:pPr>
      <w:r w:rsidRPr="00835690">
        <w:rPr>
          <w:rFonts w:eastAsiaTheme="minorEastAsia"/>
        </w:rPr>
        <w:t>mckinsey/dotcom/client_service/retail/articles/the_global_sourcing_map_balancing_cost_compliance_and_capacity.ashx.</w:t>
      </w:r>
    </w:p>
  </w:endnote>
  <w:endnote w:id="34">
    <w:p w14:paraId="2D0B0195" w14:textId="7C691609" w:rsidR="00BE6496" w:rsidRPr="00835690" w:rsidRDefault="00BE6496" w:rsidP="009C1954">
      <w:pPr>
        <w:pStyle w:val="Footnote"/>
      </w:pPr>
      <w:r w:rsidRPr="00835690">
        <w:rPr>
          <w:rStyle w:val="EndnoteReference"/>
        </w:rPr>
        <w:endnoteRef/>
      </w:r>
      <w:r w:rsidRPr="00835690">
        <w:t xml:space="preserve"> “Bros Eastern, </w:t>
      </w:r>
      <w:proofErr w:type="spellStart"/>
      <w:r w:rsidRPr="00835690">
        <w:t>Jasan</w:t>
      </w:r>
      <w:proofErr w:type="spellEnd"/>
      <w:r w:rsidRPr="00835690">
        <w:t xml:space="preserve"> Group, </w:t>
      </w:r>
      <w:proofErr w:type="spellStart"/>
      <w:r w:rsidRPr="00835690">
        <w:t>Shenzhou</w:t>
      </w:r>
      <w:proofErr w:type="spellEnd"/>
      <w:r w:rsidRPr="00835690">
        <w:t xml:space="preserve"> International, and </w:t>
      </w:r>
      <w:proofErr w:type="spellStart"/>
      <w:r w:rsidRPr="00835690">
        <w:t>Texhong</w:t>
      </w:r>
      <w:proofErr w:type="spellEnd"/>
      <w:r w:rsidRPr="00835690">
        <w:t xml:space="preserve"> Textile Venture into Vietnam [in Chinese],” ChinaYarn.com, January 30, 2016, accessed January 25, 2017, www.chinayarn.com/news/2015/2016-1-30-94708.html.</w:t>
      </w:r>
    </w:p>
  </w:endnote>
  <w:endnote w:id="35">
    <w:p w14:paraId="1A4875B1" w14:textId="71707CC2" w:rsidR="00BE6496" w:rsidRPr="00835690" w:rsidRDefault="00BE6496" w:rsidP="009C1954">
      <w:pPr>
        <w:pStyle w:val="Footnote"/>
      </w:pPr>
      <w:r w:rsidRPr="00835690">
        <w:rPr>
          <w:rStyle w:val="EndnoteReference"/>
        </w:rPr>
        <w:endnoteRef/>
      </w:r>
      <w:r w:rsidRPr="00835690">
        <w:rPr>
          <w:vertAlign w:val="superscript"/>
        </w:rPr>
        <w:t xml:space="preserve"> </w:t>
      </w:r>
      <w:r w:rsidRPr="00835690">
        <w:t>“</w:t>
      </w:r>
      <w:proofErr w:type="spellStart"/>
      <w:r w:rsidRPr="00835690">
        <w:t>Shenzhou</w:t>
      </w:r>
      <w:proofErr w:type="spellEnd"/>
      <w:r w:rsidRPr="00835690">
        <w:t xml:space="preserve"> International: Hidden Champion in Global Apparel Industry: Market Capitalization Grows by a Factor of 30 in 10 Years,” op. cit.</w:t>
      </w:r>
    </w:p>
  </w:endnote>
  <w:endnote w:id="36">
    <w:p w14:paraId="68D7C27E" w14:textId="1241D241" w:rsidR="00BE6496" w:rsidRPr="00835690" w:rsidRDefault="00BE6496" w:rsidP="009C1954">
      <w:pPr>
        <w:pStyle w:val="Footnote"/>
      </w:pPr>
      <w:r w:rsidRPr="00835690">
        <w:rPr>
          <w:rStyle w:val="EndnoteReference"/>
        </w:rPr>
        <w:endnoteRef/>
      </w:r>
      <w:r w:rsidRPr="00835690">
        <w:t xml:space="preserve"> Ye </w:t>
      </w:r>
      <w:proofErr w:type="spellStart"/>
      <w:r w:rsidRPr="00835690">
        <w:t>Minkun</w:t>
      </w:r>
      <w:proofErr w:type="spellEnd"/>
      <w:r w:rsidRPr="00835690">
        <w:t>, “Following US, the Most Favored Nation, Vietnam, Will Withdraw from TPP [in Chinese],” yicai.com, November 18, 2016, accessed January 25, 2017, www.yicai.com/news/5161347.html.</w:t>
      </w:r>
    </w:p>
  </w:endnote>
  <w:endnote w:id="37">
    <w:p w14:paraId="384D48A5" w14:textId="4DE13F4A" w:rsidR="00BE6496" w:rsidRPr="009C1954" w:rsidRDefault="00BE6496" w:rsidP="009C1954">
      <w:pPr>
        <w:pStyle w:val="Footnote"/>
      </w:pPr>
      <w:r w:rsidRPr="00835690">
        <w:rPr>
          <w:rStyle w:val="EndnoteReference"/>
        </w:rPr>
        <w:endnoteRef/>
      </w:r>
      <w:r w:rsidRPr="00835690">
        <w:t xml:space="preserve"> Li Ping, “</w:t>
      </w:r>
      <w:proofErr w:type="spellStart"/>
      <w:r w:rsidRPr="00835690">
        <w:t>Texhong</w:t>
      </w:r>
      <w:proofErr w:type="spellEnd"/>
      <w:r w:rsidRPr="00835690">
        <w:t xml:space="preserve"> Textile Invests RMB1.3 Billion in </w:t>
      </w:r>
      <w:proofErr w:type="spellStart"/>
      <w:r w:rsidRPr="00835690">
        <w:t>Quảng</w:t>
      </w:r>
      <w:proofErr w:type="spellEnd"/>
      <w:r w:rsidRPr="00835690">
        <w:t xml:space="preserve"> </w:t>
      </w:r>
      <w:proofErr w:type="spellStart"/>
      <w:r w:rsidRPr="00835690">
        <w:t>Ninh</w:t>
      </w:r>
      <w:proofErr w:type="spellEnd"/>
      <w:r w:rsidRPr="00835690">
        <w:t xml:space="preserve"> Province, Vietnam [in</w:t>
      </w:r>
      <w:r>
        <w:t xml:space="preserve"> Chinese],</w:t>
      </w:r>
      <w:r w:rsidRPr="009C1954">
        <w:t>” sjfzxm.com, November 23, 2014, accessed January 25, 2017, www.sjfzxm.com/news/shichang/201411/23/418861.html.</w:t>
      </w:r>
    </w:p>
  </w:endnote>
  <w:endnote w:id="38">
    <w:p w14:paraId="07E8B8DD" w14:textId="434D1FD9" w:rsidR="00BE6496" w:rsidRPr="009C1954" w:rsidRDefault="00BE6496" w:rsidP="009C1954">
      <w:pPr>
        <w:pStyle w:val="Footnote"/>
      </w:pPr>
      <w:r w:rsidRPr="009C1954">
        <w:rPr>
          <w:rStyle w:val="EndnoteReference"/>
        </w:rPr>
        <w:endnoteRef/>
      </w:r>
      <w:r w:rsidRPr="000458FB">
        <w:t xml:space="preserve"> </w:t>
      </w:r>
      <w:r>
        <w:t xml:space="preserve">Wen Xian, </w:t>
      </w:r>
      <w:r w:rsidRPr="009C1954">
        <w:t>“Trump’s Promise to Back out from TPP May Present China with Opportunities</w:t>
      </w:r>
      <w:r>
        <w:t xml:space="preserve"> [in Chinese],</w:t>
      </w:r>
      <w:r w:rsidRPr="009C1954">
        <w:t>” news.qq.com, November 22, 2016, accessed January 25, 2017, http://news.qq.com/a/20161122/041848.htm.</w:t>
      </w:r>
    </w:p>
  </w:endnote>
  <w:endnote w:id="39">
    <w:p w14:paraId="13B0832C" w14:textId="0F296D27" w:rsidR="00BE6496" w:rsidRPr="009C1954" w:rsidRDefault="00BE6496" w:rsidP="009C1954">
      <w:pPr>
        <w:pStyle w:val="Footnote"/>
      </w:pPr>
      <w:r w:rsidRPr="009C1954">
        <w:rPr>
          <w:rStyle w:val="EndnoteReference"/>
        </w:rPr>
        <w:endnoteRef/>
      </w:r>
      <w:r w:rsidRPr="009C1954">
        <w:t xml:space="preserve"> Harold L. </w:t>
      </w:r>
      <w:proofErr w:type="spellStart"/>
      <w:r w:rsidRPr="009C1954">
        <w:t>Sirkin</w:t>
      </w:r>
      <w:proofErr w:type="spellEnd"/>
      <w:r w:rsidRPr="009C1954">
        <w:t xml:space="preserve">, Michael </w:t>
      </w:r>
      <w:proofErr w:type="spellStart"/>
      <w:r w:rsidRPr="009C1954">
        <w:t>Zinser</w:t>
      </w:r>
      <w:proofErr w:type="spellEnd"/>
      <w:r w:rsidRPr="009C1954">
        <w:t xml:space="preserve">, and Justin Rose, “The Shifting Economics of Global Manufacturing: How Cost Competitiveness </w:t>
      </w:r>
      <w:r>
        <w:t>Is</w:t>
      </w:r>
      <w:r w:rsidRPr="009C1954">
        <w:t xml:space="preserve"> Changing Worldwide,” </w:t>
      </w:r>
      <w:r>
        <w:t>The Boston Consulting Group</w:t>
      </w:r>
      <w:r w:rsidRPr="009C1954">
        <w:t>, August 9, 2014, accessed February 8, 2017, www.bcgperspectives.</w:t>
      </w:r>
      <w:bookmarkStart w:id="0" w:name="_GoBack"/>
      <w:bookmarkEnd w:id="0"/>
      <w:r w:rsidRPr="009C1954">
        <w:t>com/content/articles/lean_manufacturing_globalization_shifting_economics_global_manufacturing/.</w:t>
      </w:r>
    </w:p>
  </w:endnote>
  <w:endnote w:id="40">
    <w:p w14:paraId="75A4EE98" w14:textId="5CB6F86F" w:rsidR="00BE6496" w:rsidRPr="009C1954" w:rsidRDefault="00BE6496" w:rsidP="009C1954">
      <w:pPr>
        <w:pStyle w:val="Footnote"/>
      </w:pPr>
      <w:r w:rsidRPr="009C1954">
        <w:rPr>
          <w:rStyle w:val="EndnoteReference"/>
        </w:rPr>
        <w:endnoteRef/>
      </w:r>
      <w:r w:rsidRPr="009C1954">
        <w:t xml:space="preserve"> </w:t>
      </w:r>
      <w:r>
        <w:t>Deloitte</w:t>
      </w:r>
      <w:r w:rsidRPr="009A15EF">
        <w:rPr>
          <w:rFonts w:ascii="Verdana" w:hAnsi="Verdana"/>
          <w:color w:val="000000"/>
          <w:sz w:val="21"/>
          <w:szCs w:val="21"/>
          <w:shd w:val="clear" w:color="auto" w:fill="FFFFFF"/>
        </w:rPr>
        <w:t xml:space="preserve"> </w:t>
      </w:r>
      <w:proofErr w:type="spellStart"/>
      <w:r w:rsidRPr="000458FB">
        <w:t>Touche</w:t>
      </w:r>
      <w:proofErr w:type="spellEnd"/>
      <w:r w:rsidRPr="000458FB">
        <w:t xml:space="preserve"> Tohmatsu Limited</w:t>
      </w:r>
      <w:r>
        <w:t xml:space="preserve"> Global Consumer &amp; Industrial Products Industry Group and the Council and Competitiveness, </w:t>
      </w:r>
      <w:r w:rsidRPr="000458FB">
        <w:rPr>
          <w:rFonts w:eastAsiaTheme="minorEastAsia"/>
          <w:i/>
        </w:rPr>
        <w:t>Analysis: 2016 Global Manufacturing Competitiveness Index</w:t>
      </w:r>
      <w:r>
        <w:rPr>
          <w:rFonts w:eastAsiaTheme="minorEastAsia"/>
        </w:rPr>
        <w:t xml:space="preserve">, 2016, Deloitte, </w:t>
      </w:r>
      <w:r w:rsidRPr="009C1954">
        <w:rPr>
          <w:rFonts w:eastAsiaTheme="minorEastAsia"/>
        </w:rPr>
        <w:t>accessed February 10, 2017, https://www2.deloitte.com/us/en/pages/manufacturing/articles/global-manufacturing-competitiveness-index.html.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C2941" w14:textId="77777777" w:rsidR="00BE6496" w:rsidRDefault="00BE6496" w:rsidP="00D75295">
      <w:r>
        <w:separator/>
      </w:r>
    </w:p>
  </w:footnote>
  <w:footnote w:type="continuationSeparator" w:id="0">
    <w:p w14:paraId="4B79EF0E" w14:textId="77777777" w:rsidR="00BE6496" w:rsidRDefault="00BE649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12B6318" w:rsidR="00BE6496" w:rsidRPr="00C92CC4" w:rsidRDefault="00BE649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80175">
      <w:rPr>
        <w:rFonts w:ascii="Arial" w:hAnsi="Arial"/>
        <w:b/>
        <w:noProof/>
      </w:rPr>
      <w:t>14</w:t>
    </w:r>
    <w:r>
      <w:rPr>
        <w:rFonts w:ascii="Arial" w:hAnsi="Arial"/>
        <w:b/>
      </w:rPr>
      <w:fldChar w:fldCharType="end"/>
    </w:r>
    <w:r>
      <w:rPr>
        <w:rFonts w:ascii="Arial" w:hAnsi="Arial"/>
        <w:b/>
      </w:rPr>
      <w:tab/>
      <w:t>9B18M147</w:t>
    </w:r>
  </w:p>
  <w:p w14:paraId="2B53C0A0" w14:textId="77777777" w:rsidR="00BE6496" w:rsidRDefault="00BE6496" w:rsidP="00D13667">
    <w:pPr>
      <w:pStyle w:val="Header"/>
      <w:tabs>
        <w:tab w:val="clear" w:pos="4680"/>
      </w:tabs>
      <w:rPr>
        <w:sz w:val="18"/>
        <w:szCs w:val="18"/>
      </w:rPr>
    </w:pPr>
  </w:p>
  <w:p w14:paraId="47119730" w14:textId="77777777" w:rsidR="00BE6496" w:rsidRPr="00C92CC4" w:rsidRDefault="00BE649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D61D67"/>
    <w:multiLevelType w:val="hybridMultilevel"/>
    <w:tmpl w:val="85DCE2AC"/>
    <w:lvl w:ilvl="0" w:tplc="8F7E6BC2">
      <w:numFmt w:val="bullet"/>
      <w:lvlText w:val="-"/>
      <w:lvlJc w:val="left"/>
      <w:pPr>
        <w:ind w:left="833" w:hanging="360"/>
      </w:pPr>
      <w:rPr>
        <w:rFonts w:ascii="SimSun" w:eastAsia="SimSun" w:hAnsi="SimSun" w:hint="eastAsia"/>
      </w:rPr>
    </w:lvl>
    <w:lvl w:ilvl="1" w:tplc="04090003">
      <w:start w:val="1"/>
      <w:numFmt w:val="bullet"/>
      <w:lvlText w:val=""/>
      <w:lvlJc w:val="left"/>
      <w:pPr>
        <w:ind w:left="1313" w:hanging="420"/>
      </w:pPr>
      <w:rPr>
        <w:rFonts w:ascii="Wingdings" w:hAnsi="Wingdings" w:hint="default"/>
      </w:rPr>
    </w:lvl>
    <w:lvl w:ilvl="2" w:tplc="04090005">
      <w:start w:val="1"/>
      <w:numFmt w:val="bullet"/>
      <w:lvlText w:val=""/>
      <w:lvlJc w:val="left"/>
      <w:pPr>
        <w:ind w:left="1733" w:hanging="420"/>
      </w:pPr>
      <w:rPr>
        <w:rFonts w:ascii="Wingdings" w:hAnsi="Wingdings" w:hint="default"/>
      </w:rPr>
    </w:lvl>
    <w:lvl w:ilvl="3" w:tplc="04090001">
      <w:start w:val="1"/>
      <w:numFmt w:val="bullet"/>
      <w:lvlText w:val=""/>
      <w:lvlJc w:val="left"/>
      <w:pPr>
        <w:ind w:left="2153" w:hanging="420"/>
      </w:pPr>
      <w:rPr>
        <w:rFonts w:ascii="Wingdings" w:hAnsi="Wingdings" w:hint="default"/>
      </w:rPr>
    </w:lvl>
    <w:lvl w:ilvl="4" w:tplc="04090003">
      <w:start w:val="1"/>
      <w:numFmt w:val="bullet"/>
      <w:lvlText w:val=""/>
      <w:lvlJc w:val="left"/>
      <w:pPr>
        <w:ind w:left="2573" w:hanging="420"/>
      </w:pPr>
      <w:rPr>
        <w:rFonts w:ascii="Wingdings" w:hAnsi="Wingdings" w:hint="default"/>
      </w:rPr>
    </w:lvl>
    <w:lvl w:ilvl="5" w:tplc="04090005">
      <w:start w:val="1"/>
      <w:numFmt w:val="bullet"/>
      <w:lvlText w:val=""/>
      <w:lvlJc w:val="left"/>
      <w:pPr>
        <w:ind w:left="2993" w:hanging="420"/>
      </w:pPr>
      <w:rPr>
        <w:rFonts w:ascii="Wingdings" w:hAnsi="Wingdings" w:hint="default"/>
      </w:rPr>
    </w:lvl>
    <w:lvl w:ilvl="6" w:tplc="04090001">
      <w:start w:val="1"/>
      <w:numFmt w:val="bullet"/>
      <w:lvlText w:val=""/>
      <w:lvlJc w:val="left"/>
      <w:pPr>
        <w:ind w:left="3413" w:hanging="420"/>
      </w:pPr>
      <w:rPr>
        <w:rFonts w:ascii="Wingdings" w:hAnsi="Wingdings" w:hint="default"/>
      </w:rPr>
    </w:lvl>
    <w:lvl w:ilvl="7" w:tplc="04090003">
      <w:start w:val="1"/>
      <w:numFmt w:val="bullet"/>
      <w:lvlText w:val=""/>
      <w:lvlJc w:val="left"/>
      <w:pPr>
        <w:ind w:left="3833" w:hanging="420"/>
      </w:pPr>
      <w:rPr>
        <w:rFonts w:ascii="Wingdings" w:hAnsi="Wingdings" w:hint="default"/>
      </w:rPr>
    </w:lvl>
    <w:lvl w:ilvl="8" w:tplc="04090005">
      <w:start w:val="1"/>
      <w:numFmt w:val="bullet"/>
      <w:lvlText w:val=""/>
      <w:lvlJc w:val="left"/>
      <w:pPr>
        <w:ind w:left="4253" w:hanging="420"/>
      </w:pPr>
      <w:rPr>
        <w:rFonts w:ascii="Wingdings" w:hAnsi="Wingdings" w:hint="default"/>
      </w:rPr>
    </w:lvl>
  </w:abstractNum>
  <w:abstractNum w:abstractNumId="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A624F7"/>
    <w:multiLevelType w:val="hybridMultilevel"/>
    <w:tmpl w:val="C6287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
  </w:num>
  <w:num w:numId="4">
    <w:abstractNumId w:val="7"/>
  </w:num>
  <w:num w:numId="5">
    <w:abstractNumId w:val="2"/>
  </w:num>
  <w:num w:numId="6">
    <w:abstractNumId w:val="5"/>
  </w:num>
  <w:num w:numId="7">
    <w:abstractNumId w:val="0"/>
  </w:num>
  <w:num w:numId="8">
    <w:abstractNumId w:val="4"/>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CC5"/>
    <w:rsid w:val="00013360"/>
    <w:rsid w:val="000162B8"/>
    <w:rsid w:val="00016759"/>
    <w:rsid w:val="000216CE"/>
    <w:rsid w:val="00024ED4"/>
    <w:rsid w:val="00025DC7"/>
    <w:rsid w:val="00033D75"/>
    <w:rsid w:val="00035F09"/>
    <w:rsid w:val="00044ECC"/>
    <w:rsid w:val="000458FB"/>
    <w:rsid w:val="000531D3"/>
    <w:rsid w:val="0005646B"/>
    <w:rsid w:val="0005739F"/>
    <w:rsid w:val="0007380A"/>
    <w:rsid w:val="0008102D"/>
    <w:rsid w:val="00085B62"/>
    <w:rsid w:val="00086B26"/>
    <w:rsid w:val="00094C0E"/>
    <w:rsid w:val="000959DF"/>
    <w:rsid w:val="000A146D"/>
    <w:rsid w:val="000B156B"/>
    <w:rsid w:val="000B6B07"/>
    <w:rsid w:val="000D48FA"/>
    <w:rsid w:val="000D7091"/>
    <w:rsid w:val="000E5D1D"/>
    <w:rsid w:val="000F0C22"/>
    <w:rsid w:val="000F6B09"/>
    <w:rsid w:val="000F6FDC"/>
    <w:rsid w:val="001039B3"/>
    <w:rsid w:val="00104567"/>
    <w:rsid w:val="00104916"/>
    <w:rsid w:val="00104AA7"/>
    <w:rsid w:val="00122DFC"/>
    <w:rsid w:val="0012732D"/>
    <w:rsid w:val="00143F25"/>
    <w:rsid w:val="00152682"/>
    <w:rsid w:val="00154FC9"/>
    <w:rsid w:val="00167578"/>
    <w:rsid w:val="00182ED4"/>
    <w:rsid w:val="00183011"/>
    <w:rsid w:val="0019241A"/>
    <w:rsid w:val="00192A18"/>
    <w:rsid w:val="001964D6"/>
    <w:rsid w:val="001A22D1"/>
    <w:rsid w:val="001A27E5"/>
    <w:rsid w:val="001A752D"/>
    <w:rsid w:val="001A757E"/>
    <w:rsid w:val="001B5032"/>
    <w:rsid w:val="001C7777"/>
    <w:rsid w:val="001D344B"/>
    <w:rsid w:val="001D6FAF"/>
    <w:rsid w:val="001E364F"/>
    <w:rsid w:val="001F4222"/>
    <w:rsid w:val="001F4C49"/>
    <w:rsid w:val="00203AA1"/>
    <w:rsid w:val="002122E5"/>
    <w:rsid w:val="00213E98"/>
    <w:rsid w:val="00215AEA"/>
    <w:rsid w:val="0023081A"/>
    <w:rsid w:val="00232CF7"/>
    <w:rsid w:val="00233111"/>
    <w:rsid w:val="00236F79"/>
    <w:rsid w:val="00243AFA"/>
    <w:rsid w:val="002455EF"/>
    <w:rsid w:val="0024623D"/>
    <w:rsid w:val="00254E2A"/>
    <w:rsid w:val="00265FA8"/>
    <w:rsid w:val="00267FD6"/>
    <w:rsid w:val="00271744"/>
    <w:rsid w:val="00271A22"/>
    <w:rsid w:val="00280175"/>
    <w:rsid w:val="00290D08"/>
    <w:rsid w:val="00291D3F"/>
    <w:rsid w:val="002937C6"/>
    <w:rsid w:val="002C1B10"/>
    <w:rsid w:val="002C2F8B"/>
    <w:rsid w:val="002C4E29"/>
    <w:rsid w:val="002D5BAA"/>
    <w:rsid w:val="002D7DA7"/>
    <w:rsid w:val="002F460C"/>
    <w:rsid w:val="002F48D6"/>
    <w:rsid w:val="00301434"/>
    <w:rsid w:val="00313AD3"/>
    <w:rsid w:val="00317391"/>
    <w:rsid w:val="00326216"/>
    <w:rsid w:val="00327DE1"/>
    <w:rsid w:val="003306FF"/>
    <w:rsid w:val="00332DFE"/>
    <w:rsid w:val="00336580"/>
    <w:rsid w:val="00342507"/>
    <w:rsid w:val="00354899"/>
    <w:rsid w:val="00355FD6"/>
    <w:rsid w:val="00364A5C"/>
    <w:rsid w:val="00373FB1"/>
    <w:rsid w:val="00396C76"/>
    <w:rsid w:val="003B30D8"/>
    <w:rsid w:val="003B4B88"/>
    <w:rsid w:val="003B7EF2"/>
    <w:rsid w:val="003C3FA4"/>
    <w:rsid w:val="003D0BA1"/>
    <w:rsid w:val="003D1835"/>
    <w:rsid w:val="003E5016"/>
    <w:rsid w:val="003F2B0C"/>
    <w:rsid w:val="003F404F"/>
    <w:rsid w:val="004105B2"/>
    <w:rsid w:val="00412900"/>
    <w:rsid w:val="004221E4"/>
    <w:rsid w:val="004273F8"/>
    <w:rsid w:val="004355A3"/>
    <w:rsid w:val="00437302"/>
    <w:rsid w:val="00445D95"/>
    <w:rsid w:val="00446546"/>
    <w:rsid w:val="00446A73"/>
    <w:rsid w:val="00452769"/>
    <w:rsid w:val="00453458"/>
    <w:rsid w:val="00454FA7"/>
    <w:rsid w:val="004568C0"/>
    <w:rsid w:val="00465348"/>
    <w:rsid w:val="004737CA"/>
    <w:rsid w:val="00474DF4"/>
    <w:rsid w:val="0048217A"/>
    <w:rsid w:val="0048346B"/>
    <w:rsid w:val="00496074"/>
    <w:rsid w:val="004979A5"/>
    <w:rsid w:val="004A1DB5"/>
    <w:rsid w:val="004B1CCB"/>
    <w:rsid w:val="004B632F"/>
    <w:rsid w:val="004B63A8"/>
    <w:rsid w:val="004D3FB1"/>
    <w:rsid w:val="004D6F21"/>
    <w:rsid w:val="004D73A5"/>
    <w:rsid w:val="004D7A65"/>
    <w:rsid w:val="004E57CB"/>
    <w:rsid w:val="004E623A"/>
    <w:rsid w:val="004E75C5"/>
    <w:rsid w:val="005160F1"/>
    <w:rsid w:val="005173E7"/>
    <w:rsid w:val="00517789"/>
    <w:rsid w:val="00524F2F"/>
    <w:rsid w:val="00527E5C"/>
    <w:rsid w:val="00532CF5"/>
    <w:rsid w:val="005476AC"/>
    <w:rsid w:val="005528CB"/>
    <w:rsid w:val="00554488"/>
    <w:rsid w:val="00566771"/>
    <w:rsid w:val="005668BA"/>
    <w:rsid w:val="00566A45"/>
    <w:rsid w:val="00571D76"/>
    <w:rsid w:val="00572706"/>
    <w:rsid w:val="005772FD"/>
    <w:rsid w:val="00580036"/>
    <w:rsid w:val="00581E2E"/>
    <w:rsid w:val="00584F15"/>
    <w:rsid w:val="0059514B"/>
    <w:rsid w:val="005A1B0F"/>
    <w:rsid w:val="005E4FB3"/>
    <w:rsid w:val="005E5398"/>
    <w:rsid w:val="00600B85"/>
    <w:rsid w:val="0060258B"/>
    <w:rsid w:val="00607639"/>
    <w:rsid w:val="006163F7"/>
    <w:rsid w:val="00627C63"/>
    <w:rsid w:val="00631C91"/>
    <w:rsid w:val="0063350B"/>
    <w:rsid w:val="00652606"/>
    <w:rsid w:val="006559C0"/>
    <w:rsid w:val="00672CD4"/>
    <w:rsid w:val="00692504"/>
    <w:rsid w:val="006946EE"/>
    <w:rsid w:val="006A58A9"/>
    <w:rsid w:val="006A606D"/>
    <w:rsid w:val="006B1FF2"/>
    <w:rsid w:val="006C0371"/>
    <w:rsid w:val="006C08B6"/>
    <w:rsid w:val="006C0B1A"/>
    <w:rsid w:val="006C599B"/>
    <w:rsid w:val="006C6065"/>
    <w:rsid w:val="006C7F9F"/>
    <w:rsid w:val="006D01CF"/>
    <w:rsid w:val="006E0B47"/>
    <w:rsid w:val="006E2F6D"/>
    <w:rsid w:val="006E58F6"/>
    <w:rsid w:val="006E77E1"/>
    <w:rsid w:val="006F131D"/>
    <w:rsid w:val="006F72DA"/>
    <w:rsid w:val="00707849"/>
    <w:rsid w:val="00711642"/>
    <w:rsid w:val="007202C1"/>
    <w:rsid w:val="007228E3"/>
    <w:rsid w:val="00735630"/>
    <w:rsid w:val="007443E7"/>
    <w:rsid w:val="007507C6"/>
    <w:rsid w:val="00751E0B"/>
    <w:rsid w:val="00752BCD"/>
    <w:rsid w:val="00764077"/>
    <w:rsid w:val="00766DA1"/>
    <w:rsid w:val="00770F99"/>
    <w:rsid w:val="007765C8"/>
    <w:rsid w:val="00780D94"/>
    <w:rsid w:val="007816DA"/>
    <w:rsid w:val="007866A6"/>
    <w:rsid w:val="007A130D"/>
    <w:rsid w:val="007B4965"/>
    <w:rsid w:val="007B4D7C"/>
    <w:rsid w:val="007C4FB7"/>
    <w:rsid w:val="007D1A2D"/>
    <w:rsid w:val="007D4102"/>
    <w:rsid w:val="007E54A7"/>
    <w:rsid w:val="007F1177"/>
    <w:rsid w:val="007F43B7"/>
    <w:rsid w:val="00802B95"/>
    <w:rsid w:val="00806D88"/>
    <w:rsid w:val="00812158"/>
    <w:rsid w:val="00821FFC"/>
    <w:rsid w:val="008271CA"/>
    <w:rsid w:val="00835690"/>
    <w:rsid w:val="00846389"/>
    <w:rsid w:val="008467D5"/>
    <w:rsid w:val="00850666"/>
    <w:rsid w:val="00851B7D"/>
    <w:rsid w:val="008772D4"/>
    <w:rsid w:val="00884BAD"/>
    <w:rsid w:val="00893505"/>
    <w:rsid w:val="008A2B77"/>
    <w:rsid w:val="008A4DC4"/>
    <w:rsid w:val="008B1B2D"/>
    <w:rsid w:val="008B2F72"/>
    <w:rsid w:val="008B438C"/>
    <w:rsid w:val="008C05E4"/>
    <w:rsid w:val="008D06CA"/>
    <w:rsid w:val="008D33FF"/>
    <w:rsid w:val="008D3A46"/>
    <w:rsid w:val="008D7735"/>
    <w:rsid w:val="008E3273"/>
    <w:rsid w:val="008F2385"/>
    <w:rsid w:val="008F27FC"/>
    <w:rsid w:val="008F2BE2"/>
    <w:rsid w:val="009067A4"/>
    <w:rsid w:val="00914CA0"/>
    <w:rsid w:val="00930885"/>
    <w:rsid w:val="00933504"/>
    <w:rsid w:val="00933D68"/>
    <w:rsid w:val="009340DB"/>
    <w:rsid w:val="00941D8B"/>
    <w:rsid w:val="0094618C"/>
    <w:rsid w:val="009545D5"/>
    <w:rsid w:val="00955467"/>
    <w:rsid w:val="0095684B"/>
    <w:rsid w:val="00972498"/>
    <w:rsid w:val="0097481F"/>
    <w:rsid w:val="00974CC6"/>
    <w:rsid w:val="00976AD4"/>
    <w:rsid w:val="00995547"/>
    <w:rsid w:val="009A15EF"/>
    <w:rsid w:val="009A312F"/>
    <w:rsid w:val="009A5348"/>
    <w:rsid w:val="009B0AB7"/>
    <w:rsid w:val="009B5E19"/>
    <w:rsid w:val="009C1954"/>
    <w:rsid w:val="009C757A"/>
    <w:rsid w:val="009C76D5"/>
    <w:rsid w:val="009D7C3C"/>
    <w:rsid w:val="009F7AA4"/>
    <w:rsid w:val="00A10AD7"/>
    <w:rsid w:val="00A12EB5"/>
    <w:rsid w:val="00A24141"/>
    <w:rsid w:val="00A2574A"/>
    <w:rsid w:val="00A449BB"/>
    <w:rsid w:val="00A559DB"/>
    <w:rsid w:val="00A569EA"/>
    <w:rsid w:val="00A60E12"/>
    <w:rsid w:val="00A60F22"/>
    <w:rsid w:val="00A61EC5"/>
    <w:rsid w:val="00A676A0"/>
    <w:rsid w:val="00A80D93"/>
    <w:rsid w:val="00AC13F1"/>
    <w:rsid w:val="00AC2340"/>
    <w:rsid w:val="00AD402D"/>
    <w:rsid w:val="00AD628E"/>
    <w:rsid w:val="00AF35FC"/>
    <w:rsid w:val="00AF5556"/>
    <w:rsid w:val="00B03639"/>
    <w:rsid w:val="00B0652A"/>
    <w:rsid w:val="00B15A2E"/>
    <w:rsid w:val="00B24453"/>
    <w:rsid w:val="00B256AD"/>
    <w:rsid w:val="00B30221"/>
    <w:rsid w:val="00B40937"/>
    <w:rsid w:val="00B423EF"/>
    <w:rsid w:val="00B453DE"/>
    <w:rsid w:val="00B52443"/>
    <w:rsid w:val="00B72597"/>
    <w:rsid w:val="00B901F9"/>
    <w:rsid w:val="00BA52D0"/>
    <w:rsid w:val="00BA59BB"/>
    <w:rsid w:val="00BC4D98"/>
    <w:rsid w:val="00BD6EFB"/>
    <w:rsid w:val="00BE6496"/>
    <w:rsid w:val="00BF2E2F"/>
    <w:rsid w:val="00BF5EAB"/>
    <w:rsid w:val="00BF6DAE"/>
    <w:rsid w:val="00C02410"/>
    <w:rsid w:val="00C06350"/>
    <w:rsid w:val="00C07993"/>
    <w:rsid w:val="00C1584D"/>
    <w:rsid w:val="00C15BE2"/>
    <w:rsid w:val="00C3447F"/>
    <w:rsid w:val="00C41F10"/>
    <w:rsid w:val="00C44714"/>
    <w:rsid w:val="00C46A07"/>
    <w:rsid w:val="00C67102"/>
    <w:rsid w:val="00C813BB"/>
    <w:rsid w:val="00C81491"/>
    <w:rsid w:val="00C81676"/>
    <w:rsid w:val="00C85C5D"/>
    <w:rsid w:val="00C92CC4"/>
    <w:rsid w:val="00C93141"/>
    <w:rsid w:val="00CA0AFB"/>
    <w:rsid w:val="00CA0F9E"/>
    <w:rsid w:val="00CA2CE1"/>
    <w:rsid w:val="00CA3976"/>
    <w:rsid w:val="00CA4584"/>
    <w:rsid w:val="00CA50E3"/>
    <w:rsid w:val="00CA54E2"/>
    <w:rsid w:val="00CA757B"/>
    <w:rsid w:val="00CC1787"/>
    <w:rsid w:val="00CC182C"/>
    <w:rsid w:val="00CD0824"/>
    <w:rsid w:val="00CD2908"/>
    <w:rsid w:val="00CF5D68"/>
    <w:rsid w:val="00D0306C"/>
    <w:rsid w:val="00D03A82"/>
    <w:rsid w:val="00D06D9E"/>
    <w:rsid w:val="00D13667"/>
    <w:rsid w:val="00D15344"/>
    <w:rsid w:val="00D23F57"/>
    <w:rsid w:val="00D31BEC"/>
    <w:rsid w:val="00D53084"/>
    <w:rsid w:val="00D62EED"/>
    <w:rsid w:val="00D63150"/>
    <w:rsid w:val="00D636BA"/>
    <w:rsid w:val="00D64A32"/>
    <w:rsid w:val="00D64EFC"/>
    <w:rsid w:val="00D75295"/>
    <w:rsid w:val="00D76CE9"/>
    <w:rsid w:val="00D80116"/>
    <w:rsid w:val="00D80A87"/>
    <w:rsid w:val="00D9089E"/>
    <w:rsid w:val="00D97DA1"/>
    <w:rsid w:val="00D97F12"/>
    <w:rsid w:val="00DA6095"/>
    <w:rsid w:val="00DB28B1"/>
    <w:rsid w:val="00DB42E7"/>
    <w:rsid w:val="00DC09D8"/>
    <w:rsid w:val="00DD4FE9"/>
    <w:rsid w:val="00DD5B9E"/>
    <w:rsid w:val="00DD684F"/>
    <w:rsid w:val="00DE01A6"/>
    <w:rsid w:val="00DE7A98"/>
    <w:rsid w:val="00DF32C2"/>
    <w:rsid w:val="00E471A7"/>
    <w:rsid w:val="00E635CF"/>
    <w:rsid w:val="00E7170C"/>
    <w:rsid w:val="00E722E5"/>
    <w:rsid w:val="00E74774"/>
    <w:rsid w:val="00E9179C"/>
    <w:rsid w:val="00EA0837"/>
    <w:rsid w:val="00EA52E6"/>
    <w:rsid w:val="00EC5CC6"/>
    <w:rsid w:val="00EC6E0A"/>
    <w:rsid w:val="00ED4E18"/>
    <w:rsid w:val="00ED7922"/>
    <w:rsid w:val="00EE02C4"/>
    <w:rsid w:val="00EE1F37"/>
    <w:rsid w:val="00EF184A"/>
    <w:rsid w:val="00EF7230"/>
    <w:rsid w:val="00F0159C"/>
    <w:rsid w:val="00F06A20"/>
    <w:rsid w:val="00F105B7"/>
    <w:rsid w:val="00F13220"/>
    <w:rsid w:val="00F17A21"/>
    <w:rsid w:val="00F23AE3"/>
    <w:rsid w:val="00F3484F"/>
    <w:rsid w:val="00F34ECA"/>
    <w:rsid w:val="00F36589"/>
    <w:rsid w:val="00F37B27"/>
    <w:rsid w:val="00F42257"/>
    <w:rsid w:val="00F46556"/>
    <w:rsid w:val="00F50E91"/>
    <w:rsid w:val="00F53ABB"/>
    <w:rsid w:val="00F57D29"/>
    <w:rsid w:val="00F60786"/>
    <w:rsid w:val="00F70DA3"/>
    <w:rsid w:val="00F91BC7"/>
    <w:rsid w:val="00F96201"/>
    <w:rsid w:val="00FA3319"/>
    <w:rsid w:val="00FA75B7"/>
    <w:rsid w:val="00FC2806"/>
    <w:rsid w:val="00FD0B18"/>
    <w:rsid w:val="00FD2FAD"/>
    <w:rsid w:val="00FE512F"/>
    <w:rsid w:val="00FE714F"/>
    <w:rsid w:val="00FF6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7BD46F28-065F-4403-B645-8B9FB039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qFormat/>
    <w:rsid w:val="006C0B1A"/>
  </w:style>
  <w:style w:type="character" w:customStyle="1" w:styleId="FootnoteTextChar">
    <w:name w:val="Footnote Text Char"/>
    <w:basedOn w:val="DefaultParagraphFont"/>
    <w:link w:val="FootnoteText"/>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ListParagraphChar">
    <w:name w:val="List Paragraph Char"/>
    <w:basedOn w:val="DefaultParagraphFont"/>
    <w:link w:val="ListParagraph"/>
    <w:uiPriority w:val="34"/>
    <w:rsid w:val="009C1954"/>
    <w:rPr>
      <w:rFonts w:ascii="Times New Roman" w:eastAsia="Calibri" w:hAnsi="Times New Roman" w:cs="Times New Roman"/>
    </w:rPr>
  </w:style>
  <w:style w:type="paragraph" w:styleId="Subtitle">
    <w:name w:val="Subtitle"/>
    <w:next w:val="Heading1"/>
    <w:link w:val="SubtitleChar"/>
    <w:autoRedefine/>
    <w:uiPriority w:val="11"/>
    <w:qFormat/>
    <w:rsid w:val="002455EF"/>
    <w:pPr>
      <w:keepNext/>
      <w:keepLines/>
      <w:spacing w:after="0" w:line="240" w:lineRule="auto"/>
      <w:jc w:val="center"/>
    </w:pPr>
    <w:rPr>
      <w:rFonts w:ascii="Arial" w:eastAsiaTheme="majorEastAsia" w:hAnsi="Arial" w:cs="Arial"/>
      <w:b/>
      <w:kern w:val="2"/>
      <w:sz w:val="28"/>
      <w:szCs w:val="36"/>
      <w:lang w:eastAsia="zh-CN"/>
    </w:rPr>
  </w:style>
  <w:style w:type="character" w:customStyle="1" w:styleId="SubtitleChar">
    <w:name w:val="Subtitle Char"/>
    <w:basedOn w:val="DefaultParagraphFont"/>
    <w:link w:val="Subtitle"/>
    <w:uiPriority w:val="11"/>
    <w:rsid w:val="002455EF"/>
    <w:rPr>
      <w:rFonts w:ascii="Arial" w:eastAsiaTheme="majorEastAsia" w:hAnsi="Arial" w:cs="Arial"/>
      <w:b/>
      <w:kern w:val="2"/>
      <w:sz w:val="28"/>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henzhouintl.com/Login/report3/dow/Shenzhou_B_AR%20(fin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enzhouintl.com/Login/report3/dow/ew_02313AR-250320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cases@ivey.ca"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www.shenzhouintl.com/Login/report3/dow/ew_02313AR-25032015.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zliman\Documents\CEIBS\!!%20Case%20writing-Liman%20Zhao\Improvement\Ivey\10.%20Shenzhou%20International%20Group\Tab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zliman\Documents\CEIBS\!!%20Case%20writing-Liman%20Zhao\Improvement\Ivey\10.%20Shenzhou%20International%20Group\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2012</c:v>
                </c:pt>
              </c:strCache>
            </c:strRef>
          </c:tx>
          <c:invertIfNegative val="0"/>
          <c:dLbls>
            <c:spPr>
              <a:noFill/>
              <a:ln>
                <a:noFill/>
              </a:ln>
              <a:effectLst/>
            </c:spPr>
            <c:txPr>
              <a:bodyPr/>
              <a:lstStyle/>
              <a:p>
                <a:pPr>
                  <a:defRPr sz="8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Sheet1!$A$2:$A$11</c:f>
              <c:strCache>
                <c:ptCount val="10"/>
                <c:pt idx="0">
                  <c:v>Global Average</c:v>
                </c:pt>
                <c:pt idx="1">
                  <c:v>India</c:v>
                </c:pt>
                <c:pt idx="2">
                  <c:v>China</c:v>
                </c:pt>
                <c:pt idx="3">
                  <c:v>Brazil</c:v>
                </c:pt>
                <c:pt idx="4">
                  <c:v>Russia</c:v>
                </c:pt>
                <c:pt idx="5">
                  <c:v>EU</c:v>
                </c:pt>
                <c:pt idx="6">
                  <c:v>US</c:v>
                </c:pt>
                <c:pt idx="7">
                  <c:v>Canada</c:v>
                </c:pt>
                <c:pt idx="8">
                  <c:v>Japan</c:v>
                </c:pt>
                <c:pt idx="9">
                  <c:v>Australia</c:v>
                </c:pt>
              </c:strCache>
            </c:strRef>
          </c:cat>
          <c:val>
            <c:numRef>
              <c:f>Sheet1!$B$2:$B$11</c:f>
              <c:numCache>
                <c:formatCode>General</c:formatCode>
                <c:ptCount val="10"/>
                <c:pt idx="0">
                  <c:v>153</c:v>
                </c:pt>
                <c:pt idx="1">
                  <c:v>36</c:v>
                </c:pt>
                <c:pt idx="2">
                  <c:v>109</c:v>
                </c:pt>
                <c:pt idx="3">
                  <c:v>272</c:v>
                </c:pt>
                <c:pt idx="4">
                  <c:v>273</c:v>
                </c:pt>
                <c:pt idx="5">
                  <c:v>663</c:v>
                </c:pt>
                <c:pt idx="6">
                  <c:v>686</c:v>
                </c:pt>
                <c:pt idx="7">
                  <c:v>814</c:v>
                </c:pt>
                <c:pt idx="8">
                  <c:v>831</c:v>
                </c:pt>
                <c:pt idx="9" formatCode="#,##0">
                  <c:v>1050</c:v>
                </c:pt>
              </c:numCache>
            </c:numRef>
          </c:val>
          <c:extLst xmlns:c16r2="http://schemas.microsoft.com/office/drawing/2015/06/chart">
            <c:ext xmlns:c16="http://schemas.microsoft.com/office/drawing/2014/chart" uri="{C3380CC4-5D6E-409C-BE32-E72D297353CC}">
              <c16:uniqueId val="{00000000-0079-4F6E-8966-527FA599170D}"/>
            </c:ext>
          </c:extLst>
        </c:ser>
        <c:ser>
          <c:idx val="1"/>
          <c:order val="1"/>
          <c:tx>
            <c:strRef>
              <c:f>Sheet1!$C$1</c:f>
              <c:strCache>
                <c:ptCount val="1"/>
                <c:pt idx="0">
                  <c:v>2025</c:v>
                </c:pt>
              </c:strCache>
            </c:strRef>
          </c:tx>
          <c:invertIfNegative val="0"/>
          <c:dLbls>
            <c:spPr>
              <a:noFill/>
              <a:ln>
                <a:noFill/>
              </a:ln>
              <a:effectLst/>
            </c:spPr>
            <c:txPr>
              <a:bodyPr/>
              <a:lstStyle/>
              <a:p>
                <a:pPr>
                  <a:defRPr sz="8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0"/>
              </c:ext>
            </c:extLst>
          </c:dLbls>
          <c:cat>
            <c:strRef>
              <c:f>Sheet1!$A$2:$A$11</c:f>
              <c:strCache>
                <c:ptCount val="10"/>
                <c:pt idx="0">
                  <c:v>Global Average</c:v>
                </c:pt>
                <c:pt idx="1">
                  <c:v>India</c:v>
                </c:pt>
                <c:pt idx="2">
                  <c:v>China</c:v>
                </c:pt>
                <c:pt idx="3">
                  <c:v>Brazil</c:v>
                </c:pt>
                <c:pt idx="4">
                  <c:v>Russia</c:v>
                </c:pt>
                <c:pt idx="5">
                  <c:v>EU</c:v>
                </c:pt>
                <c:pt idx="6">
                  <c:v>US</c:v>
                </c:pt>
                <c:pt idx="7">
                  <c:v>Canada</c:v>
                </c:pt>
                <c:pt idx="8">
                  <c:v>Japan</c:v>
                </c:pt>
                <c:pt idx="9">
                  <c:v>Australia</c:v>
                </c:pt>
              </c:strCache>
            </c:strRef>
          </c:cat>
          <c:val>
            <c:numRef>
              <c:f>Sheet1!$C$2:$C$11</c:f>
              <c:numCache>
                <c:formatCode>General</c:formatCode>
                <c:ptCount val="10"/>
                <c:pt idx="0">
                  <c:v>247</c:v>
                </c:pt>
                <c:pt idx="1">
                  <c:v>138</c:v>
                </c:pt>
                <c:pt idx="2">
                  <c:v>377</c:v>
                </c:pt>
                <c:pt idx="3">
                  <c:v>454</c:v>
                </c:pt>
                <c:pt idx="4">
                  <c:v>740</c:v>
                </c:pt>
                <c:pt idx="5">
                  <c:v>781</c:v>
                </c:pt>
                <c:pt idx="6">
                  <c:v>804</c:v>
                </c:pt>
                <c:pt idx="7" formatCode="#,##0">
                  <c:v>1080</c:v>
                </c:pt>
                <c:pt idx="8" formatCode="#,##0">
                  <c:v>1221</c:v>
                </c:pt>
                <c:pt idx="9" formatCode="#,##0">
                  <c:v>1643</c:v>
                </c:pt>
              </c:numCache>
            </c:numRef>
          </c:val>
          <c:extLst xmlns:c16r2="http://schemas.microsoft.com/office/drawing/2015/06/chart">
            <c:ext xmlns:c16="http://schemas.microsoft.com/office/drawing/2014/chart" uri="{C3380CC4-5D6E-409C-BE32-E72D297353CC}">
              <c16:uniqueId val="{00000001-0079-4F6E-8966-527FA599170D}"/>
            </c:ext>
          </c:extLst>
        </c:ser>
        <c:dLbls>
          <c:showLegendKey val="0"/>
          <c:showVal val="0"/>
          <c:showCatName val="0"/>
          <c:showSerName val="0"/>
          <c:showPercent val="0"/>
          <c:showBubbleSize val="0"/>
        </c:dLbls>
        <c:gapWidth val="150"/>
        <c:axId val="206045144"/>
        <c:axId val="206045536"/>
      </c:barChart>
      <c:catAx>
        <c:axId val="206045144"/>
        <c:scaling>
          <c:orientation val="minMax"/>
        </c:scaling>
        <c:delete val="0"/>
        <c:axPos val="b"/>
        <c:numFmt formatCode="General" sourceLinked="0"/>
        <c:majorTickMark val="out"/>
        <c:minorTickMark val="none"/>
        <c:tickLblPos val="nextTo"/>
        <c:txPr>
          <a:bodyPr/>
          <a:lstStyle/>
          <a:p>
            <a:pPr>
              <a:defRPr sz="800">
                <a:latin typeface="Arial" panose="020B0604020202020204" pitchFamily="34" charset="0"/>
                <a:cs typeface="Arial" panose="020B0604020202020204" pitchFamily="34" charset="0"/>
              </a:defRPr>
            </a:pPr>
            <a:endParaRPr lang="en-US"/>
          </a:p>
        </c:txPr>
        <c:crossAx val="206045536"/>
        <c:crosses val="autoZero"/>
        <c:auto val="1"/>
        <c:lblAlgn val="ctr"/>
        <c:lblOffset val="100"/>
        <c:noMultiLvlLbl val="0"/>
      </c:catAx>
      <c:valAx>
        <c:axId val="206045536"/>
        <c:scaling>
          <c:orientation val="minMax"/>
        </c:scaling>
        <c:delete val="0"/>
        <c:axPos val="l"/>
        <c:majorGridlines/>
        <c:numFmt formatCode="#,##0_);[Red]\(#,##0\)" sourceLinked="0"/>
        <c:majorTickMark val="out"/>
        <c:minorTickMark val="none"/>
        <c:tickLblPos val="nextTo"/>
        <c:txPr>
          <a:bodyPr/>
          <a:lstStyle/>
          <a:p>
            <a:pPr>
              <a:defRPr sz="800">
                <a:latin typeface="Arial" panose="020B0604020202020204" pitchFamily="34" charset="0"/>
                <a:cs typeface="Arial" panose="020B0604020202020204" pitchFamily="34" charset="0"/>
              </a:defRPr>
            </a:pPr>
            <a:endParaRPr lang="en-US"/>
          </a:p>
        </c:txPr>
        <c:crossAx val="206045144"/>
        <c:crosses val="autoZero"/>
        <c:crossBetween val="between"/>
      </c:valAx>
    </c:plotArea>
    <c:legend>
      <c:legendPos val="b"/>
      <c:layout/>
      <c:overlay val="0"/>
      <c:txPr>
        <a:bodyPr/>
        <a:lstStyle/>
        <a:p>
          <a:pPr>
            <a:defRPr sz="800">
              <a:latin typeface="Arial" panose="020B0604020202020204" pitchFamily="34" charset="0"/>
              <a:cs typeface="Arial" panose="020B0604020202020204" pitchFamily="34" charset="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Sheet2!$B$1</c:f>
              <c:strCache>
                <c:ptCount val="1"/>
                <c:pt idx="0">
                  <c:v>Other</c:v>
                </c:pt>
              </c:strCache>
            </c:strRef>
          </c:tx>
          <c:spPr>
            <a:solidFill>
              <a:schemeClr val="dk1">
                <a:tint val="88500"/>
              </a:schemeClr>
            </a:solidFill>
            <a:ln>
              <a:noFill/>
            </a:ln>
            <a:effectLst/>
          </c:spPr>
          <c:invertIfNegative val="0"/>
          <c:cat>
            <c:strRef>
              <c:f>Sheet2!$A$2:$A$26</c:f>
              <c:strCache>
                <c:ptCount val="25"/>
                <c:pt idx="0">
                  <c:v>China</c:v>
                </c:pt>
                <c:pt idx="1">
                  <c:v>Germany</c:v>
                </c:pt>
                <c:pt idx="2">
                  <c:v>US</c:v>
                </c:pt>
                <c:pt idx="3">
                  <c:v>Japan</c:v>
                </c:pt>
                <c:pt idx="4">
                  <c:v>South Korea</c:v>
                </c:pt>
                <c:pt idx="5">
                  <c:v>France</c:v>
                </c:pt>
                <c:pt idx="6">
                  <c:v>Italy</c:v>
                </c:pt>
                <c:pt idx="7">
                  <c:v>Netherlands</c:v>
                </c:pt>
                <c:pt idx="8">
                  <c:v>Belgium</c:v>
                </c:pt>
                <c:pt idx="9">
                  <c:v>UK</c:v>
                </c:pt>
                <c:pt idx="10">
                  <c:v>Canada</c:v>
                </c:pt>
                <c:pt idx="11">
                  <c:v>Russia</c:v>
                </c:pt>
                <c:pt idx="12">
                  <c:v>Mexico</c:v>
                </c:pt>
                <c:pt idx="13">
                  <c:v>Taiwan</c:v>
                </c:pt>
                <c:pt idx="14">
                  <c:v>India</c:v>
                </c:pt>
                <c:pt idx="15">
                  <c:v>Switzerland</c:v>
                </c:pt>
                <c:pt idx="16">
                  <c:v>Australia</c:v>
                </c:pt>
                <c:pt idx="17">
                  <c:v>Spain</c:v>
                </c:pt>
                <c:pt idx="18">
                  <c:v>Brazil</c:v>
                </c:pt>
                <c:pt idx="19">
                  <c:v>Thailand</c:v>
                </c:pt>
                <c:pt idx="20">
                  <c:v>Indonesia</c:v>
                </c:pt>
                <c:pt idx="21">
                  <c:v>Poland</c:v>
                </c:pt>
                <c:pt idx="22">
                  <c:v>Sweden</c:v>
                </c:pt>
                <c:pt idx="23">
                  <c:v>Austria</c:v>
                </c:pt>
                <c:pt idx="24">
                  <c:v>Czech Republic</c:v>
                </c:pt>
              </c:strCache>
            </c:strRef>
          </c:cat>
          <c:val>
            <c:numRef>
              <c:f>Sheet2!$B$2:$B$26</c:f>
              <c:numCache>
                <c:formatCode>General</c:formatCode>
                <c:ptCount val="25"/>
                <c:pt idx="0">
                  <c:v>79.2</c:v>
                </c:pt>
                <c:pt idx="1">
                  <c:v>79.2</c:v>
                </c:pt>
                <c:pt idx="2">
                  <c:v>79.2</c:v>
                </c:pt>
                <c:pt idx="3">
                  <c:v>79.2</c:v>
                </c:pt>
                <c:pt idx="4">
                  <c:v>79.2</c:v>
                </c:pt>
                <c:pt idx="5">
                  <c:v>79.2</c:v>
                </c:pt>
                <c:pt idx="6">
                  <c:v>79.2</c:v>
                </c:pt>
                <c:pt idx="7">
                  <c:v>79.2</c:v>
                </c:pt>
                <c:pt idx="8">
                  <c:v>79.2</c:v>
                </c:pt>
                <c:pt idx="9">
                  <c:v>79.2</c:v>
                </c:pt>
                <c:pt idx="10">
                  <c:v>79.2</c:v>
                </c:pt>
                <c:pt idx="11">
                  <c:v>79.2</c:v>
                </c:pt>
                <c:pt idx="12">
                  <c:v>79.2</c:v>
                </c:pt>
                <c:pt idx="13">
                  <c:v>79.2</c:v>
                </c:pt>
                <c:pt idx="14">
                  <c:v>79.2</c:v>
                </c:pt>
                <c:pt idx="15">
                  <c:v>79.2</c:v>
                </c:pt>
                <c:pt idx="16">
                  <c:v>79.2</c:v>
                </c:pt>
                <c:pt idx="17">
                  <c:v>79.2</c:v>
                </c:pt>
                <c:pt idx="18">
                  <c:v>79.2</c:v>
                </c:pt>
                <c:pt idx="19">
                  <c:v>79.2</c:v>
                </c:pt>
                <c:pt idx="20">
                  <c:v>79.2</c:v>
                </c:pt>
                <c:pt idx="21">
                  <c:v>79.2</c:v>
                </c:pt>
                <c:pt idx="22">
                  <c:v>79.2</c:v>
                </c:pt>
                <c:pt idx="23">
                  <c:v>79.2</c:v>
                </c:pt>
                <c:pt idx="24">
                  <c:v>79.2</c:v>
                </c:pt>
              </c:numCache>
            </c:numRef>
          </c:val>
          <c:extLst xmlns:c16r2="http://schemas.microsoft.com/office/drawing/2015/06/chart">
            <c:ext xmlns:c16="http://schemas.microsoft.com/office/drawing/2014/chart" uri="{C3380CC4-5D6E-409C-BE32-E72D297353CC}">
              <c16:uniqueId val="{00000000-817C-4869-B70D-8EE4123FD657}"/>
            </c:ext>
          </c:extLst>
        </c:ser>
        <c:ser>
          <c:idx val="1"/>
          <c:order val="1"/>
          <c:tx>
            <c:strRef>
              <c:f>Sheet2!$C$1</c:f>
              <c:strCache>
                <c:ptCount val="1"/>
                <c:pt idx="0">
                  <c:v>Natural gas</c:v>
                </c:pt>
              </c:strCache>
            </c:strRef>
          </c:tx>
          <c:spPr>
            <a:solidFill>
              <a:schemeClr val="dk1">
                <a:tint val="55000"/>
              </a:schemeClr>
            </a:solidFill>
            <a:ln>
              <a:noFill/>
            </a:ln>
            <a:effectLst/>
          </c:spPr>
          <c:invertIfNegative val="0"/>
          <c:cat>
            <c:strRef>
              <c:f>Sheet2!$A$2:$A$26</c:f>
              <c:strCache>
                <c:ptCount val="25"/>
                <c:pt idx="0">
                  <c:v>China</c:v>
                </c:pt>
                <c:pt idx="1">
                  <c:v>Germany</c:v>
                </c:pt>
                <c:pt idx="2">
                  <c:v>US</c:v>
                </c:pt>
                <c:pt idx="3">
                  <c:v>Japan</c:v>
                </c:pt>
                <c:pt idx="4">
                  <c:v>South Korea</c:v>
                </c:pt>
                <c:pt idx="5">
                  <c:v>France</c:v>
                </c:pt>
                <c:pt idx="6">
                  <c:v>Italy</c:v>
                </c:pt>
                <c:pt idx="7">
                  <c:v>Netherlands</c:v>
                </c:pt>
                <c:pt idx="8">
                  <c:v>Belgium</c:v>
                </c:pt>
                <c:pt idx="9">
                  <c:v>UK</c:v>
                </c:pt>
                <c:pt idx="10">
                  <c:v>Canada</c:v>
                </c:pt>
                <c:pt idx="11">
                  <c:v>Russia</c:v>
                </c:pt>
                <c:pt idx="12">
                  <c:v>Mexico</c:v>
                </c:pt>
                <c:pt idx="13">
                  <c:v>Taiwan</c:v>
                </c:pt>
                <c:pt idx="14">
                  <c:v>India</c:v>
                </c:pt>
                <c:pt idx="15">
                  <c:v>Switzerland</c:v>
                </c:pt>
                <c:pt idx="16">
                  <c:v>Australia</c:v>
                </c:pt>
                <c:pt idx="17">
                  <c:v>Spain</c:v>
                </c:pt>
                <c:pt idx="18">
                  <c:v>Brazil</c:v>
                </c:pt>
                <c:pt idx="19">
                  <c:v>Thailand</c:v>
                </c:pt>
                <c:pt idx="20">
                  <c:v>Indonesia</c:v>
                </c:pt>
                <c:pt idx="21">
                  <c:v>Poland</c:v>
                </c:pt>
                <c:pt idx="22">
                  <c:v>Sweden</c:v>
                </c:pt>
                <c:pt idx="23">
                  <c:v>Austria</c:v>
                </c:pt>
                <c:pt idx="24">
                  <c:v>Czech Republic</c:v>
                </c:pt>
              </c:strCache>
            </c:strRef>
          </c:cat>
          <c:val>
            <c:numRef>
              <c:f>Sheet2!$C$2:$C$26</c:f>
              <c:numCache>
                <c:formatCode>General</c:formatCode>
                <c:ptCount val="25"/>
                <c:pt idx="0">
                  <c:v>4.4000000000000004</c:v>
                </c:pt>
                <c:pt idx="1">
                  <c:v>4.9000000000000004</c:v>
                </c:pt>
                <c:pt idx="2">
                  <c:v>1.5</c:v>
                </c:pt>
                <c:pt idx="3">
                  <c:v>4.9000000000000004</c:v>
                </c:pt>
                <c:pt idx="4">
                  <c:v>6.4</c:v>
                </c:pt>
                <c:pt idx="5">
                  <c:v>4.4000000000000004</c:v>
                </c:pt>
                <c:pt idx="6">
                  <c:v>4.2</c:v>
                </c:pt>
                <c:pt idx="7">
                  <c:v>3.4</c:v>
                </c:pt>
                <c:pt idx="8">
                  <c:v>4.3</c:v>
                </c:pt>
                <c:pt idx="9">
                  <c:v>3.7</c:v>
                </c:pt>
                <c:pt idx="10">
                  <c:v>1.2</c:v>
                </c:pt>
                <c:pt idx="11">
                  <c:v>1.1000000000000001</c:v>
                </c:pt>
                <c:pt idx="12">
                  <c:v>1.5</c:v>
                </c:pt>
                <c:pt idx="13">
                  <c:v>5.7</c:v>
                </c:pt>
                <c:pt idx="14">
                  <c:v>1.7</c:v>
                </c:pt>
                <c:pt idx="15">
                  <c:v>6.8</c:v>
                </c:pt>
                <c:pt idx="16">
                  <c:v>2.9</c:v>
                </c:pt>
                <c:pt idx="17">
                  <c:v>4.3</c:v>
                </c:pt>
                <c:pt idx="18">
                  <c:v>5.2</c:v>
                </c:pt>
                <c:pt idx="19">
                  <c:v>3</c:v>
                </c:pt>
                <c:pt idx="20">
                  <c:v>1.4</c:v>
                </c:pt>
                <c:pt idx="21">
                  <c:v>4</c:v>
                </c:pt>
                <c:pt idx="22">
                  <c:v>5.0999999999999996</c:v>
                </c:pt>
                <c:pt idx="23">
                  <c:v>4.0999999999999996</c:v>
                </c:pt>
                <c:pt idx="24">
                  <c:v>3.6</c:v>
                </c:pt>
              </c:numCache>
            </c:numRef>
          </c:val>
          <c:extLst xmlns:c16r2="http://schemas.microsoft.com/office/drawing/2015/06/chart">
            <c:ext xmlns:c16="http://schemas.microsoft.com/office/drawing/2014/chart" uri="{C3380CC4-5D6E-409C-BE32-E72D297353CC}">
              <c16:uniqueId val="{00000001-817C-4869-B70D-8EE4123FD657}"/>
            </c:ext>
          </c:extLst>
        </c:ser>
        <c:ser>
          <c:idx val="2"/>
          <c:order val="2"/>
          <c:tx>
            <c:strRef>
              <c:f>Sheet2!$D$1</c:f>
              <c:strCache>
                <c:ptCount val="1"/>
                <c:pt idx="0">
                  <c:v>Electricity</c:v>
                </c:pt>
              </c:strCache>
            </c:strRef>
          </c:tx>
          <c:spPr>
            <a:solidFill>
              <a:schemeClr val="dk1">
                <a:tint val="75000"/>
              </a:schemeClr>
            </a:solidFill>
            <a:ln>
              <a:noFill/>
            </a:ln>
            <a:effectLst/>
          </c:spPr>
          <c:invertIfNegative val="0"/>
          <c:cat>
            <c:strRef>
              <c:f>Sheet2!$A$2:$A$26</c:f>
              <c:strCache>
                <c:ptCount val="25"/>
                <c:pt idx="0">
                  <c:v>China</c:v>
                </c:pt>
                <c:pt idx="1">
                  <c:v>Germany</c:v>
                </c:pt>
                <c:pt idx="2">
                  <c:v>US</c:v>
                </c:pt>
                <c:pt idx="3">
                  <c:v>Japan</c:v>
                </c:pt>
                <c:pt idx="4">
                  <c:v>South Korea</c:v>
                </c:pt>
                <c:pt idx="5">
                  <c:v>France</c:v>
                </c:pt>
                <c:pt idx="6">
                  <c:v>Italy</c:v>
                </c:pt>
                <c:pt idx="7">
                  <c:v>Netherlands</c:v>
                </c:pt>
                <c:pt idx="8">
                  <c:v>Belgium</c:v>
                </c:pt>
                <c:pt idx="9">
                  <c:v>UK</c:v>
                </c:pt>
                <c:pt idx="10">
                  <c:v>Canada</c:v>
                </c:pt>
                <c:pt idx="11">
                  <c:v>Russia</c:v>
                </c:pt>
                <c:pt idx="12">
                  <c:v>Mexico</c:v>
                </c:pt>
                <c:pt idx="13">
                  <c:v>Taiwan</c:v>
                </c:pt>
                <c:pt idx="14">
                  <c:v>India</c:v>
                </c:pt>
                <c:pt idx="15">
                  <c:v>Switzerland</c:v>
                </c:pt>
                <c:pt idx="16">
                  <c:v>Australia</c:v>
                </c:pt>
                <c:pt idx="17">
                  <c:v>Spain</c:v>
                </c:pt>
                <c:pt idx="18">
                  <c:v>Brazil</c:v>
                </c:pt>
                <c:pt idx="19">
                  <c:v>Thailand</c:v>
                </c:pt>
                <c:pt idx="20">
                  <c:v>Indonesia</c:v>
                </c:pt>
                <c:pt idx="21">
                  <c:v>Poland</c:v>
                </c:pt>
                <c:pt idx="22">
                  <c:v>Sweden</c:v>
                </c:pt>
                <c:pt idx="23">
                  <c:v>Austria</c:v>
                </c:pt>
                <c:pt idx="24">
                  <c:v>Czech Republic</c:v>
                </c:pt>
              </c:strCache>
            </c:strRef>
          </c:cat>
          <c:val>
            <c:numRef>
              <c:f>Sheet2!$D$2:$D$26</c:f>
              <c:numCache>
                <c:formatCode>General</c:formatCode>
                <c:ptCount val="25"/>
                <c:pt idx="0">
                  <c:v>1.8</c:v>
                </c:pt>
                <c:pt idx="1">
                  <c:v>1.8</c:v>
                </c:pt>
                <c:pt idx="2">
                  <c:v>1.1000000000000001</c:v>
                </c:pt>
                <c:pt idx="3">
                  <c:v>2.7</c:v>
                </c:pt>
                <c:pt idx="4">
                  <c:v>1.3</c:v>
                </c:pt>
                <c:pt idx="5">
                  <c:v>1.6</c:v>
                </c:pt>
                <c:pt idx="6">
                  <c:v>3.5</c:v>
                </c:pt>
                <c:pt idx="7">
                  <c:v>1.6</c:v>
                </c:pt>
                <c:pt idx="8">
                  <c:v>1.9</c:v>
                </c:pt>
                <c:pt idx="9">
                  <c:v>2.4</c:v>
                </c:pt>
                <c:pt idx="10">
                  <c:v>1.2</c:v>
                </c:pt>
                <c:pt idx="11">
                  <c:v>0.9</c:v>
                </c:pt>
                <c:pt idx="12">
                  <c:v>1.9</c:v>
                </c:pt>
                <c:pt idx="13">
                  <c:v>1.4</c:v>
                </c:pt>
                <c:pt idx="14">
                  <c:v>2</c:v>
                </c:pt>
                <c:pt idx="15">
                  <c:v>2.1</c:v>
                </c:pt>
                <c:pt idx="16">
                  <c:v>2.1</c:v>
                </c:pt>
                <c:pt idx="17">
                  <c:v>2.4</c:v>
                </c:pt>
                <c:pt idx="18">
                  <c:v>3.1</c:v>
                </c:pt>
                <c:pt idx="19">
                  <c:v>1.1000000000000001</c:v>
                </c:pt>
                <c:pt idx="20">
                  <c:v>1.2</c:v>
                </c:pt>
                <c:pt idx="21">
                  <c:v>1.8</c:v>
                </c:pt>
                <c:pt idx="22">
                  <c:v>1.7</c:v>
                </c:pt>
                <c:pt idx="23">
                  <c:v>1.8</c:v>
                </c:pt>
                <c:pt idx="24">
                  <c:v>2.1</c:v>
                </c:pt>
              </c:numCache>
            </c:numRef>
          </c:val>
          <c:extLst xmlns:c16r2="http://schemas.microsoft.com/office/drawing/2015/06/chart">
            <c:ext xmlns:c16="http://schemas.microsoft.com/office/drawing/2014/chart" uri="{C3380CC4-5D6E-409C-BE32-E72D297353CC}">
              <c16:uniqueId val="{00000002-817C-4869-B70D-8EE4123FD657}"/>
            </c:ext>
          </c:extLst>
        </c:ser>
        <c:ser>
          <c:idx val="3"/>
          <c:order val="3"/>
          <c:tx>
            <c:strRef>
              <c:f>Sheet2!$E$1</c:f>
              <c:strCache>
                <c:ptCount val="1"/>
                <c:pt idx="0">
                  <c:v>Labour</c:v>
                </c:pt>
              </c:strCache>
            </c:strRef>
          </c:tx>
          <c:spPr>
            <a:solidFill>
              <a:schemeClr val="dk1">
                <a:tint val="98500"/>
              </a:schemeClr>
            </a:solidFill>
            <a:ln>
              <a:noFill/>
            </a:ln>
            <a:effectLst/>
          </c:spPr>
          <c:invertIfNegative val="0"/>
          <c:cat>
            <c:strRef>
              <c:f>Sheet2!$A$2:$A$26</c:f>
              <c:strCache>
                <c:ptCount val="25"/>
                <c:pt idx="0">
                  <c:v>China</c:v>
                </c:pt>
                <c:pt idx="1">
                  <c:v>Germany</c:v>
                </c:pt>
                <c:pt idx="2">
                  <c:v>US</c:v>
                </c:pt>
                <c:pt idx="3">
                  <c:v>Japan</c:v>
                </c:pt>
                <c:pt idx="4">
                  <c:v>South Korea</c:v>
                </c:pt>
                <c:pt idx="5">
                  <c:v>France</c:v>
                </c:pt>
                <c:pt idx="6">
                  <c:v>Italy</c:v>
                </c:pt>
                <c:pt idx="7">
                  <c:v>Netherlands</c:v>
                </c:pt>
                <c:pt idx="8">
                  <c:v>Belgium</c:v>
                </c:pt>
                <c:pt idx="9">
                  <c:v>UK</c:v>
                </c:pt>
                <c:pt idx="10">
                  <c:v>Canada</c:v>
                </c:pt>
                <c:pt idx="11">
                  <c:v>Russia</c:v>
                </c:pt>
                <c:pt idx="12">
                  <c:v>Mexico</c:v>
                </c:pt>
                <c:pt idx="13">
                  <c:v>Taiwan</c:v>
                </c:pt>
                <c:pt idx="14">
                  <c:v>India</c:v>
                </c:pt>
                <c:pt idx="15">
                  <c:v>Switzerland</c:v>
                </c:pt>
                <c:pt idx="16">
                  <c:v>Australia</c:v>
                </c:pt>
                <c:pt idx="17">
                  <c:v>Spain</c:v>
                </c:pt>
                <c:pt idx="18">
                  <c:v>Brazil</c:v>
                </c:pt>
                <c:pt idx="19">
                  <c:v>Thailand</c:v>
                </c:pt>
                <c:pt idx="20">
                  <c:v>Indonesia</c:v>
                </c:pt>
                <c:pt idx="21">
                  <c:v>Poland</c:v>
                </c:pt>
                <c:pt idx="22">
                  <c:v>Sweden</c:v>
                </c:pt>
                <c:pt idx="23">
                  <c:v>Austria</c:v>
                </c:pt>
                <c:pt idx="24">
                  <c:v>Czech Republic</c:v>
                </c:pt>
              </c:strCache>
            </c:strRef>
          </c:cat>
          <c:val>
            <c:numRef>
              <c:f>Sheet2!$E$2:$E$26</c:f>
              <c:numCache>
                <c:formatCode>General</c:formatCode>
                <c:ptCount val="25"/>
                <c:pt idx="0">
                  <c:v>10.199999999999999</c:v>
                </c:pt>
                <c:pt idx="1">
                  <c:v>35.200000000000003</c:v>
                </c:pt>
                <c:pt idx="2">
                  <c:v>18.2</c:v>
                </c:pt>
                <c:pt idx="3">
                  <c:v>24.2</c:v>
                </c:pt>
                <c:pt idx="4">
                  <c:v>15.5</c:v>
                </c:pt>
                <c:pt idx="5">
                  <c:v>39.1</c:v>
                </c:pt>
                <c:pt idx="6">
                  <c:v>35.799999999999997</c:v>
                </c:pt>
                <c:pt idx="7">
                  <c:v>27.3</c:v>
                </c:pt>
                <c:pt idx="8">
                  <c:v>37.9</c:v>
                </c:pt>
                <c:pt idx="9">
                  <c:v>23.4</c:v>
                </c:pt>
                <c:pt idx="10">
                  <c:v>33.9</c:v>
                </c:pt>
                <c:pt idx="11">
                  <c:v>17.8</c:v>
                </c:pt>
                <c:pt idx="12">
                  <c:v>8.9</c:v>
                </c:pt>
                <c:pt idx="13">
                  <c:v>10.9</c:v>
                </c:pt>
                <c:pt idx="14">
                  <c:v>4.3</c:v>
                </c:pt>
                <c:pt idx="15">
                  <c:v>37.299999999999997</c:v>
                </c:pt>
                <c:pt idx="16">
                  <c:v>45.4</c:v>
                </c:pt>
                <c:pt idx="17">
                  <c:v>22.7</c:v>
                </c:pt>
                <c:pt idx="18">
                  <c:v>36.200000000000003</c:v>
                </c:pt>
                <c:pt idx="19">
                  <c:v>7.2</c:v>
                </c:pt>
                <c:pt idx="20">
                  <c:v>1.3</c:v>
                </c:pt>
                <c:pt idx="21">
                  <c:v>16.2</c:v>
                </c:pt>
                <c:pt idx="22">
                  <c:v>30.4</c:v>
                </c:pt>
                <c:pt idx="23">
                  <c:v>25.6</c:v>
                </c:pt>
                <c:pt idx="24">
                  <c:v>21.8</c:v>
                </c:pt>
              </c:numCache>
            </c:numRef>
          </c:val>
          <c:extLst xmlns:c16r2="http://schemas.microsoft.com/office/drawing/2015/06/chart">
            <c:ext xmlns:c16="http://schemas.microsoft.com/office/drawing/2014/chart" uri="{C3380CC4-5D6E-409C-BE32-E72D297353CC}">
              <c16:uniqueId val="{00000003-817C-4869-B70D-8EE4123FD657}"/>
            </c:ext>
          </c:extLst>
        </c:ser>
        <c:dLbls>
          <c:showLegendKey val="0"/>
          <c:showVal val="0"/>
          <c:showCatName val="0"/>
          <c:showSerName val="0"/>
          <c:showPercent val="0"/>
          <c:showBubbleSize val="0"/>
        </c:dLbls>
        <c:gapWidth val="150"/>
        <c:overlap val="100"/>
        <c:axId val="518506656"/>
        <c:axId val="518507048"/>
      </c:barChart>
      <c:catAx>
        <c:axId val="5185066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8507048"/>
        <c:crosses val="autoZero"/>
        <c:auto val="1"/>
        <c:lblAlgn val="ctr"/>
        <c:lblOffset val="100"/>
        <c:noMultiLvlLbl val="0"/>
      </c:catAx>
      <c:valAx>
        <c:axId val="518507048"/>
        <c:scaling>
          <c:orientation val="minMax"/>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85066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8E018-6784-435B-BDA1-61502DCA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6315</Words>
  <Characters>35997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2018-08-24T20:49:00Z</cp:lastPrinted>
  <dcterms:created xsi:type="dcterms:W3CDTF">2018-09-21T19:04:00Z</dcterms:created>
  <dcterms:modified xsi:type="dcterms:W3CDTF">2018-10-02T17:22:00Z</dcterms:modified>
</cp:coreProperties>
</file>